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F637B3" w:rsidRDefault="00E44B80" w:rsidP="001B7CF3">
      <w:pPr>
        <w:spacing w:before="0"/>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6F20CF" w:rsidRDefault="008B2610" w:rsidP="001B7CF3">
      <w:pPr>
        <w:pStyle w:val="Title"/>
        <w:spacing w:before="0" w:after="120"/>
      </w:pPr>
      <w:r w:rsidRPr="001906CD">
        <w:t>Application Form</w:t>
      </w:r>
    </w:p>
    <w:p w:rsidR="00E44B80" w:rsidRPr="00D73646" w:rsidRDefault="00E44B80" w:rsidP="001B7CF3">
      <w:pPr>
        <w:pStyle w:val="Title"/>
        <w:spacing w:before="0" w:after="12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rsidR="00EB0182" w:rsidRDefault="003013A9" w:rsidP="001B7CF3">
      <w:pPr>
        <w:spacing w:before="0"/>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rsidR="00E44B80" w:rsidRPr="00154B00" w:rsidRDefault="00300EEB" w:rsidP="001B7CF3">
      <w:pPr>
        <w:spacing w:before="0"/>
      </w:pPr>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rsidR="008B2610" w:rsidRDefault="008B2610" w:rsidP="001B7CF3">
      <w:pPr>
        <w:spacing w:before="0"/>
      </w:pPr>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EB0182" w:rsidRDefault="00EB0182" w:rsidP="001B7CF3">
      <w:pPr>
        <w:spacing w:before="0"/>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rsidR="008B2610" w:rsidRPr="00154B00" w:rsidRDefault="009F5758" w:rsidP="001B7CF3">
      <w:pPr>
        <w:spacing w:before="0"/>
      </w:pPr>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rsidR="008B2610" w:rsidRPr="00154B00" w:rsidRDefault="009F5758" w:rsidP="001B7CF3">
      <w:pPr>
        <w:spacing w:before="0"/>
      </w:pPr>
      <w:r w:rsidRPr="00154B00">
        <w:t>Phone:  +61 2 6289 7550</w:t>
      </w:r>
    </w:p>
    <w:p w:rsidR="009F5758" w:rsidRPr="00154B00" w:rsidRDefault="009F5758" w:rsidP="001B7CF3">
      <w:pPr>
        <w:spacing w:before="0"/>
      </w:pPr>
      <w:r w:rsidRPr="00154B00">
        <w:t>Fax:  +61 2 6289 5540</w:t>
      </w:r>
    </w:p>
    <w:p w:rsidR="009F5758" w:rsidRPr="00154B00" w:rsidRDefault="009F5758" w:rsidP="001B7CF3">
      <w:pPr>
        <w:spacing w:before="0"/>
      </w:pPr>
      <w:r w:rsidRPr="00154B00">
        <w:t xml:space="preserve">Email:  </w:t>
      </w:r>
      <w:hyperlink r:id="rId10" w:tooltip="click here to email the Department of Health HTA Team" w:history="1">
        <w:r w:rsidRPr="00154B00">
          <w:rPr>
            <w:rStyle w:val="Hyperlink"/>
            <w:szCs w:val="20"/>
          </w:rPr>
          <w:t>hta@health.gov.au</w:t>
        </w:r>
      </w:hyperlink>
    </w:p>
    <w:p w:rsidR="009F5758" w:rsidRPr="00154B00" w:rsidRDefault="009F5758" w:rsidP="001B7CF3">
      <w:pPr>
        <w:spacing w:before="0"/>
      </w:pPr>
      <w:r w:rsidRPr="00154B00">
        <w:t xml:space="preserve">Website:  </w:t>
      </w:r>
      <w:hyperlink r:id="rId11" w:tooltip="click here to visit the Medical Services Advisory Committee website" w:history="1">
        <w:r w:rsidR="00750F6F">
          <w:rPr>
            <w:rStyle w:val="Hyperlink"/>
          </w:rPr>
          <w:t>MSAC Website</w:t>
        </w:r>
      </w:hyperlink>
      <w:r w:rsidR="008E6227">
        <w:t xml:space="preserve"> </w:t>
      </w:r>
      <w:r w:rsidR="001A02E3">
        <w:t xml:space="preserve"> </w:t>
      </w:r>
    </w:p>
    <w:p w:rsidR="001D77ED" w:rsidRPr="003F7CB9" w:rsidRDefault="00D73646" w:rsidP="001B7CF3">
      <w:pPr>
        <w:spacing w:before="0"/>
      </w:pPr>
      <w:bookmarkStart w:id="0" w:name="_Toc443555803"/>
      <w:r>
        <w:rPr>
          <w:rStyle w:val="IntenseReference"/>
        </w:rPr>
        <w:br w:type="page"/>
      </w:r>
      <w:bookmarkEnd w:id="0"/>
    </w:p>
    <w:p w:rsidR="00E04FB3" w:rsidRPr="00C776B1" w:rsidRDefault="00494011" w:rsidP="001B7CF3">
      <w:pPr>
        <w:pStyle w:val="Heading1"/>
        <w:spacing w:after="120" w:line="240" w:lineRule="auto"/>
      </w:pPr>
      <w:r>
        <w:lastRenderedPageBreak/>
        <w:t>PART 1</w:t>
      </w:r>
      <w:r w:rsidR="00F93784">
        <w:t xml:space="preserve"> – </w:t>
      </w:r>
      <w:r w:rsidR="00E04FB3" w:rsidRPr="00C776B1">
        <w:t>APPLICANT DETAILS</w:t>
      </w:r>
    </w:p>
    <w:p w:rsidR="00392F00" w:rsidRDefault="00D57F88" w:rsidP="001B7CF3">
      <w:pPr>
        <w:pStyle w:val="Heading2"/>
        <w:spacing w:before="0"/>
      </w:pPr>
      <w:r w:rsidRPr="00A8732C">
        <w:t>Applicant d</w:t>
      </w:r>
      <w:r w:rsidR="00392F00" w:rsidRPr="00A8732C">
        <w:t>etails</w:t>
      </w:r>
      <w:r w:rsidR="000D066E" w:rsidRPr="00A8732C">
        <w:t xml:space="preserve"> (primary and alternative contacts)</w:t>
      </w:r>
    </w:p>
    <w:p w:rsidR="00C171FB" w:rsidRDefault="00C171FB" w:rsidP="001B7CF3">
      <w:pPr>
        <w:pBdr>
          <w:top w:val="single" w:sz="4" w:space="1" w:color="auto"/>
          <w:left w:val="single" w:sz="4" w:space="4" w:color="auto"/>
          <w:bottom w:val="single" w:sz="4" w:space="1" w:color="auto"/>
          <w:right w:val="single" w:sz="4" w:space="4" w:color="auto"/>
        </w:pBdr>
        <w:spacing w:before="0"/>
      </w:pPr>
      <w:r>
        <w:t xml:space="preserve">Corporation / partnership details (where relevant): </w:t>
      </w:r>
    </w:p>
    <w:p w:rsidR="00C171FB" w:rsidRDefault="00C171FB" w:rsidP="001B7CF3">
      <w:pPr>
        <w:pBdr>
          <w:top w:val="single" w:sz="4" w:space="1" w:color="auto"/>
          <w:left w:val="single" w:sz="4" w:space="4" w:color="auto"/>
          <w:bottom w:val="single" w:sz="4" w:space="1" w:color="auto"/>
          <w:right w:val="single" w:sz="4" w:space="4" w:color="auto"/>
        </w:pBdr>
        <w:spacing w:before="0"/>
      </w:pPr>
      <w:r>
        <w:t xml:space="preserve">Corporation name: </w:t>
      </w:r>
      <w:r w:rsidR="00525055">
        <w:t>Roche Diagnostics Australia Pty Ltd</w:t>
      </w:r>
    </w:p>
    <w:p w:rsidR="00C171FB" w:rsidRDefault="00C171FB" w:rsidP="001B7CF3">
      <w:pPr>
        <w:pBdr>
          <w:top w:val="single" w:sz="4" w:space="1" w:color="auto"/>
          <w:left w:val="single" w:sz="4" w:space="4" w:color="auto"/>
          <w:bottom w:val="single" w:sz="4" w:space="1" w:color="auto"/>
          <w:right w:val="single" w:sz="4" w:space="4" w:color="auto"/>
        </w:pBdr>
        <w:spacing w:before="0"/>
      </w:pPr>
      <w:r>
        <w:t xml:space="preserve">ABN: </w:t>
      </w:r>
      <w:r w:rsidR="00525055" w:rsidRPr="00525055">
        <w:rPr>
          <w:b/>
        </w:rPr>
        <w:t>REDACTED</w:t>
      </w:r>
    </w:p>
    <w:p w:rsidR="00C171FB" w:rsidRPr="00C171FB" w:rsidRDefault="00C171FB" w:rsidP="001B7CF3">
      <w:pPr>
        <w:pBdr>
          <w:top w:val="single" w:sz="4" w:space="1" w:color="auto"/>
          <w:left w:val="single" w:sz="4" w:space="4" w:color="auto"/>
          <w:bottom w:val="single" w:sz="4" w:space="1" w:color="auto"/>
          <w:right w:val="single" w:sz="4" w:space="4" w:color="auto"/>
        </w:pBdr>
        <w:spacing w:before="0"/>
      </w:pPr>
      <w:r>
        <w:t xml:space="preserve">Business trading name: </w:t>
      </w:r>
    </w:p>
    <w:p w:rsidR="00C171FB" w:rsidRPr="00C171FB" w:rsidRDefault="00C171FB" w:rsidP="001B7CF3">
      <w:pPr>
        <w:spacing w:before="0"/>
        <w:rPr>
          <w:b/>
        </w:rPr>
      </w:pPr>
      <w:r>
        <w:rPr>
          <w:b/>
        </w:rPr>
        <w:t xml:space="preserve">Primary contact name: </w:t>
      </w:r>
      <w:r w:rsidR="00D223E6" w:rsidRPr="00525055">
        <w:rPr>
          <w:b/>
        </w:rPr>
        <w:t>REDACTED</w:t>
      </w:r>
    </w:p>
    <w:p w:rsidR="00C171FB" w:rsidRDefault="00C171FB" w:rsidP="001B7CF3">
      <w:pPr>
        <w:pBdr>
          <w:top w:val="single" w:sz="4" w:space="1" w:color="auto"/>
          <w:left w:val="single" w:sz="4" w:space="4" w:color="auto"/>
          <w:bottom w:val="single" w:sz="4" w:space="1" w:color="auto"/>
          <w:right w:val="single" w:sz="4" w:space="4" w:color="auto"/>
        </w:pBdr>
        <w:spacing w:before="0"/>
      </w:pPr>
      <w:r>
        <w:t>Primary contact numbers</w:t>
      </w:r>
    </w:p>
    <w:p w:rsidR="00525055" w:rsidRDefault="00C171FB" w:rsidP="001B7CF3">
      <w:pPr>
        <w:pBdr>
          <w:top w:val="single" w:sz="4" w:space="1" w:color="auto"/>
          <w:left w:val="single" w:sz="4" w:space="4" w:color="auto"/>
          <w:bottom w:val="single" w:sz="4" w:space="1" w:color="auto"/>
          <w:right w:val="single" w:sz="4" w:space="4" w:color="auto"/>
        </w:pBdr>
        <w:spacing w:before="0"/>
      </w:pPr>
      <w:r>
        <w:t xml:space="preserve">Business: </w:t>
      </w:r>
      <w:r w:rsidR="00525055" w:rsidRPr="00525055">
        <w:rPr>
          <w:b/>
        </w:rPr>
        <w:t>REDACTED</w:t>
      </w:r>
      <w:r w:rsidR="00525055">
        <w:t xml:space="preserve"> </w:t>
      </w:r>
    </w:p>
    <w:p w:rsidR="00C171FB" w:rsidRDefault="00C171FB" w:rsidP="001B7CF3">
      <w:pPr>
        <w:pBdr>
          <w:top w:val="single" w:sz="4" w:space="1" w:color="auto"/>
          <w:left w:val="single" w:sz="4" w:space="4" w:color="auto"/>
          <w:bottom w:val="single" w:sz="4" w:space="1" w:color="auto"/>
          <w:right w:val="single" w:sz="4" w:space="4" w:color="auto"/>
        </w:pBdr>
        <w:spacing w:before="0"/>
      </w:pPr>
      <w:r>
        <w:t>Mobile:</w:t>
      </w:r>
      <w:r>
        <w:tab/>
      </w:r>
      <w:r w:rsidR="00525055" w:rsidRPr="00525055">
        <w:rPr>
          <w:b/>
        </w:rPr>
        <w:t>REDACTED</w:t>
      </w:r>
    </w:p>
    <w:p w:rsidR="00C171FB" w:rsidRPr="001B7CF3" w:rsidRDefault="00C171FB" w:rsidP="001B7CF3">
      <w:pPr>
        <w:pBdr>
          <w:top w:val="single" w:sz="4" w:space="1" w:color="auto"/>
          <w:left w:val="single" w:sz="4" w:space="4" w:color="auto"/>
          <w:bottom w:val="single" w:sz="4" w:space="1" w:color="auto"/>
          <w:right w:val="single" w:sz="4" w:space="4" w:color="auto"/>
        </w:pBdr>
        <w:spacing w:before="0"/>
      </w:pPr>
      <w:r>
        <w:t xml:space="preserve">Email: </w:t>
      </w:r>
      <w:r w:rsidR="00525055" w:rsidRPr="00525055">
        <w:rPr>
          <w:b/>
        </w:rPr>
        <w:t>REDACTED</w:t>
      </w:r>
    </w:p>
    <w:p w:rsidR="00C171FB" w:rsidRPr="00C171FB" w:rsidRDefault="00C171FB" w:rsidP="001B7CF3">
      <w:pPr>
        <w:spacing w:before="0"/>
        <w:rPr>
          <w:b/>
        </w:rPr>
      </w:pPr>
      <w:r>
        <w:rPr>
          <w:b/>
        </w:rPr>
        <w:t xml:space="preserve">Alternative contact name: </w:t>
      </w:r>
      <w:r w:rsidR="00D223E6" w:rsidRPr="00525055">
        <w:rPr>
          <w:b/>
        </w:rPr>
        <w:t>REDACTED</w:t>
      </w:r>
    </w:p>
    <w:p w:rsidR="00C171FB" w:rsidRDefault="00C171FB" w:rsidP="001B7CF3">
      <w:pPr>
        <w:pBdr>
          <w:top w:val="single" w:sz="4" w:space="1" w:color="auto"/>
          <w:left w:val="single" w:sz="4" w:space="4" w:color="auto"/>
          <w:bottom w:val="single" w:sz="4" w:space="1" w:color="auto"/>
          <w:right w:val="single" w:sz="4" w:space="4" w:color="auto"/>
        </w:pBdr>
        <w:spacing w:before="0"/>
      </w:pPr>
      <w:r>
        <w:t>Alternative contact numbers</w:t>
      </w:r>
      <w:r>
        <w:tab/>
      </w:r>
    </w:p>
    <w:p w:rsidR="00C171FB" w:rsidRDefault="00C171FB" w:rsidP="001B7CF3">
      <w:pPr>
        <w:pBdr>
          <w:top w:val="single" w:sz="4" w:space="1" w:color="auto"/>
          <w:left w:val="single" w:sz="4" w:space="4" w:color="auto"/>
          <w:bottom w:val="single" w:sz="4" w:space="1" w:color="auto"/>
          <w:right w:val="single" w:sz="4" w:space="4" w:color="auto"/>
        </w:pBdr>
        <w:spacing w:before="0"/>
      </w:pPr>
      <w:r>
        <w:t xml:space="preserve">Business: </w:t>
      </w:r>
      <w:r w:rsidR="00525055" w:rsidRPr="00525055">
        <w:rPr>
          <w:b/>
        </w:rPr>
        <w:t>REDACTED</w:t>
      </w:r>
    </w:p>
    <w:p w:rsidR="00C171FB" w:rsidRDefault="00C171FB" w:rsidP="001B7CF3">
      <w:pPr>
        <w:pBdr>
          <w:top w:val="single" w:sz="4" w:space="1" w:color="auto"/>
          <w:left w:val="single" w:sz="4" w:space="4" w:color="auto"/>
          <w:bottom w:val="single" w:sz="4" w:space="1" w:color="auto"/>
          <w:right w:val="single" w:sz="4" w:space="4" w:color="auto"/>
        </w:pBdr>
        <w:spacing w:before="0"/>
      </w:pPr>
      <w:r>
        <w:t xml:space="preserve">Mobile: </w:t>
      </w:r>
      <w:r w:rsidR="00525055" w:rsidRPr="00525055">
        <w:rPr>
          <w:b/>
        </w:rPr>
        <w:t>REDACTED</w:t>
      </w:r>
    </w:p>
    <w:p w:rsidR="00C171FB" w:rsidRDefault="00C171FB" w:rsidP="001B7CF3">
      <w:pPr>
        <w:pBdr>
          <w:top w:val="single" w:sz="4" w:space="1" w:color="auto"/>
          <w:left w:val="single" w:sz="4" w:space="4" w:color="auto"/>
          <w:bottom w:val="single" w:sz="4" w:space="1" w:color="auto"/>
          <w:right w:val="single" w:sz="4" w:space="4" w:color="auto"/>
        </w:pBdr>
        <w:spacing w:before="0"/>
      </w:pPr>
      <w:r>
        <w:t xml:space="preserve">Email: </w:t>
      </w:r>
      <w:r w:rsidR="00525055" w:rsidRPr="00525055">
        <w:rPr>
          <w:b/>
        </w:rPr>
        <w:t>REDACTED</w:t>
      </w:r>
    </w:p>
    <w:p w:rsidR="00F34AEC" w:rsidRPr="00154B00" w:rsidRDefault="00F34AEC" w:rsidP="001B7CF3">
      <w:pPr>
        <w:pStyle w:val="Heading2"/>
        <w:spacing w:before="0"/>
      </w:pPr>
      <w:r>
        <w:t>(a) Are you a consultant acting on behalf of an Applicant?</w:t>
      </w:r>
    </w:p>
    <w:p w:rsidR="00F34AEC" w:rsidRDefault="00F34AEC" w:rsidP="001B7CF3">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750F6F">
        <w:rPr>
          <w:szCs w:val="20"/>
        </w:rPr>
      </w:r>
      <w:r w:rsidR="00750F6F">
        <w:rPr>
          <w:szCs w:val="20"/>
        </w:rPr>
        <w:fldChar w:fldCharType="separate"/>
      </w:r>
      <w:r w:rsidRPr="00753C44">
        <w:rPr>
          <w:szCs w:val="20"/>
        </w:rPr>
        <w:fldChar w:fldCharType="end"/>
      </w:r>
      <w:r>
        <w:rPr>
          <w:szCs w:val="20"/>
        </w:rPr>
        <w:t xml:space="preserve"> Yes</w:t>
      </w:r>
    </w:p>
    <w:p w:rsidR="00F34AEC" w:rsidRPr="001B7CF3" w:rsidRDefault="00525055" w:rsidP="001B7CF3">
      <w:pPr>
        <w:spacing w:before="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750F6F">
        <w:rPr>
          <w:szCs w:val="20"/>
        </w:rPr>
      </w:r>
      <w:r w:rsidR="00750F6F">
        <w:rPr>
          <w:szCs w:val="20"/>
        </w:rPr>
        <w:fldChar w:fldCharType="separate"/>
      </w:r>
      <w:r>
        <w:rPr>
          <w:szCs w:val="20"/>
        </w:rPr>
        <w:fldChar w:fldCharType="end"/>
      </w:r>
      <w:bookmarkEnd w:id="1"/>
      <w:r w:rsidR="00F34AEC">
        <w:rPr>
          <w:szCs w:val="20"/>
        </w:rPr>
        <w:t xml:space="preserve"> No</w:t>
      </w:r>
      <w:r w:rsidR="00352047">
        <w:rPr>
          <w:szCs w:val="20"/>
        </w:rPr>
        <w:t xml:space="preserve"> </w:t>
      </w:r>
    </w:p>
    <w:p w:rsidR="00F34AEC" w:rsidRPr="002F55EF" w:rsidRDefault="00F34AEC" w:rsidP="001B7CF3">
      <w:pPr>
        <w:spacing w:before="0"/>
        <w:ind w:firstLine="360"/>
        <w:rPr>
          <w:b/>
        </w:rPr>
      </w:pPr>
      <w:r w:rsidRPr="002F55EF">
        <w:rPr>
          <w:b/>
        </w:rPr>
        <w:t>(b) If yes, what is the Applicant(s) name that you are acting on behalf of?</w:t>
      </w:r>
    </w:p>
    <w:p w:rsidR="00F34AEC" w:rsidRPr="00C171FB" w:rsidRDefault="00F34AEC" w:rsidP="001B7CF3">
      <w:pPr>
        <w:spacing w:before="0"/>
        <w:ind w:left="284"/>
        <w:rPr>
          <w:noProof/>
        </w:rPr>
      </w:pPr>
      <w:r>
        <w:rPr>
          <w:noProof/>
        </w:rPr>
        <w:t>Insert relevant Applicant(s) name here.</w:t>
      </w:r>
    </w:p>
    <w:p w:rsidR="00534C5F" w:rsidRPr="00154B00" w:rsidRDefault="00494011" w:rsidP="001B7CF3">
      <w:pPr>
        <w:pStyle w:val="Heading2"/>
        <w:spacing w:before="0"/>
      </w:pPr>
      <w:r>
        <w:t xml:space="preserve">(a) </w:t>
      </w:r>
      <w:r w:rsidR="00534C5F">
        <w:t>Are you a lobbyist acting on behalf of an Applicant?</w:t>
      </w:r>
    </w:p>
    <w:p w:rsidR="00A6491A" w:rsidRDefault="00A6491A" w:rsidP="001B7CF3">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750F6F">
        <w:rPr>
          <w:szCs w:val="20"/>
        </w:rPr>
      </w:r>
      <w:r w:rsidR="00750F6F">
        <w:rPr>
          <w:szCs w:val="20"/>
        </w:rPr>
        <w:fldChar w:fldCharType="separate"/>
      </w:r>
      <w:r w:rsidRPr="00753C44">
        <w:rPr>
          <w:szCs w:val="20"/>
        </w:rPr>
        <w:fldChar w:fldCharType="end"/>
      </w:r>
      <w:r>
        <w:rPr>
          <w:szCs w:val="20"/>
        </w:rPr>
        <w:t xml:space="preserve"> Yes</w:t>
      </w:r>
    </w:p>
    <w:p w:rsidR="00A6491A" w:rsidRPr="00753C44" w:rsidRDefault="00A6491A" w:rsidP="001B7CF3">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50F6F">
        <w:rPr>
          <w:szCs w:val="20"/>
        </w:rPr>
      </w:r>
      <w:r w:rsidR="00750F6F">
        <w:rPr>
          <w:szCs w:val="20"/>
        </w:rPr>
        <w:fldChar w:fldCharType="separate"/>
      </w:r>
      <w:r w:rsidRPr="00753C44">
        <w:rPr>
          <w:szCs w:val="20"/>
        </w:rPr>
        <w:fldChar w:fldCharType="end"/>
      </w:r>
      <w:r>
        <w:rPr>
          <w:szCs w:val="20"/>
        </w:rPr>
        <w:t xml:space="preserve"> No</w:t>
      </w:r>
      <w:r w:rsidRPr="00753C44">
        <w:rPr>
          <w:szCs w:val="20"/>
        </w:rPr>
        <w:t xml:space="preserve">  </w:t>
      </w:r>
    </w:p>
    <w:p w:rsidR="00534C5F" w:rsidRPr="00154B00" w:rsidRDefault="00534C5F" w:rsidP="001B7CF3">
      <w:pPr>
        <w:pStyle w:val="Heading2"/>
        <w:numPr>
          <w:ilvl w:val="0"/>
          <w:numId w:val="23"/>
        </w:numPr>
        <w:spacing w:before="0"/>
      </w:pPr>
      <w:r w:rsidRPr="00154B00">
        <w:t xml:space="preserve">If yes, </w:t>
      </w:r>
      <w:r>
        <w:t xml:space="preserve">are </w:t>
      </w:r>
      <w:r w:rsidRPr="00FE33A6">
        <w:t>you</w:t>
      </w:r>
      <w:r>
        <w:t xml:space="preserve"> listed on the Register of Lobbyists?</w:t>
      </w:r>
    </w:p>
    <w:p w:rsidR="00A6491A" w:rsidRDefault="00A6491A" w:rsidP="001B7CF3">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750F6F">
        <w:rPr>
          <w:szCs w:val="20"/>
        </w:rPr>
      </w:r>
      <w:r w:rsidR="00750F6F">
        <w:rPr>
          <w:szCs w:val="20"/>
        </w:rPr>
        <w:fldChar w:fldCharType="separate"/>
      </w:r>
      <w:r w:rsidRPr="00753C44">
        <w:rPr>
          <w:szCs w:val="20"/>
        </w:rPr>
        <w:fldChar w:fldCharType="end"/>
      </w:r>
      <w:r>
        <w:rPr>
          <w:szCs w:val="20"/>
        </w:rPr>
        <w:t xml:space="preserve"> Yes</w:t>
      </w:r>
    </w:p>
    <w:p w:rsidR="00A6491A" w:rsidRPr="00753C44" w:rsidRDefault="00A6491A" w:rsidP="001B7CF3">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50F6F">
        <w:rPr>
          <w:szCs w:val="20"/>
        </w:rPr>
      </w:r>
      <w:r w:rsidR="00750F6F">
        <w:rPr>
          <w:szCs w:val="20"/>
        </w:rPr>
        <w:fldChar w:fldCharType="separate"/>
      </w:r>
      <w:r w:rsidRPr="00753C44">
        <w:rPr>
          <w:szCs w:val="20"/>
        </w:rPr>
        <w:fldChar w:fldCharType="end"/>
      </w:r>
      <w:r>
        <w:rPr>
          <w:szCs w:val="20"/>
        </w:rPr>
        <w:t xml:space="preserve"> No</w:t>
      </w:r>
      <w:r w:rsidRPr="00753C44">
        <w:rPr>
          <w:szCs w:val="20"/>
        </w:rPr>
        <w:t xml:space="preserve">  </w:t>
      </w:r>
    </w:p>
    <w:p w:rsidR="00E04FB3" w:rsidRDefault="00E04FB3" w:rsidP="001B7CF3">
      <w:pPr>
        <w:spacing w:before="0"/>
        <w:ind w:left="426"/>
        <w:rPr>
          <w:b/>
          <w:szCs w:val="20"/>
        </w:rPr>
      </w:pPr>
      <w:r w:rsidRPr="00154B00">
        <w:rPr>
          <w:b/>
          <w:szCs w:val="20"/>
        </w:rPr>
        <w:br w:type="page"/>
      </w:r>
    </w:p>
    <w:p w:rsidR="00D57F88" w:rsidRPr="00C776B1" w:rsidRDefault="00730C04" w:rsidP="001B7CF3">
      <w:pPr>
        <w:pStyle w:val="Heading1"/>
        <w:spacing w:after="120" w:line="240" w:lineRule="auto"/>
      </w:pPr>
      <w:r>
        <w:lastRenderedPageBreak/>
        <w:t>PART 2</w:t>
      </w:r>
      <w:r w:rsidR="00F93784">
        <w:t xml:space="preserve"> – </w:t>
      </w:r>
      <w:r w:rsidR="00E04FB3" w:rsidRPr="00C776B1">
        <w:t>INFORMATION ABOUT THE PROPOSED MEDICAL SERVICE</w:t>
      </w:r>
    </w:p>
    <w:p w:rsidR="000B3CD0" w:rsidRDefault="000B3CD0" w:rsidP="001B7CF3">
      <w:pPr>
        <w:pStyle w:val="Heading2"/>
        <w:spacing w:before="0"/>
      </w:pPr>
      <w:r w:rsidRPr="00154B00">
        <w:t>Application title</w:t>
      </w:r>
      <w:r w:rsidR="00A8732C">
        <w:t xml:space="preserve"> </w:t>
      </w:r>
    </w:p>
    <w:p w:rsidR="009056C5" w:rsidRPr="009056C5" w:rsidRDefault="00525055" w:rsidP="001B7CF3">
      <w:pPr>
        <w:spacing w:before="0"/>
        <w:ind w:left="284"/>
      </w:pPr>
      <w:r w:rsidRPr="00525055">
        <w:t>Non-invasive prenatal testing for common trisomies (21, 18 and 13)</w:t>
      </w:r>
    </w:p>
    <w:p w:rsidR="009B4E1E" w:rsidRDefault="009B4E1E" w:rsidP="001B7CF3">
      <w:pPr>
        <w:pStyle w:val="Heading2"/>
        <w:spacing w:before="0"/>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525055" w:rsidRDefault="00525055" w:rsidP="001B7CF3">
      <w:pPr>
        <w:spacing w:before="0"/>
        <w:ind w:left="284"/>
      </w:pPr>
      <w:r>
        <w:t>Trisomy 21 (Down syndrome) is a condition that occurs when an extra chromosome 21 originates in the development of either the sperm or the egg, and is the most frequently occurring clinically significant genetic condition in newborns.  It can cause delays in physical and intellectual development.  Prenatal testing for Down syndrome is the standard of care, and most women undergo some form of testing.  Down syndrome occurs in approximately 1/300 pregnancies and 1/550 newborns.</w:t>
      </w:r>
    </w:p>
    <w:p w:rsidR="00525055" w:rsidRDefault="00525055" w:rsidP="001B7CF3">
      <w:pPr>
        <w:spacing w:before="0"/>
        <w:ind w:left="284"/>
      </w:pPr>
      <w:r>
        <w:t xml:space="preserve">Trisomy 18 (Edwards syndrome) is due to an extra copy of chromosome 18.  It is associated with a high rate of miscarriage.  Infants born with </w:t>
      </w:r>
      <w:proofErr w:type="gramStart"/>
      <w:r>
        <w:t>Edwards</w:t>
      </w:r>
      <w:proofErr w:type="gramEnd"/>
      <w:r>
        <w:t xml:space="preserve"> syndrome may have various medical conditions and a shortened lifespan.  Edwards syndrome occurs in approximately 1/1,100 pregnancies and 1/5,500 newborns.</w:t>
      </w:r>
    </w:p>
    <w:p w:rsidR="00525055" w:rsidRDefault="00525055" w:rsidP="001B7CF3">
      <w:pPr>
        <w:spacing w:before="0"/>
        <w:ind w:left="284"/>
      </w:pPr>
      <w:r>
        <w:t>Trisomy 13 (</w:t>
      </w:r>
      <w:proofErr w:type="spellStart"/>
      <w:r>
        <w:t>Patau</w:t>
      </w:r>
      <w:proofErr w:type="spellEnd"/>
      <w:r>
        <w:t xml:space="preserve"> syndrome) is due to an extra chromosome 13 and is also associated with a high rate of miscarriage and various abnormalities in surviving </w:t>
      </w:r>
      <w:proofErr w:type="spellStart"/>
      <w:r>
        <w:t>fetuses</w:t>
      </w:r>
      <w:proofErr w:type="spellEnd"/>
      <w:r>
        <w:t>.  Expected lifespan of infants with trisomy 13 is extremely reduced. Trisomy 13 occurs in approximately 1/3,000 pregnancies and 1/10,000 newborns.</w:t>
      </w:r>
    </w:p>
    <w:p w:rsidR="002C3345" w:rsidRPr="009056C5" w:rsidRDefault="00525055" w:rsidP="001B7CF3">
      <w:pPr>
        <w:spacing w:before="0"/>
        <w:ind w:left="284"/>
      </w:pPr>
      <w:r>
        <w:t>References: www.betterhealth.vic.gov.au/health/conditionsandtreatments/trisomy-disorders, brochures.mater.org.au/brochures/mater-mothers-hospital</w:t>
      </w:r>
    </w:p>
    <w:p w:rsidR="000955E7" w:rsidRDefault="000955E7" w:rsidP="001B7CF3">
      <w:pPr>
        <w:pStyle w:val="Heading2"/>
        <w:spacing w:before="0"/>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CB12EC" w:rsidRPr="00CB12EC" w:rsidRDefault="00525055" w:rsidP="001B7CF3">
      <w:pPr>
        <w:spacing w:before="0"/>
        <w:ind w:left="284"/>
      </w:pPr>
      <w:r w:rsidRPr="00525055">
        <w:t xml:space="preserve">Non-Invasive Prenatal Testing (NIPT) that assesses the risk of </w:t>
      </w:r>
      <w:proofErr w:type="spellStart"/>
      <w:r w:rsidRPr="00525055">
        <w:t>fetal</w:t>
      </w:r>
      <w:proofErr w:type="spellEnd"/>
      <w:r w:rsidRPr="00525055">
        <w:t xml:space="preserve"> aneuploidy (specifically trisomies 21, 18, and 13) using an assay of cell-free DNA (</w:t>
      </w:r>
      <w:proofErr w:type="spellStart"/>
      <w:r w:rsidRPr="00525055">
        <w:t>cfDNA</w:t>
      </w:r>
      <w:proofErr w:type="spellEnd"/>
      <w:r w:rsidRPr="00525055">
        <w:t xml:space="preserve">) in maternal plasma which documents 1) the presence of sufficient </w:t>
      </w:r>
      <w:proofErr w:type="spellStart"/>
      <w:r w:rsidRPr="00525055">
        <w:t>cfDNA</w:t>
      </w:r>
      <w:proofErr w:type="spellEnd"/>
      <w:r w:rsidRPr="00525055">
        <w:t xml:space="preserve"> from the </w:t>
      </w:r>
      <w:proofErr w:type="spellStart"/>
      <w:r w:rsidRPr="00525055">
        <w:t>fetus</w:t>
      </w:r>
      <w:proofErr w:type="spellEnd"/>
      <w:r w:rsidRPr="00525055">
        <w:t xml:space="preserve"> to do an analysis, and 2) the likelihood of </w:t>
      </w:r>
      <w:proofErr w:type="spellStart"/>
      <w:r w:rsidRPr="00525055">
        <w:t>fetal</w:t>
      </w:r>
      <w:proofErr w:type="spellEnd"/>
      <w:r w:rsidRPr="00525055">
        <w:t xml:space="preserve"> aneuploidy.  The measurement, reporting and incorporation of </w:t>
      </w:r>
      <w:proofErr w:type="spellStart"/>
      <w:r w:rsidRPr="00525055">
        <w:t>fetal</w:t>
      </w:r>
      <w:proofErr w:type="spellEnd"/>
      <w:r w:rsidRPr="00525055">
        <w:t xml:space="preserve"> fraction into the final probability score </w:t>
      </w:r>
      <w:proofErr w:type="gramStart"/>
      <w:r w:rsidRPr="00525055">
        <w:t>is</w:t>
      </w:r>
      <w:proofErr w:type="gramEnd"/>
      <w:r w:rsidRPr="00525055">
        <w:t xml:space="preserve"> a quality control metric underlying the testing.</w:t>
      </w:r>
    </w:p>
    <w:p w:rsidR="00D11EB1" w:rsidRPr="0011036E" w:rsidRDefault="00730C04" w:rsidP="001B7CF3">
      <w:pPr>
        <w:pStyle w:val="Heading2"/>
        <w:spacing w:before="0"/>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525055" w:rsidP="001B7CF3">
      <w:pPr>
        <w:spacing w:before="0"/>
        <w:ind w:left="284"/>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6B6390">
        <w:rPr>
          <w:szCs w:val="20"/>
        </w:rPr>
        <w:t xml:space="preserve"> Yes</w:t>
      </w:r>
    </w:p>
    <w:p w:rsidR="00753C44" w:rsidRPr="00753C44" w:rsidRDefault="006B6390" w:rsidP="001B7CF3">
      <w:pPr>
        <w:spacing w:before="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50F6F">
        <w:rPr>
          <w:szCs w:val="20"/>
        </w:rPr>
      </w:r>
      <w:r w:rsidR="00750F6F">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1B7CF3">
      <w:pPr>
        <w:pStyle w:val="Heading2"/>
        <w:numPr>
          <w:ilvl w:val="0"/>
          <w:numId w:val="24"/>
        </w:numPr>
        <w:spacing w:befor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1B7CF3">
      <w:pPr>
        <w:spacing w:before="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50F6F">
        <w:rPr>
          <w:szCs w:val="20"/>
        </w:rPr>
      </w:r>
      <w:r w:rsidR="00750F6F">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Pr="00753C44" w:rsidRDefault="00525055" w:rsidP="001B7CF3">
      <w:pPr>
        <w:spacing w:before="0"/>
        <w:ind w:left="284"/>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rsidR="000B3CD0" w:rsidRPr="0011036E" w:rsidRDefault="000B3CD0" w:rsidP="001B7CF3">
      <w:pPr>
        <w:pStyle w:val="Heading2"/>
        <w:numPr>
          <w:ilvl w:val="0"/>
          <w:numId w:val="24"/>
        </w:numPr>
        <w:spacing w:befor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CB12EC" w:rsidRDefault="003D795C" w:rsidP="001B7CF3">
      <w:pPr>
        <w:spacing w:before="0"/>
        <w:ind w:left="284"/>
      </w:pPr>
      <w:r>
        <w:fldChar w:fldCharType="begin">
          <w:ffData>
            <w:name w:val=""/>
            <w:enabled/>
            <w:calcOnExit w:val="0"/>
            <w:textInput>
              <w:default w:val="Insert relevant MBS item numbers here"/>
            </w:textInput>
          </w:ffData>
        </w:fldChar>
      </w:r>
      <w:r>
        <w:instrText xml:space="preserve"> FORMTEXT </w:instrText>
      </w:r>
      <w:r>
        <w:fldChar w:fldCharType="separate"/>
      </w:r>
      <w:r>
        <w:rPr>
          <w:noProof/>
        </w:rPr>
        <w:t>Insert relevant MBS item numbers here</w:t>
      </w:r>
      <w:r>
        <w:fldChar w:fldCharType="end"/>
      </w:r>
    </w:p>
    <w:p w:rsidR="006C0843" w:rsidRPr="0011036E" w:rsidRDefault="006C0843" w:rsidP="001B7CF3">
      <w:pPr>
        <w:pStyle w:val="Heading2"/>
        <w:numPr>
          <w:ilvl w:val="0"/>
          <w:numId w:val="24"/>
        </w:numPr>
        <w:spacing w:before="0"/>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2A270B" w:rsidP="001B7CF3">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50F6F">
        <w:rPr>
          <w:b/>
          <w:szCs w:val="20"/>
        </w:rPr>
      </w:r>
      <w:r w:rsidR="00750F6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1B7CF3">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50F6F">
        <w:rPr>
          <w:b/>
          <w:szCs w:val="20"/>
        </w:rPr>
      </w:r>
      <w:r w:rsidR="00750F6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1B7CF3">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50F6F">
        <w:rPr>
          <w:b/>
          <w:szCs w:val="20"/>
        </w:rPr>
      </w:r>
      <w:r w:rsidR="00750F6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1B7CF3">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50F6F">
        <w:rPr>
          <w:b/>
          <w:szCs w:val="20"/>
        </w:rPr>
      </w:r>
      <w:r w:rsidR="00750F6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1B7CF3">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50F6F">
        <w:rPr>
          <w:b/>
          <w:szCs w:val="20"/>
        </w:rPr>
      </w:r>
      <w:r w:rsidR="00750F6F">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2A270B" w:rsidP="001B7CF3">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50F6F">
        <w:rPr>
          <w:b/>
          <w:szCs w:val="20"/>
        </w:rPr>
      </w:r>
      <w:r w:rsidR="00750F6F">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rsidR="002A270B" w:rsidRPr="004A263B" w:rsidRDefault="002A270B" w:rsidP="001B7CF3">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50F6F">
        <w:rPr>
          <w:b/>
          <w:szCs w:val="20"/>
        </w:rPr>
      </w:r>
      <w:r w:rsidR="00750F6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1B7CF3">
      <w:pPr>
        <w:pStyle w:val="ListParagraph"/>
        <w:numPr>
          <w:ilvl w:val="0"/>
          <w:numId w:val="34"/>
        </w:numPr>
        <w:spacing w:before="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750F6F">
        <w:rPr>
          <w:b/>
          <w:szCs w:val="20"/>
        </w:rPr>
      </w:r>
      <w:r w:rsidR="00750F6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1B7CF3">
      <w:pPr>
        <w:pStyle w:val="ListParagraph"/>
        <w:numPr>
          <w:ilvl w:val="0"/>
          <w:numId w:val="34"/>
        </w:numPr>
        <w:spacing w:before="0"/>
        <w:ind w:left="851" w:hanging="425"/>
        <w:rPr>
          <w:rStyle w:val="Strong"/>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750F6F">
        <w:rPr>
          <w:b/>
          <w:szCs w:val="20"/>
        </w:rPr>
      </w:r>
      <w:r w:rsidR="00750F6F">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2A270B" w:rsidRPr="00CB12EC" w:rsidRDefault="00A6594E" w:rsidP="001B7CF3">
      <w:pPr>
        <w:spacing w:before="0"/>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rsidR="00534C5F" w:rsidRPr="007E39E4" w:rsidRDefault="000770BA" w:rsidP="001B7CF3">
      <w:pPr>
        <w:pStyle w:val="Heading2"/>
        <w:numPr>
          <w:ilvl w:val="0"/>
          <w:numId w:val="24"/>
        </w:numPr>
        <w:spacing w:before="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1B7CF3">
      <w:pPr>
        <w:pStyle w:val="ListParagraph"/>
        <w:numPr>
          <w:ilvl w:val="0"/>
          <w:numId w:val="35"/>
        </w:numPr>
        <w:spacing w:before="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750F6F">
        <w:rPr>
          <w:b/>
          <w:szCs w:val="20"/>
        </w:rPr>
      </w:r>
      <w:r w:rsidR="00750F6F">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525055" w:rsidP="001B7CF3">
      <w:pPr>
        <w:pStyle w:val="ListParagraph"/>
        <w:numPr>
          <w:ilvl w:val="0"/>
          <w:numId w:val="35"/>
        </w:numPr>
        <w:spacing w:before="0"/>
        <w:ind w:left="851" w:hanging="425"/>
        <w:rPr>
          <w:rStyle w:val="Strong"/>
          <w:b w:val="0"/>
        </w:rPr>
      </w:pPr>
      <w:r>
        <w:rPr>
          <w:szCs w:val="20"/>
        </w:rPr>
        <w:fldChar w:fldCharType="begin">
          <w:ffData>
            <w:name w:val="Check2"/>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6B6390" w:rsidP="001B7CF3">
      <w:pPr>
        <w:pStyle w:val="ListParagraph"/>
        <w:numPr>
          <w:ilvl w:val="0"/>
          <w:numId w:val="35"/>
        </w:numPr>
        <w:spacing w:before="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750F6F">
        <w:rPr>
          <w:b/>
          <w:szCs w:val="20"/>
        </w:rPr>
      </w:r>
      <w:r w:rsidR="00750F6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1B7CF3">
      <w:pPr>
        <w:pStyle w:val="ListParagraph"/>
        <w:numPr>
          <w:ilvl w:val="0"/>
          <w:numId w:val="35"/>
        </w:numPr>
        <w:spacing w:before="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750F6F">
        <w:rPr>
          <w:b/>
          <w:szCs w:val="20"/>
        </w:rPr>
      </w:r>
      <w:r w:rsidR="00750F6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3027BB" w:rsidRPr="007E39E4" w:rsidRDefault="00F30C22" w:rsidP="001B7CF3">
      <w:pPr>
        <w:pStyle w:val="Heading2"/>
        <w:numPr>
          <w:ilvl w:val="0"/>
          <w:numId w:val="24"/>
        </w:numPr>
        <w:spacing w:before="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0A5B32" w:rsidP="001B7CF3">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sidRPr="000A5B32">
        <w:rPr>
          <w:szCs w:val="20"/>
        </w:rPr>
        <w:t xml:space="preserve"> Yes</w:t>
      </w:r>
    </w:p>
    <w:p w:rsidR="00626365" w:rsidRPr="00626365" w:rsidRDefault="00525055" w:rsidP="001B7CF3">
      <w:pPr>
        <w:spacing w:before="0"/>
        <w:ind w:left="284"/>
        <w:rPr>
          <w:rStyle w:val="Strong"/>
          <w:rFonts w:asciiTheme="minorHAnsi" w:eastAsiaTheme="minorHAnsi" w:hAnsiTheme="minorHAnsi" w:cstheme="minorBidi"/>
          <w:b w:val="0"/>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0A5B32" w:rsidRPr="000A5B32">
        <w:rPr>
          <w:szCs w:val="20"/>
        </w:rPr>
        <w:t xml:space="preserve"> No</w:t>
      </w:r>
    </w:p>
    <w:p w:rsidR="003027BB" w:rsidRPr="007E39E4" w:rsidRDefault="003027BB" w:rsidP="001B7CF3">
      <w:pPr>
        <w:pStyle w:val="Heading2"/>
        <w:numPr>
          <w:ilvl w:val="0"/>
          <w:numId w:val="24"/>
        </w:numPr>
        <w:spacing w:before="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rsidR="000A5B32" w:rsidRPr="00855944" w:rsidRDefault="00A6594E" w:rsidP="001B7CF3">
      <w:pPr>
        <w:spacing w:before="0"/>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rsidR="000B3CD0" w:rsidRDefault="000B3CD0" w:rsidP="001B7CF3">
      <w:pPr>
        <w:pStyle w:val="Heading2"/>
        <w:spacing w:before="0"/>
      </w:pPr>
      <w:r w:rsidRPr="00154B00">
        <w:t xml:space="preserve">What is the type of </w:t>
      </w:r>
      <w:proofErr w:type="gramStart"/>
      <w:r w:rsidRPr="00154B00">
        <w:t>service:</w:t>
      </w:r>
      <w:proofErr w:type="gramEnd"/>
    </w:p>
    <w:p w:rsidR="00A6594E" w:rsidRDefault="00A6594E" w:rsidP="001B7CF3">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50F6F">
        <w:rPr>
          <w:b/>
          <w:szCs w:val="20"/>
        </w:rPr>
      </w:r>
      <w:r w:rsidR="00750F6F">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525055" w:rsidP="001B7CF3">
      <w:pPr>
        <w:spacing w:before="0"/>
        <w:ind w:left="284"/>
      </w:pPr>
      <w:r>
        <w:rPr>
          <w:szCs w:val="20"/>
        </w:rPr>
        <w:fldChar w:fldCharType="begin">
          <w:ffData>
            <w:name w:val="Check2"/>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A6594E" w:rsidRPr="0027105F">
        <w:rPr>
          <w:b/>
          <w:szCs w:val="20"/>
        </w:rPr>
        <w:t xml:space="preserve"> </w:t>
      </w:r>
      <w:r w:rsidR="00A6594E">
        <w:t>Investigative medical service</w:t>
      </w:r>
    </w:p>
    <w:p w:rsidR="00A6594E" w:rsidRDefault="00A6594E" w:rsidP="001B7CF3">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50F6F">
        <w:rPr>
          <w:b/>
          <w:szCs w:val="20"/>
        </w:rPr>
      </w:r>
      <w:r w:rsidR="00750F6F">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1B7CF3">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50F6F">
        <w:rPr>
          <w:b/>
          <w:szCs w:val="20"/>
        </w:rPr>
      </w:r>
      <w:r w:rsidR="00750F6F">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1B7CF3">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50F6F">
        <w:rPr>
          <w:b/>
          <w:szCs w:val="20"/>
        </w:rPr>
      </w:r>
      <w:r w:rsidR="00750F6F">
        <w:rPr>
          <w:b/>
          <w:szCs w:val="20"/>
        </w:rPr>
        <w:fldChar w:fldCharType="separate"/>
      </w:r>
      <w:r w:rsidRPr="0027105F">
        <w:rPr>
          <w:b/>
          <w:szCs w:val="20"/>
        </w:rPr>
        <w:fldChar w:fldCharType="end"/>
      </w:r>
      <w:r w:rsidRPr="0027105F">
        <w:rPr>
          <w:b/>
          <w:szCs w:val="20"/>
        </w:rPr>
        <w:t xml:space="preserve"> </w:t>
      </w:r>
      <w:r>
        <w:t>Allied health service</w:t>
      </w:r>
    </w:p>
    <w:p w:rsidR="00A6594E" w:rsidRDefault="00A6594E" w:rsidP="001B7CF3">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50F6F">
        <w:rPr>
          <w:b/>
          <w:szCs w:val="20"/>
        </w:rPr>
      </w:r>
      <w:r w:rsidR="00750F6F">
        <w:rPr>
          <w:b/>
          <w:szCs w:val="20"/>
        </w:rPr>
        <w:fldChar w:fldCharType="separate"/>
      </w:r>
      <w:r w:rsidRPr="0027105F">
        <w:rPr>
          <w:b/>
          <w:szCs w:val="20"/>
        </w:rPr>
        <w:fldChar w:fldCharType="end"/>
      </w:r>
      <w:r w:rsidRPr="0027105F">
        <w:rPr>
          <w:b/>
          <w:szCs w:val="20"/>
        </w:rPr>
        <w:t xml:space="preserve"> </w:t>
      </w:r>
      <w:r>
        <w:t>Co-dependent technology</w:t>
      </w:r>
    </w:p>
    <w:p w:rsidR="00124B00" w:rsidRPr="00A6594E" w:rsidRDefault="00A6594E" w:rsidP="006B4B5B">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50F6F">
        <w:rPr>
          <w:b/>
          <w:szCs w:val="20"/>
        </w:rPr>
      </w:r>
      <w:r w:rsidR="00750F6F">
        <w:rPr>
          <w:b/>
          <w:szCs w:val="20"/>
        </w:rPr>
        <w:fldChar w:fldCharType="separate"/>
      </w:r>
      <w:r w:rsidRPr="0027105F">
        <w:rPr>
          <w:b/>
          <w:szCs w:val="20"/>
        </w:rPr>
        <w:fldChar w:fldCharType="end"/>
      </w:r>
      <w:r w:rsidRPr="0027105F">
        <w:rPr>
          <w:b/>
          <w:szCs w:val="20"/>
        </w:rPr>
        <w:t xml:space="preserve"> </w:t>
      </w:r>
      <w:r w:rsidR="006B4B5B">
        <w:t>Hybrid health technology</w:t>
      </w:r>
    </w:p>
    <w:p w:rsidR="0054594B" w:rsidRDefault="0054594B" w:rsidP="001B7CF3">
      <w:pPr>
        <w:pStyle w:val="Heading2"/>
        <w:spacing w:before="0"/>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1B7CF3">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750F6F">
        <w:rPr>
          <w:b/>
          <w:szCs w:val="20"/>
        </w:rPr>
      </w:r>
      <w:r w:rsidR="00750F6F">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A6594E" w:rsidP="001B7CF3">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750F6F">
        <w:rPr>
          <w:b/>
          <w:szCs w:val="20"/>
        </w:rPr>
      </w:r>
      <w:r w:rsidR="00750F6F">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rsidR="00A6594E" w:rsidRDefault="00525055" w:rsidP="001B7CF3">
      <w:pPr>
        <w:pStyle w:val="ListParagraph"/>
        <w:numPr>
          <w:ilvl w:val="0"/>
          <w:numId w:val="36"/>
        </w:numPr>
        <w:spacing w:before="0"/>
        <w:ind w:left="851" w:hanging="425"/>
      </w:pPr>
      <w:r>
        <w:rPr>
          <w:szCs w:val="20"/>
        </w:rPr>
        <w:fldChar w:fldCharType="begin">
          <w:ffData>
            <w:name w:val="Check2"/>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A6594E" w:rsidRPr="00AF4466">
        <w:rPr>
          <w:b/>
          <w:szCs w:val="20"/>
        </w:rPr>
        <w:t xml:space="preserve"> </w:t>
      </w:r>
      <w:r w:rsidR="00A6594E">
        <w:t>Provides information about prognosis</w:t>
      </w:r>
    </w:p>
    <w:p w:rsidR="00A6594E" w:rsidRDefault="00A6594E" w:rsidP="001B7CF3">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750F6F">
        <w:rPr>
          <w:b/>
          <w:szCs w:val="20"/>
        </w:rPr>
      </w:r>
      <w:r w:rsidR="00750F6F">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rsidR="00F63A62" w:rsidRDefault="00A6594E" w:rsidP="001B7CF3">
      <w:pPr>
        <w:pStyle w:val="ListParagraph"/>
        <w:numPr>
          <w:ilvl w:val="0"/>
          <w:numId w:val="36"/>
        </w:numPr>
        <w:spacing w:before="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750F6F">
        <w:rPr>
          <w:b/>
          <w:szCs w:val="20"/>
        </w:rPr>
      </w:r>
      <w:r w:rsidR="00750F6F">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2A40AE" w:rsidRDefault="00CB3DAB" w:rsidP="001B7CF3">
      <w:pPr>
        <w:pStyle w:val="ListParagraph"/>
        <w:numPr>
          <w:ilvl w:val="0"/>
          <w:numId w:val="36"/>
        </w:numPr>
        <w:spacing w:before="0"/>
        <w:ind w:left="851" w:hanging="425"/>
      </w:pPr>
      <w:r>
        <w:rPr>
          <w:b/>
          <w:szCs w:val="20"/>
        </w:rPr>
        <w:fldChar w:fldCharType="begin">
          <w:ffData>
            <w:name w:val=""/>
            <w:enabled/>
            <w:calcOnExit w:val="0"/>
            <w:checkBox>
              <w:sizeAuto/>
              <w:default w:val="0"/>
            </w:checkBox>
          </w:ffData>
        </w:fldChar>
      </w:r>
      <w:r>
        <w:rPr>
          <w:b/>
          <w:szCs w:val="20"/>
        </w:rPr>
        <w:instrText xml:space="preserve"> FORMCHECKBOX </w:instrText>
      </w:r>
      <w:r w:rsidR="00750F6F">
        <w:rPr>
          <w:b/>
          <w:szCs w:val="20"/>
        </w:rPr>
      </w:r>
      <w:r w:rsidR="00750F6F">
        <w:rPr>
          <w:b/>
          <w:szCs w:val="20"/>
        </w:rPr>
        <w:fldChar w:fldCharType="separate"/>
      </w:r>
      <w:r>
        <w:rPr>
          <w:b/>
          <w:szCs w:val="20"/>
        </w:rPr>
        <w:fldChar w:fldCharType="end"/>
      </w:r>
      <w:r w:rsidR="00F63A62" w:rsidRPr="00AF4466">
        <w:rPr>
          <w:b/>
          <w:szCs w:val="20"/>
        </w:rPr>
        <w:t xml:space="preserve"> </w:t>
      </w:r>
      <w:r w:rsidR="00F63A62">
        <w:t xml:space="preserve">Is for genetic testing </w:t>
      </w:r>
      <w:r w:rsidR="0050517E">
        <w:t>for</w:t>
      </w:r>
      <w:r w:rsidR="00F63A62">
        <w:t xml:space="preserve"> heritable mutations </w:t>
      </w:r>
      <w:r w:rsidR="0050517E">
        <w:t>in</w:t>
      </w:r>
      <w:r w:rsidR="00F63A62">
        <w:t xml:space="preserve"> clinically affected individuals and</w:t>
      </w:r>
      <w:r w:rsidR="0050517E">
        <w:t>,</w:t>
      </w:r>
      <w:r w:rsidR="00F63A62">
        <w:t xml:space="preserve"> </w:t>
      </w:r>
      <w:r w:rsidR="0050517E">
        <w:t>when also appropriate,</w:t>
      </w:r>
      <w:r w:rsidR="00F63A62">
        <w:t xml:space="preserve"> </w:t>
      </w:r>
      <w:r w:rsidR="0050517E">
        <w:t xml:space="preserve">in </w:t>
      </w:r>
      <w:r w:rsidR="00F63A62">
        <w:t xml:space="preserve">family members of those individuals who test positive for one or more </w:t>
      </w:r>
      <w:r w:rsidR="0050517E">
        <w:t xml:space="preserve">relevant </w:t>
      </w:r>
      <w:r w:rsidR="00F63A62">
        <w:t>mutations (and thus for which the Clinical Utility Card proforma might apply)</w:t>
      </w:r>
    </w:p>
    <w:p w:rsidR="000B3CD0" w:rsidRDefault="000B3CD0" w:rsidP="001B7CF3">
      <w:pPr>
        <w:pStyle w:val="Heading2"/>
        <w:spacing w:before="0"/>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FE16C1" w:rsidP="001B7CF3">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50F6F">
        <w:rPr>
          <w:b/>
          <w:szCs w:val="20"/>
        </w:rPr>
      </w:r>
      <w:r w:rsidR="00750F6F">
        <w:rPr>
          <w:b/>
          <w:szCs w:val="20"/>
        </w:rPr>
        <w:fldChar w:fldCharType="separate"/>
      </w:r>
      <w:r w:rsidRPr="0027105F">
        <w:rPr>
          <w:b/>
          <w:szCs w:val="20"/>
        </w:rPr>
        <w:fldChar w:fldCharType="end"/>
      </w:r>
      <w:r w:rsidRPr="0027105F">
        <w:rPr>
          <w:b/>
          <w:szCs w:val="20"/>
        </w:rPr>
        <w:t xml:space="preserve"> </w:t>
      </w:r>
      <w:r>
        <w:t>Pharmaceutical / Biological</w:t>
      </w:r>
    </w:p>
    <w:p w:rsidR="00FE16C1" w:rsidRDefault="00FE16C1" w:rsidP="001B7CF3">
      <w:pPr>
        <w:spacing w:before="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50F6F">
        <w:rPr>
          <w:b/>
          <w:szCs w:val="20"/>
        </w:rPr>
      </w:r>
      <w:r w:rsidR="00750F6F">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525055" w:rsidP="001B7CF3">
      <w:pPr>
        <w:spacing w:before="0"/>
        <w:ind w:left="284"/>
      </w:pPr>
      <w:r>
        <w:rPr>
          <w:szCs w:val="20"/>
        </w:rPr>
        <w:fldChar w:fldCharType="begin">
          <w:ffData>
            <w:name w:val="Check2"/>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FE16C1" w:rsidRPr="0027105F">
        <w:rPr>
          <w:b/>
          <w:szCs w:val="20"/>
        </w:rPr>
        <w:t xml:space="preserve"> </w:t>
      </w:r>
      <w:r w:rsidR="00FE16C1">
        <w:t>No</w:t>
      </w:r>
    </w:p>
    <w:p w:rsidR="000E5439" w:rsidRPr="001E6958" w:rsidRDefault="00530204" w:rsidP="001B7CF3">
      <w:pPr>
        <w:pStyle w:val="Heading2"/>
        <w:spacing w:before="0"/>
      </w:pPr>
      <w:r>
        <w:t xml:space="preserve">(a)  </w:t>
      </w:r>
      <w:r w:rsidR="000E5439" w:rsidRPr="001E6958">
        <w:t>If the proposed service has a pharmaceutical component to it, is it already covered under an existing Pharmaceutical Benefits Scheme (PBS) listing?</w:t>
      </w:r>
    </w:p>
    <w:p w:rsidR="00FE16C1" w:rsidRDefault="00FE16C1" w:rsidP="001B7CF3">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sidRPr="000A5B32">
        <w:rPr>
          <w:szCs w:val="20"/>
        </w:rPr>
        <w:t xml:space="preserve"> Yes</w:t>
      </w:r>
    </w:p>
    <w:p w:rsidR="00FE16C1" w:rsidRPr="00FE16C1" w:rsidRDefault="00FE16C1" w:rsidP="001B7CF3">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No  </w:t>
      </w:r>
    </w:p>
    <w:p w:rsidR="001B7CF3" w:rsidRDefault="001B7CF3">
      <w:pPr>
        <w:spacing w:before="0" w:after="200" w:line="276" w:lineRule="auto"/>
        <w:rPr>
          <w:b/>
          <w:szCs w:val="20"/>
        </w:rPr>
      </w:pPr>
      <w:r>
        <w:br w:type="page"/>
      </w:r>
    </w:p>
    <w:p w:rsidR="00EC127A" w:rsidRPr="001E6958" w:rsidRDefault="000E5439" w:rsidP="001B7CF3">
      <w:pPr>
        <w:pStyle w:val="Heading2"/>
        <w:numPr>
          <w:ilvl w:val="0"/>
          <w:numId w:val="25"/>
        </w:numPr>
        <w:spacing w:before="0"/>
      </w:pPr>
      <w:r w:rsidRPr="001E6958">
        <w:lastRenderedPageBreak/>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7E39E4" w:rsidRDefault="007E39E4" w:rsidP="001B7CF3">
      <w:pPr>
        <w:spacing w:before="0"/>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rsidR="00411735" w:rsidRPr="001E6958" w:rsidRDefault="00411735" w:rsidP="001B7CF3">
      <w:pPr>
        <w:pStyle w:val="Heading2"/>
        <w:numPr>
          <w:ilvl w:val="0"/>
          <w:numId w:val="25"/>
        </w:numPr>
        <w:spacing w:before="0"/>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7E39E4" w:rsidRDefault="007E39E4" w:rsidP="001B7CF3">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7E39E4" w:rsidP="001B7CF3">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sidR="001E6919">
        <w:rPr>
          <w:szCs w:val="20"/>
        </w:rPr>
        <w:t xml:space="preserve"> No</w:t>
      </w:r>
    </w:p>
    <w:p w:rsidR="001E6919" w:rsidRPr="007E39E4" w:rsidRDefault="001E6919" w:rsidP="001B7CF3">
      <w:pPr>
        <w:spacing w:before="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rsidR="000E5439" w:rsidRDefault="000E5439" w:rsidP="001B7CF3">
      <w:pPr>
        <w:pStyle w:val="Heading2"/>
        <w:numPr>
          <w:ilvl w:val="0"/>
          <w:numId w:val="25"/>
        </w:numPr>
        <w:spacing w:before="0"/>
      </w:pPr>
      <w:r w:rsidRPr="007E39E4">
        <w:t>If you are seeking both MBS and PBS listing</w:t>
      </w:r>
      <w:r w:rsidR="00B75965" w:rsidRPr="007E39E4">
        <w:t>, what is the trade name and generic name of the pharmaceutical?</w:t>
      </w:r>
    </w:p>
    <w:p w:rsidR="001E6958" w:rsidRDefault="001E6958" w:rsidP="001B7CF3">
      <w:pPr>
        <w:spacing w:before="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rsidR="001E6958" w:rsidRPr="001E6958" w:rsidRDefault="001E6958" w:rsidP="001B7CF3">
      <w:pPr>
        <w:spacing w:before="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rsidR="00B75965" w:rsidRDefault="00530204" w:rsidP="001B7CF3">
      <w:pPr>
        <w:pStyle w:val="Heading2"/>
        <w:spacing w:before="0"/>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rsidR="001E6958" w:rsidRDefault="001E6958" w:rsidP="001B7CF3">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sidRPr="000A5B32">
        <w:rPr>
          <w:szCs w:val="20"/>
        </w:rPr>
        <w:t xml:space="preserve"> Yes</w:t>
      </w:r>
    </w:p>
    <w:p w:rsidR="001E6919" w:rsidRPr="001E6958" w:rsidRDefault="001E6958" w:rsidP="001B7CF3">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No</w:t>
      </w:r>
    </w:p>
    <w:p w:rsidR="00B75965" w:rsidRDefault="00B75965" w:rsidP="001B7CF3">
      <w:pPr>
        <w:pStyle w:val="Heading2"/>
        <w:numPr>
          <w:ilvl w:val="0"/>
          <w:numId w:val="26"/>
        </w:numPr>
        <w:spacing w:before="0"/>
      </w:pPr>
      <w:r w:rsidRPr="001E6958">
        <w:t xml:space="preserve">If yes, </w:t>
      </w:r>
      <w:r w:rsidR="00C73B62" w:rsidRPr="001E6958">
        <w:t xml:space="preserve">please provide the following information (where relevant): </w:t>
      </w:r>
    </w:p>
    <w:p w:rsidR="001E6958" w:rsidRDefault="001E6958" w:rsidP="001B7CF3">
      <w:pPr>
        <w:spacing w:before="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rsidR="001E6958" w:rsidRDefault="001E6958" w:rsidP="001B7CF3">
      <w:pPr>
        <w:spacing w:before="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rsidR="001E6958" w:rsidRDefault="001E6958" w:rsidP="001B7CF3">
      <w:pPr>
        <w:spacing w:before="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rsidR="009939DC" w:rsidRDefault="001E6958" w:rsidP="001B7CF3">
      <w:pPr>
        <w:spacing w:before="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rsidR="00411735" w:rsidRDefault="00411735" w:rsidP="001B7CF3">
      <w:pPr>
        <w:pStyle w:val="Heading2"/>
        <w:numPr>
          <w:ilvl w:val="0"/>
          <w:numId w:val="26"/>
        </w:numPr>
        <w:spacing w:before="0"/>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Default="009939DC" w:rsidP="001B7CF3">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sidRPr="000A5B32">
        <w:rPr>
          <w:szCs w:val="20"/>
        </w:rPr>
        <w:t xml:space="preserve"> Yes</w:t>
      </w:r>
    </w:p>
    <w:p w:rsidR="001E6958" w:rsidRPr="009939DC" w:rsidRDefault="009939DC" w:rsidP="001B7CF3">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No  </w:t>
      </w:r>
    </w:p>
    <w:p w:rsidR="00016B6E" w:rsidRPr="009939DC" w:rsidRDefault="00016B6E" w:rsidP="001B7CF3">
      <w:pPr>
        <w:pStyle w:val="Heading2"/>
        <w:numPr>
          <w:ilvl w:val="0"/>
          <w:numId w:val="26"/>
        </w:numPr>
        <w:spacing w:before="0"/>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Default="009939DC" w:rsidP="001B7CF3">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sidRPr="000A5B32">
        <w:rPr>
          <w:szCs w:val="20"/>
        </w:rPr>
        <w:t xml:space="preserve"> Yes</w:t>
      </w:r>
    </w:p>
    <w:p w:rsidR="009939DC" w:rsidRPr="001E6958" w:rsidRDefault="009939DC" w:rsidP="001B7CF3">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No  </w:t>
      </w:r>
    </w:p>
    <w:p w:rsidR="009939DC" w:rsidRDefault="00016B6E" w:rsidP="001B7CF3">
      <w:pPr>
        <w:pStyle w:val="Heading2"/>
        <w:numPr>
          <w:ilvl w:val="0"/>
          <w:numId w:val="26"/>
        </w:numPr>
        <w:spacing w:before="0"/>
      </w:pPr>
      <w:r w:rsidRPr="009939DC">
        <w:t>If yes, please provide the name(s) of the spon</w:t>
      </w:r>
      <w:r w:rsidR="009939DC">
        <w:t>sor(s) and / or manufacturer(s):</w:t>
      </w:r>
    </w:p>
    <w:p w:rsidR="00016B6E" w:rsidRPr="009939DC" w:rsidRDefault="009939DC" w:rsidP="001B7CF3">
      <w:pPr>
        <w:spacing w:before="0"/>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rsidR="0084657B" w:rsidRPr="009939DC" w:rsidRDefault="00A9062D" w:rsidP="001B7CF3">
      <w:pPr>
        <w:pStyle w:val="Heading2"/>
        <w:spacing w:before="0"/>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525055" w:rsidRDefault="009939DC" w:rsidP="001B7CF3">
      <w:pPr>
        <w:spacing w:before="0"/>
        <w:ind w:left="284"/>
      </w:pPr>
      <w:r>
        <w:t xml:space="preserve">Single use consumables: </w:t>
      </w:r>
    </w:p>
    <w:p w:rsidR="00525055" w:rsidRDefault="00525055" w:rsidP="001B7CF3">
      <w:pPr>
        <w:spacing w:before="0"/>
        <w:ind w:left="284"/>
      </w:pPr>
      <w:r>
        <w:t>NIPT analyses a maternal blood sample drawn by standard phlebotomy as per current combined first trimester screening (FTS).  If the blood draw for the NIPT occurs at the same time as FTS then no additional needles are required.</w:t>
      </w:r>
    </w:p>
    <w:p w:rsidR="00525055" w:rsidRDefault="00525055" w:rsidP="001B7CF3">
      <w:pPr>
        <w:spacing w:before="0"/>
        <w:ind w:left="284"/>
      </w:pPr>
      <w:r>
        <w:t xml:space="preserve">NIPT requires two </w:t>
      </w:r>
      <w:proofErr w:type="spellStart"/>
      <w:r>
        <w:t>cfDNA</w:t>
      </w:r>
      <w:proofErr w:type="spellEnd"/>
      <w:r>
        <w:t xml:space="preserve"> collection tubes.  These are similar to standard blood collection tubes but with a solution to prevent cell lysis (breakdown), thereby improving the yield of </w:t>
      </w:r>
      <w:proofErr w:type="spellStart"/>
      <w:r>
        <w:t>fetal</w:t>
      </w:r>
      <w:proofErr w:type="spellEnd"/>
      <w:r>
        <w:t xml:space="preserve"> </w:t>
      </w:r>
      <w:proofErr w:type="spellStart"/>
      <w:r>
        <w:t>cfDNA</w:t>
      </w:r>
      <w:proofErr w:type="spellEnd"/>
      <w:r>
        <w:t>.</w:t>
      </w:r>
    </w:p>
    <w:p w:rsidR="00F301F1" w:rsidRPr="00855944" w:rsidRDefault="009939DC" w:rsidP="001B7CF3">
      <w:pPr>
        <w:spacing w:before="0"/>
        <w:ind w:left="284"/>
      </w:pPr>
      <w:r>
        <w:t>Multi-use consumables:</w:t>
      </w:r>
      <w:r w:rsidRPr="009939DC">
        <w:t xml:space="preserve"> </w:t>
      </w:r>
      <w:r>
        <w:fldChar w:fldCharType="begin">
          <w:ffData>
            <w:name w:val=""/>
            <w:enabled/>
            <w:calcOnExit w:val="0"/>
            <w:textInput>
              <w:default w:val="Insert description of multi use consumables here"/>
            </w:textInput>
          </w:ffData>
        </w:fldChar>
      </w:r>
      <w:r>
        <w:instrText xml:space="preserve"> FORMTEXT </w:instrText>
      </w:r>
      <w:r>
        <w:fldChar w:fldCharType="separate"/>
      </w:r>
      <w:r>
        <w:rPr>
          <w:noProof/>
        </w:rPr>
        <w:t>Insert description of multi use consumables here</w:t>
      </w:r>
      <w:r>
        <w:fldChar w:fldCharType="end"/>
      </w:r>
      <w:r w:rsidR="00F301F1" w:rsidRPr="00855944">
        <w:br w:type="page"/>
      </w:r>
    </w:p>
    <w:p w:rsidR="00226777" w:rsidRPr="00C776B1" w:rsidRDefault="00530204" w:rsidP="001B7CF3">
      <w:pPr>
        <w:pStyle w:val="Heading1"/>
        <w:spacing w:after="120" w:line="240" w:lineRule="auto"/>
      </w:pPr>
      <w:r>
        <w:lastRenderedPageBreak/>
        <w:t>PART 3</w:t>
      </w:r>
      <w:r w:rsidR="00F93784">
        <w:t xml:space="preserve"> – </w:t>
      </w:r>
      <w:r w:rsidR="00226777" w:rsidRPr="00C776B1">
        <w:t>INFORMATION ABOUT REGULATORY REQUIREMENTS</w:t>
      </w:r>
    </w:p>
    <w:p w:rsidR="001A1ADF" w:rsidRPr="00A6491A" w:rsidRDefault="0011369B" w:rsidP="001B7CF3">
      <w:pPr>
        <w:pStyle w:val="Heading2"/>
        <w:spacing w:before="0"/>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A26343" w:rsidRPr="00A26343" w:rsidRDefault="00A26343" w:rsidP="001B7CF3">
      <w:pPr>
        <w:spacing w:before="0"/>
        <w:ind w:left="284"/>
        <w:rPr>
          <w:szCs w:val="20"/>
        </w:rPr>
      </w:pPr>
      <w:r w:rsidRPr="00A26343">
        <w:rPr>
          <w:szCs w:val="20"/>
        </w:rPr>
        <w:t>Type of therapeutic good</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rsidR="00A26343" w:rsidRPr="00A26343" w:rsidRDefault="00A26343" w:rsidP="001B7CF3">
      <w:pPr>
        <w:spacing w:before="0"/>
        <w:ind w:left="284"/>
        <w:rPr>
          <w:szCs w:val="20"/>
        </w:rPr>
      </w:pPr>
      <w:r w:rsidRPr="00A26343">
        <w:rPr>
          <w:szCs w:val="20"/>
        </w:rPr>
        <w:t>Manufacturer’s name</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rsidR="00A26343" w:rsidRPr="00A26343" w:rsidRDefault="00A26343" w:rsidP="001B7CF3">
      <w:pPr>
        <w:spacing w:before="0"/>
        <w:ind w:left="284"/>
        <w:rPr>
          <w:szCs w:val="20"/>
        </w:rPr>
      </w:pPr>
      <w:r w:rsidRPr="00A26343">
        <w:rPr>
          <w:szCs w:val="20"/>
        </w:rPr>
        <w:t>Sponsor’s name</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rsidR="005E2CE3" w:rsidRPr="00154B00" w:rsidRDefault="005E2CE3" w:rsidP="001B7CF3">
      <w:pPr>
        <w:pStyle w:val="Heading2"/>
        <w:numPr>
          <w:ilvl w:val="0"/>
          <w:numId w:val="27"/>
        </w:numPr>
        <w:spacing w:before="0"/>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615F42" w:rsidP="001B7CF3">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sidRPr="000A5B32">
        <w:rPr>
          <w:szCs w:val="20"/>
        </w:rPr>
        <w:t xml:space="preserve"> </w:t>
      </w:r>
      <w:r w:rsidRPr="00615F42">
        <w:rPr>
          <w:szCs w:val="20"/>
        </w:rPr>
        <w:t>Class III</w:t>
      </w:r>
    </w:p>
    <w:p w:rsidR="00615F42" w:rsidRPr="00615F42" w:rsidRDefault="00615F42" w:rsidP="001B7CF3">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sidRPr="000A5B32">
        <w:rPr>
          <w:szCs w:val="20"/>
        </w:rPr>
        <w:t xml:space="preserve"> </w:t>
      </w:r>
      <w:r w:rsidRPr="00615F42">
        <w:rPr>
          <w:szCs w:val="20"/>
        </w:rPr>
        <w:t>AIMD</w:t>
      </w:r>
    </w:p>
    <w:p w:rsidR="005E2CE3" w:rsidRPr="00154B00" w:rsidRDefault="0033473C" w:rsidP="001B7CF3">
      <w:pPr>
        <w:spacing w:before="0"/>
        <w:ind w:left="284"/>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615F42" w:rsidRPr="000A5B32">
        <w:rPr>
          <w:szCs w:val="20"/>
        </w:rPr>
        <w:t xml:space="preserve"> </w:t>
      </w:r>
      <w:r w:rsidR="00615F42" w:rsidRPr="00615F42">
        <w:rPr>
          <w:szCs w:val="20"/>
        </w:rPr>
        <w:t>N/A</w:t>
      </w:r>
    </w:p>
    <w:p w:rsidR="003421AE" w:rsidRPr="00A6491A" w:rsidRDefault="0011369B" w:rsidP="001B7CF3">
      <w:pPr>
        <w:pStyle w:val="Heading2"/>
        <w:spacing w:before="0"/>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525055" w:rsidP="001B7CF3">
      <w:pPr>
        <w:spacing w:before="0"/>
        <w:ind w:left="284"/>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615F42">
        <w:rPr>
          <w:szCs w:val="20"/>
        </w:rPr>
        <w:t xml:space="preserve"> Yes (</w:t>
      </w:r>
      <w:r w:rsidR="00615F42" w:rsidRPr="00154B00">
        <w:rPr>
          <w:szCs w:val="20"/>
        </w:rPr>
        <w:t>If yes, please provide supporting documentation</w:t>
      </w:r>
      <w:r w:rsidR="00615F42">
        <w:rPr>
          <w:szCs w:val="20"/>
        </w:rPr>
        <w:t xml:space="preserve"> as an attachment to this application form)</w:t>
      </w:r>
    </w:p>
    <w:p w:rsidR="003421AE" w:rsidRPr="00615F42" w:rsidRDefault="00615F42" w:rsidP="001B7CF3">
      <w:pPr>
        <w:spacing w:before="0"/>
        <w:ind w:left="284"/>
        <w:rPr>
          <w:b/>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No</w:t>
      </w:r>
    </w:p>
    <w:p w:rsidR="00D85676" w:rsidRDefault="00D85676" w:rsidP="001B7CF3">
      <w:pPr>
        <w:pStyle w:val="Heading2"/>
        <w:numPr>
          <w:ilvl w:val="0"/>
          <w:numId w:val="28"/>
        </w:numPr>
        <w:spacing w:before="0"/>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43654D" w:rsidP="001B7CF3">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Yes (if yes, please provide details below)</w:t>
      </w:r>
    </w:p>
    <w:p w:rsidR="0043654D" w:rsidRPr="001B7CF3" w:rsidRDefault="0043654D" w:rsidP="001B7CF3">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No</w:t>
      </w:r>
    </w:p>
    <w:p w:rsidR="00C0796F" w:rsidRPr="0043654D" w:rsidRDefault="00C0796F" w:rsidP="001B7CF3">
      <w:pPr>
        <w:pStyle w:val="Heading2"/>
        <w:spacing w:before="0"/>
      </w:pPr>
      <w:r w:rsidRPr="0043654D">
        <w:t>If the therapeutic good has not been listed, registered or included in the ARTG, is the therapeutic good in the process of being considered for inclusion by the TGA?</w:t>
      </w:r>
    </w:p>
    <w:p w:rsidR="0047581D" w:rsidRDefault="0047581D" w:rsidP="001B7CF3">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Yes (please provide details below)</w:t>
      </w:r>
    </w:p>
    <w:p w:rsidR="0047581D" w:rsidRPr="001B7CF3" w:rsidRDefault="0033473C" w:rsidP="001B7CF3">
      <w:pPr>
        <w:spacing w:before="0"/>
        <w:ind w:left="284"/>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47581D">
        <w:rPr>
          <w:szCs w:val="20"/>
        </w:rPr>
        <w:t xml:space="preserve"> No</w:t>
      </w:r>
    </w:p>
    <w:p w:rsidR="00C0796F" w:rsidRPr="000A110D" w:rsidRDefault="000A110D" w:rsidP="001B7CF3">
      <w:pPr>
        <w:pStyle w:val="Heading2"/>
        <w:spacing w:before="0"/>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0A110D" w:rsidRDefault="0033473C" w:rsidP="001B7CF3">
      <w:pPr>
        <w:spacing w:before="0"/>
        <w:ind w:left="284"/>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0A110D">
        <w:rPr>
          <w:szCs w:val="20"/>
        </w:rPr>
        <w:t xml:space="preserve"> Yes (please provide details below)</w:t>
      </w:r>
    </w:p>
    <w:p w:rsidR="000A110D" w:rsidRDefault="000A110D" w:rsidP="001B7CF3">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No</w:t>
      </w:r>
    </w:p>
    <w:p w:rsidR="0033473C" w:rsidRDefault="00971EDB" w:rsidP="001B7CF3">
      <w:pPr>
        <w:spacing w:before="0"/>
        <w:ind w:left="284"/>
      </w:pPr>
      <w:r w:rsidRPr="00971EDB">
        <w:rPr>
          <w:szCs w:val="20"/>
        </w:rPr>
        <w:t>Estimated date of submission to TGA</w:t>
      </w:r>
      <w:r>
        <w:rPr>
          <w:szCs w:val="20"/>
        </w:rPr>
        <w:t xml:space="preserve">:  </w:t>
      </w:r>
      <w:r w:rsidR="0033473C">
        <w:t xml:space="preserve">December 2016. The Harmony Prenatal Testing reagents are currently a Research Use Only (RUO) product. Pathology laboratories who perform the testing are responsible for registering the test as an </w:t>
      </w:r>
      <w:proofErr w:type="spellStart"/>
      <w:r w:rsidR="0033473C">
        <w:t>inhouse</w:t>
      </w:r>
      <w:proofErr w:type="spellEnd"/>
      <w:r w:rsidR="0033473C">
        <w:t xml:space="preserve"> IVD</w:t>
      </w:r>
      <w:proofErr w:type="gramStart"/>
      <w:r w:rsidR="0033473C">
        <w:t>.(</w:t>
      </w:r>
      <w:proofErr w:type="gramEnd"/>
      <w:r w:rsidR="0033473C">
        <w:t>Attachment 1)</w:t>
      </w:r>
    </w:p>
    <w:p w:rsidR="0033473C" w:rsidRDefault="0033473C" w:rsidP="001B7CF3">
      <w:pPr>
        <w:spacing w:before="0"/>
        <w:ind w:left="284"/>
      </w:pPr>
      <w:r>
        <w:t>Roche Diagnostics Australia is in the process of collating the regulatory information from this submission and will submit an application to the TGA as soon as all the documents are received. We also plan to register the Software with the TGA at this time.</w:t>
      </w:r>
    </w:p>
    <w:p w:rsidR="00971EDB" w:rsidRPr="00971EDB" w:rsidRDefault="0033473C" w:rsidP="001B7CF3">
      <w:pPr>
        <w:spacing w:before="0"/>
        <w:ind w:left="284"/>
        <w:rPr>
          <w:szCs w:val="20"/>
        </w:rPr>
      </w:pPr>
      <w:r>
        <w:t xml:space="preserve">The </w:t>
      </w:r>
      <w:proofErr w:type="spellStart"/>
      <w:r>
        <w:t>cfDNA</w:t>
      </w:r>
      <w:proofErr w:type="spellEnd"/>
      <w:r>
        <w:t xml:space="preserve"> collection tubes are already registered with TGA. (Certificate number 270396)</w:t>
      </w:r>
    </w:p>
    <w:p w:rsidR="00F83A9D" w:rsidRPr="00154B00" w:rsidRDefault="00F83A9D" w:rsidP="001B7CF3">
      <w:pPr>
        <w:spacing w:before="0"/>
        <w:rPr>
          <w:szCs w:val="20"/>
        </w:rPr>
      </w:pPr>
    </w:p>
    <w:p w:rsidR="00DD308E" w:rsidRDefault="00DD308E" w:rsidP="001B7CF3">
      <w:pPr>
        <w:spacing w:before="0"/>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rsidR="00DD308E" w:rsidRPr="00C776B1" w:rsidRDefault="00B17CBE" w:rsidP="001B7CF3">
      <w:pPr>
        <w:pStyle w:val="Heading1"/>
        <w:spacing w:after="120" w:line="240" w:lineRule="auto"/>
      </w:pPr>
      <w:r>
        <w:lastRenderedPageBreak/>
        <w:t>PART 4</w:t>
      </w:r>
      <w:r w:rsidR="00DD308E">
        <w:t xml:space="preserve"> – SUMMARY</w:t>
      </w:r>
      <w:r w:rsidR="00DD308E" w:rsidRPr="00C776B1">
        <w:t xml:space="preserve"> OF EVIDENCE</w:t>
      </w:r>
    </w:p>
    <w:p w:rsidR="00DD308E" w:rsidRDefault="00DD308E" w:rsidP="001B7CF3">
      <w:pPr>
        <w:pStyle w:val="Heading2"/>
        <w:spacing w:before="0"/>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0" w:type="auto"/>
        <w:tblInd w:w="534" w:type="dxa"/>
        <w:tblLayout w:type="fixed"/>
        <w:tblLook w:val="04A0" w:firstRow="1" w:lastRow="0" w:firstColumn="1" w:lastColumn="0" w:noHBand="0" w:noVBand="1"/>
        <w:tblDescription w:val="Summary of Evidence - Published"/>
      </w:tblPr>
      <w:tblGrid>
        <w:gridCol w:w="474"/>
        <w:gridCol w:w="1350"/>
        <w:gridCol w:w="2428"/>
        <w:gridCol w:w="4253"/>
        <w:gridCol w:w="2976"/>
        <w:gridCol w:w="2127"/>
      </w:tblGrid>
      <w:tr w:rsidR="0033473C" w:rsidTr="001B7CF3">
        <w:trPr>
          <w:cantSplit/>
          <w:tblHeader/>
        </w:trPr>
        <w:tc>
          <w:tcPr>
            <w:tcW w:w="474" w:type="dxa"/>
          </w:tcPr>
          <w:p w:rsidR="0033473C" w:rsidRDefault="0033473C" w:rsidP="001B7CF3">
            <w:pPr>
              <w:spacing w:before="0"/>
              <w:rPr>
                <w:b/>
                <w:szCs w:val="20"/>
              </w:rPr>
            </w:pPr>
          </w:p>
        </w:tc>
        <w:tc>
          <w:tcPr>
            <w:tcW w:w="1350" w:type="dxa"/>
          </w:tcPr>
          <w:p w:rsidR="0033473C" w:rsidRDefault="0033473C" w:rsidP="001B7CF3">
            <w:pPr>
              <w:spacing w:before="0"/>
              <w:rPr>
                <w:b/>
                <w:szCs w:val="20"/>
              </w:rPr>
            </w:pPr>
            <w:r>
              <w:rPr>
                <w:b/>
                <w:szCs w:val="20"/>
              </w:rPr>
              <w:t>Type of study design*</w:t>
            </w:r>
          </w:p>
        </w:tc>
        <w:tc>
          <w:tcPr>
            <w:tcW w:w="2428" w:type="dxa"/>
          </w:tcPr>
          <w:p w:rsidR="0033473C" w:rsidRDefault="0033473C" w:rsidP="001B7CF3">
            <w:pPr>
              <w:spacing w:before="0"/>
              <w:rPr>
                <w:b/>
                <w:szCs w:val="20"/>
              </w:rPr>
            </w:pPr>
            <w:r>
              <w:rPr>
                <w:b/>
                <w:szCs w:val="20"/>
              </w:rPr>
              <w:t>Title of journal article  or research project (including any trial identifier or study lead if relevant)</w:t>
            </w:r>
          </w:p>
        </w:tc>
        <w:tc>
          <w:tcPr>
            <w:tcW w:w="4253" w:type="dxa"/>
          </w:tcPr>
          <w:p w:rsidR="0033473C" w:rsidRDefault="0033473C" w:rsidP="001B7CF3">
            <w:pPr>
              <w:spacing w:before="0"/>
              <w:rPr>
                <w:b/>
                <w:szCs w:val="20"/>
              </w:rPr>
            </w:pPr>
            <w:r>
              <w:rPr>
                <w:b/>
                <w:szCs w:val="20"/>
              </w:rPr>
              <w:t>Short description of research  (max 50 words)**</w:t>
            </w:r>
          </w:p>
        </w:tc>
        <w:tc>
          <w:tcPr>
            <w:tcW w:w="2976" w:type="dxa"/>
          </w:tcPr>
          <w:p w:rsidR="0033473C" w:rsidRDefault="0033473C" w:rsidP="001B7CF3">
            <w:pPr>
              <w:spacing w:before="0"/>
              <w:rPr>
                <w:b/>
                <w:szCs w:val="20"/>
              </w:rPr>
            </w:pPr>
            <w:r w:rsidRPr="00E82F54">
              <w:rPr>
                <w:b/>
                <w:szCs w:val="20"/>
              </w:rPr>
              <w:t xml:space="preserve">Website link to </w:t>
            </w:r>
            <w:r>
              <w:rPr>
                <w:b/>
                <w:szCs w:val="20"/>
              </w:rPr>
              <w:t>journal article or research (if available)</w:t>
            </w:r>
          </w:p>
        </w:tc>
        <w:tc>
          <w:tcPr>
            <w:tcW w:w="2127" w:type="dxa"/>
          </w:tcPr>
          <w:p w:rsidR="0033473C" w:rsidRDefault="0033473C" w:rsidP="001B7CF3">
            <w:pPr>
              <w:spacing w:before="0"/>
              <w:rPr>
                <w:b/>
                <w:szCs w:val="20"/>
              </w:rPr>
            </w:pPr>
            <w:r w:rsidRPr="00E82F54">
              <w:rPr>
                <w:b/>
                <w:szCs w:val="20"/>
              </w:rPr>
              <w:t>Date</w:t>
            </w:r>
            <w:r>
              <w:rPr>
                <w:b/>
                <w:szCs w:val="20"/>
              </w:rPr>
              <w:t xml:space="preserve"> of publication</w:t>
            </w:r>
            <w:r w:rsidRPr="00E82F54">
              <w:rPr>
                <w:b/>
                <w:szCs w:val="20"/>
              </w:rPr>
              <w:t>*</w:t>
            </w:r>
            <w:r>
              <w:rPr>
                <w:b/>
                <w:szCs w:val="20"/>
              </w:rPr>
              <w:t>**</w:t>
            </w:r>
          </w:p>
        </w:tc>
      </w:tr>
      <w:tr w:rsidR="0033473C" w:rsidRPr="00DF02BB" w:rsidTr="0033473C">
        <w:trPr>
          <w:cantSplit/>
        </w:trPr>
        <w:tc>
          <w:tcPr>
            <w:tcW w:w="13608" w:type="dxa"/>
            <w:gridSpan w:val="6"/>
          </w:tcPr>
          <w:p w:rsidR="0033473C" w:rsidRPr="00DF02BB" w:rsidRDefault="0033473C" w:rsidP="001B7CF3">
            <w:pPr>
              <w:spacing w:before="0"/>
              <w:rPr>
                <w:b/>
                <w:i/>
                <w:szCs w:val="20"/>
              </w:rPr>
            </w:pPr>
            <w:r>
              <w:rPr>
                <w:b/>
                <w:i/>
                <w:szCs w:val="20"/>
              </w:rPr>
              <w:t xml:space="preserve">As a matter of principle relating to good laboratory practice, we propose that the descriptor require confirmation of sufficient </w:t>
            </w:r>
            <w:proofErr w:type="spellStart"/>
            <w:r>
              <w:rPr>
                <w:b/>
                <w:i/>
                <w:szCs w:val="20"/>
              </w:rPr>
              <w:t>fetal</w:t>
            </w:r>
            <w:proofErr w:type="spellEnd"/>
            <w:r>
              <w:rPr>
                <w:b/>
                <w:i/>
                <w:szCs w:val="20"/>
              </w:rPr>
              <w:t xml:space="preserve"> </w:t>
            </w:r>
            <w:proofErr w:type="spellStart"/>
            <w:r>
              <w:rPr>
                <w:b/>
                <w:i/>
                <w:szCs w:val="20"/>
              </w:rPr>
              <w:t>cfDNA</w:t>
            </w:r>
            <w:proofErr w:type="spellEnd"/>
            <w:r>
              <w:rPr>
                <w:b/>
                <w:i/>
                <w:szCs w:val="20"/>
              </w:rPr>
              <w:t xml:space="preserve"> for analysis prior to assessment of the risk of </w:t>
            </w:r>
            <w:proofErr w:type="spellStart"/>
            <w:r>
              <w:rPr>
                <w:b/>
                <w:i/>
                <w:szCs w:val="20"/>
              </w:rPr>
              <w:t>fetal</w:t>
            </w:r>
            <w:proofErr w:type="spellEnd"/>
            <w:r>
              <w:rPr>
                <w:b/>
                <w:i/>
                <w:szCs w:val="20"/>
              </w:rPr>
              <w:t xml:space="preserve"> trisomy. Without limiting the generality of the application, we note that there are only two tests currently available in Australia fulfilling that requirement, Harmony and Panorama. For this reason, the summary below includes: 1) studies of Harmony and Panorama that have assessed diagnostic accuracy for the detection of T21, T18 and/or T13; and 2) meta-analyses of all NIPTs (these may include studies that are not relevant to the application, due to the type of NIPT or outcomes assessed). </w:t>
            </w:r>
          </w:p>
        </w:tc>
      </w:tr>
      <w:tr w:rsidR="0033473C" w:rsidRPr="00096BC0" w:rsidTr="0033473C">
        <w:trPr>
          <w:cantSplit/>
        </w:trPr>
        <w:tc>
          <w:tcPr>
            <w:tcW w:w="13608" w:type="dxa"/>
            <w:gridSpan w:val="6"/>
          </w:tcPr>
          <w:p w:rsidR="0033473C" w:rsidRPr="00096BC0" w:rsidRDefault="0033473C" w:rsidP="001B7CF3">
            <w:pPr>
              <w:spacing w:before="0"/>
              <w:rPr>
                <w:b/>
                <w:szCs w:val="20"/>
              </w:rPr>
            </w:pPr>
            <w:r w:rsidRPr="00096BC0">
              <w:rPr>
                <w:b/>
                <w:szCs w:val="20"/>
              </w:rPr>
              <w:t>Meta-analyses (all NIPT</w:t>
            </w:r>
            <w:r>
              <w:rPr>
                <w:b/>
                <w:szCs w:val="20"/>
              </w:rPr>
              <w:t>s</w:t>
            </w:r>
            <w:r w:rsidRPr="00096BC0">
              <w:rPr>
                <w:b/>
                <w:szCs w:val="20"/>
              </w:rPr>
              <w:t>)</w:t>
            </w:r>
          </w:p>
        </w:tc>
      </w:tr>
      <w:tr w:rsidR="0033473C" w:rsidTr="001B7CF3">
        <w:trPr>
          <w:cantSplit/>
        </w:trPr>
        <w:tc>
          <w:tcPr>
            <w:tcW w:w="474" w:type="dxa"/>
          </w:tcPr>
          <w:p w:rsidR="0033473C" w:rsidRPr="00965B6B" w:rsidRDefault="0033473C" w:rsidP="001B7CF3">
            <w:pPr>
              <w:spacing w:before="0"/>
              <w:rPr>
                <w:szCs w:val="20"/>
              </w:rPr>
            </w:pPr>
            <w:r>
              <w:rPr>
                <w:szCs w:val="20"/>
              </w:rPr>
              <w:t>1.</w:t>
            </w:r>
          </w:p>
        </w:tc>
        <w:tc>
          <w:tcPr>
            <w:tcW w:w="1350"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Meta-analysis</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Taylor-Phillips 2016</w:t>
            </w:r>
          </w:p>
        </w:tc>
        <w:tc>
          <w:tcPr>
            <w:tcW w:w="4253"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 xml:space="preserve">Systematic review and meta-analysis of 41 </w:t>
            </w:r>
            <w:r w:rsidRPr="00B44F35">
              <w:rPr>
                <w:rFonts w:eastAsia="Times New Roman" w:cs="Times New Roman"/>
                <w:bCs/>
                <w:szCs w:val="20"/>
                <w:lang w:val="en-US" w:eastAsia="zh-CN"/>
              </w:rPr>
              <w:t>case–control</w:t>
            </w:r>
            <w:r>
              <w:rPr>
                <w:rFonts w:eastAsia="Times New Roman" w:cs="Times New Roman"/>
                <w:bCs/>
                <w:szCs w:val="20"/>
                <w:lang w:val="en-US" w:eastAsia="zh-CN"/>
              </w:rPr>
              <w:t xml:space="preserve"> </w:t>
            </w:r>
            <w:r w:rsidRPr="00B44F35">
              <w:rPr>
                <w:rFonts w:eastAsia="Times New Roman" w:cs="Times New Roman"/>
                <w:bCs/>
                <w:szCs w:val="20"/>
                <w:lang w:val="en-US" w:eastAsia="zh-CN"/>
              </w:rPr>
              <w:t xml:space="preserve">studies </w:t>
            </w:r>
            <w:r>
              <w:rPr>
                <w:rFonts w:eastAsia="Times New Roman" w:cs="Times New Roman"/>
                <w:bCs/>
                <w:szCs w:val="20"/>
                <w:lang w:val="en-US" w:eastAsia="zh-CN"/>
              </w:rPr>
              <w:t>(</w:t>
            </w:r>
            <w:r w:rsidRPr="00B44F35">
              <w:rPr>
                <w:rFonts w:eastAsia="Times New Roman" w:cs="Times New Roman"/>
                <w:bCs/>
                <w:szCs w:val="20"/>
                <w:lang w:val="en-US" w:eastAsia="zh-CN"/>
              </w:rPr>
              <w:t>≥15 trisomy cases</w:t>
            </w:r>
            <w:r>
              <w:rPr>
                <w:rFonts w:eastAsia="Times New Roman" w:cs="Times New Roman"/>
                <w:bCs/>
                <w:szCs w:val="20"/>
                <w:lang w:val="en-US" w:eastAsia="zh-CN"/>
              </w:rPr>
              <w:t>) or cohort studies (</w:t>
            </w:r>
            <w:r w:rsidRPr="00B44F35">
              <w:rPr>
                <w:rFonts w:eastAsia="Times New Roman" w:cs="Times New Roman"/>
                <w:bCs/>
                <w:szCs w:val="20"/>
                <w:lang w:val="en-US" w:eastAsia="zh-CN"/>
              </w:rPr>
              <w:t>≥50 pregnant women</w:t>
            </w:r>
            <w:r>
              <w:rPr>
                <w:rFonts w:eastAsia="Times New Roman" w:cs="Times New Roman"/>
                <w:bCs/>
                <w:szCs w:val="20"/>
                <w:lang w:val="en-US" w:eastAsia="zh-CN"/>
              </w:rPr>
              <w:t>)</w:t>
            </w:r>
            <w:r w:rsidRPr="00B44F35">
              <w:rPr>
                <w:rFonts w:eastAsia="Times New Roman" w:cs="Times New Roman"/>
                <w:bCs/>
                <w:szCs w:val="20"/>
                <w:lang w:val="en-US" w:eastAsia="zh-CN"/>
              </w:rPr>
              <w:t xml:space="preserve"> given NIPT and a</w:t>
            </w:r>
            <w:r>
              <w:rPr>
                <w:rFonts w:eastAsia="Times New Roman" w:cs="Times New Roman"/>
                <w:bCs/>
                <w:szCs w:val="20"/>
                <w:lang w:val="en-US" w:eastAsia="zh-CN"/>
              </w:rPr>
              <w:t xml:space="preserve"> </w:t>
            </w:r>
            <w:r w:rsidRPr="00B44F35">
              <w:rPr>
                <w:rFonts w:eastAsia="Times New Roman" w:cs="Times New Roman"/>
                <w:bCs/>
                <w:szCs w:val="20"/>
                <w:lang w:val="en-US" w:eastAsia="zh-CN"/>
              </w:rPr>
              <w:t>reference standard</w:t>
            </w:r>
            <w:r>
              <w:rPr>
                <w:rFonts w:eastAsia="Times New Roman" w:cs="Times New Roman"/>
                <w:bCs/>
                <w:szCs w:val="20"/>
                <w:lang w:val="en-US" w:eastAsia="zh-CN"/>
              </w:rPr>
              <w:t xml:space="preserve"> t</w:t>
            </w:r>
            <w:r w:rsidRPr="00E52860">
              <w:rPr>
                <w:rFonts w:eastAsia="Times New Roman" w:cs="Times New Roman"/>
                <w:bCs/>
                <w:szCs w:val="20"/>
                <w:lang w:val="en-US" w:eastAsia="zh-CN"/>
              </w:rPr>
              <w:t>o measur</w:t>
            </w:r>
            <w:r>
              <w:rPr>
                <w:rFonts w:eastAsia="Times New Roman" w:cs="Times New Roman"/>
                <w:bCs/>
                <w:szCs w:val="20"/>
                <w:lang w:val="en-US" w:eastAsia="zh-CN"/>
              </w:rPr>
              <w:t>e test accuracy of NIPT</w:t>
            </w:r>
            <w:r w:rsidRPr="00E52860">
              <w:rPr>
                <w:rFonts w:eastAsia="Times New Roman" w:cs="Times New Roman"/>
                <w:bCs/>
                <w:szCs w:val="20"/>
                <w:lang w:val="en-US" w:eastAsia="zh-CN"/>
              </w:rPr>
              <w:t xml:space="preserve"> for</w:t>
            </w:r>
            <w:r>
              <w:rPr>
                <w:rFonts w:eastAsia="Times New Roman" w:cs="Times New Roman"/>
                <w:bCs/>
                <w:szCs w:val="20"/>
                <w:lang w:val="en-US" w:eastAsia="zh-CN"/>
              </w:rPr>
              <w:t xml:space="preserve"> T21, T18 and T13</w:t>
            </w:r>
            <w:r w:rsidRPr="00E52860">
              <w:rPr>
                <w:rFonts w:eastAsia="Times New Roman" w:cs="Times New Roman"/>
                <w:bCs/>
                <w:szCs w:val="20"/>
                <w:lang w:val="en-US" w:eastAsia="zh-CN"/>
              </w:rPr>
              <w:t xml:space="preserve"> using </w:t>
            </w:r>
            <w:proofErr w:type="spellStart"/>
            <w:r w:rsidRPr="00E52860">
              <w:rPr>
                <w:rFonts w:eastAsia="Times New Roman" w:cs="Times New Roman"/>
                <w:bCs/>
                <w:szCs w:val="20"/>
                <w:lang w:val="en-US" w:eastAsia="zh-CN"/>
              </w:rPr>
              <w:t>c</w:t>
            </w:r>
            <w:r>
              <w:rPr>
                <w:rFonts w:eastAsia="Times New Roman" w:cs="Times New Roman"/>
                <w:bCs/>
                <w:szCs w:val="20"/>
                <w:lang w:val="en-US" w:eastAsia="zh-CN"/>
              </w:rPr>
              <w:t>fDNA</w:t>
            </w:r>
            <w:proofErr w:type="spellEnd"/>
            <w:r>
              <w:rPr>
                <w:rFonts w:eastAsia="Times New Roman" w:cs="Times New Roman"/>
                <w:bCs/>
                <w:szCs w:val="20"/>
                <w:lang w:val="en-US" w:eastAsia="zh-CN"/>
              </w:rPr>
              <w:t xml:space="preserve">, and identify </w:t>
            </w:r>
            <w:r w:rsidRPr="00E52860">
              <w:rPr>
                <w:rFonts w:eastAsia="Times New Roman" w:cs="Times New Roman"/>
                <w:bCs/>
                <w:szCs w:val="20"/>
                <w:lang w:val="en-US" w:eastAsia="zh-CN"/>
              </w:rPr>
              <w:t>factors affecting accuracy.</w:t>
            </w:r>
            <w:r>
              <w:rPr>
                <w:rFonts w:eastAsia="Times New Roman" w:cs="Times New Roman"/>
                <w:bCs/>
                <w:szCs w:val="20"/>
                <w:lang w:val="en-US" w:eastAsia="zh-CN"/>
              </w:rPr>
              <w:t xml:space="preserve"> Outcomes: sensitivity, specificity.</w:t>
            </w:r>
          </w:p>
        </w:tc>
        <w:tc>
          <w:tcPr>
            <w:tcW w:w="2976" w:type="dxa"/>
          </w:tcPr>
          <w:p w:rsidR="0033473C" w:rsidRPr="00B805C5" w:rsidRDefault="0033473C" w:rsidP="001B7CF3">
            <w:pPr>
              <w:spacing w:before="0"/>
              <w:rPr>
                <w:rFonts w:eastAsia="Times New Roman" w:cs="Times New Roman"/>
                <w:bCs/>
                <w:szCs w:val="20"/>
                <w:lang w:val="en-US" w:eastAsia="zh-CN"/>
              </w:rPr>
            </w:pPr>
            <w:r w:rsidRPr="00517313">
              <w:rPr>
                <w:rFonts w:eastAsia="Times New Roman" w:cs="Times New Roman"/>
                <w:bCs/>
                <w:szCs w:val="20"/>
                <w:lang w:val="en-US" w:eastAsia="zh-CN"/>
              </w:rPr>
              <w:t>http://bmjopen.bmj.com/content/6/1/e010002.full</w:t>
            </w:r>
          </w:p>
        </w:tc>
        <w:tc>
          <w:tcPr>
            <w:tcW w:w="2127" w:type="dxa"/>
          </w:tcPr>
          <w:p w:rsidR="0033473C" w:rsidRPr="00B805C5" w:rsidRDefault="0033473C" w:rsidP="001B7CF3">
            <w:pPr>
              <w:spacing w:before="0"/>
              <w:rPr>
                <w:szCs w:val="20"/>
              </w:rPr>
            </w:pPr>
            <w:r>
              <w:rPr>
                <w:szCs w:val="20"/>
              </w:rPr>
              <w:t>18 January 2016</w:t>
            </w:r>
          </w:p>
        </w:tc>
      </w:tr>
      <w:tr w:rsidR="0033473C" w:rsidTr="001B7CF3">
        <w:trPr>
          <w:cantSplit/>
        </w:trPr>
        <w:tc>
          <w:tcPr>
            <w:tcW w:w="474" w:type="dxa"/>
          </w:tcPr>
          <w:p w:rsidR="0033473C" w:rsidRPr="00965B6B" w:rsidRDefault="0033473C" w:rsidP="001B7CF3">
            <w:pPr>
              <w:spacing w:before="0"/>
              <w:rPr>
                <w:szCs w:val="20"/>
              </w:rPr>
            </w:pPr>
            <w:r>
              <w:rPr>
                <w:szCs w:val="20"/>
              </w:rPr>
              <w:t>2.</w:t>
            </w:r>
          </w:p>
        </w:tc>
        <w:tc>
          <w:tcPr>
            <w:tcW w:w="1350"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Meta-analysis</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Mackie 2016</w:t>
            </w:r>
          </w:p>
        </w:tc>
        <w:tc>
          <w:tcPr>
            <w:tcW w:w="4253"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 xml:space="preserve">Systematic review and meta-analysis of 118 cohort studies reporting </w:t>
            </w:r>
            <w:proofErr w:type="spellStart"/>
            <w:r>
              <w:rPr>
                <w:rFonts w:eastAsia="Times New Roman" w:cs="Times New Roman"/>
                <w:bCs/>
                <w:szCs w:val="20"/>
                <w:lang w:val="en-US" w:eastAsia="zh-CN"/>
              </w:rPr>
              <w:t>cfDNA</w:t>
            </w:r>
            <w:proofErr w:type="spellEnd"/>
            <w:r>
              <w:rPr>
                <w:rFonts w:eastAsia="Times New Roman" w:cs="Times New Roman"/>
                <w:bCs/>
                <w:szCs w:val="20"/>
                <w:lang w:val="en-US" w:eastAsia="zh-CN"/>
              </w:rPr>
              <w:t>-based NIPT p</w:t>
            </w:r>
            <w:r w:rsidRPr="00B44F35">
              <w:rPr>
                <w:rFonts w:eastAsia="Times New Roman" w:cs="Times New Roman"/>
                <w:bCs/>
                <w:szCs w:val="20"/>
                <w:lang w:val="en-US" w:eastAsia="zh-CN"/>
              </w:rPr>
              <w:t>erfo</w:t>
            </w:r>
            <w:r>
              <w:rPr>
                <w:rFonts w:eastAsia="Times New Roman" w:cs="Times New Roman"/>
                <w:bCs/>
                <w:szCs w:val="20"/>
                <w:lang w:val="en-US" w:eastAsia="zh-CN"/>
              </w:rPr>
              <w:t>rmance in singleton pregnancies t</w:t>
            </w:r>
            <w:r w:rsidRPr="00E52860">
              <w:rPr>
                <w:rFonts w:eastAsia="Times New Roman" w:cs="Times New Roman"/>
                <w:bCs/>
                <w:szCs w:val="20"/>
                <w:lang w:val="en-US" w:eastAsia="zh-CN"/>
              </w:rPr>
              <w:t>o</w:t>
            </w:r>
            <w:r>
              <w:rPr>
                <w:rFonts w:eastAsia="Times New Roman" w:cs="Times New Roman"/>
                <w:bCs/>
                <w:szCs w:val="20"/>
                <w:lang w:val="en-US" w:eastAsia="zh-CN"/>
              </w:rPr>
              <w:t xml:space="preserve"> determine accuracy </w:t>
            </w:r>
            <w:r w:rsidRPr="00B44F35">
              <w:rPr>
                <w:rFonts w:eastAsia="Times New Roman" w:cs="Times New Roman"/>
                <w:bCs/>
                <w:szCs w:val="20"/>
                <w:lang w:val="en-US" w:eastAsia="zh-CN"/>
              </w:rPr>
              <w:t>for all</w:t>
            </w:r>
            <w:r>
              <w:rPr>
                <w:rFonts w:eastAsia="Times New Roman" w:cs="Times New Roman"/>
                <w:bCs/>
                <w:szCs w:val="20"/>
                <w:lang w:val="en-US" w:eastAsia="zh-CN"/>
              </w:rPr>
              <w:t xml:space="preserve"> </w:t>
            </w:r>
            <w:r w:rsidRPr="00B44F35">
              <w:rPr>
                <w:rFonts w:eastAsia="Times New Roman" w:cs="Times New Roman"/>
                <w:bCs/>
                <w:szCs w:val="20"/>
                <w:lang w:val="en-US" w:eastAsia="zh-CN"/>
              </w:rPr>
              <w:t>conditions</w:t>
            </w:r>
            <w:r>
              <w:rPr>
                <w:rFonts w:eastAsia="Times New Roman" w:cs="Times New Roman"/>
                <w:bCs/>
                <w:szCs w:val="20"/>
                <w:lang w:val="en-US" w:eastAsia="zh-CN"/>
              </w:rPr>
              <w:t xml:space="preserve"> and e</w:t>
            </w:r>
            <w:r w:rsidRPr="00B44F35">
              <w:rPr>
                <w:rFonts w:eastAsia="Times New Roman" w:cs="Times New Roman"/>
                <w:bCs/>
                <w:szCs w:val="20"/>
                <w:lang w:val="en-US" w:eastAsia="zh-CN"/>
              </w:rPr>
              <w:t>valuate influence of other factors on test</w:t>
            </w:r>
            <w:r>
              <w:rPr>
                <w:rFonts w:eastAsia="Times New Roman" w:cs="Times New Roman"/>
                <w:bCs/>
                <w:szCs w:val="20"/>
                <w:lang w:val="en-US" w:eastAsia="zh-CN"/>
              </w:rPr>
              <w:t xml:space="preserve"> </w:t>
            </w:r>
            <w:r w:rsidRPr="00B44F35">
              <w:rPr>
                <w:rFonts w:eastAsia="Times New Roman" w:cs="Times New Roman"/>
                <w:bCs/>
                <w:szCs w:val="20"/>
                <w:lang w:val="en-US" w:eastAsia="zh-CN"/>
              </w:rPr>
              <w:t>performance</w:t>
            </w:r>
            <w:r w:rsidRPr="00E52860">
              <w:rPr>
                <w:rFonts w:eastAsia="Times New Roman" w:cs="Times New Roman"/>
                <w:bCs/>
                <w:szCs w:val="20"/>
                <w:lang w:val="en-US" w:eastAsia="zh-CN"/>
              </w:rPr>
              <w:t>.</w:t>
            </w:r>
            <w:r>
              <w:rPr>
                <w:rFonts w:eastAsia="Times New Roman" w:cs="Times New Roman"/>
                <w:bCs/>
                <w:szCs w:val="20"/>
                <w:lang w:val="en-US" w:eastAsia="zh-CN"/>
              </w:rPr>
              <w:t xml:space="preserve"> Outcomes: sensitivity, specificity.</w:t>
            </w:r>
          </w:p>
        </w:tc>
        <w:tc>
          <w:tcPr>
            <w:tcW w:w="2976" w:type="dxa"/>
          </w:tcPr>
          <w:p w:rsidR="0033473C" w:rsidRPr="00B805C5" w:rsidRDefault="0033473C" w:rsidP="001B7CF3">
            <w:pPr>
              <w:spacing w:before="0"/>
              <w:rPr>
                <w:rFonts w:eastAsia="Times New Roman" w:cs="Times New Roman"/>
                <w:bCs/>
                <w:szCs w:val="20"/>
                <w:lang w:val="en-US" w:eastAsia="zh-CN"/>
              </w:rPr>
            </w:pPr>
            <w:r w:rsidRPr="00517313">
              <w:rPr>
                <w:rFonts w:eastAsia="Times New Roman" w:cs="Times New Roman"/>
                <w:bCs/>
                <w:szCs w:val="20"/>
                <w:lang w:val="en-US" w:eastAsia="zh-CN"/>
              </w:rPr>
              <w:t>http://onlinelibrary.wiley.com/doi/10.1111/1471-0528.14050/full</w:t>
            </w:r>
          </w:p>
        </w:tc>
        <w:tc>
          <w:tcPr>
            <w:tcW w:w="2127" w:type="dxa"/>
          </w:tcPr>
          <w:p w:rsidR="0033473C" w:rsidRPr="00B805C5" w:rsidRDefault="0033473C" w:rsidP="001B7CF3">
            <w:pPr>
              <w:spacing w:before="0"/>
              <w:rPr>
                <w:szCs w:val="20"/>
              </w:rPr>
            </w:pPr>
            <w:r>
              <w:rPr>
                <w:szCs w:val="20"/>
              </w:rPr>
              <w:t>31 May 2016</w:t>
            </w:r>
          </w:p>
        </w:tc>
      </w:tr>
      <w:tr w:rsidR="0033473C" w:rsidTr="001B7CF3">
        <w:trPr>
          <w:cantSplit/>
        </w:trPr>
        <w:tc>
          <w:tcPr>
            <w:tcW w:w="474" w:type="dxa"/>
          </w:tcPr>
          <w:p w:rsidR="0033473C" w:rsidRPr="00965B6B" w:rsidRDefault="0033473C" w:rsidP="001B7CF3">
            <w:pPr>
              <w:spacing w:before="0"/>
              <w:rPr>
                <w:szCs w:val="20"/>
              </w:rPr>
            </w:pPr>
            <w:r>
              <w:rPr>
                <w:szCs w:val="20"/>
              </w:rPr>
              <w:lastRenderedPageBreak/>
              <w:t>3.</w:t>
            </w:r>
          </w:p>
        </w:tc>
        <w:tc>
          <w:tcPr>
            <w:tcW w:w="1350"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Meta-analysis</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Gil 2015</w:t>
            </w:r>
          </w:p>
        </w:tc>
        <w:tc>
          <w:tcPr>
            <w:tcW w:w="4253"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Meta-analysis of 37 studies reporting</w:t>
            </w:r>
            <w:r w:rsidRPr="00B44F35">
              <w:rPr>
                <w:rFonts w:eastAsia="Times New Roman" w:cs="Times New Roman"/>
                <w:bCs/>
                <w:szCs w:val="20"/>
                <w:lang w:val="en-US" w:eastAsia="zh-CN"/>
              </w:rPr>
              <w:t xml:space="preserve"> </w:t>
            </w:r>
            <w:proofErr w:type="spellStart"/>
            <w:r w:rsidRPr="00B44F35">
              <w:rPr>
                <w:rFonts w:eastAsia="Times New Roman" w:cs="Times New Roman"/>
                <w:bCs/>
                <w:szCs w:val="20"/>
                <w:lang w:val="en-US" w:eastAsia="zh-CN"/>
              </w:rPr>
              <w:t>cfDNA</w:t>
            </w:r>
            <w:proofErr w:type="spellEnd"/>
            <w:r w:rsidRPr="00B44F35">
              <w:rPr>
                <w:rFonts w:eastAsia="Times New Roman" w:cs="Times New Roman"/>
                <w:bCs/>
                <w:szCs w:val="20"/>
                <w:lang w:val="en-US" w:eastAsia="zh-CN"/>
              </w:rPr>
              <w:t xml:space="preserve"> results i</w:t>
            </w:r>
            <w:r>
              <w:rPr>
                <w:rFonts w:eastAsia="Times New Roman" w:cs="Times New Roman"/>
                <w:bCs/>
                <w:szCs w:val="20"/>
                <w:lang w:val="en-US" w:eastAsia="zh-CN"/>
              </w:rPr>
              <w:t xml:space="preserve">n </w:t>
            </w:r>
            <w:r w:rsidRPr="00B44F35">
              <w:rPr>
                <w:rFonts w:eastAsia="Times New Roman" w:cs="Times New Roman"/>
                <w:bCs/>
                <w:szCs w:val="20"/>
                <w:lang w:val="en-US" w:eastAsia="zh-CN"/>
              </w:rPr>
              <w:t>relation to</w:t>
            </w:r>
            <w:r>
              <w:rPr>
                <w:rFonts w:eastAsia="Times New Roman" w:cs="Times New Roman"/>
                <w:bCs/>
                <w:szCs w:val="20"/>
                <w:lang w:val="en-US" w:eastAsia="zh-CN"/>
              </w:rPr>
              <w:t xml:space="preserve"> fetal karyotype </w:t>
            </w:r>
            <w:r w:rsidRPr="00B44F35">
              <w:rPr>
                <w:rFonts w:eastAsia="Times New Roman" w:cs="Times New Roman"/>
                <w:bCs/>
                <w:szCs w:val="20"/>
                <w:lang w:val="en-US" w:eastAsia="zh-CN"/>
              </w:rPr>
              <w:t>from invasive testing or clinical outcome</w:t>
            </w:r>
            <w:r>
              <w:rPr>
                <w:rFonts w:eastAsia="Times New Roman" w:cs="Times New Roman"/>
                <w:bCs/>
                <w:szCs w:val="20"/>
                <w:lang w:val="en-US" w:eastAsia="zh-CN"/>
              </w:rPr>
              <w:t>, to determine</w:t>
            </w:r>
            <w:r w:rsidRPr="00B44F35">
              <w:rPr>
                <w:rFonts w:eastAsia="Times New Roman" w:cs="Times New Roman"/>
                <w:bCs/>
                <w:szCs w:val="20"/>
                <w:lang w:val="en-US" w:eastAsia="zh-CN"/>
              </w:rPr>
              <w:t xml:space="preserve"> </w:t>
            </w:r>
            <w:r>
              <w:rPr>
                <w:rFonts w:eastAsia="Times New Roman" w:cs="Times New Roman"/>
                <w:bCs/>
                <w:szCs w:val="20"/>
                <w:lang w:val="en-US" w:eastAsia="zh-CN"/>
              </w:rPr>
              <w:t xml:space="preserve">the performance </w:t>
            </w:r>
            <w:r w:rsidRPr="00B44F35">
              <w:rPr>
                <w:rFonts w:eastAsia="Times New Roman" w:cs="Times New Roman"/>
                <w:bCs/>
                <w:szCs w:val="20"/>
                <w:lang w:val="en-US" w:eastAsia="zh-CN"/>
              </w:rPr>
              <w:t xml:space="preserve">of </w:t>
            </w:r>
            <w:proofErr w:type="spellStart"/>
            <w:r w:rsidRPr="00B44F35">
              <w:rPr>
                <w:rFonts w:eastAsia="Times New Roman" w:cs="Times New Roman"/>
                <w:bCs/>
                <w:szCs w:val="20"/>
                <w:lang w:val="en-US" w:eastAsia="zh-CN"/>
              </w:rPr>
              <w:t>cfDNA</w:t>
            </w:r>
            <w:proofErr w:type="spellEnd"/>
            <w:r w:rsidRPr="00B44F35">
              <w:rPr>
                <w:rFonts w:eastAsia="Times New Roman" w:cs="Times New Roman"/>
                <w:bCs/>
                <w:szCs w:val="20"/>
                <w:lang w:val="en-US" w:eastAsia="zh-CN"/>
              </w:rPr>
              <w:t xml:space="preserve"> testing in screening for aneuploidies</w:t>
            </w:r>
            <w:r>
              <w:rPr>
                <w:rFonts w:eastAsia="Times New Roman" w:cs="Times New Roman"/>
                <w:bCs/>
                <w:szCs w:val="20"/>
                <w:lang w:val="en-US" w:eastAsia="zh-CN"/>
              </w:rPr>
              <w:t>. Outcomes: sensitivity (detection rate), false-positive rate.</w:t>
            </w:r>
          </w:p>
        </w:tc>
        <w:tc>
          <w:tcPr>
            <w:tcW w:w="2976" w:type="dxa"/>
          </w:tcPr>
          <w:p w:rsidR="0033473C" w:rsidRPr="00B805C5" w:rsidRDefault="0033473C" w:rsidP="001B7CF3">
            <w:pPr>
              <w:spacing w:before="0"/>
              <w:rPr>
                <w:rFonts w:eastAsia="Times New Roman" w:cs="Times New Roman"/>
                <w:bCs/>
                <w:szCs w:val="20"/>
                <w:lang w:val="en-US" w:eastAsia="zh-CN"/>
              </w:rPr>
            </w:pPr>
            <w:r w:rsidRPr="00517313">
              <w:rPr>
                <w:rFonts w:eastAsia="Times New Roman" w:cs="Times New Roman"/>
                <w:bCs/>
                <w:szCs w:val="20"/>
                <w:lang w:val="en-US" w:eastAsia="zh-CN"/>
              </w:rPr>
              <w:t>http://onlinelibrary.wiley.com/doi/10.1002/uog.14791/abstract</w:t>
            </w:r>
          </w:p>
        </w:tc>
        <w:tc>
          <w:tcPr>
            <w:tcW w:w="2127" w:type="dxa"/>
          </w:tcPr>
          <w:p w:rsidR="0033473C" w:rsidRPr="00B805C5" w:rsidRDefault="0033473C" w:rsidP="001B7CF3">
            <w:pPr>
              <w:spacing w:before="0"/>
              <w:rPr>
                <w:szCs w:val="20"/>
              </w:rPr>
            </w:pPr>
            <w:r>
              <w:rPr>
                <w:szCs w:val="20"/>
              </w:rPr>
              <w:t>1 February 2015</w:t>
            </w:r>
          </w:p>
        </w:tc>
      </w:tr>
      <w:tr w:rsidR="0033473C" w:rsidRPr="00DF02BB" w:rsidTr="0033473C">
        <w:trPr>
          <w:cantSplit/>
        </w:trPr>
        <w:tc>
          <w:tcPr>
            <w:tcW w:w="13608" w:type="dxa"/>
            <w:gridSpan w:val="6"/>
          </w:tcPr>
          <w:p w:rsidR="0033473C" w:rsidRPr="00DF02BB" w:rsidRDefault="0033473C" w:rsidP="001B7CF3">
            <w:pPr>
              <w:spacing w:before="0"/>
              <w:rPr>
                <w:b/>
                <w:i/>
                <w:szCs w:val="20"/>
              </w:rPr>
            </w:pPr>
            <w:r w:rsidRPr="00DF02BB">
              <w:rPr>
                <w:b/>
                <w:i/>
                <w:szCs w:val="20"/>
              </w:rPr>
              <w:t>Harmony NIPT</w:t>
            </w:r>
          </w:p>
        </w:tc>
      </w:tr>
      <w:tr w:rsidR="0033473C" w:rsidTr="0033473C">
        <w:trPr>
          <w:cantSplit/>
        </w:trPr>
        <w:tc>
          <w:tcPr>
            <w:tcW w:w="13608" w:type="dxa"/>
            <w:gridSpan w:val="6"/>
          </w:tcPr>
          <w:p w:rsidR="0033473C" w:rsidRPr="00E82F54" w:rsidRDefault="0033473C" w:rsidP="001B7CF3">
            <w:pPr>
              <w:spacing w:before="0"/>
              <w:rPr>
                <w:b/>
                <w:szCs w:val="20"/>
              </w:rPr>
            </w:pPr>
            <w:r w:rsidRPr="00BE6257">
              <w:rPr>
                <w:szCs w:val="20"/>
              </w:rPr>
              <w:t>General pregnancy population</w:t>
            </w:r>
          </w:p>
        </w:tc>
      </w:tr>
      <w:tr w:rsidR="0033473C" w:rsidTr="001B7CF3">
        <w:trPr>
          <w:cantSplit/>
        </w:trPr>
        <w:tc>
          <w:tcPr>
            <w:tcW w:w="474" w:type="dxa"/>
          </w:tcPr>
          <w:p w:rsidR="0033473C" w:rsidRPr="00965B6B" w:rsidRDefault="0033473C" w:rsidP="001B7CF3">
            <w:pPr>
              <w:spacing w:before="0"/>
              <w:rPr>
                <w:szCs w:val="20"/>
              </w:rPr>
            </w:pPr>
            <w:r>
              <w:rPr>
                <w:szCs w:val="20"/>
              </w:rPr>
              <w:t>4.</w:t>
            </w:r>
          </w:p>
        </w:tc>
        <w:tc>
          <w:tcPr>
            <w:tcW w:w="1350" w:type="dxa"/>
          </w:tcPr>
          <w:p w:rsidR="0033473C" w:rsidRPr="007E66DD" w:rsidRDefault="0033473C" w:rsidP="001B7CF3">
            <w:pPr>
              <w:spacing w:before="0"/>
              <w:rPr>
                <w:rFonts w:eastAsia="Times New Roman" w:cs="Times New Roman"/>
                <w:bCs/>
                <w:szCs w:val="20"/>
                <w:lang w:val="en-US" w:eastAsia="zh-CN"/>
              </w:rPr>
            </w:pPr>
            <w:r w:rsidRPr="007E66DD">
              <w:rPr>
                <w:rFonts w:eastAsia="Times New Roman" w:cs="Times New Roman"/>
                <w:bCs/>
                <w:szCs w:val="20"/>
                <w:lang w:val="en-US" w:eastAsia="zh-CN"/>
              </w:rPr>
              <w:t xml:space="preserve">Prospective </w:t>
            </w:r>
            <w:r>
              <w:rPr>
                <w:rFonts w:eastAsia="Times New Roman" w:cs="Times New Roman"/>
                <w:bCs/>
                <w:szCs w:val="20"/>
                <w:lang w:val="en-US" w:eastAsia="zh-CN"/>
              </w:rPr>
              <w:t>blinded cohort</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Norton 2015</w:t>
            </w:r>
          </w:p>
        </w:tc>
        <w:tc>
          <w:tcPr>
            <w:tcW w:w="4253" w:type="dxa"/>
          </w:tcPr>
          <w:p w:rsidR="0033473C" w:rsidRPr="007E66DD" w:rsidRDefault="0033473C" w:rsidP="001B7CF3">
            <w:pPr>
              <w:spacing w:before="0"/>
              <w:rPr>
                <w:rFonts w:eastAsia="Times New Roman" w:cs="Times New Roman"/>
                <w:bCs/>
                <w:szCs w:val="20"/>
                <w:lang w:val="en-US" w:eastAsia="zh-CN"/>
              </w:rPr>
            </w:pPr>
            <w:r w:rsidRPr="007E66DD">
              <w:rPr>
                <w:rFonts w:eastAsia="Times New Roman" w:cs="Times New Roman"/>
                <w:bCs/>
                <w:szCs w:val="20"/>
                <w:lang w:val="en-US" w:eastAsia="zh-CN"/>
              </w:rPr>
              <w:t xml:space="preserve">NIPT evaluated </w:t>
            </w:r>
            <w:r>
              <w:rPr>
                <w:rFonts w:eastAsia="Times New Roman" w:cs="Times New Roman"/>
                <w:bCs/>
                <w:szCs w:val="20"/>
                <w:lang w:val="en-US" w:eastAsia="zh-CN"/>
              </w:rPr>
              <w:t xml:space="preserve">alongside </w:t>
            </w:r>
            <w:r w:rsidRPr="007E66DD">
              <w:rPr>
                <w:rFonts w:eastAsia="Times New Roman" w:cs="Times New Roman"/>
                <w:bCs/>
                <w:szCs w:val="20"/>
                <w:lang w:val="en-US" w:eastAsia="zh-CN"/>
              </w:rPr>
              <w:t>FTS.</w:t>
            </w:r>
            <w:r>
              <w:rPr>
                <w:rFonts w:eastAsia="Times New Roman" w:cs="Times New Roman"/>
                <w:bCs/>
                <w:szCs w:val="20"/>
                <w:lang w:val="en-US" w:eastAsia="zh-CN"/>
              </w:rPr>
              <w:t xml:space="preserve"> </w:t>
            </w:r>
            <w:r w:rsidRPr="007E66DD">
              <w:rPr>
                <w:rFonts w:eastAsia="Times New Roman" w:cs="Times New Roman"/>
                <w:bCs/>
                <w:szCs w:val="20"/>
                <w:lang w:val="en-US" w:eastAsia="zh-CN"/>
              </w:rPr>
              <w:t>P</w:t>
            </w:r>
            <w:r>
              <w:rPr>
                <w:rFonts w:eastAsia="Times New Roman" w:cs="Times New Roman"/>
                <w:bCs/>
                <w:szCs w:val="20"/>
                <w:lang w:val="en-US" w:eastAsia="zh-CN"/>
              </w:rPr>
              <w:t>articipants and physicians blind</w:t>
            </w:r>
            <w:r w:rsidRPr="007E66DD">
              <w:rPr>
                <w:rFonts w:eastAsia="Times New Roman" w:cs="Times New Roman"/>
                <w:bCs/>
                <w:szCs w:val="20"/>
                <w:lang w:val="en-US" w:eastAsia="zh-CN"/>
              </w:rPr>
              <w:t xml:space="preserve"> to NIPT result.</w:t>
            </w:r>
            <w:r>
              <w:rPr>
                <w:rFonts w:eastAsia="Times New Roman" w:cs="Times New Roman"/>
                <w:bCs/>
                <w:szCs w:val="20"/>
                <w:lang w:val="en-US" w:eastAsia="zh-CN"/>
              </w:rPr>
              <w:t xml:space="preserve"> N = </w:t>
            </w:r>
            <w:r w:rsidRPr="003F06D7">
              <w:rPr>
                <w:rFonts w:eastAsia="Times New Roman" w:cs="Times New Roman"/>
                <w:bCs/>
                <w:szCs w:val="20"/>
                <w:lang w:val="en-US" w:eastAsia="zh-CN"/>
              </w:rPr>
              <w:t>18,955</w:t>
            </w:r>
            <w:r>
              <w:rPr>
                <w:rFonts w:eastAsia="Times New Roman" w:cs="Times New Roman"/>
                <w:bCs/>
                <w:szCs w:val="20"/>
                <w:lang w:val="en-US" w:eastAsia="zh-CN"/>
              </w:rPr>
              <w:t xml:space="preserve"> </w:t>
            </w:r>
            <w:r w:rsidRPr="003F06D7">
              <w:rPr>
                <w:rFonts w:eastAsia="Times New Roman" w:cs="Times New Roman"/>
                <w:bCs/>
                <w:szCs w:val="20"/>
                <w:lang w:val="en-US" w:eastAsia="zh-CN"/>
              </w:rPr>
              <w:t>(Can</w:t>
            </w:r>
            <w:r>
              <w:rPr>
                <w:rFonts w:eastAsia="Times New Roman" w:cs="Times New Roman"/>
                <w:bCs/>
                <w:szCs w:val="20"/>
                <w:lang w:val="en-US" w:eastAsia="zh-CN"/>
              </w:rPr>
              <w:t>ada</w:t>
            </w:r>
            <w:r w:rsidRPr="003F06D7">
              <w:rPr>
                <w:rFonts w:eastAsia="Times New Roman" w:cs="Times New Roman"/>
                <w:bCs/>
                <w:szCs w:val="20"/>
                <w:lang w:val="en-US" w:eastAsia="zh-CN"/>
              </w:rPr>
              <w:t>, Eur</w:t>
            </w:r>
            <w:r>
              <w:rPr>
                <w:rFonts w:eastAsia="Times New Roman" w:cs="Times New Roman"/>
                <w:bCs/>
                <w:szCs w:val="20"/>
                <w:lang w:val="en-US" w:eastAsia="zh-CN"/>
              </w:rPr>
              <w:t>ope</w:t>
            </w:r>
            <w:r w:rsidRPr="003F06D7">
              <w:rPr>
                <w:rFonts w:eastAsia="Times New Roman" w:cs="Times New Roman"/>
                <w:bCs/>
                <w:szCs w:val="20"/>
                <w:lang w:val="en-US" w:eastAsia="zh-CN"/>
              </w:rPr>
              <w:t>, US)</w:t>
            </w:r>
            <w:r>
              <w:rPr>
                <w:rFonts w:eastAsia="Times New Roman" w:cs="Times New Roman"/>
                <w:bCs/>
                <w:szCs w:val="20"/>
                <w:lang w:val="en-US" w:eastAsia="zh-CN"/>
              </w:rPr>
              <w:t xml:space="preserve">. Outcomes: Area under the ROC curve </w:t>
            </w:r>
            <w:r w:rsidRPr="003F06D7">
              <w:rPr>
                <w:rFonts w:eastAsia="Times New Roman" w:cs="Times New Roman"/>
                <w:bCs/>
                <w:szCs w:val="20"/>
                <w:lang w:val="en-US" w:eastAsia="zh-CN"/>
              </w:rPr>
              <w:t>(T21)</w:t>
            </w:r>
            <w:r>
              <w:rPr>
                <w:rFonts w:eastAsia="Times New Roman" w:cs="Times New Roman"/>
                <w:bCs/>
                <w:szCs w:val="20"/>
                <w:lang w:val="en-US" w:eastAsia="zh-CN"/>
              </w:rPr>
              <w:t>.</w:t>
            </w:r>
          </w:p>
        </w:tc>
        <w:tc>
          <w:tcPr>
            <w:tcW w:w="2976" w:type="dxa"/>
          </w:tcPr>
          <w:p w:rsidR="0033473C" w:rsidRPr="00B805C5" w:rsidRDefault="0033473C" w:rsidP="001B7CF3">
            <w:pPr>
              <w:spacing w:before="0"/>
              <w:rPr>
                <w:rFonts w:eastAsia="Times New Roman" w:cs="Times New Roman"/>
                <w:bCs/>
                <w:szCs w:val="20"/>
                <w:lang w:val="en-US" w:eastAsia="zh-CN"/>
              </w:rPr>
            </w:pPr>
            <w:r w:rsidRPr="00517313">
              <w:rPr>
                <w:rFonts w:eastAsia="Times New Roman" w:cs="Times New Roman"/>
                <w:bCs/>
                <w:szCs w:val="20"/>
                <w:lang w:val="en-US" w:eastAsia="zh-CN"/>
              </w:rPr>
              <w:t>http://www.nejm.org/doi/full/10.1056/NEJMoa1407349</w:t>
            </w:r>
          </w:p>
        </w:tc>
        <w:tc>
          <w:tcPr>
            <w:tcW w:w="2127" w:type="dxa"/>
          </w:tcPr>
          <w:p w:rsidR="0033473C" w:rsidRPr="00B805C5" w:rsidRDefault="0033473C" w:rsidP="001B7CF3">
            <w:pPr>
              <w:spacing w:before="0"/>
              <w:rPr>
                <w:szCs w:val="20"/>
              </w:rPr>
            </w:pPr>
            <w:r>
              <w:rPr>
                <w:szCs w:val="20"/>
              </w:rPr>
              <w:t xml:space="preserve">23 </w:t>
            </w:r>
            <w:r w:rsidRPr="00B805C5">
              <w:rPr>
                <w:szCs w:val="20"/>
              </w:rPr>
              <w:t>April 2015</w:t>
            </w:r>
          </w:p>
        </w:tc>
      </w:tr>
      <w:tr w:rsidR="0033473C" w:rsidTr="001B7CF3">
        <w:trPr>
          <w:cantSplit/>
        </w:trPr>
        <w:tc>
          <w:tcPr>
            <w:tcW w:w="474" w:type="dxa"/>
          </w:tcPr>
          <w:p w:rsidR="0033473C" w:rsidRPr="00965B6B" w:rsidRDefault="0033473C" w:rsidP="001B7CF3">
            <w:pPr>
              <w:spacing w:before="0"/>
              <w:rPr>
                <w:szCs w:val="20"/>
              </w:rPr>
            </w:pPr>
            <w:r>
              <w:rPr>
                <w:szCs w:val="20"/>
              </w:rPr>
              <w:t>5.</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Clinical experience</w:t>
            </w:r>
          </w:p>
        </w:tc>
        <w:tc>
          <w:tcPr>
            <w:tcW w:w="2428" w:type="dxa"/>
          </w:tcPr>
          <w:p w:rsidR="0033473C" w:rsidRDefault="0033473C" w:rsidP="001B7CF3">
            <w:pPr>
              <w:spacing w:before="0"/>
              <w:rPr>
                <w:rFonts w:eastAsia="Times New Roman" w:cs="Times New Roman"/>
                <w:szCs w:val="20"/>
                <w:lang w:val="en-US" w:eastAsia="zh-CN"/>
              </w:rPr>
            </w:pPr>
            <w:r>
              <w:rPr>
                <w:rFonts w:eastAsia="Times New Roman" w:cs="Times New Roman"/>
                <w:szCs w:val="20"/>
                <w:lang w:val="en-US" w:eastAsia="zh-CN"/>
              </w:rPr>
              <w:t>Willems 2014</w:t>
            </w:r>
          </w:p>
        </w:tc>
        <w:tc>
          <w:tcPr>
            <w:tcW w:w="4253" w:type="dxa"/>
          </w:tcPr>
          <w:p w:rsidR="0033473C" w:rsidRDefault="0033473C" w:rsidP="001B7CF3">
            <w:pPr>
              <w:spacing w:before="0"/>
              <w:rPr>
                <w:rFonts w:eastAsia="Times New Roman" w:cs="Times New Roman"/>
                <w:szCs w:val="20"/>
                <w:lang w:val="en-US" w:eastAsia="zh-CN"/>
              </w:rPr>
            </w:pPr>
            <w:r>
              <w:rPr>
                <w:rFonts w:eastAsia="Times New Roman" w:cs="Times New Roman"/>
                <w:szCs w:val="20"/>
                <w:lang w:val="en-US" w:eastAsia="zh-CN"/>
              </w:rPr>
              <w:t>Clinical experience.</w:t>
            </w:r>
          </w:p>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N = 3000 (Belgium, Netherlands</w:t>
            </w:r>
            <w:r w:rsidRPr="003F06D7">
              <w:rPr>
                <w:rFonts w:eastAsia="Times New Roman" w:cs="Times New Roman"/>
                <w:szCs w:val="20"/>
                <w:lang w:val="en-US" w:eastAsia="zh-CN"/>
              </w:rPr>
              <w:t>)</w:t>
            </w:r>
            <w:r>
              <w:rPr>
                <w:rFonts w:eastAsia="Times New Roman" w:cs="Times New Roman"/>
                <w:szCs w:val="20"/>
                <w:lang w:val="en-US" w:eastAsia="zh-CN"/>
              </w:rPr>
              <w:t xml:space="preserve">. </w:t>
            </w:r>
            <w:r>
              <w:rPr>
                <w:rFonts w:eastAsia="Times New Roman" w:cs="Times New Roman"/>
                <w:bCs/>
                <w:szCs w:val="20"/>
                <w:lang w:val="en-US" w:eastAsia="zh-CN"/>
              </w:rPr>
              <w:t xml:space="preserve">Outcomes: </w:t>
            </w:r>
            <w:r w:rsidRPr="003F06D7">
              <w:rPr>
                <w:rFonts w:eastAsia="Times New Roman" w:cs="Times New Roman"/>
                <w:szCs w:val="20"/>
                <w:lang w:val="en-US" w:eastAsia="zh-CN"/>
              </w:rPr>
              <w:t xml:space="preserve">Sensitivity, specificity, </w:t>
            </w:r>
            <w:r>
              <w:rPr>
                <w:rFonts w:eastAsia="Times New Roman" w:cs="Times New Roman"/>
                <w:szCs w:val="20"/>
                <w:lang w:val="en-US" w:eastAsia="zh-CN"/>
              </w:rPr>
              <w:t>false-negative rate</w:t>
            </w:r>
            <w:r w:rsidRPr="003F06D7">
              <w:rPr>
                <w:rFonts w:eastAsia="Times New Roman" w:cs="Times New Roman"/>
                <w:szCs w:val="20"/>
                <w:lang w:val="en-US" w:eastAsia="zh-CN"/>
              </w:rPr>
              <w:t xml:space="preserve">, </w:t>
            </w:r>
            <w:r>
              <w:rPr>
                <w:rFonts w:eastAsia="Times New Roman" w:cs="Times New Roman"/>
                <w:szCs w:val="20"/>
                <w:lang w:val="en-US" w:eastAsia="zh-CN"/>
              </w:rPr>
              <w:t>false-positive rate.</w:t>
            </w:r>
          </w:p>
        </w:tc>
        <w:tc>
          <w:tcPr>
            <w:tcW w:w="2976" w:type="dxa"/>
          </w:tcPr>
          <w:p w:rsidR="0033473C" w:rsidRPr="00B805C5" w:rsidRDefault="0033473C" w:rsidP="001B7CF3">
            <w:pPr>
              <w:spacing w:before="0"/>
              <w:rPr>
                <w:rFonts w:eastAsia="Times New Roman" w:cs="Times New Roman"/>
                <w:bCs/>
                <w:szCs w:val="20"/>
                <w:lang w:val="en-US" w:eastAsia="zh-CN"/>
              </w:rPr>
            </w:pPr>
            <w:r w:rsidRPr="00B805C5">
              <w:rPr>
                <w:rFonts w:eastAsia="Times New Roman" w:cs="Times New Roman"/>
                <w:bCs/>
                <w:szCs w:val="20"/>
                <w:lang w:val="en-US" w:eastAsia="zh-CN"/>
              </w:rPr>
              <w:t>http://www.fvvo.be/archive/volume-6/number-1/facts/the-first-3000-non-invasive-prenatal-tests-nipt-with-the-harmony-test-in-belgium-and-the-netherlands/</w:t>
            </w:r>
          </w:p>
        </w:tc>
        <w:tc>
          <w:tcPr>
            <w:tcW w:w="2127" w:type="dxa"/>
          </w:tcPr>
          <w:p w:rsidR="0033473C" w:rsidRPr="00B805C5" w:rsidRDefault="0033473C" w:rsidP="001B7CF3">
            <w:pPr>
              <w:spacing w:before="0"/>
              <w:rPr>
                <w:szCs w:val="20"/>
              </w:rPr>
            </w:pPr>
            <w:r w:rsidRPr="00B805C5">
              <w:rPr>
                <w:szCs w:val="20"/>
              </w:rPr>
              <w:t>March 2014</w:t>
            </w:r>
          </w:p>
        </w:tc>
      </w:tr>
      <w:tr w:rsidR="0033473C" w:rsidTr="001B7CF3">
        <w:trPr>
          <w:cantSplit/>
        </w:trPr>
        <w:tc>
          <w:tcPr>
            <w:tcW w:w="474" w:type="dxa"/>
          </w:tcPr>
          <w:p w:rsidR="0033473C" w:rsidRPr="00965B6B" w:rsidRDefault="0033473C" w:rsidP="001B7CF3">
            <w:pPr>
              <w:spacing w:before="0"/>
              <w:rPr>
                <w:szCs w:val="20"/>
              </w:rPr>
            </w:pPr>
            <w:r>
              <w:rPr>
                <w:szCs w:val="20"/>
              </w:rPr>
              <w:t>6.</w:t>
            </w:r>
          </w:p>
        </w:tc>
        <w:tc>
          <w:tcPr>
            <w:tcW w:w="1350"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Prospective cohort</w:t>
            </w:r>
          </w:p>
        </w:tc>
        <w:tc>
          <w:tcPr>
            <w:tcW w:w="2428" w:type="dxa"/>
          </w:tcPr>
          <w:p w:rsidR="0033473C" w:rsidRPr="007E66DD" w:rsidRDefault="0033473C" w:rsidP="001B7CF3">
            <w:pPr>
              <w:spacing w:before="0"/>
              <w:rPr>
                <w:rFonts w:eastAsia="Times New Roman" w:cs="Times New Roman"/>
                <w:bCs/>
                <w:szCs w:val="20"/>
                <w:lang w:val="en-US" w:eastAsia="zh-CN"/>
              </w:rPr>
            </w:pPr>
            <w:proofErr w:type="spellStart"/>
            <w:r>
              <w:rPr>
                <w:rFonts w:eastAsia="Times New Roman" w:cs="Times New Roman"/>
                <w:bCs/>
                <w:szCs w:val="20"/>
                <w:lang w:val="en-US" w:eastAsia="zh-CN"/>
              </w:rPr>
              <w:t>Nicolaides</w:t>
            </w:r>
            <w:proofErr w:type="spellEnd"/>
            <w:r>
              <w:rPr>
                <w:rFonts w:eastAsia="Times New Roman" w:cs="Times New Roman"/>
                <w:bCs/>
                <w:szCs w:val="20"/>
                <w:lang w:val="en-US" w:eastAsia="zh-CN"/>
              </w:rPr>
              <w:t xml:space="preserve"> 2012</w:t>
            </w:r>
          </w:p>
        </w:tc>
        <w:tc>
          <w:tcPr>
            <w:tcW w:w="4253" w:type="dxa"/>
          </w:tcPr>
          <w:p w:rsidR="0033473C" w:rsidRPr="007E66DD" w:rsidRDefault="0033473C" w:rsidP="001B7CF3">
            <w:pPr>
              <w:spacing w:before="0"/>
              <w:rPr>
                <w:rFonts w:eastAsia="Times New Roman" w:cs="Times New Roman"/>
                <w:bCs/>
                <w:szCs w:val="20"/>
                <w:lang w:val="en-US" w:eastAsia="zh-CN"/>
              </w:rPr>
            </w:pPr>
            <w:r w:rsidRPr="007E66DD">
              <w:rPr>
                <w:rFonts w:eastAsia="Times New Roman" w:cs="Times New Roman"/>
                <w:bCs/>
                <w:szCs w:val="20"/>
                <w:lang w:val="en-US" w:eastAsia="zh-CN"/>
              </w:rPr>
              <w:t xml:space="preserve">Blood collected at FTS. NIPT evaluated after invasive testing. Lab </w:t>
            </w:r>
            <w:r>
              <w:rPr>
                <w:rFonts w:eastAsia="Times New Roman" w:cs="Times New Roman"/>
                <w:bCs/>
                <w:szCs w:val="20"/>
                <w:lang w:val="en-US" w:eastAsia="zh-CN"/>
              </w:rPr>
              <w:t>staff</w:t>
            </w:r>
            <w:r w:rsidRPr="007E66DD">
              <w:rPr>
                <w:rFonts w:eastAsia="Times New Roman" w:cs="Times New Roman"/>
                <w:bCs/>
                <w:szCs w:val="20"/>
                <w:lang w:val="en-US" w:eastAsia="zh-CN"/>
              </w:rPr>
              <w:t xml:space="preserve"> blind to trisomy status.</w:t>
            </w:r>
            <w:r>
              <w:rPr>
                <w:rFonts w:eastAsia="Times New Roman" w:cs="Times New Roman"/>
                <w:bCs/>
                <w:szCs w:val="20"/>
                <w:lang w:val="en-US" w:eastAsia="zh-CN"/>
              </w:rPr>
              <w:t xml:space="preserve"> N = 2,049 (UK). Outcomes: S</w:t>
            </w:r>
            <w:r w:rsidRPr="003F06D7">
              <w:rPr>
                <w:rFonts w:eastAsia="Times New Roman" w:cs="Times New Roman"/>
                <w:bCs/>
                <w:szCs w:val="20"/>
                <w:lang w:val="en-US" w:eastAsia="zh-CN"/>
              </w:rPr>
              <w:t>ens</w:t>
            </w:r>
            <w:r>
              <w:rPr>
                <w:rFonts w:eastAsia="Times New Roman" w:cs="Times New Roman"/>
                <w:bCs/>
                <w:szCs w:val="20"/>
                <w:lang w:val="en-US" w:eastAsia="zh-CN"/>
              </w:rPr>
              <w:t xml:space="preserve">itivity (detection rate), false-positive rate (risk cut-off 1%) </w:t>
            </w:r>
            <w:r w:rsidRPr="003F06D7">
              <w:rPr>
                <w:rFonts w:eastAsia="Times New Roman" w:cs="Times New Roman"/>
                <w:bCs/>
                <w:szCs w:val="20"/>
                <w:lang w:val="en-US" w:eastAsia="zh-CN"/>
              </w:rPr>
              <w:t>(T21, T18)</w:t>
            </w:r>
            <w:r>
              <w:rPr>
                <w:rFonts w:eastAsia="Times New Roman" w:cs="Times New Roman"/>
                <w:bCs/>
                <w:szCs w:val="20"/>
                <w:lang w:val="en-US" w:eastAsia="zh-CN"/>
              </w:rPr>
              <w:t>.</w:t>
            </w:r>
          </w:p>
        </w:tc>
        <w:tc>
          <w:tcPr>
            <w:tcW w:w="2976" w:type="dxa"/>
          </w:tcPr>
          <w:p w:rsidR="0033473C" w:rsidRPr="00B805C5" w:rsidRDefault="0033473C" w:rsidP="001B7CF3">
            <w:pPr>
              <w:spacing w:before="0"/>
              <w:rPr>
                <w:szCs w:val="20"/>
              </w:rPr>
            </w:pPr>
            <w:r w:rsidRPr="00B805C5">
              <w:rPr>
                <w:szCs w:val="20"/>
              </w:rPr>
              <w:t>http://www.ajog.org/article/S0002-9378(12)00913-1/abstract</w:t>
            </w:r>
          </w:p>
        </w:tc>
        <w:tc>
          <w:tcPr>
            <w:tcW w:w="2127" w:type="dxa"/>
          </w:tcPr>
          <w:p w:rsidR="0033473C" w:rsidRPr="00B805C5" w:rsidRDefault="0033473C" w:rsidP="001B7CF3">
            <w:pPr>
              <w:spacing w:before="0"/>
              <w:rPr>
                <w:szCs w:val="20"/>
              </w:rPr>
            </w:pPr>
            <w:r w:rsidRPr="00B805C5">
              <w:rPr>
                <w:szCs w:val="20"/>
              </w:rPr>
              <w:t>November 2012</w:t>
            </w:r>
          </w:p>
        </w:tc>
      </w:tr>
      <w:tr w:rsidR="0033473C" w:rsidTr="001B7CF3">
        <w:trPr>
          <w:cantSplit/>
        </w:trPr>
        <w:tc>
          <w:tcPr>
            <w:tcW w:w="474" w:type="dxa"/>
          </w:tcPr>
          <w:p w:rsidR="0033473C" w:rsidRPr="00965B6B" w:rsidRDefault="0033473C" w:rsidP="001B7CF3">
            <w:pPr>
              <w:spacing w:before="0"/>
              <w:rPr>
                <w:szCs w:val="20"/>
              </w:rPr>
            </w:pPr>
            <w:r>
              <w:rPr>
                <w:szCs w:val="20"/>
              </w:rPr>
              <w:t>7.</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Case control</w:t>
            </w:r>
          </w:p>
        </w:tc>
        <w:tc>
          <w:tcPr>
            <w:tcW w:w="2428" w:type="dxa"/>
          </w:tcPr>
          <w:p w:rsidR="0033473C" w:rsidRPr="007E66DD" w:rsidRDefault="0033473C" w:rsidP="001B7CF3">
            <w:pPr>
              <w:spacing w:before="0"/>
              <w:rPr>
                <w:rFonts w:eastAsia="Times New Roman" w:cs="Times New Roman"/>
                <w:szCs w:val="20"/>
                <w:lang w:val="en-US" w:eastAsia="zh-CN"/>
              </w:rPr>
            </w:pPr>
            <w:proofErr w:type="spellStart"/>
            <w:r>
              <w:rPr>
                <w:rFonts w:eastAsia="Times New Roman" w:cs="Times New Roman"/>
                <w:szCs w:val="20"/>
                <w:lang w:val="en-US" w:eastAsia="zh-CN"/>
              </w:rPr>
              <w:t>Ashoor</w:t>
            </w:r>
            <w:proofErr w:type="spellEnd"/>
            <w:r>
              <w:rPr>
                <w:rFonts w:eastAsia="Times New Roman" w:cs="Times New Roman"/>
                <w:szCs w:val="20"/>
                <w:lang w:val="en-US" w:eastAsia="zh-CN"/>
              </w:rPr>
              <w:t xml:space="preserve"> 2013</w:t>
            </w:r>
          </w:p>
        </w:tc>
        <w:tc>
          <w:tcPr>
            <w:tcW w:w="4253" w:type="dxa"/>
          </w:tcPr>
          <w:p w:rsidR="0033473C" w:rsidRPr="007E66DD" w:rsidRDefault="0033473C" w:rsidP="001B7CF3">
            <w:pPr>
              <w:spacing w:before="0"/>
              <w:rPr>
                <w:rFonts w:eastAsia="Times New Roman" w:cs="Times New Roman"/>
                <w:szCs w:val="20"/>
                <w:lang w:val="en-US" w:eastAsia="zh-CN"/>
              </w:rPr>
            </w:pPr>
            <w:r w:rsidRPr="007E66DD">
              <w:rPr>
                <w:rFonts w:eastAsia="Times New Roman" w:cs="Times New Roman"/>
                <w:szCs w:val="20"/>
                <w:lang w:val="en-US" w:eastAsia="zh-CN"/>
              </w:rPr>
              <w:t xml:space="preserve">Blood collected at </w:t>
            </w:r>
            <w:r>
              <w:rPr>
                <w:rFonts w:eastAsia="Times New Roman" w:cs="Times New Roman"/>
                <w:szCs w:val="20"/>
                <w:lang w:val="en-US" w:eastAsia="zh-CN"/>
              </w:rPr>
              <w:t xml:space="preserve">FTS (controls) or after </w:t>
            </w:r>
            <w:r w:rsidRPr="007E66DD">
              <w:rPr>
                <w:rFonts w:eastAsia="Times New Roman" w:cs="Times New Roman"/>
                <w:szCs w:val="20"/>
                <w:lang w:val="en-US" w:eastAsia="zh-CN"/>
              </w:rPr>
              <w:t>invasive testing (cases).</w:t>
            </w:r>
            <w:r>
              <w:rPr>
                <w:rFonts w:eastAsia="Times New Roman" w:cs="Times New Roman"/>
                <w:szCs w:val="20"/>
                <w:lang w:val="en-US" w:eastAsia="zh-CN"/>
              </w:rPr>
              <w:t xml:space="preserve"> N = </w:t>
            </w:r>
            <w:r w:rsidRPr="003F06D7">
              <w:rPr>
                <w:rFonts w:eastAsia="Times New Roman" w:cs="Times New Roman"/>
                <w:szCs w:val="20"/>
                <w:lang w:val="en-US" w:eastAsia="zh-CN"/>
              </w:rPr>
              <w:t>1,949</w:t>
            </w:r>
            <w:r>
              <w:rPr>
                <w:rFonts w:eastAsia="Times New Roman" w:cs="Times New Roman"/>
                <w:szCs w:val="20"/>
                <w:lang w:val="en-US" w:eastAsia="zh-CN"/>
              </w:rPr>
              <w:t xml:space="preserve"> (UK, US). </w:t>
            </w:r>
            <w:r>
              <w:rPr>
                <w:rFonts w:eastAsia="Times New Roman" w:cs="Times New Roman"/>
                <w:bCs/>
                <w:szCs w:val="20"/>
                <w:lang w:val="en-US" w:eastAsia="zh-CN"/>
              </w:rPr>
              <w:t xml:space="preserve">Outcomes: false-positive rate (risk cut-off 1%) </w:t>
            </w:r>
            <w:r w:rsidRPr="003F06D7">
              <w:rPr>
                <w:rFonts w:eastAsia="Times New Roman" w:cs="Times New Roman"/>
                <w:szCs w:val="20"/>
                <w:lang w:val="en-US" w:eastAsia="zh-CN"/>
              </w:rPr>
              <w:t>(T13)</w:t>
            </w:r>
            <w:r>
              <w:rPr>
                <w:rFonts w:eastAsia="Times New Roman" w:cs="Times New Roman"/>
                <w:szCs w:val="20"/>
                <w:lang w:val="en-US" w:eastAsia="zh-CN"/>
              </w:rPr>
              <w:t>.</w:t>
            </w:r>
          </w:p>
        </w:tc>
        <w:tc>
          <w:tcPr>
            <w:tcW w:w="2976" w:type="dxa"/>
          </w:tcPr>
          <w:p w:rsidR="0033473C" w:rsidRPr="00970ADA" w:rsidRDefault="0033473C" w:rsidP="001B7CF3">
            <w:pPr>
              <w:spacing w:before="0"/>
              <w:rPr>
                <w:szCs w:val="20"/>
              </w:rPr>
            </w:pPr>
            <w:r w:rsidRPr="00970ADA">
              <w:rPr>
                <w:szCs w:val="20"/>
              </w:rPr>
              <w:t>http://onlinelibrary.wiley.com/doi/10.1002/uog.12299/abstract</w:t>
            </w:r>
          </w:p>
        </w:tc>
        <w:tc>
          <w:tcPr>
            <w:tcW w:w="2127" w:type="dxa"/>
          </w:tcPr>
          <w:p w:rsidR="0033473C" w:rsidRPr="00B805C5" w:rsidRDefault="0033473C" w:rsidP="001B7CF3">
            <w:pPr>
              <w:spacing w:before="0"/>
              <w:rPr>
                <w:szCs w:val="20"/>
              </w:rPr>
            </w:pPr>
            <w:r>
              <w:rPr>
                <w:szCs w:val="20"/>
              </w:rPr>
              <w:t xml:space="preserve">23 </w:t>
            </w:r>
            <w:r w:rsidRPr="00B805C5">
              <w:rPr>
                <w:szCs w:val="20"/>
              </w:rPr>
              <w:t>November 2012</w:t>
            </w:r>
          </w:p>
        </w:tc>
      </w:tr>
      <w:tr w:rsidR="0033473C" w:rsidTr="001B7CF3">
        <w:trPr>
          <w:cantSplit/>
        </w:trPr>
        <w:tc>
          <w:tcPr>
            <w:tcW w:w="474" w:type="dxa"/>
          </w:tcPr>
          <w:p w:rsidR="0033473C" w:rsidRDefault="0033473C" w:rsidP="001B7CF3">
            <w:pPr>
              <w:spacing w:before="0"/>
              <w:rPr>
                <w:szCs w:val="20"/>
              </w:rPr>
            </w:pPr>
            <w:r>
              <w:rPr>
                <w:szCs w:val="20"/>
              </w:rPr>
              <w:lastRenderedPageBreak/>
              <w:t>8.</w:t>
            </w:r>
          </w:p>
        </w:tc>
        <w:tc>
          <w:tcPr>
            <w:tcW w:w="1350"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Prospective cohort</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Del Mar Gil 2013</w:t>
            </w:r>
          </w:p>
        </w:tc>
        <w:tc>
          <w:tcPr>
            <w:tcW w:w="4253" w:type="dxa"/>
          </w:tcPr>
          <w:p w:rsidR="0033473C" w:rsidRPr="007E66DD" w:rsidRDefault="0033473C" w:rsidP="001B7CF3">
            <w:pPr>
              <w:spacing w:before="0"/>
              <w:rPr>
                <w:rFonts w:eastAsia="Times New Roman" w:cs="Times New Roman"/>
                <w:bCs/>
                <w:szCs w:val="20"/>
                <w:lang w:val="en-US" w:eastAsia="zh-CN"/>
              </w:rPr>
            </w:pPr>
            <w:r w:rsidRPr="007E66DD">
              <w:rPr>
                <w:rFonts w:eastAsia="Times New Roman" w:cs="Times New Roman"/>
                <w:bCs/>
                <w:szCs w:val="20"/>
                <w:lang w:val="en-US" w:eastAsia="zh-CN"/>
              </w:rPr>
              <w:t>Blood</w:t>
            </w:r>
            <w:r>
              <w:rPr>
                <w:rFonts w:eastAsia="Times New Roman" w:cs="Times New Roman"/>
                <w:bCs/>
                <w:szCs w:val="20"/>
                <w:lang w:val="en-US" w:eastAsia="zh-CN"/>
              </w:rPr>
              <w:t xml:space="preserve"> collected at FTS. NIPT evaluated as per</w:t>
            </w:r>
            <w:r w:rsidRPr="007E66DD">
              <w:rPr>
                <w:rFonts w:eastAsia="Times New Roman" w:cs="Times New Roman"/>
                <w:bCs/>
                <w:szCs w:val="20"/>
                <w:lang w:val="en-US" w:eastAsia="zh-CN"/>
              </w:rPr>
              <w:t xml:space="preserve"> practice (prior to determining </w:t>
            </w:r>
            <w:r>
              <w:rPr>
                <w:rFonts w:eastAsia="Times New Roman" w:cs="Times New Roman"/>
                <w:bCs/>
                <w:szCs w:val="20"/>
                <w:lang w:val="en-US" w:eastAsia="zh-CN"/>
              </w:rPr>
              <w:t>need for invasive test</w:t>
            </w:r>
            <w:r w:rsidRPr="007E66DD">
              <w:rPr>
                <w:rFonts w:eastAsia="Times New Roman" w:cs="Times New Roman"/>
                <w:bCs/>
                <w:szCs w:val="20"/>
                <w:lang w:val="en-US" w:eastAsia="zh-CN"/>
              </w:rPr>
              <w:t xml:space="preserve">). Participant and physician </w:t>
            </w:r>
            <w:proofErr w:type="spellStart"/>
            <w:r w:rsidRPr="007E66DD">
              <w:rPr>
                <w:rFonts w:eastAsia="Times New Roman" w:cs="Times New Roman"/>
                <w:bCs/>
                <w:szCs w:val="20"/>
                <w:lang w:val="en-US" w:eastAsia="zh-CN"/>
              </w:rPr>
              <w:t>unblinded</w:t>
            </w:r>
            <w:proofErr w:type="spellEnd"/>
            <w:r w:rsidRPr="007E66DD">
              <w:rPr>
                <w:rFonts w:eastAsia="Times New Roman" w:cs="Times New Roman"/>
                <w:bCs/>
                <w:szCs w:val="20"/>
                <w:lang w:val="en-US" w:eastAsia="zh-CN"/>
              </w:rPr>
              <w:t xml:space="preserve"> to NIPT result.</w:t>
            </w:r>
            <w:r>
              <w:rPr>
                <w:rFonts w:eastAsia="Times New Roman" w:cs="Times New Roman"/>
                <w:bCs/>
                <w:szCs w:val="20"/>
                <w:lang w:val="en-US" w:eastAsia="zh-CN"/>
              </w:rPr>
              <w:t xml:space="preserve"> N = </w:t>
            </w:r>
            <w:r w:rsidRPr="00BE6257">
              <w:rPr>
                <w:rFonts w:eastAsia="Times New Roman" w:cs="Times New Roman"/>
                <w:bCs/>
                <w:szCs w:val="20"/>
                <w:lang w:val="en-US" w:eastAsia="zh-CN"/>
              </w:rPr>
              <w:t>1,005</w:t>
            </w:r>
            <w:r>
              <w:rPr>
                <w:rFonts w:eastAsia="Times New Roman" w:cs="Times New Roman"/>
                <w:bCs/>
                <w:szCs w:val="20"/>
                <w:lang w:val="en-US" w:eastAsia="zh-CN"/>
              </w:rPr>
              <w:t xml:space="preserve"> (UK). Outcomes: false-positive rate</w:t>
            </w:r>
            <w:r w:rsidRPr="00BE6257">
              <w:rPr>
                <w:rFonts w:eastAsia="Times New Roman" w:cs="Times New Roman"/>
                <w:bCs/>
                <w:szCs w:val="20"/>
                <w:lang w:val="en-US" w:eastAsia="zh-CN"/>
              </w:rPr>
              <w:t xml:space="preserve"> (risk cut-off 1%) (T21, T18, T13)</w:t>
            </w:r>
            <w:r>
              <w:rPr>
                <w:rFonts w:eastAsia="Times New Roman" w:cs="Times New Roman"/>
                <w:bCs/>
                <w:szCs w:val="20"/>
                <w:lang w:val="en-US" w:eastAsia="zh-CN"/>
              </w:rPr>
              <w:t>.</w:t>
            </w:r>
          </w:p>
        </w:tc>
        <w:tc>
          <w:tcPr>
            <w:tcW w:w="2976" w:type="dxa"/>
          </w:tcPr>
          <w:p w:rsidR="0033473C" w:rsidRPr="00970ADA" w:rsidRDefault="0033473C" w:rsidP="001B7CF3">
            <w:pPr>
              <w:spacing w:before="0"/>
              <w:rPr>
                <w:szCs w:val="20"/>
              </w:rPr>
            </w:pPr>
            <w:r w:rsidRPr="00970ADA">
              <w:rPr>
                <w:szCs w:val="20"/>
              </w:rPr>
              <w:t>http://onlinelibrary.wiley.com/doi/10.1002/uog.12504/abstract</w:t>
            </w:r>
          </w:p>
        </w:tc>
        <w:tc>
          <w:tcPr>
            <w:tcW w:w="2127" w:type="dxa"/>
          </w:tcPr>
          <w:p w:rsidR="0033473C" w:rsidRPr="00970ADA" w:rsidRDefault="0033473C" w:rsidP="001B7CF3">
            <w:pPr>
              <w:spacing w:before="0"/>
              <w:rPr>
                <w:szCs w:val="20"/>
              </w:rPr>
            </w:pPr>
            <w:r w:rsidRPr="00970ADA">
              <w:rPr>
                <w:szCs w:val="20"/>
              </w:rPr>
              <w:t>7 June 2013</w:t>
            </w:r>
          </w:p>
        </w:tc>
      </w:tr>
      <w:tr w:rsidR="0033473C" w:rsidTr="001B7CF3">
        <w:trPr>
          <w:cantSplit/>
        </w:trPr>
        <w:tc>
          <w:tcPr>
            <w:tcW w:w="474" w:type="dxa"/>
          </w:tcPr>
          <w:p w:rsidR="0033473C" w:rsidRDefault="0033473C" w:rsidP="001B7CF3">
            <w:pPr>
              <w:spacing w:before="0"/>
              <w:rPr>
                <w:szCs w:val="20"/>
              </w:rPr>
            </w:pPr>
            <w:r>
              <w:rPr>
                <w:szCs w:val="20"/>
              </w:rPr>
              <w:t>9.</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Case control</w:t>
            </w:r>
          </w:p>
        </w:tc>
        <w:tc>
          <w:tcPr>
            <w:tcW w:w="2428"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Sparks 2012a</w:t>
            </w:r>
          </w:p>
        </w:tc>
        <w:tc>
          <w:tcPr>
            <w:tcW w:w="4253" w:type="dxa"/>
          </w:tcPr>
          <w:p w:rsidR="0033473C" w:rsidRPr="007E66DD" w:rsidRDefault="0033473C" w:rsidP="001B7CF3">
            <w:pPr>
              <w:spacing w:before="0"/>
              <w:rPr>
                <w:rFonts w:eastAsia="Times New Roman" w:cs="Times New Roman"/>
                <w:szCs w:val="20"/>
                <w:lang w:val="en-US" w:eastAsia="zh-CN"/>
              </w:rPr>
            </w:pPr>
            <w:r w:rsidRPr="007E66DD">
              <w:rPr>
                <w:rFonts w:eastAsia="Times New Roman" w:cs="Times New Roman"/>
                <w:szCs w:val="20"/>
                <w:lang w:val="en-US" w:eastAsia="zh-CN"/>
              </w:rPr>
              <w:t>Compared 'average-risk' women (no invasive testing at time of</w:t>
            </w:r>
            <w:r>
              <w:rPr>
                <w:rFonts w:eastAsia="Times New Roman" w:cs="Times New Roman"/>
                <w:szCs w:val="20"/>
                <w:lang w:val="en-US" w:eastAsia="zh-CN"/>
              </w:rPr>
              <w:t xml:space="preserve"> blood collection) with </w:t>
            </w:r>
            <w:r w:rsidRPr="007E66DD">
              <w:rPr>
                <w:rFonts w:eastAsia="Times New Roman" w:cs="Times New Roman"/>
                <w:szCs w:val="20"/>
                <w:lang w:val="en-US" w:eastAsia="zh-CN"/>
              </w:rPr>
              <w:t>confirmed cases</w:t>
            </w:r>
            <w:r>
              <w:rPr>
                <w:rFonts w:eastAsia="Times New Roman" w:cs="Times New Roman"/>
                <w:szCs w:val="20"/>
                <w:lang w:val="en-US" w:eastAsia="zh-CN"/>
              </w:rPr>
              <w:t xml:space="preserve">. N = </w:t>
            </w:r>
            <w:r w:rsidRPr="00BE6257">
              <w:rPr>
                <w:rFonts w:eastAsia="Times New Roman" w:cs="Times New Roman"/>
                <w:szCs w:val="20"/>
                <w:lang w:val="en-US" w:eastAsia="zh-CN"/>
              </w:rPr>
              <w:t>298</w:t>
            </w:r>
            <w:r>
              <w:rPr>
                <w:rFonts w:eastAsia="Times New Roman" w:cs="Times New Roman"/>
                <w:szCs w:val="20"/>
                <w:lang w:val="en-US" w:eastAsia="zh-CN"/>
              </w:rPr>
              <w:t xml:space="preserve"> (US). Outcomes: </w:t>
            </w:r>
            <w:r w:rsidRPr="00BE6257">
              <w:rPr>
                <w:rFonts w:eastAsia="Times New Roman" w:cs="Times New Roman"/>
                <w:szCs w:val="20"/>
                <w:lang w:val="en-US" w:eastAsia="zh-CN"/>
              </w:rPr>
              <w:t>Z-statistics (risk cut-off not reported) (T21, T18)</w:t>
            </w:r>
            <w:r>
              <w:rPr>
                <w:rFonts w:eastAsia="Times New Roman" w:cs="Times New Roman"/>
                <w:szCs w:val="20"/>
                <w:lang w:val="en-US" w:eastAsia="zh-CN"/>
              </w:rPr>
              <w:t>.</w:t>
            </w:r>
          </w:p>
        </w:tc>
        <w:tc>
          <w:tcPr>
            <w:tcW w:w="2976" w:type="dxa"/>
          </w:tcPr>
          <w:p w:rsidR="0033473C" w:rsidRPr="00970ADA" w:rsidRDefault="0033473C" w:rsidP="001B7CF3">
            <w:pPr>
              <w:spacing w:before="0"/>
              <w:rPr>
                <w:szCs w:val="20"/>
              </w:rPr>
            </w:pPr>
            <w:r w:rsidRPr="00970ADA">
              <w:rPr>
                <w:szCs w:val="20"/>
              </w:rPr>
              <w:t>http://onlinelibrary.wiley.com/doi/10.1002/pd.2922/abstract</w:t>
            </w:r>
          </w:p>
        </w:tc>
        <w:tc>
          <w:tcPr>
            <w:tcW w:w="2127" w:type="dxa"/>
          </w:tcPr>
          <w:p w:rsidR="0033473C" w:rsidRPr="00970ADA" w:rsidRDefault="0033473C" w:rsidP="001B7CF3">
            <w:pPr>
              <w:spacing w:before="0"/>
              <w:rPr>
                <w:szCs w:val="20"/>
              </w:rPr>
            </w:pPr>
            <w:r w:rsidRPr="00970ADA">
              <w:rPr>
                <w:szCs w:val="20"/>
              </w:rPr>
              <w:t>6 January 2012</w:t>
            </w:r>
          </w:p>
        </w:tc>
      </w:tr>
      <w:tr w:rsidR="0033473C" w:rsidTr="001B7CF3">
        <w:trPr>
          <w:cantSplit/>
        </w:trPr>
        <w:tc>
          <w:tcPr>
            <w:tcW w:w="474" w:type="dxa"/>
          </w:tcPr>
          <w:p w:rsidR="0033473C" w:rsidRDefault="0033473C" w:rsidP="001B7CF3">
            <w:pPr>
              <w:spacing w:before="0"/>
              <w:rPr>
                <w:szCs w:val="20"/>
              </w:rPr>
            </w:pPr>
            <w:r>
              <w:rPr>
                <w:szCs w:val="20"/>
              </w:rPr>
              <w:t>10.</w:t>
            </w:r>
          </w:p>
        </w:tc>
        <w:tc>
          <w:tcPr>
            <w:tcW w:w="1350" w:type="dxa"/>
          </w:tcPr>
          <w:p w:rsidR="0033473C" w:rsidRPr="007E66DD" w:rsidRDefault="0033473C" w:rsidP="001B7CF3">
            <w:pPr>
              <w:spacing w:before="0"/>
              <w:rPr>
                <w:rFonts w:eastAsia="Times New Roman" w:cs="Times New Roman"/>
                <w:bCs/>
                <w:szCs w:val="20"/>
                <w:lang w:val="en-US" w:eastAsia="zh-CN"/>
              </w:rPr>
            </w:pPr>
            <w:r w:rsidRPr="007E66DD">
              <w:rPr>
                <w:rFonts w:eastAsia="Times New Roman" w:cs="Times New Roman"/>
                <w:bCs/>
                <w:szCs w:val="20"/>
                <w:lang w:val="en-US" w:eastAsia="zh-CN"/>
              </w:rPr>
              <w:t>Retrospective chart review</w:t>
            </w:r>
          </w:p>
        </w:tc>
        <w:tc>
          <w:tcPr>
            <w:tcW w:w="2428" w:type="dxa"/>
          </w:tcPr>
          <w:p w:rsidR="0033473C" w:rsidRPr="007E66DD" w:rsidRDefault="0033473C" w:rsidP="001B7CF3">
            <w:pPr>
              <w:spacing w:before="0"/>
              <w:rPr>
                <w:rFonts w:eastAsia="Times New Roman" w:cs="Times New Roman"/>
                <w:bCs/>
                <w:szCs w:val="20"/>
                <w:lang w:val="en-US" w:eastAsia="zh-CN"/>
              </w:rPr>
            </w:pPr>
            <w:proofErr w:type="spellStart"/>
            <w:r>
              <w:rPr>
                <w:rFonts w:eastAsia="Times New Roman" w:cs="Times New Roman"/>
                <w:bCs/>
                <w:szCs w:val="20"/>
                <w:lang w:val="en-US" w:eastAsia="zh-CN"/>
              </w:rPr>
              <w:t>Fairbrother</w:t>
            </w:r>
            <w:proofErr w:type="spellEnd"/>
            <w:r>
              <w:rPr>
                <w:rFonts w:eastAsia="Times New Roman" w:cs="Times New Roman"/>
                <w:bCs/>
                <w:szCs w:val="20"/>
                <w:lang w:val="en-US" w:eastAsia="zh-CN"/>
              </w:rPr>
              <w:t xml:space="preserve"> 2013</w:t>
            </w:r>
          </w:p>
        </w:tc>
        <w:tc>
          <w:tcPr>
            <w:tcW w:w="4253"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 xml:space="preserve">Comparing NIPT and FTS. </w:t>
            </w:r>
            <w:r w:rsidRPr="007E66DD">
              <w:rPr>
                <w:rFonts w:eastAsia="Times New Roman" w:cs="Times New Roman"/>
                <w:bCs/>
                <w:szCs w:val="20"/>
                <w:lang w:val="en-US" w:eastAsia="zh-CN"/>
              </w:rPr>
              <w:t>Actual practice with NIPT implementation</w:t>
            </w:r>
            <w:r>
              <w:rPr>
                <w:rFonts w:eastAsia="Times New Roman" w:cs="Times New Roman"/>
                <w:bCs/>
                <w:szCs w:val="20"/>
                <w:lang w:val="en-US" w:eastAsia="zh-CN"/>
              </w:rPr>
              <w:t xml:space="preserve">. N = </w:t>
            </w:r>
            <w:r w:rsidRPr="00BE6257">
              <w:rPr>
                <w:rFonts w:eastAsia="Times New Roman" w:cs="Times New Roman"/>
                <w:bCs/>
                <w:szCs w:val="20"/>
                <w:lang w:val="en-US" w:eastAsia="zh-CN"/>
              </w:rPr>
              <w:t>289</w:t>
            </w:r>
            <w:r>
              <w:rPr>
                <w:rFonts w:eastAsia="Times New Roman" w:cs="Times New Roman"/>
                <w:bCs/>
                <w:szCs w:val="20"/>
                <w:lang w:val="en-US" w:eastAsia="zh-CN"/>
              </w:rPr>
              <w:t xml:space="preserve"> (US). Outcomes: </w:t>
            </w:r>
            <w:r w:rsidRPr="00BE6257">
              <w:rPr>
                <w:rFonts w:eastAsia="Times New Roman" w:cs="Times New Roman"/>
                <w:bCs/>
                <w:szCs w:val="20"/>
                <w:lang w:val="en-US" w:eastAsia="zh-CN"/>
              </w:rPr>
              <w:t>Negative and positive ra</w:t>
            </w:r>
            <w:r>
              <w:rPr>
                <w:rFonts w:eastAsia="Times New Roman" w:cs="Times New Roman"/>
                <w:bCs/>
                <w:szCs w:val="20"/>
                <w:lang w:val="en-US" w:eastAsia="zh-CN"/>
              </w:rPr>
              <w:t xml:space="preserve">tes (risk cut-off not reported) </w:t>
            </w:r>
            <w:r w:rsidRPr="00BE6257">
              <w:rPr>
                <w:rFonts w:eastAsia="Times New Roman" w:cs="Times New Roman"/>
                <w:bCs/>
                <w:szCs w:val="20"/>
                <w:lang w:val="en-US" w:eastAsia="zh-CN"/>
              </w:rPr>
              <w:t>(T21, T18, T13)</w:t>
            </w:r>
            <w:r>
              <w:rPr>
                <w:rFonts w:eastAsia="Times New Roman" w:cs="Times New Roman"/>
                <w:bCs/>
                <w:szCs w:val="20"/>
                <w:lang w:val="en-US" w:eastAsia="zh-CN"/>
              </w:rPr>
              <w:t>.</w:t>
            </w:r>
          </w:p>
        </w:tc>
        <w:tc>
          <w:tcPr>
            <w:tcW w:w="2976" w:type="dxa"/>
          </w:tcPr>
          <w:p w:rsidR="0033473C" w:rsidRPr="00970ADA" w:rsidRDefault="0033473C" w:rsidP="001B7CF3">
            <w:pPr>
              <w:spacing w:before="0"/>
              <w:rPr>
                <w:szCs w:val="20"/>
              </w:rPr>
            </w:pPr>
            <w:r w:rsidRPr="00970ADA">
              <w:rPr>
                <w:szCs w:val="20"/>
              </w:rPr>
              <w:t>http://onlinelibrary.wiley.com/doi/10.1002/pd.4092/abstract</w:t>
            </w:r>
          </w:p>
        </w:tc>
        <w:tc>
          <w:tcPr>
            <w:tcW w:w="2127" w:type="dxa"/>
          </w:tcPr>
          <w:p w:rsidR="0033473C" w:rsidRPr="00970ADA" w:rsidRDefault="0033473C" w:rsidP="001B7CF3">
            <w:pPr>
              <w:spacing w:before="0"/>
              <w:rPr>
                <w:szCs w:val="20"/>
              </w:rPr>
            </w:pPr>
            <w:r w:rsidRPr="00970ADA">
              <w:rPr>
                <w:szCs w:val="20"/>
              </w:rPr>
              <w:t>15 March 2013</w:t>
            </w:r>
          </w:p>
        </w:tc>
      </w:tr>
      <w:tr w:rsidR="0033473C" w:rsidTr="001B7CF3">
        <w:trPr>
          <w:cantSplit/>
        </w:trPr>
        <w:tc>
          <w:tcPr>
            <w:tcW w:w="474" w:type="dxa"/>
          </w:tcPr>
          <w:p w:rsidR="0033473C" w:rsidRDefault="0033473C" w:rsidP="001B7CF3">
            <w:pPr>
              <w:spacing w:before="0"/>
              <w:rPr>
                <w:szCs w:val="20"/>
              </w:rPr>
            </w:pPr>
            <w:r>
              <w:rPr>
                <w:szCs w:val="20"/>
              </w:rPr>
              <w:t>11</w:t>
            </w:r>
          </w:p>
        </w:tc>
        <w:tc>
          <w:tcPr>
            <w:tcW w:w="1350" w:type="dxa"/>
          </w:tcPr>
          <w:p w:rsidR="0033473C" w:rsidRPr="007E66DD" w:rsidRDefault="0033473C" w:rsidP="001B7CF3">
            <w:pPr>
              <w:spacing w:before="0"/>
              <w:rPr>
                <w:rFonts w:eastAsia="Times New Roman" w:cs="Times New Roman"/>
                <w:szCs w:val="20"/>
                <w:lang w:val="en-US" w:eastAsia="zh-CN"/>
              </w:rPr>
            </w:pPr>
            <w:r w:rsidRPr="007E66DD">
              <w:rPr>
                <w:rFonts w:eastAsia="Times New Roman" w:cs="Times New Roman"/>
                <w:szCs w:val="20"/>
                <w:lang w:val="en-US" w:eastAsia="zh-CN"/>
              </w:rPr>
              <w:t>Retrospective</w:t>
            </w:r>
            <w:r>
              <w:rPr>
                <w:rFonts w:eastAsia="Times New Roman" w:cs="Times New Roman"/>
                <w:szCs w:val="20"/>
                <w:lang w:val="en-US" w:eastAsia="zh-CN"/>
              </w:rPr>
              <w:t xml:space="preserve"> and p</w:t>
            </w:r>
            <w:r w:rsidRPr="007E66DD">
              <w:rPr>
                <w:rFonts w:eastAsia="Times New Roman" w:cs="Times New Roman"/>
                <w:szCs w:val="20"/>
                <w:lang w:val="en-US" w:eastAsia="zh-CN"/>
              </w:rPr>
              <w:t>rospective</w:t>
            </w:r>
          </w:p>
        </w:tc>
        <w:tc>
          <w:tcPr>
            <w:tcW w:w="2428"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Del Mar Gil 2014</w:t>
            </w:r>
          </w:p>
        </w:tc>
        <w:tc>
          <w:tcPr>
            <w:tcW w:w="4253" w:type="dxa"/>
          </w:tcPr>
          <w:p w:rsidR="0033473C" w:rsidRPr="007E66DD" w:rsidRDefault="0033473C" w:rsidP="001B7CF3">
            <w:pPr>
              <w:spacing w:before="0"/>
              <w:rPr>
                <w:rFonts w:eastAsia="Times New Roman" w:cs="Times New Roman"/>
                <w:szCs w:val="20"/>
                <w:lang w:val="en-US" w:eastAsia="zh-CN"/>
              </w:rPr>
            </w:pPr>
            <w:r w:rsidRPr="007E66DD">
              <w:rPr>
                <w:rFonts w:eastAsia="Times New Roman" w:cs="Times New Roman"/>
                <w:szCs w:val="20"/>
                <w:lang w:val="en-US" w:eastAsia="zh-CN"/>
              </w:rPr>
              <w:t>N</w:t>
            </w:r>
            <w:r>
              <w:rPr>
                <w:rFonts w:eastAsia="Times New Roman" w:cs="Times New Roman"/>
                <w:szCs w:val="20"/>
                <w:lang w:val="en-US" w:eastAsia="zh-CN"/>
              </w:rPr>
              <w:t xml:space="preserve">IPT evaluated after invasive test result, using blood </w:t>
            </w:r>
            <w:r w:rsidRPr="007E66DD">
              <w:rPr>
                <w:rFonts w:eastAsia="Times New Roman" w:cs="Times New Roman"/>
                <w:szCs w:val="20"/>
                <w:lang w:val="en-US" w:eastAsia="zh-CN"/>
              </w:rPr>
              <w:t>collected at FTS</w:t>
            </w:r>
            <w:r>
              <w:rPr>
                <w:rFonts w:eastAsia="Times New Roman" w:cs="Times New Roman"/>
                <w:szCs w:val="20"/>
                <w:lang w:val="en-US" w:eastAsia="zh-CN"/>
              </w:rPr>
              <w:t xml:space="preserve">, and </w:t>
            </w:r>
            <w:r w:rsidRPr="007E66DD">
              <w:rPr>
                <w:rFonts w:eastAsia="Times New Roman" w:cs="Times New Roman"/>
                <w:szCs w:val="20"/>
                <w:lang w:val="en-US" w:eastAsia="zh-CN"/>
              </w:rPr>
              <w:t>NIPT as per actual practice</w:t>
            </w:r>
            <w:r>
              <w:rPr>
                <w:rFonts w:eastAsia="Times New Roman" w:cs="Times New Roman"/>
                <w:szCs w:val="20"/>
                <w:lang w:val="en-US" w:eastAsia="zh-CN"/>
              </w:rPr>
              <w:t xml:space="preserve">. N = 275 </w:t>
            </w:r>
            <w:r w:rsidRPr="00BE6257">
              <w:rPr>
                <w:rFonts w:eastAsia="Times New Roman" w:cs="Times New Roman"/>
                <w:szCs w:val="20"/>
                <w:lang w:val="en-US" w:eastAsia="zh-CN"/>
              </w:rPr>
              <w:t>(UK)</w:t>
            </w:r>
            <w:r>
              <w:rPr>
                <w:rFonts w:eastAsia="Times New Roman" w:cs="Times New Roman"/>
                <w:szCs w:val="20"/>
                <w:lang w:val="en-US" w:eastAsia="zh-CN"/>
              </w:rPr>
              <w:t xml:space="preserve">. Outcomes: Sensitivity (detection rate), </w:t>
            </w:r>
            <w:r>
              <w:rPr>
                <w:rFonts w:eastAsia="Times New Roman" w:cs="Times New Roman"/>
                <w:bCs/>
                <w:szCs w:val="20"/>
                <w:lang w:val="en-US" w:eastAsia="zh-CN"/>
              </w:rPr>
              <w:t xml:space="preserve">false-positive rate (risk cut-off 1%) </w:t>
            </w:r>
            <w:r w:rsidRPr="00BE6257">
              <w:rPr>
                <w:rFonts w:eastAsia="Times New Roman" w:cs="Times New Roman"/>
                <w:szCs w:val="20"/>
                <w:lang w:val="en-US" w:eastAsia="zh-CN"/>
              </w:rPr>
              <w:t>(T21, T18, T13 in twins)</w:t>
            </w:r>
            <w:r>
              <w:rPr>
                <w:rFonts w:eastAsia="Times New Roman" w:cs="Times New Roman"/>
                <w:szCs w:val="20"/>
                <w:lang w:val="en-US" w:eastAsia="zh-CN"/>
              </w:rPr>
              <w:t>.</w:t>
            </w:r>
          </w:p>
        </w:tc>
        <w:tc>
          <w:tcPr>
            <w:tcW w:w="2976" w:type="dxa"/>
          </w:tcPr>
          <w:p w:rsidR="0033473C" w:rsidRPr="00970ADA" w:rsidRDefault="0033473C" w:rsidP="001B7CF3">
            <w:pPr>
              <w:spacing w:before="0"/>
              <w:rPr>
                <w:szCs w:val="20"/>
              </w:rPr>
            </w:pPr>
            <w:r w:rsidRPr="00970ADA">
              <w:rPr>
                <w:szCs w:val="20"/>
              </w:rPr>
              <w:t>http://www.karger.com/Article/FullText/356495</w:t>
            </w:r>
          </w:p>
        </w:tc>
        <w:tc>
          <w:tcPr>
            <w:tcW w:w="2127" w:type="dxa"/>
          </w:tcPr>
          <w:p w:rsidR="0033473C" w:rsidRPr="00970ADA" w:rsidRDefault="0033473C" w:rsidP="001B7CF3">
            <w:pPr>
              <w:spacing w:before="0"/>
              <w:rPr>
                <w:szCs w:val="20"/>
              </w:rPr>
            </w:pPr>
            <w:r w:rsidRPr="00970ADA">
              <w:rPr>
                <w:szCs w:val="20"/>
              </w:rPr>
              <w:t>June 2014</w:t>
            </w:r>
          </w:p>
        </w:tc>
      </w:tr>
      <w:tr w:rsidR="0033473C" w:rsidTr="001B7CF3">
        <w:trPr>
          <w:cantSplit/>
        </w:trPr>
        <w:tc>
          <w:tcPr>
            <w:tcW w:w="474" w:type="dxa"/>
          </w:tcPr>
          <w:p w:rsidR="0033473C" w:rsidRDefault="0033473C" w:rsidP="001B7CF3">
            <w:pPr>
              <w:spacing w:before="0"/>
              <w:rPr>
                <w:szCs w:val="20"/>
              </w:rPr>
            </w:pPr>
            <w:r>
              <w:rPr>
                <w:szCs w:val="20"/>
              </w:rPr>
              <w:t>12.</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Prospective cohort</w:t>
            </w:r>
          </w:p>
        </w:tc>
        <w:tc>
          <w:tcPr>
            <w:tcW w:w="2428" w:type="dxa"/>
          </w:tcPr>
          <w:p w:rsidR="0033473C" w:rsidRPr="007E66DD" w:rsidRDefault="0033473C" w:rsidP="001B7CF3">
            <w:pPr>
              <w:spacing w:before="0"/>
              <w:rPr>
                <w:rFonts w:eastAsia="Times New Roman" w:cs="Times New Roman"/>
                <w:szCs w:val="20"/>
                <w:lang w:val="en-US" w:eastAsia="zh-CN"/>
              </w:rPr>
            </w:pPr>
            <w:proofErr w:type="spellStart"/>
            <w:r>
              <w:rPr>
                <w:rFonts w:eastAsia="Times New Roman" w:cs="Times New Roman"/>
                <w:szCs w:val="20"/>
                <w:lang w:val="en-US" w:eastAsia="zh-CN"/>
              </w:rPr>
              <w:t>Stokowksi</w:t>
            </w:r>
            <w:proofErr w:type="spellEnd"/>
            <w:r>
              <w:rPr>
                <w:rFonts w:eastAsia="Times New Roman" w:cs="Times New Roman"/>
                <w:szCs w:val="20"/>
                <w:lang w:val="en-US" w:eastAsia="zh-CN"/>
              </w:rPr>
              <w:t xml:space="preserve"> 2015</w:t>
            </w:r>
          </w:p>
        </w:tc>
        <w:tc>
          <w:tcPr>
            <w:tcW w:w="4253" w:type="dxa"/>
          </w:tcPr>
          <w:p w:rsidR="0033473C" w:rsidRPr="007E66DD" w:rsidRDefault="0033473C" w:rsidP="001B7CF3">
            <w:pPr>
              <w:spacing w:before="0"/>
              <w:rPr>
                <w:rFonts w:eastAsia="Times New Roman" w:cs="Times New Roman"/>
                <w:szCs w:val="20"/>
                <w:lang w:val="en-US" w:eastAsia="zh-CN"/>
              </w:rPr>
            </w:pPr>
            <w:r w:rsidRPr="007E66DD">
              <w:rPr>
                <w:rFonts w:eastAsia="Times New Roman" w:cs="Times New Roman"/>
                <w:szCs w:val="20"/>
                <w:lang w:val="en-US" w:eastAsia="zh-CN"/>
              </w:rPr>
              <w:t>N</w:t>
            </w:r>
            <w:r>
              <w:rPr>
                <w:rFonts w:eastAsia="Times New Roman" w:cs="Times New Roman"/>
                <w:szCs w:val="20"/>
                <w:lang w:val="en-US" w:eastAsia="zh-CN"/>
              </w:rPr>
              <w:t xml:space="preserve">IPT evaluated after invasive test result or karyotyping at birth. N = 799 </w:t>
            </w:r>
            <w:r w:rsidRPr="00BE6257">
              <w:rPr>
                <w:rFonts w:eastAsia="Times New Roman" w:cs="Times New Roman"/>
                <w:szCs w:val="20"/>
                <w:lang w:val="en-US" w:eastAsia="zh-CN"/>
              </w:rPr>
              <w:t>(</w:t>
            </w:r>
            <w:r>
              <w:rPr>
                <w:rFonts w:eastAsia="Times New Roman" w:cs="Times New Roman"/>
                <w:szCs w:val="20"/>
                <w:lang w:val="en-US" w:eastAsia="zh-CN"/>
              </w:rPr>
              <w:t xml:space="preserve">Sweden, </w:t>
            </w:r>
            <w:r w:rsidRPr="00BE6257">
              <w:rPr>
                <w:rFonts w:eastAsia="Times New Roman" w:cs="Times New Roman"/>
                <w:szCs w:val="20"/>
                <w:lang w:val="en-US" w:eastAsia="zh-CN"/>
              </w:rPr>
              <w:t>UK</w:t>
            </w:r>
            <w:r>
              <w:rPr>
                <w:rFonts w:eastAsia="Times New Roman" w:cs="Times New Roman"/>
                <w:szCs w:val="20"/>
                <w:lang w:val="en-US" w:eastAsia="zh-CN"/>
              </w:rPr>
              <w:t>, US</w:t>
            </w:r>
            <w:r w:rsidRPr="00BE6257">
              <w:rPr>
                <w:rFonts w:eastAsia="Times New Roman" w:cs="Times New Roman"/>
                <w:szCs w:val="20"/>
                <w:lang w:val="en-US" w:eastAsia="zh-CN"/>
              </w:rPr>
              <w:t>)</w:t>
            </w:r>
            <w:r>
              <w:rPr>
                <w:rFonts w:eastAsia="Times New Roman" w:cs="Times New Roman"/>
                <w:szCs w:val="20"/>
                <w:lang w:val="en-US" w:eastAsia="zh-CN"/>
              </w:rPr>
              <w:t xml:space="preserve">. Outcomes: Sensitivity (detection rate), specificity </w:t>
            </w:r>
            <w:r w:rsidRPr="00BE6257">
              <w:rPr>
                <w:rFonts w:eastAsia="Times New Roman" w:cs="Times New Roman"/>
                <w:szCs w:val="20"/>
                <w:lang w:val="en-US" w:eastAsia="zh-CN"/>
              </w:rPr>
              <w:t>(T21, T18, T13)</w:t>
            </w:r>
            <w:r>
              <w:rPr>
                <w:rFonts w:eastAsia="Times New Roman" w:cs="Times New Roman"/>
                <w:szCs w:val="20"/>
                <w:lang w:val="en-US" w:eastAsia="zh-CN"/>
              </w:rPr>
              <w:t>.</w:t>
            </w:r>
          </w:p>
        </w:tc>
        <w:tc>
          <w:tcPr>
            <w:tcW w:w="2976" w:type="dxa"/>
          </w:tcPr>
          <w:p w:rsidR="0033473C" w:rsidRPr="00970ADA" w:rsidRDefault="0033473C" w:rsidP="001B7CF3">
            <w:pPr>
              <w:spacing w:before="0"/>
              <w:rPr>
                <w:szCs w:val="20"/>
              </w:rPr>
            </w:pPr>
            <w:r w:rsidRPr="00970ADA">
              <w:rPr>
                <w:szCs w:val="20"/>
              </w:rPr>
              <w:t>http://www.karger.com/Article/FullText/356495</w:t>
            </w:r>
          </w:p>
        </w:tc>
        <w:tc>
          <w:tcPr>
            <w:tcW w:w="2127" w:type="dxa"/>
          </w:tcPr>
          <w:p w:rsidR="0033473C" w:rsidRPr="00970ADA" w:rsidRDefault="0033473C" w:rsidP="001B7CF3">
            <w:pPr>
              <w:spacing w:before="0"/>
              <w:rPr>
                <w:szCs w:val="20"/>
              </w:rPr>
            </w:pPr>
            <w:r w:rsidRPr="00970ADA">
              <w:rPr>
                <w:szCs w:val="20"/>
              </w:rPr>
              <w:t>June 2014</w:t>
            </w:r>
          </w:p>
        </w:tc>
      </w:tr>
      <w:tr w:rsidR="0033473C" w:rsidTr="0033473C">
        <w:trPr>
          <w:cantSplit/>
        </w:trPr>
        <w:tc>
          <w:tcPr>
            <w:tcW w:w="13608" w:type="dxa"/>
            <w:gridSpan w:val="6"/>
          </w:tcPr>
          <w:p w:rsidR="0033473C" w:rsidRPr="00E82F54" w:rsidRDefault="0033473C" w:rsidP="001B7CF3">
            <w:pPr>
              <w:spacing w:before="0"/>
              <w:rPr>
                <w:b/>
                <w:szCs w:val="20"/>
              </w:rPr>
            </w:pPr>
            <w:r w:rsidRPr="00BE6257">
              <w:rPr>
                <w:szCs w:val="20"/>
              </w:rPr>
              <w:t>Trisomy high-risk population</w:t>
            </w:r>
          </w:p>
        </w:tc>
      </w:tr>
      <w:tr w:rsidR="0033473C" w:rsidTr="001B7CF3">
        <w:trPr>
          <w:cantSplit/>
        </w:trPr>
        <w:tc>
          <w:tcPr>
            <w:tcW w:w="474" w:type="dxa"/>
          </w:tcPr>
          <w:p w:rsidR="0033473C" w:rsidRDefault="0033473C" w:rsidP="001B7CF3">
            <w:pPr>
              <w:spacing w:before="0"/>
              <w:rPr>
                <w:szCs w:val="20"/>
              </w:rPr>
            </w:pPr>
            <w:r>
              <w:rPr>
                <w:szCs w:val="20"/>
              </w:rPr>
              <w:t>13.</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Prospective cohort</w:t>
            </w:r>
          </w:p>
        </w:tc>
        <w:tc>
          <w:tcPr>
            <w:tcW w:w="2428"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Norton 2012</w:t>
            </w:r>
          </w:p>
        </w:tc>
        <w:tc>
          <w:tcPr>
            <w:tcW w:w="4253" w:type="dxa"/>
          </w:tcPr>
          <w:p w:rsidR="0033473C" w:rsidRPr="007E66DD" w:rsidRDefault="0033473C" w:rsidP="001B7CF3">
            <w:pPr>
              <w:spacing w:before="0"/>
              <w:rPr>
                <w:rFonts w:eastAsia="Times New Roman" w:cs="Times New Roman"/>
                <w:szCs w:val="20"/>
                <w:lang w:val="en-US" w:eastAsia="zh-CN"/>
              </w:rPr>
            </w:pPr>
            <w:r w:rsidRPr="007E66DD">
              <w:rPr>
                <w:rFonts w:eastAsia="Times New Roman" w:cs="Times New Roman"/>
                <w:szCs w:val="20"/>
                <w:lang w:val="en-US" w:eastAsia="zh-CN"/>
              </w:rPr>
              <w:t xml:space="preserve">Blood collected prior to invasive testing. NIPT evaluated after </w:t>
            </w:r>
            <w:r>
              <w:rPr>
                <w:rFonts w:eastAsia="Times New Roman" w:cs="Times New Roman"/>
                <w:szCs w:val="20"/>
                <w:lang w:val="en-US" w:eastAsia="zh-CN"/>
              </w:rPr>
              <w:t xml:space="preserve">invasive test. </w:t>
            </w:r>
            <w:r w:rsidRPr="007E66DD">
              <w:rPr>
                <w:rFonts w:eastAsia="Times New Roman" w:cs="Times New Roman"/>
                <w:szCs w:val="20"/>
                <w:lang w:val="en-US" w:eastAsia="zh-CN"/>
              </w:rPr>
              <w:t xml:space="preserve">Lab </w:t>
            </w:r>
            <w:r>
              <w:rPr>
                <w:rFonts w:eastAsia="Times New Roman" w:cs="Times New Roman"/>
                <w:szCs w:val="20"/>
                <w:lang w:val="en-US" w:eastAsia="zh-CN"/>
              </w:rPr>
              <w:t>staff</w:t>
            </w:r>
            <w:r w:rsidRPr="007E66DD">
              <w:rPr>
                <w:rFonts w:eastAsia="Times New Roman" w:cs="Times New Roman"/>
                <w:szCs w:val="20"/>
                <w:lang w:val="en-US" w:eastAsia="zh-CN"/>
              </w:rPr>
              <w:t xml:space="preserve"> blind to </w:t>
            </w:r>
            <w:r>
              <w:rPr>
                <w:rFonts w:eastAsia="Times New Roman" w:cs="Times New Roman"/>
                <w:szCs w:val="20"/>
                <w:lang w:val="en-US" w:eastAsia="zh-CN"/>
              </w:rPr>
              <w:t>invasive test result</w:t>
            </w:r>
            <w:r w:rsidRPr="007E66DD">
              <w:rPr>
                <w:rFonts w:eastAsia="Times New Roman" w:cs="Times New Roman"/>
                <w:szCs w:val="20"/>
                <w:lang w:val="en-US" w:eastAsia="zh-CN"/>
              </w:rPr>
              <w:t>.</w:t>
            </w:r>
            <w:r>
              <w:rPr>
                <w:rFonts w:eastAsia="Times New Roman" w:cs="Times New Roman"/>
                <w:szCs w:val="20"/>
                <w:lang w:val="en-US" w:eastAsia="zh-CN"/>
              </w:rPr>
              <w:t xml:space="preserve"> N = 3,228 </w:t>
            </w:r>
            <w:r w:rsidRPr="00BE6257">
              <w:rPr>
                <w:rFonts w:eastAsia="Times New Roman" w:cs="Times New Roman"/>
                <w:szCs w:val="20"/>
                <w:lang w:val="en-US" w:eastAsia="zh-CN"/>
              </w:rPr>
              <w:t>(Neth</w:t>
            </w:r>
            <w:r>
              <w:rPr>
                <w:rFonts w:eastAsia="Times New Roman" w:cs="Times New Roman"/>
                <w:szCs w:val="20"/>
                <w:lang w:val="en-US" w:eastAsia="zh-CN"/>
              </w:rPr>
              <w:t>erlands</w:t>
            </w:r>
            <w:r w:rsidRPr="00BE6257">
              <w:rPr>
                <w:rFonts w:eastAsia="Times New Roman" w:cs="Times New Roman"/>
                <w:szCs w:val="20"/>
                <w:lang w:val="en-US" w:eastAsia="zh-CN"/>
              </w:rPr>
              <w:t>, Swe</w:t>
            </w:r>
            <w:r>
              <w:rPr>
                <w:rFonts w:eastAsia="Times New Roman" w:cs="Times New Roman"/>
                <w:szCs w:val="20"/>
                <w:lang w:val="en-US" w:eastAsia="zh-CN"/>
              </w:rPr>
              <w:t xml:space="preserve">den, US). Outcomes: </w:t>
            </w:r>
            <w:r w:rsidRPr="00BE6257">
              <w:rPr>
                <w:rFonts w:eastAsia="Times New Roman" w:cs="Times New Roman"/>
                <w:szCs w:val="20"/>
                <w:lang w:val="en-US" w:eastAsia="zh-CN"/>
              </w:rPr>
              <w:t>Sensitivity</w:t>
            </w:r>
            <w:r>
              <w:rPr>
                <w:rFonts w:eastAsia="Times New Roman" w:cs="Times New Roman"/>
                <w:szCs w:val="20"/>
                <w:lang w:val="en-US" w:eastAsia="zh-CN"/>
              </w:rPr>
              <w:t xml:space="preserve">, specificity (by risk cut-off) </w:t>
            </w:r>
            <w:r w:rsidRPr="00BE6257">
              <w:rPr>
                <w:rFonts w:eastAsia="Times New Roman" w:cs="Times New Roman"/>
                <w:szCs w:val="20"/>
                <w:lang w:val="en-US" w:eastAsia="zh-CN"/>
              </w:rPr>
              <w:t>(T21, T18)</w:t>
            </w:r>
            <w:r>
              <w:rPr>
                <w:rFonts w:eastAsia="Times New Roman" w:cs="Times New Roman"/>
                <w:szCs w:val="20"/>
                <w:lang w:val="en-US" w:eastAsia="zh-CN"/>
              </w:rPr>
              <w:t>.</w:t>
            </w:r>
          </w:p>
        </w:tc>
        <w:tc>
          <w:tcPr>
            <w:tcW w:w="2976" w:type="dxa"/>
          </w:tcPr>
          <w:p w:rsidR="0033473C" w:rsidRPr="00970ADA" w:rsidRDefault="0033473C" w:rsidP="001B7CF3">
            <w:pPr>
              <w:spacing w:before="0"/>
              <w:rPr>
                <w:szCs w:val="20"/>
              </w:rPr>
            </w:pPr>
            <w:r w:rsidRPr="00970ADA">
              <w:rPr>
                <w:szCs w:val="20"/>
              </w:rPr>
              <w:t>http://www.ajog.org/article/S0002-9378(12)00584-4/abstract</w:t>
            </w:r>
          </w:p>
        </w:tc>
        <w:tc>
          <w:tcPr>
            <w:tcW w:w="2127" w:type="dxa"/>
          </w:tcPr>
          <w:p w:rsidR="0033473C" w:rsidRPr="00970ADA" w:rsidRDefault="0033473C" w:rsidP="001B7CF3">
            <w:pPr>
              <w:spacing w:before="0"/>
              <w:rPr>
                <w:szCs w:val="20"/>
              </w:rPr>
            </w:pPr>
            <w:r w:rsidRPr="00970ADA">
              <w:rPr>
                <w:szCs w:val="20"/>
              </w:rPr>
              <w:t>August 2012</w:t>
            </w:r>
          </w:p>
        </w:tc>
      </w:tr>
      <w:tr w:rsidR="0033473C" w:rsidTr="001B7CF3">
        <w:trPr>
          <w:cantSplit/>
        </w:trPr>
        <w:tc>
          <w:tcPr>
            <w:tcW w:w="474" w:type="dxa"/>
          </w:tcPr>
          <w:p w:rsidR="0033473C" w:rsidRDefault="0033473C" w:rsidP="001B7CF3">
            <w:pPr>
              <w:spacing w:before="0"/>
              <w:rPr>
                <w:szCs w:val="20"/>
              </w:rPr>
            </w:pPr>
            <w:r>
              <w:rPr>
                <w:szCs w:val="20"/>
              </w:rPr>
              <w:lastRenderedPageBreak/>
              <w:t>14.</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Prospective consecutive cohort</w:t>
            </w:r>
          </w:p>
        </w:tc>
        <w:tc>
          <w:tcPr>
            <w:tcW w:w="2428" w:type="dxa"/>
          </w:tcPr>
          <w:p w:rsidR="0033473C" w:rsidRPr="007E66DD" w:rsidRDefault="0033473C" w:rsidP="001B7CF3">
            <w:pPr>
              <w:spacing w:before="0"/>
              <w:rPr>
                <w:rFonts w:eastAsia="Times New Roman" w:cs="Times New Roman"/>
                <w:szCs w:val="20"/>
                <w:lang w:val="en-US" w:eastAsia="zh-CN"/>
              </w:rPr>
            </w:pPr>
            <w:proofErr w:type="spellStart"/>
            <w:r>
              <w:rPr>
                <w:rFonts w:eastAsia="Times New Roman" w:cs="Times New Roman"/>
                <w:szCs w:val="20"/>
                <w:lang w:val="en-US" w:eastAsia="zh-CN"/>
              </w:rPr>
              <w:t>Verweij</w:t>
            </w:r>
            <w:proofErr w:type="spellEnd"/>
            <w:r>
              <w:rPr>
                <w:rFonts w:eastAsia="Times New Roman" w:cs="Times New Roman"/>
                <w:szCs w:val="20"/>
                <w:lang w:val="en-US" w:eastAsia="zh-CN"/>
              </w:rPr>
              <w:t xml:space="preserve"> 2013</w:t>
            </w:r>
          </w:p>
        </w:tc>
        <w:tc>
          <w:tcPr>
            <w:tcW w:w="4253"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 xml:space="preserve">Blood </w:t>
            </w:r>
            <w:r w:rsidRPr="007E66DD">
              <w:rPr>
                <w:rFonts w:eastAsia="Times New Roman" w:cs="Times New Roman"/>
                <w:szCs w:val="20"/>
                <w:lang w:val="en-US" w:eastAsia="zh-CN"/>
              </w:rPr>
              <w:t>collected prior to invasive testing. NIPT evaluated after invasiv</w:t>
            </w:r>
            <w:r>
              <w:rPr>
                <w:rFonts w:eastAsia="Times New Roman" w:cs="Times New Roman"/>
                <w:szCs w:val="20"/>
                <w:lang w:val="en-US" w:eastAsia="zh-CN"/>
              </w:rPr>
              <w:t xml:space="preserve">e test. </w:t>
            </w:r>
            <w:r w:rsidRPr="007E66DD">
              <w:rPr>
                <w:rFonts w:eastAsia="Times New Roman" w:cs="Times New Roman"/>
                <w:szCs w:val="20"/>
                <w:lang w:val="en-US" w:eastAsia="zh-CN"/>
              </w:rPr>
              <w:t xml:space="preserve">Lab </w:t>
            </w:r>
            <w:r>
              <w:rPr>
                <w:rFonts w:eastAsia="Times New Roman" w:cs="Times New Roman"/>
                <w:szCs w:val="20"/>
                <w:lang w:val="en-US" w:eastAsia="zh-CN"/>
              </w:rPr>
              <w:t>staff</w:t>
            </w:r>
            <w:r w:rsidRPr="007E66DD">
              <w:rPr>
                <w:rFonts w:eastAsia="Times New Roman" w:cs="Times New Roman"/>
                <w:szCs w:val="20"/>
                <w:lang w:val="en-US" w:eastAsia="zh-CN"/>
              </w:rPr>
              <w:t xml:space="preserve"> blind to </w:t>
            </w:r>
            <w:r>
              <w:rPr>
                <w:rFonts w:eastAsia="Times New Roman" w:cs="Times New Roman"/>
                <w:szCs w:val="20"/>
                <w:lang w:val="en-US" w:eastAsia="zh-CN"/>
              </w:rPr>
              <w:t>invasive test result</w:t>
            </w:r>
            <w:r w:rsidRPr="007E66DD">
              <w:rPr>
                <w:rFonts w:eastAsia="Times New Roman" w:cs="Times New Roman"/>
                <w:szCs w:val="20"/>
                <w:lang w:val="en-US" w:eastAsia="zh-CN"/>
              </w:rPr>
              <w:t>.</w:t>
            </w:r>
            <w:r>
              <w:rPr>
                <w:rFonts w:eastAsia="Times New Roman" w:cs="Times New Roman"/>
                <w:szCs w:val="20"/>
                <w:lang w:val="en-US" w:eastAsia="zh-CN"/>
              </w:rPr>
              <w:t xml:space="preserve"> N = </w:t>
            </w:r>
            <w:r w:rsidRPr="00BE6257">
              <w:rPr>
                <w:rFonts w:eastAsia="Times New Roman" w:cs="Times New Roman"/>
                <w:szCs w:val="20"/>
                <w:lang w:val="en-US" w:eastAsia="zh-CN"/>
              </w:rPr>
              <w:t>520</w:t>
            </w:r>
            <w:r>
              <w:rPr>
                <w:rFonts w:eastAsia="Times New Roman" w:cs="Times New Roman"/>
                <w:szCs w:val="20"/>
                <w:lang w:val="en-US" w:eastAsia="zh-CN"/>
              </w:rPr>
              <w:t xml:space="preserve"> </w:t>
            </w:r>
            <w:r w:rsidRPr="00BE6257">
              <w:rPr>
                <w:rFonts w:eastAsia="Times New Roman" w:cs="Times New Roman"/>
                <w:szCs w:val="20"/>
                <w:lang w:val="en-US" w:eastAsia="zh-CN"/>
              </w:rPr>
              <w:t>(Neth</w:t>
            </w:r>
            <w:r>
              <w:rPr>
                <w:rFonts w:eastAsia="Times New Roman" w:cs="Times New Roman"/>
                <w:szCs w:val="20"/>
                <w:lang w:val="en-US" w:eastAsia="zh-CN"/>
              </w:rPr>
              <w:t>erlands</w:t>
            </w:r>
            <w:r w:rsidRPr="00BE6257">
              <w:rPr>
                <w:rFonts w:eastAsia="Times New Roman" w:cs="Times New Roman"/>
                <w:szCs w:val="20"/>
                <w:lang w:val="en-US" w:eastAsia="zh-CN"/>
              </w:rPr>
              <w:t>, Swe</w:t>
            </w:r>
            <w:r>
              <w:rPr>
                <w:rFonts w:eastAsia="Times New Roman" w:cs="Times New Roman"/>
                <w:szCs w:val="20"/>
                <w:lang w:val="en-US" w:eastAsia="zh-CN"/>
              </w:rPr>
              <w:t xml:space="preserve">den). Outcomes: </w:t>
            </w:r>
            <w:r w:rsidRPr="00BE6257">
              <w:rPr>
                <w:rFonts w:eastAsia="Times New Roman" w:cs="Times New Roman"/>
                <w:szCs w:val="20"/>
                <w:lang w:val="en-US" w:eastAsia="zh-CN"/>
              </w:rPr>
              <w:t xml:space="preserve">Sensitivity, specificity, </w:t>
            </w:r>
            <w:r>
              <w:rPr>
                <w:rFonts w:eastAsia="Times New Roman" w:cs="Times New Roman"/>
                <w:szCs w:val="20"/>
                <w:lang w:val="en-US" w:eastAsia="zh-CN"/>
              </w:rPr>
              <w:t>false-negative rate</w:t>
            </w:r>
            <w:r w:rsidRPr="00BE6257">
              <w:rPr>
                <w:rFonts w:eastAsia="Times New Roman" w:cs="Times New Roman"/>
                <w:szCs w:val="20"/>
                <w:lang w:val="en-US" w:eastAsia="zh-CN"/>
              </w:rPr>
              <w:t xml:space="preserve">, </w:t>
            </w:r>
            <w:r>
              <w:rPr>
                <w:rFonts w:eastAsia="Times New Roman" w:cs="Times New Roman"/>
                <w:szCs w:val="20"/>
                <w:lang w:val="en-US" w:eastAsia="zh-CN"/>
              </w:rPr>
              <w:t xml:space="preserve">false-positive rate, accuracy (risk cut-off 1%) </w:t>
            </w:r>
            <w:r w:rsidRPr="00BE6257">
              <w:rPr>
                <w:rFonts w:eastAsia="Times New Roman" w:cs="Times New Roman"/>
                <w:szCs w:val="20"/>
                <w:lang w:val="en-US" w:eastAsia="zh-CN"/>
              </w:rPr>
              <w:t>(T21)</w:t>
            </w:r>
            <w:r>
              <w:rPr>
                <w:rFonts w:eastAsia="Times New Roman" w:cs="Times New Roman"/>
                <w:szCs w:val="20"/>
                <w:lang w:val="en-US" w:eastAsia="zh-CN"/>
              </w:rPr>
              <w:t>.</w:t>
            </w:r>
          </w:p>
        </w:tc>
        <w:tc>
          <w:tcPr>
            <w:tcW w:w="2976" w:type="dxa"/>
          </w:tcPr>
          <w:p w:rsidR="0033473C" w:rsidRPr="00970ADA" w:rsidRDefault="0033473C" w:rsidP="001B7CF3">
            <w:pPr>
              <w:spacing w:before="0"/>
              <w:rPr>
                <w:szCs w:val="20"/>
              </w:rPr>
            </w:pPr>
            <w:r w:rsidRPr="00970ADA">
              <w:rPr>
                <w:szCs w:val="20"/>
              </w:rPr>
              <w:t>http://onlinelibrary.wiley.com/doi/10.1002/pd.4182/abstract</w:t>
            </w:r>
          </w:p>
        </w:tc>
        <w:tc>
          <w:tcPr>
            <w:tcW w:w="2127" w:type="dxa"/>
          </w:tcPr>
          <w:p w:rsidR="0033473C" w:rsidRPr="00970ADA" w:rsidRDefault="0033473C" w:rsidP="001B7CF3">
            <w:pPr>
              <w:spacing w:before="0"/>
              <w:rPr>
                <w:szCs w:val="20"/>
              </w:rPr>
            </w:pPr>
            <w:r w:rsidRPr="00970ADA">
              <w:rPr>
                <w:szCs w:val="20"/>
              </w:rPr>
              <w:t>21 July 2013</w:t>
            </w:r>
          </w:p>
        </w:tc>
      </w:tr>
      <w:tr w:rsidR="0033473C" w:rsidTr="001B7CF3">
        <w:trPr>
          <w:cantSplit/>
        </w:trPr>
        <w:tc>
          <w:tcPr>
            <w:tcW w:w="474" w:type="dxa"/>
          </w:tcPr>
          <w:p w:rsidR="0033473C" w:rsidRDefault="0033473C" w:rsidP="001B7CF3">
            <w:pPr>
              <w:spacing w:before="0"/>
              <w:rPr>
                <w:szCs w:val="20"/>
              </w:rPr>
            </w:pPr>
            <w:r>
              <w:rPr>
                <w:szCs w:val="20"/>
              </w:rPr>
              <w:t>15.</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Nested case-control</w:t>
            </w:r>
          </w:p>
        </w:tc>
        <w:tc>
          <w:tcPr>
            <w:tcW w:w="2428" w:type="dxa"/>
          </w:tcPr>
          <w:p w:rsidR="0033473C" w:rsidRPr="007E66DD" w:rsidRDefault="0033473C" w:rsidP="001B7CF3">
            <w:pPr>
              <w:spacing w:before="0"/>
              <w:rPr>
                <w:rFonts w:eastAsia="Times New Roman" w:cs="Times New Roman"/>
                <w:szCs w:val="20"/>
                <w:lang w:val="en-US" w:eastAsia="zh-CN"/>
              </w:rPr>
            </w:pPr>
            <w:proofErr w:type="spellStart"/>
            <w:r>
              <w:rPr>
                <w:rFonts w:eastAsia="Times New Roman" w:cs="Times New Roman"/>
                <w:szCs w:val="20"/>
                <w:lang w:val="en-US" w:eastAsia="zh-CN"/>
              </w:rPr>
              <w:t>Ashoor</w:t>
            </w:r>
            <w:proofErr w:type="spellEnd"/>
            <w:r>
              <w:rPr>
                <w:rFonts w:eastAsia="Times New Roman" w:cs="Times New Roman"/>
                <w:szCs w:val="20"/>
                <w:lang w:val="en-US" w:eastAsia="zh-CN"/>
              </w:rPr>
              <w:t xml:space="preserve"> 2012</w:t>
            </w:r>
          </w:p>
        </w:tc>
        <w:tc>
          <w:tcPr>
            <w:tcW w:w="4253"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 xml:space="preserve">Blood </w:t>
            </w:r>
            <w:r w:rsidRPr="007E66DD">
              <w:rPr>
                <w:rFonts w:eastAsia="Times New Roman" w:cs="Times New Roman"/>
                <w:szCs w:val="20"/>
                <w:lang w:val="en-US" w:eastAsia="zh-CN"/>
              </w:rPr>
              <w:t>collected prior to invasive testing. NIPT evaluated after invasive test</w:t>
            </w:r>
            <w:r>
              <w:rPr>
                <w:rFonts w:eastAsia="Times New Roman" w:cs="Times New Roman"/>
                <w:szCs w:val="20"/>
                <w:lang w:val="en-US" w:eastAsia="zh-CN"/>
              </w:rPr>
              <w:t xml:space="preserve">. </w:t>
            </w:r>
            <w:r w:rsidRPr="007E66DD">
              <w:rPr>
                <w:rFonts w:eastAsia="Times New Roman" w:cs="Times New Roman"/>
                <w:szCs w:val="20"/>
                <w:lang w:val="en-US" w:eastAsia="zh-CN"/>
              </w:rPr>
              <w:t xml:space="preserve">Lab </w:t>
            </w:r>
            <w:r>
              <w:rPr>
                <w:rFonts w:eastAsia="Times New Roman" w:cs="Times New Roman"/>
                <w:szCs w:val="20"/>
                <w:lang w:val="en-US" w:eastAsia="zh-CN"/>
              </w:rPr>
              <w:t>staff</w:t>
            </w:r>
            <w:r w:rsidRPr="007E66DD">
              <w:rPr>
                <w:rFonts w:eastAsia="Times New Roman" w:cs="Times New Roman"/>
                <w:szCs w:val="20"/>
                <w:lang w:val="en-US" w:eastAsia="zh-CN"/>
              </w:rPr>
              <w:t xml:space="preserve"> blind to </w:t>
            </w:r>
            <w:r>
              <w:rPr>
                <w:rFonts w:eastAsia="Times New Roman" w:cs="Times New Roman"/>
                <w:szCs w:val="20"/>
                <w:lang w:val="en-US" w:eastAsia="zh-CN"/>
              </w:rPr>
              <w:t>invasive test result</w:t>
            </w:r>
            <w:r w:rsidRPr="007E66DD">
              <w:rPr>
                <w:rFonts w:eastAsia="Times New Roman" w:cs="Times New Roman"/>
                <w:szCs w:val="20"/>
                <w:lang w:val="en-US" w:eastAsia="zh-CN"/>
              </w:rPr>
              <w:t>.</w:t>
            </w:r>
            <w:r>
              <w:rPr>
                <w:rFonts w:eastAsia="Times New Roman" w:cs="Times New Roman"/>
                <w:szCs w:val="20"/>
                <w:lang w:val="en-US" w:eastAsia="zh-CN"/>
              </w:rPr>
              <w:t xml:space="preserve"> </w:t>
            </w:r>
            <w:r w:rsidRPr="007E66DD">
              <w:rPr>
                <w:rFonts w:eastAsia="Times New Roman" w:cs="Times New Roman"/>
                <w:szCs w:val="20"/>
                <w:lang w:val="en-US" w:eastAsia="zh-CN"/>
              </w:rPr>
              <w:t xml:space="preserve">Each case matched to 3 controls for length of </w:t>
            </w:r>
            <w:r>
              <w:rPr>
                <w:rFonts w:eastAsia="Times New Roman" w:cs="Times New Roman"/>
                <w:szCs w:val="20"/>
                <w:lang w:val="en-US" w:eastAsia="zh-CN"/>
              </w:rPr>
              <w:t>sample storage</w:t>
            </w:r>
            <w:r w:rsidRPr="007E66DD">
              <w:rPr>
                <w:rFonts w:eastAsia="Times New Roman" w:cs="Times New Roman"/>
                <w:szCs w:val="20"/>
                <w:lang w:val="en-US" w:eastAsia="zh-CN"/>
              </w:rPr>
              <w:t>.</w:t>
            </w:r>
            <w:r>
              <w:rPr>
                <w:rFonts w:eastAsia="Times New Roman" w:cs="Times New Roman"/>
                <w:szCs w:val="20"/>
                <w:lang w:val="en-US" w:eastAsia="zh-CN"/>
              </w:rPr>
              <w:t xml:space="preserve"> N = </w:t>
            </w:r>
            <w:r w:rsidRPr="00BE6257">
              <w:rPr>
                <w:rFonts w:eastAsia="Times New Roman" w:cs="Times New Roman"/>
                <w:szCs w:val="20"/>
                <w:lang w:val="en-US" w:eastAsia="zh-CN"/>
              </w:rPr>
              <w:t>400</w:t>
            </w:r>
            <w:r>
              <w:rPr>
                <w:rFonts w:eastAsia="Times New Roman" w:cs="Times New Roman"/>
                <w:szCs w:val="20"/>
                <w:lang w:val="en-US" w:eastAsia="zh-CN"/>
              </w:rPr>
              <w:t xml:space="preserve"> </w:t>
            </w:r>
            <w:r w:rsidRPr="00BE6257">
              <w:rPr>
                <w:rFonts w:eastAsia="Times New Roman" w:cs="Times New Roman"/>
                <w:szCs w:val="20"/>
                <w:lang w:val="en-US" w:eastAsia="zh-CN"/>
              </w:rPr>
              <w:t>(Neth</w:t>
            </w:r>
            <w:r>
              <w:rPr>
                <w:rFonts w:eastAsia="Times New Roman" w:cs="Times New Roman"/>
                <w:szCs w:val="20"/>
                <w:lang w:val="en-US" w:eastAsia="zh-CN"/>
              </w:rPr>
              <w:t>erlands</w:t>
            </w:r>
            <w:r w:rsidRPr="00BE6257">
              <w:rPr>
                <w:rFonts w:eastAsia="Times New Roman" w:cs="Times New Roman"/>
                <w:szCs w:val="20"/>
                <w:lang w:val="en-US" w:eastAsia="zh-CN"/>
              </w:rPr>
              <w:t>, Swe</w:t>
            </w:r>
            <w:r>
              <w:rPr>
                <w:rFonts w:eastAsia="Times New Roman" w:cs="Times New Roman"/>
                <w:szCs w:val="20"/>
                <w:lang w:val="en-US" w:eastAsia="zh-CN"/>
              </w:rPr>
              <w:t xml:space="preserve">den, US). Outcomes: </w:t>
            </w:r>
            <w:r w:rsidRPr="00BE6257">
              <w:rPr>
                <w:rFonts w:eastAsia="Times New Roman" w:cs="Times New Roman"/>
                <w:szCs w:val="20"/>
                <w:lang w:val="en-US" w:eastAsia="zh-CN"/>
              </w:rPr>
              <w:t>Sensitivity, specific</w:t>
            </w:r>
            <w:r>
              <w:rPr>
                <w:rFonts w:eastAsia="Times New Roman" w:cs="Times New Roman"/>
                <w:szCs w:val="20"/>
                <w:lang w:val="en-US" w:eastAsia="zh-CN"/>
              </w:rPr>
              <w:t xml:space="preserve">ity (risk cut-off not reported) </w:t>
            </w:r>
            <w:r w:rsidRPr="00BE6257">
              <w:rPr>
                <w:rFonts w:eastAsia="Times New Roman" w:cs="Times New Roman"/>
                <w:szCs w:val="20"/>
                <w:lang w:val="en-US" w:eastAsia="zh-CN"/>
              </w:rPr>
              <w:t>(T21, T18)</w:t>
            </w:r>
            <w:r>
              <w:rPr>
                <w:rFonts w:eastAsia="Times New Roman" w:cs="Times New Roman"/>
                <w:szCs w:val="20"/>
                <w:lang w:val="en-US" w:eastAsia="zh-CN"/>
              </w:rPr>
              <w:t>.</w:t>
            </w:r>
          </w:p>
        </w:tc>
        <w:tc>
          <w:tcPr>
            <w:tcW w:w="2976" w:type="dxa"/>
          </w:tcPr>
          <w:p w:rsidR="0033473C" w:rsidRPr="00970ADA" w:rsidRDefault="0033473C" w:rsidP="001B7CF3">
            <w:pPr>
              <w:spacing w:before="0"/>
              <w:rPr>
                <w:szCs w:val="20"/>
              </w:rPr>
            </w:pPr>
            <w:r w:rsidRPr="00970ADA">
              <w:rPr>
                <w:szCs w:val="20"/>
              </w:rPr>
              <w:t>http://www.ajog.org/article/S0002-9378(12)00060-9/abstract</w:t>
            </w:r>
          </w:p>
        </w:tc>
        <w:tc>
          <w:tcPr>
            <w:tcW w:w="2127" w:type="dxa"/>
          </w:tcPr>
          <w:p w:rsidR="0033473C" w:rsidRPr="00970ADA" w:rsidRDefault="0033473C" w:rsidP="001B7CF3">
            <w:pPr>
              <w:spacing w:before="0"/>
              <w:rPr>
                <w:szCs w:val="20"/>
              </w:rPr>
            </w:pPr>
            <w:r w:rsidRPr="00970ADA">
              <w:rPr>
                <w:szCs w:val="20"/>
              </w:rPr>
              <w:t>April 2012</w:t>
            </w:r>
          </w:p>
        </w:tc>
      </w:tr>
      <w:tr w:rsidR="0033473C" w:rsidTr="001B7CF3">
        <w:trPr>
          <w:cantSplit/>
        </w:trPr>
        <w:tc>
          <w:tcPr>
            <w:tcW w:w="474" w:type="dxa"/>
          </w:tcPr>
          <w:p w:rsidR="0033473C" w:rsidRDefault="0033473C" w:rsidP="001B7CF3">
            <w:pPr>
              <w:spacing w:before="0"/>
              <w:rPr>
                <w:szCs w:val="20"/>
              </w:rPr>
            </w:pPr>
            <w:r>
              <w:rPr>
                <w:szCs w:val="20"/>
              </w:rPr>
              <w:t>16.</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Prospective</w:t>
            </w:r>
          </w:p>
        </w:tc>
        <w:tc>
          <w:tcPr>
            <w:tcW w:w="2428"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Sparks 2012b</w:t>
            </w:r>
          </w:p>
        </w:tc>
        <w:tc>
          <w:tcPr>
            <w:tcW w:w="4253"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Lab staff not blind (t</w:t>
            </w:r>
            <w:r w:rsidRPr="007E66DD">
              <w:rPr>
                <w:rFonts w:eastAsia="Times New Roman" w:cs="Times New Roman"/>
                <w:szCs w:val="20"/>
                <w:lang w:val="en-US" w:eastAsia="zh-CN"/>
              </w:rPr>
              <w:t>raining set</w:t>
            </w:r>
            <w:r>
              <w:rPr>
                <w:rFonts w:eastAsia="Times New Roman" w:cs="Times New Roman"/>
                <w:szCs w:val="20"/>
                <w:lang w:val="en-US" w:eastAsia="zh-CN"/>
              </w:rPr>
              <w:t xml:space="preserve">) or blind (validation set) to invasive test result. N = </w:t>
            </w:r>
            <w:r w:rsidRPr="00BE6257">
              <w:rPr>
                <w:rFonts w:eastAsia="Times New Roman" w:cs="Times New Roman"/>
                <w:szCs w:val="20"/>
                <w:lang w:val="en-US" w:eastAsia="zh-CN"/>
              </w:rPr>
              <w:t>338</w:t>
            </w:r>
            <w:r>
              <w:rPr>
                <w:rFonts w:eastAsia="Times New Roman" w:cs="Times New Roman"/>
                <w:szCs w:val="20"/>
                <w:lang w:val="en-US" w:eastAsia="zh-CN"/>
              </w:rPr>
              <w:t xml:space="preserve"> (UK). Outcomes: </w:t>
            </w:r>
            <w:r w:rsidRPr="00BE6257">
              <w:rPr>
                <w:rFonts w:eastAsia="Times New Roman" w:cs="Times New Roman"/>
                <w:szCs w:val="20"/>
                <w:lang w:val="en-US" w:eastAsia="zh-CN"/>
              </w:rPr>
              <w:t>Sensitivity</w:t>
            </w:r>
            <w:r>
              <w:rPr>
                <w:rFonts w:eastAsia="Times New Roman" w:cs="Times New Roman"/>
                <w:szCs w:val="20"/>
                <w:lang w:val="en-US" w:eastAsia="zh-CN"/>
              </w:rPr>
              <w:t xml:space="preserve">, specificity (by risk cut-off) </w:t>
            </w:r>
            <w:r w:rsidRPr="00BE6257">
              <w:rPr>
                <w:rFonts w:eastAsia="Times New Roman" w:cs="Times New Roman"/>
                <w:szCs w:val="20"/>
                <w:lang w:val="en-US" w:eastAsia="zh-CN"/>
              </w:rPr>
              <w:t>(T21, T18)</w:t>
            </w:r>
            <w:r>
              <w:rPr>
                <w:rFonts w:eastAsia="Times New Roman" w:cs="Times New Roman"/>
                <w:szCs w:val="20"/>
                <w:lang w:val="en-US" w:eastAsia="zh-CN"/>
              </w:rPr>
              <w:t>.</w:t>
            </w:r>
          </w:p>
        </w:tc>
        <w:tc>
          <w:tcPr>
            <w:tcW w:w="2976" w:type="dxa"/>
          </w:tcPr>
          <w:p w:rsidR="0033473C" w:rsidRPr="00970ADA" w:rsidRDefault="0033473C" w:rsidP="001B7CF3">
            <w:pPr>
              <w:spacing w:before="0"/>
              <w:rPr>
                <w:szCs w:val="20"/>
              </w:rPr>
            </w:pPr>
            <w:r w:rsidRPr="00970ADA">
              <w:rPr>
                <w:szCs w:val="20"/>
              </w:rPr>
              <w:t>http://www.ajog.org/article/S0002-9378(12)00061-0/abstract</w:t>
            </w:r>
          </w:p>
        </w:tc>
        <w:tc>
          <w:tcPr>
            <w:tcW w:w="2127" w:type="dxa"/>
          </w:tcPr>
          <w:p w:rsidR="0033473C" w:rsidRPr="00970ADA" w:rsidRDefault="0033473C" w:rsidP="001B7CF3">
            <w:pPr>
              <w:spacing w:before="0"/>
              <w:rPr>
                <w:szCs w:val="20"/>
              </w:rPr>
            </w:pPr>
            <w:r w:rsidRPr="00970ADA">
              <w:rPr>
                <w:szCs w:val="20"/>
              </w:rPr>
              <w:t>April 2012</w:t>
            </w:r>
          </w:p>
        </w:tc>
      </w:tr>
      <w:tr w:rsidR="0033473C" w:rsidTr="001B7CF3">
        <w:trPr>
          <w:cantSplit/>
        </w:trPr>
        <w:tc>
          <w:tcPr>
            <w:tcW w:w="474" w:type="dxa"/>
          </w:tcPr>
          <w:p w:rsidR="0033473C" w:rsidRDefault="0033473C" w:rsidP="001B7CF3">
            <w:pPr>
              <w:spacing w:before="0"/>
              <w:rPr>
                <w:szCs w:val="20"/>
              </w:rPr>
            </w:pPr>
            <w:r>
              <w:rPr>
                <w:szCs w:val="20"/>
              </w:rPr>
              <w:t>17.</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Case control</w:t>
            </w:r>
          </w:p>
        </w:tc>
        <w:tc>
          <w:tcPr>
            <w:tcW w:w="2428" w:type="dxa"/>
          </w:tcPr>
          <w:p w:rsidR="0033473C" w:rsidRPr="007E66DD" w:rsidRDefault="0033473C" w:rsidP="001B7CF3">
            <w:pPr>
              <w:spacing w:before="0"/>
              <w:rPr>
                <w:rFonts w:eastAsia="Times New Roman" w:cs="Times New Roman"/>
                <w:szCs w:val="20"/>
                <w:lang w:val="en-US" w:eastAsia="zh-CN"/>
              </w:rPr>
            </w:pPr>
            <w:proofErr w:type="spellStart"/>
            <w:r>
              <w:rPr>
                <w:rFonts w:eastAsia="Times New Roman" w:cs="Times New Roman"/>
                <w:szCs w:val="20"/>
                <w:lang w:val="en-US" w:eastAsia="zh-CN"/>
              </w:rPr>
              <w:t>Nicolaides</w:t>
            </w:r>
            <w:proofErr w:type="spellEnd"/>
            <w:r>
              <w:rPr>
                <w:rFonts w:eastAsia="Times New Roman" w:cs="Times New Roman"/>
                <w:szCs w:val="20"/>
                <w:lang w:val="en-US" w:eastAsia="zh-CN"/>
              </w:rPr>
              <w:t xml:space="preserve"> 2014</w:t>
            </w:r>
          </w:p>
        </w:tc>
        <w:tc>
          <w:tcPr>
            <w:tcW w:w="4253"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 xml:space="preserve">Blood </w:t>
            </w:r>
            <w:r w:rsidRPr="007E66DD">
              <w:rPr>
                <w:rFonts w:eastAsia="Times New Roman" w:cs="Times New Roman"/>
                <w:szCs w:val="20"/>
                <w:lang w:val="en-US" w:eastAsia="zh-CN"/>
              </w:rPr>
              <w:t>collected prior to invasive testing. NIPT evaluate</w:t>
            </w:r>
            <w:r>
              <w:rPr>
                <w:rFonts w:eastAsia="Times New Roman" w:cs="Times New Roman"/>
                <w:szCs w:val="20"/>
                <w:lang w:val="en-US" w:eastAsia="zh-CN"/>
              </w:rPr>
              <w:t>d after invasive test result</w:t>
            </w:r>
            <w:r w:rsidRPr="007E66DD">
              <w:rPr>
                <w:rFonts w:eastAsia="Times New Roman" w:cs="Times New Roman"/>
                <w:szCs w:val="20"/>
                <w:lang w:val="en-US" w:eastAsia="zh-CN"/>
              </w:rPr>
              <w:t xml:space="preserve">. Lab </w:t>
            </w:r>
            <w:r>
              <w:rPr>
                <w:rFonts w:eastAsia="Times New Roman" w:cs="Times New Roman"/>
                <w:szCs w:val="20"/>
                <w:lang w:val="en-US" w:eastAsia="zh-CN"/>
              </w:rPr>
              <w:t>staff</w:t>
            </w:r>
            <w:r w:rsidRPr="007E66DD">
              <w:rPr>
                <w:rFonts w:eastAsia="Times New Roman" w:cs="Times New Roman"/>
                <w:szCs w:val="20"/>
                <w:lang w:val="en-US" w:eastAsia="zh-CN"/>
              </w:rPr>
              <w:t xml:space="preserve"> blind to </w:t>
            </w:r>
            <w:r>
              <w:rPr>
                <w:rFonts w:eastAsia="Times New Roman" w:cs="Times New Roman"/>
                <w:szCs w:val="20"/>
                <w:lang w:val="en-US" w:eastAsia="zh-CN"/>
              </w:rPr>
              <w:t>invasive test result</w:t>
            </w:r>
            <w:r w:rsidRPr="007E66DD">
              <w:rPr>
                <w:rFonts w:eastAsia="Times New Roman" w:cs="Times New Roman"/>
                <w:szCs w:val="20"/>
                <w:lang w:val="en-US" w:eastAsia="zh-CN"/>
              </w:rPr>
              <w:t>.</w:t>
            </w:r>
            <w:r>
              <w:rPr>
                <w:rFonts w:eastAsia="Times New Roman" w:cs="Times New Roman"/>
                <w:szCs w:val="20"/>
                <w:lang w:val="en-US" w:eastAsia="zh-CN"/>
              </w:rPr>
              <w:t xml:space="preserve"> N = 177 </w:t>
            </w:r>
            <w:r w:rsidRPr="00BE6257">
              <w:rPr>
                <w:rFonts w:eastAsia="Times New Roman" w:cs="Times New Roman"/>
                <w:szCs w:val="20"/>
                <w:lang w:val="en-US" w:eastAsia="zh-CN"/>
              </w:rPr>
              <w:t>(UK)</w:t>
            </w:r>
            <w:r>
              <w:rPr>
                <w:rFonts w:eastAsia="Times New Roman" w:cs="Times New Roman"/>
                <w:szCs w:val="20"/>
                <w:lang w:val="en-US" w:eastAsia="zh-CN"/>
              </w:rPr>
              <w:t>. Outcomes: S</w:t>
            </w:r>
            <w:r w:rsidRPr="00BE6257">
              <w:rPr>
                <w:rFonts w:eastAsia="Times New Roman" w:cs="Times New Roman"/>
                <w:szCs w:val="20"/>
                <w:lang w:val="en-US" w:eastAsia="zh-CN"/>
              </w:rPr>
              <w:t>ens</w:t>
            </w:r>
            <w:r>
              <w:rPr>
                <w:rFonts w:eastAsia="Times New Roman" w:cs="Times New Roman"/>
                <w:szCs w:val="20"/>
                <w:lang w:val="en-US" w:eastAsia="zh-CN"/>
              </w:rPr>
              <w:t xml:space="preserve">itivity (detection rate), false-positive rate (risk cut-off 1%) </w:t>
            </w:r>
            <w:r w:rsidRPr="00BE6257">
              <w:rPr>
                <w:rFonts w:eastAsia="Times New Roman" w:cs="Times New Roman"/>
                <w:szCs w:val="20"/>
                <w:lang w:val="en-US" w:eastAsia="zh-CN"/>
              </w:rPr>
              <w:t>(SCA)</w:t>
            </w:r>
            <w:r>
              <w:rPr>
                <w:rFonts w:eastAsia="Times New Roman" w:cs="Times New Roman"/>
                <w:szCs w:val="20"/>
                <w:lang w:val="en-US" w:eastAsia="zh-CN"/>
              </w:rPr>
              <w:t>.</w:t>
            </w:r>
          </w:p>
        </w:tc>
        <w:tc>
          <w:tcPr>
            <w:tcW w:w="2976" w:type="dxa"/>
          </w:tcPr>
          <w:p w:rsidR="0033473C" w:rsidRPr="00312A8D" w:rsidRDefault="0033473C" w:rsidP="001B7CF3">
            <w:pPr>
              <w:spacing w:before="0"/>
              <w:rPr>
                <w:szCs w:val="20"/>
              </w:rPr>
            </w:pPr>
            <w:r w:rsidRPr="00312A8D">
              <w:rPr>
                <w:szCs w:val="20"/>
              </w:rPr>
              <w:t>http://www.karger.com/Article/FullText/357198</w:t>
            </w:r>
          </w:p>
        </w:tc>
        <w:tc>
          <w:tcPr>
            <w:tcW w:w="2127" w:type="dxa"/>
          </w:tcPr>
          <w:p w:rsidR="0033473C" w:rsidRPr="00312A8D" w:rsidRDefault="0033473C" w:rsidP="001B7CF3">
            <w:pPr>
              <w:spacing w:before="0"/>
              <w:rPr>
                <w:szCs w:val="20"/>
              </w:rPr>
            </w:pPr>
            <w:r w:rsidRPr="00312A8D">
              <w:rPr>
                <w:szCs w:val="20"/>
              </w:rPr>
              <w:t>February 2014</w:t>
            </w:r>
          </w:p>
        </w:tc>
      </w:tr>
      <w:tr w:rsidR="0033473C" w:rsidTr="001B7CF3">
        <w:trPr>
          <w:cantSplit/>
        </w:trPr>
        <w:tc>
          <w:tcPr>
            <w:tcW w:w="474" w:type="dxa"/>
          </w:tcPr>
          <w:p w:rsidR="0033473C" w:rsidRDefault="0033473C" w:rsidP="001B7CF3">
            <w:pPr>
              <w:spacing w:before="0"/>
              <w:rPr>
                <w:szCs w:val="20"/>
              </w:rPr>
            </w:pPr>
            <w:r>
              <w:rPr>
                <w:szCs w:val="20"/>
              </w:rPr>
              <w:t>18.</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Case control</w:t>
            </w:r>
          </w:p>
        </w:tc>
        <w:tc>
          <w:tcPr>
            <w:tcW w:w="2428"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Hooks 2014</w:t>
            </w:r>
          </w:p>
        </w:tc>
        <w:tc>
          <w:tcPr>
            <w:tcW w:w="4253" w:type="dxa"/>
          </w:tcPr>
          <w:p w:rsidR="0033473C" w:rsidRPr="007E66DD" w:rsidRDefault="0033473C" w:rsidP="001B7CF3">
            <w:pPr>
              <w:spacing w:before="0"/>
              <w:rPr>
                <w:rFonts w:eastAsia="Times New Roman" w:cs="Times New Roman"/>
                <w:szCs w:val="20"/>
                <w:lang w:val="en-US" w:eastAsia="zh-CN"/>
              </w:rPr>
            </w:pPr>
            <w:r w:rsidRPr="007E66DD">
              <w:rPr>
                <w:rFonts w:eastAsia="Times New Roman" w:cs="Times New Roman"/>
                <w:szCs w:val="20"/>
                <w:lang w:val="en-US" w:eastAsia="zh-CN"/>
              </w:rPr>
              <w:t>Blood sample collected prior t</w:t>
            </w:r>
            <w:r>
              <w:rPr>
                <w:rFonts w:eastAsia="Times New Roman" w:cs="Times New Roman"/>
                <w:szCs w:val="20"/>
                <w:lang w:val="en-US" w:eastAsia="zh-CN"/>
              </w:rPr>
              <w:t xml:space="preserve">o invasive testing. NIPT </w:t>
            </w:r>
            <w:r w:rsidRPr="007E66DD">
              <w:rPr>
                <w:rFonts w:eastAsia="Times New Roman" w:cs="Times New Roman"/>
                <w:szCs w:val="20"/>
                <w:lang w:val="en-US" w:eastAsia="zh-CN"/>
              </w:rPr>
              <w:t xml:space="preserve">evaluated after invasive test. Lab </w:t>
            </w:r>
            <w:r>
              <w:rPr>
                <w:rFonts w:eastAsia="Times New Roman" w:cs="Times New Roman"/>
                <w:szCs w:val="20"/>
                <w:lang w:val="en-US" w:eastAsia="zh-CN"/>
              </w:rPr>
              <w:t>staff</w:t>
            </w:r>
            <w:r w:rsidRPr="007E66DD">
              <w:rPr>
                <w:rFonts w:eastAsia="Times New Roman" w:cs="Times New Roman"/>
                <w:szCs w:val="20"/>
                <w:lang w:val="en-US" w:eastAsia="zh-CN"/>
              </w:rPr>
              <w:t xml:space="preserve"> blind to </w:t>
            </w:r>
            <w:r>
              <w:rPr>
                <w:rFonts w:eastAsia="Times New Roman" w:cs="Times New Roman"/>
                <w:szCs w:val="20"/>
                <w:lang w:val="en-US" w:eastAsia="zh-CN"/>
              </w:rPr>
              <w:t>invasive test result</w:t>
            </w:r>
            <w:r w:rsidRPr="007E66DD">
              <w:rPr>
                <w:rFonts w:eastAsia="Times New Roman" w:cs="Times New Roman"/>
                <w:szCs w:val="20"/>
                <w:lang w:val="en-US" w:eastAsia="zh-CN"/>
              </w:rPr>
              <w:t>.</w:t>
            </w:r>
            <w:r>
              <w:rPr>
                <w:rFonts w:eastAsia="Times New Roman" w:cs="Times New Roman"/>
                <w:szCs w:val="20"/>
                <w:lang w:val="en-US" w:eastAsia="zh-CN"/>
              </w:rPr>
              <w:t xml:space="preserve"> N = </w:t>
            </w:r>
            <w:r w:rsidRPr="00BE6257">
              <w:rPr>
                <w:rFonts w:eastAsia="Times New Roman" w:cs="Times New Roman"/>
                <w:szCs w:val="20"/>
                <w:lang w:val="en-US" w:eastAsia="zh-CN"/>
              </w:rPr>
              <w:t>432</w:t>
            </w:r>
            <w:r>
              <w:rPr>
                <w:rFonts w:eastAsia="Times New Roman" w:cs="Times New Roman"/>
                <w:szCs w:val="20"/>
                <w:lang w:val="en-US" w:eastAsia="zh-CN"/>
              </w:rPr>
              <w:t xml:space="preserve"> (UK). Outcomes: S</w:t>
            </w:r>
            <w:r w:rsidRPr="00BE6257">
              <w:rPr>
                <w:rFonts w:eastAsia="Times New Roman" w:cs="Times New Roman"/>
                <w:szCs w:val="20"/>
                <w:lang w:val="en-US" w:eastAsia="zh-CN"/>
              </w:rPr>
              <w:t>ensitivity</w:t>
            </w:r>
            <w:r>
              <w:rPr>
                <w:rFonts w:eastAsia="Times New Roman" w:cs="Times New Roman"/>
                <w:szCs w:val="20"/>
                <w:lang w:val="en-US" w:eastAsia="zh-CN"/>
              </w:rPr>
              <w:t xml:space="preserve"> (detection rate</w:t>
            </w:r>
            <w:r w:rsidRPr="00BE6257">
              <w:rPr>
                <w:rFonts w:eastAsia="Times New Roman" w:cs="Times New Roman"/>
                <w:szCs w:val="20"/>
                <w:lang w:val="en-US" w:eastAsia="zh-CN"/>
              </w:rPr>
              <w:t xml:space="preserve">), </w:t>
            </w:r>
            <w:r>
              <w:rPr>
                <w:rFonts w:eastAsia="Times New Roman" w:cs="Times New Roman"/>
                <w:szCs w:val="20"/>
                <w:lang w:val="en-US" w:eastAsia="zh-CN"/>
              </w:rPr>
              <w:t xml:space="preserve">false-positive rate (risk cut-off not reported) </w:t>
            </w:r>
            <w:r w:rsidRPr="00BE6257">
              <w:rPr>
                <w:rFonts w:eastAsia="Times New Roman" w:cs="Times New Roman"/>
                <w:szCs w:val="20"/>
                <w:lang w:val="en-US" w:eastAsia="zh-CN"/>
              </w:rPr>
              <w:t>(SCA)</w:t>
            </w:r>
            <w:r>
              <w:rPr>
                <w:rFonts w:eastAsia="Times New Roman" w:cs="Times New Roman"/>
                <w:szCs w:val="20"/>
                <w:lang w:val="en-US" w:eastAsia="zh-CN"/>
              </w:rPr>
              <w:t>.</w:t>
            </w:r>
          </w:p>
        </w:tc>
        <w:tc>
          <w:tcPr>
            <w:tcW w:w="2976" w:type="dxa"/>
          </w:tcPr>
          <w:p w:rsidR="0033473C" w:rsidRPr="00312A8D" w:rsidRDefault="0033473C" w:rsidP="001B7CF3">
            <w:pPr>
              <w:spacing w:before="0"/>
              <w:rPr>
                <w:szCs w:val="20"/>
              </w:rPr>
            </w:pPr>
            <w:r w:rsidRPr="00312A8D">
              <w:rPr>
                <w:szCs w:val="20"/>
              </w:rPr>
              <w:t>http://onlinelibrary.wiley.com/doi/10.1002/pd.4338/abstract</w:t>
            </w:r>
          </w:p>
        </w:tc>
        <w:tc>
          <w:tcPr>
            <w:tcW w:w="2127" w:type="dxa"/>
          </w:tcPr>
          <w:p w:rsidR="0033473C" w:rsidRPr="00312A8D" w:rsidRDefault="0033473C" w:rsidP="001B7CF3">
            <w:pPr>
              <w:spacing w:before="0"/>
              <w:rPr>
                <w:szCs w:val="20"/>
              </w:rPr>
            </w:pPr>
            <w:r w:rsidRPr="00312A8D">
              <w:rPr>
                <w:szCs w:val="20"/>
              </w:rPr>
              <w:t>20 February 2014</w:t>
            </w:r>
          </w:p>
        </w:tc>
      </w:tr>
      <w:tr w:rsidR="0033473C" w:rsidRPr="00DF02BB" w:rsidTr="0033473C">
        <w:trPr>
          <w:cantSplit/>
        </w:trPr>
        <w:tc>
          <w:tcPr>
            <w:tcW w:w="13608" w:type="dxa"/>
            <w:gridSpan w:val="6"/>
          </w:tcPr>
          <w:p w:rsidR="0033473C" w:rsidRPr="00DF02BB" w:rsidRDefault="0033473C" w:rsidP="001B7CF3">
            <w:pPr>
              <w:spacing w:before="0"/>
              <w:rPr>
                <w:b/>
                <w:i/>
                <w:szCs w:val="20"/>
              </w:rPr>
            </w:pPr>
            <w:r w:rsidRPr="00DF02BB">
              <w:rPr>
                <w:b/>
                <w:i/>
                <w:szCs w:val="20"/>
              </w:rPr>
              <w:t>Panorama NIPT</w:t>
            </w:r>
          </w:p>
        </w:tc>
      </w:tr>
      <w:tr w:rsidR="0033473C" w:rsidTr="0033473C">
        <w:trPr>
          <w:cantSplit/>
        </w:trPr>
        <w:tc>
          <w:tcPr>
            <w:tcW w:w="13608" w:type="dxa"/>
            <w:gridSpan w:val="6"/>
          </w:tcPr>
          <w:p w:rsidR="0033473C" w:rsidRPr="00E82F54" w:rsidRDefault="0033473C" w:rsidP="001B7CF3">
            <w:pPr>
              <w:spacing w:before="0"/>
              <w:rPr>
                <w:b/>
                <w:szCs w:val="20"/>
              </w:rPr>
            </w:pPr>
            <w:r w:rsidRPr="00BE6257">
              <w:rPr>
                <w:szCs w:val="20"/>
              </w:rPr>
              <w:lastRenderedPageBreak/>
              <w:t>General pregnancy population</w:t>
            </w:r>
          </w:p>
        </w:tc>
      </w:tr>
      <w:tr w:rsidR="0033473C" w:rsidTr="001B7CF3">
        <w:trPr>
          <w:cantSplit/>
        </w:trPr>
        <w:tc>
          <w:tcPr>
            <w:tcW w:w="474" w:type="dxa"/>
          </w:tcPr>
          <w:p w:rsidR="0033473C" w:rsidRPr="00965B6B" w:rsidRDefault="0033473C" w:rsidP="001B7CF3">
            <w:pPr>
              <w:spacing w:before="0"/>
              <w:rPr>
                <w:szCs w:val="20"/>
              </w:rPr>
            </w:pPr>
            <w:r>
              <w:rPr>
                <w:szCs w:val="20"/>
              </w:rPr>
              <w:t>19.</w:t>
            </w:r>
          </w:p>
        </w:tc>
        <w:tc>
          <w:tcPr>
            <w:tcW w:w="1350"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Prospective cohort</w:t>
            </w:r>
          </w:p>
        </w:tc>
        <w:tc>
          <w:tcPr>
            <w:tcW w:w="2428" w:type="dxa"/>
          </w:tcPr>
          <w:p w:rsidR="0033473C" w:rsidRPr="007E66DD" w:rsidRDefault="0033473C" w:rsidP="001B7CF3">
            <w:pPr>
              <w:spacing w:before="0"/>
              <w:rPr>
                <w:rFonts w:eastAsia="Times New Roman" w:cs="Times New Roman"/>
                <w:szCs w:val="20"/>
                <w:lang w:val="en-US" w:eastAsia="zh-CN"/>
              </w:rPr>
            </w:pPr>
            <w:proofErr w:type="spellStart"/>
            <w:r>
              <w:rPr>
                <w:rFonts w:eastAsia="Times New Roman" w:cs="Times New Roman"/>
                <w:szCs w:val="20"/>
                <w:lang w:val="en-US" w:eastAsia="zh-CN"/>
              </w:rPr>
              <w:t>Nicolaides</w:t>
            </w:r>
            <w:proofErr w:type="spellEnd"/>
            <w:r>
              <w:rPr>
                <w:rFonts w:eastAsia="Times New Roman" w:cs="Times New Roman"/>
                <w:szCs w:val="20"/>
                <w:lang w:val="en-US" w:eastAsia="zh-CN"/>
              </w:rPr>
              <w:t xml:space="preserve"> 2013</w:t>
            </w:r>
          </w:p>
        </w:tc>
        <w:tc>
          <w:tcPr>
            <w:tcW w:w="4253" w:type="dxa"/>
          </w:tcPr>
          <w:p w:rsidR="0033473C" w:rsidRPr="007E66DD" w:rsidRDefault="0033473C" w:rsidP="001B7CF3">
            <w:pPr>
              <w:spacing w:before="0"/>
              <w:rPr>
                <w:rFonts w:eastAsia="Times New Roman" w:cs="Times New Roman"/>
                <w:bCs/>
                <w:szCs w:val="20"/>
                <w:lang w:val="en-US" w:eastAsia="zh-CN"/>
              </w:rPr>
            </w:pPr>
            <w:r w:rsidRPr="007E66DD">
              <w:rPr>
                <w:rFonts w:eastAsia="Times New Roman" w:cs="Times New Roman"/>
                <w:bCs/>
                <w:szCs w:val="20"/>
                <w:lang w:val="en-US" w:eastAsia="zh-CN"/>
              </w:rPr>
              <w:t xml:space="preserve">Blood collected </w:t>
            </w:r>
            <w:r>
              <w:rPr>
                <w:rFonts w:eastAsia="Times New Roman" w:cs="Times New Roman"/>
                <w:bCs/>
                <w:szCs w:val="20"/>
                <w:lang w:val="en-US" w:eastAsia="zh-CN"/>
              </w:rPr>
              <w:t>before CVS</w:t>
            </w:r>
            <w:r w:rsidRPr="007E66DD">
              <w:rPr>
                <w:rFonts w:eastAsia="Times New Roman" w:cs="Times New Roman"/>
                <w:bCs/>
                <w:szCs w:val="20"/>
                <w:lang w:val="en-US" w:eastAsia="zh-CN"/>
              </w:rPr>
              <w:t xml:space="preserve">. NIPT evaluated after invasive testing. Lab </w:t>
            </w:r>
            <w:r>
              <w:rPr>
                <w:rFonts w:eastAsia="Times New Roman" w:cs="Times New Roman"/>
                <w:bCs/>
                <w:szCs w:val="20"/>
                <w:lang w:val="en-US" w:eastAsia="zh-CN"/>
              </w:rPr>
              <w:t>staff</w:t>
            </w:r>
            <w:r w:rsidRPr="007E66DD">
              <w:rPr>
                <w:rFonts w:eastAsia="Times New Roman" w:cs="Times New Roman"/>
                <w:bCs/>
                <w:szCs w:val="20"/>
                <w:lang w:val="en-US" w:eastAsia="zh-CN"/>
              </w:rPr>
              <w:t xml:space="preserve"> blind to trisomy status.</w:t>
            </w:r>
            <w:r>
              <w:rPr>
                <w:rFonts w:eastAsia="Times New Roman" w:cs="Times New Roman"/>
                <w:bCs/>
                <w:szCs w:val="20"/>
                <w:lang w:val="en-US" w:eastAsia="zh-CN"/>
              </w:rPr>
              <w:t xml:space="preserve"> N = 242 (UK). Outcomes: S</w:t>
            </w:r>
            <w:r w:rsidRPr="003F06D7">
              <w:rPr>
                <w:rFonts w:eastAsia="Times New Roman" w:cs="Times New Roman"/>
                <w:bCs/>
                <w:szCs w:val="20"/>
                <w:lang w:val="en-US" w:eastAsia="zh-CN"/>
              </w:rPr>
              <w:t>ens</w:t>
            </w:r>
            <w:r>
              <w:rPr>
                <w:rFonts w:eastAsia="Times New Roman" w:cs="Times New Roman"/>
                <w:bCs/>
                <w:szCs w:val="20"/>
                <w:lang w:val="en-US" w:eastAsia="zh-CN"/>
              </w:rPr>
              <w:t xml:space="preserve">itivity (detection rate), specificity), false-positive rate (risk cut-off not reported) </w:t>
            </w:r>
            <w:r w:rsidRPr="003F06D7">
              <w:rPr>
                <w:rFonts w:eastAsia="Times New Roman" w:cs="Times New Roman"/>
                <w:bCs/>
                <w:szCs w:val="20"/>
                <w:lang w:val="en-US" w:eastAsia="zh-CN"/>
              </w:rPr>
              <w:t>(T21, T18</w:t>
            </w:r>
            <w:r>
              <w:rPr>
                <w:rFonts w:eastAsia="Times New Roman" w:cs="Times New Roman"/>
                <w:bCs/>
                <w:szCs w:val="20"/>
                <w:lang w:val="en-US" w:eastAsia="zh-CN"/>
              </w:rPr>
              <w:t>, T13</w:t>
            </w:r>
            <w:r w:rsidRPr="003F06D7">
              <w:rPr>
                <w:rFonts w:eastAsia="Times New Roman" w:cs="Times New Roman"/>
                <w:bCs/>
                <w:szCs w:val="20"/>
                <w:lang w:val="en-US" w:eastAsia="zh-CN"/>
              </w:rPr>
              <w:t>)</w:t>
            </w:r>
            <w:r>
              <w:rPr>
                <w:rFonts w:eastAsia="Times New Roman" w:cs="Times New Roman"/>
                <w:bCs/>
                <w:szCs w:val="20"/>
                <w:lang w:val="en-US" w:eastAsia="zh-CN"/>
              </w:rPr>
              <w:t>.</w:t>
            </w:r>
          </w:p>
        </w:tc>
        <w:tc>
          <w:tcPr>
            <w:tcW w:w="2976" w:type="dxa"/>
          </w:tcPr>
          <w:p w:rsidR="0033473C" w:rsidRPr="00FF6043" w:rsidRDefault="0033473C" w:rsidP="001B7CF3">
            <w:pPr>
              <w:spacing w:before="0"/>
              <w:rPr>
                <w:szCs w:val="20"/>
              </w:rPr>
            </w:pPr>
            <w:r w:rsidRPr="00FF6043">
              <w:rPr>
                <w:szCs w:val="20"/>
              </w:rPr>
              <w:t>http://onlinelibrary.wiley.com/doi/10.1002/pd.4103/abstract</w:t>
            </w:r>
          </w:p>
        </w:tc>
        <w:tc>
          <w:tcPr>
            <w:tcW w:w="2127" w:type="dxa"/>
          </w:tcPr>
          <w:p w:rsidR="0033473C" w:rsidRPr="00FF6043" w:rsidRDefault="0033473C" w:rsidP="001B7CF3">
            <w:pPr>
              <w:spacing w:before="0"/>
              <w:rPr>
                <w:szCs w:val="20"/>
              </w:rPr>
            </w:pPr>
            <w:r w:rsidRPr="00FF6043">
              <w:rPr>
                <w:szCs w:val="20"/>
              </w:rPr>
              <w:t>24 April 2013</w:t>
            </w:r>
          </w:p>
        </w:tc>
      </w:tr>
      <w:tr w:rsidR="0033473C" w:rsidTr="001B7CF3">
        <w:trPr>
          <w:cantSplit/>
        </w:trPr>
        <w:tc>
          <w:tcPr>
            <w:tcW w:w="474" w:type="dxa"/>
          </w:tcPr>
          <w:p w:rsidR="0033473C" w:rsidRPr="00965B6B" w:rsidRDefault="0033473C" w:rsidP="001B7CF3">
            <w:pPr>
              <w:spacing w:before="0"/>
              <w:rPr>
                <w:szCs w:val="20"/>
              </w:rPr>
            </w:pPr>
            <w:r>
              <w:rPr>
                <w:szCs w:val="20"/>
              </w:rPr>
              <w:t>20.</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Prospective cohort</w:t>
            </w:r>
          </w:p>
        </w:tc>
        <w:tc>
          <w:tcPr>
            <w:tcW w:w="2428" w:type="dxa"/>
          </w:tcPr>
          <w:p w:rsidR="0033473C" w:rsidRPr="007E66DD" w:rsidRDefault="0033473C" w:rsidP="001B7CF3">
            <w:pPr>
              <w:spacing w:before="0"/>
              <w:rPr>
                <w:rFonts w:eastAsia="Times New Roman" w:cs="Times New Roman"/>
                <w:bCs/>
                <w:szCs w:val="20"/>
                <w:lang w:val="en-US" w:eastAsia="zh-CN"/>
              </w:rPr>
            </w:pPr>
            <w:proofErr w:type="spellStart"/>
            <w:r>
              <w:rPr>
                <w:rFonts w:eastAsia="Times New Roman" w:cs="Times New Roman"/>
                <w:bCs/>
                <w:szCs w:val="20"/>
                <w:lang w:val="en-US" w:eastAsia="zh-CN"/>
              </w:rPr>
              <w:t>Pergament</w:t>
            </w:r>
            <w:proofErr w:type="spellEnd"/>
            <w:r>
              <w:rPr>
                <w:rFonts w:eastAsia="Times New Roman" w:cs="Times New Roman"/>
                <w:bCs/>
                <w:szCs w:val="20"/>
                <w:lang w:val="en-US" w:eastAsia="zh-CN"/>
              </w:rPr>
              <w:t xml:space="preserve"> 2014</w:t>
            </w:r>
          </w:p>
        </w:tc>
        <w:tc>
          <w:tcPr>
            <w:tcW w:w="4253"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 xml:space="preserve">Blood samples collected at various stages (FTS, invasive testing, </w:t>
            </w:r>
            <w:proofErr w:type="gramStart"/>
            <w:r>
              <w:rPr>
                <w:rFonts w:eastAsia="Times New Roman" w:cs="Times New Roman"/>
                <w:bCs/>
                <w:szCs w:val="20"/>
                <w:lang w:val="en-US" w:eastAsia="zh-CN"/>
              </w:rPr>
              <w:t>birth</w:t>
            </w:r>
            <w:proofErr w:type="gramEnd"/>
            <w:r>
              <w:rPr>
                <w:rFonts w:eastAsia="Times New Roman" w:cs="Times New Roman"/>
                <w:bCs/>
                <w:szCs w:val="20"/>
                <w:lang w:val="en-US" w:eastAsia="zh-CN"/>
              </w:rPr>
              <w:t>/termination). Lab staff blinded to ~50% samples. N = 1,064 (international). Outcomes: S</w:t>
            </w:r>
            <w:r w:rsidRPr="003F06D7">
              <w:rPr>
                <w:rFonts w:eastAsia="Times New Roman" w:cs="Times New Roman"/>
                <w:bCs/>
                <w:szCs w:val="20"/>
                <w:lang w:val="en-US" w:eastAsia="zh-CN"/>
              </w:rPr>
              <w:t>ens</w:t>
            </w:r>
            <w:r>
              <w:rPr>
                <w:rFonts w:eastAsia="Times New Roman" w:cs="Times New Roman"/>
                <w:bCs/>
                <w:szCs w:val="20"/>
                <w:lang w:val="en-US" w:eastAsia="zh-CN"/>
              </w:rPr>
              <w:t xml:space="preserve">itivity (detection rate), specificity), false-negative rate, false-positive rate (risk cut-off not reported) </w:t>
            </w:r>
            <w:r w:rsidRPr="003F06D7">
              <w:rPr>
                <w:rFonts w:eastAsia="Times New Roman" w:cs="Times New Roman"/>
                <w:bCs/>
                <w:szCs w:val="20"/>
                <w:lang w:val="en-US" w:eastAsia="zh-CN"/>
              </w:rPr>
              <w:t>(T21, T18</w:t>
            </w:r>
            <w:r>
              <w:rPr>
                <w:rFonts w:eastAsia="Times New Roman" w:cs="Times New Roman"/>
                <w:bCs/>
                <w:szCs w:val="20"/>
                <w:lang w:val="en-US" w:eastAsia="zh-CN"/>
              </w:rPr>
              <w:t>, T13</w:t>
            </w:r>
            <w:r w:rsidRPr="003F06D7">
              <w:rPr>
                <w:rFonts w:eastAsia="Times New Roman" w:cs="Times New Roman"/>
                <w:bCs/>
                <w:szCs w:val="20"/>
                <w:lang w:val="en-US" w:eastAsia="zh-CN"/>
              </w:rPr>
              <w:t>)</w:t>
            </w:r>
            <w:r>
              <w:rPr>
                <w:rFonts w:eastAsia="Times New Roman" w:cs="Times New Roman"/>
                <w:bCs/>
                <w:szCs w:val="20"/>
                <w:lang w:val="en-US" w:eastAsia="zh-CN"/>
              </w:rPr>
              <w:t>.</w:t>
            </w:r>
          </w:p>
        </w:tc>
        <w:tc>
          <w:tcPr>
            <w:tcW w:w="2976" w:type="dxa"/>
          </w:tcPr>
          <w:p w:rsidR="0033473C" w:rsidRPr="00FF6043" w:rsidRDefault="0033473C" w:rsidP="001B7CF3">
            <w:pPr>
              <w:spacing w:before="0"/>
              <w:rPr>
                <w:szCs w:val="20"/>
              </w:rPr>
            </w:pPr>
            <w:r w:rsidRPr="00FF6043">
              <w:rPr>
                <w:szCs w:val="20"/>
              </w:rPr>
              <w:t>http://www.ncbi.nlm.nih.gov/pmc/articles/PMC4144440/</w:t>
            </w:r>
          </w:p>
        </w:tc>
        <w:tc>
          <w:tcPr>
            <w:tcW w:w="2127" w:type="dxa"/>
          </w:tcPr>
          <w:p w:rsidR="0033473C" w:rsidRPr="00FF6043" w:rsidRDefault="0033473C" w:rsidP="001B7CF3">
            <w:pPr>
              <w:spacing w:before="0"/>
              <w:rPr>
                <w:szCs w:val="20"/>
              </w:rPr>
            </w:pPr>
            <w:r w:rsidRPr="00FF6043">
              <w:rPr>
                <w:szCs w:val="20"/>
              </w:rPr>
              <w:t>1 August 2015</w:t>
            </w:r>
          </w:p>
        </w:tc>
      </w:tr>
      <w:tr w:rsidR="0033473C" w:rsidTr="001B7CF3">
        <w:trPr>
          <w:cantSplit/>
        </w:trPr>
        <w:tc>
          <w:tcPr>
            <w:tcW w:w="474" w:type="dxa"/>
          </w:tcPr>
          <w:p w:rsidR="0033473C" w:rsidRPr="00965B6B" w:rsidRDefault="0033473C" w:rsidP="001B7CF3">
            <w:pPr>
              <w:spacing w:before="0"/>
              <w:rPr>
                <w:szCs w:val="20"/>
              </w:rPr>
            </w:pPr>
            <w:r>
              <w:rPr>
                <w:szCs w:val="20"/>
              </w:rPr>
              <w:t>21.</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Case control</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Ryan 2016</w:t>
            </w:r>
          </w:p>
        </w:tc>
        <w:tc>
          <w:tcPr>
            <w:tcW w:w="4253"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Blood sample and blinding information not reported. N = 587 (US). Outcomes: S</w:t>
            </w:r>
            <w:r w:rsidRPr="003F06D7">
              <w:rPr>
                <w:rFonts w:eastAsia="Times New Roman" w:cs="Times New Roman"/>
                <w:bCs/>
                <w:szCs w:val="20"/>
                <w:lang w:val="en-US" w:eastAsia="zh-CN"/>
              </w:rPr>
              <w:t>ens</w:t>
            </w:r>
            <w:r>
              <w:rPr>
                <w:rFonts w:eastAsia="Times New Roman" w:cs="Times New Roman"/>
                <w:bCs/>
                <w:szCs w:val="20"/>
                <w:lang w:val="en-US" w:eastAsia="zh-CN"/>
              </w:rPr>
              <w:t xml:space="preserve">itivity (detection rate), specificity </w:t>
            </w:r>
            <w:r w:rsidRPr="003F06D7">
              <w:rPr>
                <w:rFonts w:eastAsia="Times New Roman" w:cs="Times New Roman"/>
                <w:bCs/>
                <w:szCs w:val="20"/>
                <w:lang w:val="en-US" w:eastAsia="zh-CN"/>
              </w:rPr>
              <w:t>(T21, T18</w:t>
            </w:r>
            <w:r>
              <w:rPr>
                <w:rFonts w:eastAsia="Times New Roman" w:cs="Times New Roman"/>
                <w:bCs/>
                <w:szCs w:val="20"/>
                <w:lang w:val="en-US" w:eastAsia="zh-CN"/>
              </w:rPr>
              <w:t>, T13</w:t>
            </w:r>
            <w:r w:rsidRPr="003F06D7">
              <w:rPr>
                <w:rFonts w:eastAsia="Times New Roman" w:cs="Times New Roman"/>
                <w:bCs/>
                <w:szCs w:val="20"/>
                <w:lang w:val="en-US" w:eastAsia="zh-CN"/>
              </w:rPr>
              <w:t>)</w:t>
            </w:r>
          </w:p>
        </w:tc>
        <w:tc>
          <w:tcPr>
            <w:tcW w:w="2976" w:type="dxa"/>
          </w:tcPr>
          <w:p w:rsidR="0033473C" w:rsidRPr="00FF6043" w:rsidRDefault="0033473C" w:rsidP="001B7CF3">
            <w:pPr>
              <w:spacing w:before="0"/>
              <w:rPr>
                <w:szCs w:val="20"/>
              </w:rPr>
            </w:pPr>
            <w:r w:rsidRPr="00FF6043">
              <w:rPr>
                <w:szCs w:val="20"/>
              </w:rPr>
              <w:t>http://www.karger.com/Article/FullText/442931</w:t>
            </w:r>
          </w:p>
        </w:tc>
        <w:tc>
          <w:tcPr>
            <w:tcW w:w="2127" w:type="dxa"/>
          </w:tcPr>
          <w:p w:rsidR="0033473C" w:rsidRPr="001240E0" w:rsidRDefault="0033473C" w:rsidP="001B7CF3">
            <w:pPr>
              <w:spacing w:before="0"/>
              <w:rPr>
                <w:szCs w:val="20"/>
              </w:rPr>
            </w:pPr>
            <w:r w:rsidRPr="001240E0">
              <w:rPr>
                <w:szCs w:val="20"/>
              </w:rPr>
              <w:t>31 March 2016</w:t>
            </w:r>
          </w:p>
        </w:tc>
      </w:tr>
      <w:tr w:rsidR="0033473C" w:rsidTr="001B7CF3">
        <w:trPr>
          <w:cantSplit/>
        </w:trPr>
        <w:tc>
          <w:tcPr>
            <w:tcW w:w="474" w:type="dxa"/>
          </w:tcPr>
          <w:p w:rsidR="0033473C" w:rsidRPr="00965B6B" w:rsidRDefault="0033473C" w:rsidP="001B7CF3">
            <w:pPr>
              <w:spacing w:before="0"/>
              <w:rPr>
                <w:szCs w:val="20"/>
              </w:rPr>
            </w:pPr>
            <w:r>
              <w:rPr>
                <w:szCs w:val="20"/>
              </w:rPr>
              <w:t>22.</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Case control</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Zimmermann 2012</w:t>
            </w:r>
          </w:p>
        </w:tc>
        <w:tc>
          <w:tcPr>
            <w:tcW w:w="4253"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Blood samples drawn prior to invasive testing (</w:t>
            </w:r>
            <w:proofErr w:type="spellStart"/>
            <w:r>
              <w:rPr>
                <w:rFonts w:eastAsia="Times New Roman" w:cs="Times New Roman"/>
                <w:bCs/>
                <w:szCs w:val="20"/>
                <w:lang w:val="en-US" w:eastAsia="zh-CN"/>
              </w:rPr>
              <w:t>euploid</w:t>
            </w:r>
            <w:proofErr w:type="spellEnd"/>
            <w:r>
              <w:rPr>
                <w:rFonts w:eastAsia="Times New Roman" w:cs="Times New Roman"/>
                <w:bCs/>
                <w:szCs w:val="20"/>
                <w:lang w:val="en-US" w:eastAsia="zh-CN"/>
              </w:rPr>
              <w:t xml:space="preserve">) or after (most </w:t>
            </w:r>
            <w:proofErr w:type="spellStart"/>
            <w:r>
              <w:rPr>
                <w:rFonts w:eastAsia="Times New Roman" w:cs="Times New Roman"/>
                <w:bCs/>
                <w:szCs w:val="20"/>
                <w:lang w:val="en-US" w:eastAsia="zh-CN"/>
              </w:rPr>
              <w:t>aneuploid</w:t>
            </w:r>
            <w:proofErr w:type="spellEnd"/>
            <w:r>
              <w:rPr>
                <w:rFonts w:eastAsia="Times New Roman" w:cs="Times New Roman"/>
                <w:bCs/>
                <w:szCs w:val="20"/>
                <w:lang w:val="en-US" w:eastAsia="zh-CN"/>
              </w:rPr>
              <w:t xml:space="preserve">). Lab staff </w:t>
            </w:r>
            <w:proofErr w:type="spellStart"/>
            <w:r>
              <w:rPr>
                <w:rFonts w:eastAsia="Times New Roman" w:cs="Times New Roman"/>
                <w:bCs/>
                <w:szCs w:val="20"/>
                <w:lang w:val="en-US" w:eastAsia="zh-CN"/>
              </w:rPr>
              <w:t>unblinded</w:t>
            </w:r>
            <w:proofErr w:type="spellEnd"/>
            <w:r>
              <w:rPr>
                <w:rFonts w:eastAsia="Times New Roman" w:cs="Times New Roman"/>
                <w:bCs/>
                <w:szCs w:val="20"/>
                <w:lang w:val="en-US" w:eastAsia="zh-CN"/>
              </w:rPr>
              <w:t>. N = 166 (US). Outcomes: S</w:t>
            </w:r>
            <w:r w:rsidRPr="003F06D7">
              <w:rPr>
                <w:rFonts w:eastAsia="Times New Roman" w:cs="Times New Roman"/>
                <w:bCs/>
                <w:szCs w:val="20"/>
                <w:lang w:val="en-US" w:eastAsia="zh-CN"/>
              </w:rPr>
              <w:t>ens</w:t>
            </w:r>
            <w:r>
              <w:rPr>
                <w:rFonts w:eastAsia="Times New Roman" w:cs="Times New Roman"/>
                <w:bCs/>
                <w:szCs w:val="20"/>
                <w:lang w:val="en-US" w:eastAsia="zh-CN"/>
              </w:rPr>
              <w:t xml:space="preserve">itivity (detection rate), specificity, accuracy </w:t>
            </w:r>
            <w:r w:rsidRPr="003F06D7">
              <w:rPr>
                <w:rFonts w:eastAsia="Times New Roman" w:cs="Times New Roman"/>
                <w:bCs/>
                <w:szCs w:val="20"/>
                <w:lang w:val="en-US" w:eastAsia="zh-CN"/>
              </w:rPr>
              <w:t>(T21, T18</w:t>
            </w:r>
            <w:r>
              <w:rPr>
                <w:rFonts w:eastAsia="Times New Roman" w:cs="Times New Roman"/>
                <w:bCs/>
                <w:szCs w:val="20"/>
                <w:lang w:val="en-US" w:eastAsia="zh-CN"/>
              </w:rPr>
              <w:t>, T13</w:t>
            </w:r>
            <w:r w:rsidRPr="003F06D7">
              <w:rPr>
                <w:rFonts w:eastAsia="Times New Roman" w:cs="Times New Roman"/>
                <w:bCs/>
                <w:szCs w:val="20"/>
                <w:lang w:val="en-US" w:eastAsia="zh-CN"/>
              </w:rPr>
              <w:t>)</w:t>
            </w:r>
            <w:r>
              <w:rPr>
                <w:rFonts w:eastAsia="Times New Roman" w:cs="Times New Roman"/>
                <w:bCs/>
                <w:szCs w:val="20"/>
                <w:lang w:val="en-US" w:eastAsia="zh-CN"/>
              </w:rPr>
              <w:t>.</w:t>
            </w:r>
          </w:p>
        </w:tc>
        <w:tc>
          <w:tcPr>
            <w:tcW w:w="2976" w:type="dxa"/>
          </w:tcPr>
          <w:p w:rsidR="0033473C" w:rsidRPr="00FF6043" w:rsidRDefault="0033473C" w:rsidP="001B7CF3">
            <w:pPr>
              <w:spacing w:before="0"/>
              <w:rPr>
                <w:szCs w:val="20"/>
              </w:rPr>
            </w:pPr>
            <w:r w:rsidRPr="00FF6043">
              <w:rPr>
                <w:szCs w:val="20"/>
              </w:rPr>
              <w:t>http://onlinelibrary.wiley.com/doi/10.1002/pd.3993/abstract</w:t>
            </w:r>
          </w:p>
        </w:tc>
        <w:tc>
          <w:tcPr>
            <w:tcW w:w="2127" w:type="dxa"/>
          </w:tcPr>
          <w:p w:rsidR="0033473C" w:rsidRPr="00FF6043" w:rsidRDefault="0033473C" w:rsidP="001B7CF3">
            <w:pPr>
              <w:spacing w:before="0"/>
              <w:rPr>
                <w:szCs w:val="20"/>
              </w:rPr>
            </w:pPr>
            <w:r w:rsidRPr="00FF6043">
              <w:rPr>
                <w:szCs w:val="20"/>
              </w:rPr>
              <w:t>30 October 2012</w:t>
            </w:r>
          </w:p>
        </w:tc>
      </w:tr>
      <w:tr w:rsidR="0033473C" w:rsidRPr="00DF02BB" w:rsidTr="0033473C">
        <w:trPr>
          <w:cantSplit/>
        </w:trPr>
        <w:tc>
          <w:tcPr>
            <w:tcW w:w="13608" w:type="dxa"/>
            <w:gridSpan w:val="6"/>
          </w:tcPr>
          <w:p w:rsidR="0033473C" w:rsidRPr="00DF02BB" w:rsidRDefault="0033473C" w:rsidP="001B7CF3">
            <w:pPr>
              <w:spacing w:before="0"/>
              <w:rPr>
                <w:b/>
                <w:i/>
                <w:szCs w:val="20"/>
              </w:rPr>
            </w:pPr>
            <w:r>
              <w:rPr>
                <w:b/>
                <w:i/>
                <w:szCs w:val="20"/>
              </w:rPr>
              <w:t>Other relevant Australian studies</w:t>
            </w:r>
          </w:p>
        </w:tc>
      </w:tr>
      <w:tr w:rsidR="0033473C" w:rsidTr="001B7CF3">
        <w:trPr>
          <w:cantSplit/>
        </w:trPr>
        <w:tc>
          <w:tcPr>
            <w:tcW w:w="474" w:type="dxa"/>
          </w:tcPr>
          <w:p w:rsidR="0033473C" w:rsidRPr="00965B6B" w:rsidRDefault="0033473C" w:rsidP="001B7CF3">
            <w:pPr>
              <w:spacing w:before="0"/>
              <w:rPr>
                <w:szCs w:val="20"/>
              </w:rPr>
            </w:pPr>
            <w:r>
              <w:rPr>
                <w:szCs w:val="20"/>
              </w:rPr>
              <w:t>23.</w:t>
            </w:r>
          </w:p>
        </w:tc>
        <w:tc>
          <w:tcPr>
            <w:tcW w:w="1350"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Cost-effectiveness model</w:t>
            </w:r>
          </w:p>
        </w:tc>
        <w:tc>
          <w:tcPr>
            <w:tcW w:w="2428"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Ayres 2014</w:t>
            </w:r>
          </w:p>
        </w:tc>
        <w:tc>
          <w:tcPr>
            <w:tcW w:w="4253" w:type="dxa"/>
          </w:tcPr>
          <w:p w:rsidR="0033473C" w:rsidRPr="000C0E1E"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C</w:t>
            </w:r>
            <w:r w:rsidRPr="000C0E1E">
              <w:rPr>
                <w:rFonts w:eastAsia="Times New Roman" w:cs="Times New Roman"/>
                <w:bCs/>
                <w:szCs w:val="20"/>
                <w:lang w:val="en-US" w:eastAsia="zh-CN"/>
              </w:rPr>
              <w:t xml:space="preserve">ost-effectiveness </w:t>
            </w:r>
            <w:r>
              <w:rPr>
                <w:rFonts w:eastAsia="Times New Roman" w:cs="Times New Roman"/>
                <w:bCs/>
                <w:szCs w:val="20"/>
                <w:lang w:val="en-US" w:eastAsia="zh-CN"/>
              </w:rPr>
              <w:t xml:space="preserve">analysis </w:t>
            </w:r>
            <w:r w:rsidRPr="000C0E1E">
              <w:rPr>
                <w:rFonts w:eastAsia="Times New Roman" w:cs="Times New Roman"/>
                <w:bCs/>
                <w:szCs w:val="20"/>
                <w:lang w:val="en-US" w:eastAsia="zh-CN"/>
              </w:rPr>
              <w:t>of dif</w:t>
            </w:r>
            <w:r>
              <w:rPr>
                <w:rFonts w:eastAsia="Times New Roman" w:cs="Times New Roman"/>
                <w:bCs/>
                <w:szCs w:val="20"/>
                <w:lang w:val="en-US" w:eastAsia="zh-CN"/>
              </w:rPr>
              <w:t>ferent strategies of NIPT for trisomy 21</w:t>
            </w:r>
            <w:r w:rsidRPr="000C0E1E">
              <w:rPr>
                <w:rFonts w:eastAsia="Times New Roman" w:cs="Times New Roman"/>
                <w:bCs/>
                <w:szCs w:val="20"/>
                <w:lang w:val="en-US" w:eastAsia="zh-CN"/>
              </w:rPr>
              <w:t xml:space="preserve"> screening in comparison with current</w:t>
            </w:r>
          </w:p>
          <w:p w:rsidR="0033473C" w:rsidRPr="007E66DD" w:rsidRDefault="0033473C" w:rsidP="001B7CF3">
            <w:pPr>
              <w:spacing w:before="0"/>
              <w:rPr>
                <w:rFonts w:eastAsia="Times New Roman" w:cs="Times New Roman"/>
                <w:bCs/>
                <w:szCs w:val="20"/>
                <w:lang w:val="en-US" w:eastAsia="zh-CN"/>
              </w:rPr>
            </w:pPr>
            <w:r w:rsidRPr="000C0E1E">
              <w:rPr>
                <w:rFonts w:eastAsia="Times New Roman" w:cs="Times New Roman"/>
                <w:bCs/>
                <w:szCs w:val="20"/>
                <w:lang w:val="en-US" w:eastAsia="zh-CN"/>
              </w:rPr>
              <w:t>practice</w:t>
            </w:r>
          </w:p>
        </w:tc>
        <w:tc>
          <w:tcPr>
            <w:tcW w:w="2976" w:type="dxa"/>
          </w:tcPr>
          <w:p w:rsidR="0033473C" w:rsidRPr="00FF6043" w:rsidRDefault="0033473C" w:rsidP="001B7CF3">
            <w:pPr>
              <w:spacing w:before="0"/>
              <w:rPr>
                <w:szCs w:val="20"/>
              </w:rPr>
            </w:pPr>
            <w:r w:rsidRPr="00A53528">
              <w:rPr>
                <w:szCs w:val="20"/>
              </w:rPr>
              <w:t>http://onlinelibrary.wiley.com/doi/10.1111/ajo.12223/full</w:t>
            </w:r>
          </w:p>
        </w:tc>
        <w:tc>
          <w:tcPr>
            <w:tcW w:w="2127" w:type="dxa"/>
          </w:tcPr>
          <w:p w:rsidR="0033473C" w:rsidRPr="00FF6043" w:rsidRDefault="0033473C" w:rsidP="001B7CF3">
            <w:pPr>
              <w:spacing w:before="0"/>
              <w:rPr>
                <w:szCs w:val="20"/>
              </w:rPr>
            </w:pPr>
            <w:r>
              <w:rPr>
                <w:szCs w:val="20"/>
              </w:rPr>
              <w:t>8 September 2014</w:t>
            </w:r>
          </w:p>
        </w:tc>
      </w:tr>
      <w:tr w:rsidR="0033473C" w:rsidTr="001B7CF3">
        <w:trPr>
          <w:cantSplit/>
        </w:trPr>
        <w:tc>
          <w:tcPr>
            <w:tcW w:w="474" w:type="dxa"/>
          </w:tcPr>
          <w:p w:rsidR="0033473C" w:rsidRPr="00965B6B" w:rsidRDefault="0033473C" w:rsidP="001B7CF3">
            <w:pPr>
              <w:spacing w:before="0"/>
              <w:rPr>
                <w:szCs w:val="20"/>
              </w:rPr>
            </w:pPr>
            <w:r>
              <w:rPr>
                <w:szCs w:val="20"/>
              </w:rPr>
              <w:lastRenderedPageBreak/>
              <w:t>24.</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Review</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Hui 2013</w:t>
            </w:r>
          </w:p>
        </w:tc>
        <w:tc>
          <w:tcPr>
            <w:tcW w:w="4253" w:type="dxa"/>
          </w:tcPr>
          <w:p w:rsidR="0033473C" w:rsidRPr="000C0E1E"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R</w:t>
            </w:r>
            <w:r w:rsidRPr="000C0E1E">
              <w:rPr>
                <w:rFonts w:eastAsia="Times New Roman" w:cs="Times New Roman"/>
                <w:bCs/>
                <w:szCs w:val="20"/>
                <w:lang w:val="en-US" w:eastAsia="zh-CN"/>
              </w:rPr>
              <w:t xml:space="preserve">eview </w:t>
            </w:r>
            <w:r>
              <w:rPr>
                <w:rFonts w:eastAsia="Times New Roman" w:cs="Times New Roman"/>
                <w:bCs/>
                <w:szCs w:val="20"/>
                <w:lang w:val="en-US" w:eastAsia="zh-CN"/>
              </w:rPr>
              <w:t xml:space="preserve">of </w:t>
            </w:r>
            <w:r w:rsidRPr="000C0E1E">
              <w:rPr>
                <w:rFonts w:eastAsia="Times New Roman" w:cs="Times New Roman"/>
                <w:bCs/>
                <w:szCs w:val="20"/>
                <w:lang w:val="en-US" w:eastAsia="zh-CN"/>
              </w:rPr>
              <w:t>the basis of</w:t>
            </w:r>
          </w:p>
          <w:p w:rsidR="0033473C" w:rsidRPr="000C0E1E"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NIPT</w:t>
            </w:r>
            <w:r w:rsidRPr="000C0E1E">
              <w:rPr>
                <w:rFonts w:eastAsia="Times New Roman" w:cs="Times New Roman"/>
                <w:bCs/>
                <w:szCs w:val="20"/>
                <w:lang w:val="en-US" w:eastAsia="zh-CN"/>
              </w:rPr>
              <w:t xml:space="preserve">, literature describing the effectiveness of NIPT in screening for </w:t>
            </w:r>
            <w:r>
              <w:rPr>
                <w:rFonts w:eastAsia="Times New Roman" w:cs="Times New Roman"/>
                <w:bCs/>
                <w:szCs w:val="20"/>
                <w:lang w:val="en-US" w:eastAsia="zh-CN"/>
              </w:rPr>
              <w:t>T</w:t>
            </w:r>
            <w:r w:rsidRPr="000C0E1E">
              <w:rPr>
                <w:rFonts w:eastAsia="Times New Roman" w:cs="Times New Roman"/>
                <w:bCs/>
                <w:szCs w:val="20"/>
                <w:lang w:val="en-US" w:eastAsia="zh-CN"/>
              </w:rPr>
              <w:t>21</w:t>
            </w:r>
            <w:r>
              <w:rPr>
                <w:rFonts w:eastAsia="Times New Roman" w:cs="Times New Roman"/>
                <w:bCs/>
                <w:szCs w:val="20"/>
                <w:lang w:val="en-US" w:eastAsia="zh-CN"/>
              </w:rPr>
              <w:t>,</w:t>
            </w:r>
            <w:r w:rsidRPr="000C0E1E">
              <w:rPr>
                <w:rFonts w:eastAsia="Times New Roman" w:cs="Times New Roman"/>
                <w:bCs/>
                <w:szCs w:val="20"/>
                <w:lang w:val="en-US" w:eastAsia="zh-CN"/>
              </w:rPr>
              <w:t xml:space="preserve"> and the potential</w:t>
            </w:r>
          </w:p>
          <w:p w:rsidR="0033473C" w:rsidRPr="007E66DD" w:rsidRDefault="0033473C" w:rsidP="001B7CF3">
            <w:pPr>
              <w:spacing w:before="0"/>
              <w:rPr>
                <w:rFonts w:eastAsia="Times New Roman" w:cs="Times New Roman"/>
                <w:bCs/>
                <w:szCs w:val="20"/>
                <w:lang w:val="en-US" w:eastAsia="zh-CN"/>
              </w:rPr>
            </w:pPr>
            <w:r w:rsidRPr="000C0E1E">
              <w:rPr>
                <w:rFonts w:eastAsia="Times New Roman" w:cs="Times New Roman"/>
                <w:bCs/>
                <w:szCs w:val="20"/>
                <w:lang w:val="en-US" w:eastAsia="zh-CN"/>
              </w:rPr>
              <w:t xml:space="preserve">methods by which </w:t>
            </w:r>
            <w:r>
              <w:rPr>
                <w:rFonts w:eastAsia="Times New Roman" w:cs="Times New Roman"/>
                <w:bCs/>
                <w:szCs w:val="20"/>
                <w:lang w:val="en-US" w:eastAsia="zh-CN"/>
              </w:rPr>
              <w:t>NIPT</w:t>
            </w:r>
            <w:r w:rsidRPr="000C0E1E">
              <w:rPr>
                <w:rFonts w:eastAsia="Times New Roman" w:cs="Times New Roman"/>
                <w:bCs/>
                <w:szCs w:val="20"/>
                <w:lang w:val="en-US" w:eastAsia="zh-CN"/>
              </w:rPr>
              <w:t xml:space="preserve"> could be incorporated into current screening strategies</w:t>
            </w:r>
          </w:p>
        </w:tc>
        <w:tc>
          <w:tcPr>
            <w:tcW w:w="2976" w:type="dxa"/>
          </w:tcPr>
          <w:p w:rsidR="0033473C" w:rsidRPr="00FF6043" w:rsidRDefault="0033473C" w:rsidP="001B7CF3">
            <w:pPr>
              <w:spacing w:before="0"/>
              <w:rPr>
                <w:szCs w:val="20"/>
              </w:rPr>
            </w:pPr>
            <w:r w:rsidRPr="00A53528">
              <w:rPr>
                <w:szCs w:val="20"/>
              </w:rPr>
              <w:t>http://onlinelibrary.wiley.com/doi/10.1111/ajo.12117/abstract</w:t>
            </w:r>
          </w:p>
        </w:tc>
        <w:tc>
          <w:tcPr>
            <w:tcW w:w="2127" w:type="dxa"/>
          </w:tcPr>
          <w:p w:rsidR="0033473C" w:rsidRPr="00FF6043" w:rsidRDefault="0033473C" w:rsidP="001B7CF3">
            <w:pPr>
              <w:spacing w:before="0"/>
              <w:rPr>
                <w:szCs w:val="20"/>
              </w:rPr>
            </w:pPr>
            <w:r>
              <w:rPr>
                <w:szCs w:val="20"/>
              </w:rPr>
              <w:t>31 July 2013</w:t>
            </w:r>
          </w:p>
        </w:tc>
      </w:tr>
      <w:tr w:rsidR="0033473C" w:rsidTr="001B7CF3">
        <w:trPr>
          <w:cantSplit/>
        </w:trPr>
        <w:tc>
          <w:tcPr>
            <w:tcW w:w="474" w:type="dxa"/>
          </w:tcPr>
          <w:p w:rsidR="0033473C" w:rsidRPr="00965B6B" w:rsidRDefault="0033473C" w:rsidP="001B7CF3">
            <w:pPr>
              <w:spacing w:before="0"/>
              <w:rPr>
                <w:szCs w:val="20"/>
              </w:rPr>
            </w:pPr>
            <w:r>
              <w:rPr>
                <w:szCs w:val="20"/>
              </w:rPr>
              <w:t>25.</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Expert survey</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Hui 2015</w:t>
            </w:r>
          </w:p>
        </w:tc>
        <w:tc>
          <w:tcPr>
            <w:tcW w:w="4253" w:type="dxa"/>
          </w:tcPr>
          <w:p w:rsidR="0033473C" w:rsidRPr="000C0E1E"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 xml:space="preserve">Survey on the use and </w:t>
            </w:r>
            <w:r w:rsidRPr="000C0E1E">
              <w:rPr>
                <w:rFonts w:eastAsia="Times New Roman" w:cs="Times New Roman"/>
                <w:bCs/>
                <w:szCs w:val="20"/>
                <w:lang w:val="en-US" w:eastAsia="zh-CN"/>
              </w:rPr>
              <w:t xml:space="preserve">clinical implementation of NIPT by </w:t>
            </w:r>
            <w:r>
              <w:rPr>
                <w:rFonts w:eastAsia="Times New Roman" w:cs="Times New Roman"/>
                <w:bCs/>
                <w:szCs w:val="20"/>
                <w:lang w:val="en-US" w:eastAsia="zh-CN"/>
              </w:rPr>
              <w:t xml:space="preserve">all </w:t>
            </w:r>
            <w:r w:rsidRPr="000C0E1E">
              <w:rPr>
                <w:rFonts w:eastAsia="Times New Roman" w:cs="Times New Roman"/>
                <w:bCs/>
                <w:szCs w:val="20"/>
                <w:lang w:val="en-US" w:eastAsia="zh-CN"/>
              </w:rPr>
              <w:t>members of the Australian Association of Obstetrical and</w:t>
            </w:r>
          </w:p>
          <w:p w:rsidR="0033473C" w:rsidRPr="007E66DD" w:rsidRDefault="0033473C" w:rsidP="001B7CF3">
            <w:pPr>
              <w:spacing w:before="0"/>
              <w:rPr>
                <w:rFonts w:eastAsia="Times New Roman" w:cs="Times New Roman"/>
                <w:bCs/>
                <w:szCs w:val="20"/>
                <w:lang w:val="en-US" w:eastAsia="zh-CN"/>
              </w:rPr>
            </w:pPr>
            <w:proofErr w:type="spellStart"/>
            <w:r w:rsidRPr="000C0E1E">
              <w:rPr>
                <w:rFonts w:eastAsia="Times New Roman" w:cs="Times New Roman"/>
                <w:bCs/>
                <w:szCs w:val="20"/>
                <w:lang w:val="en-US" w:eastAsia="zh-CN"/>
              </w:rPr>
              <w:t>Gynaecological</w:t>
            </w:r>
            <w:proofErr w:type="spellEnd"/>
            <w:r w:rsidRPr="000C0E1E">
              <w:rPr>
                <w:rFonts w:eastAsia="Times New Roman" w:cs="Times New Roman"/>
                <w:bCs/>
                <w:szCs w:val="20"/>
                <w:lang w:val="en-US" w:eastAsia="zh-CN"/>
              </w:rPr>
              <w:t xml:space="preserve"> </w:t>
            </w:r>
            <w:proofErr w:type="spellStart"/>
            <w:r w:rsidRPr="000C0E1E">
              <w:rPr>
                <w:rFonts w:eastAsia="Times New Roman" w:cs="Times New Roman"/>
                <w:bCs/>
                <w:szCs w:val="20"/>
                <w:lang w:val="en-US" w:eastAsia="zh-CN"/>
              </w:rPr>
              <w:t>Ultrasonologists</w:t>
            </w:r>
            <w:proofErr w:type="spellEnd"/>
            <w:r>
              <w:rPr>
                <w:rFonts w:eastAsia="Times New Roman" w:cs="Times New Roman"/>
                <w:bCs/>
                <w:szCs w:val="20"/>
                <w:lang w:val="en-US" w:eastAsia="zh-CN"/>
              </w:rPr>
              <w:t>,</w:t>
            </w:r>
            <w:r w:rsidRPr="000C0E1E">
              <w:rPr>
                <w:rFonts w:eastAsia="Times New Roman" w:cs="Times New Roman"/>
                <w:bCs/>
                <w:szCs w:val="20"/>
                <w:lang w:val="en-US" w:eastAsia="zh-CN"/>
              </w:rPr>
              <w:t xml:space="preserve"> during its f</w:t>
            </w:r>
            <w:r>
              <w:rPr>
                <w:rFonts w:eastAsia="Times New Roman" w:cs="Times New Roman"/>
                <w:bCs/>
                <w:szCs w:val="20"/>
                <w:lang w:val="en-US" w:eastAsia="zh-CN"/>
              </w:rPr>
              <w:t>irst year of local availability</w:t>
            </w:r>
          </w:p>
        </w:tc>
        <w:tc>
          <w:tcPr>
            <w:tcW w:w="2976" w:type="dxa"/>
          </w:tcPr>
          <w:p w:rsidR="0033473C" w:rsidRPr="00FF6043" w:rsidRDefault="0033473C" w:rsidP="001B7CF3">
            <w:pPr>
              <w:spacing w:before="0"/>
              <w:rPr>
                <w:szCs w:val="20"/>
              </w:rPr>
            </w:pPr>
            <w:r w:rsidRPr="00A53528">
              <w:rPr>
                <w:szCs w:val="20"/>
              </w:rPr>
              <w:t>http://onlinelibrary.wiley.com/doi/10.1111/ajo.12306/abstract</w:t>
            </w:r>
          </w:p>
        </w:tc>
        <w:tc>
          <w:tcPr>
            <w:tcW w:w="2127" w:type="dxa"/>
          </w:tcPr>
          <w:p w:rsidR="0033473C" w:rsidRPr="001240E0" w:rsidRDefault="0033473C" w:rsidP="001B7CF3">
            <w:pPr>
              <w:spacing w:before="0"/>
              <w:rPr>
                <w:szCs w:val="20"/>
              </w:rPr>
            </w:pPr>
            <w:r>
              <w:rPr>
                <w:szCs w:val="20"/>
              </w:rPr>
              <w:t>29 April 2015</w:t>
            </w:r>
          </w:p>
        </w:tc>
      </w:tr>
      <w:tr w:rsidR="0033473C" w:rsidTr="001B7CF3">
        <w:trPr>
          <w:cantSplit/>
        </w:trPr>
        <w:tc>
          <w:tcPr>
            <w:tcW w:w="474" w:type="dxa"/>
          </w:tcPr>
          <w:p w:rsidR="0033473C" w:rsidRPr="00965B6B" w:rsidRDefault="0033473C" w:rsidP="001B7CF3">
            <w:pPr>
              <w:spacing w:before="0"/>
              <w:rPr>
                <w:szCs w:val="20"/>
              </w:rPr>
            </w:pPr>
            <w:r>
              <w:rPr>
                <w:szCs w:val="20"/>
              </w:rPr>
              <w:t>26.</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Retrospective analysis</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Maxwell 2016</w:t>
            </w:r>
          </w:p>
        </w:tc>
        <w:tc>
          <w:tcPr>
            <w:tcW w:w="4253"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Analysis of screen-positive and detection rates for T21 by FTS risk cut-off, and analysis of the implications for the introduction of NIPT in a contingent screening model</w:t>
            </w:r>
          </w:p>
        </w:tc>
        <w:tc>
          <w:tcPr>
            <w:tcW w:w="2976" w:type="dxa"/>
          </w:tcPr>
          <w:p w:rsidR="0033473C" w:rsidRPr="00FF6043" w:rsidRDefault="0033473C" w:rsidP="001B7CF3">
            <w:pPr>
              <w:spacing w:before="0"/>
              <w:rPr>
                <w:szCs w:val="20"/>
              </w:rPr>
            </w:pPr>
            <w:r w:rsidRPr="00A53528">
              <w:rPr>
                <w:szCs w:val="20"/>
              </w:rPr>
              <w:t>http://onlinelibrary.wiley.com/doi/10.1111/ajo.12428/abstract</w:t>
            </w:r>
          </w:p>
        </w:tc>
        <w:tc>
          <w:tcPr>
            <w:tcW w:w="2127" w:type="dxa"/>
          </w:tcPr>
          <w:p w:rsidR="0033473C" w:rsidRPr="00FF6043" w:rsidRDefault="0033473C" w:rsidP="001B7CF3">
            <w:pPr>
              <w:spacing w:before="0"/>
              <w:rPr>
                <w:szCs w:val="20"/>
              </w:rPr>
            </w:pPr>
            <w:r>
              <w:rPr>
                <w:szCs w:val="20"/>
              </w:rPr>
              <w:t>8 January 2016</w:t>
            </w:r>
          </w:p>
        </w:tc>
      </w:tr>
      <w:tr w:rsidR="0033473C" w:rsidTr="001B7CF3">
        <w:trPr>
          <w:cantSplit/>
        </w:trPr>
        <w:tc>
          <w:tcPr>
            <w:tcW w:w="474" w:type="dxa"/>
          </w:tcPr>
          <w:p w:rsidR="0033473C" w:rsidRPr="00965B6B" w:rsidRDefault="0033473C" w:rsidP="001B7CF3">
            <w:pPr>
              <w:spacing w:before="0"/>
              <w:rPr>
                <w:szCs w:val="20"/>
              </w:rPr>
            </w:pPr>
            <w:r>
              <w:rPr>
                <w:szCs w:val="20"/>
              </w:rPr>
              <w:t>27.</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Prospective study</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McLennan 2016</w:t>
            </w:r>
          </w:p>
        </w:tc>
        <w:tc>
          <w:tcPr>
            <w:tcW w:w="4253"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 xml:space="preserve">Review of NIPT data at three </w:t>
            </w:r>
            <w:r w:rsidRPr="000C0E1E">
              <w:rPr>
                <w:rFonts w:eastAsia="Times New Roman" w:cs="Times New Roman"/>
                <w:bCs/>
                <w:szCs w:val="20"/>
                <w:lang w:val="en-US" w:eastAsia="zh-CN"/>
              </w:rPr>
              <w:t>pri</w:t>
            </w:r>
            <w:r>
              <w:rPr>
                <w:rFonts w:eastAsia="Times New Roman" w:cs="Times New Roman"/>
                <w:bCs/>
                <w:szCs w:val="20"/>
                <w:lang w:val="en-US" w:eastAsia="zh-CN"/>
              </w:rPr>
              <w:t xml:space="preserve">vate practices </w:t>
            </w:r>
            <w:proofErr w:type="spellStart"/>
            <w:r w:rsidRPr="000C0E1E">
              <w:rPr>
                <w:rFonts w:eastAsia="Times New Roman" w:cs="Times New Roman"/>
                <w:bCs/>
                <w:szCs w:val="20"/>
                <w:lang w:val="en-US" w:eastAsia="zh-CN"/>
              </w:rPr>
              <w:t>specialising</w:t>
            </w:r>
            <w:proofErr w:type="spellEnd"/>
            <w:r w:rsidRPr="000C0E1E">
              <w:rPr>
                <w:rFonts w:eastAsia="Times New Roman" w:cs="Times New Roman"/>
                <w:bCs/>
                <w:szCs w:val="20"/>
                <w:lang w:val="en-US" w:eastAsia="zh-CN"/>
              </w:rPr>
              <w:t xml:space="preserve"> in obstetric ultrasound and prenatal diagnosis</w:t>
            </w:r>
            <w:r>
              <w:rPr>
                <w:rFonts w:eastAsia="Times New Roman" w:cs="Times New Roman"/>
                <w:bCs/>
                <w:szCs w:val="20"/>
                <w:lang w:val="en-US" w:eastAsia="zh-CN"/>
              </w:rPr>
              <w:t xml:space="preserve"> to assess detection rates for T21, T18 and T13 and compare outcomes for 3 screening models</w:t>
            </w:r>
          </w:p>
        </w:tc>
        <w:tc>
          <w:tcPr>
            <w:tcW w:w="2976" w:type="dxa"/>
          </w:tcPr>
          <w:p w:rsidR="0033473C" w:rsidRPr="00FF6043" w:rsidRDefault="0033473C" w:rsidP="001B7CF3">
            <w:pPr>
              <w:spacing w:before="0"/>
              <w:rPr>
                <w:szCs w:val="20"/>
              </w:rPr>
            </w:pPr>
            <w:r w:rsidRPr="00A53528">
              <w:rPr>
                <w:szCs w:val="20"/>
              </w:rPr>
              <w:t>http://onlinelibrary.wiley.com/doi/10.1111/ajo.12432/abstract</w:t>
            </w:r>
          </w:p>
        </w:tc>
        <w:tc>
          <w:tcPr>
            <w:tcW w:w="2127" w:type="dxa"/>
          </w:tcPr>
          <w:p w:rsidR="0033473C" w:rsidRPr="00FF6043" w:rsidRDefault="0033473C" w:rsidP="001B7CF3">
            <w:pPr>
              <w:spacing w:before="0"/>
              <w:rPr>
                <w:szCs w:val="20"/>
              </w:rPr>
            </w:pPr>
            <w:r>
              <w:rPr>
                <w:szCs w:val="20"/>
              </w:rPr>
              <w:t>27 January 2016</w:t>
            </w:r>
          </w:p>
        </w:tc>
      </w:tr>
      <w:tr w:rsidR="0033473C" w:rsidTr="001B7CF3">
        <w:trPr>
          <w:cantSplit/>
        </w:trPr>
        <w:tc>
          <w:tcPr>
            <w:tcW w:w="474" w:type="dxa"/>
          </w:tcPr>
          <w:p w:rsidR="0033473C" w:rsidRPr="00965B6B" w:rsidRDefault="0033473C" w:rsidP="001B7CF3">
            <w:pPr>
              <w:spacing w:before="0"/>
              <w:rPr>
                <w:szCs w:val="20"/>
              </w:rPr>
            </w:pPr>
            <w:r>
              <w:rPr>
                <w:szCs w:val="20"/>
              </w:rPr>
              <w:t>28.</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Cost-effectiveness model</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O’Leary 2013</w:t>
            </w:r>
          </w:p>
        </w:tc>
        <w:tc>
          <w:tcPr>
            <w:tcW w:w="4253"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Cost-effectiveness decision tree analysis of introducing NIPT for women found to be at high-risk following FTS, assessing the reduction in invasive tests and procedural-related fetal losses, additional T21 cases confirmed, and cost per T21 case confirmed</w:t>
            </w:r>
          </w:p>
        </w:tc>
        <w:tc>
          <w:tcPr>
            <w:tcW w:w="2976" w:type="dxa"/>
          </w:tcPr>
          <w:p w:rsidR="0033473C" w:rsidRPr="00FF6043" w:rsidRDefault="0033473C" w:rsidP="001B7CF3">
            <w:pPr>
              <w:spacing w:before="0"/>
              <w:rPr>
                <w:szCs w:val="20"/>
              </w:rPr>
            </w:pPr>
            <w:r w:rsidRPr="009903CB">
              <w:rPr>
                <w:szCs w:val="20"/>
              </w:rPr>
              <w:t>http://onlinelibrary.wiley.com/doi/10.1111/ajo.12136/abstract</w:t>
            </w:r>
          </w:p>
        </w:tc>
        <w:tc>
          <w:tcPr>
            <w:tcW w:w="2127" w:type="dxa"/>
          </w:tcPr>
          <w:p w:rsidR="0033473C" w:rsidRPr="001240E0" w:rsidRDefault="0033473C" w:rsidP="001B7CF3">
            <w:pPr>
              <w:spacing w:before="0"/>
              <w:rPr>
                <w:szCs w:val="20"/>
              </w:rPr>
            </w:pPr>
            <w:r>
              <w:rPr>
                <w:szCs w:val="20"/>
              </w:rPr>
              <w:t>1 October 2013</w:t>
            </w:r>
          </w:p>
        </w:tc>
      </w:tr>
      <w:tr w:rsidR="0033473C" w:rsidTr="001B7CF3">
        <w:trPr>
          <w:cantSplit/>
        </w:trPr>
        <w:tc>
          <w:tcPr>
            <w:tcW w:w="474" w:type="dxa"/>
          </w:tcPr>
          <w:p w:rsidR="0033473C" w:rsidRPr="00965B6B" w:rsidRDefault="0033473C" w:rsidP="001B7CF3">
            <w:pPr>
              <w:spacing w:before="0"/>
              <w:rPr>
                <w:szCs w:val="20"/>
              </w:rPr>
            </w:pPr>
            <w:r>
              <w:rPr>
                <w:szCs w:val="20"/>
              </w:rPr>
              <w:lastRenderedPageBreak/>
              <w:t>29.</w:t>
            </w:r>
          </w:p>
        </w:tc>
        <w:tc>
          <w:tcPr>
            <w:tcW w:w="1350" w:type="dxa"/>
          </w:tcPr>
          <w:p w:rsidR="0033473C" w:rsidRPr="007E66DD" w:rsidRDefault="0033473C" w:rsidP="001B7CF3">
            <w:pPr>
              <w:spacing w:before="0"/>
              <w:rPr>
                <w:rFonts w:eastAsia="Times New Roman" w:cs="Times New Roman"/>
                <w:szCs w:val="20"/>
                <w:lang w:val="en-US" w:eastAsia="zh-CN"/>
              </w:rPr>
            </w:pPr>
            <w:r>
              <w:rPr>
                <w:rFonts w:eastAsia="Times New Roman" w:cs="Times New Roman"/>
                <w:szCs w:val="20"/>
                <w:lang w:val="en-US" w:eastAsia="zh-CN"/>
              </w:rPr>
              <w:t>Retrospective analysis</w:t>
            </w:r>
          </w:p>
        </w:tc>
        <w:tc>
          <w:tcPr>
            <w:tcW w:w="2428"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Robson 2015</w:t>
            </w:r>
          </w:p>
        </w:tc>
        <w:tc>
          <w:tcPr>
            <w:tcW w:w="4253" w:type="dxa"/>
          </w:tcPr>
          <w:p w:rsidR="0033473C" w:rsidRPr="007E66DD" w:rsidRDefault="0033473C" w:rsidP="001B7CF3">
            <w:pPr>
              <w:spacing w:before="0"/>
              <w:rPr>
                <w:rFonts w:eastAsia="Times New Roman" w:cs="Times New Roman"/>
                <w:bCs/>
                <w:szCs w:val="20"/>
                <w:lang w:val="en-US" w:eastAsia="zh-CN"/>
              </w:rPr>
            </w:pPr>
            <w:r>
              <w:rPr>
                <w:rFonts w:eastAsia="Times New Roman" w:cs="Times New Roman"/>
                <w:bCs/>
                <w:szCs w:val="20"/>
                <w:lang w:val="en-US" w:eastAsia="zh-CN"/>
              </w:rPr>
              <w:t xml:space="preserve">Assessment of reduction in invasive testing by comparing amniocentesis/CVS </w:t>
            </w:r>
            <w:r w:rsidRPr="00D220A8">
              <w:rPr>
                <w:rFonts w:eastAsia="Times New Roman" w:cs="Times New Roman"/>
                <w:bCs/>
                <w:szCs w:val="20"/>
                <w:lang w:val="en-US" w:eastAsia="zh-CN"/>
              </w:rPr>
              <w:t>numbers bef</w:t>
            </w:r>
            <w:r>
              <w:rPr>
                <w:rFonts w:eastAsia="Times New Roman" w:cs="Times New Roman"/>
                <w:bCs/>
                <w:szCs w:val="20"/>
                <w:lang w:val="en-US" w:eastAsia="zh-CN"/>
              </w:rPr>
              <w:t xml:space="preserve">ore and during the FTS era, and </w:t>
            </w:r>
            <w:r w:rsidRPr="00D220A8">
              <w:rPr>
                <w:rFonts w:eastAsia="Times New Roman" w:cs="Times New Roman"/>
                <w:bCs/>
                <w:szCs w:val="20"/>
                <w:lang w:val="en-US" w:eastAsia="zh-CN"/>
              </w:rPr>
              <w:t>before and after the in</w:t>
            </w:r>
            <w:r>
              <w:rPr>
                <w:rFonts w:eastAsia="Times New Roman" w:cs="Times New Roman"/>
                <w:bCs/>
                <w:szCs w:val="20"/>
                <w:lang w:val="en-US" w:eastAsia="zh-CN"/>
              </w:rPr>
              <w:t>troduction of NIPT</w:t>
            </w:r>
          </w:p>
        </w:tc>
        <w:tc>
          <w:tcPr>
            <w:tcW w:w="2976" w:type="dxa"/>
          </w:tcPr>
          <w:p w:rsidR="0033473C" w:rsidRPr="00FF6043" w:rsidRDefault="0033473C" w:rsidP="001B7CF3">
            <w:pPr>
              <w:spacing w:before="0"/>
              <w:rPr>
                <w:szCs w:val="20"/>
              </w:rPr>
            </w:pPr>
            <w:r w:rsidRPr="009903CB">
              <w:rPr>
                <w:szCs w:val="20"/>
              </w:rPr>
              <w:t>http://onlinelibrary.wiley.com/doi/10.1111/ajo.12380/abstract</w:t>
            </w:r>
          </w:p>
        </w:tc>
        <w:tc>
          <w:tcPr>
            <w:tcW w:w="2127" w:type="dxa"/>
          </w:tcPr>
          <w:p w:rsidR="0033473C" w:rsidRPr="00FF6043" w:rsidRDefault="0033473C" w:rsidP="001B7CF3">
            <w:pPr>
              <w:spacing w:before="0"/>
              <w:rPr>
                <w:szCs w:val="20"/>
              </w:rPr>
            </w:pPr>
            <w:r>
              <w:rPr>
                <w:szCs w:val="20"/>
              </w:rPr>
              <w:t>11 August 2015</w:t>
            </w:r>
          </w:p>
        </w:tc>
      </w:tr>
    </w:tbl>
    <w:p w:rsidR="00DD308E" w:rsidRDefault="00DD308E" w:rsidP="001B7CF3">
      <w:pPr>
        <w:spacing w:before="0" w:after="0"/>
        <w:ind w:left="425"/>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1B7CF3">
      <w:pPr>
        <w:spacing w:before="0" w:after="0"/>
        <w:ind w:left="425"/>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DD308E" w:rsidRDefault="00DD308E" w:rsidP="001B7CF3">
      <w:pPr>
        <w:spacing w:before="0"/>
        <w:ind w:left="425"/>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rsidR="004C49EF" w:rsidRDefault="004C49EF" w:rsidP="001B7CF3">
      <w:pPr>
        <w:pStyle w:val="Heading2"/>
        <w:spacing w:before="0"/>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4812" w:type="pct"/>
        <w:tblInd w:w="534" w:type="dxa"/>
        <w:tblLook w:val="04A0" w:firstRow="1" w:lastRow="0" w:firstColumn="1" w:lastColumn="0" w:noHBand="0" w:noVBand="1"/>
        <w:tblDescription w:val="Summary of Evidence - Yet to be Published"/>
      </w:tblPr>
      <w:tblGrid>
        <w:gridCol w:w="391"/>
        <w:gridCol w:w="1451"/>
        <w:gridCol w:w="2409"/>
        <w:gridCol w:w="4373"/>
        <w:gridCol w:w="2856"/>
        <w:gridCol w:w="2161"/>
      </w:tblGrid>
      <w:tr w:rsidR="004C49EF" w:rsidTr="001B7CF3">
        <w:trPr>
          <w:cantSplit/>
          <w:tblHeader/>
        </w:trPr>
        <w:tc>
          <w:tcPr>
            <w:tcW w:w="143" w:type="pct"/>
          </w:tcPr>
          <w:p w:rsidR="004C49EF" w:rsidRDefault="004C49EF" w:rsidP="001B7CF3">
            <w:pPr>
              <w:pStyle w:val="TableHEADER"/>
              <w:spacing w:before="0"/>
            </w:pPr>
          </w:p>
        </w:tc>
        <w:tc>
          <w:tcPr>
            <w:tcW w:w="532" w:type="pct"/>
          </w:tcPr>
          <w:p w:rsidR="004C49EF" w:rsidRDefault="004C49EF" w:rsidP="001B7CF3">
            <w:pPr>
              <w:pStyle w:val="TableHEADER"/>
              <w:spacing w:before="0"/>
            </w:pPr>
            <w:r>
              <w:t>Type of study design*</w:t>
            </w:r>
          </w:p>
        </w:tc>
        <w:tc>
          <w:tcPr>
            <w:tcW w:w="883" w:type="pct"/>
          </w:tcPr>
          <w:p w:rsidR="004C49EF" w:rsidRDefault="004C49EF" w:rsidP="001B7CF3">
            <w:pPr>
              <w:pStyle w:val="TableHEADER"/>
              <w:spacing w:before="0"/>
            </w:pPr>
            <w:r>
              <w:t>Title of research (including any trial identifier if relevant)</w:t>
            </w:r>
          </w:p>
        </w:tc>
        <w:tc>
          <w:tcPr>
            <w:tcW w:w="1603" w:type="pct"/>
          </w:tcPr>
          <w:p w:rsidR="004C49EF" w:rsidRDefault="00367C1B" w:rsidP="001B7CF3">
            <w:pPr>
              <w:pStyle w:val="TableHEADER"/>
              <w:spacing w:before="0"/>
            </w:pPr>
            <w:r>
              <w:t xml:space="preserve">Short description of research </w:t>
            </w:r>
            <w:r w:rsidR="004C49EF">
              <w:t>(max 50 words)**</w:t>
            </w:r>
          </w:p>
        </w:tc>
        <w:tc>
          <w:tcPr>
            <w:tcW w:w="1047" w:type="pct"/>
          </w:tcPr>
          <w:p w:rsidR="004C49EF" w:rsidRDefault="004C49EF" w:rsidP="001B7CF3">
            <w:pPr>
              <w:pStyle w:val="TableHEADER"/>
              <w:spacing w:before="0"/>
            </w:pPr>
            <w:r w:rsidRPr="00E82F54">
              <w:t xml:space="preserve">Website link to </w:t>
            </w:r>
            <w:r>
              <w:t>research (if available)</w:t>
            </w:r>
          </w:p>
        </w:tc>
        <w:tc>
          <w:tcPr>
            <w:tcW w:w="792" w:type="pct"/>
          </w:tcPr>
          <w:p w:rsidR="004C49EF" w:rsidRDefault="004C49EF" w:rsidP="001B7CF3">
            <w:pPr>
              <w:pStyle w:val="TableHEADER"/>
              <w:spacing w:before="0"/>
            </w:pPr>
            <w:r w:rsidRPr="00E82F54">
              <w:t>Date*</w:t>
            </w:r>
            <w:r>
              <w:t>**</w:t>
            </w:r>
          </w:p>
        </w:tc>
      </w:tr>
      <w:tr w:rsidR="00A6726E" w:rsidTr="001B7CF3">
        <w:trPr>
          <w:cantSplit/>
        </w:trPr>
        <w:tc>
          <w:tcPr>
            <w:tcW w:w="143" w:type="pct"/>
          </w:tcPr>
          <w:p w:rsidR="00A6726E" w:rsidRPr="003552F7" w:rsidRDefault="00A6726E" w:rsidP="001B7CF3">
            <w:pPr>
              <w:spacing w:before="0"/>
              <w:rPr>
                <w:szCs w:val="20"/>
              </w:rPr>
            </w:pPr>
            <w:r w:rsidRPr="003552F7">
              <w:rPr>
                <w:szCs w:val="20"/>
              </w:rPr>
              <w:t>1.</w:t>
            </w:r>
          </w:p>
        </w:tc>
        <w:tc>
          <w:tcPr>
            <w:tcW w:w="532" w:type="pct"/>
          </w:tcPr>
          <w:p w:rsidR="00A6726E" w:rsidRPr="003552F7" w:rsidRDefault="00A6726E" w:rsidP="001B7CF3">
            <w:pPr>
              <w:spacing w:before="0"/>
              <w:rPr>
                <w:szCs w:val="20"/>
              </w:rPr>
            </w:pPr>
            <w:r>
              <w:rPr>
                <w:szCs w:val="20"/>
              </w:rPr>
              <w:t>Model</w:t>
            </w:r>
          </w:p>
        </w:tc>
        <w:tc>
          <w:tcPr>
            <w:tcW w:w="883" w:type="pct"/>
          </w:tcPr>
          <w:p w:rsidR="00A6726E" w:rsidRPr="003552F7" w:rsidRDefault="00A6726E" w:rsidP="001B7CF3">
            <w:pPr>
              <w:spacing w:before="0"/>
              <w:rPr>
                <w:szCs w:val="20"/>
              </w:rPr>
            </w:pPr>
            <w:r w:rsidRPr="003552F7">
              <w:rPr>
                <w:szCs w:val="20"/>
              </w:rPr>
              <w:t>Diagnostic performance and costs of contingent screening models for trisomy 21 incorporating non-invasive prenatal testing.</w:t>
            </w:r>
          </w:p>
        </w:tc>
        <w:tc>
          <w:tcPr>
            <w:tcW w:w="1603" w:type="pct"/>
          </w:tcPr>
          <w:p w:rsidR="00A6726E" w:rsidRPr="003552F7" w:rsidRDefault="00A6726E" w:rsidP="001B7CF3">
            <w:pPr>
              <w:spacing w:before="0"/>
              <w:rPr>
                <w:szCs w:val="20"/>
              </w:rPr>
            </w:pPr>
            <w:r>
              <w:rPr>
                <w:szCs w:val="20"/>
              </w:rPr>
              <w:t>Australian-based a</w:t>
            </w:r>
            <w:r w:rsidRPr="003552F7">
              <w:rPr>
                <w:szCs w:val="20"/>
              </w:rPr>
              <w:t xml:space="preserve">nalysis of the performance and cost-effectiveness of contingent screening models using different threshold risks categorising women as being </w:t>
            </w:r>
            <w:r>
              <w:rPr>
                <w:szCs w:val="20"/>
              </w:rPr>
              <w:t>at low, intermediate, or</w:t>
            </w:r>
            <w:r w:rsidRPr="003552F7">
              <w:rPr>
                <w:szCs w:val="20"/>
              </w:rPr>
              <w:t xml:space="preserve"> high risk of </w:t>
            </w:r>
            <w:proofErr w:type="spellStart"/>
            <w:r w:rsidRPr="003552F7">
              <w:rPr>
                <w:szCs w:val="20"/>
              </w:rPr>
              <w:t>fetal</w:t>
            </w:r>
            <w:proofErr w:type="spellEnd"/>
            <w:r w:rsidRPr="003552F7">
              <w:rPr>
                <w:szCs w:val="20"/>
              </w:rPr>
              <w:t xml:space="preserve"> trisomy 21.</w:t>
            </w:r>
          </w:p>
        </w:tc>
        <w:tc>
          <w:tcPr>
            <w:tcW w:w="1047" w:type="pct"/>
          </w:tcPr>
          <w:p w:rsidR="00A6726E" w:rsidRPr="003552F7" w:rsidRDefault="00A6726E" w:rsidP="001B7CF3">
            <w:pPr>
              <w:spacing w:before="0"/>
              <w:rPr>
                <w:szCs w:val="20"/>
              </w:rPr>
            </w:pPr>
            <w:r>
              <w:rPr>
                <w:szCs w:val="20"/>
              </w:rPr>
              <w:t>Not available</w:t>
            </w:r>
          </w:p>
        </w:tc>
        <w:tc>
          <w:tcPr>
            <w:tcW w:w="792" w:type="pct"/>
          </w:tcPr>
          <w:p w:rsidR="00A6726E" w:rsidRPr="003552F7" w:rsidRDefault="00A6726E" w:rsidP="001B7CF3">
            <w:pPr>
              <w:spacing w:before="0"/>
              <w:rPr>
                <w:szCs w:val="20"/>
              </w:rPr>
            </w:pPr>
            <w:r w:rsidRPr="003552F7">
              <w:rPr>
                <w:szCs w:val="20"/>
              </w:rPr>
              <w:t>Manuscript in preparation</w:t>
            </w:r>
          </w:p>
        </w:tc>
      </w:tr>
    </w:tbl>
    <w:p w:rsidR="004C49EF" w:rsidRDefault="004C49EF" w:rsidP="001B7CF3">
      <w:pPr>
        <w:spacing w:before="0" w:after="0"/>
        <w:ind w:left="425"/>
        <w:rPr>
          <w:i/>
          <w:szCs w:val="20"/>
        </w:rPr>
      </w:pPr>
      <w:r>
        <w:rPr>
          <w:i/>
          <w:szCs w:val="20"/>
        </w:rPr>
        <w:t xml:space="preserve">* Categorise study design, for example meta-analysis, randomised trials, non-randomised trial or observational study, study of diagnostic accuracy, etc. </w:t>
      </w:r>
    </w:p>
    <w:p w:rsidR="004C49EF" w:rsidRDefault="004C49EF" w:rsidP="001B7CF3">
      <w:pPr>
        <w:spacing w:before="0" w:after="0"/>
        <w:ind w:left="425"/>
        <w:rPr>
          <w:i/>
          <w:szCs w:val="20"/>
        </w:rPr>
      </w:pPr>
      <w:r>
        <w:rPr>
          <w:i/>
          <w:szCs w:val="20"/>
        </w:rPr>
        <w:t>**Provide high level information including population numbers and whether patients are being recruited or in post-recruitment.</w:t>
      </w:r>
    </w:p>
    <w:p w:rsidR="004C49EF" w:rsidRPr="00E82F54" w:rsidRDefault="004C49EF" w:rsidP="001B7CF3">
      <w:pPr>
        <w:spacing w:before="0" w:after="0"/>
        <w:ind w:left="425"/>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DD308E" w:rsidRDefault="00F301F1" w:rsidP="001B7CF3">
      <w:pPr>
        <w:spacing w:before="0"/>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1B7CF3">
      <w:pPr>
        <w:pStyle w:val="Heading1"/>
        <w:spacing w:after="120" w:line="240" w:lineRule="auto"/>
      </w:pPr>
      <w:r>
        <w:lastRenderedPageBreak/>
        <w:t>PART 5</w:t>
      </w:r>
      <w:r w:rsidR="00F93784">
        <w:t xml:space="preserve"> – </w:t>
      </w:r>
      <w:r w:rsidR="00E82F54" w:rsidRPr="00C776B1">
        <w:t>CLINICAL ENDORSEMENT AND CONSUMER INFORMATION</w:t>
      </w:r>
    </w:p>
    <w:p w:rsidR="00E82F54" w:rsidRDefault="00E82F54" w:rsidP="001B7CF3">
      <w:pPr>
        <w:pStyle w:val="Heading2"/>
        <w:spacing w:before="0"/>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A6726E" w:rsidRDefault="00A6726E" w:rsidP="001B7CF3">
      <w:pPr>
        <w:spacing w:before="0"/>
        <w:ind w:left="426"/>
      </w:pPr>
      <w:r>
        <w:t>The Royal Australian and New Zealand College of Obstetricians and Gynaecologists (RANZCOG)</w:t>
      </w:r>
    </w:p>
    <w:p w:rsidR="00A6726E" w:rsidRDefault="00A6726E" w:rsidP="001B7CF3">
      <w:pPr>
        <w:spacing w:before="0"/>
        <w:ind w:left="426"/>
      </w:pPr>
      <w:r>
        <w:t>The Royal College of Pathologists of Australasia (RCPA)</w:t>
      </w:r>
    </w:p>
    <w:p w:rsidR="00A6726E" w:rsidRDefault="00A6726E" w:rsidP="001B7CF3">
      <w:pPr>
        <w:spacing w:before="0"/>
        <w:ind w:left="426"/>
      </w:pPr>
      <w:r>
        <w:t>Human Genetics Society of Australia (HGSA)</w:t>
      </w:r>
    </w:p>
    <w:p w:rsidR="00A727B6" w:rsidRPr="00A727B6" w:rsidRDefault="00A6726E" w:rsidP="001B7CF3">
      <w:pPr>
        <w:spacing w:before="0"/>
        <w:ind w:left="426"/>
      </w:pPr>
      <w:r>
        <w:t>The Royal Australian College of General Practitioners (RACGP)</w:t>
      </w:r>
    </w:p>
    <w:p w:rsidR="00EA173C" w:rsidRPr="00154B00" w:rsidRDefault="00EA173C" w:rsidP="001B7CF3">
      <w:pPr>
        <w:pStyle w:val="Heading2"/>
        <w:spacing w:before="0"/>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A173C" w:rsidRDefault="00A6726E" w:rsidP="001B7CF3">
      <w:pPr>
        <w:spacing w:before="0"/>
        <w:ind w:left="426"/>
      </w:pPr>
      <w:r>
        <w:t>See above</w:t>
      </w:r>
    </w:p>
    <w:p w:rsidR="00E82F54" w:rsidRPr="00154B00" w:rsidRDefault="00E82F54" w:rsidP="001B7CF3">
      <w:pPr>
        <w:pStyle w:val="Heading2"/>
        <w:spacing w:before="0"/>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E82F54" w:rsidRDefault="00A6726E" w:rsidP="001B7CF3">
      <w:pPr>
        <w:spacing w:before="0"/>
        <w:ind w:left="426"/>
        <w:rPr>
          <w:szCs w:val="20"/>
        </w:rPr>
      </w:pPr>
      <w:r w:rsidRPr="00A6726E">
        <w:t>We have recently contacted Prenatal Diagnosis Support Australia (http://www.pdsaustralia.org) and Downs Syndrome Australia and will provide an update on their support as soon as possible.</w:t>
      </w:r>
    </w:p>
    <w:p w:rsidR="003433D1" w:rsidRDefault="003433D1" w:rsidP="001B7CF3">
      <w:pPr>
        <w:pStyle w:val="Heading2"/>
        <w:spacing w:before="0"/>
      </w:pPr>
      <w:r>
        <w:t xml:space="preserve">List the relevant </w:t>
      </w:r>
      <w:r w:rsidRPr="00EE6450">
        <w:t>sponsor</w:t>
      </w:r>
      <w:r>
        <w:t xml:space="preserve">(s) and / or manufacturer(s) who produce similar products relevant </w:t>
      </w:r>
      <w:r w:rsidR="00197D29">
        <w:t>to the proposed medical service:</w:t>
      </w:r>
    </w:p>
    <w:p w:rsidR="00EE6450" w:rsidRDefault="00A6726E" w:rsidP="001B7CF3">
      <w:pPr>
        <w:spacing w:before="0"/>
        <w:ind w:left="426"/>
        <w:rPr>
          <w:szCs w:val="20"/>
        </w:rPr>
      </w:pPr>
      <w:r>
        <w:rPr>
          <w:szCs w:val="20"/>
        </w:rPr>
        <w:t xml:space="preserve">This application is being submitted by Roche Diagnostics Australia, suppliers of the Harmony NIPT. The application is generic, being delimited by attributes of test performance, not by the distributer.  </w:t>
      </w:r>
    </w:p>
    <w:p w:rsidR="00E82F54" w:rsidRDefault="00E82F54" w:rsidP="001B7CF3">
      <w:pPr>
        <w:pStyle w:val="Heading2"/>
        <w:spacing w:before="0"/>
      </w:pPr>
      <w:r w:rsidRPr="00154B00">
        <w:t>Nominate two experts who could be approached about the proposed medical service and the current clinical management of the service(s):</w:t>
      </w:r>
    </w:p>
    <w:p w:rsidR="00987ABE" w:rsidRPr="00987ABE" w:rsidRDefault="00987ABE" w:rsidP="001B7CF3">
      <w:pPr>
        <w:spacing w:before="0"/>
        <w:ind w:left="426"/>
        <w:rPr>
          <w:szCs w:val="20"/>
        </w:rPr>
      </w:pPr>
      <w:r>
        <w:rPr>
          <w:szCs w:val="20"/>
        </w:rPr>
        <w:t xml:space="preserve">Name of expert 1: </w:t>
      </w:r>
      <w:r w:rsidR="00A6726E" w:rsidRPr="00A6726E">
        <w:rPr>
          <w:b/>
        </w:rPr>
        <w:t>REDACTED</w:t>
      </w:r>
    </w:p>
    <w:p w:rsidR="00987ABE" w:rsidRPr="00987ABE" w:rsidRDefault="00987ABE" w:rsidP="001B7CF3">
      <w:pPr>
        <w:spacing w:before="0"/>
        <w:ind w:left="426"/>
        <w:rPr>
          <w:szCs w:val="20"/>
        </w:rPr>
      </w:pPr>
      <w:r>
        <w:rPr>
          <w:szCs w:val="20"/>
        </w:rPr>
        <w:t xml:space="preserve">Telephone number(s): </w:t>
      </w:r>
      <w:r w:rsidR="00A6726E" w:rsidRPr="00A6726E">
        <w:rPr>
          <w:b/>
        </w:rPr>
        <w:t>REDACTED</w:t>
      </w:r>
    </w:p>
    <w:p w:rsidR="00987ABE" w:rsidRPr="00987ABE" w:rsidRDefault="00987ABE" w:rsidP="001B7CF3">
      <w:pPr>
        <w:spacing w:before="0"/>
        <w:ind w:left="426"/>
        <w:rPr>
          <w:szCs w:val="20"/>
        </w:rPr>
      </w:pPr>
      <w:r>
        <w:rPr>
          <w:szCs w:val="20"/>
        </w:rPr>
        <w:t xml:space="preserve">Email address: </w:t>
      </w:r>
      <w:r w:rsidR="00A6726E" w:rsidRPr="00A6726E">
        <w:rPr>
          <w:b/>
        </w:rPr>
        <w:t>REDACTED</w:t>
      </w:r>
    </w:p>
    <w:p w:rsidR="00987ABE" w:rsidRPr="00987ABE" w:rsidRDefault="00987ABE" w:rsidP="001B7CF3">
      <w:pPr>
        <w:spacing w:before="0"/>
        <w:ind w:left="426"/>
        <w:rPr>
          <w:szCs w:val="20"/>
        </w:rPr>
      </w:pPr>
      <w:r>
        <w:rPr>
          <w:szCs w:val="20"/>
        </w:rPr>
        <w:t xml:space="preserve">Justification of expertise: </w:t>
      </w:r>
      <w:r w:rsidR="00A6726E" w:rsidRPr="00A6726E">
        <w:rPr>
          <w:b/>
        </w:rPr>
        <w:t>REDACTED</w:t>
      </w:r>
    </w:p>
    <w:p w:rsidR="00987ABE" w:rsidRPr="00987ABE" w:rsidRDefault="00987ABE" w:rsidP="001B7CF3">
      <w:pPr>
        <w:spacing w:before="0"/>
        <w:ind w:left="426"/>
        <w:rPr>
          <w:szCs w:val="20"/>
        </w:rPr>
      </w:pPr>
      <w:r>
        <w:rPr>
          <w:szCs w:val="20"/>
        </w:rPr>
        <w:t xml:space="preserve">Name of expert 2: </w:t>
      </w:r>
      <w:r w:rsidR="00A6726E" w:rsidRPr="00A6726E">
        <w:rPr>
          <w:b/>
        </w:rPr>
        <w:t>REDACTED</w:t>
      </w:r>
    </w:p>
    <w:p w:rsidR="00987ABE" w:rsidRPr="00987ABE" w:rsidRDefault="00987ABE" w:rsidP="001B7CF3">
      <w:pPr>
        <w:spacing w:before="0"/>
        <w:ind w:left="426"/>
        <w:rPr>
          <w:szCs w:val="20"/>
        </w:rPr>
      </w:pPr>
      <w:r>
        <w:rPr>
          <w:szCs w:val="20"/>
        </w:rPr>
        <w:t xml:space="preserve">Telephone number(s): </w:t>
      </w:r>
      <w:r w:rsidR="00A6726E" w:rsidRPr="00A6726E">
        <w:rPr>
          <w:b/>
        </w:rPr>
        <w:t>REDACTED</w:t>
      </w:r>
    </w:p>
    <w:p w:rsidR="00987ABE" w:rsidRPr="00987ABE" w:rsidRDefault="00987ABE" w:rsidP="001B7CF3">
      <w:pPr>
        <w:spacing w:before="0"/>
        <w:ind w:left="426"/>
        <w:rPr>
          <w:szCs w:val="20"/>
        </w:rPr>
      </w:pPr>
      <w:r>
        <w:rPr>
          <w:szCs w:val="20"/>
        </w:rPr>
        <w:t xml:space="preserve">Email address: </w:t>
      </w:r>
      <w:r w:rsidR="00A6726E" w:rsidRPr="00A6726E">
        <w:rPr>
          <w:b/>
        </w:rPr>
        <w:t>REDACTED</w:t>
      </w:r>
    </w:p>
    <w:p w:rsidR="00E82F54" w:rsidRPr="00154B00" w:rsidRDefault="00987ABE" w:rsidP="001B7CF3">
      <w:pPr>
        <w:spacing w:before="0"/>
        <w:ind w:left="426"/>
        <w:rPr>
          <w:szCs w:val="20"/>
        </w:rPr>
      </w:pPr>
      <w:r>
        <w:rPr>
          <w:szCs w:val="20"/>
        </w:rPr>
        <w:t xml:space="preserve">Justification of expertise: </w:t>
      </w:r>
      <w:r w:rsidR="00A6726E" w:rsidRPr="00A6726E">
        <w:rPr>
          <w:b/>
        </w:rPr>
        <w:t>REDACTED</w:t>
      </w:r>
    </w:p>
    <w:p w:rsidR="003433D1" w:rsidRPr="001B7CF3" w:rsidRDefault="00E82F54" w:rsidP="001B7CF3">
      <w:pPr>
        <w:spacing w:before="0"/>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rsidR="001B7CF3" w:rsidRDefault="001B7CF3" w:rsidP="001B7CF3">
      <w:pPr>
        <w:spacing w:before="0"/>
        <w:rPr>
          <w:bCs/>
          <w:color w:val="4F81BD" w:themeColor="accent1"/>
          <w:sz w:val="40"/>
          <w:szCs w:val="32"/>
        </w:rPr>
      </w:pPr>
      <w:r>
        <w:br w:type="page"/>
      </w:r>
    </w:p>
    <w:p w:rsidR="00E82F54" w:rsidRPr="00EA173C" w:rsidRDefault="00F93784" w:rsidP="001B7CF3">
      <w:pPr>
        <w:pStyle w:val="Heading1"/>
        <w:spacing w:after="120" w:line="240" w:lineRule="auto"/>
      </w:pPr>
      <w:r>
        <w:lastRenderedPageBreak/>
        <w:t>PAR</w:t>
      </w:r>
      <w:r w:rsidR="005C3AE7">
        <w:t>T 6</w:t>
      </w:r>
      <w:r>
        <w:t xml:space="preserve"> – POPULATION</w:t>
      </w:r>
      <w:r w:rsidR="000525BC">
        <w:t xml:space="preserve"> (AND PRIOR TESTS)</w:t>
      </w:r>
      <w:r>
        <w:t>, INDICATION, COMPARATOR, OUTCOME (PICO)</w:t>
      </w:r>
    </w:p>
    <w:p w:rsidR="0021185D" w:rsidRPr="005C3AE7" w:rsidRDefault="005C3AE7" w:rsidP="001B7CF3">
      <w:pPr>
        <w:pStyle w:val="Subtitle"/>
        <w:spacing w:before="0"/>
      </w:pPr>
      <w:r w:rsidRPr="005C3AE7">
        <w:t xml:space="preserve">PART 6a – </w:t>
      </w:r>
      <w:r w:rsidR="0021185D" w:rsidRPr="005C3AE7">
        <w:t>INFORMATION ABOUT THE PROPOSED POPULATION</w:t>
      </w:r>
    </w:p>
    <w:p w:rsidR="0021185D" w:rsidRPr="00A96329" w:rsidRDefault="0021185D" w:rsidP="001B7CF3">
      <w:pPr>
        <w:pStyle w:val="Heading2"/>
        <w:spacing w:before="0"/>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A6726E" w:rsidRDefault="00A6726E" w:rsidP="001B7CF3">
      <w:pPr>
        <w:spacing w:before="0"/>
        <w:ind w:left="425"/>
        <w:rPr>
          <w:szCs w:val="20"/>
        </w:rPr>
      </w:pPr>
      <w:r w:rsidRPr="00341A56">
        <w:rPr>
          <w:szCs w:val="20"/>
        </w:rPr>
        <w:t xml:space="preserve">Down syndrome is a condition that occurs when an extra chromosome 21 originates in the development of either the sperm or the egg. </w:t>
      </w:r>
      <w:r>
        <w:rPr>
          <w:szCs w:val="20"/>
        </w:rPr>
        <w:t xml:space="preserve"> </w:t>
      </w:r>
      <w:r w:rsidRPr="00341A56">
        <w:rPr>
          <w:szCs w:val="20"/>
        </w:rPr>
        <w:t>Down syndrome is the most frequently occurring</w:t>
      </w:r>
      <w:r>
        <w:rPr>
          <w:szCs w:val="20"/>
        </w:rPr>
        <w:t>,</w:t>
      </w:r>
      <w:r w:rsidRPr="00341A56">
        <w:rPr>
          <w:szCs w:val="20"/>
        </w:rPr>
        <w:t xml:space="preserve"> clinically significant genetic condition in newborns.  It can cause delays in physical and intellectual development.  </w:t>
      </w:r>
      <w:r>
        <w:rPr>
          <w:szCs w:val="20"/>
        </w:rPr>
        <w:t xml:space="preserve">Other complications include increased risks of heart defects, leukaemia, infectious diseases, dementia, sleep </w:t>
      </w:r>
      <w:proofErr w:type="spellStart"/>
      <w:r>
        <w:rPr>
          <w:szCs w:val="20"/>
        </w:rPr>
        <w:t>apnea</w:t>
      </w:r>
      <w:proofErr w:type="spellEnd"/>
      <w:r>
        <w:rPr>
          <w:szCs w:val="20"/>
        </w:rPr>
        <w:t xml:space="preserve"> and obesity.  </w:t>
      </w:r>
      <w:r w:rsidRPr="00341A56">
        <w:rPr>
          <w:szCs w:val="20"/>
        </w:rPr>
        <w:t>Down s</w:t>
      </w:r>
      <w:r>
        <w:rPr>
          <w:szCs w:val="20"/>
        </w:rPr>
        <w:t>yndrome occurs in 1/380 pregnancies and 1/901 newborns, and is associated with a higher than average mortality; however, patients can live to 60 years on average (</w:t>
      </w:r>
      <w:proofErr w:type="spellStart"/>
      <w:r>
        <w:rPr>
          <w:szCs w:val="20"/>
        </w:rPr>
        <w:t>Abeywardana</w:t>
      </w:r>
      <w:proofErr w:type="spellEnd"/>
      <w:r>
        <w:rPr>
          <w:szCs w:val="20"/>
        </w:rPr>
        <w:t xml:space="preserve"> et al 2008).</w:t>
      </w:r>
      <w:r w:rsidRPr="00341A56">
        <w:rPr>
          <w:szCs w:val="20"/>
        </w:rPr>
        <w:t xml:space="preserve"> </w:t>
      </w:r>
    </w:p>
    <w:p w:rsidR="00A6726E" w:rsidRDefault="00A6726E" w:rsidP="001B7CF3">
      <w:pPr>
        <w:spacing w:before="0"/>
        <w:ind w:left="425"/>
        <w:rPr>
          <w:szCs w:val="20"/>
        </w:rPr>
      </w:pPr>
      <w:r w:rsidRPr="00341A56">
        <w:rPr>
          <w:szCs w:val="20"/>
        </w:rPr>
        <w:t xml:space="preserve">Trisomy 18 is due to an extra copy of chromosome 18.  Trisomy 18 </w:t>
      </w:r>
      <w:r>
        <w:rPr>
          <w:szCs w:val="20"/>
        </w:rPr>
        <w:t>known clinically as</w:t>
      </w:r>
      <w:r w:rsidRPr="00341A56">
        <w:rPr>
          <w:szCs w:val="20"/>
        </w:rPr>
        <w:t xml:space="preserve"> Edwards syndrome and is associated with a high rate of miscarriage.  Infants born with </w:t>
      </w:r>
      <w:proofErr w:type="gramStart"/>
      <w:r w:rsidRPr="00341A56">
        <w:rPr>
          <w:szCs w:val="20"/>
        </w:rPr>
        <w:t>Edwards</w:t>
      </w:r>
      <w:proofErr w:type="gramEnd"/>
      <w:r w:rsidRPr="00341A56">
        <w:rPr>
          <w:szCs w:val="20"/>
        </w:rPr>
        <w:t xml:space="preserve"> syndrome have various medical conditions and a shortened lifespan.  </w:t>
      </w:r>
      <w:r w:rsidRPr="00401E2A">
        <w:rPr>
          <w:szCs w:val="20"/>
        </w:rPr>
        <w:t xml:space="preserve">The clinical presentation of </w:t>
      </w:r>
      <w:proofErr w:type="gramStart"/>
      <w:r w:rsidRPr="00401E2A">
        <w:rPr>
          <w:szCs w:val="20"/>
        </w:rPr>
        <w:t>Edwards</w:t>
      </w:r>
      <w:proofErr w:type="gramEnd"/>
      <w:r w:rsidRPr="00401E2A">
        <w:rPr>
          <w:szCs w:val="20"/>
        </w:rPr>
        <w:t xml:space="preserve"> syndrome is characterised by antenatal growth deficiency, specific craniofacial features, major system malformations and marked psychomotor and cognitive developmental delay</w:t>
      </w:r>
      <w:r>
        <w:rPr>
          <w:szCs w:val="20"/>
        </w:rPr>
        <w:t xml:space="preserve">.  </w:t>
      </w:r>
      <w:r w:rsidRPr="00341A56">
        <w:rPr>
          <w:szCs w:val="20"/>
        </w:rPr>
        <w:t>Edwards s</w:t>
      </w:r>
      <w:r>
        <w:rPr>
          <w:szCs w:val="20"/>
        </w:rPr>
        <w:t>yndrome occurs in 1/1,480 pregnancies 1/5,0</w:t>
      </w:r>
      <w:r w:rsidRPr="001C00D9">
        <w:rPr>
          <w:szCs w:val="20"/>
        </w:rPr>
        <w:t>00 newborns</w:t>
      </w:r>
      <w:r>
        <w:rPr>
          <w:szCs w:val="20"/>
        </w:rPr>
        <w:t xml:space="preserve"> (</w:t>
      </w:r>
      <w:proofErr w:type="spellStart"/>
      <w:r>
        <w:rPr>
          <w:szCs w:val="20"/>
        </w:rPr>
        <w:t>Abeywardana</w:t>
      </w:r>
      <w:proofErr w:type="spellEnd"/>
      <w:r>
        <w:rPr>
          <w:szCs w:val="20"/>
        </w:rPr>
        <w:t xml:space="preserve"> et al 2008)</w:t>
      </w:r>
      <w:r w:rsidRPr="00341A56">
        <w:rPr>
          <w:szCs w:val="20"/>
        </w:rPr>
        <w:t>.</w:t>
      </w:r>
      <w:r>
        <w:rPr>
          <w:szCs w:val="20"/>
        </w:rPr>
        <w:t xml:space="preserve">  </w:t>
      </w:r>
      <w:r w:rsidRPr="008E2AB7">
        <w:rPr>
          <w:szCs w:val="20"/>
        </w:rPr>
        <w:t xml:space="preserve">A study </w:t>
      </w:r>
      <w:r>
        <w:rPr>
          <w:szCs w:val="20"/>
        </w:rPr>
        <w:t>in</w:t>
      </w:r>
      <w:r w:rsidRPr="008E2AB7">
        <w:rPr>
          <w:szCs w:val="20"/>
        </w:rPr>
        <w:t xml:space="preserve"> England and Wales estimated that for live births with</w:t>
      </w:r>
      <w:r>
        <w:rPr>
          <w:szCs w:val="20"/>
        </w:rPr>
        <w:t xml:space="preserve"> non-mosaic</w:t>
      </w:r>
      <w:r w:rsidRPr="008E2AB7">
        <w:rPr>
          <w:szCs w:val="20"/>
        </w:rPr>
        <w:t xml:space="preserve"> Edwards' syndrome, the median survival time is 14 days</w:t>
      </w:r>
      <w:r>
        <w:rPr>
          <w:szCs w:val="20"/>
        </w:rPr>
        <w:t xml:space="preserve">, with 3-month and 1-year survival rates of </w:t>
      </w:r>
      <w:r w:rsidRPr="008E2AB7">
        <w:rPr>
          <w:szCs w:val="20"/>
        </w:rPr>
        <w:t>20%</w:t>
      </w:r>
      <w:r>
        <w:rPr>
          <w:szCs w:val="20"/>
        </w:rPr>
        <w:t xml:space="preserve"> and 8%, respectively (Wu et al 2013).</w:t>
      </w:r>
    </w:p>
    <w:p w:rsidR="002A6753" w:rsidRPr="00154B00" w:rsidRDefault="00A6726E" w:rsidP="001B7CF3">
      <w:pPr>
        <w:spacing w:before="0"/>
        <w:ind w:left="425"/>
        <w:rPr>
          <w:szCs w:val="20"/>
        </w:rPr>
      </w:pPr>
      <w:r w:rsidRPr="00341A56">
        <w:rPr>
          <w:szCs w:val="20"/>
        </w:rPr>
        <w:t xml:space="preserve">Trisomy 13, </w:t>
      </w:r>
      <w:proofErr w:type="spellStart"/>
      <w:r w:rsidRPr="00341A56">
        <w:rPr>
          <w:szCs w:val="20"/>
        </w:rPr>
        <w:t>Patau</w:t>
      </w:r>
      <w:proofErr w:type="spellEnd"/>
      <w:r w:rsidRPr="00341A56">
        <w:rPr>
          <w:szCs w:val="20"/>
        </w:rPr>
        <w:t xml:space="preserve"> syndrome, is due to an extra chromosome 13 and is associated with a high rate of miscarriage.  Tri</w:t>
      </w:r>
      <w:r>
        <w:rPr>
          <w:szCs w:val="20"/>
        </w:rPr>
        <w:t>somy 13 occurs in 1/3,846 pregnancies and 1/16</w:t>
      </w:r>
      <w:r w:rsidRPr="001C00D9">
        <w:rPr>
          <w:szCs w:val="20"/>
        </w:rPr>
        <w:t>,</w:t>
      </w:r>
      <w:r>
        <w:rPr>
          <w:szCs w:val="20"/>
        </w:rPr>
        <w:t>667</w:t>
      </w:r>
      <w:r w:rsidRPr="001C00D9">
        <w:rPr>
          <w:szCs w:val="20"/>
        </w:rPr>
        <w:t xml:space="preserve"> newborns</w:t>
      </w:r>
      <w:r>
        <w:rPr>
          <w:szCs w:val="20"/>
        </w:rPr>
        <w:t xml:space="preserve"> (</w:t>
      </w:r>
      <w:proofErr w:type="spellStart"/>
      <w:r>
        <w:rPr>
          <w:szCs w:val="20"/>
        </w:rPr>
        <w:t>Abeywardana</w:t>
      </w:r>
      <w:proofErr w:type="spellEnd"/>
      <w:r>
        <w:rPr>
          <w:szCs w:val="20"/>
        </w:rPr>
        <w:t xml:space="preserve"> et al 2008)</w:t>
      </w:r>
      <w:r w:rsidRPr="00341A56">
        <w:rPr>
          <w:szCs w:val="20"/>
        </w:rPr>
        <w:t>.</w:t>
      </w:r>
      <w:r>
        <w:rPr>
          <w:szCs w:val="20"/>
        </w:rPr>
        <w:t xml:space="preserve">  </w:t>
      </w:r>
      <w:r w:rsidRPr="008E2AB7">
        <w:rPr>
          <w:szCs w:val="20"/>
        </w:rPr>
        <w:t xml:space="preserve">A study </w:t>
      </w:r>
      <w:r>
        <w:rPr>
          <w:szCs w:val="20"/>
        </w:rPr>
        <w:t xml:space="preserve">in </w:t>
      </w:r>
      <w:r w:rsidRPr="008E2AB7">
        <w:rPr>
          <w:szCs w:val="20"/>
        </w:rPr>
        <w:t>England and Wales estimated that for live births with</w:t>
      </w:r>
      <w:r>
        <w:rPr>
          <w:szCs w:val="20"/>
        </w:rPr>
        <w:t xml:space="preserve"> non-mosaic</w:t>
      </w:r>
      <w:r w:rsidRPr="008E2AB7">
        <w:rPr>
          <w:szCs w:val="20"/>
        </w:rPr>
        <w:t xml:space="preserve"> </w:t>
      </w:r>
      <w:proofErr w:type="spellStart"/>
      <w:r>
        <w:rPr>
          <w:szCs w:val="20"/>
        </w:rPr>
        <w:t>Patau</w:t>
      </w:r>
      <w:proofErr w:type="spellEnd"/>
      <w:r w:rsidRPr="008E2AB7">
        <w:rPr>
          <w:szCs w:val="20"/>
        </w:rPr>
        <w:t xml:space="preserve"> syndrome, the </w:t>
      </w:r>
      <w:r>
        <w:rPr>
          <w:szCs w:val="20"/>
        </w:rPr>
        <w:t>median survival time is 10 days, with 3-month and 1-year survival rates of 18</w:t>
      </w:r>
      <w:r w:rsidRPr="008E2AB7">
        <w:rPr>
          <w:szCs w:val="20"/>
        </w:rPr>
        <w:t>%</w:t>
      </w:r>
      <w:r>
        <w:rPr>
          <w:szCs w:val="20"/>
        </w:rPr>
        <w:t xml:space="preserve"> and 8%, respectively (Wu et al 2013).</w:t>
      </w:r>
    </w:p>
    <w:p w:rsidR="00AA5FDA" w:rsidRPr="00154B00" w:rsidRDefault="00AA5FDA" w:rsidP="001B7CF3">
      <w:pPr>
        <w:pStyle w:val="Heading2"/>
        <w:spacing w:before="0"/>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A6726E" w:rsidRPr="00A6726E" w:rsidRDefault="00A6726E" w:rsidP="001B7CF3">
      <w:pPr>
        <w:spacing w:before="0"/>
        <w:ind w:left="426"/>
        <w:rPr>
          <w:u w:val="single"/>
        </w:rPr>
      </w:pPr>
      <w:r w:rsidRPr="00A6726E">
        <w:rPr>
          <w:u w:val="single"/>
        </w:rPr>
        <w:t>Characteristics of patients</w:t>
      </w:r>
    </w:p>
    <w:p w:rsidR="00A6726E" w:rsidRDefault="00A6726E" w:rsidP="001B7CF3">
      <w:pPr>
        <w:spacing w:before="0"/>
        <w:ind w:left="426"/>
      </w:pPr>
      <w:r>
        <w:t xml:space="preserve">For pregnant women the risk of </w:t>
      </w:r>
      <w:proofErr w:type="spellStart"/>
      <w:r>
        <w:t>fetal</w:t>
      </w:r>
      <w:proofErr w:type="spellEnd"/>
      <w:r>
        <w:t xml:space="preserve"> trisomy involving chromosomes 21, 18, and 13 rises markedly with maternal age. Prenatal screening is the term used to define the </w:t>
      </w:r>
      <w:proofErr w:type="spellStart"/>
      <w:r>
        <w:t>noninvasive</w:t>
      </w:r>
      <w:proofErr w:type="spellEnd"/>
      <w:r>
        <w:t xml:space="preserve"> tests carried out during pregnancy that give an indication for the possible presence of a </w:t>
      </w:r>
      <w:proofErr w:type="spellStart"/>
      <w:r>
        <w:t>fetal</w:t>
      </w:r>
      <w:proofErr w:type="spellEnd"/>
      <w:r>
        <w:t xml:space="preserve"> aneuploidy. These include serum markers and ultrasound test currently listed on the MBS, as well as the NIPT test proposed as a contingent test in this application. These tests are not diagnostic and require invasive testing to confirm the result. The first approach to prenatal screening for trisomy 21 was to offer amniocentesis and </w:t>
      </w:r>
      <w:proofErr w:type="spellStart"/>
      <w:r>
        <w:t>fetal</w:t>
      </w:r>
      <w:proofErr w:type="spellEnd"/>
      <w:r>
        <w:t xml:space="preserve"> cytogenetic studies to women aged 35 years or more. This maternal-age threshold corresponded to a risk of approximately 1:300 at birth, and became a de facto definition of the threshold risk at which invasive testing is warranted. </w:t>
      </w:r>
    </w:p>
    <w:p w:rsidR="00A6726E" w:rsidRDefault="00A6726E" w:rsidP="001B7CF3">
      <w:pPr>
        <w:spacing w:before="0"/>
        <w:ind w:left="426"/>
      </w:pPr>
      <w:r>
        <w:t xml:space="preserve">The introduction of biochemical screening of maternal plasma, initially in the second trimester and subsequently in the first trimester, together with first trimester ultrasound studies, improved the performance of screening programs for </w:t>
      </w:r>
      <w:proofErr w:type="spellStart"/>
      <w:r>
        <w:t>fetal</w:t>
      </w:r>
      <w:proofErr w:type="spellEnd"/>
      <w:r>
        <w:t xml:space="preserve"> trisomies. These programs achieved sensitivities of 80-90% for trisomy 21, and specificities of 95-97% (i.e. low positive predictive value). </w:t>
      </w:r>
    </w:p>
    <w:p w:rsidR="00A6726E" w:rsidRDefault="00A6726E" w:rsidP="001B7CF3">
      <w:pPr>
        <w:spacing w:before="0"/>
        <w:ind w:left="426"/>
      </w:pPr>
      <w:r>
        <w:t xml:space="preserve">Experience with these screening programs documented the risk of </w:t>
      </w:r>
      <w:proofErr w:type="spellStart"/>
      <w:r>
        <w:t>fetal</w:t>
      </w:r>
      <w:proofErr w:type="spellEnd"/>
      <w:r>
        <w:t xml:space="preserve"> loss as a consequence of amniocentesis or chorionic villus biopsy. These programs also demonstrated that the chromosome status of the placenta and </w:t>
      </w:r>
      <w:proofErr w:type="spellStart"/>
      <w:r>
        <w:t>fetus</w:t>
      </w:r>
      <w:proofErr w:type="spellEnd"/>
      <w:r>
        <w:t xml:space="preserve"> could be discordant, with ~1:3,000 normal </w:t>
      </w:r>
      <w:proofErr w:type="spellStart"/>
      <w:r>
        <w:t>fetuses</w:t>
      </w:r>
      <w:proofErr w:type="spellEnd"/>
      <w:r>
        <w:t xml:space="preserve"> having an </w:t>
      </w:r>
      <w:proofErr w:type="spellStart"/>
      <w:r>
        <w:t>aneuploid</w:t>
      </w:r>
      <w:proofErr w:type="spellEnd"/>
      <w:r>
        <w:t xml:space="preserve"> placenta, and ~1:100 </w:t>
      </w:r>
      <w:proofErr w:type="spellStart"/>
      <w:r>
        <w:t>trisomic</w:t>
      </w:r>
      <w:proofErr w:type="spellEnd"/>
      <w:r>
        <w:t xml:space="preserve"> </w:t>
      </w:r>
      <w:proofErr w:type="spellStart"/>
      <w:r>
        <w:t>fetuses</w:t>
      </w:r>
      <w:proofErr w:type="spellEnd"/>
      <w:r>
        <w:t xml:space="preserve"> having a normal placenta (</w:t>
      </w:r>
      <w:proofErr w:type="spellStart"/>
      <w:r>
        <w:t>Grati</w:t>
      </w:r>
      <w:proofErr w:type="spellEnd"/>
      <w:r>
        <w:t xml:space="preserve"> et al 2014).  </w:t>
      </w:r>
    </w:p>
    <w:p w:rsidR="001B7CF3" w:rsidRDefault="001B7CF3">
      <w:pPr>
        <w:spacing w:before="0" w:after="200" w:line="276" w:lineRule="auto"/>
      </w:pPr>
      <w:r>
        <w:br w:type="page"/>
      </w:r>
    </w:p>
    <w:p w:rsidR="00A6726E" w:rsidRDefault="00A6726E" w:rsidP="001B7CF3">
      <w:pPr>
        <w:spacing w:before="0"/>
        <w:ind w:left="426"/>
      </w:pPr>
      <w:r>
        <w:lastRenderedPageBreak/>
        <w:t xml:space="preserve">NIPT is based on the analysis of </w:t>
      </w:r>
      <w:proofErr w:type="spellStart"/>
      <w:r>
        <w:t>fetal</w:t>
      </w:r>
      <w:proofErr w:type="spellEnd"/>
      <w:r>
        <w:t xml:space="preserve"> </w:t>
      </w:r>
      <w:proofErr w:type="spellStart"/>
      <w:r>
        <w:t>cfDNA</w:t>
      </w:r>
      <w:proofErr w:type="spellEnd"/>
      <w:r>
        <w:t xml:space="preserve"> that is present in maternal plasma. As most of this </w:t>
      </w:r>
      <w:proofErr w:type="spellStart"/>
      <w:r>
        <w:t>cfDNA</w:t>
      </w:r>
      <w:proofErr w:type="spellEnd"/>
      <w:r>
        <w:t xml:space="preserve"> is in fact derived from the placenta/trophoblast strictly speaking, the term “</w:t>
      </w:r>
      <w:proofErr w:type="spellStart"/>
      <w:r>
        <w:t>fetal</w:t>
      </w:r>
      <w:proofErr w:type="spellEnd"/>
      <w:r>
        <w:t xml:space="preserve"> </w:t>
      </w:r>
      <w:proofErr w:type="spellStart"/>
      <w:r>
        <w:t>cfDNA</w:t>
      </w:r>
      <w:proofErr w:type="spellEnd"/>
      <w:r>
        <w:t xml:space="preserve">” is incorrect, but it has wide currency and will be used in this application. Analysis of </w:t>
      </w:r>
      <w:proofErr w:type="spellStart"/>
      <w:r>
        <w:t>fetal</w:t>
      </w:r>
      <w:proofErr w:type="spellEnd"/>
      <w:r>
        <w:t xml:space="preserve"> </w:t>
      </w:r>
      <w:proofErr w:type="spellStart"/>
      <w:r>
        <w:t>cfDNA</w:t>
      </w:r>
      <w:proofErr w:type="spellEnd"/>
      <w:r>
        <w:t xml:space="preserve"> has the potential to identify </w:t>
      </w:r>
      <w:proofErr w:type="spellStart"/>
      <w:r>
        <w:t>trisomic</w:t>
      </w:r>
      <w:proofErr w:type="spellEnd"/>
      <w:r>
        <w:t xml:space="preserve"> </w:t>
      </w:r>
      <w:proofErr w:type="spellStart"/>
      <w:r>
        <w:t>fetuses</w:t>
      </w:r>
      <w:proofErr w:type="spellEnd"/>
      <w:r>
        <w:t xml:space="preserve">, subject to the biological discordances noted above. </w:t>
      </w:r>
    </w:p>
    <w:p w:rsidR="00A6726E" w:rsidRDefault="00A6726E" w:rsidP="001B7CF3">
      <w:pPr>
        <w:spacing w:before="0"/>
        <w:ind w:left="426"/>
      </w:pPr>
      <w:proofErr w:type="spellStart"/>
      <w:proofErr w:type="gramStart"/>
      <w:r>
        <w:t>cfDNA</w:t>
      </w:r>
      <w:proofErr w:type="spellEnd"/>
      <w:proofErr w:type="gramEnd"/>
      <w:r>
        <w:t xml:space="preserve"> is a highly variable </w:t>
      </w:r>
      <w:proofErr w:type="spellStart"/>
      <w:r>
        <w:t>analyte</w:t>
      </w:r>
      <w:proofErr w:type="spellEnd"/>
      <w:r>
        <w:t xml:space="preserve"> (</w:t>
      </w:r>
      <w:proofErr w:type="spellStart"/>
      <w:r>
        <w:t>Breitbach</w:t>
      </w:r>
      <w:proofErr w:type="spellEnd"/>
      <w:r>
        <w:t xml:space="preserve"> et al 2012, </w:t>
      </w:r>
      <w:proofErr w:type="spellStart"/>
      <w:r>
        <w:t>Dwivedi</w:t>
      </w:r>
      <w:proofErr w:type="spellEnd"/>
      <w:r>
        <w:t xml:space="preserve"> et al 2012, </w:t>
      </w:r>
      <w:proofErr w:type="spellStart"/>
      <w:r>
        <w:t>Haghiac</w:t>
      </w:r>
      <w:proofErr w:type="spellEnd"/>
      <w:r>
        <w:t xml:space="preserve"> et al 2012, Tug et al 2015). In non-pregnant subjects, the concentration of </w:t>
      </w:r>
      <w:proofErr w:type="spellStart"/>
      <w:r>
        <w:t>cfDNA</w:t>
      </w:r>
      <w:proofErr w:type="spellEnd"/>
      <w:r>
        <w:t xml:space="preserve"> rises 10-fold with exercise, inflammation or obesity and can return to baseline levels within 90 minutes. In a pregnant woman, such a rise would reduce the corresponding proportion of </w:t>
      </w:r>
      <w:proofErr w:type="spellStart"/>
      <w:r>
        <w:t>cfDNA</w:t>
      </w:r>
      <w:proofErr w:type="spellEnd"/>
      <w:r>
        <w:t xml:space="preserve"> derived from the </w:t>
      </w:r>
      <w:proofErr w:type="spellStart"/>
      <w:r>
        <w:t>fetus</w:t>
      </w:r>
      <w:proofErr w:type="spellEnd"/>
      <w:r>
        <w:t xml:space="preserve"> and render assessment of </w:t>
      </w:r>
      <w:proofErr w:type="spellStart"/>
      <w:r>
        <w:t>fetal</w:t>
      </w:r>
      <w:proofErr w:type="spellEnd"/>
      <w:r>
        <w:t xml:space="preserve"> aneuploidy impossible. In the presence of sufficient </w:t>
      </w:r>
      <w:proofErr w:type="spellStart"/>
      <w:r>
        <w:t>fetal</w:t>
      </w:r>
      <w:proofErr w:type="spellEnd"/>
      <w:r>
        <w:t xml:space="preserve"> </w:t>
      </w:r>
      <w:proofErr w:type="spellStart"/>
      <w:r>
        <w:t>cfDNA</w:t>
      </w:r>
      <w:proofErr w:type="spellEnd"/>
      <w:r>
        <w:t xml:space="preserve"> for analysis, NIPT is highly sensitive and specific. The specificity of NIPT potentially allows a risk-based approach to testing for trisomies that is broader than the maternal-age-related threshold of 1:300. </w:t>
      </w:r>
    </w:p>
    <w:p w:rsidR="00A6726E" w:rsidRDefault="00A6726E" w:rsidP="001B7CF3">
      <w:pPr>
        <w:spacing w:before="0"/>
        <w:ind w:left="426"/>
      </w:pPr>
      <w:r>
        <w:t xml:space="preserve">Currently, Australian clinical guidelines fail to clearly define the place of NIPT. RANZCOG (2015) suggests that: 1) the uptake of this particular aspect of screening should be optional where possible; 2) if a woman has received a normal/low risk result from a </w:t>
      </w:r>
      <w:proofErr w:type="spellStart"/>
      <w:r>
        <w:t>cfDNA</w:t>
      </w:r>
      <w:proofErr w:type="spellEnd"/>
      <w:r>
        <w:t xml:space="preserve"> screening test, an additional risk calculation for aneuploidy by FTS is not recommended as this will increase the false positive rate without substantially improving the detection rate; 3) presence of a </w:t>
      </w:r>
      <w:proofErr w:type="spellStart"/>
      <w:r>
        <w:t>fetal</w:t>
      </w:r>
      <w:proofErr w:type="spellEnd"/>
      <w:r>
        <w:t xml:space="preserve"> structural anomaly remains an important indication for invasive prenatal testing, even in the presence of a prior normal/low risk </w:t>
      </w:r>
      <w:proofErr w:type="spellStart"/>
      <w:r>
        <w:t>cfDNA</w:t>
      </w:r>
      <w:proofErr w:type="spellEnd"/>
      <w:r>
        <w:t xml:space="preserve"> result.</w:t>
      </w:r>
    </w:p>
    <w:p w:rsidR="00A6726E" w:rsidRDefault="00A6726E" w:rsidP="001B7CF3">
      <w:pPr>
        <w:spacing w:before="0"/>
        <w:ind w:left="426"/>
      </w:pPr>
      <w:r>
        <w:t xml:space="preserve">The International Society for Prenatal Diagnosis (ISPD) considers the use of </w:t>
      </w:r>
      <w:proofErr w:type="spellStart"/>
      <w:r>
        <w:t>cfDNA</w:t>
      </w:r>
      <w:proofErr w:type="spellEnd"/>
      <w:r>
        <w:t xml:space="preserve"> to be appropriate within the following protocols: 1) a primary screening test offered to all pregnant women; 2) secondary to a high risk assessment based on serum and ultrasound screening protocols; or 3) contingently offered to a broader group of women ascertained as having high or intermediate risks by conventional screening Methods. The American College of Medical Genetics and Genomics also released updated guidelines for the use of </w:t>
      </w:r>
      <w:proofErr w:type="spellStart"/>
      <w:r>
        <w:t>cfDNA</w:t>
      </w:r>
      <w:proofErr w:type="spellEnd"/>
      <w:r>
        <w:t xml:space="preserve"> for screening. These guidelines recommend that all pregnant women are Informed that NIPS is the most sensitive screening option for traditionally screened aneuploidies.</w:t>
      </w:r>
    </w:p>
    <w:p w:rsidR="00A6726E" w:rsidRPr="00A6726E" w:rsidRDefault="00A6726E" w:rsidP="001B7CF3">
      <w:pPr>
        <w:spacing w:before="0"/>
        <w:ind w:left="426"/>
        <w:rPr>
          <w:u w:val="single"/>
        </w:rPr>
      </w:pPr>
      <w:r w:rsidRPr="00A6726E">
        <w:rPr>
          <w:u w:val="single"/>
        </w:rPr>
        <w:t>Proposed model for patient eligibility</w:t>
      </w:r>
    </w:p>
    <w:p w:rsidR="00A6726E" w:rsidRDefault="00A6726E" w:rsidP="001B7CF3">
      <w:pPr>
        <w:spacing w:before="0"/>
        <w:ind w:left="426"/>
      </w:pPr>
      <w:r>
        <w:t xml:space="preserve">The sponsor proposes a contingent testing model for the implementation of NIPT. This model categorises pregnant women into one of three categories (low risk, intermediate risk, high risk of </w:t>
      </w:r>
      <w:proofErr w:type="spellStart"/>
      <w:r>
        <w:t>fetal</w:t>
      </w:r>
      <w:proofErr w:type="spellEnd"/>
      <w:r>
        <w:t xml:space="preserve"> trisomy) based on FTS. Women at ‘intermediate risk’ are offered NIPT.  Women at ‘high risk’ would be recommended invasive testing as per current practice, and women at ‘low risk’ would undergo no further testing, as per current practice. Women at ‘intermediate risk’ would be referred by their general practitioner (GP) or obstetric specialist for NIPT to potentially avoid unnecessary invasive testing and the associated risk of miscarriage.</w:t>
      </w:r>
    </w:p>
    <w:p w:rsidR="00A6726E" w:rsidRDefault="00A6726E" w:rsidP="001B7CF3">
      <w:pPr>
        <w:spacing w:before="0"/>
        <w:ind w:left="426"/>
      </w:pPr>
      <w:r>
        <w:t>It is proposed that the risk cut-offs used to define low and high risk (with intermediate risk being between these categories) would be explored as part of the assessment.  The base case low- and high-risk cut-offs would be &lt;1:1000 and &gt;1:10, respectively.  Hui et al (2013) estimate that 0.5% of women would be considered ‘high risk’ and 86.5% considered ‘low risk’ at these thresholds.</w:t>
      </w:r>
    </w:p>
    <w:p w:rsidR="00A6726E" w:rsidRDefault="00A6726E" w:rsidP="001B7CF3">
      <w:pPr>
        <w:spacing w:before="0"/>
        <w:ind w:left="426"/>
      </w:pPr>
      <w:r>
        <w:t>•</w:t>
      </w:r>
      <w:r>
        <w:tab/>
        <w:t>the use of NIPT only in ‘high risk’ pregnancies, takes advantage of the negative predictive value of NIPT to reducing invasive testing in high-risk women (and associated testing costs and miscarriage risks), but it would not improve the overall sensitivity of testing relative to FTS alone (Hui et al 2013).</w:t>
      </w:r>
    </w:p>
    <w:p w:rsidR="00A6726E" w:rsidRDefault="00A6726E" w:rsidP="001B7CF3">
      <w:pPr>
        <w:spacing w:before="0"/>
        <w:ind w:left="426"/>
      </w:pPr>
      <w:r>
        <w:t>•</w:t>
      </w:r>
      <w:r>
        <w:tab/>
        <w:t xml:space="preserve">the low risk threshold could eventually be reduced to a level where all women are offered NIPT, irrespective of the FTS risk assessment, thereby negating the utility of FTS as a triage tool prior to NIPT. Of note there may be other benefits in retaining FTS for detection of conditions other than </w:t>
      </w:r>
      <w:proofErr w:type="spellStart"/>
      <w:r>
        <w:t>fetal</w:t>
      </w:r>
      <w:proofErr w:type="spellEnd"/>
      <w:r>
        <w:t xml:space="preserve"> trisomies 21, 18 and 13. </w:t>
      </w:r>
    </w:p>
    <w:p w:rsidR="00AA5FDA" w:rsidRPr="00154B00" w:rsidRDefault="00A6726E" w:rsidP="001B7CF3">
      <w:pPr>
        <w:spacing w:before="0"/>
        <w:ind w:left="426"/>
        <w:rPr>
          <w:szCs w:val="20"/>
        </w:rPr>
      </w:pPr>
      <w:r>
        <w:t xml:space="preserve">Recent clinical studies have demonstrated the benefits of NIPT as a primary testing tool in the general pregnancy population (see Part 4 above).  The Royal Australian and New Zealand College of Obstetrics and </w:t>
      </w:r>
      <w:proofErr w:type="spellStart"/>
      <w:r>
        <w:t>Gynecology</w:t>
      </w:r>
      <w:proofErr w:type="spellEnd"/>
      <w:r>
        <w:t xml:space="preserve"> (RANZCOG) released a statement in March 2015 (C-</w:t>
      </w:r>
      <w:proofErr w:type="spellStart"/>
      <w:r>
        <w:t>Obs</w:t>
      </w:r>
      <w:proofErr w:type="spellEnd"/>
      <w:r>
        <w:t xml:space="preserve"> 59) recognising the value of NIPT as an optional test alongside current FTS (RANZCOG 2015). This document is currently under revision.</w:t>
      </w:r>
    </w:p>
    <w:p w:rsidR="00A6726E" w:rsidRDefault="00A6726E" w:rsidP="001B7CF3">
      <w:pPr>
        <w:spacing w:before="0"/>
        <w:rPr>
          <w:b/>
          <w:szCs w:val="20"/>
        </w:rPr>
      </w:pPr>
      <w:r>
        <w:br w:type="page"/>
      </w:r>
    </w:p>
    <w:p w:rsidR="0018630F" w:rsidRDefault="0018630F" w:rsidP="001B7CF3">
      <w:pPr>
        <w:pStyle w:val="Heading2"/>
        <w:spacing w:before="0"/>
      </w:pPr>
      <w:r w:rsidRPr="00154B00">
        <w:lastRenderedPageBreak/>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D223E6" w:rsidRDefault="00D223E6" w:rsidP="001B7CF3">
      <w:pPr>
        <w:spacing w:before="0"/>
        <w:ind w:left="426"/>
        <w:rPr>
          <w:szCs w:val="20"/>
        </w:rPr>
      </w:pPr>
      <w:r w:rsidRPr="00693CFB">
        <w:rPr>
          <w:szCs w:val="20"/>
        </w:rPr>
        <w:t xml:space="preserve">The approach to </w:t>
      </w:r>
      <w:r>
        <w:rPr>
          <w:szCs w:val="20"/>
        </w:rPr>
        <w:t xml:space="preserve">FTS </w:t>
      </w:r>
      <w:r w:rsidRPr="00693CFB">
        <w:rPr>
          <w:szCs w:val="20"/>
        </w:rPr>
        <w:t xml:space="preserve">for T21 and </w:t>
      </w:r>
      <w:r>
        <w:rPr>
          <w:szCs w:val="20"/>
        </w:rPr>
        <w:t>T18 recommended by RANZCOG (2015</w:t>
      </w:r>
      <w:r w:rsidRPr="00693CFB">
        <w:rPr>
          <w:szCs w:val="20"/>
        </w:rPr>
        <w:t>) is presented below.  The same approach is also used to</w:t>
      </w:r>
      <w:r>
        <w:rPr>
          <w:szCs w:val="20"/>
        </w:rPr>
        <w:t xml:space="preserve"> test</w:t>
      </w:r>
      <w:r w:rsidRPr="00693CFB">
        <w:rPr>
          <w:szCs w:val="20"/>
        </w:rPr>
        <w:t xml:space="preserve"> for T13 and ot</w:t>
      </w:r>
      <w:r>
        <w:rPr>
          <w:szCs w:val="20"/>
        </w:rPr>
        <w:t>her chromosomal abnormalities.</w:t>
      </w:r>
    </w:p>
    <w:p w:rsidR="00D223E6" w:rsidRDefault="00D223E6" w:rsidP="001B7CF3">
      <w:pPr>
        <w:spacing w:before="0"/>
        <w:ind w:left="426"/>
        <w:rPr>
          <w:szCs w:val="20"/>
        </w:rPr>
      </w:pPr>
      <w:r w:rsidRPr="00693CFB">
        <w:rPr>
          <w:szCs w:val="20"/>
        </w:rPr>
        <w:t>Pregnant women are offered a</w:t>
      </w:r>
      <w:r>
        <w:rPr>
          <w:szCs w:val="20"/>
        </w:rPr>
        <w:t xml:space="preserve">n initial </w:t>
      </w:r>
      <w:r w:rsidRPr="00693CFB">
        <w:rPr>
          <w:szCs w:val="20"/>
        </w:rPr>
        <w:t>risk assessment</w:t>
      </w:r>
      <w:r>
        <w:rPr>
          <w:szCs w:val="20"/>
        </w:rPr>
        <w:t xml:space="preserve"> (FTS)</w:t>
      </w:r>
      <w:r w:rsidRPr="00693CFB">
        <w:rPr>
          <w:szCs w:val="20"/>
        </w:rPr>
        <w:t xml:space="preserve"> based on their age, biochemical blood analysis, and an ultrasound.</w:t>
      </w:r>
      <w:r>
        <w:rPr>
          <w:szCs w:val="20"/>
        </w:rPr>
        <w:t xml:space="preserve">  </w:t>
      </w:r>
      <w:proofErr w:type="gramStart"/>
      <w:r>
        <w:rPr>
          <w:szCs w:val="20"/>
        </w:rPr>
        <w:t xml:space="preserve">Women with a risk of </w:t>
      </w:r>
      <w:r w:rsidRPr="00693CFB">
        <w:rPr>
          <w:szCs w:val="20"/>
        </w:rPr>
        <w:t>1</w:t>
      </w:r>
      <w:r>
        <w:rPr>
          <w:szCs w:val="20"/>
        </w:rPr>
        <w:t>:</w:t>
      </w:r>
      <w:r w:rsidRPr="00693CFB">
        <w:rPr>
          <w:szCs w:val="20"/>
        </w:rPr>
        <w:t xml:space="preserve">300 </w:t>
      </w:r>
      <w:r>
        <w:rPr>
          <w:szCs w:val="20"/>
        </w:rPr>
        <w:t xml:space="preserve">or higher </w:t>
      </w:r>
      <w:r w:rsidRPr="00693CFB">
        <w:rPr>
          <w:szCs w:val="20"/>
        </w:rPr>
        <w:t xml:space="preserve">for T21 (Down syndrome) are </w:t>
      </w:r>
      <w:r>
        <w:rPr>
          <w:szCs w:val="20"/>
        </w:rPr>
        <w:t xml:space="preserve">then </w:t>
      </w:r>
      <w:r w:rsidRPr="00693CFB">
        <w:rPr>
          <w:szCs w:val="20"/>
        </w:rPr>
        <w:t xml:space="preserve">offered diagnostic testing via either </w:t>
      </w:r>
      <w:r>
        <w:rPr>
          <w:szCs w:val="20"/>
        </w:rPr>
        <w:t>chorionic villus sampling (</w:t>
      </w:r>
      <w:r w:rsidRPr="00693CFB">
        <w:rPr>
          <w:szCs w:val="20"/>
        </w:rPr>
        <w:t>CVS</w:t>
      </w:r>
      <w:r>
        <w:rPr>
          <w:szCs w:val="20"/>
        </w:rPr>
        <w:t>)</w:t>
      </w:r>
      <w:r w:rsidRPr="00693CFB">
        <w:rPr>
          <w:szCs w:val="20"/>
        </w:rPr>
        <w:t xml:space="preserve"> or amniocentesis.</w:t>
      </w:r>
      <w:proofErr w:type="gramEnd"/>
      <w:r w:rsidRPr="00693CFB">
        <w:rPr>
          <w:szCs w:val="20"/>
        </w:rPr>
        <w:t xml:space="preserve">  Women confirmed </w:t>
      </w:r>
      <w:r>
        <w:rPr>
          <w:szCs w:val="20"/>
        </w:rPr>
        <w:t xml:space="preserve">by invasive testing </w:t>
      </w:r>
      <w:r w:rsidRPr="00693CFB">
        <w:rPr>
          <w:szCs w:val="20"/>
        </w:rPr>
        <w:t xml:space="preserve">as carrying a </w:t>
      </w:r>
      <w:proofErr w:type="spellStart"/>
      <w:r w:rsidRPr="00693CFB">
        <w:rPr>
          <w:szCs w:val="20"/>
        </w:rPr>
        <w:t>trisomic</w:t>
      </w:r>
      <w:proofErr w:type="spellEnd"/>
      <w:r w:rsidRPr="00693CFB">
        <w:rPr>
          <w:szCs w:val="20"/>
        </w:rPr>
        <w:t xml:space="preserve"> </w:t>
      </w:r>
      <w:proofErr w:type="spellStart"/>
      <w:r w:rsidRPr="00693CFB">
        <w:rPr>
          <w:szCs w:val="20"/>
        </w:rPr>
        <w:t>fetus</w:t>
      </w:r>
      <w:proofErr w:type="spellEnd"/>
      <w:r w:rsidRPr="00693CFB">
        <w:rPr>
          <w:szCs w:val="20"/>
        </w:rPr>
        <w:t xml:space="preserve"> are </w:t>
      </w:r>
      <w:r>
        <w:rPr>
          <w:szCs w:val="20"/>
        </w:rPr>
        <w:t xml:space="preserve">then </w:t>
      </w:r>
      <w:r w:rsidRPr="00693CFB">
        <w:rPr>
          <w:szCs w:val="20"/>
        </w:rPr>
        <w:t>offered the option of terminating their pregnancy.</w:t>
      </w:r>
    </w:p>
    <w:p w:rsidR="00D223E6" w:rsidRDefault="00D223E6" w:rsidP="001B7CF3">
      <w:pPr>
        <w:spacing w:before="0"/>
        <w:ind w:left="426"/>
        <w:rPr>
          <w:szCs w:val="20"/>
        </w:rPr>
      </w:pPr>
      <w:r>
        <w:rPr>
          <w:szCs w:val="20"/>
        </w:rPr>
        <w:t>As shown in Diagram 1 (</w:t>
      </w:r>
      <w:r w:rsidRPr="001C595A">
        <w:rPr>
          <w:b/>
          <w:szCs w:val="20"/>
        </w:rPr>
        <w:t>Attachment</w:t>
      </w:r>
      <w:r>
        <w:rPr>
          <w:b/>
          <w:szCs w:val="20"/>
        </w:rPr>
        <w:t xml:space="preserve"> 2</w:t>
      </w:r>
      <w:r>
        <w:rPr>
          <w:szCs w:val="20"/>
        </w:rPr>
        <w:t>), FTS currently consists of:</w:t>
      </w:r>
    </w:p>
    <w:p w:rsidR="00D223E6" w:rsidRPr="00450E4F" w:rsidRDefault="00D223E6" w:rsidP="001B7CF3">
      <w:pPr>
        <w:pStyle w:val="ListParagraph"/>
        <w:numPr>
          <w:ilvl w:val="0"/>
          <w:numId w:val="37"/>
        </w:numPr>
        <w:spacing w:before="0"/>
        <w:ind w:hanging="294"/>
        <w:rPr>
          <w:szCs w:val="20"/>
        </w:rPr>
      </w:pPr>
      <w:r w:rsidRPr="00450E4F">
        <w:rPr>
          <w:szCs w:val="20"/>
        </w:rPr>
        <w:t>maternal age</w:t>
      </w:r>
      <w:r>
        <w:rPr>
          <w:szCs w:val="20"/>
        </w:rPr>
        <w:t>;</w:t>
      </w:r>
    </w:p>
    <w:p w:rsidR="00D223E6" w:rsidRPr="00450E4F" w:rsidRDefault="00D223E6" w:rsidP="001B7CF3">
      <w:pPr>
        <w:pStyle w:val="ListParagraph"/>
        <w:numPr>
          <w:ilvl w:val="0"/>
          <w:numId w:val="37"/>
        </w:numPr>
        <w:spacing w:before="0"/>
        <w:ind w:hanging="294"/>
        <w:rPr>
          <w:szCs w:val="20"/>
        </w:rPr>
      </w:pPr>
      <w:proofErr w:type="gramStart"/>
      <w:r w:rsidRPr="00450E4F">
        <w:rPr>
          <w:szCs w:val="20"/>
        </w:rPr>
        <w:t>ultrasound</w:t>
      </w:r>
      <w:proofErr w:type="gramEnd"/>
      <w:r w:rsidRPr="00450E4F">
        <w:rPr>
          <w:szCs w:val="20"/>
        </w:rPr>
        <w:t xml:space="preserve"> measurement of </w:t>
      </w:r>
      <w:proofErr w:type="spellStart"/>
      <w:r w:rsidRPr="00450E4F">
        <w:rPr>
          <w:szCs w:val="20"/>
        </w:rPr>
        <w:t>fetal</w:t>
      </w:r>
      <w:proofErr w:type="spellEnd"/>
      <w:r w:rsidRPr="00450E4F">
        <w:rPr>
          <w:szCs w:val="20"/>
        </w:rPr>
        <w:t xml:space="preserve"> nuchal translucency (NT), where available.</w:t>
      </w:r>
    </w:p>
    <w:p w:rsidR="00D223E6" w:rsidRPr="00450E4F" w:rsidRDefault="00D223E6" w:rsidP="001B7CF3">
      <w:pPr>
        <w:pStyle w:val="ListParagraph"/>
        <w:numPr>
          <w:ilvl w:val="0"/>
          <w:numId w:val="37"/>
        </w:numPr>
        <w:spacing w:before="0"/>
        <w:ind w:hanging="294"/>
        <w:rPr>
          <w:szCs w:val="20"/>
        </w:rPr>
      </w:pPr>
      <w:r w:rsidRPr="00450E4F">
        <w:rPr>
          <w:szCs w:val="20"/>
        </w:rPr>
        <w:t>blood collected at 9 weeks – 13 weeks 6 days for biochemical analysis of</w:t>
      </w:r>
      <w:r>
        <w:rPr>
          <w:szCs w:val="20"/>
        </w:rPr>
        <w:t>:</w:t>
      </w:r>
    </w:p>
    <w:p w:rsidR="00D223E6" w:rsidRPr="00450E4F" w:rsidRDefault="00D223E6" w:rsidP="001B7CF3">
      <w:pPr>
        <w:pStyle w:val="ListParagraph"/>
        <w:numPr>
          <w:ilvl w:val="0"/>
          <w:numId w:val="38"/>
        </w:numPr>
        <w:spacing w:before="0"/>
        <w:ind w:hanging="294"/>
        <w:rPr>
          <w:szCs w:val="20"/>
        </w:rPr>
      </w:pPr>
      <w:r w:rsidRPr="00450E4F">
        <w:rPr>
          <w:szCs w:val="20"/>
        </w:rPr>
        <w:t>pregnancy associated placental protein-A (PAPP-A)</w:t>
      </w:r>
    </w:p>
    <w:p w:rsidR="00D223E6" w:rsidRPr="00450E4F" w:rsidRDefault="00D223E6" w:rsidP="001B7CF3">
      <w:pPr>
        <w:pStyle w:val="ListParagraph"/>
        <w:numPr>
          <w:ilvl w:val="0"/>
          <w:numId w:val="38"/>
        </w:numPr>
        <w:spacing w:before="0"/>
        <w:ind w:hanging="294"/>
        <w:rPr>
          <w:szCs w:val="20"/>
        </w:rPr>
      </w:pPr>
      <w:r w:rsidRPr="00450E4F">
        <w:rPr>
          <w:szCs w:val="20"/>
        </w:rPr>
        <w:t>free β</w:t>
      </w:r>
      <w:proofErr w:type="spellStart"/>
      <w:r w:rsidRPr="00450E4F">
        <w:rPr>
          <w:szCs w:val="20"/>
        </w:rPr>
        <w:t>hCG</w:t>
      </w:r>
      <w:proofErr w:type="spellEnd"/>
      <w:r>
        <w:rPr>
          <w:szCs w:val="20"/>
        </w:rPr>
        <w:t>; and</w:t>
      </w:r>
    </w:p>
    <w:p w:rsidR="00D223E6" w:rsidRDefault="00D223E6" w:rsidP="001B7CF3">
      <w:pPr>
        <w:spacing w:before="0"/>
        <w:ind w:left="426"/>
        <w:rPr>
          <w:szCs w:val="20"/>
        </w:rPr>
      </w:pPr>
      <w:r>
        <w:rPr>
          <w:szCs w:val="20"/>
        </w:rPr>
        <w:t xml:space="preserve">Under this proposal, NIPT would be offered to </w:t>
      </w:r>
      <w:r w:rsidRPr="00450E4F">
        <w:rPr>
          <w:szCs w:val="20"/>
        </w:rPr>
        <w:t xml:space="preserve">women </w:t>
      </w:r>
      <w:r>
        <w:rPr>
          <w:szCs w:val="20"/>
        </w:rPr>
        <w:t xml:space="preserve">considered to be at ‘intermediate risk’ </w:t>
      </w:r>
      <w:r w:rsidRPr="00450E4F">
        <w:rPr>
          <w:szCs w:val="20"/>
        </w:rPr>
        <w:t>of trisomies based on th</w:t>
      </w:r>
      <w:r>
        <w:rPr>
          <w:szCs w:val="20"/>
        </w:rPr>
        <w:t>eir FTS a</w:t>
      </w:r>
      <w:r w:rsidRPr="00450E4F">
        <w:rPr>
          <w:szCs w:val="20"/>
        </w:rPr>
        <w:t>nd other factors</w:t>
      </w:r>
      <w:r>
        <w:rPr>
          <w:szCs w:val="20"/>
        </w:rPr>
        <w:t xml:space="preserve"> (</w:t>
      </w:r>
      <w:r w:rsidRPr="00DC1F9E">
        <w:rPr>
          <w:b/>
          <w:szCs w:val="20"/>
          <w:u w:val="single"/>
        </w:rPr>
        <w:t xml:space="preserve">contingent </w:t>
      </w:r>
      <w:r>
        <w:rPr>
          <w:b/>
          <w:szCs w:val="20"/>
          <w:u w:val="single"/>
        </w:rPr>
        <w:t>testing</w:t>
      </w:r>
      <w:r w:rsidRPr="00DC1F9E">
        <w:rPr>
          <w:b/>
          <w:szCs w:val="20"/>
          <w:u w:val="single"/>
        </w:rPr>
        <w:t xml:space="preserve"> model</w:t>
      </w:r>
      <w:r>
        <w:rPr>
          <w:b/>
          <w:szCs w:val="20"/>
          <w:u w:val="single"/>
        </w:rPr>
        <w:t xml:space="preserve"> – see part 6a/25 above</w:t>
      </w:r>
      <w:r>
        <w:rPr>
          <w:szCs w:val="20"/>
        </w:rPr>
        <w:t>)</w:t>
      </w:r>
      <w:r w:rsidRPr="00450E4F">
        <w:rPr>
          <w:szCs w:val="20"/>
        </w:rPr>
        <w:t>.</w:t>
      </w:r>
    </w:p>
    <w:p w:rsidR="00BC424B" w:rsidRPr="00BC424B" w:rsidRDefault="00D223E6" w:rsidP="001B7CF3">
      <w:pPr>
        <w:spacing w:before="0"/>
        <w:ind w:left="426"/>
      </w:pPr>
      <w:r>
        <w:rPr>
          <w:szCs w:val="20"/>
        </w:rPr>
        <w:t xml:space="preserve">Another option would be to </w:t>
      </w:r>
      <w:r w:rsidRPr="001F7592">
        <w:rPr>
          <w:szCs w:val="20"/>
        </w:rPr>
        <w:t>provide</w:t>
      </w:r>
      <w:r>
        <w:rPr>
          <w:szCs w:val="20"/>
        </w:rPr>
        <w:t xml:space="preserve"> NIPT as a first-line testing option </w:t>
      </w:r>
      <w:r w:rsidRPr="001F7592">
        <w:rPr>
          <w:szCs w:val="20"/>
        </w:rPr>
        <w:t>(</w:t>
      </w:r>
      <w:r>
        <w:rPr>
          <w:b/>
          <w:szCs w:val="20"/>
          <w:u w:val="single"/>
        </w:rPr>
        <w:t>primary testing</w:t>
      </w:r>
      <w:r w:rsidRPr="00DC1F9E">
        <w:rPr>
          <w:b/>
          <w:szCs w:val="20"/>
          <w:u w:val="single"/>
        </w:rPr>
        <w:t xml:space="preserve"> model</w:t>
      </w:r>
      <w:r w:rsidRPr="001F7592">
        <w:rPr>
          <w:szCs w:val="20"/>
        </w:rPr>
        <w:t>)</w:t>
      </w:r>
      <w:r>
        <w:rPr>
          <w:szCs w:val="20"/>
        </w:rPr>
        <w:t xml:space="preserve">. It is expected that NT ultrasound and current FTS biochemistry (maternal serum) screening would continue to be offered for the detection of conditions other than the </w:t>
      </w:r>
      <w:proofErr w:type="spellStart"/>
      <w:r>
        <w:rPr>
          <w:szCs w:val="20"/>
        </w:rPr>
        <w:t>fetal</w:t>
      </w:r>
      <w:proofErr w:type="spellEnd"/>
      <w:r>
        <w:rPr>
          <w:szCs w:val="20"/>
        </w:rPr>
        <w:t xml:space="preserve"> trisomies 21, 18 and 13 (thus outside the scope of this application for NIPT).</w:t>
      </w:r>
    </w:p>
    <w:p w:rsidR="002A50FD" w:rsidRPr="00881F93" w:rsidRDefault="005C3AE7" w:rsidP="001B7CF3">
      <w:pPr>
        <w:pStyle w:val="Subtitle"/>
        <w:spacing w:before="0"/>
        <w:ind w:left="0"/>
      </w:pPr>
      <w:r>
        <w:t xml:space="preserve">PART 6b – </w:t>
      </w:r>
      <w:r w:rsidR="002A50FD" w:rsidRPr="00881F93">
        <w:t>INFORMATION ABOUT THE INTERVENTION</w:t>
      </w:r>
    </w:p>
    <w:p w:rsidR="002A50FD" w:rsidRPr="00154B00" w:rsidRDefault="002A6753" w:rsidP="001B7CF3">
      <w:pPr>
        <w:pStyle w:val="Heading2"/>
        <w:spacing w:before="0"/>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D223E6" w:rsidRDefault="00D223E6" w:rsidP="001B7CF3">
      <w:pPr>
        <w:spacing w:before="0"/>
        <w:ind w:left="426"/>
        <w:rPr>
          <w:szCs w:val="20"/>
        </w:rPr>
      </w:pPr>
      <w:r>
        <w:t xml:space="preserve">The </w:t>
      </w:r>
      <w:r>
        <w:rPr>
          <w:szCs w:val="20"/>
        </w:rPr>
        <w:t xml:space="preserve">NIPT </w:t>
      </w:r>
      <w:r w:rsidRPr="00D76864">
        <w:rPr>
          <w:szCs w:val="20"/>
        </w:rPr>
        <w:t>would be ordered by a</w:t>
      </w:r>
      <w:r>
        <w:rPr>
          <w:szCs w:val="20"/>
        </w:rPr>
        <w:t xml:space="preserve"> GP or obstetric specialist, similar to current FTS tests</w:t>
      </w:r>
    </w:p>
    <w:p w:rsidR="00D223E6" w:rsidRDefault="00D223E6" w:rsidP="001B7CF3">
      <w:pPr>
        <w:spacing w:before="0"/>
        <w:ind w:left="426"/>
        <w:rPr>
          <w:szCs w:val="20"/>
        </w:rPr>
      </w:pPr>
      <w:r w:rsidRPr="00304E9E">
        <w:rPr>
          <w:szCs w:val="20"/>
        </w:rPr>
        <w:t xml:space="preserve">NIPT can be delivered in many clinical settings, such as GP offices, obstetric clinics, public or private hospitals, in vitro fertilisation (IVF) centres, ultrasound </w:t>
      </w:r>
      <w:r>
        <w:rPr>
          <w:szCs w:val="20"/>
        </w:rPr>
        <w:t>centres, and radiology centres.</w:t>
      </w:r>
    </w:p>
    <w:p w:rsidR="00D223E6" w:rsidRPr="00D76864" w:rsidRDefault="00D223E6" w:rsidP="001B7CF3">
      <w:pPr>
        <w:spacing w:before="0"/>
        <w:ind w:left="426"/>
        <w:rPr>
          <w:szCs w:val="20"/>
        </w:rPr>
      </w:pPr>
      <w:r w:rsidRPr="00D76864">
        <w:rPr>
          <w:szCs w:val="20"/>
        </w:rPr>
        <w:t xml:space="preserve">As a simple blood draw, no additional equipment, personnel or experience is necessary other than access to phlebotomy. A trained phlebotomist is required to draw maternal blood as routinely occurs for FTS currently. </w:t>
      </w:r>
      <w:r>
        <w:rPr>
          <w:szCs w:val="20"/>
        </w:rPr>
        <w:t xml:space="preserve"> </w:t>
      </w:r>
      <w:r w:rsidRPr="00D76864">
        <w:rPr>
          <w:szCs w:val="20"/>
        </w:rPr>
        <w:t>Two tube</w:t>
      </w:r>
      <w:r>
        <w:rPr>
          <w:szCs w:val="20"/>
        </w:rPr>
        <w:t xml:space="preserve">s </w:t>
      </w:r>
      <w:r w:rsidRPr="00D76864">
        <w:rPr>
          <w:szCs w:val="20"/>
        </w:rPr>
        <w:t>of maternal blood are collected for analysis.  The blood is collected via a standard phlebotomy procedure and sent to a certified laboratory for analysis.</w:t>
      </w:r>
    </w:p>
    <w:p w:rsidR="002A50FD" w:rsidRPr="00154B00" w:rsidRDefault="00D223E6" w:rsidP="001B7CF3">
      <w:pPr>
        <w:spacing w:before="0"/>
        <w:ind w:left="426"/>
        <w:rPr>
          <w:szCs w:val="20"/>
        </w:rPr>
      </w:pPr>
      <w:r w:rsidRPr="00D76864">
        <w:rPr>
          <w:szCs w:val="20"/>
        </w:rPr>
        <w:t xml:space="preserve">All NIPT laboratories should only issue a report if the </w:t>
      </w:r>
      <w:proofErr w:type="spellStart"/>
      <w:r w:rsidRPr="00D76864">
        <w:rPr>
          <w:szCs w:val="20"/>
        </w:rPr>
        <w:t>fetal</w:t>
      </w:r>
      <w:proofErr w:type="spellEnd"/>
      <w:r w:rsidRPr="00D76864">
        <w:rPr>
          <w:szCs w:val="20"/>
        </w:rPr>
        <w:t xml:space="preserve"> </w:t>
      </w:r>
      <w:proofErr w:type="spellStart"/>
      <w:r w:rsidRPr="00D76864">
        <w:rPr>
          <w:szCs w:val="20"/>
        </w:rPr>
        <w:t>cfDNA</w:t>
      </w:r>
      <w:proofErr w:type="spellEnd"/>
      <w:r w:rsidRPr="00D76864">
        <w:rPr>
          <w:szCs w:val="20"/>
        </w:rPr>
        <w:t xml:space="preserve"> fraction is </w:t>
      </w:r>
      <w:r>
        <w:rPr>
          <w:szCs w:val="20"/>
        </w:rPr>
        <w:t xml:space="preserve">documented to be sufficient to detect </w:t>
      </w:r>
      <w:proofErr w:type="spellStart"/>
      <w:r>
        <w:rPr>
          <w:szCs w:val="20"/>
        </w:rPr>
        <w:t>fetal</w:t>
      </w:r>
      <w:proofErr w:type="spellEnd"/>
      <w:r>
        <w:rPr>
          <w:szCs w:val="20"/>
        </w:rPr>
        <w:t xml:space="preserve"> trisomy </w:t>
      </w:r>
      <w:r w:rsidRPr="00D76864">
        <w:rPr>
          <w:szCs w:val="20"/>
        </w:rPr>
        <w:t xml:space="preserve">in the sample received.  Multiple studies have now verified the importance of </w:t>
      </w:r>
      <w:proofErr w:type="spellStart"/>
      <w:r w:rsidRPr="00D76864">
        <w:rPr>
          <w:szCs w:val="20"/>
        </w:rPr>
        <w:t>fetal</w:t>
      </w:r>
      <w:proofErr w:type="spellEnd"/>
      <w:r w:rsidRPr="00D76864">
        <w:rPr>
          <w:szCs w:val="20"/>
        </w:rPr>
        <w:t xml:space="preserve"> fraction and it is becoming recognized as an essential laboratory quality control metric.  In 1-2% of cases a repeat sample is required due to low </w:t>
      </w:r>
      <w:proofErr w:type="spellStart"/>
      <w:r w:rsidRPr="00D76864">
        <w:rPr>
          <w:szCs w:val="20"/>
        </w:rPr>
        <w:t>fetal</w:t>
      </w:r>
      <w:proofErr w:type="spellEnd"/>
      <w:r w:rsidRPr="00D76864">
        <w:rPr>
          <w:szCs w:val="20"/>
        </w:rPr>
        <w:t xml:space="preserve"> fraction of </w:t>
      </w:r>
      <w:proofErr w:type="spellStart"/>
      <w:r w:rsidRPr="00D76864">
        <w:rPr>
          <w:szCs w:val="20"/>
        </w:rPr>
        <w:t>cfDNA</w:t>
      </w:r>
      <w:proofErr w:type="spellEnd"/>
      <w:r w:rsidRPr="00D76864">
        <w:rPr>
          <w:szCs w:val="20"/>
        </w:rPr>
        <w:t xml:space="preserve">.  Clinical studies demonstrate </w:t>
      </w:r>
      <w:proofErr w:type="spellStart"/>
      <w:r w:rsidRPr="00D76864">
        <w:rPr>
          <w:szCs w:val="20"/>
        </w:rPr>
        <w:t>fetal</w:t>
      </w:r>
      <w:proofErr w:type="spellEnd"/>
      <w:r w:rsidRPr="00D76864">
        <w:rPr>
          <w:szCs w:val="20"/>
        </w:rPr>
        <w:t xml:space="preserve"> fraction to vary positively with gestational age, negatively with maternal weight, and improve on </w:t>
      </w:r>
      <w:r>
        <w:rPr>
          <w:szCs w:val="20"/>
        </w:rPr>
        <w:t>blood redraw (Wang et al 2013).</w:t>
      </w:r>
    </w:p>
    <w:p w:rsidR="002A6753" w:rsidRPr="00154B00" w:rsidRDefault="002A6753" w:rsidP="001B7CF3">
      <w:pPr>
        <w:pStyle w:val="Heading2"/>
        <w:spacing w:before="0"/>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2A6753" w:rsidRPr="00154B00" w:rsidRDefault="00D223E6" w:rsidP="001B7CF3">
      <w:pPr>
        <w:spacing w:before="0"/>
        <w:ind w:left="426"/>
        <w:rPr>
          <w:szCs w:val="20"/>
        </w:rPr>
      </w:pPr>
      <w:r>
        <w:rPr>
          <w:szCs w:val="20"/>
        </w:rPr>
        <w:t>S</w:t>
      </w:r>
      <w:r w:rsidRPr="00AC3028">
        <w:rPr>
          <w:szCs w:val="20"/>
        </w:rPr>
        <w:t>everal private institutions offer a</w:t>
      </w:r>
      <w:r>
        <w:rPr>
          <w:szCs w:val="20"/>
        </w:rPr>
        <w:t>n</w:t>
      </w:r>
      <w:r w:rsidRPr="00AC3028">
        <w:rPr>
          <w:szCs w:val="20"/>
        </w:rPr>
        <w:t xml:space="preserve"> </w:t>
      </w:r>
      <w:r>
        <w:rPr>
          <w:szCs w:val="20"/>
        </w:rPr>
        <w:t xml:space="preserve">NIPT using </w:t>
      </w:r>
      <w:proofErr w:type="spellStart"/>
      <w:r>
        <w:rPr>
          <w:szCs w:val="20"/>
        </w:rPr>
        <w:t>cf</w:t>
      </w:r>
      <w:r w:rsidRPr="00AC3028">
        <w:rPr>
          <w:szCs w:val="20"/>
        </w:rPr>
        <w:t>DNA</w:t>
      </w:r>
      <w:proofErr w:type="spellEnd"/>
      <w:r w:rsidRPr="00AC3028">
        <w:rPr>
          <w:szCs w:val="20"/>
        </w:rPr>
        <w:t xml:space="preserve"> to analyse risk for common trisomies</w:t>
      </w:r>
      <w:r>
        <w:rPr>
          <w:szCs w:val="20"/>
        </w:rPr>
        <w:t>.  E</w:t>
      </w:r>
      <w:r w:rsidRPr="00AC3028">
        <w:rPr>
          <w:szCs w:val="20"/>
        </w:rPr>
        <w:t>ach company uses a unique technology and requires i</w:t>
      </w:r>
      <w:r>
        <w:rPr>
          <w:szCs w:val="20"/>
        </w:rPr>
        <w:t>ndependent clinical validation.</w:t>
      </w:r>
    </w:p>
    <w:p w:rsidR="00C22AD8" w:rsidRPr="00154B00" w:rsidRDefault="00C22AD8" w:rsidP="001B7CF3">
      <w:pPr>
        <w:pStyle w:val="Heading2"/>
        <w:spacing w:before="0"/>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Default="00172197" w:rsidP="001B7CF3">
      <w:pPr>
        <w:spacing w:before="0"/>
        <w:ind w:left="426"/>
        <w:rPr>
          <w:b/>
          <w:szCs w:val="20"/>
        </w:rPr>
      </w:pPr>
      <w:r>
        <w:t>Not applicable</w:t>
      </w:r>
    </w:p>
    <w:p w:rsidR="001B7CF3" w:rsidRDefault="001B7CF3">
      <w:pPr>
        <w:spacing w:before="0" w:after="200" w:line="276" w:lineRule="auto"/>
        <w:rPr>
          <w:b/>
          <w:szCs w:val="20"/>
        </w:rPr>
      </w:pPr>
      <w:r>
        <w:br w:type="page"/>
      </w:r>
    </w:p>
    <w:p w:rsidR="006B1B49" w:rsidRPr="00E357B9" w:rsidRDefault="006B1B49" w:rsidP="001B7CF3">
      <w:pPr>
        <w:pStyle w:val="Heading2"/>
        <w:spacing w:before="0"/>
      </w:pPr>
      <w:r w:rsidRPr="00154B00">
        <w:lastRenderedPageBreak/>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CC09D7" w:rsidRPr="00154B00" w:rsidRDefault="00172197" w:rsidP="001B7CF3">
      <w:pPr>
        <w:spacing w:before="0"/>
        <w:ind w:left="426"/>
        <w:rPr>
          <w:szCs w:val="20"/>
        </w:rPr>
      </w:pPr>
      <w:r>
        <w:t xml:space="preserve">As </w:t>
      </w:r>
      <w:r>
        <w:rPr>
          <w:szCs w:val="20"/>
        </w:rPr>
        <w:t xml:space="preserve">described above, </w:t>
      </w:r>
      <w:r w:rsidRPr="00304D77">
        <w:rPr>
          <w:szCs w:val="20"/>
        </w:rPr>
        <w:t>NIPT can be delivered in the same clinical settings where</w:t>
      </w:r>
      <w:r>
        <w:rPr>
          <w:szCs w:val="20"/>
        </w:rPr>
        <w:t xml:space="preserve"> FTS is currently delivered, and</w:t>
      </w:r>
      <w:r w:rsidRPr="00304D77">
        <w:rPr>
          <w:szCs w:val="20"/>
        </w:rPr>
        <w:t xml:space="preserve"> no additional equipment, personnel or experience is necessary other than access to phlebotomy.</w:t>
      </w:r>
      <w:r>
        <w:rPr>
          <w:szCs w:val="20"/>
        </w:rPr>
        <w:t xml:space="preserve">  Therefore, there are no limitations on accessibility compared with current FTS.</w:t>
      </w:r>
    </w:p>
    <w:p w:rsidR="00791C8D" w:rsidRPr="00154B00" w:rsidRDefault="00791C8D" w:rsidP="001B7CF3">
      <w:pPr>
        <w:pStyle w:val="Heading2"/>
        <w:spacing w:before="0"/>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172197" w:rsidRDefault="00172197" w:rsidP="001B7CF3">
      <w:pPr>
        <w:spacing w:before="0"/>
        <w:ind w:left="426"/>
        <w:rPr>
          <w:szCs w:val="20"/>
        </w:rPr>
      </w:pPr>
      <w:r>
        <w:rPr>
          <w:szCs w:val="20"/>
        </w:rPr>
        <w:t xml:space="preserve">Under the contingent testing model, the NIPT would be delivered subsequent to current combined FTS, which includes an NT scan (MBS Item </w:t>
      </w:r>
      <w:r w:rsidRPr="00CE3DF7">
        <w:rPr>
          <w:szCs w:val="20"/>
        </w:rPr>
        <w:t>55700)</w:t>
      </w:r>
      <w:r>
        <w:rPr>
          <w:szCs w:val="20"/>
        </w:rPr>
        <w:t xml:space="preserve"> and f</w:t>
      </w:r>
      <w:r w:rsidRPr="00CE3DF7">
        <w:rPr>
          <w:szCs w:val="20"/>
        </w:rPr>
        <w:t>irst trimester biochemistry (MBS Item 66750)</w:t>
      </w:r>
      <w:r>
        <w:rPr>
          <w:szCs w:val="20"/>
        </w:rPr>
        <w:t xml:space="preserve"> as part of the consultation, for those women considered to be at ‘intermediate risk’ as a result of combined FTS.</w:t>
      </w:r>
    </w:p>
    <w:p w:rsidR="00172197" w:rsidRDefault="00172197" w:rsidP="001B7CF3">
      <w:pPr>
        <w:spacing w:before="0"/>
        <w:ind w:left="426"/>
        <w:rPr>
          <w:szCs w:val="20"/>
        </w:rPr>
      </w:pPr>
      <w:r>
        <w:rPr>
          <w:szCs w:val="20"/>
        </w:rPr>
        <w:t xml:space="preserve">Under the primary testing model, the NIPT would be delivered as a first-line testing option.  It is expected that NT ultrasound and FTS biochemistry (maternal serum screening) would continue to be performed for the detection of conditions other than </w:t>
      </w:r>
      <w:proofErr w:type="spellStart"/>
      <w:r>
        <w:rPr>
          <w:szCs w:val="20"/>
        </w:rPr>
        <w:t>fetal</w:t>
      </w:r>
      <w:proofErr w:type="spellEnd"/>
      <w:r>
        <w:rPr>
          <w:szCs w:val="20"/>
        </w:rPr>
        <w:t xml:space="preserve"> trisomies 21, 18 and 13 (thus outside the scope of this application for NIPT).</w:t>
      </w:r>
    </w:p>
    <w:p w:rsidR="00791C8D" w:rsidRPr="00154B00" w:rsidRDefault="00172197" w:rsidP="001B7CF3">
      <w:pPr>
        <w:spacing w:before="0"/>
        <w:ind w:left="426"/>
        <w:rPr>
          <w:szCs w:val="20"/>
        </w:rPr>
      </w:pPr>
      <w:r>
        <w:rPr>
          <w:szCs w:val="20"/>
        </w:rPr>
        <w:t>Similar to the current protocol with FTS, genetic counselling may be offered to women with an ‘intermediate risk’ result for FTS, and/or ‘high risk’ result for NIPT (not covered by the MBS).</w:t>
      </w:r>
    </w:p>
    <w:p w:rsidR="00B17E26" w:rsidRPr="00154B00" w:rsidRDefault="00B17E26" w:rsidP="001B7CF3">
      <w:pPr>
        <w:pStyle w:val="Heading2"/>
        <w:spacing w:before="0"/>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B17E26" w:rsidRPr="00154B00" w:rsidRDefault="00172197" w:rsidP="001B7CF3">
      <w:pPr>
        <w:spacing w:before="0"/>
        <w:ind w:left="426"/>
        <w:rPr>
          <w:szCs w:val="20"/>
        </w:rPr>
      </w:pPr>
      <w:r w:rsidRPr="00304D77">
        <w:rPr>
          <w:szCs w:val="20"/>
        </w:rPr>
        <w:t xml:space="preserve">The </w:t>
      </w:r>
      <w:r>
        <w:rPr>
          <w:szCs w:val="20"/>
        </w:rPr>
        <w:t xml:space="preserve">NIPT </w:t>
      </w:r>
      <w:r w:rsidRPr="00304D77">
        <w:rPr>
          <w:szCs w:val="20"/>
        </w:rPr>
        <w:t xml:space="preserve">would be ordered by a </w:t>
      </w:r>
      <w:r>
        <w:rPr>
          <w:szCs w:val="20"/>
        </w:rPr>
        <w:t>GP or obstetric specialist</w:t>
      </w:r>
      <w:r w:rsidRPr="00304D77">
        <w:rPr>
          <w:szCs w:val="20"/>
        </w:rPr>
        <w:t>, similar to current FTS tests.</w:t>
      </w:r>
      <w:r>
        <w:rPr>
          <w:szCs w:val="20"/>
        </w:rPr>
        <w:t xml:space="preserve">  The NIPT results would be interpreted and used by the GP, specialist, midwife or genetic counsellor.</w:t>
      </w:r>
    </w:p>
    <w:p w:rsidR="00B17E26" w:rsidRPr="00154B00" w:rsidRDefault="00B17E26" w:rsidP="001B7CF3">
      <w:pPr>
        <w:pStyle w:val="Heading2"/>
        <w:spacing w:before="0"/>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154B00" w:rsidRDefault="005403F8" w:rsidP="001B7CF3">
      <w:pPr>
        <w:spacing w:before="0"/>
        <w:ind w:left="426"/>
        <w:rPr>
          <w:szCs w:val="20"/>
        </w:rPr>
      </w:pPr>
      <w:r>
        <w:t>Not applicable</w:t>
      </w:r>
    </w:p>
    <w:p w:rsidR="00EA0E25" w:rsidRPr="00154B00" w:rsidRDefault="00EA0E25" w:rsidP="001B7CF3">
      <w:pPr>
        <w:pStyle w:val="Heading2"/>
        <w:spacing w:before="0"/>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EA0E25" w:rsidRPr="00154B00" w:rsidRDefault="005403F8" w:rsidP="001B7CF3">
      <w:pPr>
        <w:spacing w:before="0"/>
        <w:ind w:left="426"/>
        <w:rPr>
          <w:szCs w:val="20"/>
        </w:rPr>
      </w:pPr>
      <w:r w:rsidRPr="00002466">
        <w:rPr>
          <w:szCs w:val="20"/>
        </w:rPr>
        <w:t>The NIPT can be offered</w:t>
      </w:r>
      <w:r>
        <w:rPr>
          <w:szCs w:val="20"/>
        </w:rPr>
        <w:t>,</w:t>
      </w:r>
      <w:r w:rsidRPr="00002466">
        <w:rPr>
          <w:szCs w:val="20"/>
        </w:rPr>
        <w:t xml:space="preserve"> and the referral made</w:t>
      </w:r>
      <w:r>
        <w:rPr>
          <w:szCs w:val="20"/>
        </w:rPr>
        <w:t>,</w:t>
      </w:r>
      <w:r w:rsidRPr="00002466">
        <w:rPr>
          <w:szCs w:val="20"/>
        </w:rPr>
        <w:t xml:space="preserve"> by an obstetric specialist or GP.</w:t>
      </w:r>
      <w:r>
        <w:rPr>
          <w:szCs w:val="20"/>
        </w:rPr>
        <w:t xml:space="preserve"> The NIPT testing should be performed by a NATA accredited Pathology laboratory.</w:t>
      </w:r>
    </w:p>
    <w:p w:rsidR="00EA0E25" w:rsidRPr="00154B00" w:rsidRDefault="00EA0E25" w:rsidP="001B7CF3">
      <w:pPr>
        <w:pStyle w:val="Heading2"/>
        <w:spacing w:before="0"/>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5403F8" w:rsidRDefault="005403F8" w:rsidP="001B7CF3">
      <w:pPr>
        <w:spacing w:before="0"/>
        <w:ind w:left="426"/>
      </w:pPr>
      <w:r>
        <w:t>Requesting doctor: the pre-test counselling requirements are similar to those already required for FTS i.e. this is a screening for test for potentially serious abnormality. The test is not diagnostic and, in the event of an abnormal screen, confirmatory testing would be required.</w:t>
      </w:r>
    </w:p>
    <w:p w:rsidR="005403F8" w:rsidRDefault="005403F8" w:rsidP="001B7CF3">
      <w:pPr>
        <w:spacing w:before="0"/>
        <w:ind w:left="426"/>
      </w:pPr>
      <w:r>
        <w:t xml:space="preserve">Phlebotomist: no additional training. </w:t>
      </w:r>
    </w:p>
    <w:p w:rsidR="00EA0E25" w:rsidRPr="00154B00" w:rsidRDefault="005403F8" w:rsidP="001B7CF3">
      <w:pPr>
        <w:spacing w:before="0"/>
        <w:ind w:left="426"/>
        <w:rPr>
          <w:szCs w:val="20"/>
        </w:rPr>
      </w:pPr>
      <w:r>
        <w:t>Laboratory staff: training and supervision as per NCAAP requirements for an accredited test.</w:t>
      </w:r>
    </w:p>
    <w:p w:rsidR="005F3F07" w:rsidRDefault="005C3AE7" w:rsidP="001B7CF3">
      <w:pPr>
        <w:pStyle w:val="Heading2"/>
        <w:spacing w:before="0"/>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rsidR="000A478F" w:rsidRDefault="000A478F" w:rsidP="001B7CF3">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w:t>
      </w:r>
      <w:r>
        <w:t>Inpatient private hospital</w:t>
      </w:r>
    </w:p>
    <w:p w:rsidR="000A478F" w:rsidRDefault="000A478F" w:rsidP="001B7CF3">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w:t>
      </w:r>
      <w:r>
        <w:t>Inpatient public hospital</w:t>
      </w:r>
    </w:p>
    <w:p w:rsidR="000A478F" w:rsidRDefault="005403F8" w:rsidP="001B7CF3">
      <w:pPr>
        <w:spacing w:before="0"/>
        <w:ind w:left="426"/>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750F6F">
        <w:rPr>
          <w:szCs w:val="20"/>
        </w:rPr>
      </w:r>
      <w:r w:rsidR="00750F6F">
        <w:rPr>
          <w:szCs w:val="20"/>
        </w:rPr>
        <w:fldChar w:fldCharType="separate"/>
      </w:r>
      <w:r>
        <w:rPr>
          <w:szCs w:val="20"/>
        </w:rPr>
        <w:fldChar w:fldCharType="end"/>
      </w:r>
      <w:bookmarkEnd w:id="2"/>
      <w:r w:rsidR="000A478F">
        <w:rPr>
          <w:szCs w:val="20"/>
        </w:rPr>
        <w:t xml:space="preserve"> </w:t>
      </w:r>
      <w:r w:rsidR="000A478F">
        <w:t>Outpatient clinic</w:t>
      </w:r>
    </w:p>
    <w:p w:rsidR="000A478F" w:rsidRDefault="000A478F" w:rsidP="001B7CF3">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w:t>
      </w:r>
      <w:r>
        <w:t>Emergency Department</w:t>
      </w:r>
    </w:p>
    <w:p w:rsidR="000A478F" w:rsidRDefault="005403F8" w:rsidP="001B7CF3">
      <w:pPr>
        <w:spacing w:before="0"/>
        <w:ind w:left="426"/>
      </w:pPr>
      <w:r>
        <w:rPr>
          <w:szCs w:val="20"/>
        </w:rPr>
        <w:fldChar w:fldCharType="begin">
          <w:ffData>
            <w:name w:val="Check1"/>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0A478F">
        <w:rPr>
          <w:szCs w:val="20"/>
        </w:rPr>
        <w:t xml:space="preserve"> </w:t>
      </w:r>
      <w:r w:rsidR="000A478F">
        <w:t>Consulting rooms</w:t>
      </w:r>
    </w:p>
    <w:p w:rsidR="000A478F" w:rsidRDefault="000A478F" w:rsidP="001B7CF3">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w:t>
      </w:r>
      <w:r>
        <w:t>Day surgery centre</w:t>
      </w:r>
    </w:p>
    <w:p w:rsidR="000A478F" w:rsidRDefault="000A478F" w:rsidP="001B7CF3">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w:t>
      </w:r>
      <w:r>
        <w:t>Residential aged care facility</w:t>
      </w:r>
    </w:p>
    <w:p w:rsidR="000A478F" w:rsidRDefault="000A478F" w:rsidP="001B7CF3">
      <w:pPr>
        <w:spacing w:before="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w:t>
      </w:r>
      <w:r>
        <w:t>Patient’s home</w:t>
      </w:r>
    </w:p>
    <w:p w:rsidR="000A478F" w:rsidRDefault="005403F8" w:rsidP="001B7CF3">
      <w:pPr>
        <w:spacing w:before="0"/>
        <w:ind w:left="426"/>
      </w:pPr>
      <w:r>
        <w:rPr>
          <w:szCs w:val="20"/>
        </w:rPr>
        <w:fldChar w:fldCharType="begin">
          <w:ffData>
            <w:name w:val="Check1"/>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Pr>
          <w:szCs w:val="20"/>
        </w:rPr>
        <w:t xml:space="preserve"> </w:t>
      </w:r>
      <w:r w:rsidR="000A478F">
        <w:t>Laboratory</w:t>
      </w:r>
    </w:p>
    <w:p w:rsidR="000A478F" w:rsidRPr="000A478F" w:rsidRDefault="000A478F" w:rsidP="001B7CF3">
      <w:pPr>
        <w:spacing w:before="0"/>
        <w:ind w:left="426"/>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750F6F">
        <w:rPr>
          <w:szCs w:val="20"/>
        </w:rPr>
      </w:r>
      <w:r w:rsidR="00750F6F">
        <w:rPr>
          <w:szCs w:val="20"/>
        </w:rPr>
        <w:fldChar w:fldCharType="separate"/>
      </w:r>
      <w:r w:rsidRPr="000A5B32">
        <w:rPr>
          <w:szCs w:val="20"/>
        </w:rPr>
        <w:fldChar w:fldCharType="end"/>
      </w:r>
      <w:r>
        <w:rPr>
          <w:szCs w:val="20"/>
        </w:rPr>
        <w:t xml:space="preserve"> </w:t>
      </w:r>
      <w:r>
        <w:t>Other – please specify below</w:t>
      </w:r>
    </w:p>
    <w:p w:rsidR="005F3F07" w:rsidRDefault="001B29A1" w:rsidP="001B7CF3">
      <w:pPr>
        <w:spacing w:before="0"/>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rsidR="003433D1" w:rsidRPr="005C3AE7" w:rsidRDefault="00E048ED" w:rsidP="001B7CF3">
      <w:pPr>
        <w:pStyle w:val="ListParagraph"/>
        <w:numPr>
          <w:ilvl w:val="0"/>
          <w:numId w:val="29"/>
        </w:numPr>
        <w:spacing w:before="0"/>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73597B" w:rsidRDefault="005403F8" w:rsidP="001B7CF3">
      <w:pPr>
        <w:spacing w:before="0"/>
        <w:ind w:left="426"/>
        <w:rPr>
          <w:b/>
          <w:szCs w:val="20"/>
        </w:rPr>
      </w:pPr>
      <w:r w:rsidRPr="005403F8">
        <w:t>NIPT is run in a laboratory, but the blood draw can occur in a number of settings including an outpatient office or pathology blood collection site.  This is the same situation as for the blood samples collected for biochemical analysis as part of FTS.  The consultation with the GP or obstetrician would occur in a consulting room or outpatient clinic.</w:t>
      </w:r>
    </w:p>
    <w:p w:rsidR="003E30FB" w:rsidRDefault="003E30FB" w:rsidP="001B7CF3">
      <w:pPr>
        <w:pStyle w:val="Heading2"/>
        <w:spacing w:before="0"/>
      </w:pPr>
      <w:r>
        <w:t xml:space="preserve">Is the </w:t>
      </w:r>
      <w:r w:rsidRPr="001B29A1">
        <w:t>proposed</w:t>
      </w:r>
      <w:r>
        <w:t xml:space="preserve"> medical service intended to be entirely rendered in Australia?</w:t>
      </w:r>
    </w:p>
    <w:p w:rsidR="000A478F" w:rsidRDefault="005403F8" w:rsidP="001B7CF3">
      <w:pPr>
        <w:spacing w:before="0"/>
        <w:ind w:left="426"/>
        <w:rPr>
          <w:szCs w:val="20"/>
        </w:rPr>
      </w:pPr>
      <w:r>
        <w:rPr>
          <w:szCs w:val="20"/>
        </w:rPr>
        <w:fldChar w:fldCharType="begin">
          <w:ffData>
            <w:name w:val="Check1"/>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0A478F">
        <w:rPr>
          <w:szCs w:val="20"/>
        </w:rPr>
        <w:t xml:space="preserve"> Yes</w:t>
      </w:r>
    </w:p>
    <w:p w:rsidR="000A478F" w:rsidRPr="00753C44" w:rsidRDefault="000A478F" w:rsidP="001B7CF3">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50F6F">
        <w:rPr>
          <w:szCs w:val="20"/>
        </w:rPr>
      </w:r>
      <w:r w:rsidR="00750F6F">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0A478F" w:rsidRPr="001B7CF3" w:rsidRDefault="001B29A1" w:rsidP="001B7CF3">
      <w:pPr>
        <w:spacing w:before="0"/>
        <w:ind w:left="426"/>
      </w:pPr>
      <w:r>
        <w:fldChar w:fldCharType="begin">
          <w:ffData>
            <w:name w:val="Text1"/>
            <w:enabled/>
            <w:calcOnExit w:val="0"/>
            <w:textInput>
              <w:default w:val="Specify further details here"/>
            </w:textInput>
          </w:ffData>
        </w:fldChar>
      </w:r>
      <w:bookmarkStart w:id="3" w:name="Text1"/>
      <w:r>
        <w:instrText xml:space="preserve"> FORMTEXT </w:instrText>
      </w:r>
      <w:r>
        <w:fldChar w:fldCharType="separate"/>
      </w:r>
      <w:r>
        <w:rPr>
          <w:noProof/>
        </w:rPr>
        <w:t>Specify further details here</w:t>
      </w:r>
      <w:r>
        <w:fldChar w:fldCharType="end"/>
      </w:r>
      <w:bookmarkEnd w:id="3"/>
    </w:p>
    <w:p w:rsidR="00E60529" w:rsidRPr="00881F93" w:rsidRDefault="005C3AE7" w:rsidP="001B7CF3">
      <w:pPr>
        <w:pStyle w:val="Subtitle"/>
        <w:spacing w:before="0"/>
      </w:pPr>
      <w:r>
        <w:t xml:space="preserve">PART 6c – </w:t>
      </w:r>
      <w:r w:rsidR="00E60529" w:rsidRPr="00881F93">
        <w:t>INFORMATION ABOUT THE COMPARATOR</w:t>
      </w:r>
      <w:r w:rsidR="00A83EC6" w:rsidRPr="00881F93">
        <w:t>(S)</w:t>
      </w:r>
    </w:p>
    <w:p w:rsidR="00E60529" w:rsidRPr="00154B00" w:rsidRDefault="00A83EC6" w:rsidP="001B7CF3">
      <w:pPr>
        <w:pStyle w:val="Heading2"/>
        <w:spacing w:before="0"/>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BE35F0" w:rsidRDefault="00BE35F0" w:rsidP="001B7CF3">
      <w:pPr>
        <w:spacing w:before="0"/>
        <w:ind w:left="426"/>
      </w:pPr>
      <w:r>
        <w:t xml:space="preserve">As agreed by PASC in December 2014, the comparator for NIPT is current combined FTS (i.e. biochemical and NT screening without NIPT).  However, NIPT would not replace current combined FTS (see paragraph below), but would augment it, either by being offered subsequently after triage following FTS for women at intermediate risk (contingent testing model) or additional to current NT ultrasound or FTS biochemistry which would be used to detect conditions other than </w:t>
      </w:r>
      <w:proofErr w:type="spellStart"/>
      <w:r>
        <w:t>fetal</w:t>
      </w:r>
      <w:proofErr w:type="spellEnd"/>
      <w:r>
        <w:t xml:space="preserve"> trisomies 21, 18 and 13 (primary testing model). </w:t>
      </w:r>
    </w:p>
    <w:p w:rsidR="00BE35F0" w:rsidRDefault="00BE35F0" w:rsidP="001B7CF3">
      <w:pPr>
        <w:spacing w:before="0"/>
        <w:ind w:left="426"/>
      </w:pPr>
      <w:r>
        <w:t xml:space="preserve">Theoretically, NIPT can be used instead of FTS for the detection of </w:t>
      </w:r>
      <w:proofErr w:type="spellStart"/>
      <w:r>
        <w:t>fetal</w:t>
      </w:r>
      <w:proofErr w:type="spellEnd"/>
      <w:r>
        <w:t xml:space="preserve"> trisomies 21, 18, or 13.  However, under either testing model, first trimester biochemistry would also still be of use to determine the risk for other obstetric conditions. </w:t>
      </w:r>
      <w:proofErr w:type="spellStart"/>
      <w:r>
        <w:t>PaPP</w:t>
      </w:r>
      <w:proofErr w:type="spellEnd"/>
      <w:r>
        <w:t xml:space="preserve">-A levels for example can help to determine the risk of </w:t>
      </w:r>
      <w:proofErr w:type="spellStart"/>
      <w:r>
        <w:t>fetal</w:t>
      </w:r>
      <w:proofErr w:type="spellEnd"/>
      <w:r>
        <w:t xml:space="preserve"> loss, preterm birth, intrauterine growth restriction and pre-eclampsia, and the detection of aneuploidies other than trisomies 21, 18 and 13 (outside the scope of this application for NIPT).  Ultrasound is still advised for correct dating, diagnosis of multiple pregnancies, and </w:t>
      </w:r>
      <w:proofErr w:type="spellStart"/>
      <w:r>
        <w:t>chorionicity</w:t>
      </w:r>
      <w:proofErr w:type="spellEnd"/>
      <w:r>
        <w:t xml:space="preserve"> and anatomy assessment (</w:t>
      </w:r>
      <w:proofErr w:type="spellStart"/>
      <w:r>
        <w:t>fetal</w:t>
      </w:r>
      <w:proofErr w:type="spellEnd"/>
      <w:r>
        <w:t xml:space="preserve"> anomalies and physical deformities).</w:t>
      </w:r>
    </w:p>
    <w:p w:rsidR="00E60529" w:rsidRPr="00154B00" w:rsidRDefault="00BE35F0" w:rsidP="001B7CF3">
      <w:pPr>
        <w:spacing w:before="0"/>
        <w:ind w:left="426"/>
        <w:rPr>
          <w:szCs w:val="20"/>
        </w:rPr>
      </w:pPr>
      <w:r>
        <w:t>The reference standard is CVS or amniocentesis, which provide confirmatory diagnosis following FTS or NIPT, but with an increased cost and associated risk of miscarriage.</w:t>
      </w:r>
    </w:p>
    <w:p w:rsidR="00757232" w:rsidRDefault="00AF5D1E" w:rsidP="001B7CF3">
      <w:pPr>
        <w:pStyle w:val="Heading2"/>
        <w:spacing w:before="0"/>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rsidR="006A1038" w:rsidRDefault="00BE35F0" w:rsidP="001B7CF3">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6A1038">
        <w:rPr>
          <w:szCs w:val="20"/>
        </w:rPr>
        <w:t xml:space="preserve"> Yes (please provide all relevant MBS item numbers below)</w:t>
      </w:r>
    </w:p>
    <w:p w:rsidR="000159B9" w:rsidRDefault="006A1038" w:rsidP="001B7CF3">
      <w:pPr>
        <w:spacing w:before="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50F6F">
        <w:rPr>
          <w:szCs w:val="20"/>
        </w:rPr>
      </w:r>
      <w:r w:rsidR="00750F6F">
        <w:rPr>
          <w:szCs w:val="20"/>
        </w:rPr>
        <w:fldChar w:fldCharType="separate"/>
      </w:r>
      <w:r w:rsidRPr="00753C44">
        <w:rPr>
          <w:szCs w:val="20"/>
        </w:rPr>
        <w:fldChar w:fldCharType="end"/>
      </w:r>
      <w:r>
        <w:rPr>
          <w:szCs w:val="20"/>
        </w:rPr>
        <w:t xml:space="preserve"> No  </w:t>
      </w:r>
    </w:p>
    <w:p w:rsidR="00BE35F0" w:rsidRDefault="00BE35F0" w:rsidP="001B7CF3">
      <w:pPr>
        <w:spacing w:before="0"/>
        <w:ind w:left="426"/>
      </w:pPr>
      <w:r>
        <w:t>The MBS item numbers relevant to the comparator (FTS) are:</w:t>
      </w:r>
    </w:p>
    <w:p w:rsidR="00BE35F0" w:rsidRDefault="00BE35F0" w:rsidP="001B7CF3">
      <w:pPr>
        <w:spacing w:before="0"/>
        <w:ind w:left="426"/>
      </w:pPr>
      <w:r>
        <w:t>•</w:t>
      </w:r>
      <w:r>
        <w:tab/>
        <w:t xml:space="preserve">NT </w:t>
      </w:r>
      <w:proofErr w:type="gramStart"/>
      <w:r>
        <w:t>scan</w:t>
      </w:r>
      <w:proofErr w:type="gramEnd"/>
      <w:r>
        <w:t xml:space="preserve"> (MBS Item 55700)</w:t>
      </w:r>
    </w:p>
    <w:p w:rsidR="000159B9" w:rsidRPr="00154B00" w:rsidRDefault="00BE35F0" w:rsidP="001B7CF3">
      <w:pPr>
        <w:spacing w:before="0"/>
        <w:ind w:left="426"/>
        <w:rPr>
          <w:szCs w:val="20"/>
        </w:rPr>
      </w:pPr>
      <w:r>
        <w:t>•</w:t>
      </w:r>
      <w:r>
        <w:tab/>
        <w:t>First trimester biochemistry (MBS Item 66750)</w:t>
      </w:r>
    </w:p>
    <w:p w:rsidR="00BE35F0" w:rsidRDefault="00BE35F0" w:rsidP="001B7CF3">
      <w:pPr>
        <w:spacing w:before="0"/>
        <w:rPr>
          <w:b/>
          <w:szCs w:val="20"/>
        </w:rPr>
      </w:pPr>
      <w:r>
        <w:br w:type="page"/>
      </w:r>
    </w:p>
    <w:p w:rsidR="00AF5D1E" w:rsidRPr="00154B00" w:rsidRDefault="00AF5D1E" w:rsidP="001B7CF3">
      <w:pPr>
        <w:pStyle w:val="Heading2"/>
        <w:spacing w:before="0"/>
      </w:pPr>
      <w:r w:rsidRPr="00154B00">
        <w:lastRenderedPageBreak/>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rsidR="00BE35F0" w:rsidRDefault="00BE35F0" w:rsidP="001B7CF3">
      <w:pPr>
        <w:spacing w:before="0"/>
        <w:ind w:left="426"/>
      </w:pPr>
      <w:r>
        <w:t>Currently, following FTS (without NIPT), women deemed to be at an increased risk (≥1:300) of trisomies are recommended to undergo invasive diagnostic testing (Diagram 1 - Attachment 2).  Women not deemed to be at an increased risk generally are not recommended any further testing.</w:t>
      </w:r>
    </w:p>
    <w:p w:rsidR="00BE35F0" w:rsidRDefault="00BE35F0" w:rsidP="001B7CF3">
      <w:pPr>
        <w:spacing w:before="0"/>
        <w:ind w:left="426"/>
      </w:pPr>
      <w:r>
        <w:t xml:space="preserve">Women recommended and opting to undergo diagnostic testing receive pre-test counselling and information, and undergo either CVS or amniocentesis.  There is a risk of miscarriage associated with either procedure.  Women diagnosed with having a </w:t>
      </w:r>
      <w:proofErr w:type="spellStart"/>
      <w:r>
        <w:t>fetus</w:t>
      </w:r>
      <w:proofErr w:type="spellEnd"/>
      <w:r>
        <w:t xml:space="preserve"> affected by trisomy based on invasive testing, are offered further counselling and termination of pregnancy.  Women who do not opt for termination would require further support to assist with managing the </w:t>
      </w:r>
      <w:proofErr w:type="spellStart"/>
      <w:r>
        <w:t>trisomic</w:t>
      </w:r>
      <w:proofErr w:type="spellEnd"/>
      <w:r>
        <w:t xml:space="preserve"> birth (as would false-negatives from the FTS).</w:t>
      </w:r>
    </w:p>
    <w:p w:rsidR="003433D1" w:rsidRDefault="00BE35F0" w:rsidP="001B7CF3">
      <w:pPr>
        <w:spacing w:before="0"/>
        <w:ind w:left="426"/>
        <w:rPr>
          <w:b/>
          <w:szCs w:val="20"/>
        </w:rPr>
      </w:pPr>
      <w:r>
        <w:t xml:space="preserve">With such a program, the sensitivity is ~80-90%, but the specificity is only 95-97%. When applying this performance to the average risk of Down </w:t>
      </w:r>
      <w:proofErr w:type="gramStart"/>
      <w:r>
        <w:t>Syndrome</w:t>
      </w:r>
      <w:proofErr w:type="gramEnd"/>
      <w:r>
        <w:t xml:space="preserve"> in the Australian pregnancy population we achieve a positive predictive value of only 3-5%. As a result, many invasive diagnostic tests are required to diagnose each affected pregnancy, and these tests carry the risk of procedure-related loss of chromosomally normal </w:t>
      </w:r>
      <w:proofErr w:type="spellStart"/>
      <w:r>
        <w:t>fetuses</w:t>
      </w:r>
      <w:proofErr w:type="spellEnd"/>
      <w:r>
        <w:t>.</w:t>
      </w:r>
    </w:p>
    <w:p w:rsidR="00A83EC6" w:rsidRPr="00154B00" w:rsidRDefault="005C3AE7" w:rsidP="001B7CF3">
      <w:pPr>
        <w:pStyle w:val="Heading2"/>
        <w:spacing w:before="0"/>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1B29A1" w:rsidP="001B7CF3">
      <w:pPr>
        <w:spacing w:before="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750F6F">
        <w:rPr>
          <w:szCs w:val="20"/>
        </w:rPr>
      </w:r>
      <w:r w:rsidR="00750F6F">
        <w:rPr>
          <w:szCs w:val="20"/>
        </w:rPr>
        <w:fldChar w:fldCharType="separate"/>
      </w:r>
      <w:r w:rsidRPr="00753C44">
        <w:rPr>
          <w:szCs w:val="20"/>
        </w:rPr>
        <w:fldChar w:fldCharType="end"/>
      </w:r>
      <w:r>
        <w:rPr>
          <w:szCs w:val="20"/>
        </w:rPr>
        <w:t xml:space="preserve"> Yes </w:t>
      </w:r>
    </w:p>
    <w:p w:rsidR="001B29A1" w:rsidRDefault="00BE35F0" w:rsidP="001B7CF3">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1B29A1">
        <w:rPr>
          <w:szCs w:val="20"/>
        </w:rPr>
        <w:t xml:space="preserve"> No  </w:t>
      </w:r>
    </w:p>
    <w:p w:rsidR="00E70D86" w:rsidRPr="00154B00" w:rsidRDefault="00E70D86" w:rsidP="001B7CF3">
      <w:pPr>
        <w:pStyle w:val="Heading2"/>
        <w:numPr>
          <w:ilvl w:val="0"/>
          <w:numId w:val="30"/>
        </w:numPr>
        <w:spacing w:before="0"/>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rsidR="00A96B5E" w:rsidRDefault="00A96B5E" w:rsidP="001B7CF3">
      <w:pPr>
        <w:spacing w:before="0"/>
        <w:ind w:left="426"/>
      </w:pPr>
      <w:r>
        <w:t>It is expected that with the introduction of NIPT, current combined FTS would continue to be performed.</w:t>
      </w:r>
    </w:p>
    <w:p w:rsidR="00A96B5E" w:rsidRDefault="00A96B5E" w:rsidP="001B7CF3">
      <w:pPr>
        <w:spacing w:before="0"/>
        <w:ind w:left="426"/>
      </w:pPr>
      <w:r>
        <w:t xml:space="preserve">Although NIPT has the potential to replace FTS, it is expected that current biochemistry screening would continue to be performed for the detection of other conditions outside the scope of this NIPT application. Similarly, NT ultrasound would still be required for correct dating, diagnosis of multiple pregnancies, and </w:t>
      </w:r>
      <w:proofErr w:type="spellStart"/>
      <w:r>
        <w:t>chorionicity</w:t>
      </w:r>
      <w:proofErr w:type="spellEnd"/>
      <w:r>
        <w:t xml:space="preserve"> and anatomy assessment (</w:t>
      </w:r>
      <w:proofErr w:type="spellStart"/>
      <w:r>
        <w:t>fetal</w:t>
      </w:r>
      <w:proofErr w:type="spellEnd"/>
      <w:r>
        <w:t xml:space="preserve"> anomalies and physical deformities).  Of note RANZCOG (2015) recognise the value of NIPT as an optional test alongside current FTS.</w:t>
      </w:r>
    </w:p>
    <w:p w:rsidR="003433D1" w:rsidRPr="001B29A1" w:rsidRDefault="00A96B5E" w:rsidP="001B7CF3">
      <w:pPr>
        <w:spacing w:before="0"/>
        <w:ind w:left="426"/>
        <w:rPr>
          <w:szCs w:val="20"/>
        </w:rPr>
      </w:pPr>
      <w:r>
        <w:t>The introduction of NIPT within a contingent or primary testing model would reduce the number of invasive tests, and associated risk of miscarriage.</w:t>
      </w:r>
    </w:p>
    <w:p w:rsidR="0054594B" w:rsidRPr="00154B00" w:rsidRDefault="009C03FB" w:rsidP="001B7CF3">
      <w:pPr>
        <w:pStyle w:val="Heading2"/>
        <w:spacing w:before="0"/>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A96B5E" w:rsidRDefault="00A96B5E" w:rsidP="001B7CF3">
      <w:pPr>
        <w:spacing w:before="0"/>
        <w:ind w:left="426"/>
      </w:pPr>
      <w:r>
        <w:t xml:space="preserve">The proposed clinical management pathway with NIPT (current pathway with NIPT introduced) is presented in the Diagram 2 and 3 (Attachment 2) and below. </w:t>
      </w:r>
    </w:p>
    <w:p w:rsidR="00A96B5E" w:rsidRDefault="00A96B5E" w:rsidP="001B7CF3">
      <w:pPr>
        <w:spacing w:before="0"/>
        <w:ind w:left="426"/>
      </w:pPr>
      <w:r>
        <w:t>In the contingent testing model, NIPT is offered prior to invasive diagnostic testing with CVS or amniocentesis for women determined by FTS to be at ‘intermediate risk’.  This would reduce the number of invasive procedures and associated risks of miscarriage, whilst providing a similarly and more accurate diagnosis of T21, T18 or T13.</w:t>
      </w:r>
    </w:p>
    <w:p w:rsidR="00A96B5E" w:rsidRDefault="00A96B5E" w:rsidP="001B7CF3">
      <w:pPr>
        <w:spacing w:before="0"/>
        <w:ind w:left="426"/>
      </w:pPr>
      <w:r>
        <w:t>Women indicated by NIPT to be at ‘high risk’ would be offered invasive confirmatory testing (CVS or amniocentesis).  Therefore, fewer of the following invasive tests would be performed overall:</w:t>
      </w:r>
    </w:p>
    <w:p w:rsidR="00A96B5E" w:rsidRDefault="00A96B5E" w:rsidP="001B7CF3">
      <w:pPr>
        <w:pStyle w:val="ListParagraph"/>
        <w:spacing w:before="0"/>
        <w:ind w:left="426"/>
      </w:pPr>
      <w:r>
        <w:t>•</w:t>
      </w:r>
      <w:r>
        <w:tab/>
        <w:t>Chorionic villus sampling (MBS Item 16603)</w:t>
      </w:r>
    </w:p>
    <w:p w:rsidR="00A96B5E" w:rsidRDefault="00A96B5E" w:rsidP="001B7CF3">
      <w:pPr>
        <w:pStyle w:val="ListParagraph"/>
        <w:spacing w:before="0"/>
        <w:ind w:left="426"/>
      </w:pPr>
      <w:r>
        <w:t>•</w:t>
      </w:r>
      <w:r>
        <w:tab/>
        <w:t>Amniocentesis (MBS Item 16600)</w:t>
      </w:r>
    </w:p>
    <w:p w:rsidR="00A96B5E" w:rsidRDefault="00A96B5E" w:rsidP="001B7CF3">
      <w:pPr>
        <w:pStyle w:val="ListParagraph"/>
        <w:spacing w:before="0"/>
        <w:ind w:left="426"/>
      </w:pPr>
      <w:r>
        <w:t>•</w:t>
      </w:r>
      <w:r>
        <w:tab/>
        <w:t>Consultation (MBS Item 104)</w:t>
      </w:r>
    </w:p>
    <w:p w:rsidR="00A96B5E" w:rsidRDefault="00A96B5E" w:rsidP="001B7CF3">
      <w:pPr>
        <w:pStyle w:val="ListParagraph"/>
        <w:spacing w:before="0"/>
        <w:ind w:left="426"/>
      </w:pPr>
      <w:r>
        <w:t>•</w:t>
      </w:r>
      <w:r>
        <w:tab/>
      </w:r>
      <w:proofErr w:type="spellStart"/>
      <w:r>
        <w:t>Cytogenetics</w:t>
      </w:r>
      <w:proofErr w:type="spellEnd"/>
      <w:r>
        <w:t>/karyotyping (MBS Item 73287)</w:t>
      </w:r>
    </w:p>
    <w:p w:rsidR="00A96B5E" w:rsidRDefault="00A96B5E" w:rsidP="001B7CF3">
      <w:pPr>
        <w:spacing w:before="0"/>
        <w:ind w:left="426"/>
      </w:pPr>
      <w:r>
        <w:lastRenderedPageBreak/>
        <w:t>Notably, Robson et al (2015) report that following the introduction of NIPT, the number of amniocenteses performed in Australia fell by 51% between the first quarter of 2013 and the final quarter of 2014 (p &lt; 0.005), and the total number of CVS fell by 37% over the same period (p &lt; 0.005).  This represents the largest annual decrease in invasive procedures during the previous 20 years (e.g., compared to the introduction of combined FTS circa 2000).</w:t>
      </w:r>
    </w:p>
    <w:p w:rsidR="00A96B5E" w:rsidRDefault="00A96B5E" w:rsidP="001B7CF3">
      <w:pPr>
        <w:spacing w:before="0"/>
        <w:ind w:left="426"/>
      </w:pPr>
      <w:r>
        <w:t>Under a contingent testing model (Diagram 2 – Attachment 2), there may be an increased demand for genetic counselling (not funded under the MBS) among women recommended NIPT due to an ‘intermediate risk’ result with FTS.  However, NIPT would reduce the demand for pre/post-invasive test counselling.  The net impact on genetic counselling is ambiguous and would be determined in the Assessment.</w:t>
      </w:r>
    </w:p>
    <w:p w:rsidR="00A96B5E" w:rsidRDefault="00A96B5E" w:rsidP="001B7CF3">
      <w:pPr>
        <w:spacing w:before="0"/>
        <w:ind w:left="426"/>
      </w:pPr>
      <w:r>
        <w:t xml:space="preserve">Under a primary screening model (Diagram 3 – Attachment 2), NIPT due to its superior performance in detecting trisomies 21, 18 and 13 would be performed as first-line test. However it is not expected to replace either NT ultrasound or biochemistry screening performed as part of current FTS, since those tests are required to detect other </w:t>
      </w:r>
      <w:proofErr w:type="spellStart"/>
      <w:r>
        <w:t>fetal</w:t>
      </w:r>
      <w:proofErr w:type="spellEnd"/>
      <w:r>
        <w:t xml:space="preserve"> conditions, including </w:t>
      </w:r>
      <w:proofErr w:type="spellStart"/>
      <w:r>
        <w:t>fetal</w:t>
      </w:r>
      <w:proofErr w:type="spellEnd"/>
      <w:r>
        <w:t xml:space="preserve"> growth restriction, preeclampsia and rare genetic syndromes (see responses to questions 26, 31 and 38).   However, with first line testing by NIPT there may nevertheless be a reduction in traditional FTS for two reasons. </w:t>
      </w:r>
    </w:p>
    <w:p w:rsidR="00A96B5E" w:rsidRDefault="00A96B5E" w:rsidP="001B7CF3">
      <w:pPr>
        <w:spacing w:before="0"/>
        <w:ind w:left="426"/>
      </w:pPr>
      <w:r>
        <w:t>First, traditional screening tests have several limitations:</w:t>
      </w:r>
    </w:p>
    <w:p w:rsidR="00A96B5E" w:rsidRDefault="00A96B5E" w:rsidP="001B7CF3">
      <w:pPr>
        <w:pStyle w:val="ListParagraph"/>
        <w:spacing w:before="0"/>
        <w:ind w:left="426"/>
      </w:pPr>
      <w:r>
        <w:t>•</w:t>
      </w:r>
      <w:r>
        <w:tab/>
        <w:t>Serum proteins and ultrasound use indirect and non-specific markers to assess trisomy risk.</w:t>
      </w:r>
    </w:p>
    <w:p w:rsidR="00A96B5E" w:rsidRDefault="00A96B5E" w:rsidP="001B7CF3">
      <w:pPr>
        <w:pStyle w:val="ListParagraph"/>
        <w:spacing w:before="0"/>
        <w:ind w:left="426"/>
      </w:pPr>
      <w:r>
        <w:t>•</w:t>
      </w:r>
      <w:r>
        <w:tab/>
        <w:t>Measurements must be taken during specific time periods (first trimester bloods and NT between 11-13 weeks and second trimester bloods between 15-19 weeks).</w:t>
      </w:r>
    </w:p>
    <w:p w:rsidR="00A96B5E" w:rsidRDefault="00A96B5E" w:rsidP="001B7CF3">
      <w:pPr>
        <w:pStyle w:val="ListParagraph"/>
        <w:spacing w:before="0"/>
        <w:ind w:left="426"/>
      </w:pPr>
      <w:r>
        <w:t>•</w:t>
      </w:r>
      <w:r>
        <w:tab/>
        <w:t>Ultrasound assessment typically requires referral to a specialist.</w:t>
      </w:r>
    </w:p>
    <w:p w:rsidR="00A96B5E" w:rsidRDefault="00A96B5E" w:rsidP="001B7CF3">
      <w:pPr>
        <w:pStyle w:val="ListParagraph"/>
        <w:spacing w:before="0"/>
        <w:ind w:left="426"/>
      </w:pPr>
      <w:r>
        <w:t>•</w:t>
      </w:r>
      <w:r>
        <w:tab/>
        <w:t>These screening tests produce false positive rates of up to 5% for trisomies 21, 18 and 13 and fail to identify up to 30% of Down syndrome cases.</w:t>
      </w:r>
    </w:p>
    <w:p w:rsidR="00A96B5E" w:rsidRDefault="00A96B5E" w:rsidP="001B7CF3">
      <w:pPr>
        <w:spacing w:before="0"/>
        <w:ind w:left="426"/>
      </w:pPr>
      <w:r>
        <w:t>Second, NT screening requires a skilled user to provide an accurate scan, and there is variation in the experience of operators.  In some regional/rural areas, access is limited or not available.  If a high quality NT scan is not readily accessible, NIPT may be used instead.</w:t>
      </w:r>
    </w:p>
    <w:p w:rsidR="00A96B5E" w:rsidRDefault="00A96B5E" w:rsidP="001B7CF3">
      <w:pPr>
        <w:pStyle w:val="ListParagraph"/>
        <w:spacing w:before="0"/>
        <w:ind w:left="426"/>
      </w:pPr>
      <w:r>
        <w:t>NIPT may therefore reduce the utilisation of:</w:t>
      </w:r>
    </w:p>
    <w:p w:rsidR="00A96B5E" w:rsidRDefault="00A96B5E" w:rsidP="001B7CF3">
      <w:pPr>
        <w:pStyle w:val="ListParagraph"/>
        <w:spacing w:before="0"/>
        <w:ind w:left="426"/>
      </w:pPr>
      <w:r>
        <w:t>•</w:t>
      </w:r>
      <w:r>
        <w:tab/>
        <w:t>First trimester biochemistry (MBS Item 66750)</w:t>
      </w:r>
    </w:p>
    <w:p w:rsidR="00A96B5E" w:rsidRDefault="00A96B5E" w:rsidP="001B7CF3">
      <w:pPr>
        <w:pStyle w:val="ListParagraph"/>
        <w:spacing w:before="0"/>
        <w:ind w:left="426"/>
      </w:pPr>
      <w:r>
        <w:t>•</w:t>
      </w:r>
      <w:r>
        <w:tab/>
        <w:t>Second trimester biochemistry (MBS item 66751)</w:t>
      </w:r>
    </w:p>
    <w:p w:rsidR="00A96B5E" w:rsidRDefault="00A96B5E" w:rsidP="001B7CF3">
      <w:pPr>
        <w:pStyle w:val="ListParagraph"/>
        <w:spacing w:before="0"/>
        <w:ind w:left="426"/>
      </w:pPr>
      <w:r>
        <w:t>•</w:t>
      </w:r>
      <w:r>
        <w:tab/>
        <w:t xml:space="preserve">NT </w:t>
      </w:r>
      <w:proofErr w:type="gramStart"/>
      <w:r>
        <w:t>scan</w:t>
      </w:r>
      <w:proofErr w:type="gramEnd"/>
      <w:r>
        <w:t xml:space="preserve"> (MBS Item 55700).</w:t>
      </w:r>
    </w:p>
    <w:p w:rsidR="001B29A1" w:rsidRDefault="00A96B5E" w:rsidP="001B7CF3">
      <w:pPr>
        <w:spacing w:before="0"/>
        <w:ind w:left="426"/>
        <w:rPr>
          <w:b/>
          <w:i/>
          <w:szCs w:val="20"/>
          <w:u w:val="single"/>
        </w:rPr>
      </w:pPr>
      <w:r>
        <w:t>Under a primary testing model, the number of genetic counselling consultations is expected to decrease in line with the demand for invasive testing.  Pre/post-test counselling for NIPT is expected to be combined with FTS counselling.</w:t>
      </w:r>
    </w:p>
    <w:p w:rsidR="00DF0D47" w:rsidRPr="00881F93" w:rsidRDefault="005C3AE7" w:rsidP="001B7CF3">
      <w:pPr>
        <w:pStyle w:val="Subtitle"/>
        <w:spacing w:before="0"/>
      </w:pPr>
      <w:r>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1B7CF3">
      <w:pPr>
        <w:pStyle w:val="Heading2"/>
        <w:spacing w:before="0"/>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272799" w:rsidRDefault="00272799" w:rsidP="001B7CF3">
      <w:pPr>
        <w:spacing w:before="0"/>
        <w:ind w:left="426"/>
        <w:rPr>
          <w:szCs w:val="20"/>
        </w:rPr>
      </w:pPr>
      <w:r w:rsidRPr="00877E1D">
        <w:rPr>
          <w:szCs w:val="20"/>
        </w:rPr>
        <w:t>Traditional first-line screening for Down syndrome involves the measurement of serum proteins via a blood draw and ultrasound assessment.  The limitation</w:t>
      </w:r>
      <w:r>
        <w:rPr>
          <w:szCs w:val="20"/>
        </w:rPr>
        <w:t>s</w:t>
      </w:r>
      <w:r w:rsidRPr="00877E1D">
        <w:rPr>
          <w:szCs w:val="20"/>
        </w:rPr>
        <w:t xml:space="preserve"> of serum proteins and ultrasound assessment </w:t>
      </w:r>
      <w:r>
        <w:rPr>
          <w:szCs w:val="20"/>
        </w:rPr>
        <w:t>are outlined in the response to question 42 above.</w:t>
      </w:r>
    </w:p>
    <w:p w:rsidR="00272799" w:rsidRPr="00877E1D" w:rsidRDefault="00272799" w:rsidP="001B7CF3">
      <w:pPr>
        <w:spacing w:before="0"/>
        <w:ind w:left="426"/>
        <w:rPr>
          <w:szCs w:val="20"/>
        </w:rPr>
      </w:pPr>
      <w:r>
        <w:rPr>
          <w:szCs w:val="20"/>
        </w:rPr>
        <w:t>T</w:t>
      </w:r>
      <w:r w:rsidRPr="00877E1D">
        <w:rPr>
          <w:szCs w:val="20"/>
        </w:rPr>
        <w:t xml:space="preserve">hese screening tests </w:t>
      </w:r>
      <w:r>
        <w:rPr>
          <w:szCs w:val="20"/>
        </w:rPr>
        <w:t xml:space="preserve">also </w:t>
      </w:r>
      <w:r w:rsidRPr="00877E1D">
        <w:rPr>
          <w:szCs w:val="20"/>
        </w:rPr>
        <w:t xml:space="preserve">produce false positive rates </w:t>
      </w:r>
      <w:r>
        <w:rPr>
          <w:szCs w:val="20"/>
        </w:rPr>
        <w:t xml:space="preserve">of up to </w:t>
      </w:r>
      <w:r w:rsidRPr="00877E1D">
        <w:rPr>
          <w:szCs w:val="20"/>
        </w:rPr>
        <w:t xml:space="preserve">5% for potential chromosome conditions and fail to identify </w:t>
      </w:r>
      <w:r>
        <w:rPr>
          <w:szCs w:val="20"/>
        </w:rPr>
        <w:t>10-</w:t>
      </w:r>
      <w:r w:rsidRPr="00877E1D">
        <w:rPr>
          <w:szCs w:val="20"/>
        </w:rPr>
        <w:t xml:space="preserve">30% of Down syndrome </w:t>
      </w:r>
      <w:proofErr w:type="spellStart"/>
      <w:r w:rsidRPr="00877E1D">
        <w:rPr>
          <w:szCs w:val="20"/>
        </w:rPr>
        <w:t>fetuses</w:t>
      </w:r>
      <w:proofErr w:type="spellEnd"/>
      <w:r w:rsidRPr="00BC2C43">
        <w:rPr>
          <w:szCs w:val="20"/>
        </w:rPr>
        <w:t>.  This means 1 in 20 women are given a false positive result which leads to maternal anxiety and unnecessary further testing with invasive procedures such as amniocentesis that can cause miscarriage</w:t>
      </w:r>
      <w:r>
        <w:rPr>
          <w:szCs w:val="20"/>
        </w:rPr>
        <w:t xml:space="preserve"> (see below)</w:t>
      </w:r>
      <w:r w:rsidRPr="00BC2C43">
        <w:rPr>
          <w:szCs w:val="20"/>
        </w:rPr>
        <w:t xml:space="preserve">. </w:t>
      </w:r>
    </w:p>
    <w:p w:rsidR="001B7CF3" w:rsidRDefault="001B7CF3">
      <w:pPr>
        <w:spacing w:before="0" w:after="200" w:line="276" w:lineRule="auto"/>
        <w:rPr>
          <w:szCs w:val="20"/>
        </w:rPr>
      </w:pPr>
      <w:r>
        <w:rPr>
          <w:szCs w:val="20"/>
        </w:rPr>
        <w:br w:type="page"/>
      </w:r>
    </w:p>
    <w:p w:rsidR="00272799" w:rsidRDefault="00272799" w:rsidP="001B7CF3">
      <w:pPr>
        <w:spacing w:before="0"/>
        <w:ind w:left="426"/>
        <w:rPr>
          <w:szCs w:val="20"/>
        </w:rPr>
      </w:pPr>
      <w:r>
        <w:rPr>
          <w:szCs w:val="20"/>
        </w:rPr>
        <w:lastRenderedPageBreak/>
        <w:t>I</w:t>
      </w:r>
      <w:r w:rsidRPr="00877E1D">
        <w:rPr>
          <w:szCs w:val="20"/>
        </w:rPr>
        <w:t>nvasive diagnostic tests</w:t>
      </w:r>
      <w:r>
        <w:rPr>
          <w:szCs w:val="20"/>
        </w:rPr>
        <w:t xml:space="preserve"> (CVS</w:t>
      </w:r>
      <w:r w:rsidRPr="00877E1D">
        <w:rPr>
          <w:szCs w:val="20"/>
        </w:rPr>
        <w:t>, amniocentesis</w:t>
      </w:r>
      <w:r>
        <w:rPr>
          <w:szCs w:val="20"/>
        </w:rPr>
        <w:t>)</w:t>
      </w:r>
      <w:r w:rsidRPr="00877E1D">
        <w:rPr>
          <w:szCs w:val="20"/>
        </w:rPr>
        <w:t xml:space="preserve"> are typically offered to women who receive positive </w:t>
      </w:r>
      <w:r>
        <w:rPr>
          <w:szCs w:val="20"/>
        </w:rPr>
        <w:t xml:space="preserve">FTS </w:t>
      </w:r>
      <w:r w:rsidRPr="00877E1D">
        <w:rPr>
          <w:szCs w:val="20"/>
        </w:rPr>
        <w:t xml:space="preserve">screening results </w:t>
      </w:r>
      <w:r>
        <w:rPr>
          <w:szCs w:val="20"/>
        </w:rPr>
        <w:t>(</w:t>
      </w:r>
      <w:r w:rsidRPr="00877E1D">
        <w:rPr>
          <w:szCs w:val="20"/>
        </w:rPr>
        <w:t>including false positives</w:t>
      </w:r>
      <w:r>
        <w:rPr>
          <w:szCs w:val="20"/>
        </w:rPr>
        <w:t>)</w:t>
      </w:r>
      <w:r w:rsidRPr="00877E1D">
        <w:rPr>
          <w:szCs w:val="20"/>
        </w:rPr>
        <w:t xml:space="preserve"> and to women </w:t>
      </w:r>
      <w:r w:rsidRPr="00304D77">
        <w:rPr>
          <w:szCs w:val="20"/>
        </w:rPr>
        <w:t xml:space="preserve">with other </w:t>
      </w:r>
      <w:r>
        <w:rPr>
          <w:szCs w:val="20"/>
        </w:rPr>
        <w:t xml:space="preserve">‘high </w:t>
      </w:r>
      <w:r w:rsidRPr="00304D77">
        <w:rPr>
          <w:szCs w:val="20"/>
        </w:rPr>
        <w:t>risk</w:t>
      </w:r>
      <w:r>
        <w:rPr>
          <w:szCs w:val="20"/>
        </w:rPr>
        <w:t>’</w:t>
      </w:r>
      <w:r w:rsidRPr="00304D77">
        <w:rPr>
          <w:szCs w:val="20"/>
        </w:rPr>
        <w:t xml:space="preserve"> criteria (age ≥35 years, previous pregnancy with trisomy, etc.)</w:t>
      </w:r>
      <w:r w:rsidRPr="00877E1D">
        <w:rPr>
          <w:szCs w:val="20"/>
        </w:rPr>
        <w:t>.  While such tests provide confirmatory diagnosis, they are</w:t>
      </w:r>
      <w:r>
        <w:rPr>
          <w:szCs w:val="20"/>
        </w:rPr>
        <w:t xml:space="preserve"> highly</w:t>
      </w:r>
      <w:r w:rsidRPr="00877E1D">
        <w:rPr>
          <w:szCs w:val="20"/>
        </w:rPr>
        <w:t xml:space="preserve"> invasive and associated with</w:t>
      </w:r>
      <w:r>
        <w:rPr>
          <w:szCs w:val="20"/>
        </w:rPr>
        <w:t xml:space="preserve"> </w:t>
      </w:r>
      <w:r w:rsidRPr="00304D77">
        <w:rPr>
          <w:szCs w:val="20"/>
        </w:rPr>
        <w:t>a miscarriage risk</w:t>
      </w:r>
      <w:r>
        <w:rPr>
          <w:szCs w:val="20"/>
        </w:rPr>
        <w:t xml:space="preserve">, which varies </w:t>
      </w:r>
      <w:r w:rsidRPr="009C5A39">
        <w:rPr>
          <w:szCs w:val="20"/>
        </w:rPr>
        <w:t>depending on the skill of the operator and the number of procedures performed</w:t>
      </w:r>
      <w:r>
        <w:rPr>
          <w:szCs w:val="20"/>
        </w:rPr>
        <w:t xml:space="preserve">. </w:t>
      </w:r>
      <w:r w:rsidRPr="00304D77">
        <w:rPr>
          <w:szCs w:val="20"/>
        </w:rPr>
        <w:t xml:space="preserve"> </w:t>
      </w:r>
      <w:r>
        <w:rPr>
          <w:szCs w:val="20"/>
        </w:rPr>
        <w:t xml:space="preserve">Miscarriage risks </w:t>
      </w:r>
      <w:r w:rsidRPr="00304D77">
        <w:rPr>
          <w:szCs w:val="20"/>
        </w:rPr>
        <w:t>of up to 0.5% with amni</w:t>
      </w:r>
      <w:r>
        <w:rPr>
          <w:szCs w:val="20"/>
        </w:rPr>
        <w:t xml:space="preserve">ocentesis and up to 1% with CVS (additional to background miscarriage risks) have generally been reported, with more recent evidence suggesting </w:t>
      </w:r>
      <w:r w:rsidRPr="009C5A39">
        <w:rPr>
          <w:szCs w:val="20"/>
        </w:rPr>
        <w:t>weighted pooled</w:t>
      </w:r>
      <w:r>
        <w:rPr>
          <w:szCs w:val="20"/>
        </w:rPr>
        <w:t xml:space="preserve"> </w:t>
      </w:r>
      <w:r w:rsidRPr="009C5A39">
        <w:rPr>
          <w:szCs w:val="20"/>
        </w:rPr>
        <w:t>procedure-related risks of miscarriage for amniocentesis</w:t>
      </w:r>
      <w:r>
        <w:rPr>
          <w:szCs w:val="20"/>
        </w:rPr>
        <w:t xml:space="preserve"> and CVS of up to 0.11% and 0.22%, respectively (</w:t>
      </w:r>
      <w:proofErr w:type="spellStart"/>
      <w:r>
        <w:rPr>
          <w:szCs w:val="20"/>
        </w:rPr>
        <w:t>Avolekar</w:t>
      </w:r>
      <w:proofErr w:type="spellEnd"/>
      <w:r>
        <w:rPr>
          <w:szCs w:val="20"/>
        </w:rPr>
        <w:t xml:space="preserve"> et al 2016, </w:t>
      </w:r>
      <w:proofErr w:type="spellStart"/>
      <w:r>
        <w:rPr>
          <w:szCs w:val="20"/>
        </w:rPr>
        <w:t>Wulff</w:t>
      </w:r>
      <w:proofErr w:type="spellEnd"/>
      <w:r>
        <w:rPr>
          <w:szCs w:val="20"/>
        </w:rPr>
        <w:t xml:space="preserve"> et al 2016).</w:t>
      </w:r>
    </w:p>
    <w:p w:rsidR="00272799" w:rsidRPr="00877E1D" w:rsidRDefault="00272799" w:rsidP="001B7CF3">
      <w:pPr>
        <w:spacing w:before="0"/>
        <w:ind w:left="426"/>
        <w:rPr>
          <w:szCs w:val="20"/>
        </w:rPr>
      </w:pPr>
      <w:r>
        <w:rPr>
          <w:szCs w:val="20"/>
        </w:rPr>
        <w:t xml:space="preserve">Therefore, </w:t>
      </w:r>
      <w:r w:rsidRPr="00BC2C43">
        <w:rPr>
          <w:szCs w:val="20"/>
        </w:rPr>
        <w:t xml:space="preserve">15,000 women per year can be unnecessarily alarmed through a false positive result with traditional methods, and 150 normal foetuses </w:t>
      </w:r>
      <w:r>
        <w:rPr>
          <w:szCs w:val="20"/>
        </w:rPr>
        <w:t>potentially</w:t>
      </w:r>
      <w:r w:rsidRPr="00BC2C43">
        <w:rPr>
          <w:szCs w:val="20"/>
        </w:rPr>
        <w:t xml:space="preserve"> lost each year as a result of unnecessary invasiv</w:t>
      </w:r>
      <w:r>
        <w:rPr>
          <w:szCs w:val="20"/>
        </w:rPr>
        <w:t>e procedures (based on 300,000 pregnancies in Australia per year – see question 46).</w:t>
      </w:r>
      <w:r w:rsidRPr="00877E1D">
        <w:rPr>
          <w:szCs w:val="20"/>
        </w:rPr>
        <w:t xml:space="preserve">  </w:t>
      </w:r>
      <w:r w:rsidRPr="00304D77">
        <w:rPr>
          <w:szCs w:val="20"/>
        </w:rPr>
        <w:t xml:space="preserve">The potential benefits of NIPT </w:t>
      </w:r>
      <w:r>
        <w:rPr>
          <w:szCs w:val="20"/>
        </w:rPr>
        <w:t xml:space="preserve">are </w:t>
      </w:r>
      <w:r w:rsidRPr="00304D77">
        <w:rPr>
          <w:szCs w:val="20"/>
        </w:rPr>
        <w:t>in lowering the risk of miscarriage and healthcare costs by avoiding unnecessary i</w:t>
      </w:r>
      <w:r>
        <w:rPr>
          <w:szCs w:val="20"/>
        </w:rPr>
        <w:t xml:space="preserve">nvasive testing.  </w:t>
      </w:r>
    </w:p>
    <w:p w:rsidR="00272799" w:rsidRDefault="00272799" w:rsidP="001B7CF3">
      <w:pPr>
        <w:spacing w:before="0"/>
        <w:ind w:left="426"/>
        <w:rPr>
          <w:szCs w:val="20"/>
        </w:rPr>
      </w:pPr>
      <w:r w:rsidRPr="00877E1D">
        <w:rPr>
          <w:szCs w:val="20"/>
        </w:rPr>
        <w:t xml:space="preserve">The benefits of </w:t>
      </w:r>
      <w:r>
        <w:rPr>
          <w:szCs w:val="20"/>
        </w:rPr>
        <w:t xml:space="preserve">NIPT </w:t>
      </w:r>
      <w:r w:rsidRPr="00877E1D">
        <w:rPr>
          <w:szCs w:val="20"/>
        </w:rPr>
        <w:t xml:space="preserve">as compared to traditional </w:t>
      </w:r>
      <w:r>
        <w:rPr>
          <w:szCs w:val="20"/>
        </w:rPr>
        <w:t xml:space="preserve">FTS </w:t>
      </w:r>
      <w:r w:rsidRPr="00877E1D">
        <w:rPr>
          <w:szCs w:val="20"/>
        </w:rPr>
        <w:t>screening methods for D</w:t>
      </w:r>
      <w:r>
        <w:rPr>
          <w:szCs w:val="20"/>
        </w:rPr>
        <w:t xml:space="preserve">own syndrome are </w:t>
      </w:r>
      <w:r w:rsidRPr="00877E1D">
        <w:rPr>
          <w:szCs w:val="20"/>
        </w:rPr>
        <w:t>highlighted below</w:t>
      </w:r>
      <w:r>
        <w:rPr>
          <w:szCs w:val="20"/>
        </w:rPr>
        <w:t xml:space="preserve"> for the Harmony NIPT.</w:t>
      </w:r>
    </w:p>
    <w:tbl>
      <w:tblPr>
        <w:tblStyle w:val="TableGrid"/>
        <w:tblW w:w="8296" w:type="dxa"/>
        <w:jc w:val="center"/>
        <w:tblLook w:val="0420" w:firstRow="1" w:lastRow="0" w:firstColumn="0" w:lastColumn="0" w:noHBand="0" w:noVBand="1"/>
        <w:tblDescription w:val="Table of results for the Harmony trial, showing higher accuracy and lower false positive rates."/>
      </w:tblPr>
      <w:tblGrid>
        <w:gridCol w:w="1708"/>
        <w:gridCol w:w="3294"/>
        <w:gridCol w:w="3294"/>
      </w:tblGrid>
      <w:tr w:rsidR="00272799" w:rsidRPr="00BC2C43" w:rsidTr="001B7CF3">
        <w:trPr>
          <w:trHeight w:val="70"/>
          <w:tblHeader/>
          <w:jc w:val="center"/>
        </w:trPr>
        <w:tc>
          <w:tcPr>
            <w:tcW w:w="1708" w:type="dxa"/>
            <w:tcBorders>
              <w:top w:val="nil"/>
              <w:left w:val="nil"/>
              <w:bottom w:val="nil"/>
              <w:right w:val="nil"/>
            </w:tcBorders>
            <w:hideMark/>
          </w:tcPr>
          <w:p w:rsidR="00272799" w:rsidRPr="00BC2C43" w:rsidRDefault="00272799" w:rsidP="001B7CF3">
            <w:pPr>
              <w:spacing w:before="0"/>
              <w:ind w:left="540"/>
              <w:jc w:val="center"/>
              <w:rPr>
                <w:rFonts w:ascii="Calibri" w:hAnsi="Calibri"/>
                <w:sz w:val="18"/>
                <w:szCs w:val="18"/>
              </w:rPr>
            </w:pPr>
          </w:p>
        </w:tc>
        <w:tc>
          <w:tcPr>
            <w:tcW w:w="3294" w:type="dxa"/>
            <w:tcBorders>
              <w:top w:val="single" w:sz="4" w:space="0" w:color="FFFFFF" w:themeColor="background1"/>
              <w:left w:val="nil"/>
              <w:bottom w:val="single" w:sz="4" w:space="0" w:color="auto"/>
              <w:right w:val="single" w:sz="4" w:space="0" w:color="FFFFFF" w:themeColor="background1"/>
            </w:tcBorders>
            <w:shd w:val="clear" w:color="auto" w:fill="000000" w:themeFill="text1"/>
            <w:vAlign w:val="center"/>
            <w:hideMark/>
          </w:tcPr>
          <w:p w:rsidR="00272799" w:rsidRDefault="00272799" w:rsidP="001B7CF3">
            <w:pPr>
              <w:spacing w:before="0"/>
              <w:ind w:left="-108"/>
              <w:jc w:val="center"/>
              <w:rPr>
                <w:rFonts w:ascii="Calibri" w:hAnsi="Calibri"/>
                <w:b/>
                <w:sz w:val="18"/>
                <w:szCs w:val="18"/>
              </w:rPr>
            </w:pPr>
            <w:r>
              <w:rPr>
                <w:rFonts w:ascii="Calibri" w:hAnsi="Calibri"/>
                <w:b/>
                <w:sz w:val="18"/>
                <w:szCs w:val="18"/>
              </w:rPr>
              <w:t>NIPT</w:t>
            </w:r>
          </w:p>
          <w:p w:rsidR="00272799" w:rsidRPr="00BC2C43" w:rsidRDefault="00272799" w:rsidP="001B7CF3">
            <w:pPr>
              <w:spacing w:before="0"/>
              <w:ind w:left="-108"/>
              <w:jc w:val="center"/>
              <w:rPr>
                <w:rFonts w:ascii="Calibri" w:hAnsi="Calibri"/>
                <w:b/>
                <w:sz w:val="18"/>
                <w:szCs w:val="18"/>
              </w:rPr>
            </w:pPr>
            <w:r>
              <w:rPr>
                <w:rFonts w:ascii="Calibri" w:hAnsi="Calibri"/>
                <w:b/>
                <w:sz w:val="18"/>
                <w:szCs w:val="18"/>
              </w:rPr>
              <w:t>(Gil et al 2015, Mackie et al 2016, Taylor-Phillips et al 2016)</w:t>
            </w:r>
          </w:p>
        </w:tc>
        <w:tc>
          <w:tcPr>
            <w:tcW w:w="329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rsidR="00272799" w:rsidRDefault="00272799" w:rsidP="001B7CF3">
            <w:pPr>
              <w:tabs>
                <w:tab w:val="left" w:pos="3772"/>
              </w:tabs>
              <w:spacing w:before="0"/>
              <w:ind w:left="-126" w:right="140"/>
              <w:jc w:val="center"/>
              <w:rPr>
                <w:rFonts w:ascii="Calibri" w:hAnsi="Calibri"/>
                <w:b/>
                <w:bCs/>
                <w:sz w:val="18"/>
                <w:szCs w:val="18"/>
              </w:rPr>
            </w:pPr>
            <w:r w:rsidRPr="00BC2C43">
              <w:rPr>
                <w:rFonts w:ascii="Calibri" w:hAnsi="Calibri"/>
                <w:b/>
                <w:bCs/>
                <w:sz w:val="18"/>
                <w:szCs w:val="18"/>
              </w:rPr>
              <w:t xml:space="preserve">Traditional </w:t>
            </w:r>
            <w:r>
              <w:rPr>
                <w:rFonts w:ascii="Calibri" w:hAnsi="Calibri"/>
                <w:b/>
                <w:bCs/>
                <w:sz w:val="18"/>
                <w:szCs w:val="18"/>
              </w:rPr>
              <w:t>FTS</w:t>
            </w:r>
          </w:p>
          <w:p w:rsidR="00272799" w:rsidRPr="00BC2C43" w:rsidRDefault="00272799" w:rsidP="001B7CF3">
            <w:pPr>
              <w:tabs>
                <w:tab w:val="left" w:pos="3772"/>
              </w:tabs>
              <w:spacing w:before="0"/>
              <w:ind w:left="-126" w:right="140"/>
              <w:jc w:val="center"/>
              <w:rPr>
                <w:rFonts w:ascii="Calibri" w:hAnsi="Calibri"/>
                <w:b/>
                <w:sz w:val="18"/>
                <w:szCs w:val="18"/>
              </w:rPr>
            </w:pPr>
            <w:r>
              <w:rPr>
                <w:rFonts w:ascii="Calibri" w:hAnsi="Calibri"/>
                <w:b/>
                <w:bCs/>
                <w:sz w:val="18"/>
                <w:szCs w:val="18"/>
              </w:rPr>
              <w:t>(Norton et al 2015)</w:t>
            </w:r>
          </w:p>
        </w:tc>
      </w:tr>
      <w:tr w:rsidR="00272799" w:rsidRPr="00BC2C43" w:rsidTr="004879B6">
        <w:trPr>
          <w:trHeight w:val="70"/>
          <w:jc w:val="center"/>
        </w:trPr>
        <w:tc>
          <w:tcPr>
            <w:tcW w:w="1708" w:type="dxa"/>
            <w:tcBorders>
              <w:top w:val="nil"/>
              <w:left w:val="nil"/>
              <w:bottom w:val="nil"/>
              <w:right w:val="single" w:sz="4" w:space="0" w:color="auto"/>
            </w:tcBorders>
            <w:vAlign w:val="center"/>
            <w:hideMark/>
          </w:tcPr>
          <w:p w:rsidR="00272799" w:rsidRPr="00BC2C43" w:rsidRDefault="00272799" w:rsidP="001B7CF3">
            <w:pPr>
              <w:spacing w:before="0"/>
              <w:ind w:left="-90"/>
              <w:rPr>
                <w:rFonts w:ascii="Calibri" w:hAnsi="Calibri"/>
                <w:sz w:val="18"/>
                <w:szCs w:val="18"/>
              </w:rPr>
            </w:pPr>
            <w:proofErr w:type="spellStart"/>
            <w:r w:rsidRPr="00BC2C43">
              <w:rPr>
                <w:rFonts w:ascii="Calibri" w:hAnsi="Calibri"/>
                <w:b/>
                <w:bCs/>
                <w:sz w:val="18"/>
                <w:szCs w:val="18"/>
              </w:rPr>
              <w:t>Analyte</w:t>
            </w:r>
            <w:proofErr w:type="spellEnd"/>
          </w:p>
        </w:tc>
        <w:tc>
          <w:tcPr>
            <w:tcW w:w="3294" w:type="dxa"/>
            <w:tcBorders>
              <w:top w:val="single" w:sz="4" w:space="0" w:color="auto"/>
              <w:left w:val="single" w:sz="4" w:space="0" w:color="auto"/>
              <w:bottom w:val="single" w:sz="4" w:space="0" w:color="auto"/>
              <w:right w:val="single" w:sz="4" w:space="0" w:color="auto"/>
            </w:tcBorders>
            <w:vAlign w:val="center"/>
            <w:hideMark/>
          </w:tcPr>
          <w:p w:rsidR="00272799" w:rsidRPr="00BC2C43" w:rsidRDefault="00272799" w:rsidP="001B7CF3">
            <w:pPr>
              <w:spacing w:before="0"/>
              <w:ind w:left="-108"/>
              <w:jc w:val="center"/>
              <w:rPr>
                <w:rFonts w:ascii="Calibri" w:hAnsi="Calibri"/>
                <w:sz w:val="18"/>
                <w:szCs w:val="18"/>
              </w:rPr>
            </w:pPr>
            <w:r w:rsidRPr="00BC2C43">
              <w:rPr>
                <w:rFonts w:ascii="Calibri" w:hAnsi="Calibri"/>
                <w:b/>
                <w:bCs/>
                <w:sz w:val="18"/>
                <w:szCs w:val="18"/>
                <w:u w:val="single"/>
              </w:rPr>
              <w:t>Direct:</w:t>
            </w:r>
            <w:r w:rsidRPr="00BC2C43">
              <w:rPr>
                <w:rFonts w:ascii="Calibri" w:hAnsi="Calibri"/>
                <w:b/>
                <w:bCs/>
                <w:sz w:val="18"/>
                <w:szCs w:val="18"/>
              </w:rPr>
              <w:t xml:space="preserve"> </w:t>
            </w:r>
            <w:r w:rsidRPr="00BC2C43">
              <w:rPr>
                <w:rFonts w:ascii="Calibri" w:hAnsi="Calibri"/>
                <w:sz w:val="18"/>
                <w:szCs w:val="18"/>
              </w:rPr>
              <w:t xml:space="preserve">Fetal </w:t>
            </w:r>
            <w:proofErr w:type="spellStart"/>
            <w:r w:rsidRPr="00BC2C43">
              <w:rPr>
                <w:rFonts w:ascii="Calibri" w:hAnsi="Calibri"/>
                <w:sz w:val="18"/>
                <w:szCs w:val="18"/>
              </w:rPr>
              <w:t>cfDNA</w:t>
            </w:r>
            <w:proofErr w:type="spellEnd"/>
          </w:p>
        </w:tc>
        <w:tc>
          <w:tcPr>
            <w:tcW w:w="3294" w:type="dxa"/>
            <w:tcBorders>
              <w:top w:val="single" w:sz="4" w:space="0" w:color="auto"/>
              <w:left w:val="single" w:sz="4" w:space="0" w:color="auto"/>
              <w:bottom w:val="single" w:sz="4" w:space="0" w:color="auto"/>
              <w:right w:val="single" w:sz="4" w:space="0" w:color="auto"/>
            </w:tcBorders>
            <w:vAlign w:val="center"/>
            <w:hideMark/>
          </w:tcPr>
          <w:p w:rsidR="00272799" w:rsidRPr="00BC2C43" w:rsidRDefault="00272799" w:rsidP="001B7CF3">
            <w:pPr>
              <w:spacing w:before="0"/>
              <w:ind w:left="-126"/>
              <w:jc w:val="center"/>
              <w:rPr>
                <w:rFonts w:ascii="Calibri" w:hAnsi="Calibri"/>
                <w:sz w:val="18"/>
                <w:szCs w:val="18"/>
              </w:rPr>
            </w:pPr>
            <w:r w:rsidRPr="00BC2C43">
              <w:rPr>
                <w:rFonts w:ascii="Calibri" w:hAnsi="Calibri"/>
                <w:b/>
                <w:bCs/>
                <w:sz w:val="18"/>
                <w:szCs w:val="18"/>
                <w:u w:val="single"/>
              </w:rPr>
              <w:t>Indirect:</w:t>
            </w:r>
            <w:r w:rsidRPr="00BC2C43">
              <w:rPr>
                <w:rFonts w:ascii="Calibri" w:hAnsi="Calibri"/>
                <w:b/>
                <w:bCs/>
                <w:sz w:val="18"/>
                <w:szCs w:val="18"/>
              </w:rPr>
              <w:t xml:space="preserve"> </w:t>
            </w:r>
            <w:r w:rsidRPr="00BC2C43">
              <w:rPr>
                <w:rFonts w:ascii="Calibri" w:hAnsi="Calibri"/>
                <w:sz w:val="18"/>
                <w:szCs w:val="18"/>
              </w:rPr>
              <w:t>Serum proteins, ultrasound measurements</w:t>
            </w:r>
          </w:p>
        </w:tc>
      </w:tr>
      <w:tr w:rsidR="00272799" w:rsidRPr="00BC2C43" w:rsidTr="004879B6">
        <w:trPr>
          <w:trHeight w:val="413"/>
          <w:jc w:val="center"/>
        </w:trPr>
        <w:tc>
          <w:tcPr>
            <w:tcW w:w="1708" w:type="dxa"/>
            <w:tcBorders>
              <w:top w:val="nil"/>
              <w:left w:val="nil"/>
              <w:bottom w:val="nil"/>
              <w:right w:val="single" w:sz="4" w:space="0" w:color="auto"/>
            </w:tcBorders>
            <w:vAlign w:val="center"/>
            <w:hideMark/>
          </w:tcPr>
          <w:p w:rsidR="00272799" w:rsidRPr="00BC2C43" w:rsidRDefault="00272799" w:rsidP="001B7CF3">
            <w:pPr>
              <w:spacing w:before="0"/>
              <w:ind w:left="-90"/>
              <w:rPr>
                <w:rFonts w:ascii="Calibri" w:hAnsi="Calibri"/>
                <w:sz w:val="18"/>
                <w:szCs w:val="18"/>
              </w:rPr>
            </w:pPr>
            <w:r w:rsidRPr="00BC2C43">
              <w:rPr>
                <w:rFonts w:ascii="Calibri" w:hAnsi="Calibri"/>
                <w:b/>
                <w:bCs/>
                <w:sz w:val="18"/>
                <w:szCs w:val="18"/>
              </w:rPr>
              <w:t>Accuracy</w:t>
            </w:r>
            <w:r>
              <w:rPr>
                <w:rFonts w:ascii="Calibri" w:hAnsi="Calibri"/>
                <w:b/>
                <w:bCs/>
                <w:sz w:val="18"/>
                <w:szCs w:val="18"/>
              </w:rPr>
              <w:t xml:space="preserve"> (sensitivity)</w:t>
            </w:r>
          </w:p>
        </w:tc>
        <w:tc>
          <w:tcPr>
            <w:tcW w:w="3294" w:type="dxa"/>
            <w:tcBorders>
              <w:top w:val="single" w:sz="4" w:space="0" w:color="auto"/>
              <w:left w:val="single" w:sz="4" w:space="0" w:color="auto"/>
              <w:bottom w:val="single" w:sz="4" w:space="0" w:color="auto"/>
              <w:right w:val="single" w:sz="4" w:space="0" w:color="auto"/>
            </w:tcBorders>
            <w:vAlign w:val="center"/>
            <w:hideMark/>
          </w:tcPr>
          <w:p w:rsidR="00272799" w:rsidRPr="00BC2C43" w:rsidRDefault="00272799" w:rsidP="001B7CF3">
            <w:pPr>
              <w:spacing w:before="0"/>
              <w:ind w:left="-108"/>
              <w:jc w:val="center"/>
              <w:rPr>
                <w:rFonts w:ascii="Calibri" w:hAnsi="Calibri"/>
                <w:sz w:val="18"/>
                <w:szCs w:val="18"/>
              </w:rPr>
            </w:pPr>
            <w:r w:rsidRPr="00BC2C43">
              <w:rPr>
                <w:rFonts w:ascii="Calibri" w:hAnsi="Calibri"/>
                <w:bCs/>
                <w:sz w:val="18"/>
                <w:szCs w:val="18"/>
              </w:rPr>
              <w:t>&gt;99%</w:t>
            </w:r>
          </w:p>
        </w:tc>
        <w:tc>
          <w:tcPr>
            <w:tcW w:w="3294" w:type="dxa"/>
            <w:tcBorders>
              <w:top w:val="single" w:sz="4" w:space="0" w:color="auto"/>
              <w:left w:val="single" w:sz="4" w:space="0" w:color="auto"/>
              <w:bottom w:val="single" w:sz="4" w:space="0" w:color="auto"/>
              <w:right w:val="single" w:sz="4" w:space="0" w:color="auto"/>
            </w:tcBorders>
            <w:vAlign w:val="center"/>
            <w:hideMark/>
          </w:tcPr>
          <w:p w:rsidR="00272799" w:rsidRPr="00BC2C43" w:rsidRDefault="00272799" w:rsidP="001B7CF3">
            <w:pPr>
              <w:spacing w:before="0"/>
              <w:ind w:left="-126"/>
              <w:jc w:val="center"/>
              <w:rPr>
                <w:rFonts w:ascii="Calibri" w:hAnsi="Calibri"/>
                <w:sz w:val="18"/>
                <w:szCs w:val="18"/>
              </w:rPr>
            </w:pPr>
            <w:r>
              <w:rPr>
                <w:rFonts w:ascii="Calibri" w:hAnsi="Calibri"/>
                <w:sz w:val="18"/>
                <w:szCs w:val="18"/>
              </w:rPr>
              <w:t>70-90</w:t>
            </w:r>
            <w:r w:rsidRPr="00BC2C43">
              <w:rPr>
                <w:rFonts w:ascii="Calibri" w:hAnsi="Calibri"/>
                <w:sz w:val="18"/>
                <w:szCs w:val="18"/>
              </w:rPr>
              <w:t>%</w:t>
            </w:r>
          </w:p>
        </w:tc>
      </w:tr>
      <w:tr w:rsidR="00272799" w:rsidRPr="00BC2C43" w:rsidTr="004879B6">
        <w:trPr>
          <w:trHeight w:val="368"/>
          <w:jc w:val="center"/>
        </w:trPr>
        <w:tc>
          <w:tcPr>
            <w:tcW w:w="1708" w:type="dxa"/>
            <w:tcBorders>
              <w:top w:val="nil"/>
              <w:left w:val="nil"/>
              <w:bottom w:val="nil"/>
              <w:right w:val="single" w:sz="4" w:space="0" w:color="auto"/>
            </w:tcBorders>
            <w:vAlign w:val="center"/>
            <w:hideMark/>
          </w:tcPr>
          <w:p w:rsidR="00272799" w:rsidRPr="00BC2C43" w:rsidRDefault="00272799" w:rsidP="001B7CF3">
            <w:pPr>
              <w:spacing w:before="0"/>
              <w:ind w:left="-90"/>
              <w:rPr>
                <w:rFonts w:ascii="Calibri" w:hAnsi="Calibri"/>
                <w:sz w:val="18"/>
                <w:szCs w:val="18"/>
              </w:rPr>
            </w:pPr>
            <w:r w:rsidRPr="00BC2C43">
              <w:rPr>
                <w:rFonts w:ascii="Calibri" w:hAnsi="Calibri"/>
                <w:b/>
                <w:bCs/>
                <w:sz w:val="18"/>
                <w:szCs w:val="18"/>
              </w:rPr>
              <w:t>False positive rate</w:t>
            </w:r>
          </w:p>
        </w:tc>
        <w:tc>
          <w:tcPr>
            <w:tcW w:w="3294" w:type="dxa"/>
            <w:tcBorders>
              <w:top w:val="single" w:sz="4" w:space="0" w:color="auto"/>
              <w:left w:val="single" w:sz="4" w:space="0" w:color="auto"/>
              <w:bottom w:val="single" w:sz="4" w:space="0" w:color="auto"/>
              <w:right w:val="single" w:sz="4" w:space="0" w:color="auto"/>
            </w:tcBorders>
            <w:vAlign w:val="center"/>
            <w:hideMark/>
          </w:tcPr>
          <w:p w:rsidR="00272799" w:rsidRPr="00BC2C43" w:rsidRDefault="00272799" w:rsidP="001B7CF3">
            <w:pPr>
              <w:spacing w:before="0"/>
              <w:ind w:left="-108"/>
              <w:jc w:val="center"/>
              <w:rPr>
                <w:rFonts w:ascii="Calibri" w:hAnsi="Calibri"/>
                <w:sz w:val="18"/>
                <w:szCs w:val="18"/>
              </w:rPr>
            </w:pPr>
            <w:r>
              <w:rPr>
                <w:rFonts w:ascii="Calibri" w:hAnsi="Calibri"/>
                <w:bCs/>
                <w:sz w:val="18"/>
                <w:szCs w:val="18"/>
              </w:rPr>
              <w:t>0.09</w:t>
            </w:r>
            <w:r w:rsidRPr="00BC2C43">
              <w:rPr>
                <w:rFonts w:ascii="Calibri" w:hAnsi="Calibri"/>
                <w:bCs/>
                <w:sz w:val="18"/>
                <w:szCs w:val="18"/>
              </w:rPr>
              <w:t>%</w:t>
            </w:r>
          </w:p>
        </w:tc>
        <w:tc>
          <w:tcPr>
            <w:tcW w:w="3294" w:type="dxa"/>
            <w:tcBorders>
              <w:top w:val="single" w:sz="4" w:space="0" w:color="auto"/>
              <w:left w:val="single" w:sz="4" w:space="0" w:color="auto"/>
              <w:bottom w:val="single" w:sz="4" w:space="0" w:color="auto"/>
              <w:right w:val="single" w:sz="4" w:space="0" w:color="auto"/>
            </w:tcBorders>
            <w:vAlign w:val="center"/>
            <w:hideMark/>
          </w:tcPr>
          <w:p w:rsidR="00272799" w:rsidRPr="00BC2C43" w:rsidRDefault="00272799" w:rsidP="001B7CF3">
            <w:pPr>
              <w:spacing w:before="0"/>
              <w:ind w:left="-126"/>
              <w:jc w:val="center"/>
              <w:rPr>
                <w:rFonts w:ascii="Calibri" w:hAnsi="Calibri"/>
                <w:sz w:val="18"/>
                <w:szCs w:val="18"/>
              </w:rPr>
            </w:pPr>
            <w:r>
              <w:rPr>
                <w:rFonts w:ascii="Calibri" w:hAnsi="Calibri"/>
                <w:sz w:val="18"/>
                <w:szCs w:val="18"/>
              </w:rPr>
              <w:t>4-</w:t>
            </w:r>
            <w:r w:rsidRPr="00BC2C43">
              <w:rPr>
                <w:rFonts w:ascii="Calibri" w:hAnsi="Calibri"/>
                <w:sz w:val="18"/>
                <w:szCs w:val="18"/>
              </w:rPr>
              <w:t>5%</w:t>
            </w:r>
          </w:p>
        </w:tc>
      </w:tr>
      <w:tr w:rsidR="00272799" w:rsidRPr="00BC2C43" w:rsidTr="004879B6">
        <w:trPr>
          <w:trHeight w:val="70"/>
          <w:jc w:val="center"/>
        </w:trPr>
        <w:tc>
          <w:tcPr>
            <w:tcW w:w="1708" w:type="dxa"/>
            <w:tcBorders>
              <w:top w:val="nil"/>
              <w:left w:val="nil"/>
              <w:bottom w:val="nil"/>
              <w:right w:val="single" w:sz="4" w:space="0" w:color="auto"/>
            </w:tcBorders>
            <w:vAlign w:val="center"/>
            <w:hideMark/>
          </w:tcPr>
          <w:p w:rsidR="00272799" w:rsidRPr="00BC2C43" w:rsidRDefault="00272799" w:rsidP="001B7CF3">
            <w:pPr>
              <w:spacing w:before="0"/>
              <w:ind w:left="-90"/>
              <w:rPr>
                <w:rFonts w:ascii="Calibri" w:hAnsi="Calibri"/>
                <w:sz w:val="18"/>
                <w:szCs w:val="18"/>
              </w:rPr>
            </w:pPr>
            <w:r w:rsidRPr="00BC2C43">
              <w:rPr>
                <w:rFonts w:ascii="Calibri" w:hAnsi="Calibri"/>
                <w:b/>
                <w:bCs/>
                <w:sz w:val="18"/>
                <w:szCs w:val="18"/>
              </w:rPr>
              <w:t>Workflow</w:t>
            </w:r>
          </w:p>
        </w:tc>
        <w:tc>
          <w:tcPr>
            <w:tcW w:w="3294" w:type="dxa"/>
            <w:tcBorders>
              <w:top w:val="single" w:sz="4" w:space="0" w:color="auto"/>
              <w:left w:val="single" w:sz="4" w:space="0" w:color="auto"/>
              <w:bottom w:val="single" w:sz="4" w:space="0" w:color="auto"/>
              <w:right w:val="single" w:sz="4" w:space="0" w:color="auto"/>
            </w:tcBorders>
            <w:vAlign w:val="center"/>
            <w:hideMark/>
          </w:tcPr>
          <w:p w:rsidR="00272799" w:rsidRPr="00BC2C43" w:rsidRDefault="00272799" w:rsidP="001B7CF3">
            <w:pPr>
              <w:spacing w:before="0"/>
              <w:ind w:left="-108"/>
              <w:jc w:val="center"/>
              <w:rPr>
                <w:rFonts w:ascii="Calibri" w:hAnsi="Calibri"/>
                <w:sz w:val="18"/>
                <w:szCs w:val="18"/>
              </w:rPr>
            </w:pPr>
            <w:r w:rsidRPr="00BC2C43">
              <w:rPr>
                <w:rFonts w:ascii="Calibri" w:hAnsi="Calibri"/>
                <w:bCs/>
                <w:sz w:val="18"/>
                <w:szCs w:val="18"/>
              </w:rPr>
              <w:t>Standard blood draw</w:t>
            </w:r>
          </w:p>
        </w:tc>
        <w:tc>
          <w:tcPr>
            <w:tcW w:w="3294" w:type="dxa"/>
            <w:tcBorders>
              <w:top w:val="single" w:sz="4" w:space="0" w:color="auto"/>
              <w:left w:val="single" w:sz="4" w:space="0" w:color="auto"/>
              <w:bottom w:val="single" w:sz="4" w:space="0" w:color="auto"/>
              <w:right w:val="single" w:sz="4" w:space="0" w:color="auto"/>
            </w:tcBorders>
            <w:vAlign w:val="center"/>
            <w:hideMark/>
          </w:tcPr>
          <w:p w:rsidR="00272799" w:rsidRPr="00BC2C43" w:rsidRDefault="00272799" w:rsidP="001B7CF3">
            <w:pPr>
              <w:spacing w:before="0"/>
              <w:ind w:left="-126"/>
              <w:jc w:val="center"/>
              <w:rPr>
                <w:rFonts w:ascii="Calibri" w:hAnsi="Calibri"/>
                <w:sz w:val="18"/>
                <w:szCs w:val="18"/>
              </w:rPr>
            </w:pPr>
            <w:r w:rsidRPr="00BC2C43">
              <w:rPr>
                <w:rFonts w:ascii="Calibri" w:hAnsi="Calibri"/>
                <w:sz w:val="18"/>
                <w:szCs w:val="18"/>
              </w:rPr>
              <w:t>May require multiple visits, specialist referral</w:t>
            </w:r>
          </w:p>
        </w:tc>
      </w:tr>
    </w:tbl>
    <w:p w:rsidR="00272799" w:rsidRDefault="00272799" w:rsidP="001B7CF3">
      <w:pPr>
        <w:spacing w:before="0"/>
        <w:ind w:left="426"/>
        <w:rPr>
          <w:szCs w:val="20"/>
        </w:rPr>
      </w:pPr>
      <w:r>
        <w:rPr>
          <w:szCs w:val="20"/>
        </w:rPr>
        <w:t xml:space="preserve">Under a contingent (or primary) testing model, </w:t>
      </w:r>
      <w:r w:rsidRPr="00877E1D">
        <w:rPr>
          <w:szCs w:val="20"/>
        </w:rPr>
        <w:t xml:space="preserve">NIPT </w:t>
      </w:r>
      <w:r>
        <w:rPr>
          <w:szCs w:val="20"/>
        </w:rPr>
        <w:t xml:space="preserve">is expected to </w:t>
      </w:r>
      <w:r w:rsidRPr="00877E1D">
        <w:rPr>
          <w:szCs w:val="20"/>
        </w:rPr>
        <w:t>reduce the numbe</w:t>
      </w:r>
      <w:r>
        <w:rPr>
          <w:szCs w:val="20"/>
        </w:rPr>
        <w:t xml:space="preserve">r of invasive tests in normal </w:t>
      </w:r>
      <w:proofErr w:type="spellStart"/>
      <w:r>
        <w:rPr>
          <w:szCs w:val="20"/>
        </w:rPr>
        <w:t>f</w:t>
      </w:r>
      <w:r w:rsidRPr="00877E1D">
        <w:rPr>
          <w:szCs w:val="20"/>
        </w:rPr>
        <w:t>etuses</w:t>
      </w:r>
      <w:proofErr w:type="spellEnd"/>
      <w:r w:rsidRPr="00877E1D">
        <w:rPr>
          <w:szCs w:val="20"/>
        </w:rPr>
        <w:t xml:space="preserve"> and subsequen</w:t>
      </w:r>
      <w:r>
        <w:rPr>
          <w:szCs w:val="20"/>
        </w:rPr>
        <w:t>tly reduce the associated complications such as miscarriage</w:t>
      </w:r>
      <w:r w:rsidRPr="00877E1D">
        <w:rPr>
          <w:szCs w:val="20"/>
        </w:rPr>
        <w:t xml:space="preserve">. </w:t>
      </w:r>
    </w:p>
    <w:p w:rsidR="004E3CC7" w:rsidRPr="00154B00" w:rsidRDefault="00272799" w:rsidP="001B7CF3">
      <w:pPr>
        <w:spacing w:before="0"/>
        <w:ind w:left="426"/>
        <w:rPr>
          <w:szCs w:val="20"/>
        </w:rPr>
      </w:pPr>
      <w:r>
        <w:rPr>
          <w:szCs w:val="20"/>
        </w:rPr>
        <w:t>The fundamental purpose of any prenatal test, including NIPT, is to provide the pregnant woman with a reliable result that can be the basis for her informed decision-making. If a woman’s primary testing result is confirmed by diagnostic testing the options available to her include continuing the pregnancy and termination of the pregnancy. These options carry different costs subsequent to the prenatal diagnosis, and the proportions of women choosing different options will impact on the overall outcome of the screening process, whether that is measured by the incidence of trisomy at term, cost per prenatal diagnosis, or quality of life for the mother.</w:t>
      </w:r>
    </w:p>
    <w:p w:rsidR="004E3CC7" w:rsidRPr="00154B00" w:rsidRDefault="004E3CC7" w:rsidP="001B7CF3">
      <w:pPr>
        <w:pStyle w:val="Heading2"/>
        <w:spacing w:before="0"/>
      </w:pPr>
      <w:r w:rsidRPr="00154B00">
        <w:t xml:space="preserve">Please advise if the </w:t>
      </w:r>
      <w:r w:rsidR="00CF5AD8" w:rsidRPr="00092580">
        <w:t>overall</w:t>
      </w:r>
      <w:r w:rsidR="00CF5AD8">
        <w:t xml:space="preserve"> </w:t>
      </w:r>
      <w:r w:rsidRPr="00154B00">
        <w:t>clinical claim is for:</w:t>
      </w:r>
    </w:p>
    <w:p w:rsidR="001B29A1" w:rsidRPr="001B29A1" w:rsidRDefault="004879B6" w:rsidP="001B7CF3">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1B7CF3">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50F6F">
        <w:rPr>
          <w:szCs w:val="20"/>
        </w:rPr>
      </w:r>
      <w:r w:rsidR="00750F6F">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1B29A1" w:rsidP="001B7CF3">
      <w:pPr>
        <w:pStyle w:val="Heading2"/>
        <w:spacing w:before="0"/>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b/>
          <w:szCs w:val="20"/>
        </w:rPr>
      </w:pPr>
      <w:r w:rsidRPr="0042719E">
        <w:rPr>
          <w:b/>
          <w:szCs w:val="20"/>
        </w:rPr>
        <w:t>Safety Outcomes</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The primary safety outcome will be number of miscarriages associated with amniocentesis/CVS.</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 xml:space="preserve">NIPT provides an analysis of maternal venous blood collected using a standard phlebotomy procedure.  Therefore, there are no potential risks to the mother (or </w:t>
      </w:r>
      <w:proofErr w:type="spellStart"/>
      <w:r w:rsidRPr="0042719E">
        <w:rPr>
          <w:szCs w:val="20"/>
        </w:rPr>
        <w:t>fetus</w:t>
      </w:r>
      <w:proofErr w:type="spellEnd"/>
      <w:r w:rsidRPr="0042719E">
        <w:rPr>
          <w:szCs w:val="20"/>
        </w:rPr>
        <w:t>) from the technology, other than the minor side effects of bruising and inflammation (phlebitis) associated with a standard blood draw.</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b/>
          <w:szCs w:val="20"/>
        </w:rPr>
      </w:pPr>
      <w:r w:rsidRPr="0042719E">
        <w:rPr>
          <w:b/>
          <w:szCs w:val="20"/>
        </w:rPr>
        <w:t>Clinical Effectiveness Outcomes</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The primary effectiveness outcomes proposed for the Assessment are:</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w:t>
      </w:r>
      <w:r w:rsidRPr="0042719E">
        <w:rPr>
          <w:szCs w:val="20"/>
        </w:rPr>
        <w:tab/>
      </w:r>
      <w:proofErr w:type="gramStart"/>
      <w:r w:rsidRPr="0042719E">
        <w:rPr>
          <w:szCs w:val="20"/>
        </w:rPr>
        <w:t>trisomy</w:t>
      </w:r>
      <w:proofErr w:type="gramEnd"/>
      <w:r w:rsidRPr="0042719E">
        <w:rPr>
          <w:szCs w:val="20"/>
        </w:rPr>
        <w:t xml:space="preserve"> (T21, T18 and T13) cases detected;</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lastRenderedPageBreak/>
        <w:t>•</w:t>
      </w:r>
      <w:r w:rsidRPr="0042719E">
        <w:rPr>
          <w:szCs w:val="20"/>
        </w:rPr>
        <w:tab/>
      </w:r>
      <w:proofErr w:type="gramStart"/>
      <w:r w:rsidRPr="0042719E">
        <w:rPr>
          <w:szCs w:val="20"/>
        </w:rPr>
        <w:t>invasive</w:t>
      </w:r>
      <w:proofErr w:type="gramEnd"/>
      <w:r w:rsidRPr="0042719E">
        <w:rPr>
          <w:szCs w:val="20"/>
        </w:rPr>
        <w:t xml:space="preserve"> procedures avoided.</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‘Trisomy cases detected’ is consistent with the primary outcomes of the clinical studies, which report sensitivity (detection rate), specificity and other measures of diagnostic accuracy.  Detection provides a woman with a greater reproductive choice.</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 xml:space="preserve">Trisomies 21, 18, and 13 </w:t>
      </w:r>
      <w:proofErr w:type="gramStart"/>
      <w:r w:rsidRPr="0042719E">
        <w:rPr>
          <w:szCs w:val="20"/>
        </w:rPr>
        <w:t>account</w:t>
      </w:r>
      <w:proofErr w:type="gramEnd"/>
      <w:r w:rsidRPr="0042719E">
        <w:rPr>
          <w:szCs w:val="20"/>
        </w:rPr>
        <w:t xml:space="preserve"> for up to 80% of the chromosome abnormalities documented at term. Some of the remaining 20% of pregnancies with a non-</w:t>
      </w:r>
      <w:proofErr w:type="spellStart"/>
      <w:r w:rsidRPr="0042719E">
        <w:rPr>
          <w:szCs w:val="20"/>
        </w:rPr>
        <w:t>trisomic</w:t>
      </w:r>
      <w:proofErr w:type="spellEnd"/>
      <w:r w:rsidRPr="0042719E">
        <w:rPr>
          <w:szCs w:val="20"/>
        </w:rPr>
        <w:t xml:space="preserve"> chromosome abnormality are incidentally detected by FTS. Such events do not represent the primary purpose of FTS and the performance of FTS in detecting such pregnancies is not well characterised. In general NIPT is not intended to replace FTS for identification of </w:t>
      </w:r>
      <w:proofErr w:type="spellStart"/>
      <w:r w:rsidRPr="0042719E">
        <w:rPr>
          <w:szCs w:val="20"/>
        </w:rPr>
        <w:t>fetal</w:t>
      </w:r>
      <w:proofErr w:type="spellEnd"/>
      <w:r w:rsidRPr="0042719E">
        <w:rPr>
          <w:szCs w:val="20"/>
        </w:rPr>
        <w:t xml:space="preserve"> conditions other than trisomy 21, 18 and 13.</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Secondary effectiveness outcomes include the consequences of identifying trisomies and avoiding invasive procedures (the primary effectiveness outcomes), including:</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w:t>
      </w:r>
      <w:r w:rsidRPr="0042719E">
        <w:rPr>
          <w:szCs w:val="20"/>
        </w:rPr>
        <w:tab/>
      </w:r>
      <w:proofErr w:type="gramStart"/>
      <w:r w:rsidRPr="0042719E">
        <w:rPr>
          <w:szCs w:val="20"/>
        </w:rPr>
        <w:t>reduced</w:t>
      </w:r>
      <w:proofErr w:type="gramEnd"/>
      <w:r w:rsidRPr="0042719E">
        <w:rPr>
          <w:szCs w:val="20"/>
        </w:rPr>
        <w:t xml:space="preserve"> incidence of undetected trisomy (T21, T18 and T13) at term;</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w:t>
      </w:r>
      <w:r w:rsidRPr="0042719E">
        <w:rPr>
          <w:szCs w:val="20"/>
        </w:rPr>
        <w:tab/>
      </w:r>
      <w:proofErr w:type="spellStart"/>
      <w:proofErr w:type="gramStart"/>
      <w:r w:rsidRPr="0042719E">
        <w:rPr>
          <w:szCs w:val="20"/>
        </w:rPr>
        <w:t>euploid</w:t>
      </w:r>
      <w:proofErr w:type="spellEnd"/>
      <w:proofErr w:type="gramEnd"/>
      <w:r w:rsidRPr="0042719E">
        <w:rPr>
          <w:szCs w:val="20"/>
        </w:rPr>
        <w:t xml:space="preserve"> </w:t>
      </w:r>
      <w:proofErr w:type="spellStart"/>
      <w:r w:rsidRPr="0042719E">
        <w:rPr>
          <w:szCs w:val="20"/>
        </w:rPr>
        <w:t>fetal</w:t>
      </w:r>
      <w:proofErr w:type="spellEnd"/>
      <w:r w:rsidRPr="0042719E">
        <w:rPr>
          <w:szCs w:val="20"/>
        </w:rPr>
        <w:t xml:space="preserve"> losses (miscarriages of healthy foetuses, due to CVS or amniocentesis) prevented.</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 xml:space="preserve">These outcomes are further expected to improve quality of life for the pregnant population, by reducing the number of false-positive (and false-negative) results and associated anxiety for pregnant women, and reducing the need for invasive testing and associated discomfort and impact of related </w:t>
      </w:r>
      <w:proofErr w:type="spellStart"/>
      <w:r w:rsidRPr="0042719E">
        <w:rPr>
          <w:szCs w:val="20"/>
        </w:rPr>
        <w:t>fetal</w:t>
      </w:r>
      <w:proofErr w:type="spellEnd"/>
      <w:r w:rsidRPr="0042719E">
        <w:rPr>
          <w:szCs w:val="20"/>
        </w:rPr>
        <w:t xml:space="preserve"> losses.  However, quality of life is not proposed as an effectiveness outcome for the Assessment due to an expected absence of data.</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b/>
          <w:szCs w:val="20"/>
        </w:rPr>
      </w:pPr>
      <w:r w:rsidRPr="0042719E">
        <w:rPr>
          <w:b/>
          <w:szCs w:val="20"/>
        </w:rPr>
        <w:t>Economic Outcomes</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 xml:space="preserve">Previously, PASC indicated that the economic analysis should be a cost-effective analysis, </w:t>
      </w:r>
      <w:proofErr w:type="gramStart"/>
      <w:r w:rsidRPr="0042719E">
        <w:rPr>
          <w:szCs w:val="20"/>
        </w:rPr>
        <w:t>exploring  (</w:t>
      </w:r>
      <w:proofErr w:type="gramEnd"/>
      <w:r w:rsidRPr="0042719E">
        <w:rPr>
          <w:szCs w:val="20"/>
        </w:rPr>
        <w:t>Item 7: 1396 - Final Ratified PASC Meeting Outcomes, December 2014):</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w:t>
      </w:r>
      <w:r w:rsidRPr="0042719E">
        <w:rPr>
          <w:szCs w:val="20"/>
        </w:rPr>
        <w:tab/>
        <w:t xml:space="preserve">cost per </w:t>
      </w:r>
      <w:proofErr w:type="spellStart"/>
      <w:r w:rsidRPr="0042719E">
        <w:rPr>
          <w:szCs w:val="20"/>
        </w:rPr>
        <w:t>trisomic</w:t>
      </w:r>
      <w:proofErr w:type="spellEnd"/>
      <w:r w:rsidRPr="0042719E">
        <w:rPr>
          <w:szCs w:val="20"/>
        </w:rPr>
        <w:t xml:space="preserve"> </w:t>
      </w:r>
      <w:proofErr w:type="spellStart"/>
      <w:r w:rsidRPr="0042719E">
        <w:rPr>
          <w:szCs w:val="20"/>
        </w:rPr>
        <w:t>fetus</w:t>
      </w:r>
      <w:proofErr w:type="spellEnd"/>
      <w:r w:rsidRPr="0042719E">
        <w:rPr>
          <w:szCs w:val="20"/>
        </w:rPr>
        <w:t xml:space="preserve"> detection;</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w:t>
      </w:r>
      <w:r w:rsidRPr="0042719E">
        <w:rPr>
          <w:szCs w:val="20"/>
        </w:rPr>
        <w:tab/>
        <w:t>cost per miscarriage avoided;</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w:t>
      </w:r>
      <w:r w:rsidRPr="0042719E">
        <w:rPr>
          <w:szCs w:val="20"/>
        </w:rPr>
        <w:tab/>
      </w:r>
      <w:proofErr w:type="gramStart"/>
      <w:r w:rsidRPr="0042719E">
        <w:rPr>
          <w:szCs w:val="20"/>
        </w:rPr>
        <w:t>costs</w:t>
      </w:r>
      <w:proofErr w:type="gramEnd"/>
      <w:r w:rsidRPr="0042719E">
        <w:rPr>
          <w:szCs w:val="20"/>
        </w:rPr>
        <w:t xml:space="preserve"> of testing, counselling, miscarriage, termination and Down syndrome births (including false positives and false negatives).</w:t>
      </w:r>
    </w:p>
    <w:p w:rsidR="0042719E"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 xml:space="preserve">A reduction in the birth incidence of trisomies would reduce the costs of such medical and supportive care as might have been required. </w:t>
      </w:r>
    </w:p>
    <w:p w:rsidR="001B29A1" w:rsidRPr="0042719E" w:rsidRDefault="0042719E" w:rsidP="001B7CF3">
      <w:pPr>
        <w:pBdr>
          <w:top w:val="single" w:sz="4" w:space="1" w:color="auto"/>
          <w:left w:val="single" w:sz="4" w:space="4" w:color="auto"/>
          <w:bottom w:val="single" w:sz="4" w:space="1" w:color="auto"/>
          <w:right w:val="single" w:sz="4" w:space="4" w:color="auto"/>
        </w:pBdr>
        <w:spacing w:before="0"/>
        <w:rPr>
          <w:szCs w:val="20"/>
        </w:rPr>
      </w:pPr>
      <w:r w:rsidRPr="0042719E">
        <w:rPr>
          <w:szCs w:val="20"/>
        </w:rPr>
        <w:t>Question 51 details a number of cost-effectiveness studies which could be utilised in exploring the economic outcomes of NIPT.</w:t>
      </w:r>
    </w:p>
    <w:p w:rsidR="00C776B1" w:rsidRPr="00C776B1" w:rsidRDefault="003433D1" w:rsidP="001B7CF3">
      <w:pPr>
        <w:pStyle w:val="Heading1"/>
        <w:spacing w:after="120" w:line="240" w:lineRule="auto"/>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1B7CF3">
      <w:pPr>
        <w:pStyle w:val="Heading2"/>
        <w:spacing w:before="0"/>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42719E" w:rsidRDefault="0042719E" w:rsidP="001B7CF3">
      <w:pPr>
        <w:spacing w:before="0"/>
        <w:ind w:left="426"/>
        <w:rPr>
          <w:szCs w:val="20"/>
        </w:rPr>
      </w:pPr>
      <w:r>
        <w:rPr>
          <w:szCs w:val="20"/>
        </w:rPr>
        <w:t>Under a contingent testing model, e</w:t>
      </w:r>
      <w:r w:rsidRPr="00220237">
        <w:rPr>
          <w:szCs w:val="20"/>
        </w:rPr>
        <w:t xml:space="preserve">xpected utilisation </w:t>
      </w:r>
      <w:r>
        <w:rPr>
          <w:szCs w:val="20"/>
        </w:rPr>
        <w:t>r</w:t>
      </w:r>
      <w:r w:rsidRPr="00220237">
        <w:rPr>
          <w:szCs w:val="20"/>
        </w:rPr>
        <w:t xml:space="preserve">equires the proportion of women </w:t>
      </w:r>
      <w:r>
        <w:rPr>
          <w:szCs w:val="20"/>
        </w:rPr>
        <w:t xml:space="preserve">at ‘intermediate </w:t>
      </w:r>
      <w:r w:rsidRPr="00220237">
        <w:rPr>
          <w:szCs w:val="20"/>
        </w:rPr>
        <w:t>risk</w:t>
      </w:r>
      <w:r>
        <w:rPr>
          <w:szCs w:val="20"/>
        </w:rPr>
        <w:t>’</w:t>
      </w:r>
      <w:r w:rsidRPr="00220237">
        <w:rPr>
          <w:szCs w:val="20"/>
        </w:rPr>
        <w:t xml:space="preserve"> to be applied to the general pregnancy population.  A detailed estimation will be undertaken in the </w:t>
      </w:r>
      <w:r>
        <w:rPr>
          <w:szCs w:val="20"/>
        </w:rPr>
        <w:t>Assessment, and is partly dependent on the proposed risk cut-offs.</w:t>
      </w:r>
    </w:p>
    <w:p w:rsidR="0042719E" w:rsidRDefault="0042719E" w:rsidP="001B7CF3">
      <w:pPr>
        <w:spacing w:before="0"/>
        <w:ind w:left="426"/>
        <w:rPr>
          <w:szCs w:val="20"/>
        </w:rPr>
      </w:pPr>
      <w:r>
        <w:rPr>
          <w:szCs w:val="20"/>
        </w:rPr>
        <w:t>A</w:t>
      </w:r>
      <w:r w:rsidRPr="00220237">
        <w:rPr>
          <w:szCs w:val="20"/>
        </w:rPr>
        <w:t xml:space="preserve"> proxy </w:t>
      </w:r>
      <w:r>
        <w:rPr>
          <w:szCs w:val="20"/>
        </w:rPr>
        <w:t xml:space="preserve">for </w:t>
      </w:r>
      <w:r w:rsidRPr="00220237">
        <w:rPr>
          <w:szCs w:val="20"/>
        </w:rPr>
        <w:t>the number of women at gestational age ≥10 weeks each year in Australia is the number of mothers giving birth in Australia, which was 297,126 women in 2011, including live births and stillbirths (due to miscarriage or termination) from 20 weeks gestation (</w:t>
      </w:r>
      <w:r>
        <w:rPr>
          <w:szCs w:val="20"/>
        </w:rPr>
        <w:t>Li et al 2</w:t>
      </w:r>
      <w:r w:rsidRPr="00220237">
        <w:rPr>
          <w:szCs w:val="20"/>
        </w:rPr>
        <w:t xml:space="preserve">013).  </w:t>
      </w:r>
      <w:r>
        <w:rPr>
          <w:szCs w:val="20"/>
        </w:rPr>
        <w:t xml:space="preserve">This number </w:t>
      </w:r>
      <w:r w:rsidRPr="00220237">
        <w:rPr>
          <w:szCs w:val="20"/>
        </w:rPr>
        <w:t>is projected to be ~300,000 women at present.</w:t>
      </w:r>
    </w:p>
    <w:p w:rsidR="0042719E" w:rsidRDefault="0042719E" w:rsidP="001B7CF3">
      <w:pPr>
        <w:spacing w:before="0"/>
        <w:ind w:left="426"/>
        <w:rPr>
          <w:szCs w:val="20"/>
        </w:rPr>
      </w:pPr>
      <w:r w:rsidRPr="00220237">
        <w:rPr>
          <w:szCs w:val="20"/>
        </w:rPr>
        <w:t xml:space="preserve">This slightly underestimates the number of eligible women by the numbers who miscarry or elect to terminate during gestational weeks 10-19.  In 2011, 166 women in South Australia underwent termination for </w:t>
      </w:r>
      <w:proofErr w:type="spellStart"/>
      <w:r w:rsidRPr="00220237">
        <w:rPr>
          <w:szCs w:val="20"/>
        </w:rPr>
        <w:t>fetal</w:t>
      </w:r>
      <w:proofErr w:type="spellEnd"/>
      <w:r w:rsidRPr="00220237">
        <w:rPr>
          <w:szCs w:val="20"/>
        </w:rPr>
        <w:t xml:space="preserve"> reasons (</w:t>
      </w:r>
      <w:proofErr w:type="spellStart"/>
      <w:r w:rsidRPr="00220237">
        <w:rPr>
          <w:szCs w:val="20"/>
        </w:rPr>
        <w:t>Scheil</w:t>
      </w:r>
      <w:proofErr w:type="spellEnd"/>
      <w:r w:rsidRPr="00220237">
        <w:rPr>
          <w:szCs w:val="20"/>
        </w:rPr>
        <w:t xml:space="preserve"> et al 2013).  Assuming these terminations all occurred between gestational weeks 10-19 then, compared with 20,043 women giving birth in South Australia, the estimated degree of underestimation in </w:t>
      </w:r>
      <w:r>
        <w:rPr>
          <w:szCs w:val="20"/>
        </w:rPr>
        <w:t xml:space="preserve">prevalence </w:t>
      </w:r>
      <w:r w:rsidRPr="00220237">
        <w:rPr>
          <w:szCs w:val="20"/>
        </w:rPr>
        <w:t xml:space="preserve">is </w:t>
      </w:r>
      <w:r>
        <w:rPr>
          <w:szCs w:val="20"/>
        </w:rPr>
        <w:t xml:space="preserve">only </w:t>
      </w:r>
      <w:r w:rsidRPr="00220237">
        <w:rPr>
          <w:szCs w:val="20"/>
        </w:rPr>
        <w:t>0.083% (166 ÷ 20,043).</w:t>
      </w:r>
    </w:p>
    <w:p w:rsidR="0042719E" w:rsidRDefault="0042719E" w:rsidP="001B7CF3">
      <w:pPr>
        <w:spacing w:before="0"/>
        <w:ind w:left="426"/>
        <w:rPr>
          <w:szCs w:val="20"/>
        </w:rPr>
      </w:pPr>
      <w:r>
        <w:rPr>
          <w:szCs w:val="20"/>
        </w:rPr>
        <w:t xml:space="preserve">Based on ‘low risk’ and ‘high risk’ cut-offs of 1:1000 and 1:10, respectively, approximately 13% of pregnant women would be considered to be at ‘intermediate risk’ (Hui et al 2013), i.e. 39,000 women (13% × 300,000). </w:t>
      </w:r>
    </w:p>
    <w:p w:rsidR="006C74B1" w:rsidRPr="00154B00" w:rsidRDefault="0042719E" w:rsidP="001B7CF3">
      <w:pPr>
        <w:spacing w:before="0"/>
        <w:ind w:left="426"/>
        <w:rPr>
          <w:szCs w:val="20"/>
        </w:rPr>
      </w:pPr>
      <w:r>
        <w:rPr>
          <w:szCs w:val="20"/>
        </w:rPr>
        <w:t>Under a primary testing model, t</w:t>
      </w:r>
      <w:r w:rsidRPr="00220237">
        <w:rPr>
          <w:szCs w:val="20"/>
        </w:rPr>
        <w:t xml:space="preserve">he expected utilisation of NIPT can be estimated by </w:t>
      </w:r>
      <w:r>
        <w:rPr>
          <w:szCs w:val="20"/>
        </w:rPr>
        <w:t xml:space="preserve">simply </w:t>
      </w:r>
      <w:r w:rsidRPr="00220237">
        <w:rPr>
          <w:szCs w:val="20"/>
        </w:rPr>
        <w:t xml:space="preserve">multiplying the number of women at gestational age ≥10 weeks each year in Australia </w:t>
      </w:r>
      <w:r>
        <w:rPr>
          <w:szCs w:val="20"/>
        </w:rPr>
        <w:t xml:space="preserve">(~300,000) </w:t>
      </w:r>
      <w:r w:rsidRPr="00220237">
        <w:rPr>
          <w:szCs w:val="20"/>
        </w:rPr>
        <w:t>by expected uptake</w:t>
      </w:r>
      <w:r>
        <w:rPr>
          <w:szCs w:val="20"/>
        </w:rPr>
        <w:t>.</w:t>
      </w:r>
    </w:p>
    <w:p w:rsidR="00382407" w:rsidRPr="00154B00" w:rsidRDefault="00382407" w:rsidP="001B7CF3">
      <w:pPr>
        <w:pStyle w:val="Heading2"/>
        <w:spacing w:before="0"/>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Pr="00154B00" w:rsidRDefault="0042719E" w:rsidP="001B7CF3">
      <w:pPr>
        <w:spacing w:before="0"/>
        <w:ind w:left="426"/>
        <w:rPr>
          <w:szCs w:val="20"/>
        </w:rPr>
      </w:pPr>
      <w:r>
        <w:rPr>
          <w:szCs w:val="20"/>
        </w:rPr>
        <w:t>The NIPT would be delivered once per pregnancy in a woman’s first trimester, unless a retest is required due to an indeterminate result. Realistically, therefore, NIPT would be offered up to two times per year.  Currently, some providers provide a re-test at no extra charge</w:t>
      </w:r>
    </w:p>
    <w:p w:rsidR="00382407" w:rsidRPr="00154B00" w:rsidRDefault="00382407" w:rsidP="001B7CF3">
      <w:pPr>
        <w:pStyle w:val="Heading2"/>
        <w:spacing w:before="0"/>
      </w:pPr>
      <w:r w:rsidRPr="00154B00">
        <w:t>How many years would the proposed medical service</w:t>
      </w:r>
      <w:r w:rsidR="005A58BA">
        <w:t>(s)</w:t>
      </w:r>
      <w:r w:rsidRPr="00154B00">
        <w:t xml:space="preserve"> be required for the patient?</w:t>
      </w:r>
    </w:p>
    <w:p w:rsidR="0042719E" w:rsidRPr="00154B00" w:rsidRDefault="0042719E" w:rsidP="001B7CF3">
      <w:pPr>
        <w:spacing w:before="0"/>
        <w:ind w:left="426"/>
        <w:rPr>
          <w:b/>
          <w:szCs w:val="20"/>
        </w:rPr>
      </w:pPr>
      <w:r>
        <w:rPr>
          <w:szCs w:val="20"/>
        </w:rPr>
        <w:t xml:space="preserve">An NIPT may be accessed at any point during a woman’s child-bearing age, typically defined as 15 to 44 years of age, in the years she is carrying a </w:t>
      </w:r>
      <w:proofErr w:type="spellStart"/>
      <w:r>
        <w:rPr>
          <w:szCs w:val="20"/>
        </w:rPr>
        <w:t>fetus</w:t>
      </w:r>
      <w:proofErr w:type="spellEnd"/>
      <w:r>
        <w:rPr>
          <w:szCs w:val="20"/>
        </w:rPr>
        <w:t xml:space="preserve"> from 10 weeks gestational age.</w:t>
      </w:r>
    </w:p>
    <w:p w:rsidR="002A6753" w:rsidRPr="00154B00" w:rsidRDefault="000E47E7" w:rsidP="001B7CF3">
      <w:pPr>
        <w:pStyle w:val="Heading2"/>
        <w:spacing w:before="0"/>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42719E" w:rsidRDefault="0042719E" w:rsidP="001B7CF3">
      <w:pPr>
        <w:spacing w:before="0"/>
        <w:ind w:left="426"/>
        <w:rPr>
          <w:szCs w:val="20"/>
        </w:rPr>
      </w:pPr>
      <w:r>
        <w:rPr>
          <w:szCs w:val="20"/>
        </w:rPr>
        <w:t xml:space="preserve">Among </w:t>
      </w:r>
      <w:r w:rsidRPr="006042BD">
        <w:rPr>
          <w:szCs w:val="20"/>
        </w:rPr>
        <w:t>32</w:t>
      </w:r>
      <w:r>
        <w:rPr>
          <w:szCs w:val="20"/>
        </w:rPr>
        <w:t>,</w:t>
      </w:r>
      <w:r w:rsidRPr="006042BD">
        <w:rPr>
          <w:szCs w:val="20"/>
        </w:rPr>
        <w:t xml:space="preserve">478 women </w:t>
      </w:r>
      <w:r>
        <w:rPr>
          <w:szCs w:val="20"/>
        </w:rPr>
        <w:t xml:space="preserve">undergoing </w:t>
      </w:r>
      <w:r w:rsidRPr="006042BD">
        <w:rPr>
          <w:szCs w:val="20"/>
        </w:rPr>
        <w:t>FTS in W</w:t>
      </w:r>
      <w:r>
        <w:rPr>
          <w:szCs w:val="20"/>
        </w:rPr>
        <w:t xml:space="preserve">estern </w:t>
      </w:r>
      <w:r w:rsidRPr="006042BD">
        <w:rPr>
          <w:szCs w:val="20"/>
        </w:rPr>
        <w:t>A</w:t>
      </w:r>
      <w:r>
        <w:rPr>
          <w:szCs w:val="20"/>
        </w:rPr>
        <w:t xml:space="preserve">ustralia in </w:t>
      </w:r>
      <w:r w:rsidRPr="006042BD">
        <w:rPr>
          <w:szCs w:val="20"/>
        </w:rPr>
        <w:t>200</w:t>
      </w:r>
      <w:r>
        <w:rPr>
          <w:szCs w:val="20"/>
        </w:rPr>
        <w:t>5–</w:t>
      </w:r>
      <w:r w:rsidRPr="006042BD">
        <w:rPr>
          <w:szCs w:val="20"/>
        </w:rPr>
        <w:t>06</w:t>
      </w:r>
      <w:r>
        <w:rPr>
          <w:szCs w:val="20"/>
        </w:rPr>
        <w:t>, the uptake of invasive testing among women with a high-risk result from FTS was 75% (O’Leary et al 2013).  This suggests that ~29,000 women would receive NIPT under a contingent testing model (75% × 39,000).  However, uptake of NIPT is likely is likely to be higher than for invasive testing due to its relative ease and no risk of miscarriage.</w:t>
      </w:r>
    </w:p>
    <w:p w:rsidR="0042719E" w:rsidRPr="00154B00" w:rsidRDefault="0042719E" w:rsidP="001B7CF3">
      <w:pPr>
        <w:spacing w:before="0"/>
        <w:ind w:left="426"/>
        <w:rPr>
          <w:szCs w:val="20"/>
        </w:rPr>
      </w:pPr>
      <w:r>
        <w:rPr>
          <w:szCs w:val="20"/>
        </w:rPr>
        <w:t xml:space="preserve">Up ~230,000 </w:t>
      </w:r>
      <w:r w:rsidRPr="00220237">
        <w:rPr>
          <w:szCs w:val="20"/>
        </w:rPr>
        <w:t xml:space="preserve">women would use NIPT </w:t>
      </w:r>
      <w:r>
        <w:rPr>
          <w:szCs w:val="20"/>
        </w:rPr>
        <w:t>in the first full year under a primary testing</w:t>
      </w:r>
      <w:r w:rsidRPr="00220237">
        <w:rPr>
          <w:szCs w:val="20"/>
        </w:rPr>
        <w:t xml:space="preserve"> </w:t>
      </w:r>
      <w:r>
        <w:rPr>
          <w:szCs w:val="20"/>
        </w:rPr>
        <w:t>model, based on  the uptake of first trimester serum screening being 77% (83% total uptake × 93% of uptake in first trimester) in 2013 among pregnant women in Victoria, Australia (Hui et al 2016) (77% × 300,000 = 230,000).</w:t>
      </w:r>
    </w:p>
    <w:p w:rsidR="00974D50" w:rsidRPr="00154B00" w:rsidRDefault="005A58BA" w:rsidP="001B7CF3">
      <w:pPr>
        <w:pStyle w:val="Heading2"/>
        <w:spacing w:before="0"/>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42719E" w:rsidRPr="002304FD" w:rsidRDefault="0042719E" w:rsidP="001B7CF3">
      <w:pPr>
        <w:spacing w:before="0"/>
        <w:ind w:left="426"/>
        <w:rPr>
          <w:szCs w:val="20"/>
        </w:rPr>
      </w:pPr>
      <w:r w:rsidRPr="002304FD">
        <w:rPr>
          <w:szCs w:val="20"/>
        </w:rPr>
        <w:t>Utilisation expected to grow at a CAGR of 17.5% over the period 2014-2022 and then stabilise to increase in accordance with population growth among women aged 15-44 years.</w:t>
      </w:r>
    </w:p>
    <w:p w:rsidR="001B7CF3" w:rsidRDefault="001B7CF3">
      <w:pPr>
        <w:spacing w:before="0" w:after="200" w:line="276" w:lineRule="auto"/>
        <w:rPr>
          <w:szCs w:val="20"/>
        </w:rPr>
      </w:pPr>
      <w:r>
        <w:rPr>
          <w:szCs w:val="20"/>
        </w:rPr>
        <w:br w:type="page"/>
      </w:r>
    </w:p>
    <w:p w:rsidR="003433D1" w:rsidRDefault="0042719E" w:rsidP="001B7CF3">
      <w:pPr>
        <w:spacing w:before="0"/>
        <w:ind w:left="426"/>
        <w:rPr>
          <w:b/>
          <w:sz w:val="32"/>
          <w:szCs w:val="32"/>
        </w:rPr>
      </w:pPr>
      <w:r w:rsidRPr="002304FD">
        <w:rPr>
          <w:szCs w:val="20"/>
        </w:rPr>
        <w:lastRenderedPageBreak/>
        <w:t xml:space="preserve">No constraints in the health system in meeting the needs of the proposed population are expected. On the contrary, the reduction in invasive testing represents a reduction in demand on the health system.  Under a contingent </w:t>
      </w:r>
      <w:r>
        <w:rPr>
          <w:szCs w:val="20"/>
        </w:rPr>
        <w:t>test</w:t>
      </w:r>
      <w:r w:rsidRPr="002304FD">
        <w:rPr>
          <w:szCs w:val="20"/>
        </w:rPr>
        <w:t xml:space="preserve">ing model, there </w:t>
      </w:r>
      <w:r>
        <w:rPr>
          <w:szCs w:val="20"/>
        </w:rPr>
        <w:t xml:space="preserve">may be utilisation of NIPT by </w:t>
      </w:r>
      <w:r w:rsidRPr="002304FD">
        <w:rPr>
          <w:szCs w:val="20"/>
        </w:rPr>
        <w:t>women at low or high risk (a</w:t>
      </w:r>
      <w:r>
        <w:rPr>
          <w:szCs w:val="20"/>
        </w:rPr>
        <w:t>s defined by the risk cut-offs). However women in low or high risk categories would not be eligible for Medicare reimbursement under the proposed MBS descriptor.</w:t>
      </w:r>
    </w:p>
    <w:p w:rsidR="001B7CF3" w:rsidRDefault="001B7CF3">
      <w:pPr>
        <w:spacing w:before="0" w:after="200" w:line="276" w:lineRule="auto"/>
        <w:rPr>
          <w:bCs/>
          <w:color w:val="4F81BD" w:themeColor="accent1"/>
          <w:sz w:val="40"/>
          <w:szCs w:val="32"/>
        </w:rPr>
      </w:pPr>
      <w:r>
        <w:br w:type="page"/>
      </w:r>
    </w:p>
    <w:p w:rsidR="00951933" w:rsidRPr="00C776B1" w:rsidRDefault="001B5169" w:rsidP="001B7CF3">
      <w:pPr>
        <w:pStyle w:val="Heading1"/>
        <w:spacing w:after="120" w:line="240" w:lineRule="auto"/>
      </w:pPr>
      <w:r>
        <w:lastRenderedPageBreak/>
        <w:t>PART 8</w:t>
      </w:r>
      <w:r w:rsidR="00F93784">
        <w:t xml:space="preserve"> – </w:t>
      </w:r>
      <w:r w:rsidR="005A58BA">
        <w:t>COST</w:t>
      </w:r>
      <w:r w:rsidR="00951933" w:rsidRPr="00C776B1">
        <w:t xml:space="preserve"> INFORMATION</w:t>
      </w:r>
    </w:p>
    <w:p w:rsidR="006A649A" w:rsidRPr="00AE1188" w:rsidRDefault="006A649A" w:rsidP="001B7CF3">
      <w:pPr>
        <w:pStyle w:val="Heading2"/>
        <w:spacing w:before="0"/>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503AC2" w:rsidRDefault="00503AC2" w:rsidP="001B7CF3">
      <w:pPr>
        <w:spacing w:before="0"/>
        <w:rPr>
          <w:szCs w:val="20"/>
        </w:rPr>
      </w:pPr>
      <w:r w:rsidRPr="00822260">
        <w:rPr>
          <w:szCs w:val="20"/>
        </w:rPr>
        <w:t>The current private market cost of NIPT, for which testing is providing within Australia, is $395 to $550 (depending on the laboratory and provider).</w:t>
      </w:r>
    </w:p>
    <w:p w:rsidR="00503AC2" w:rsidRPr="00D56994" w:rsidRDefault="00503AC2" w:rsidP="001B7CF3">
      <w:pPr>
        <w:spacing w:before="0"/>
        <w:rPr>
          <w:szCs w:val="20"/>
        </w:rPr>
      </w:pPr>
      <w:r w:rsidRPr="00D56994">
        <w:rPr>
          <w:szCs w:val="20"/>
        </w:rPr>
        <w:t>NIPT implementation could bring not only substantial clinical benefit but also cost reduction.  Cost savings with NIPT are mainly driven from fewer unnecessary invasive procedures, replacement of traditional screening test costs, and driving utilisation of primary care physicians while reducing specialist referrals. A reduction in the birth incidence of trisomies would reduce the costs of such medical and supportive care as might have been required.</w:t>
      </w:r>
    </w:p>
    <w:p w:rsidR="00503AC2" w:rsidRPr="00D56994" w:rsidRDefault="00503AC2" w:rsidP="001B7CF3">
      <w:pPr>
        <w:spacing w:before="0"/>
        <w:rPr>
          <w:szCs w:val="20"/>
        </w:rPr>
      </w:pPr>
      <w:r w:rsidRPr="00D56994">
        <w:rPr>
          <w:szCs w:val="20"/>
        </w:rPr>
        <w:t xml:space="preserve">There have been a number of published analyses of the cost-effectiveness of including NIPT in prenatal </w:t>
      </w:r>
      <w:r>
        <w:rPr>
          <w:szCs w:val="20"/>
        </w:rPr>
        <w:t>test</w:t>
      </w:r>
      <w:r w:rsidRPr="00D56994">
        <w:rPr>
          <w:szCs w:val="20"/>
        </w:rPr>
        <w:t>ing programs which support this application</w:t>
      </w:r>
      <w:r>
        <w:rPr>
          <w:szCs w:val="20"/>
        </w:rPr>
        <w:t xml:space="preserve"> and outline models to explore the economic outcomes</w:t>
      </w:r>
      <w:r w:rsidRPr="00D56994">
        <w:rPr>
          <w:szCs w:val="20"/>
        </w:rPr>
        <w:t>:</w:t>
      </w:r>
    </w:p>
    <w:p w:rsidR="00503AC2" w:rsidRPr="00D56994" w:rsidRDefault="00503AC2" w:rsidP="001B7CF3">
      <w:pPr>
        <w:pStyle w:val="ListParagraph"/>
        <w:numPr>
          <w:ilvl w:val="0"/>
          <w:numId w:val="39"/>
        </w:numPr>
        <w:spacing w:before="0"/>
        <w:rPr>
          <w:szCs w:val="20"/>
        </w:rPr>
      </w:pPr>
      <w:proofErr w:type="spellStart"/>
      <w:r w:rsidRPr="00D56994">
        <w:rPr>
          <w:i/>
          <w:szCs w:val="20"/>
        </w:rPr>
        <w:t>Cuckle</w:t>
      </w:r>
      <w:proofErr w:type="spellEnd"/>
      <w:r w:rsidRPr="00D56994">
        <w:rPr>
          <w:i/>
          <w:szCs w:val="20"/>
        </w:rPr>
        <w:t xml:space="preserve"> et al. (2013)</w:t>
      </w:r>
      <w:r w:rsidRPr="00D56994">
        <w:rPr>
          <w:szCs w:val="20"/>
        </w:rPr>
        <w:t xml:space="preserve"> found that the main factor in the economic evaluation was the unit cost of NIPT. They concluded that a contingent policy whereby 10% to 20% women selected during conventional first trimester screening undergo NIPT to be more cost-efficient than primary screening.</w:t>
      </w:r>
    </w:p>
    <w:p w:rsidR="00503AC2" w:rsidRPr="00D56994" w:rsidRDefault="00503AC2" w:rsidP="001B7CF3">
      <w:pPr>
        <w:pStyle w:val="ListParagraph"/>
        <w:numPr>
          <w:ilvl w:val="0"/>
          <w:numId w:val="39"/>
        </w:numPr>
        <w:spacing w:before="0"/>
        <w:rPr>
          <w:szCs w:val="20"/>
        </w:rPr>
      </w:pPr>
      <w:r w:rsidRPr="00D56994">
        <w:rPr>
          <w:i/>
          <w:szCs w:val="20"/>
        </w:rPr>
        <w:t>O’Leary et al. (2013)</w:t>
      </w:r>
      <w:r w:rsidRPr="00D56994">
        <w:rPr>
          <w:szCs w:val="20"/>
        </w:rPr>
        <w:t xml:space="preserve"> developed a health economic model to compare the costs and benefits of the performance of </w:t>
      </w:r>
      <w:proofErr w:type="spellStart"/>
      <w:r w:rsidRPr="00D56994">
        <w:rPr>
          <w:szCs w:val="20"/>
        </w:rPr>
        <w:t>noninvasive</w:t>
      </w:r>
      <w:proofErr w:type="spellEnd"/>
      <w:r w:rsidRPr="00D56994">
        <w:rPr>
          <w:szCs w:val="20"/>
        </w:rPr>
        <w:t xml:space="preserve"> prenatal testing for high-risk pregnancies following first-trimester screening compared with current practice. They found that the implementation of NIPT would reduce the number of invasive diagnostic tests and the number of procedure-related </w:t>
      </w:r>
      <w:proofErr w:type="spellStart"/>
      <w:r w:rsidRPr="00D56994">
        <w:rPr>
          <w:szCs w:val="20"/>
        </w:rPr>
        <w:t>fetal</w:t>
      </w:r>
      <w:proofErr w:type="spellEnd"/>
      <w:r w:rsidRPr="00D56994">
        <w:rPr>
          <w:szCs w:val="20"/>
        </w:rPr>
        <w:t xml:space="preserve"> losses by 88%</w:t>
      </w:r>
      <w:r>
        <w:rPr>
          <w:szCs w:val="20"/>
        </w:rPr>
        <w:t>. While an increase in the cost was determined over a two year period, s</w:t>
      </w:r>
      <w:r w:rsidRPr="00D56994">
        <w:rPr>
          <w:szCs w:val="20"/>
        </w:rPr>
        <w:t>ensitivity analysis considered the impact of variation in a number of model parameters, including the cost and uptake of NIPT.</w:t>
      </w:r>
      <w:r>
        <w:rPr>
          <w:szCs w:val="20"/>
        </w:rPr>
        <w:t xml:space="preserve"> The unit cost of NIPT has decreased since this study was published.</w:t>
      </w:r>
    </w:p>
    <w:p w:rsidR="00503AC2" w:rsidRPr="00D56994" w:rsidRDefault="00503AC2" w:rsidP="001B7CF3">
      <w:pPr>
        <w:pStyle w:val="ListParagraph"/>
        <w:numPr>
          <w:ilvl w:val="0"/>
          <w:numId w:val="39"/>
        </w:numPr>
        <w:spacing w:before="0"/>
        <w:rPr>
          <w:szCs w:val="20"/>
        </w:rPr>
      </w:pPr>
      <w:r w:rsidRPr="00D56994">
        <w:rPr>
          <w:i/>
          <w:szCs w:val="20"/>
        </w:rPr>
        <w:t>Ayres et al (2014)</w:t>
      </w:r>
      <w:r w:rsidRPr="00D56994">
        <w:rPr>
          <w:szCs w:val="20"/>
        </w:rPr>
        <w:t xml:space="preserve"> published a cost-effectiveness analysis comparing different strategies to implement NIPT for Down syndrome (DS) screening in comparison with current practice in Australia. The </w:t>
      </w:r>
      <w:proofErr w:type="gramStart"/>
      <w:r w:rsidRPr="00D56994">
        <w:rPr>
          <w:szCs w:val="20"/>
        </w:rPr>
        <w:t>number of DS cases detected and procedure-related losses (PRL) were</w:t>
      </w:r>
      <w:proofErr w:type="gramEnd"/>
      <w:r w:rsidRPr="00D56994">
        <w:rPr>
          <w:szCs w:val="20"/>
        </w:rPr>
        <w:t xml:space="preserve"> compared between strategies. The incremental cost per case detected was the primary measure of cost effectiveness.  They found that the strategy of offering NIPT as a second investigation following ‘high-risk’ CFTS stratification (&gt; 1/300) was cost saving, more effective in avoiding PRL, however slightly less effective for DS detection than the current practice. It is implicit that modifying the thresholds of this strategy more in line with the suggested contingent model would increase the number of DS detected. </w:t>
      </w:r>
    </w:p>
    <w:p w:rsidR="00951933" w:rsidRPr="00154B00" w:rsidRDefault="00503AC2" w:rsidP="001B7CF3">
      <w:pPr>
        <w:spacing w:before="0"/>
        <w:ind w:left="426"/>
        <w:rPr>
          <w:szCs w:val="20"/>
        </w:rPr>
      </w:pPr>
      <w:proofErr w:type="spellStart"/>
      <w:r w:rsidRPr="00D56994">
        <w:rPr>
          <w:i/>
          <w:szCs w:val="20"/>
        </w:rPr>
        <w:t>Suthers</w:t>
      </w:r>
      <w:proofErr w:type="spellEnd"/>
      <w:r w:rsidRPr="00D56994">
        <w:rPr>
          <w:i/>
          <w:szCs w:val="20"/>
        </w:rPr>
        <w:t xml:space="preserve"> and O’Leary (manuscript in preparation – see question 18: study 1) </w:t>
      </w:r>
      <w:r w:rsidRPr="00D56994">
        <w:rPr>
          <w:szCs w:val="20"/>
        </w:rPr>
        <w:t xml:space="preserve">compared the performance and cost-effectiveness of contingent </w:t>
      </w:r>
      <w:r>
        <w:rPr>
          <w:szCs w:val="20"/>
        </w:rPr>
        <w:t>test</w:t>
      </w:r>
      <w:r w:rsidRPr="00D56994">
        <w:rPr>
          <w:szCs w:val="20"/>
        </w:rPr>
        <w:t xml:space="preserve">ing models using different threshold risks to a base model with sensitivity equivalent the current </w:t>
      </w:r>
      <w:proofErr w:type="spellStart"/>
      <w:r w:rsidRPr="00D56994">
        <w:rPr>
          <w:szCs w:val="20"/>
        </w:rPr>
        <w:t>cFTS</w:t>
      </w:r>
      <w:proofErr w:type="spellEnd"/>
      <w:r w:rsidRPr="00D56994">
        <w:rPr>
          <w:szCs w:val="20"/>
        </w:rPr>
        <w:t>. They determined that thresholds of 1:10 (high risk) and 1:1000 (Low risk) had a 1% increase in the cost per diagnosis from the base model with a</w:t>
      </w:r>
      <w:r>
        <w:rPr>
          <w:szCs w:val="20"/>
        </w:rPr>
        <w:t>n</w:t>
      </w:r>
      <w:r w:rsidRPr="00D56994">
        <w:rPr>
          <w:szCs w:val="20"/>
        </w:rPr>
        <w:t xml:space="preserve"> 8% increase in sensitivity and a 13 fold increase in diagnosis per </w:t>
      </w:r>
      <w:proofErr w:type="spellStart"/>
      <w:r w:rsidRPr="00D56994">
        <w:rPr>
          <w:szCs w:val="20"/>
        </w:rPr>
        <w:t>fetal</w:t>
      </w:r>
      <w:proofErr w:type="spellEnd"/>
      <w:r w:rsidRPr="00D56994">
        <w:rPr>
          <w:szCs w:val="20"/>
        </w:rPr>
        <w:t xml:space="preserve"> loss. The current private market cost of NIPT, for which testing is providing within Australia, is $395 to $550 (depending on the laboratory and provider).</w:t>
      </w:r>
    </w:p>
    <w:p w:rsidR="00951933" w:rsidRPr="00154B00" w:rsidRDefault="00951933" w:rsidP="001B7CF3">
      <w:pPr>
        <w:pStyle w:val="Heading2"/>
        <w:spacing w:before="0"/>
      </w:pPr>
      <w:r w:rsidRPr="00154B00">
        <w:t xml:space="preserve">Specify how </w:t>
      </w:r>
      <w:r w:rsidRPr="00AE1188">
        <w:t>long</w:t>
      </w:r>
      <w:r w:rsidRPr="00154B00">
        <w:t xml:space="preserve"> the proposed medical ser</w:t>
      </w:r>
      <w:r w:rsidR="00AE1188">
        <w:t>vice typically takes to perform:</w:t>
      </w:r>
    </w:p>
    <w:p w:rsidR="00503AC2" w:rsidRDefault="00503AC2" w:rsidP="001B7CF3">
      <w:pPr>
        <w:spacing w:before="0"/>
        <w:ind w:left="426"/>
        <w:rPr>
          <w:szCs w:val="20"/>
        </w:rPr>
      </w:pPr>
      <w:r>
        <w:rPr>
          <w:szCs w:val="20"/>
        </w:rPr>
        <w:t>The medical service can be described in two stages:</w:t>
      </w:r>
    </w:p>
    <w:p w:rsidR="00503AC2" w:rsidRPr="00ED16E9" w:rsidRDefault="00503AC2" w:rsidP="001B7CF3">
      <w:pPr>
        <w:pStyle w:val="ListParagraph"/>
        <w:numPr>
          <w:ilvl w:val="0"/>
          <w:numId w:val="40"/>
        </w:numPr>
        <w:spacing w:before="0"/>
        <w:ind w:left="426" w:firstLine="0"/>
        <w:rPr>
          <w:szCs w:val="20"/>
        </w:rPr>
      </w:pPr>
      <w:r>
        <w:rPr>
          <w:szCs w:val="20"/>
        </w:rPr>
        <w:t xml:space="preserve">Pre-service: </w:t>
      </w:r>
      <w:r w:rsidRPr="00ED16E9">
        <w:rPr>
          <w:szCs w:val="20"/>
        </w:rPr>
        <w:t xml:space="preserve">blood collection and </w:t>
      </w:r>
      <w:proofErr w:type="spellStart"/>
      <w:r w:rsidRPr="00ED16E9">
        <w:rPr>
          <w:szCs w:val="20"/>
        </w:rPr>
        <w:t>cfDNA</w:t>
      </w:r>
      <w:proofErr w:type="spellEnd"/>
      <w:r w:rsidRPr="00ED16E9">
        <w:rPr>
          <w:szCs w:val="20"/>
        </w:rPr>
        <w:t xml:space="preserve"> extraction (blood collection</w:t>
      </w:r>
      <w:r>
        <w:rPr>
          <w:szCs w:val="20"/>
        </w:rPr>
        <w:t>,</w:t>
      </w:r>
      <w:r w:rsidRPr="00ED16E9">
        <w:rPr>
          <w:szCs w:val="20"/>
        </w:rPr>
        <w:t xml:space="preserve"> test requisition, blood sample transportation, plasma preparation</w:t>
      </w:r>
      <w:r>
        <w:rPr>
          <w:szCs w:val="20"/>
        </w:rPr>
        <w:t xml:space="preserve">, </w:t>
      </w:r>
      <w:proofErr w:type="spellStart"/>
      <w:r>
        <w:rPr>
          <w:szCs w:val="20"/>
        </w:rPr>
        <w:t>cfDNA</w:t>
      </w:r>
      <w:proofErr w:type="spellEnd"/>
      <w:r>
        <w:rPr>
          <w:szCs w:val="20"/>
        </w:rPr>
        <w:t xml:space="preserve"> extraction);</w:t>
      </w:r>
    </w:p>
    <w:p w:rsidR="00503AC2" w:rsidRPr="00ED16E9" w:rsidRDefault="00503AC2" w:rsidP="001B7CF3">
      <w:pPr>
        <w:pStyle w:val="ListParagraph"/>
        <w:numPr>
          <w:ilvl w:val="0"/>
          <w:numId w:val="40"/>
        </w:numPr>
        <w:spacing w:before="0"/>
        <w:ind w:left="426" w:firstLine="0"/>
        <w:rPr>
          <w:szCs w:val="20"/>
        </w:rPr>
      </w:pPr>
      <w:r>
        <w:rPr>
          <w:szCs w:val="20"/>
        </w:rPr>
        <w:t xml:space="preserve">Intra-service: </w:t>
      </w:r>
      <w:r w:rsidRPr="00ED16E9">
        <w:rPr>
          <w:szCs w:val="20"/>
        </w:rPr>
        <w:t>analysis and reporting (library preparation [pre-PCR laboratory], detection of library products [post-PCR laboratory], microarray imager, analysis, patient report).</w:t>
      </w:r>
    </w:p>
    <w:p w:rsidR="00503AC2" w:rsidRDefault="00503AC2" w:rsidP="001B7CF3">
      <w:pPr>
        <w:spacing w:before="0"/>
        <w:ind w:left="426"/>
        <w:rPr>
          <w:szCs w:val="20"/>
        </w:rPr>
      </w:pPr>
      <w:r>
        <w:rPr>
          <w:szCs w:val="20"/>
        </w:rPr>
        <w:t xml:space="preserve">The time to complete stage 1 </w:t>
      </w:r>
      <w:r w:rsidRPr="00A326DF">
        <w:rPr>
          <w:szCs w:val="20"/>
        </w:rPr>
        <w:t>depend</w:t>
      </w:r>
      <w:r>
        <w:rPr>
          <w:szCs w:val="20"/>
        </w:rPr>
        <w:t>s</w:t>
      </w:r>
      <w:r w:rsidRPr="00A326DF">
        <w:rPr>
          <w:szCs w:val="20"/>
        </w:rPr>
        <w:t xml:space="preserve"> on </w:t>
      </w:r>
      <w:r>
        <w:rPr>
          <w:szCs w:val="20"/>
        </w:rPr>
        <w:t xml:space="preserve">the time required for the standard blood draw and </w:t>
      </w:r>
      <w:r w:rsidRPr="00A326DF">
        <w:rPr>
          <w:szCs w:val="20"/>
        </w:rPr>
        <w:t xml:space="preserve">collection of samples, </w:t>
      </w:r>
      <w:r>
        <w:rPr>
          <w:szCs w:val="20"/>
        </w:rPr>
        <w:t>transportation (</w:t>
      </w:r>
      <w:r w:rsidRPr="00A326DF">
        <w:rPr>
          <w:szCs w:val="20"/>
        </w:rPr>
        <w:t xml:space="preserve">location of </w:t>
      </w:r>
      <w:r>
        <w:rPr>
          <w:szCs w:val="20"/>
        </w:rPr>
        <w:t xml:space="preserve">the </w:t>
      </w:r>
      <w:r w:rsidRPr="00A326DF">
        <w:rPr>
          <w:szCs w:val="20"/>
        </w:rPr>
        <w:t>collection site</w:t>
      </w:r>
      <w:r>
        <w:rPr>
          <w:szCs w:val="20"/>
        </w:rPr>
        <w:t xml:space="preserve"> relative to the laboratory, up to 4 business days)</w:t>
      </w:r>
      <w:r w:rsidRPr="00A326DF">
        <w:rPr>
          <w:szCs w:val="20"/>
        </w:rPr>
        <w:t xml:space="preserve">, </w:t>
      </w:r>
      <w:proofErr w:type="spellStart"/>
      <w:r>
        <w:rPr>
          <w:szCs w:val="20"/>
        </w:rPr>
        <w:t>cfDNA</w:t>
      </w:r>
      <w:proofErr w:type="spellEnd"/>
      <w:r>
        <w:rPr>
          <w:szCs w:val="20"/>
        </w:rPr>
        <w:t xml:space="preserve"> </w:t>
      </w:r>
      <w:r w:rsidRPr="00A326DF">
        <w:rPr>
          <w:szCs w:val="20"/>
        </w:rPr>
        <w:t>extraction m</w:t>
      </w:r>
      <w:r>
        <w:rPr>
          <w:szCs w:val="20"/>
        </w:rPr>
        <w:t xml:space="preserve">ethod (~1 day), and batching of samples. </w:t>
      </w:r>
    </w:p>
    <w:p w:rsidR="00951933" w:rsidRDefault="00503AC2" w:rsidP="001B7CF3">
      <w:pPr>
        <w:spacing w:before="0"/>
        <w:ind w:left="426"/>
        <w:rPr>
          <w:b/>
          <w:szCs w:val="20"/>
        </w:rPr>
      </w:pPr>
      <w:r>
        <w:rPr>
          <w:szCs w:val="20"/>
        </w:rPr>
        <w:t xml:space="preserve">The time to complete stage 2 depends on the specific NIPT test.  </w:t>
      </w:r>
      <w:r w:rsidRPr="00A326DF">
        <w:rPr>
          <w:szCs w:val="20"/>
        </w:rPr>
        <w:t>T</w:t>
      </w:r>
      <w:r>
        <w:rPr>
          <w:szCs w:val="20"/>
        </w:rPr>
        <w:t xml:space="preserve">urnaround times are reported by NIPT providers to be approximately </w:t>
      </w:r>
      <w:r w:rsidRPr="00A326DF">
        <w:rPr>
          <w:szCs w:val="20"/>
        </w:rPr>
        <w:t xml:space="preserve">3 </w:t>
      </w:r>
      <w:r>
        <w:rPr>
          <w:szCs w:val="20"/>
        </w:rPr>
        <w:t>to</w:t>
      </w:r>
      <w:r w:rsidRPr="00A326DF">
        <w:rPr>
          <w:szCs w:val="20"/>
        </w:rPr>
        <w:t xml:space="preserve"> 10 business days.</w:t>
      </w:r>
    </w:p>
    <w:p w:rsidR="001B7CF3" w:rsidRDefault="001B7CF3">
      <w:pPr>
        <w:spacing w:before="0" w:after="200" w:line="276" w:lineRule="auto"/>
        <w:rPr>
          <w:b/>
          <w:szCs w:val="20"/>
        </w:rPr>
      </w:pPr>
      <w:r>
        <w:br w:type="page"/>
      </w:r>
    </w:p>
    <w:p w:rsidR="00707D4D" w:rsidRDefault="0054192F" w:rsidP="001B7CF3">
      <w:pPr>
        <w:pStyle w:val="Heading2"/>
        <w:spacing w:before="0"/>
      </w:pPr>
      <w:r>
        <w:lastRenderedPageBreak/>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AE1188" w:rsidRPr="00AE1188" w:rsidRDefault="00AE1188" w:rsidP="001B7CF3">
      <w:pPr>
        <w:pBdr>
          <w:top w:val="single" w:sz="4" w:space="1" w:color="auto"/>
          <w:left w:val="single" w:sz="4" w:space="4" w:color="auto"/>
          <w:bottom w:val="single" w:sz="4" w:space="1" w:color="auto"/>
          <w:right w:val="single" w:sz="4" w:space="4" w:color="auto"/>
          <w:between w:val="single" w:sz="4" w:space="1" w:color="auto"/>
          <w:bar w:val="single" w:sz="4" w:color="auto"/>
        </w:pBdr>
        <w:spacing w:before="0"/>
        <w:rPr>
          <w:szCs w:val="20"/>
        </w:rPr>
      </w:pPr>
      <w:r>
        <w:rPr>
          <w:szCs w:val="20"/>
        </w:rPr>
        <w:t xml:space="preserve">Category </w:t>
      </w:r>
      <w:r w:rsidR="00503AC2">
        <w:t>6</w:t>
      </w:r>
      <w:r w:rsidRPr="00AE1188">
        <w:rPr>
          <w:szCs w:val="20"/>
        </w:rPr>
        <w:t xml:space="preserve"> – </w:t>
      </w:r>
      <w:r w:rsidR="00503AC2">
        <w:t>Pathology Services</w:t>
      </w:r>
      <w:r w:rsidRPr="00AE1188">
        <w:rPr>
          <w:szCs w:val="20"/>
        </w:rPr>
        <w:t xml:space="preserve"> </w:t>
      </w:r>
    </w:p>
    <w:p w:rsidR="00AE1188" w:rsidRPr="00AE1188" w:rsidRDefault="00AE1188" w:rsidP="001B7CF3">
      <w:pPr>
        <w:pBdr>
          <w:top w:val="single" w:sz="4" w:space="1" w:color="auto"/>
          <w:left w:val="single" w:sz="4" w:space="4" w:color="auto"/>
          <w:bottom w:val="single" w:sz="4" w:space="1" w:color="auto"/>
          <w:right w:val="single" w:sz="4" w:space="4" w:color="auto"/>
        </w:pBdr>
        <w:spacing w:before="0"/>
        <w:rPr>
          <w:szCs w:val="20"/>
        </w:rPr>
      </w:pPr>
    </w:p>
    <w:p w:rsidR="00503AC2" w:rsidRDefault="00AE1188" w:rsidP="001B7CF3">
      <w:pPr>
        <w:pBdr>
          <w:top w:val="single" w:sz="4" w:space="1" w:color="auto"/>
          <w:left w:val="single" w:sz="4" w:space="4" w:color="auto"/>
          <w:bottom w:val="single" w:sz="4" w:space="1" w:color="auto"/>
          <w:right w:val="single" w:sz="4" w:space="4" w:color="auto"/>
        </w:pBdr>
        <w:spacing w:before="0"/>
      </w:pPr>
      <w:r w:rsidRPr="00AE1188">
        <w:rPr>
          <w:szCs w:val="20"/>
        </w:rPr>
        <w:t>Proposed item descriptor</w:t>
      </w:r>
      <w:r>
        <w:rPr>
          <w:szCs w:val="20"/>
        </w:rPr>
        <w:t xml:space="preserve">: </w:t>
      </w:r>
    </w:p>
    <w:p w:rsidR="00503AC2" w:rsidRDefault="00503AC2" w:rsidP="001B7CF3">
      <w:pPr>
        <w:pBdr>
          <w:top w:val="single" w:sz="4" w:space="1" w:color="auto"/>
          <w:left w:val="single" w:sz="4" w:space="4" w:color="auto"/>
          <w:bottom w:val="single" w:sz="4" w:space="1" w:color="auto"/>
          <w:right w:val="single" w:sz="4" w:space="4" w:color="auto"/>
        </w:pBdr>
        <w:spacing w:before="0"/>
      </w:pPr>
      <w:proofErr w:type="gramStart"/>
      <w:r>
        <w:t xml:space="preserve">Non-invasive prenatal testing to assess the risk of </w:t>
      </w:r>
      <w:proofErr w:type="spellStart"/>
      <w:r>
        <w:t>fetal</w:t>
      </w:r>
      <w:proofErr w:type="spellEnd"/>
      <w:r>
        <w:t xml:space="preserve"> trisomy of chromosomes 21, 18, and 13 by quantification of </w:t>
      </w:r>
      <w:proofErr w:type="spellStart"/>
      <w:r>
        <w:t>fetal</w:t>
      </w:r>
      <w:proofErr w:type="spellEnd"/>
      <w:r>
        <w:t xml:space="preserve"> fraction and analysis of cell-free DNA in maternal plasma.</w:t>
      </w:r>
      <w:proofErr w:type="gramEnd"/>
    </w:p>
    <w:p w:rsidR="00503AC2" w:rsidRDefault="00503AC2" w:rsidP="001B7CF3">
      <w:pPr>
        <w:pBdr>
          <w:top w:val="single" w:sz="4" w:space="1" w:color="auto"/>
          <w:left w:val="single" w:sz="4" w:space="4" w:color="auto"/>
          <w:bottom w:val="single" w:sz="4" w:space="1" w:color="auto"/>
          <w:right w:val="single" w:sz="4" w:space="4" w:color="auto"/>
        </w:pBdr>
        <w:spacing w:before="0"/>
      </w:pPr>
      <w:r>
        <w:t>Eligibility for MBS funding:</w:t>
      </w:r>
    </w:p>
    <w:p w:rsidR="00503AC2" w:rsidRPr="00503AC2" w:rsidRDefault="00503AC2" w:rsidP="001B7CF3">
      <w:pPr>
        <w:pBdr>
          <w:top w:val="single" w:sz="4" w:space="1" w:color="auto"/>
          <w:left w:val="single" w:sz="4" w:space="4" w:color="auto"/>
          <w:bottom w:val="single" w:sz="4" w:space="1" w:color="auto"/>
          <w:right w:val="single" w:sz="4" w:space="4" w:color="auto"/>
        </w:pBdr>
        <w:spacing w:before="0"/>
      </w:pPr>
      <w:r>
        <w:t xml:space="preserve">Categorised as intermediate risk in a contingent testing model </w:t>
      </w:r>
    </w:p>
    <w:p w:rsidR="00AE1188" w:rsidRPr="00AE1188" w:rsidRDefault="00AE1188" w:rsidP="001B7CF3">
      <w:pPr>
        <w:pBdr>
          <w:top w:val="single" w:sz="4" w:space="1" w:color="auto"/>
          <w:left w:val="single" w:sz="4" w:space="4" w:color="auto"/>
          <w:bottom w:val="single" w:sz="4" w:space="1" w:color="auto"/>
          <w:right w:val="single" w:sz="4" w:space="4" w:color="auto"/>
        </w:pBdr>
        <w:spacing w:before="0"/>
        <w:rPr>
          <w:szCs w:val="20"/>
        </w:rPr>
      </w:pPr>
      <w:r w:rsidRPr="00AE1188">
        <w:rPr>
          <w:szCs w:val="20"/>
        </w:rPr>
        <w:t>Fee:  $</w:t>
      </w:r>
      <w:r w:rsidR="00503AC2" w:rsidRPr="00503AC2">
        <w:t xml:space="preserve"> To be determined as part of the Assessment</w:t>
      </w:r>
    </w:p>
    <w:p w:rsidR="00AE1188" w:rsidRDefault="00AE1188" w:rsidP="001B7CF3">
      <w:pPr>
        <w:pStyle w:val="Heading2"/>
        <w:numPr>
          <w:ilvl w:val="0"/>
          <w:numId w:val="0"/>
        </w:numPr>
        <w:spacing w:before="0"/>
        <w:ind w:left="360"/>
      </w:pPr>
      <w:r>
        <w:br w:type="page"/>
      </w:r>
    </w:p>
    <w:p w:rsidR="00E058F2" w:rsidRPr="00C776B1" w:rsidRDefault="001B5169" w:rsidP="001B7CF3">
      <w:pPr>
        <w:pStyle w:val="Heading1"/>
        <w:spacing w:after="120" w:line="240" w:lineRule="auto"/>
      </w:pPr>
      <w:r>
        <w:lastRenderedPageBreak/>
        <w:t>PART 9</w:t>
      </w:r>
      <w:r w:rsidR="00F93784">
        <w:t xml:space="preserve"> – </w:t>
      </w:r>
      <w:r w:rsidR="00E058F2" w:rsidRPr="00C776B1">
        <w:t>FEEDBACK</w:t>
      </w:r>
    </w:p>
    <w:p w:rsidR="00E058F2" w:rsidRPr="00154B00" w:rsidRDefault="00E058F2" w:rsidP="001B7CF3">
      <w:pPr>
        <w:spacing w:before="0"/>
        <w:rPr>
          <w:szCs w:val="20"/>
        </w:rPr>
      </w:pPr>
      <w:r w:rsidRPr="00154B00">
        <w:rPr>
          <w:szCs w:val="20"/>
        </w:rPr>
        <w:t>The Department</w:t>
      </w:r>
      <w:r w:rsidR="005A58BA">
        <w:rPr>
          <w:szCs w:val="20"/>
        </w:rPr>
        <w:t xml:space="preserve"> is interested in your feedback.</w:t>
      </w:r>
    </w:p>
    <w:p w:rsidR="00E058F2" w:rsidRPr="00AE1188" w:rsidRDefault="00E058F2" w:rsidP="001B7CF3">
      <w:pPr>
        <w:pStyle w:val="Heading2"/>
        <w:spacing w:before="0"/>
      </w:pPr>
      <w:r w:rsidRPr="00AE1188">
        <w:t>How long did it take to complete the Application Form?</w:t>
      </w:r>
    </w:p>
    <w:p w:rsidR="00E058F2" w:rsidRPr="00154B00" w:rsidRDefault="00503AC2" w:rsidP="001B7CF3">
      <w:pPr>
        <w:spacing w:before="0"/>
        <w:ind w:left="426"/>
        <w:rPr>
          <w:szCs w:val="20"/>
        </w:rPr>
      </w:pPr>
      <w:r>
        <w:t>Five days</w:t>
      </w:r>
    </w:p>
    <w:p w:rsidR="001845D9" w:rsidRPr="00154B00" w:rsidRDefault="001B5169" w:rsidP="001B7CF3">
      <w:pPr>
        <w:pStyle w:val="Heading2"/>
        <w:spacing w:before="0"/>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rsidR="00603D04" w:rsidRPr="001B29A1" w:rsidRDefault="00503AC2" w:rsidP="001B7CF3">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603D04" w:rsidP="001B7CF3">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50F6F">
        <w:rPr>
          <w:szCs w:val="20"/>
        </w:rPr>
      </w:r>
      <w:r w:rsidR="00750F6F">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603D04" w:rsidP="001B7CF3">
      <w:pPr>
        <w:pStyle w:val="Heading2"/>
        <w:numPr>
          <w:ilvl w:val="0"/>
          <w:numId w:val="31"/>
        </w:numPr>
        <w:spacing w:before="0"/>
      </w:pPr>
      <w:r>
        <w:t>If no, provide areas of concern:</w:t>
      </w:r>
    </w:p>
    <w:p w:rsidR="003D6DE1" w:rsidRPr="00154B00" w:rsidRDefault="00603D04" w:rsidP="001B7CF3">
      <w:pPr>
        <w:spacing w:before="0"/>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rsidR="00E058F2" w:rsidRPr="00154B00" w:rsidRDefault="001B5169" w:rsidP="001B7CF3">
      <w:pPr>
        <w:pStyle w:val="Heading2"/>
        <w:spacing w:before="0"/>
      </w:pPr>
      <w:r>
        <w:t xml:space="preserve">(a) </w:t>
      </w:r>
      <w:r w:rsidR="00E058F2" w:rsidRPr="00603D04">
        <w:t>Are</w:t>
      </w:r>
      <w:r w:rsidR="00E058F2" w:rsidRPr="00154B00">
        <w:t xml:space="preserve"> the associated Guidelines to the Application Form useful?</w:t>
      </w:r>
    </w:p>
    <w:p w:rsidR="00603D04" w:rsidRPr="001B29A1" w:rsidRDefault="00503AC2" w:rsidP="001B7CF3">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603D04" w:rsidP="001B7CF3">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50F6F">
        <w:rPr>
          <w:szCs w:val="20"/>
        </w:rPr>
      </w:r>
      <w:r w:rsidR="00750F6F">
        <w:rPr>
          <w:szCs w:val="20"/>
        </w:rPr>
        <w:fldChar w:fldCharType="separate"/>
      </w:r>
      <w:r w:rsidRPr="001B29A1">
        <w:rPr>
          <w:szCs w:val="20"/>
        </w:rPr>
        <w:fldChar w:fldCharType="end"/>
      </w:r>
      <w:r w:rsidRPr="001B29A1">
        <w:rPr>
          <w:szCs w:val="20"/>
        </w:rPr>
        <w:t xml:space="preserve"> </w:t>
      </w:r>
      <w:r>
        <w:rPr>
          <w:szCs w:val="20"/>
        </w:rPr>
        <w:t>No</w:t>
      </w:r>
    </w:p>
    <w:p w:rsidR="003D6DE1" w:rsidRPr="00154B00" w:rsidRDefault="003D6DE1" w:rsidP="001B7CF3">
      <w:pPr>
        <w:pStyle w:val="Heading2"/>
        <w:numPr>
          <w:ilvl w:val="0"/>
          <w:numId w:val="32"/>
        </w:numPr>
        <w:spacing w:before="0"/>
      </w:pPr>
      <w:r>
        <w:t>If no, what areas did you find not to be useful?</w:t>
      </w:r>
    </w:p>
    <w:p w:rsidR="003D6DE1" w:rsidRPr="00154B00" w:rsidRDefault="00603D04" w:rsidP="001B7CF3">
      <w:pPr>
        <w:spacing w:before="0"/>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rsidR="00E058F2" w:rsidRPr="00154B00" w:rsidRDefault="001B5169" w:rsidP="001B7CF3">
      <w:pPr>
        <w:pStyle w:val="Heading2"/>
        <w:spacing w:before="0"/>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rsidR="00603D04" w:rsidRPr="001B29A1" w:rsidRDefault="00503AC2" w:rsidP="001B7CF3">
      <w:pPr>
        <w:spacing w:before="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50F6F">
        <w:rPr>
          <w:szCs w:val="20"/>
        </w:rPr>
      </w:r>
      <w:r w:rsidR="00750F6F">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rsidR="00603D04" w:rsidRPr="001B29A1" w:rsidRDefault="00603D04" w:rsidP="001B7CF3">
      <w:pPr>
        <w:spacing w:before="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50F6F">
        <w:rPr>
          <w:szCs w:val="20"/>
        </w:rPr>
      </w:r>
      <w:r w:rsidR="00750F6F">
        <w:rPr>
          <w:szCs w:val="20"/>
        </w:rPr>
        <w:fldChar w:fldCharType="separate"/>
      </w:r>
      <w:r w:rsidRPr="001B29A1">
        <w:rPr>
          <w:szCs w:val="20"/>
        </w:rPr>
        <w:fldChar w:fldCharType="end"/>
      </w:r>
      <w:r w:rsidRPr="001B29A1">
        <w:rPr>
          <w:szCs w:val="20"/>
        </w:rPr>
        <w:t xml:space="preserve"> </w:t>
      </w:r>
      <w:r>
        <w:rPr>
          <w:szCs w:val="20"/>
        </w:rPr>
        <w:t>No</w:t>
      </w:r>
    </w:p>
    <w:p w:rsidR="001845D9" w:rsidRPr="00154B00" w:rsidRDefault="001845D9" w:rsidP="001B7CF3">
      <w:pPr>
        <w:pStyle w:val="Heading2"/>
        <w:numPr>
          <w:ilvl w:val="0"/>
          <w:numId w:val="33"/>
        </w:numPr>
        <w:spacing w:before="0"/>
      </w:pPr>
      <w:r w:rsidRPr="00154B00">
        <w:t xml:space="preserve">If yes, please </w:t>
      </w:r>
      <w:proofErr w:type="gramStart"/>
      <w:r w:rsidRPr="00154B00">
        <w:t>advise</w:t>
      </w:r>
      <w:proofErr w:type="gramEnd"/>
      <w:r w:rsidRPr="00154B00">
        <w:t>:</w:t>
      </w:r>
    </w:p>
    <w:p w:rsidR="00503AC2" w:rsidRDefault="00503AC2" w:rsidP="001B7CF3">
      <w:pPr>
        <w:spacing w:before="0"/>
        <w:ind w:left="426"/>
        <w:rPr>
          <w:szCs w:val="20"/>
        </w:rPr>
      </w:pPr>
      <w:r>
        <w:rPr>
          <w:szCs w:val="20"/>
        </w:rPr>
        <w:t>Question 41 should be reworded to avoid confusion, and/or the yes/no response changed to other response options.</w:t>
      </w:r>
    </w:p>
    <w:p w:rsidR="00503AC2" w:rsidRDefault="00503AC2" w:rsidP="001B7CF3">
      <w:pPr>
        <w:spacing w:before="0"/>
        <w:rPr>
          <w:szCs w:val="20"/>
        </w:rPr>
      </w:pPr>
      <w:r>
        <w:rPr>
          <w:szCs w:val="20"/>
        </w:rPr>
        <w:br w:type="page"/>
      </w:r>
    </w:p>
    <w:p w:rsidR="00503AC2" w:rsidRPr="00720673" w:rsidRDefault="00503AC2" w:rsidP="001B7CF3">
      <w:pPr>
        <w:pStyle w:val="Heading2"/>
        <w:numPr>
          <w:ilvl w:val="0"/>
          <w:numId w:val="0"/>
        </w:numPr>
        <w:spacing w:before="0"/>
        <w:ind w:left="360" w:hanging="360"/>
        <w:rPr>
          <w:rFonts w:asciiTheme="majorHAnsi" w:hAnsiTheme="majorHAnsi"/>
          <w:color w:val="0070C0"/>
          <w:sz w:val="26"/>
          <w:szCs w:val="26"/>
        </w:rPr>
      </w:pPr>
      <w:r w:rsidRPr="00720673">
        <w:rPr>
          <w:rFonts w:asciiTheme="majorHAnsi" w:hAnsiTheme="majorHAnsi"/>
          <w:color w:val="0070C0"/>
          <w:sz w:val="26"/>
          <w:szCs w:val="26"/>
        </w:rPr>
        <w:lastRenderedPageBreak/>
        <w:t>References</w:t>
      </w:r>
    </w:p>
    <w:p w:rsidR="00503AC2" w:rsidRPr="00A53528" w:rsidRDefault="00503AC2" w:rsidP="001B7CF3">
      <w:pPr>
        <w:spacing w:before="0"/>
        <w:rPr>
          <w:szCs w:val="20"/>
        </w:rPr>
      </w:pPr>
      <w:proofErr w:type="spellStart"/>
      <w:r w:rsidRPr="00A53528">
        <w:rPr>
          <w:szCs w:val="20"/>
        </w:rPr>
        <w:t>Abeywardana</w:t>
      </w:r>
      <w:proofErr w:type="spellEnd"/>
      <w:r w:rsidRPr="00A53528">
        <w:rPr>
          <w:szCs w:val="20"/>
        </w:rPr>
        <w:t xml:space="preserve"> S &amp; Sullivan EA, 2008, ‘Congenital anomalies in Australia 2002–2003. </w:t>
      </w:r>
      <w:proofErr w:type="gramStart"/>
      <w:r w:rsidRPr="00A53528">
        <w:rPr>
          <w:szCs w:val="20"/>
        </w:rPr>
        <w:t>Birth anomalies series no. 3’, Cat.</w:t>
      </w:r>
      <w:proofErr w:type="gramEnd"/>
      <w:r w:rsidRPr="00A53528">
        <w:rPr>
          <w:szCs w:val="20"/>
        </w:rPr>
        <w:t xml:space="preserve"> </w:t>
      </w:r>
      <w:proofErr w:type="gramStart"/>
      <w:r w:rsidRPr="00A53528">
        <w:rPr>
          <w:szCs w:val="20"/>
        </w:rPr>
        <w:t>no</w:t>
      </w:r>
      <w:proofErr w:type="gramEnd"/>
      <w:r w:rsidRPr="00A53528">
        <w:rPr>
          <w:szCs w:val="20"/>
        </w:rPr>
        <w:t>. PER 41, Sydney: AIHW National Perinatal Statistics Unit.</w:t>
      </w:r>
    </w:p>
    <w:p w:rsidR="00503AC2" w:rsidRPr="00E95190" w:rsidRDefault="00503AC2" w:rsidP="001B7CF3">
      <w:pPr>
        <w:spacing w:before="0"/>
        <w:rPr>
          <w:szCs w:val="20"/>
        </w:rPr>
      </w:pPr>
      <w:proofErr w:type="spellStart"/>
      <w:r>
        <w:rPr>
          <w:szCs w:val="20"/>
        </w:rPr>
        <w:t>Akolekar</w:t>
      </w:r>
      <w:proofErr w:type="spellEnd"/>
      <w:r>
        <w:rPr>
          <w:szCs w:val="20"/>
        </w:rPr>
        <w:t xml:space="preserve"> R, Beta J, </w:t>
      </w:r>
      <w:proofErr w:type="spellStart"/>
      <w:r>
        <w:rPr>
          <w:szCs w:val="20"/>
        </w:rPr>
        <w:t>Picciarelli</w:t>
      </w:r>
      <w:proofErr w:type="spellEnd"/>
      <w:r>
        <w:rPr>
          <w:szCs w:val="20"/>
        </w:rPr>
        <w:t xml:space="preserve"> G, et al, 2015, ‘</w:t>
      </w:r>
      <w:r w:rsidRPr="00E95190">
        <w:rPr>
          <w:szCs w:val="20"/>
        </w:rPr>
        <w:t>Procedure-related risk of miscarriage following</w:t>
      </w:r>
      <w:r>
        <w:rPr>
          <w:szCs w:val="20"/>
        </w:rPr>
        <w:t xml:space="preserve"> </w:t>
      </w:r>
      <w:r w:rsidRPr="00E95190">
        <w:rPr>
          <w:szCs w:val="20"/>
        </w:rPr>
        <w:t>amniocentesis and chorionic villus sampling: a systematic</w:t>
      </w:r>
      <w:r>
        <w:rPr>
          <w:szCs w:val="20"/>
        </w:rPr>
        <w:t xml:space="preserve"> </w:t>
      </w:r>
      <w:r w:rsidRPr="00E95190">
        <w:rPr>
          <w:szCs w:val="20"/>
        </w:rPr>
        <w:t>review and meta-analysis</w:t>
      </w:r>
      <w:r>
        <w:rPr>
          <w:szCs w:val="20"/>
        </w:rPr>
        <w:t xml:space="preserve">’, </w:t>
      </w:r>
      <w:r w:rsidRPr="00E95190">
        <w:rPr>
          <w:szCs w:val="20"/>
        </w:rPr>
        <w:t xml:space="preserve">Ultrasound </w:t>
      </w:r>
      <w:proofErr w:type="spellStart"/>
      <w:r w:rsidRPr="00E95190">
        <w:rPr>
          <w:szCs w:val="20"/>
        </w:rPr>
        <w:t>Obstet</w:t>
      </w:r>
      <w:proofErr w:type="spellEnd"/>
      <w:r w:rsidRPr="00E95190">
        <w:rPr>
          <w:szCs w:val="20"/>
        </w:rPr>
        <w:t xml:space="preserve"> </w:t>
      </w:r>
      <w:proofErr w:type="spellStart"/>
      <w:r w:rsidRPr="00E95190">
        <w:rPr>
          <w:szCs w:val="20"/>
        </w:rPr>
        <w:t>Gynecol</w:t>
      </w:r>
      <w:proofErr w:type="spellEnd"/>
      <w:r w:rsidRPr="00E95190">
        <w:rPr>
          <w:szCs w:val="20"/>
        </w:rPr>
        <w:t>;</w:t>
      </w:r>
      <w:r>
        <w:rPr>
          <w:szCs w:val="20"/>
        </w:rPr>
        <w:t xml:space="preserve"> </w:t>
      </w:r>
      <w:r w:rsidRPr="00E95190">
        <w:rPr>
          <w:szCs w:val="20"/>
        </w:rPr>
        <w:t>45:</w:t>
      </w:r>
      <w:r>
        <w:rPr>
          <w:szCs w:val="20"/>
        </w:rPr>
        <w:t xml:space="preserve"> </w:t>
      </w:r>
      <w:r w:rsidRPr="00E95190">
        <w:rPr>
          <w:szCs w:val="20"/>
        </w:rPr>
        <w:t>16–26</w:t>
      </w:r>
      <w:r>
        <w:rPr>
          <w:szCs w:val="20"/>
        </w:rPr>
        <w:t>.</w:t>
      </w:r>
    </w:p>
    <w:p w:rsidR="00503AC2" w:rsidRPr="00A53528" w:rsidRDefault="00503AC2" w:rsidP="001B7CF3">
      <w:pPr>
        <w:spacing w:before="0"/>
        <w:rPr>
          <w:szCs w:val="20"/>
        </w:rPr>
      </w:pPr>
      <w:r w:rsidRPr="00A53528">
        <w:rPr>
          <w:szCs w:val="20"/>
        </w:rPr>
        <w:t xml:space="preserve">American College of Obstetricians and </w:t>
      </w:r>
      <w:proofErr w:type="spellStart"/>
      <w:r w:rsidRPr="00A53528">
        <w:rPr>
          <w:szCs w:val="20"/>
        </w:rPr>
        <w:t>Gynecologists</w:t>
      </w:r>
      <w:proofErr w:type="spellEnd"/>
      <w:r w:rsidRPr="00A53528">
        <w:rPr>
          <w:szCs w:val="20"/>
        </w:rPr>
        <w:t xml:space="preserve"> (ACOG), 2015, ‘Cell-free DNA screening for </w:t>
      </w:r>
      <w:proofErr w:type="spellStart"/>
      <w:r w:rsidRPr="00A53528">
        <w:rPr>
          <w:szCs w:val="20"/>
        </w:rPr>
        <w:t>fetal</w:t>
      </w:r>
      <w:proofErr w:type="spellEnd"/>
      <w:r w:rsidRPr="00A53528">
        <w:rPr>
          <w:szCs w:val="20"/>
        </w:rPr>
        <w:t xml:space="preserve"> aneuploidy’, Committee Opinion No. 640, Obstetrics and </w:t>
      </w:r>
      <w:proofErr w:type="spellStart"/>
      <w:r w:rsidRPr="00A53528">
        <w:rPr>
          <w:szCs w:val="20"/>
        </w:rPr>
        <w:t>Gynecology</w:t>
      </w:r>
      <w:proofErr w:type="spellEnd"/>
      <w:r w:rsidRPr="00A53528">
        <w:rPr>
          <w:szCs w:val="20"/>
        </w:rPr>
        <w:t>; 126: e31-e37.</w:t>
      </w:r>
    </w:p>
    <w:p w:rsidR="00503AC2" w:rsidRPr="00A53528" w:rsidRDefault="00503AC2" w:rsidP="001B7CF3">
      <w:pPr>
        <w:spacing w:before="0"/>
        <w:rPr>
          <w:szCs w:val="20"/>
        </w:rPr>
      </w:pPr>
      <w:proofErr w:type="spellStart"/>
      <w:r w:rsidRPr="00A53528">
        <w:rPr>
          <w:szCs w:val="20"/>
        </w:rPr>
        <w:t>Ashoor</w:t>
      </w:r>
      <w:proofErr w:type="spellEnd"/>
      <w:r w:rsidRPr="00A53528">
        <w:rPr>
          <w:szCs w:val="20"/>
        </w:rPr>
        <w:t xml:space="preserve"> G, </w:t>
      </w:r>
      <w:proofErr w:type="spellStart"/>
      <w:r w:rsidRPr="00A53528">
        <w:rPr>
          <w:szCs w:val="20"/>
        </w:rPr>
        <w:t>Syngelaki</w:t>
      </w:r>
      <w:proofErr w:type="spellEnd"/>
      <w:r w:rsidRPr="00A53528">
        <w:rPr>
          <w:szCs w:val="20"/>
        </w:rPr>
        <w:t xml:space="preserve"> A, Wagner M, et al, 2012, ‘Chromosome-selective sequencing of maternal plasma cell-free DNA for first-trimester detection of trisomy 21 and trisomy 18’, American Journal of Obstetrics and Gynecology;206:322,e1–5.</w:t>
      </w:r>
    </w:p>
    <w:p w:rsidR="00503AC2" w:rsidRPr="00A53528" w:rsidRDefault="00503AC2" w:rsidP="001B7CF3">
      <w:pPr>
        <w:spacing w:before="0"/>
        <w:rPr>
          <w:szCs w:val="20"/>
        </w:rPr>
      </w:pPr>
      <w:proofErr w:type="spellStart"/>
      <w:r w:rsidRPr="00A53528">
        <w:rPr>
          <w:szCs w:val="20"/>
        </w:rPr>
        <w:t>Ashoor</w:t>
      </w:r>
      <w:proofErr w:type="spellEnd"/>
      <w:r w:rsidRPr="00A53528">
        <w:rPr>
          <w:szCs w:val="20"/>
        </w:rPr>
        <w:t xml:space="preserve"> G, </w:t>
      </w:r>
      <w:proofErr w:type="spellStart"/>
      <w:r w:rsidRPr="00A53528">
        <w:rPr>
          <w:szCs w:val="20"/>
        </w:rPr>
        <w:t>Syngelaki</w:t>
      </w:r>
      <w:proofErr w:type="spellEnd"/>
      <w:r w:rsidRPr="00A53528">
        <w:rPr>
          <w:szCs w:val="20"/>
        </w:rPr>
        <w:t xml:space="preserve"> A, Wang E, et al, 2013, ‘Trisomy 13 detection in the first trimester of pregnancy using a chromosome-selective cell-free DNA analysis method’, Ultrasound in Obstetrics and Gynecology;41:21–25.</w:t>
      </w:r>
    </w:p>
    <w:p w:rsidR="00503AC2" w:rsidRPr="00A53528" w:rsidRDefault="00503AC2" w:rsidP="001B7CF3">
      <w:pPr>
        <w:spacing w:before="0"/>
        <w:rPr>
          <w:szCs w:val="20"/>
        </w:rPr>
      </w:pPr>
      <w:r w:rsidRPr="00A53528">
        <w:rPr>
          <w:szCs w:val="20"/>
        </w:rPr>
        <w:t>Avalos LA, Galindo C, Li D, 2012, ‘A systematic review to calculate background miscarriage rates using life table analysis’, Birth Defects Research (Part A);94:417-423.</w:t>
      </w:r>
    </w:p>
    <w:p w:rsidR="00503AC2" w:rsidRPr="00A53528" w:rsidRDefault="00503AC2" w:rsidP="001B7CF3">
      <w:pPr>
        <w:spacing w:before="0"/>
        <w:rPr>
          <w:szCs w:val="20"/>
        </w:rPr>
      </w:pPr>
      <w:r w:rsidRPr="00A53528">
        <w:rPr>
          <w:szCs w:val="20"/>
        </w:rPr>
        <w:t xml:space="preserve">Ayres AC, </w:t>
      </w:r>
      <w:proofErr w:type="spellStart"/>
      <w:r w:rsidRPr="00A53528">
        <w:rPr>
          <w:szCs w:val="20"/>
        </w:rPr>
        <w:t>Whitty</w:t>
      </w:r>
      <w:proofErr w:type="spellEnd"/>
      <w:r w:rsidRPr="00A53528">
        <w:rPr>
          <w:szCs w:val="20"/>
        </w:rPr>
        <w:t xml:space="preserve"> JA, Ellwood DA, 2014, ‘A cost-effectiveness analysis comparing different strategies to implement </w:t>
      </w:r>
      <w:proofErr w:type="spellStart"/>
      <w:r w:rsidRPr="00A53528">
        <w:rPr>
          <w:szCs w:val="20"/>
        </w:rPr>
        <w:t>noninvasive</w:t>
      </w:r>
      <w:proofErr w:type="spellEnd"/>
      <w:r w:rsidRPr="00A53528">
        <w:rPr>
          <w:szCs w:val="20"/>
        </w:rPr>
        <w:t xml:space="preserve"> prenatal testing into a Down syndrome screening program’, </w:t>
      </w:r>
      <w:proofErr w:type="spellStart"/>
      <w:r w:rsidRPr="00A53528">
        <w:rPr>
          <w:szCs w:val="20"/>
        </w:rPr>
        <w:t>Aust</w:t>
      </w:r>
      <w:proofErr w:type="spellEnd"/>
      <w:r w:rsidRPr="00A53528">
        <w:rPr>
          <w:szCs w:val="20"/>
        </w:rPr>
        <w:t xml:space="preserve"> N Z J </w:t>
      </w:r>
      <w:proofErr w:type="spellStart"/>
      <w:r w:rsidRPr="00A53528">
        <w:rPr>
          <w:szCs w:val="20"/>
        </w:rPr>
        <w:t>Obstet</w:t>
      </w:r>
      <w:proofErr w:type="spellEnd"/>
      <w:r w:rsidRPr="00A53528">
        <w:rPr>
          <w:szCs w:val="20"/>
        </w:rPr>
        <w:t xml:space="preserve"> </w:t>
      </w:r>
      <w:proofErr w:type="spellStart"/>
      <w:r w:rsidRPr="00A53528">
        <w:rPr>
          <w:szCs w:val="20"/>
        </w:rPr>
        <w:t>Gynaecol</w:t>
      </w:r>
      <w:proofErr w:type="spellEnd"/>
      <w:r w:rsidRPr="00A53528">
        <w:rPr>
          <w:szCs w:val="20"/>
        </w:rPr>
        <w:t>; 54(5):412-417.</w:t>
      </w:r>
    </w:p>
    <w:p w:rsidR="00503AC2" w:rsidRPr="00A53528" w:rsidRDefault="00503AC2" w:rsidP="001B7CF3">
      <w:pPr>
        <w:spacing w:before="0"/>
        <w:rPr>
          <w:szCs w:val="20"/>
        </w:rPr>
      </w:pPr>
      <w:proofErr w:type="spellStart"/>
      <w:r w:rsidRPr="00A53528">
        <w:rPr>
          <w:szCs w:val="20"/>
        </w:rPr>
        <w:t>Brar</w:t>
      </w:r>
      <w:proofErr w:type="spellEnd"/>
      <w:r w:rsidRPr="00A53528">
        <w:rPr>
          <w:szCs w:val="20"/>
        </w:rPr>
        <w:t xml:space="preserve"> H, Wang E, </w:t>
      </w:r>
      <w:proofErr w:type="spellStart"/>
      <w:r w:rsidRPr="00A53528">
        <w:rPr>
          <w:szCs w:val="20"/>
        </w:rPr>
        <w:t>Struble</w:t>
      </w:r>
      <w:proofErr w:type="spellEnd"/>
      <w:r w:rsidRPr="00A53528">
        <w:rPr>
          <w:szCs w:val="20"/>
        </w:rPr>
        <w:t xml:space="preserve"> C, et al, 2013, ‘The </w:t>
      </w:r>
      <w:proofErr w:type="spellStart"/>
      <w:r w:rsidRPr="00A53528">
        <w:rPr>
          <w:szCs w:val="20"/>
        </w:rPr>
        <w:t>fetal</w:t>
      </w:r>
      <w:proofErr w:type="spellEnd"/>
      <w:r w:rsidRPr="00A53528">
        <w:rPr>
          <w:szCs w:val="20"/>
        </w:rPr>
        <w:t xml:space="preserve"> fraction of cell-free DNA in maternal plasma is not affected by a priori risk of </w:t>
      </w:r>
      <w:proofErr w:type="spellStart"/>
      <w:r w:rsidRPr="00A53528">
        <w:rPr>
          <w:szCs w:val="20"/>
        </w:rPr>
        <w:t>fetal</w:t>
      </w:r>
      <w:proofErr w:type="spellEnd"/>
      <w:r w:rsidRPr="00A53528">
        <w:rPr>
          <w:szCs w:val="20"/>
        </w:rPr>
        <w:t xml:space="preserve"> trisomy’, The Journal of Maternal-Fetal and Neonatal Medicine;26(2): 143–145.</w:t>
      </w:r>
    </w:p>
    <w:p w:rsidR="00503AC2" w:rsidRPr="00A53528" w:rsidRDefault="00503AC2" w:rsidP="001B7CF3">
      <w:pPr>
        <w:spacing w:before="0"/>
        <w:rPr>
          <w:szCs w:val="20"/>
        </w:rPr>
      </w:pPr>
      <w:proofErr w:type="spellStart"/>
      <w:r w:rsidRPr="00A53528">
        <w:rPr>
          <w:szCs w:val="20"/>
        </w:rPr>
        <w:t>Breitbach</w:t>
      </w:r>
      <w:proofErr w:type="spellEnd"/>
      <w:r w:rsidRPr="00A53528">
        <w:rPr>
          <w:szCs w:val="20"/>
        </w:rPr>
        <w:t xml:space="preserve"> S, Tug S, Simon P, 2012, ‘Circulating cell-free DNA: an up-coming molecular marker in exercise physiology’, Sports Medicine; 42(7): 565–586.</w:t>
      </w:r>
    </w:p>
    <w:p w:rsidR="00503AC2" w:rsidRDefault="00503AC2" w:rsidP="001B7CF3">
      <w:pPr>
        <w:spacing w:before="0"/>
        <w:rPr>
          <w:szCs w:val="20"/>
        </w:rPr>
      </w:pPr>
      <w:proofErr w:type="spellStart"/>
      <w:r>
        <w:rPr>
          <w:szCs w:val="20"/>
        </w:rPr>
        <w:t>Cuckle</w:t>
      </w:r>
      <w:proofErr w:type="spellEnd"/>
      <w:r>
        <w:rPr>
          <w:szCs w:val="20"/>
        </w:rPr>
        <w:t xml:space="preserve"> H, Benn P, </w:t>
      </w:r>
      <w:proofErr w:type="spellStart"/>
      <w:r>
        <w:rPr>
          <w:szCs w:val="20"/>
        </w:rPr>
        <w:t>Pergament</w:t>
      </w:r>
      <w:proofErr w:type="spellEnd"/>
      <w:r>
        <w:rPr>
          <w:szCs w:val="20"/>
        </w:rPr>
        <w:t xml:space="preserve"> E, 2014, ‘</w:t>
      </w:r>
      <w:r w:rsidRPr="00391590">
        <w:rPr>
          <w:szCs w:val="20"/>
        </w:rPr>
        <w:t>Clinical utility and cost of non-invasive prenatal testing</w:t>
      </w:r>
      <w:r>
        <w:rPr>
          <w:szCs w:val="20"/>
        </w:rPr>
        <w:t xml:space="preserve">’, </w:t>
      </w:r>
      <w:r w:rsidRPr="00391590">
        <w:rPr>
          <w:szCs w:val="20"/>
        </w:rPr>
        <w:t xml:space="preserve">J </w:t>
      </w:r>
      <w:proofErr w:type="spellStart"/>
      <w:r w:rsidRPr="00391590">
        <w:rPr>
          <w:szCs w:val="20"/>
        </w:rPr>
        <w:t>Matern</w:t>
      </w:r>
      <w:proofErr w:type="spellEnd"/>
      <w:r w:rsidRPr="00391590">
        <w:rPr>
          <w:szCs w:val="20"/>
        </w:rPr>
        <w:t xml:space="preserve"> Fetal Neonatal Med</w:t>
      </w:r>
      <w:r>
        <w:rPr>
          <w:szCs w:val="20"/>
        </w:rPr>
        <w:t xml:space="preserve">; </w:t>
      </w:r>
      <w:r w:rsidRPr="00391590">
        <w:rPr>
          <w:szCs w:val="20"/>
        </w:rPr>
        <w:t>27(3):</w:t>
      </w:r>
      <w:r>
        <w:rPr>
          <w:szCs w:val="20"/>
        </w:rPr>
        <w:t xml:space="preserve"> </w:t>
      </w:r>
      <w:r w:rsidRPr="00391590">
        <w:rPr>
          <w:szCs w:val="20"/>
        </w:rPr>
        <w:t>320-</w:t>
      </w:r>
      <w:r>
        <w:rPr>
          <w:szCs w:val="20"/>
        </w:rPr>
        <w:t>32</w:t>
      </w:r>
      <w:r w:rsidRPr="00391590">
        <w:rPr>
          <w:szCs w:val="20"/>
        </w:rPr>
        <w:t>1</w:t>
      </w:r>
    </w:p>
    <w:p w:rsidR="00503AC2" w:rsidRPr="00A53528" w:rsidRDefault="00503AC2" w:rsidP="001B7CF3">
      <w:pPr>
        <w:spacing w:before="0"/>
        <w:rPr>
          <w:szCs w:val="20"/>
        </w:rPr>
      </w:pPr>
      <w:r w:rsidRPr="00A53528">
        <w:rPr>
          <w:szCs w:val="20"/>
        </w:rPr>
        <w:t xml:space="preserve">Del Mar Gil M, Quezada MS, </w:t>
      </w:r>
      <w:proofErr w:type="spellStart"/>
      <w:r w:rsidRPr="00A53528">
        <w:rPr>
          <w:szCs w:val="20"/>
        </w:rPr>
        <w:t>Bregant</w:t>
      </w:r>
      <w:proofErr w:type="spellEnd"/>
      <w:r w:rsidRPr="00A53528">
        <w:rPr>
          <w:szCs w:val="20"/>
        </w:rPr>
        <w:t xml:space="preserve"> B, et al, 2014, ‘Cell-free DNA analysis for trisomy risk assessment in first-trimester twin pregnancies’, Fetal Diagnosis and Therapy; 35(3):204-211.</w:t>
      </w:r>
    </w:p>
    <w:p w:rsidR="00503AC2" w:rsidRPr="00A53528" w:rsidRDefault="00503AC2" w:rsidP="001B7CF3">
      <w:pPr>
        <w:spacing w:before="0"/>
        <w:rPr>
          <w:szCs w:val="20"/>
        </w:rPr>
      </w:pPr>
      <w:r w:rsidRPr="00A53528">
        <w:rPr>
          <w:szCs w:val="20"/>
        </w:rPr>
        <w:t xml:space="preserve">Del Mar Gil MM, Quezada MS, </w:t>
      </w:r>
      <w:proofErr w:type="spellStart"/>
      <w:r w:rsidRPr="00A53528">
        <w:rPr>
          <w:szCs w:val="20"/>
        </w:rPr>
        <w:t>Bregant</w:t>
      </w:r>
      <w:proofErr w:type="spellEnd"/>
      <w:r w:rsidRPr="00A53528">
        <w:rPr>
          <w:szCs w:val="20"/>
        </w:rPr>
        <w:t xml:space="preserve"> B, et al, 2013, ‘Implementation of maternal blood cell-free DNA testing in early screening for aneuploidies’, Ultrasound in Obstetrics and </w:t>
      </w:r>
      <w:proofErr w:type="spellStart"/>
      <w:r w:rsidRPr="00A53528">
        <w:rPr>
          <w:szCs w:val="20"/>
        </w:rPr>
        <w:t>Gynecology</w:t>
      </w:r>
      <w:proofErr w:type="spellEnd"/>
      <w:r w:rsidRPr="00A53528">
        <w:rPr>
          <w:szCs w:val="20"/>
        </w:rPr>
        <w:t>; 42: 34–40.</w:t>
      </w:r>
    </w:p>
    <w:p w:rsidR="00503AC2" w:rsidRPr="00A53528" w:rsidRDefault="00503AC2" w:rsidP="001B7CF3">
      <w:pPr>
        <w:spacing w:before="0"/>
        <w:rPr>
          <w:szCs w:val="20"/>
        </w:rPr>
      </w:pPr>
      <w:proofErr w:type="spellStart"/>
      <w:r w:rsidRPr="00A53528">
        <w:rPr>
          <w:szCs w:val="20"/>
        </w:rPr>
        <w:t>Dwivedi</w:t>
      </w:r>
      <w:proofErr w:type="spellEnd"/>
      <w:r w:rsidRPr="00A53528">
        <w:rPr>
          <w:szCs w:val="20"/>
        </w:rPr>
        <w:t xml:space="preserve"> DJ, </w:t>
      </w:r>
      <w:proofErr w:type="spellStart"/>
      <w:r w:rsidRPr="00A53528">
        <w:rPr>
          <w:szCs w:val="20"/>
        </w:rPr>
        <w:t>Toltl</w:t>
      </w:r>
      <w:proofErr w:type="spellEnd"/>
      <w:r w:rsidRPr="00A53528">
        <w:rPr>
          <w:szCs w:val="20"/>
        </w:rPr>
        <w:t xml:space="preserve"> LJ, </w:t>
      </w:r>
      <w:proofErr w:type="spellStart"/>
      <w:r w:rsidRPr="00A53528">
        <w:rPr>
          <w:szCs w:val="20"/>
        </w:rPr>
        <w:t>Swystun</w:t>
      </w:r>
      <w:proofErr w:type="spellEnd"/>
      <w:r w:rsidRPr="00A53528">
        <w:rPr>
          <w:szCs w:val="20"/>
        </w:rPr>
        <w:t xml:space="preserve"> LL, et al, 2012, ‘Prognostic utility and characterization of cell-free DNA in patients with severe sepsis’, Critical Care; 16(4): R151.</w:t>
      </w:r>
    </w:p>
    <w:p w:rsidR="00503AC2" w:rsidRPr="00A53528" w:rsidRDefault="00503AC2" w:rsidP="001B7CF3">
      <w:pPr>
        <w:spacing w:before="0"/>
        <w:rPr>
          <w:szCs w:val="20"/>
        </w:rPr>
      </w:pPr>
      <w:proofErr w:type="spellStart"/>
      <w:r w:rsidRPr="00A53528">
        <w:rPr>
          <w:szCs w:val="20"/>
        </w:rPr>
        <w:t>Fairbrother</w:t>
      </w:r>
      <w:proofErr w:type="spellEnd"/>
      <w:r w:rsidRPr="00A53528">
        <w:rPr>
          <w:szCs w:val="20"/>
        </w:rPr>
        <w:t xml:space="preserve"> G, Johnson S, </w:t>
      </w:r>
      <w:proofErr w:type="spellStart"/>
      <w:r w:rsidRPr="00A53528">
        <w:rPr>
          <w:szCs w:val="20"/>
        </w:rPr>
        <w:t>Musci</w:t>
      </w:r>
      <w:proofErr w:type="spellEnd"/>
      <w:r w:rsidRPr="00A53528">
        <w:rPr>
          <w:szCs w:val="20"/>
        </w:rPr>
        <w:t xml:space="preserve"> TJ, Song K, 2013, ‘Clinical experience of </w:t>
      </w:r>
      <w:proofErr w:type="spellStart"/>
      <w:r w:rsidRPr="00A53528">
        <w:rPr>
          <w:szCs w:val="20"/>
        </w:rPr>
        <w:t>noninvasive</w:t>
      </w:r>
      <w:proofErr w:type="spellEnd"/>
      <w:r w:rsidRPr="00A53528">
        <w:rPr>
          <w:szCs w:val="20"/>
        </w:rPr>
        <w:t xml:space="preserve"> prenatal testing with cell-free DNA for </w:t>
      </w:r>
      <w:proofErr w:type="spellStart"/>
      <w:r w:rsidRPr="00A53528">
        <w:rPr>
          <w:szCs w:val="20"/>
        </w:rPr>
        <w:t>fetal</w:t>
      </w:r>
      <w:proofErr w:type="spellEnd"/>
      <w:r w:rsidRPr="00A53528">
        <w:rPr>
          <w:szCs w:val="20"/>
        </w:rPr>
        <w:t xml:space="preserve"> trisomies 21, 18, and 13, in a general screening population’, Prenatal Diagnosis;33:580–583.</w:t>
      </w:r>
    </w:p>
    <w:p w:rsidR="00503AC2" w:rsidRPr="00A53528" w:rsidRDefault="00503AC2" w:rsidP="001B7CF3">
      <w:pPr>
        <w:spacing w:before="0"/>
        <w:rPr>
          <w:szCs w:val="20"/>
        </w:rPr>
      </w:pPr>
      <w:r w:rsidRPr="00A53528">
        <w:rPr>
          <w:szCs w:val="20"/>
        </w:rPr>
        <w:t xml:space="preserve">Gil MM, Quezada MS, </w:t>
      </w:r>
      <w:proofErr w:type="spellStart"/>
      <w:r w:rsidRPr="00A53528">
        <w:rPr>
          <w:szCs w:val="20"/>
        </w:rPr>
        <w:t>Revello</w:t>
      </w:r>
      <w:proofErr w:type="spellEnd"/>
      <w:r w:rsidRPr="00A53528">
        <w:rPr>
          <w:szCs w:val="20"/>
        </w:rPr>
        <w:t xml:space="preserve"> R, et al, 2015, ‘Analysis of cell-free DNA in maternal blood in screening for </w:t>
      </w:r>
      <w:proofErr w:type="spellStart"/>
      <w:r w:rsidRPr="00A53528">
        <w:rPr>
          <w:szCs w:val="20"/>
        </w:rPr>
        <w:t>fetal</w:t>
      </w:r>
      <w:proofErr w:type="spellEnd"/>
      <w:r w:rsidRPr="00A53528">
        <w:rPr>
          <w:szCs w:val="20"/>
        </w:rPr>
        <w:t xml:space="preserve"> aneuploidies: updated meta-analysis’, Ultrasound </w:t>
      </w:r>
      <w:proofErr w:type="spellStart"/>
      <w:r w:rsidRPr="00A53528">
        <w:rPr>
          <w:szCs w:val="20"/>
        </w:rPr>
        <w:t>Obstet</w:t>
      </w:r>
      <w:proofErr w:type="spellEnd"/>
      <w:r w:rsidRPr="00A53528">
        <w:rPr>
          <w:szCs w:val="20"/>
        </w:rPr>
        <w:t xml:space="preserve"> </w:t>
      </w:r>
      <w:proofErr w:type="spellStart"/>
      <w:r w:rsidRPr="00A53528">
        <w:rPr>
          <w:szCs w:val="20"/>
        </w:rPr>
        <w:t>Gynecol</w:t>
      </w:r>
      <w:proofErr w:type="spellEnd"/>
      <w:r w:rsidRPr="00A53528">
        <w:rPr>
          <w:szCs w:val="20"/>
        </w:rPr>
        <w:t>; 45:</w:t>
      </w:r>
      <w:r>
        <w:rPr>
          <w:szCs w:val="20"/>
        </w:rPr>
        <w:t xml:space="preserve"> </w:t>
      </w:r>
      <w:r w:rsidRPr="00A53528">
        <w:rPr>
          <w:szCs w:val="20"/>
        </w:rPr>
        <w:t>249–266.</w:t>
      </w:r>
    </w:p>
    <w:p w:rsidR="00503AC2" w:rsidRDefault="00503AC2" w:rsidP="001B7CF3">
      <w:pPr>
        <w:spacing w:before="0"/>
        <w:rPr>
          <w:szCs w:val="20"/>
        </w:rPr>
      </w:pPr>
      <w:proofErr w:type="spellStart"/>
      <w:r w:rsidRPr="00B269E6">
        <w:rPr>
          <w:szCs w:val="20"/>
        </w:rPr>
        <w:t>Grati</w:t>
      </w:r>
      <w:proofErr w:type="spellEnd"/>
      <w:r>
        <w:rPr>
          <w:szCs w:val="20"/>
        </w:rPr>
        <w:t xml:space="preserve"> FR</w:t>
      </w:r>
      <w:r w:rsidRPr="00B269E6">
        <w:rPr>
          <w:szCs w:val="20"/>
        </w:rPr>
        <w:t xml:space="preserve">, </w:t>
      </w:r>
      <w:proofErr w:type="spellStart"/>
      <w:r w:rsidRPr="00B269E6">
        <w:rPr>
          <w:szCs w:val="20"/>
        </w:rPr>
        <w:t>Malvestiti</w:t>
      </w:r>
      <w:proofErr w:type="spellEnd"/>
      <w:r>
        <w:rPr>
          <w:szCs w:val="20"/>
        </w:rPr>
        <w:t xml:space="preserve"> F</w:t>
      </w:r>
      <w:r w:rsidRPr="00B269E6">
        <w:rPr>
          <w:szCs w:val="20"/>
        </w:rPr>
        <w:t>,</w:t>
      </w:r>
      <w:r>
        <w:rPr>
          <w:szCs w:val="20"/>
        </w:rPr>
        <w:t xml:space="preserve"> </w:t>
      </w:r>
      <w:r w:rsidRPr="00B269E6">
        <w:rPr>
          <w:szCs w:val="20"/>
        </w:rPr>
        <w:t>Ferreira</w:t>
      </w:r>
      <w:r>
        <w:rPr>
          <w:szCs w:val="20"/>
        </w:rPr>
        <w:t xml:space="preserve"> J</w:t>
      </w:r>
      <w:r w:rsidRPr="00B269E6">
        <w:rPr>
          <w:szCs w:val="20"/>
        </w:rPr>
        <w:t xml:space="preserve">, </w:t>
      </w:r>
      <w:r>
        <w:rPr>
          <w:szCs w:val="20"/>
        </w:rPr>
        <w:t>et al, 2014, ‘</w:t>
      </w:r>
      <w:proofErr w:type="spellStart"/>
      <w:r w:rsidRPr="008F2807">
        <w:rPr>
          <w:szCs w:val="20"/>
        </w:rPr>
        <w:t>Fetoplacental</w:t>
      </w:r>
      <w:proofErr w:type="spellEnd"/>
      <w:r w:rsidRPr="008F2807">
        <w:rPr>
          <w:szCs w:val="20"/>
        </w:rPr>
        <w:t xml:space="preserve"> </w:t>
      </w:r>
      <w:proofErr w:type="spellStart"/>
      <w:r w:rsidRPr="008F2807">
        <w:rPr>
          <w:szCs w:val="20"/>
        </w:rPr>
        <w:t>mosaicism</w:t>
      </w:r>
      <w:proofErr w:type="spellEnd"/>
      <w:r w:rsidRPr="008F2807">
        <w:rPr>
          <w:szCs w:val="20"/>
        </w:rPr>
        <w:t>: potential implications for</w:t>
      </w:r>
      <w:r>
        <w:rPr>
          <w:szCs w:val="20"/>
        </w:rPr>
        <w:t xml:space="preserve"> </w:t>
      </w:r>
      <w:r w:rsidRPr="008F2807">
        <w:rPr>
          <w:szCs w:val="20"/>
        </w:rPr>
        <w:t xml:space="preserve">false-positive and false-negative </w:t>
      </w:r>
      <w:proofErr w:type="spellStart"/>
      <w:r w:rsidRPr="008F2807">
        <w:rPr>
          <w:szCs w:val="20"/>
        </w:rPr>
        <w:t>noninvasive</w:t>
      </w:r>
      <w:proofErr w:type="spellEnd"/>
      <w:r w:rsidRPr="008F2807">
        <w:rPr>
          <w:szCs w:val="20"/>
        </w:rPr>
        <w:t xml:space="preserve"> prenatal</w:t>
      </w:r>
      <w:r>
        <w:rPr>
          <w:szCs w:val="20"/>
        </w:rPr>
        <w:t xml:space="preserve"> </w:t>
      </w:r>
      <w:r w:rsidRPr="008F2807">
        <w:rPr>
          <w:szCs w:val="20"/>
        </w:rPr>
        <w:t>screening results</w:t>
      </w:r>
      <w:r>
        <w:rPr>
          <w:szCs w:val="20"/>
        </w:rPr>
        <w:t xml:space="preserve">’, Genet Med; </w:t>
      </w:r>
      <w:r w:rsidRPr="008F2807">
        <w:rPr>
          <w:szCs w:val="20"/>
        </w:rPr>
        <w:t>16(8):620-</w:t>
      </w:r>
      <w:r>
        <w:rPr>
          <w:szCs w:val="20"/>
        </w:rPr>
        <w:t>62</w:t>
      </w:r>
      <w:r w:rsidRPr="008F2807">
        <w:rPr>
          <w:szCs w:val="20"/>
        </w:rPr>
        <w:t>4</w:t>
      </w:r>
    </w:p>
    <w:p w:rsidR="00503AC2" w:rsidRPr="00A53528" w:rsidRDefault="00503AC2" w:rsidP="001B7CF3">
      <w:pPr>
        <w:spacing w:before="0"/>
        <w:rPr>
          <w:szCs w:val="20"/>
        </w:rPr>
      </w:pPr>
      <w:proofErr w:type="spellStart"/>
      <w:r w:rsidRPr="00A53528">
        <w:rPr>
          <w:szCs w:val="20"/>
        </w:rPr>
        <w:t>Haghiac</w:t>
      </w:r>
      <w:proofErr w:type="spellEnd"/>
      <w:r w:rsidRPr="00A53528">
        <w:rPr>
          <w:szCs w:val="20"/>
        </w:rPr>
        <w:t xml:space="preserve"> M, </w:t>
      </w:r>
      <w:proofErr w:type="spellStart"/>
      <w:r w:rsidRPr="00A53528">
        <w:rPr>
          <w:szCs w:val="20"/>
        </w:rPr>
        <w:t>Vora</w:t>
      </w:r>
      <w:proofErr w:type="spellEnd"/>
      <w:r w:rsidRPr="00A53528">
        <w:rPr>
          <w:szCs w:val="20"/>
        </w:rPr>
        <w:t xml:space="preserve"> NL, </w:t>
      </w:r>
      <w:proofErr w:type="spellStart"/>
      <w:r w:rsidRPr="00A53528">
        <w:rPr>
          <w:szCs w:val="20"/>
        </w:rPr>
        <w:t>Basu</w:t>
      </w:r>
      <w:proofErr w:type="spellEnd"/>
      <w:r w:rsidRPr="00A53528">
        <w:rPr>
          <w:szCs w:val="20"/>
        </w:rPr>
        <w:t xml:space="preserve"> S, et al, 2012, ‘Increased death of adipose cells, a path to release cell-free DNA into systemic circulation of obese women’, Obesity; 20(11): 2213–2219.</w:t>
      </w:r>
    </w:p>
    <w:p w:rsidR="00503AC2" w:rsidRPr="00A53528" w:rsidRDefault="00503AC2" w:rsidP="001B7CF3">
      <w:pPr>
        <w:spacing w:before="0"/>
        <w:rPr>
          <w:szCs w:val="20"/>
        </w:rPr>
      </w:pPr>
      <w:r w:rsidRPr="00A53528">
        <w:rPr>
          <w:szCs w:val="20"/>
        </w:rPr>
        <w:t xml:space="preserve">Hooks J, </w:t>
      </w:r>
      <w:proofErr w:type="spellStart"/>
      <w:r w:rsidRPr="00A53528">
        <w:rPr>
          <w:szCs w:val="20"/>
        </w:rPr>
        <w:t>Wolfberg</w:t>
      </w:r>
      <w:proofErr w:type="spellEnd"/>
      <w:r w:rsidRPr="00A53528">
        <w:rPr>
          <w:szCs w:val="20"/>
        </w:rPr>
        <w:t xml:space="preserve"> AJ, Wang ET, et al, 2014, ‘Non-invasive risk assessment of </w:t>
      </w:r>
      <w:proofErr w:type="spellStart"/>
      <w:r w:rsidRPr="00A53528">
        <w:rPr>
          <w:szCs w:val="20"/>
        </w:rPr>
        <w:t>fetal</w:t>
      </w:r>
      <w:proofErr w:type="spellEnd"/>
      <w:r w:rsidRPr="00A53528">
        <w:rPr>
          <w:szCs w:val="20"/>
        </w:rPr>
        <w:t xml:space="preserve"> sex chromosome aneuploidy through directed analysis and incorporation of </w:t>
      </w:r>
      <w:proofErr w:type="spellStart"/>
      <w:r w:rsidRPr="00A53528">
        <w:rPr>
          <w:szCs w:val="20"/>
        </w:rPr>
        <w:t>fetal</w:t>
      </w:r>
      <w:proofErr w:type="spellEnd"/>
      <w:r w:rsidRPr="00A53528">
        <w:rPr>
          <w:szCs w:val="20"/>
        </w:rPr>
        <w:t xml:space="preserve"> fraction’, Prenatal Diagnosis;34(5):496-499.</w:t>
      </w:r>
    </w:p>
    <w:p w:rsidR="00503AC2" w:rsidRPr="00A53528" w:rsidRDefault="00503AC2" w:rsidP="001B7CF3">
      <w:pPr>
        <w:spacing w:before="0"/>
        <w:rPr>
          <w:szCs w:val="20"/>
        </w:rPr>
      </w:pPr>
      <w:proofErr w:type="spellStart"/>
      <w:r w:rsidRPr="00A53528">
        <w:rPr>
          <w:szCs w:val="20"/>
        </w:rPr>
        <w:t>Hui</w:t>
      </w:r>
      <w:proofErr w:type="spellEnd"/>
      <w:r w:rsidRPr="00A53528">
        <w:rPr>
          <w:szCs w:val="20"/>
        </w:rPr>
        <w:t xml:space="preserve"> L, </w:t>
      </w:r>
      <w:proofErr w:type="spellStart"/>
      <w:r w:rsidRPr="00A53528">
        <w:rPr>
          <w:szCs w:val="20"/>
        </w:rPr>
        <w:t>Hyett</w:t>
      </w:r>
      <w:proofErr w:type="spellEnd"/>
      <w:r w:rsidRPr="00A53528">
        <w:rPr>
          <w:szCs w:val="20"/>
        </w:rPr>
        <w:t xml:space="preserve"> J, 2013, ‘Noninvasive prenatal testing for trisomy 21: Challenges for implementation in Australia’, Australian and New Zealand Journal of Obstetrics and Gynaecology; 53: 416–424 </w:t>
      </w:r>
    </w:p>
    <w:p w:rsidR="00503AC2" w:rsidRPr="00A53528" w:rsidRDefault="00503AC2" w:rsidP="001B7CF3">
      <w:pPr>
        <w:spacing w:before="0"/>
        <w:rPr>
          <w:szCs w:val="20"/>
        </w:rPr>
      </w:pPr>
      <w:r w:rsidRPr="00A53528">
        <w:rPr>
          <w:szCs w:val="20"/>
        </w:rPr>
        <w:t xml:space="preserve">Hui L, </w:t>
      </w:r>
      <w:proofErr w:type="spellStart"/>
      <w:r w:rsidRPr="00A53528">
        <w:rPr>
          <w:szCs w:val="20"/>
        </w:rPr>
        <w:t>Teoh</w:t>
      </w:r>
      <w:proofErr w:type="spellEnd"/>
      <w:r w:rsidRPr="00A53528">
        <w:rPr>
          <w:szCs w:val="20"/>
        </w:rPr>
        <w:t xml:space="preserve"> M, </w:t>
      </w:r>
      <w:proofErr w:type="spellStart"/>
      <w:r w:rsidRPr="00A53528">
        <w:rPr>
          <w:szCs w:val="20"/>
        </w:rPr>
        <w:t>Piessens</w:t>
      </w:r>
      <w:proofErr w:type="spellEnd"/>
      <w:r w:rsidRPr="00A53528">
        <w:rPr>
          <w:szCs w:val="20"/>
        </w:rPr>
        <w:t xml:space="preserve"> S, et al, 2015, ‘Early clinical experience of cell-free DNA-based aneuploidy screening: A survey of obstetric </w:t>
      </w:r>
      <w:proofErr w:type="spellStart"/>
      <w:r w:rsidRPr="00A53528">
        <w:rPr>
          <w:szCs w:val="20"/>
        </w:rPr>
        <w:t>sonologists</w:t>
      </w:r>
      <w:proofErr w:type="spellEnd"/>
      <w:r w:rsidRPr="00A53528">
        <w:rPr>
          <w:szCs w:val="20"/>
        </w:rPr>
        <w:t xml:space="preserve"> in Australia and New Zealand’, </w:t>
      </w:r>
      <w:proofErr w:type="spellStart"/>
      <w:r w:rsidRPr="00A53528">
        <w:rPr>
          <w:szCs w:val="20"/>
        </w:rPr>
        <w:t>Aust</w:t>
      </w:r>
      <w:proofErr w:type="spellEnd"/>
      <w:r w:rsidRPr="00A53528">
        <w:rPr>
          <w:szCs w:val="20"/>
        </w:rPr>
        <w:t xml:space="preserve"> N Z J </w:t>
      </w:r>
      <w:proofErr w:type="spellStart"/>
      <w:r w:rsidRPr="00A53528">
        <w:rPr>
          <w:szCs w:val="20"/>
        </w:rPr>
        <w:t>Obstet</w:t>
      </w:r>
      <w:proofErr w:type="spellEnd"/>
      <w:r w:rsidRPr="00A53528">
        <w:rPr>
          <w:szCs w:val="20"/>
        </w:rPr>
        <w:t xml:space="preserve"> </w:t>
      </w:r>
      <w:proofErr w:type="spellStart"/>
      <w:r w:rsidRPr="00A53528">
        <w:rPr>
          <w:szCs w:val="20"/>
        </w:rPr>
        <w:t>Gynaecol</w:t>
      </w:r>
      <w:proofErr w:type="spellEnd"/>
      <w:r w:rsidRPr="00A53528">
        <w:rPr>
          <w:szCs w:val="20"/>
        </w:rPr>
        <w:t>; 55:138–143.</w:t>
      </w:r>
    </w:p>
    <w:p w:rsidR="00503AC2" w:rsidRPr="00A53528" w:rsidRDefault="00503AC2" w:rsidP="001B7CF3">
      <w:pPr>
        <w:spacing w:before="0"/>
        <w:rPr>
          <w:szCs w:val="20"/>
        </w:rPr>
      </w:pPr>
      <w:proofErr w:type="spellStart"/>
      <w:r w:rsidRPr="00A53528">
        <w:rPr>
          <w:szCs w:val="20"/>
        </w:rPr>
        <w:t>Hui</w:t>
      </w:r>
      <w:proofErr w:type="spellEnd"/>
      <w:r w:rsidRPr="00A53528">
        <w:rPr>
          <w:szCs w:val="20"/>
        </w:rPr>
        <w:t xml:space="preserve"> L, </w:t>
      </w:r>
      <w:proofErr w:type="spellStart"/>
      <w:r w:rsidRPr="00A53528">
        <w:rPr>
          <w:szCs w:val="20"/>
        </w:rPr>
        <w:t>Muggli</w:t>
      </w:r>
      <w:proofErr w:type="spellEnd"/>
      <w:r w:rsidRPr="00A53528">
        <w:rPr>
          <w:szCs w:val="20"/>
        </w:rPr>
        <w:t xml:space="preserve"> EE, </w:t>
      </w:r>
      <w:proofErr w:type="spellStart"/>
      <w:r w:rsidRPr="00A53528">
        <w:rPr>
          <w:szCs w:val="20"/>
        </w:rPr>
        <w:t>Halliday</w:t>
      </w:r>
      <w:proofErr w:type="spellEnd"/>
      <w:r w:rsidRPr="00A53528">
        <w:rPr>
          <w:szCs w:val="20"/>
        </w:rPr>
        <w:t xml:space="preserve"> JL, 2016, ‘Population-based trends in prenatal screening and diagnosis for aneuploidy: a retrospective analysis of 38 years of state-wide data’, BJOG 2016;</w:t>
      </w:r>
      <w:r>
        <w:rPr>
          <w:szCs w:val="20"/>
        </w:rPr>
        <w:t xml:space="preserve"> </w:t>
      </w:r>
      <w:r w:rsidRPr="00A53528">
        <w:rPr>
          <w:szCs w:val="20"/>
        </w:rPr>
        <w:t>123:</w:t>
      </w:r>
      <w:r>
        <w:rPr>
          <w:szCs w:val="20"/>
        </w:rPr>
        <w:t xml:space="preserve"> </w:t>
      </w:r>
      <w:r w:rsidRPr="00A53528">
        <w:rPr>
          <w:szCs w:val="20"/>
        </w:rPr>
        <w:t>90–97.</w:t>
      </w:r>
    </w:p>
    <w:p w:rsidR="00503AC2" w:rsidRPr="00A53528" w:rsidRDefault="00503AC2" w:rsidP="001B7CF3">
      <w:pPr>
        <w:spacing w:before="0"/>
        <w:rPr>
          <w:szCs w:val="20"/>
        </w:rPr>
      </w:pPr>
      <w:proofErr w:type="spellStart"/>
      <w:r w:rsidRPr="00A53528">
        <w:rPr>
          <w:szCs w:val="20"/>
        </w:rPr>
        <w:lastRenderedPageBreak/>
        <w:t>Langlois</w:t>
      </w:r>
      <w:proofErr w:type="spellEnd"/>
      <w:r w:rsidRPr="00A53528">
        <w:rPr>
          <w:szCs w:val="20"/>
        </w:rPr>
        <w:t xml:space="preserve"> S, Brock J-A, Wilson RD, et al, 2013, ‘Current status in non-invasive prenatal detection of Down syndrome, trisomy 18, and trisomy 13 using cell-free DNA in maternal plasma’, J </w:t>
      </w:r>
      <w:proofErr w:type="spellStart"/>
      <w:r w:rsidRPr="00A53528">
        <w:rPr>
          <w:szCs w:val="20"/>
        </w:rPr>
        <w:t>Obstet</w:t>
      </w:r>
      <w:proofErr w:type="spellEnd"/>
      <w:r w:rsidRPr="00A53528">
        <w:rPr>
          <w:szCs w:val="20"/>
        </w:rPr>
        <w:t xml:space="preserve"> </w:t>
      </w:r>
      <w:proofErr w:type="spellStart"/>
      <w:r w:rsidRPr="00A53528">
        <w:rPr>
          <w:szCs w:val="20"/>
        </w:rPr>
        <w:t>Gynaecol</w:t>
      </w:r>
      <w:proofErr w:type="spellEnd"/>
      <w:r w:rsidRPr="00A53528">
        <w:rPr>
          <w:szCs w:val="20"/>
        </w:rPr>
        <w:t xml:space="preserve"> Can;35(2):177-83.</w:t>
      </w:r>
    </w:p>
    <w:p w:rsidR="00503AC2" w:rsidRPr="00A53528" w:rsidRDefault="00503AC2" w:rsidP="001B7CF3">
      <w:pPr>
        <w:spacing w:before="0"/>
        <w:rPr>
          <w:szCs w:val="20"/>
        </w:rPr>
      </w:pPr>
      <w:r w:rsidRPr="00A53528">
        <w:rPr>
          <w:szCs w:val="20"/>
        </w:rPr>
        <w:t xml:space="preserve">Li Z, </w:t>
      </w:r>
      <w:proofErr w:type="spellStart"/>
      <w:r w:rsidRPr="00A53528">
        <w:rPr>
          <w:szCs w:val="20"/>
        </w:rPr>
        <w:t>Zeki</w:t>
      </w:r>
      <w:proofErr w:type="spellEnd"/>
      <w:r w:rsidRPr="00A53528">
        <w:rPr>
          <w:szCs w:val="20"/>
        </w:rPr>
        <w:t xml:space="preserve"> R, </w:t>
      </w:r>
      <w:proofErr w:type="spellStart"/>
      <w:r w:rsidRPr="00A53528">
        <w:rPr>
          <w:szCs w:val="20"/>
        </w:rPr>
        <w:t>Hilder</w:t>
      </w:r>
      <w:proofErr w:type="spellEnd"/>
      <w:r w:rsidRPr="00A53528">
        <w:rPr>
          <w:szCs w:val="20"/>
        </w:rPr>
        <w:t xml:space="preserve"> L, Sullivan EA, 2013, ‘Australia’s mothers and babies 2011’, Perinatal statistics series no. 28. Cat. </w:t>
      </w:r>
      <w:proofErr w:type="gramStart"/>
      <w:r w:rsidRPr="00A53528">
        <w:rPr>
          <w:szCs w:val="20"/>
        </w:rPr>
        <w:t>no</w:t>
      </w:r>
      <w:proofErr w:type="gramEnd"/>
      <w:r w:rsidRPr="00A53528">
        <w:rPr>
          <w:szCs w:val="20"/>
        </w:rPr>
        <w:t>. PER 59, Canberra: AIHW National Perinatal Epidemiology and Statistics Unit.</w:t>
      </w:r>
    </w:p>
    <w:p w:rsidR="00503AC2" w:rsidRPr="00A53528" w:rsidRDefault="00503AC2" w:rsidP="001B7CF3">
      <w:pPr>
        <w:spacing w:before="0"/>
        <w:rPr>
          <w:szCs w:val="20"/>
        </w:rPr>
      </w:pPr>
      <w:r w:rsidRPr="00A53528">
        <w:rPr>
          <w:szCs w:val="20"/>
        </w:rPr>
        <w:t>Mackie FL, Hemming K, Allen S, et al, 2016, ‘</w:t>
      </w:r>
      <w:proofErr w:type="gramStart"/>
      <w:r w:rsidRPr="00A53528">
        <w:rPr>
          <w:szCs w:val="20"/>
        </w:rPr>
        <w:t>The</w:t>
      </w:r>
      <w:proofErr w:type="gramEnd"/>
      <w:r w:rsidRPr="00A53528">
        <w:rPr>
          <w:szCs w:val="20"/>
        </w:rPr>
        <w:t xml:space="preserve"> accuracy of cell-free </w:t>
      </w:r>
      <w:proofErr w:type="spellStart"/>
      <w:r w:rsidRPr="00A53528">
        <w:rPr>
          <w:szCs w:val="20"/>
        </w:rPr>
        <w:t>fetal</w:t>
      </w:r>
      <w:proofErr w:type="spellEnd"/>
      <w:r w:rsidRPr="00A53528">
        <w:rPr>
          <w:szCs w:val="20"/>
        </w:rPr>
        <w:t xml:space="preserve"> DNA-based non-invasive prenatal testing in singleton pregnancies: a systematic review and bivariate meta-analysis’, BJOG; DOI: 10.1111/1471-0528.14050.</w:t>
      </w:r>
    </w:p>
    <w:p w:rsidR="00503AC2" w:rsidRPr="00A53528" w:rsidRDefault="00503AC2" w:rsidP="001B7CF3">
      <w:pPr>
        <w:spacing w:before="0"/>
        <w:rPr>
          <w:szCs w:val="20"/>
        </w:rPr>
      </w:pPr>
      <w:r w:rsidRPr="00A53528">
        <w:rPr>
          <w:szCs w:val="20"/>
        </w:rPr>
        <w:t xml:space="preserve">Maxwell S, James I, Dickinson JE, O’Leary P, 2016, ‘First trimester screening cut-offs for </w:t>
      </w:r>
      <w:proofErr w:type="spellStart"/>
      <w:r w:rsidRPr="00A53528">
        <w:rPr>
          <w:szCs w:val="20"/>
        </w:rPr>
        <w:t>noninvasive</w:t>
      </w:r>
      <w:proofErr w:type="spellEnd"/>
      <w:r w:rsidRPr="00A53528">
        <w:rPr>
          <w:szCs w:val="20"/>
        </w:rPr>
        <w:t xml:space="preserve"> prenatal testing as a contingent screen: Balancing detection and screen-positive rates for trisomy 21’, Australian and New Zealand Journal of Obstetrics and Gynaecology; 56: 29–35 </w:t>
      </w:r>
    </w:p>
    <w:p w:rsidR="00503AC2" w:rsidRPr="00A53528" w:rsidRDefault="00503AC2" w:rsidP="001B7CF3">
      <w:pPr>
        <w:spacing w:before="0"/>
        <w:rPr>
          <w:szCs w:val="20"/>
        </w:rPr>
      </w:pPr>
      <w:r w:rsidRPr="00A53528">
        <w:rPr>
          <w:szCs w:val="20"/>
        </w:rPr>
        <w:t xml:space="preserve">McLennan A, Palma-Dias R, da Silva Costa F, et al, 2016, ‘Noninvasive prenatal testing in routine clinical practice--an audit of NIPT and combined first-trimester screening in an unselected Australian population’, </w:t>
      </w:r>
      <w:proofErr w:type="spellStart"/>
      <w:r w:rsidRPr="00A53528">
        <w:rPr>
          <w:szCs w:val="20"/>
        </w:rPr>
        <w:t>Aust</w:t>
      </w:r>
      <w:proofErr w:type="spellEnd"/>
      <w:r w:rsidRPr="00A53528">
        <w:rPr>
          <w:szCs w:val="20"/>
        </w:rPr>
        <w:t xml:space="preserve"> N Z J </w:t>
      </w:r>
      <w:proofErr w:type="spellStart"/>
      <w:r w:rsidRPr="00A53528">
        <w:rPr>
          <w:szCs w:val="20"/>
        </w:rPr>
        <w:t>Obstet</w:t>
      </w:r>
      <w:proofErr w:type="spellEnd"/>
      <w:r w:rsidRPr="00A53528">
        <w:rPr>
          <w:szCs w:val="20"/>
        </w:rPr>
        <w:t xml:space="preserve"> </w:t>
      </w:r>
      <w:proofErr w:type="spellStart"/>
      <w:r w:rsidRPr="00A53528">
        <w:rPr>
          <w:szCs w:val="20"/>
        </w:rPr>
        <w:t>Gynaecol</w:t>
      </w:r>
      <w:proofErr w:type="spellEnd"/>
      <w:r w:rsidRPr="00A53528">
        <w:rPr>
          <w:szCs w:val="20"/>
        </w:rPr>
        <w:t>; 56(1): 22-28.</w:t>
      </w:r>
    </w:p>
    <w:p w:rsidR="00503AC2" w:rsidRPr="00A53528" w:rsidRDefault="00503AC2" w:rsidP="001B7CF3">
      <w:pPr>
        <w:spacing w:before="0"/>
        <w:rPr>
          <w:szCs w:val="20"/>
        </w:rPr>
      </w:pPr>
      <w:proofErr w:type="spellStart"/>
      <w:r w:rsidRPr="00A53528">
        <w:rPr>
          <w:szCs w:val="20"/>
        </w:rPr>
        <w:t>Nicolaides</w:t>
      </w:r>
      <w:proofErr w:type="spellEnd"/>
      <w:r w:rsidRPr="00A53528">
        <w:rPr>
          <w:szCs w:val="20"/>
        </w:rPr>
        <w:t xml:space="preserve"> K, </w:t>
      </w:r>
      <w:proofErr w:type="spellStart"/>
      <w:r w:rsidRPr="00A53528">
        <w:rPr>
          <w:szCs w:val="20"/>
        </w:rPr>
        <w:t>Syngelaki</w:t>
      </w:r>
      <w:proofErr w:type="spellEnd"/>
      <w:r w:rsidRPr="00A53528">
        <w:rPr>
          <w:szCs w:val="20"/>
        </w:rPr>
        <w:t xml:space="preserve"> A, Gil M, et al, 2013, ‘Validation of targeted sequencing of single-nucleotide polymorphisms for non-invasive prenatal detection of aneuploidy of chromosomes 13, 18, 21, X, and Y’, Prenatal Diagnosis;33(6):575-9.</w:t>
      </w:r>
    </w:p>
    <w:p w:rsidR="00503AC2" w:rsidRPr="00A53528" w:rsidRDefault="00503AC2" w:rsidP="001B7CF3">
      <w:pPr>
        <w:spacing w:before="0"/>
        <w:rPr>
          <w:szCs w:val="20"/>
        </w:rPr>
      </w:pPr>
      <w:proofErr w:type="spellStart"/>
      <w:r w:rsidRPr="00A53528">
        <w:rPr>
          <w:szCs w:val="20"/>
        </w:rPr>
        <w:t>Nicolaides</w:t>
      </w:r>
      <w:proofErr w:type="spellEnd"/>
      <w:r w:rsidRPr="00A53528">
        <w:rPr>
          <w:szCs w:val="20"/>
        </w:rPr>
        <w:t xml:space="preserve"> KH, </w:t>
      </w:r>
      <w:proofErr w:type="spellStart"/>
      <w:r w:rsidRPr="00A53528">
        <w:rPr>
          <w:szCs w:val="20"/>
        </w:rPr>
        <w:t>Musci</w:t>
      </w:r>
      <w:proofErr w:type="spellEnd"/>
      <w:r w:rsidRPr="00A53528">
        <w:rPr>
          <w:szCs w:val="20"/>
        </w:rPr>
        <w:t xml:space="preserve"> TJ, </w:t>
      </w:r>
      <w:proofErr w:type="spellStart"/>
      <w:r w:rsidRPr="00A53528">
        <w:rPr>
          <w:szCs w:val="20"/>
        </w:rPr>
        <w:t>Struble</w:t>
      </w:r>
      <w:proofErr w:type="spellEnd"/>
      <w:r w:rsidRPr="00A53528">
        <w:rPr>
          <w:szCs w:val="20"/>
        </w:rPr>
        <w:t xml:space="preserve"> CA, et al, 2014, ‘Assessment of </w:t>
      </w:r>
      <w:proofErr w:type="spellStart"/>
      <w:r w:rsidRPr="00A53528">
        <w:rPr>
          <w:szCs w:val="20"/>
        </w:rPr>
        <w:t>fetal</w:t>
      </w:r>
      <w:proofErr w:type="spellEnd"/>
      <w:r w:rsidRPr="00A53528">
        <w:rPr>
          <w:szCs w:val="20"/>
        </w:rPr>
        <w:t xml:space="preserve"> sex chromosome aneuploidy using directed cell-free DNA analysis’, Fetal Diagnosis and Therapy;35(1):1-6.</w:t>
      </w:r>
    </w:p>
    <w:p w:rsidR="00503AC2" w:rsidRPr="00A53528" w:rsidRDefault="00503AC2" w:rsidP="001B7CF3">
      <w:pPr>
        <w:spacing w:before="0"/>
        <w:rPr>
          <w:szCs w:val="20"/>
        </w:rPr>
      </w:pPr>
      <w:proofErr w:type="spellStart"/>
      <w:r w:rsidRPr="00A53528">
        <w:rPr>
          <w:szCs w:val="20"/>
        </w:rPr>
        <w:t>Nicolaides</w:t>
      </w:r>
      <w:proofErr w:type="spellEnd"/>
      <w:r w:rsidRPr="00A53528">
        <w:rPr>
          <w:szCs w:val="20"/>
        </w:rPr>
        <w:t xml:space="preserve"> KH, </w:t>
      </w:r>
      <w:proofErr w:type="spellStart"/>
      <w:r w:rsidRPr="00A53528">
        <w:rPr>
          <w:szCs w:val="20"/>
        </w:rPr>
        <w:t>Syngelaki</w:t>
      </w:r>
      <w:proofErr w:type="spellEnd"/>
      <w:r w:rsidRPr="00A53528">
        <w:rPr>
          <w:szCs w:val="20"/>
        </w:rPr>
        <w:t xml:space="preserve"> A, </w:t>
      </w:r>
      <w:proofErr w:type="spellStart"/>
      <w:r w:rsidRPr="00A53528">
        <w:rPr>
          <w:szCs w:val="20"/>
        </w:rPr>
        <w:t>Ashoor</w:t>
      </w:r>
      <w:proofErr w:type="spellEnd"/>
      <w:r w:rsidRPr="00A53528">
        <w:rPr>
          <w:szCs w:val="20"/>
        </w:rPr>
        <w:t xml:space="preserve"> G, et al, 2012, ‘Noninvasive prenatal testing for </w:t>
      </w:r>
      <w:proofErr w:type="spellStart"/>
      <w:r w:rsidRPr="00A53528">
        <w:rPr>
          <w:szCs w:val="20"/>
        </w:rPr>
        <w:t>fetal</w:t>
      </w:r>
      <w:proofErr w:type="spellEnd"/>
      <w:r w:rsidRPr="00A53528">
        <w:rPr>
          <w:szCs w:val="20"/>
        </w:rPr>
        <w:t xml:space="preserve"> trisomies in a routinely screened first-trimester population’, American Journal of Obstetrics and </w:t>
      </w:r>
      <w:proofErr w:type="spellStart"/>
      <w:r w:rsidRPr="00A53528">
        <w:rPr>
          <w:szCs w:val="20"/>
        </w:rPr>
        <w:t>Gynecology</w:t>
      </w:r>
      <w:proofErr w:type="spellEnd"/>
      <w:r w:rsidRPr="00A53528">
        <w:rPr>
          <w:szCs w:val="20"/>
        </w:rPr>
        <w:t>;</w:t>
      </w:r>
      <w:r>
        <w:rPr>
          <w:szCs w:val="20"/>
        </w:rPr>
        <w:t xml:space="preserve"> </w:t>
      </w:r>
      <w:r w:rsidRPr="00A53528">
        <w:rPr>
          <w:szCs w:val="20"/>
        </w:rPr>
        <w:t>207:</w:t>
      </w:r>
      <w:r>
        <w:rPr>
          <w:szCs w:val="20"/>
        </w:rPr>
        <w:t xml:space="preserve"> </w:t>
      </w:r>
      <w:r w:rsidRPr="00A53528">
        <w:rPr>
          <w:szCs w:val="20"/>
        </w:rPr>
        <w:t>374</w:t>
      </w:r>
      <w:proofErr w:type="gramStart"/>
      <w:r w:rsidRPr="00A53528">
        <w:rPr>
          <w:szCs w:val="20"/>
        </w:rPr>
        <w:t>,e1</w:t>
      </w:r>
      <w:proofErr w:type="gramEnd"/>
      <w:r w:rsidRPr="00A53528">
        <w:rPr>
          <w:szCs w:val="20"/>
        </w:rPr>
        <w:t>-6.</w:t>
      </w:r>
    </w:p>
    <w:p w:rsidR="00503AC2" w:rsidRPr="00A53528" w:rsidRDefault="00503AC2" w:rsidP="001B7CF3">
      <w:pPr>
        <w:spacing w:before="0"/>
        <w:rPr>
          <w:szCs w:val="20"/>
        </w:rPr>
      </w:pPr>
      <w:r w:rsidRPr="00A53528">
        <w:rPr>
          <w:szCs w:val="20"/>
        </w:rPr>
        <w:t xml:space="preserve">Norton ME, </w:t>
      </w:r>
      <w:proofErr w:type="spellStart"/>
      <w:r w:rsidRPr="00A53528">
        <w:rPr>
          <w:szCs w:val="20"/>
        </w:rPr>
        <w:t>Brar</w:t>
      </w:r>
      <w:proofErr w:type="spellEnd"/>
      <w:r w:rsidRPr="00A53528">
        <w:rPr>
          <w:szCs w:val="20"/>
        </w:rPr>
        <w:t xml:space="preserve"> H, Weiss J, et al, 2012, ‘Non-Invasive Chromosomal Evaluation (NICE) Study: results of a </w:t>
      </w:r>
      <w:proofErr w:type="spellStart"/>
      <w:r w:rsidRPr="00A53528">
        <w:rPr>
          <w:szCs w:val="20"/>
        </w:rPr>
        <w:t>multicenter</w:t>
      </w:r>
      <w:proofErr w:type="spellEnd"/>
      <w:r w:rsidRPr="00A53528">
        <w:rPr>
          <w:szCs w:val="20"/>
        </w:rPr>
        <w:t xml:space="preserve"> prospective cohort study for detection of </w:t>
      </w:r>
      <w:proofErr w:type="spellStart"/>
      <w:r w:rsidRPr="00A53528">
        <w:rPr>
          <w:szCs w:val="20"/>
        </w:rPr>
        <w:t>fetal</w:t>
      </w:r>
      <w:proofErr w:type="spellEnd"/>
      <w:r w:rsidRPr="00A53528">
        <w:rPr>
          <w:szCs w:val="20"/>
        </w:rPr>
        <w:t xml:space="preserve"> trisomy 21 and trisomy 18’, American Journal of Obstetrics and Gynecology;207:137,e1-8.</w:t>
      </w:r>
    </w:p>
    <w:p w:rsidR="00503AC2" w:rsidRPr="00A53528" w:rsidRDefault="00503AC2" w:rsidP="001B7CF3">
      <w:pPr>
        <w:spacing w:before="0"/>
        <w:rPr>
          <w:szCs w:val="20"/>
        </w:rPr>
      </w:pPr>
      <w:r w:rsidRPr="00A53528">
        <w:rPr>
          <w:szCs w:val="20"/>
        </w:rPr>
        <w:t xml:space="preserve">Norton ME, </w:t>
      </w:r>
      <w:proofErr w:type="spellStart"/>
      <w:r w:rsidRPr="00A53528">
        <w:rPr>
          <w:szCs w:val="20"/>
        </w:rPr>
        <w:t>Jacobsson</w:t>
      </w:r>
      <w:proofErr w:type="spellEnd"/>
      <w:r w:rsidRPr="00A53528">
        <w:rPr>
          <w:szCs w:val="20"/>
        </w:rPr>
        <w:t xml:space="preserve"> B, </w:t>
      </w:r>
      <w:proofErr w:type="spellStart"/>
      <w:r w:rsidRPr="00A53528">
        <w:rPr>
          <w:szCs w:val="20"/>
        </w:rPr>
        <w:t>Swamy</w:t>
      </w:r>
      <w:proofErr w:type="spellEnd"/>
      <w:r w:rsidRPr="00A53528">
        <w:rPr>
          <w:szCs w:val="20"/>
        </w:rPr>
        <w:t xml:space="preserve"> GK, et al, 2015, ‘Cell-free DNA Analysis for Noninvasive Examination of Trisomy’, NEJM; 372</w:t>
      </w:r>
      <w:proofErr w:type="gramStart"/>
      <w:r w:rsidRPr="00A53528">
        <w:rPr>
          <w:szCs w:val="20"/>
        </w:rPr>
        <w:t>;17:1589</w:t>
      </w:r>
      <w:proofErr w:type="gramEnd"/>
      <w:r w:rsidRPr="00A53528">
        <w:rPr>
          <w:szCs w:val="20"/>
        </w:rPr>
        <w:t>-1597.</w:t>
      </w:r>
    </w:p>
    <w:p w:rsidR="00503AC2" w:rsidRPr="00A53528" w:rsidRDefault="00503AC2" w:rsidP="001B7CF3">
      <w:pPr>
        <w:spacing w:before="0"/>
        <w:rPr>
          <w:szCs w:val="20"/>
        </w:rPr>
      </w:pPr>
      <w:r w:rsidRPr="00A53528">
        <w:rPr>
          <w:szCs w:val="20"/>
        </w:rPr>
        <w:t xml:space="preserve">O’Leary P, Maxwell S, </w:t>
      </w:r>
      <w:proofErr w:type="spellStart"/>
      <w:r w:rsidRPr="00A53528">
        <w:rPr>
          <w:szCs w:val="20"/>
        </w:rPr>
        <w:t>Murch</w:t>
      </w:r>
      <w:proofErr w:type="spellEnd"/>
      <w:r w:rsidRPr="00A53528">
        <w:rPr>
          <w:szCs w:val="20"/>
        </w:rPr>
        <w:t xml:space="preserve"> A, </w:t>
      </w:r>
      <w:proofErr w:type="spellStart"/>
      <w:r w:rsidRPr="00A53528">
        <w:rPr>
          <w:szCs w:val="20"/>
        </w:rPr>
        <w:t>Hendrie</w:t>
      </w:r>
      <w:proofErr w:type="spellEnd"/>
      <w:r w:rsidRPr="00A53528">
        <w:rPr>
          <w:szCs w:val="20"/>
        </w:rPr>
        <w:t xml:space="preserve"> D, 2013, ‘Prenatal screening for Down syndrome in Australia: Costs and benefits of current and novel screening strategies’, Australian and New Zealand Journal of Obstetrics and Gynaecology; 53: 425–433.</w:t>
      </w:r>
    </w:p>
    <w:p w:rsidR="00503AC2" w:rsidRPr="00A53528" w:rsidRDefault="00503AC2" w:rsidP="001B7CF3">
      <w:pPr>
        <w:spacing w:before="0"/>
        <w:rPr>
          <w:szCs w:val="20"/>
        </w:rPr>
      </w:pPr>
      <w:proofErr w:type="spellStart"/>
      <w:r w:rsidRPr="00A53528">
        <w:rPr>
          <w:szCs w:val="20"/>
        </w:rPr>
        <w:t>Pergament</w:t>
      </w:r>
      <w:proofErr w:type="spellEnd"/>
      <w:r w:rsidRPr="00A53528">
        <w:rPr>
          <w:szCs w:val="20"/>
        </w:rPr>
        <w:t xml:space="preserve"> E, </w:t>
      </w:r>
      <w:proofErr w:type="spellStart"/>
      <w:r w:rsidRPr="00A53528">
        <w:rPr>
          <w:szCs w:val="20"/>
        </w:rPr>
        <w:t>Cuckle</w:t>
      </w:r>
      <w:proofErr w:type="spellEnd"/>
      <w:r w:rsidRPr="00A53528">
        <w:rPr>
          <w:szCs w:val="20"/>
        </w:rPr>
        <w:t xml:space="preserve"> H, Zimmermann B, et al, 2014, ‘Single-Nucleotide Polymorphism-Based Noninvasive Prenatal Screening in a High-Risk and Low-Risk Cohort’, </w:t>
      </w:r>
      <w:proofErr w:type="spellStart"/>
      <w:r w:rsidRPr="00A53528">
        <w:rPr>
          <w:szCs w:val="20"/>
        </w:rPr>
        <w:t>Obstet</w:t>
      </w:r>
      <w:proofErr w:type="spellEnd"/>
      <w:r w:rsidRPr="00A53528">
        <w:rPr>
          <w:szCs w:val="20"/>
        </w:rPr>
        <w:t xml:space="preserve"> Gynecol;124:210-218.</w:t>
      </w:r>
    </w:p>
    <w:p w:rsidR="00503AC2" w:rsidRPr="00A53528" w:rsidRDefault="00503AC2" w:rsidP="001B7CF3">
      <w:pPr>
        <w:spacing w:before="0"/>
        <w:rPr>
          <w:szCs w:val="20"/>
        </w:rPr>
      </w:pPr>
      <w:proofErr w:type="gramStart"/>
      <w:r w:rsidRPr="00A53528">
        <w:rPr>
          <w:szCs w:val="20"/>
        </w:rPr>
        <w:t>Robson S, Hui L, 2015, ‘National decline in invasive prenatal diagnostic procedures in association with uptake of combined first trimester and cell-free DNA aneuploidy screening’, Australian and New Zealand Journal of Obstetrics and Gynaecology; 55: 507–510.</w:t>
      </w:r>
      <w:proofErr w:type="gramEnd"/>
    </w:p>
    <w:p w:rsidR="00503AC2" w:rsidRPr="00A53528" w:rsidRDefault="00503AC2" w:rsidP="001B7CF3">
      <w:pPr>
        <w:spacing w:before="0"/>
        <w:rPr>
          <w:szCs w:val="20"/>
        </w:rPr>
      </w:pPr>
      <w:r w:rsidRPr="00A53528">
        <w:rPr>
          <w:szCs w:val="20"/>
        </w:rPr>
        <w:t xml:space="preserve">Ryan A, </w:t>
      </w:r>
      <w:proofErr w:type="spellStart"/>
      <w:r w:rsidRPr="00A53528">
        <w:rPr>
          <w:szCs w:val="20"/>
        </w:rPr>
        <w:t>Hunkapiller</w:t>
      </w:r>
      <w:proofErr w:type="spellEnd"/>
      <w:r w:rsidRPr="00A53528">
        <w:rPr>
          <w:szCs w:val="20"/>
        </w:rPr>
        <w:t xml:space="preserve"> N, </w:t>
      </w:r>
      <w:proofErr w:type="spellStart"/>
      <w:r w:rsidRPr="00A53528">
        <w:rPr>
          <w:szCs w:val="20"/>
        </w:rPr>
        <w:t>Banjevic</w:t>
      </w:r>
      <w:proofErr w:type="spellEnd"/>
      <w:r w:rsidRPr="00A53528">
        <w:rPr>
          <w:szCs w:val="20"/>
        </w:rPr>
        <w:t xml:space="preserve"> M, et al, 2016, ‘Validation of an Enhanced Version of a Single-Nucleotide Polymorphism-Based Noninvasive Prenatal Test for Detection of Fetal Aneuploidies’, Fetal </w:t>
      </w:r>
      <w:proofErr w:type="spellStart"/>
      <w:r w:rsidRPr="00A53528">
        <w:rPr>
          <w:szCs w:val="20"/>
        </w:rPr>
        <w:t>Diagn</w:t>
      </w:r>
      <w:proofErr w:type="spellEnd"/>
      <w:r w:rsidRPr="00A53528">
        <w:rPr>
          <w:szCs w:val="20"/>
        </w:rPr>
        <w:t xml:space="preserve"> </w:t>
      </w:r>
      <w:proofErr w:type="spellStart"/>
      <w:r w:rsidRPr="00A53528">
        <w:rPr>
          <w:szCs w:val="20"/>
        </w:rPr>
        <w:t>Ther</w:t>
      </w:r>
      <w:proofErr w:type="spellEnd"/>
      <w:r w:rsidRPr="00A53528">
        <w:rPr>
          <w:szCs w:val="20"/>
        </w:rPr>
        <w:t xml:space="preserve"> (</w:t>
      </w:r>
      <w:proofErr w:type="spellStart"/>
      <w:r w:rsidRPr="00A53528">
        <w:rPr>
          <w:szCs w:val="20"/>
        </w:rPr>
        <w:t>Epub</w:t>
      </w:r>
      <w:proofErr w:type="spellEnd"/>
      <w:r w:rsidRPr="00A53528">
        <w:rPr>
          <w:szCs w:val="20"/>
        </w:rPr>
        <w:t xml:space="preserve"> ahead of print).</w:t>
      </w:r>
    </w:p>
    <w:p w:rsidR="00503AC2" w:rsidRPr="00A53528" w:rsidRDefault="00503AC2" w:rsidP="001B7CF3">
      <w:pPr>
        <w:spacing w:before="0"/>
        <w:rPr>
          <w:szCs w:val="20"/>
        </w:rPr>
      </w:pPr>
      <w:proofErr w:type="spellStart"/>
      <w:r w:rsidRPr="00A53528">
        <w:rPr>
          <w:szCs w:val="20"/>
        </w:rPr>
        <w:t>Scheil</w:t>
      </w:r>
      <w:proofErr w:type="spellEnd"/>
      <w:r w:rsidRPr="00A53528">
        <w:rPr>
          <w:szCs w:val="20"/>
        </w:rPr>
        <w:t xml:space="preserve"> W, Scott J, </w:t>
      </w:r>
      <w:proofErr w:type="spellStart"/>
      <w:r w:rsidRPr="00A53528">
        <w:rPr>
          <w:szCs w:val="20"/>
        </w:rPr>
        <w:t>Catcheside</w:t>
      </w:r>
      <w:proofErr w:type="spellEnd"/>
      <w:r w:rsidRPr="00A53528">
        <w:rPr>
          <w:szCs w:val="20"/>
        </w:rPr>
        <w:t xml:space="preserve"> B, et al, 2013, ‘Pregnancy outcome in South Australia 2011’, Pregnancy Outcome Unit, SA Health, Government of South Australia, Adelaide.</w:t>
      </w:r>
    </w:p>
    <w:p w:rsidR="00503AC2" w:rsidRPr="00A53528" w:rsidRDefault="00503AC2" w:rsidP="001B7CF3">
      <w:pPr>
        <w:spacing w:before="0"/>
        <w:rPr>
          <w:szCs w:val="20"/>
        </w:rPr>
      </w:pPr>
      <w:r w:rsidRPr="00A53528">
        <w:rPr>
          <w:szCs w:val="20"/>
        </w:rPr>
        <w:t xml:space="preserve">Sparks AB, </w:t>
      </w:r>
      <w:proofErr w:type="spellStart"/>
      <w:r w:rsidRPr="00A53528">
        <w:rPr>
          <w:szCs w:val="20"/>
        </w:rPr>
        <w:t>Struble</w:t>
      </w:r>
      <w:proofErr w:type="spellEnd"/>
      <w:r w:rsidRPr="00A53528">
        <w:rPr>
          <w:szCs w:val="20"/>
        </w:rPr>
        <w:t xml:space="preserve"> CA, Wang ET, et al, 2012b, ‘Noninvasive prenatal detection and selective analysis of cell-free DNA obtained from maternal blood: evaluation for trisomy 21 and trisomy 18’, American Journal of Obstetrics and </w:t>
      </w:r>
      <w:proofErr w:type="spellStart"/>
      <w:r w:rsidRPr="00A53528">
        <w:rPr>
          <w:szCs w:val="20"/>
        </w:rPr>
        <w:t>Gynecology</w:t>
      </w:r>
      <w:proofErr w:type="spellEnd"/>
      <w:r w:rsidRPr="00A53528">
        <w:rPr>
          <w:szCs w:val="20"/>
        </w:rPr>
        <w:t>;</w:t>
      </w:r>
      <w:r>
        <w:rPr>
          <w:szCs w:val="20"/>
        </w:rPr>
        <w:t xml:space="preserve"> </w:t>
      </w:r>
      <w:r w:rsidRPr="00A53528">
        <w:rPr>
          <w:szCs w:val="20"/>
        </w:rPr>
        <w:t>206:</w:t>
      </w:r>
      <w:r>
        <w:rPr>
          <w:szCs w:val="20"/>
        </w:rPr>
        <w:t xml:space="preserve"> </w:t>
      </w:r>
      <w:r w:rsidRPr="00A53528">
        <w:rPr>
          <w:szCs w:val="20"/>
        </w:rPr>
        <w:t>319</w:t>
      </w:r>
      <w:proofErr w:type="gramStart"/>
      <w:r w:rsidRPr="00A53528">
        <w:rPr>
          <w:szCs w:val="20"/>
        </w:rPr>
        <w:t>,e1</w:t>
      </w:r>
      <w:proofErr w:type="gramEnd"/>
      <w:r w:rsidRPr="00A53528">
        <w:rPr>
          <w:szCs w:val="20"/>
        </w:rPr>
        <w:t>–9.</w:t>
      </w:r>
    </w:p>
    <w:p w:rsidR="00503AC2" w:rsidRPr="00A53528" w:rsidRDefault="00503AC2" w:rsidP="001B7CF3">
      <w:pPr>
        <w:spacing w:before="0"/>
        <w:rPr>
          <w:szCs w:val="20"/>
        </w:rPr>
      </w:pPr>
      <w:r w:rsidRPr="00A53528">
        <w:rPr>
          <w:szCs w:val="20"/>
        </w:rPr>
        <w:t xml:space="preserve">Sparks AB, Wang ET, </w:t>
      </w:r>
      <w:proofErr w:type="spellStart"/>
      <w:r w:rsidRPr="00A53528">
        <w:rPr>
          <w:szCs w:val="20"/>
        </w:rPr>
        <w:t>Struble</w:t>
      </w:r>
      <w:proofErr w:type="spellEnd"/>
      <w:r w:rsidRPr="00A53528">
        <w:rPr>
          <w:szCs w:val="20"/>
        </w:rPr>
        <w:t xml:space="preserve"> CA, et al, 2012a, ‘Selective analysis of cell-free DNA in maternal blood for evaluation of </w:t>
      </w:r>
      <w:proofErr w:type="spellStart"/>
      <w:r w:rsidRPr="00A53528">
        <w:rPr>
          <w:szCs w:val="20"/>
        </w:rPr>
        <w:t>fetal</w:t>
      </w:r>
      <w:proofErr w:type="spellEnd"/>
      <w:r w:rsidRPr="00A53528">
        <w:rPr>
          <w:szCs w:val="20"/>
        </w:rPr>
        <w:t xml:space="preserve"> trisomy’, Prenatal Diagnosis;32:3–9.</w:t>
      </w:r>
    </w:p>
    <w:p w:rsidR="00503AC2" w:rsidRPr="00A53528" w:rsidRDefault="00503AC2" w:rsidP="001B7CF3">
      <w:pPr>
        <w:spacing w:before="0"/>
        <w:rPr>
          <w:szCs w:val="20"/>
        </w:rPr>
      </w:pPr>
      <w:r w:rsidRPr="00A53528">
        <w:rPr>
          <w:szCs w:val="20"/>
        </w:rPr>
        <w:t>Stokowski R, Wang E, White K, 2015, ‘Clinical performance of non-invasive prenatal testing (NIPT) using targeted cell-free DNA analysis in maternal plasma with microarrays or next generation sequencing (NGS) is consistent across multiple controlled clinical studies’, Prenatal Diagnosis; 35: 1243–1246.</w:t>
      </w:r>
    </w:p>
    <w:p w:rsidR="00503AC2" w:rsidRPr="00A53528" w:rsidRDefault="00503AC2" w:rsidP="001B7CF3">
      <w:pPr>
        <w:spacing w:before="0"/>
        <w:rPr>
          <w:szCs w:val="20"/>
        </w:rPr>
      </w:pPr>
      <w:r w:rsidRPr="00A53528">
        <w:rPr>
          <w:szCs w:val="20"/>
        </w:rPr>
        <w:lastRenderedPageBreak/>
        <w:t xml:space="preserve">Taylor-Phillips S, Freeman K, </w:t>
      </w:r>
      <w:proofErr w:type="spellStart"/>
      <w:r w:rsidRPr="00A53528">
        <w:rPr>
          <w:szCs w:val="20"/>
        </w:rPr>
        <w:t>Geppert</w:t>
      </w:r>
      <w:proofErr w:type="spellEnd"/>
      <w:r w:rsidRPr="00A53528">
        <w:rPr>
          <w:szCs w:val="20"/>
        </w:rPr>
        <w:t xml:space="preserve"> J, et al, 2016, ‘Accuracy of non-invasive prenatal testing using cell-free DNA for detection of Down, Edwards and </w:t>
      </w:r>
      <w:proofErr w:type="spellStart"/>
      <w:r w:rsidRPr="00A53528">
        <w:rPr>
          <w:szCs w:val="20"/>
        </w:rPr>
        <w:t>Patau</w:t>
      </w:r>
      <w:proofErr w:type="spellEnd"/>
      <w:r w:rsidRPr="00A53528">
        <w:rPr>
          <w:szCs w:val="20"/>
        </w:rPr>
        <w:t xml:space="preserve"> syndromes: a systematic review and meta-analysis’, BMJ Open;6:e010002.doi:10.1136/bmjopen-2015-010002</w:t>
      </w:r>
    </w:p>
    <w:p w:rsidR="00503AC2" w:rsidRPr="00A53528" w:rsidRDefault="00503AC2" w:rsidP="001B7CF3">
      <w:pPr>
        <w:spacing w:before="0"/>
        <w:rPr>
          <w:szCs w:val="20"/>
        </w:rPr>
      </w:pPr>
      <w:r w:rsidRPr="00A53528">
        <w:rPr>
          <w:szCs w:val="20"/>
        </w:rPr>
        <w:t xml:space="preserve">The Royal Australian and New Zealand College of Obstetricians and Gynaecologists (RANZCOG), 2015, ‘Prenatal screening and diagnosis of chromosomal and genetic abnormalities in the </w:t>
      </w:r>
      <w:proofErr w:type="spellStart"/>
      <w:r w:rsidRPr="00A53528">
        <w:rPr>
          <w:szCs w:val="20"/>
        </w:rPr>
        <w:t>fetus</w:t>
      </w:r>
      <w:proofErr w:type="spellEnd"/>
      <w:r w:rsidRPr="00A53528">
        <w:rPr>
          <w:szCs w:val="20"/>
        </w:rPr>
        <w:t xml:space="preserve"> in pregnancy’, East Melbourne: RANZCOG.</w:t>
      </w:r>
    </w:p>
    <w:p w:rsidR="00503AC2" w:rsidRPr="00A53528" w:rsidRDefault="00503AC2" w:rsidP="001B7CF3">
      <w:pPr>
        <w:spacing w:before="0"/>
        <w:rPr>
          <w:szCs w:val="20"/>
        </w:rPr>
      </w:pPr>
      <w:r w:rsidRPr="00A53528">
        <w:rPr>
          <w:szCs w:val="20"/>
        </w:rPr>
        <w:t xml:space="preserve">Tug S, </w:t>
      </w:r>
      <w:proofErr w:type="spellStart"/>
      <w:r w:rsidRPr="00A53528">
        <w:rPr>
          <w:szCs w:val="20"/>
        </w:rPr>
        <w:t>Helmig</w:t>
      </w:r>
      <w:proofErr w:type="spellEnd"/>
      <w:r w:rsidRPr="00A53528">
        <w:rPr>
          <w:szCs w:val="20"/>
        </w:rPr>
        <w:t xml:space="preserve"> S, </w:t>
      </w:r>
      <w:proofErr w:type="spellStart"/>
      <w:r w:rsidRPr="00A53528">
        <w:rPr>
          <w:szCs w:val="20"/>
        </w:rPr>
        <w:t>Deichmann</w:t>
      </w:r>
      <w:proofErr w:type="spellEnd"/>
      <w:r w:rsidRPr="00A53528">
        <w:rPr>
          <w:szCs w:val="20"/>
        </w:rPr>
        <w:t xml:space="preserve"> ER, et al, 2015, ‘Exercise-induced increases in cell free DNA in human plasma originate predominantly from cells of the haematopoietic lineage’, Exercise Immunology Review; 21: 164–173.</w:t>
      </w:r>
    </w:p>
    <w:p w:rsidR="00503AC2" w:rsidRPr="00A53528" w:rsidRDefault="00503AC2" w:rsidP="001B7CF3">
      <w:pPr>
        <w:spacing w:before="0"/>
        <w:rPr>
          <w:szCs w:val="20"/>
        </w:rPr>
      </w:pPr>
      <w:proofErr w:type="spellStart"/>
      <w:r w:rsidRPr="00A53528">
        <w:rPr>
          <w:szCs w:val="20"/>
        </w:rPr>
        <w:t>Verweij</w:t>
      </w:r>
      <w:proofErr w:type="spellEnd"/>
      <w:r w:rsidRPr="00A53528">
        <w:rPr>
          <w:szCs w:val="20"/>
        </w:rPr>
        <w:t xml:space="preserve"> EJ, </w:t>
      </w:r>
      <w:proofErr w:type="spellStart"/>
      <w:r w:rsidRPr="00A53528">
        <w:rPr>
          <w:szCs w:val="20"/>
        </w:rPr>
        <w:t>Jacobsson</w:t>
      </w:r>
      <w:proofErr w:type="spellEnd"/>
      <w:r w:rsidRPr="00A53528">
        <w:rPr>
          <w:szCs w:val="20"/>
        </w:rPr>
        <w:t xml:space="preserve"> B, van </w:t>
      </w:r>
      <w:proofErr w:type="spellStart"/>
      <w:r w:rsidRPr="00A53528">
        <w:rPr>
          <w:szCs w:val="20"/>
        </w:rPr>
        <w:t>Scheltema</w:t>
      </w:r>
      <w:proofErr w:type="spellEnd"/>
      <w:r w:rsidRPr="00A53528">
        <w:rPr>
          <w:szCs w:val="20"/>
        </w:rPr>
        <w:t xml:space="preserve"> PA, 2013, ‘European Non-Invasive Trisomy Evaluation (EU-NITE) study: a </w:t>
      </w:r>
      <w:proofErr w:type="spellStart"/>
      <w:r w:rsidRPr="00A53528">
        <w:rPr>
          <w:szCs w:val="20"/>
        </w:rPr>
        <w:t>multicenter</w:t>
      </w:r>
      <w:proofErr w:type="spellEnd"/>
      <w:r w:rsidRPr="00A53528">
        <w:rPr>
          <w:szCs w:val="20"/>
        </w:rPr>
        <w:t xml:space="preserve"> prospective cohort study for non-invasive </w:t>
      </w:r>
      <w:proofErr w:type="spellStart"/>
      <w:r w:rsidRPr="00A53528">
        <w:rPr>
          <w:szCs w:val="20"/>
        </w:rPr>
        <w:t>fetal</w:t>
      </w:r>
      <w:proofErr w:type="spellEnd"/>
      <w:r w:rsidRPr="00A53528">
        <w:rPr>
          <w:szCs w:val="20"/>
        </w:rPr>
        <w:t xml:space="preserve"> trisomy 21 testing’, Prenatal Diagnosis;</w:t>
      </w:r>
      <w:r>
        <w:rPr>
          <w:szCs w:val="20"/>
        </w:rPr>
        <w:t xml:space="preserve"> </w:t>
      </w:r>
      <w:r w:rsidRPr="00A53528">
        <w:rPr>
          <w:szCs w:val="20"/>
        </w:rPr>
        <w:t>33:</w:t>
      </w:r>
      <w:r>
        <w:rPr>
          <w:szCs w:val="20"/>
        </w:rPr>
        <w:t xml:space="preserve"> </w:t>
      </w:r>
      <w:r w:rsidRPr="00A53528">
        <w:rPr>
          <w:szCs w:val="20"/>
        </w:rPr>
        <w:t>996–1001.</w:t>
      </w:r>
    </w:p>
    <w:p w:rsidR="00503AC2" w:rsidRPr="00A53528" w:rsidRDefault="00503AC2" w:rsidP="001B7CF3">
      <w:pPr>
        <w:spacing w:before="0"/>
        <w:rPr>
          <w:szCs w:val="20"/>
        </w:rPr>
      </w:pPr>
      <w:r w:rsidRPr="00A53528">
        <w:rPr>
          <w:szCs w:val="20"/>
        </w:rPr>
        <w:t xml:space="preserve">Wang E, </w:t>
      </w:r>
      <w:proofErr w:type="spellStart"/>
      <w:r w:rsidRPr="00A53528">
        <w:rPr>
          <w:szCs w:val="20"/>
        </w:rPr>
        <w:t>Batey</w:t>
      </w:r>
      <w:proofErr w:type="spellEnd"/>
      <w:r w:rsidRPr="00A53528">
        <w:rPr>
          <w:szCs w:val="20"/>
        </w:rPr>
        <w:t xml:space="preserve"> A, </w:t>
      </w:r>
      <w:proofErr w:type="spellStart"/>
      <w:r w:rsidRPr="00A53528">
        <w:rPr>
          <w:szCs w:val="20"/>
        </w:rPr>
        <w:t>Struble</w:t>
      </w:r>
      <w:proofErr w:type="spellEnd"/>
      <w:r w:rsidRPr="00A53528">
        <w:rPr>
          <w:szCs w:val="20"/>
        </w:rPr>
        <w:t xml:space="preserve"> C, et al, 2013, ‘Gestational age and maternal weight effects on </w:t>
      </w:r>
      <w:proofErr w:type="spellStart"/>
      <w:r w:rsidRPr="00A53528">
        <w:rPr>
          <w:szCs w:val="20"/>
        </w:rPr>
        <w:t>fetal</w:t>
      </w:r>
      <w:proofErr w:type="spellEnd"/>
      <w:r w:rsidRPr="00A53528">
        <w:rPr>
          <w:szCs w:val="20"/>
        </w:rPr>
        <w:t xml:space="preserve"> cell-free DNA in maternal plasma’, Prenatal Diagnosis,33:662–666.</w:t>
      </w:r>
    </w:p>
    <w:p w:rsidR="00503AC2" w:rsidRPr="00A53528" w:rsidRDefault="00503AC2" w:rsidP="001B7CF3">
      <w:pPr>
        <w:spacing w:before="0"/>
        <w:rPr>
          <w:szCs w:val="20"/>
        </w:rPr>
      </w:pPr>
      <w:proofErr w:type="spellStart"/>
      <w:r w:rsidRPr="00A53528">
        <w:rPr>
          <w:szCs w:val="20"/>
        </w:rPr>
        <w:t>Willems</w:t>
      </w:r>
      <w:proofErr w:type="spellEnd"/>
      <w:r w:rsidRPr="00A53528">
        <w:rPr>
          <w:szCs w:val="20"/>
        </w:rPr>
        <w:t xml:space="preserve"> PJ, </w:t>
      </w:r>
      <w:proofErr w:type="spellStart"/>
      <w:r w:rsidRPr="00A53528">
        <w:rPr>
          <w:szCs w:val="20"/>
        </w:rPr>
        <w:t>Dierickx</w:t>
      </w:r>
      <w:proofErr w:type="spellEnd"/>
      <w:r w:rsidRPr="00A53528">
        <w:rPr>
          <w:szCs w:val="20"/>
        </w:rPr>
        <w:t xml:space="preserve"> H, </w:t>
      </w:r>
      <w:proofErr w:type="spellStart"/>
      <w:r w:rsidRPr="00A53528">
        <w:rPr>
          <w:szCs w:val="20"/>
        </w:rPr>
        <w:t>Vandenakker</w:t>
      </w:r>
      <w:proofErr w:type="spellEnd"/>
      <w:r w:rsidRPr="00A53528">
        <w:rPr>
          <w:szCs w:val="20"/>
        </w:rPr>
        <w:t xml:space="preserve"> ES, et al, 2014, ‘The first 3,000 Non-Invasive Prenatal Tests (NIPT) with the Harmony test in Belgium and the Netherlands’, FVV in </w:t>
      </w:r>
      <w:proofErr w:type="spellStart"/>
      <w:r w:rsidRPr="00A53528">
        <w:rPr>
          <w:szCs w:val="20"/>
        </w:rPr>
        <w:t>ObGyn</w:t>
      </w:r>
      <w:proofErr w:type="spellEnd"/>
      <w:r w:rsidRPr="00A53528">
        <w:rPr>
          <w:szCs w:val="20"/>
        </w:rPr>
        <w:t>; 6 (1): 7-12.</w:t>
      </w:r>
    </w:p>
    <w:p w:rsidR="00503AC2" w:rsidRDefault="00503AC2" w:rsidP="001B7CF3">
      <w:pPr>
        <w:spacing w:before="0"/>
        <w:rPr>
          <w:szCs w:val="20"/>
        </w:rPr>
      </w:pPr>
      <w:r w:rsidRPr="00A53528">
        <w:rPr>
          <w:szCs w:val="20"/>
        </w:rPr>
        <w:t xml:space="preserve">Wu J, </w:t>
      </w:r>
      <w:proofErr w:type="spellStart"/>
      <w:r w:rsidRPr="00A53528">
        <w:rPr>
          <w:szCs w:val="20"/>
        </w:rPr>
        <w:t>Springett</w:t>
      </w:r>
      <w:proofErr w:type="spellEnd"/>
      <w:r w:rsidRPr="00A53528">
        <w:rPr>
          <w:szCs w:val="20"/>
        </w:rPr>
        <w:t xml:space="preserve"> A, Morris JK, 2013, ‘Survival of trisomy 18 (Edwards syndrome) and trisomy 13 (</w:t>
      </w:r>
      <w:proofErr w:type="spellStart"/>
      <w:r w:rsidRPr="00A53528">
        <w:rPr>
          <w:szCs w:val="20"/>
        </w:rPr>
        <w:t>Patau</w:t>
      </w:r>
      <w:proofErr w:type="spellEnd"/>
      <w:r w:rsidRPr="00A53528">
        <w:rPr>
          <w:szCs w:val="20"/>
        </w:rPr>
        <w:t xml:space="preserve"> Syndrome) in England and Wales: 2004-2011’, Am J Med Genet A; </w:t>
      </w:r>
      <w:proofErr w:type="gramStart"/>
      <w:r w:rsidRPr="00A53528">
        <w:rPr>
          <w:szCs w:val="20"/>
        </w:rPr>
        <w:t>161A(</w:t>
      </w:r>
      <w:proofErr w:type="gramEnd"/>
      <w:r w:rsidRPr="00A53528">
        <w:rPr>
          <w:szCs w:val="20"/>
        </w:rPr>
        <w:t>10): 2512-8.</w:t>
      </w:r>
      <w:r>
        <w:rPr>
          <w:szCs w:val="20"/>
        </w:rPr>
        <w:t xml:space="preserve"> </w:t>
      </w:r>
    </w:p>
    <w:p w:rsidR="00503AC2" w:rsidRDefault="00503AC2" w:rsidP="001B7CF3">
      <w:pPr>
        <w:spacing w:before="0"/>
        <w:rPr>
          <w:szCs w:val="20"/>
        </w:rPr>
      </w:pPr>
      <w:proofErr w:type="spellStart"/>
      <w:r>
        <w:rPr>
          <w:szCs w:val="20"/>
        </w:rPr>
        <w:t>Wulff</w:t>
      </w:r>
      <w:proofErr w:type="spellEnd"/>
      <w:r>
        <w:rPr>
          <w:szCs w:val="20"/>
        </w:rPr>
        <w:t xml:space="preserve"> CB</w:t>
      </w:r>
      <w:r w:rsidRPr="00E95190">
        <w:rPr>
          <w:szCs w:val="20"/>
        </w:rPr>
        <w:t>,</w:t>
      </w:r>
      <w:r>
        <w:rPr>
          <w:szCs w:val="20"/>
        </w:rPr>
        <w:t xml:space="preserve"> </w:t>
      </w:r>
      <w:proofErr w:type="spellStart"/>
      <w:r w:rsidRPr="00E95190">
        <w:rPr>
          <w:szCs w:val="20"/>
        </w:rPr>
        <w:t>Gerds</w:t>
      </w:r>
      <w:proofErr w:type="spellEnd"/>
      <w:r w:rsidRPr="00E95190">
        <w:rPr>
          <w:szCs w:val="20"/>
        </w:rPr>
        <w:t xml:space="preserve"> TA, Rode L,</w:t>
      </w:r>
      <w:r>
        <w:rPr>
          <w:szCs w:val="20"/>
        </w:rPr>
        <w:t xml:space="preserve"> et al, 2016, ‘</w:t>
      </w:r>
      <w:r w:rsidRPr="00E95190">
        <w:rPr>
          <w:szCs w:val="20"/>
        </w:rPr>
        <w:t xml:space="preserve">Risk of </w:t>
      </w:r>
      <w:proofErr w:type="spellStart"/>
      <w:r w:rsidRPr="00E95190">
        <w:rPr>
          <w:szCs w:val="20"/>
        </w:rPr>
        <w:t>fetal</w:t>
      </w:r>
      <w:proofErr w:type="spellEnd"/>
      <w:r w:rsidRPr="00E95190">
        <w:rPr>
          <w:szCs w:val="20"/>
        </w:rPr>
        <w:t xml:space="preserve"> loss associated with invasive testing following combined first-trimester screening for Down syndrome: a national cohort of 147,987 singleton pregnancies</w:t>
      </w:r>
      <w:r>
        <w:rPr>
          <w:szCs w:val="20"/>
        </w:rPr>
        <w:t>’,</w:t>
      </w:r>
      <w:r w:rsidRPr="00E95190">
        <w:rPr>
          <w:szCs w:val="20"/>
        </w:rPr>
        <w:t xml:space="preserve"> </w:t>
      </w:r>
      <w:r>
        <w:rPr>
          <w:szCs w:val="20"/>
        </w:rPr>
        <w:t xml:space="preserve">Ultrasound </w:t>
      </w:r>
      <w:proofErr w:type="spellStart"/>
      <w:r>
        <w:rPr>
          <w:szCs w:val="20"/>
        </w:rPr>
        <w:t>Obstet</w:t>
      </w:r>
      <w:proofErr w:type="spellEnd"/>
      <w:r>
        <w:rPr>
          <w:szCs w:val="20"/>
        </w:rPr>
        <w:t xml:space="preserve"> </w:t>
      </w:r>
      <w:proofErr w:type="spellStart"/>
      <w:r>
        <w:rPr>
          <w:szCs w:val="20"/>
        </w:rPr>
        <w:t>Gynecol</w:t>
      </w:r>
      <w:proofErr w:type="spellEnd"/>
      <w:r>
        <w:rPr>
          <w:szCs w:val="20"/>
        </w:rPr>
        <w:t xml:space="preserve">; </w:t>
      </w:r>
      <w:r w:rsidRPr="00E95190">
        <w:rPr>
          <w:szCs w:val="20"/>
        </w:rPr>
        <w:t>47(1):38-44.</w:t>
      </w:r>
    </w:p>
    <w:p w:rsidR="00503AC2" w:rsidRDefault="00503AC2" w:rsidP="001B7CF3">
      <w:pPr>
        <w:spacing w:before="0"/>
        <w:rPr>
          <w:szCs w:val="20"/>
        </w:rPr>
      </w:pPr>
      <w:r w:rsidRPr="00204055">
        <w:rPr>
          <w:szCs w:val="20"/>
        </w:rPr>
        <w:t xml:space="preserve">Zimmerman B, Hill M, </w:t>
      </w:r>
      <w:proofErr w:type="spellStart"/>
      <w:r w:rsidRPr="00204055">
        <w:rPr>
          <w:szCs w:val="20"/>
        </w:rPr>
        <w:t>Gemelos</w:t>
      </w:r>
      <w:proofErr w:type="spellEnd"/>
      <w:r w:rsidRPr="00204055">
        <w:rPr>
          <w:szCs w:val="20"/>
        </w:rPr>
        <w:t xml:space="preserve"> G, et al, 2012, ‘Noninvasive prenatal aneuploidy testing of chromosomes 13, 18, 21, X, and Y, using targeted sequencing of polymorphic loci’, Prenatal Diagnosis; 32: 1-9.</w:t>
      </w:r>
    </w:p>
    <w:p w:rsidR="00503AC2" w:rsidRDefault="00503AC2" w:rsidP="001B7CF3">
      <w:pPr>
        <w:spacing w:before="0"/>
      </w:pPr>
    </w:p>
    <w:p w:rsidR="00503AC2" w:rsidRPr="005E5E19" w:rsidRDefault="00503AC2" w:rsidP="001B7CF3">
      <w:pPr>
        <w:spacing w:before="0"/>
      </w:pPr>
      <w:r>
        <w:br w:type="page"/>
      </w:r>
    </w:p>
    <w:p w:rsidR="00503AC2" w:rsidRPr="00720673" w:rsidRDefault="00503AC2" w:rsidP="001B7CF3">
      <w:pPr>
        <w:pStyle w:val="Heading2"/>
        <w:numPr>
          <w:ilvl w:val="0"/>
          <w:numId w:val="0"/>
        </w:numPr>
        <w:spacing w:before="0"/>
        <w:ind w:left="360" w:hanging="360"/>
        <w:rPr>
          <w:rFonts w:asciiTheme="majorHAnsi" w:hAnsiTheme="majorHAnsi"/>
          <w:color w:val="0070C0"/>
          <w:sz w:val="26"/>
          <w:szCs w:val="26"/>
        </w:rPr>
      </w:pPr>
      <w:r w:rsidRPr="00720673">
        <w:rPr>
          <w:rFonts w:asciiTheme="majorHAnsi" w:hAnsiTheme="majorHAnsi"/>
          <w:color w:val="0070C0"/>
          <w:sz w:val="26"/>
          <w:szCs w:val="26"/>
        </w:rPr>
        <w:lastRenderedPageBreak/>
        <w:t>Attachment 1</w:t>
      </w:r>
    </w:p>
    <w:p w:rsidR="00503AC2" w:rsidRDefault="00503AC2" w:rsidP="001B7CF3">
      <w:pPr>
        <w:shd w:val="clear" w:color="auto" w:fill="FFFFFF"/>
        <w:spacing w:before="0"/>
        <w:rPr>
          <w:rFonts w:cs="Arial"/>
          <w:szCs w:val="19"/>
        </w:rPr>
      </w:pPr>
      <w:r>
        <w:rPr>
          <w:szCs w:val="20"/>
          <w:u w:val="single"/>
        </w:rPr>
        <w:t>E</w:t>
      </w:r>
      <w:r w:rsidRPr="00D63F6D">
        <w:rPr>
          <w:szCs w:val="20"/>
          <w:u w:val="single"/>
        </w:rPr>
        <w:t>xempt</w:t>
      </w:r>
      <w:r>
        <w:rPr>
          <w:szCs w:val="20"/>
          <w:u w:val="single"/>
        </w:rPr>
        <w:t>ion</w:t>
      </w:r>
      <w:r w:rsidRPr="00D63F6D">
        <w:rPr>
          <w:szCs w:val="20"/>
          <w:u w:val="single"/>
        </w:rPr>
        <w:t xml:space="preserve"> from the regulatory requirements of</w:t>
      </w:r>
      <w:r>
        <w:rPr>
          <w:szCs w:val="20"/>
          <w:u w:val="single"/>
        </w:rPr>
        <w:t xml:space="preserve"> the Therapeutic Goods Act 1989</w:t>
      </w:r>
      <w:r w:rsidRPr="00D63F6D">
        <w:rPr>
          <w:szCs w:val="20"/>
          <w:u w:val="single"/>
        </w:rPr>
        <w:t xml:space="preserve"> supporting documentation</w:t>
      </w:r>
    </w:p>
    <w:p w:rsidR="00503AC2" w:rsidRPr="006957EF" w:rsidRDefault="00503AC2" w:rsidP="001B7CF3">
      <w:pPr>
        <w:shd w:val="clear" w:color="auto" w:fill="FFFFFF"/>
        <w:spacing w:before="0"/>
        <w:rPr>
          <w:rFonts w:cs="Arial"/>
          <w:szCs w:val="19"/>
        </w:rPr>
      </w:pPr>
      <w:r w:rsidRPr="006957EF">
        <w:rPr>
          <w:rFonts w:cs="Arial"/>
          <w:szCs w:val="19"/>
        </w:rPr>
        <w:t>NIPT is currently performed in Australia by laboratories as an in-house IVD test.</w:t>
      </w:r>
    </w:p>
    <w:p w:rsidR="00503AC2" w:rsidRPr="006957EF" w:rsidRDefault="00503AC2" w:rsidP="001B7CF3">
      <w:pPr>
        <w:shd w:val="clear" w:color="auto" w:fill="FFFFFF"/>
        <w:spacing w:before="0"/>
        <w:rPr>
          <w:rFonts w:cs="Arial"/>
          <w:szCs w:val="19"/>
        </w:rPr>
      </w:pPr>
      <w:r w:rsidRPr="006957EF">
        <w:rPr>
          <w:rFonts w:cs="Arial"/>
          <w:szCs w:val="19"/>
        </w:rPr>
        <w:t>The reagents and consumables supplied to laboratories performing NIPT are currently supplied by commercial companies as Research Use Only and therefore are exempt from registration with the TGA by the commercial company. </w:t>
      </w:r>
    </w:p>
    <w:p w:rsidR="00503AC2" w:rsidRPr="001B7CF3" w:rsidRDefault="00503AC2" w:rsidP="001B7CF3">
      <w:pPr>
        <w:spacing w:before="0"/>
        <w:rPr>
          <w:rFonts w:cs="Arial"/>
          <w:szCs w:val="19"/>
          <w:u w:val="single"/>
        </w:rPr>
      </w:pPr>
      <w:r w:rsidRPr="006957EF">
        <w:rPr>
          <w:rFonts w:cs="Arial"/>
          <w:szCs w:val="19"/>
        </w:rPr>
        <w:t>It is the responsibility of the laboratory performing this NIPT to comply with in-house IVD directives. Details of these directives can be found at </w:t>
      </w:r>
      <w:hyperlink r:id="rId13" w:tgtFrame="_blank" w:history="1">
        <w:r w:rsidR="001B7CF3">
          <w:rPr>
            <w:rStyle w:val="Hyperlink"/>
            <w:rFonts w:cs="Arial"/>
            <w:color w:val="auto"/>
            <w:szCs w:val="19"/>
          </w:rPr>
          <w:t>TGA website</w:t>
        </w:r>
      </w:hyperlink>
      <w:r w:rsidRPr="006957EF">
        <w:rPr>
          <w:rFonts w:cs="Arial"/>
          <w:szCs w:val="19"/>
        </w:rPr>
        <w:t>.</w:t>
      </w:r>
    </w:p>
    <w:p w:rsidR="00503AC2" w:rsidRDefault="00503AC2" w:rsidP="001B7CF3">
      <w:pPr>
        <w:spacing w:before="0"/>
        <w:rPr>
          <w:szCs w:val="20"/>
          <w:u w:val="single"/>
        </w:rPr>
      </w:pPr>
      <w:r>
        <w:rPr>
          <w:szCs w:val="20"/>
          <w:u w:val="single"/>
        </w:rPr>
        <w:br w:type="page"/>
      </w:r>
    </w:p>
    <w:p w:rsidR="00503AC2" w:rsidRPr="00720673" w:rsidRDefault="00503AC2" w:rsidP="001B7CF3">
      <w:pPr>
        <w:pStyle w:val="Heading2"/>
        <w:numPr>
          <w:ilvl w:val="0"/>
          <w:numId w:val="0"/>
        </w:numPr>
        <w:spacing w:before="0"/>
        <w:ind w:left="360" w:hanging="360"/>
        <w:rPr>
          <w:rFonts w:asciiTheme="majorHAnsi" w:hAnsiTheme="majorHAnsi"/>
          <w:color w:val="0070C0"/>
          <w:sz w:val="26"/>
          <w:szCs w:val="26"/>
        </w:rPr>
      </w:pPr>
      <w:r w:rsidRPr="00720673">
        <w:rPr>
          <w:rFonts w:asciiTheme="majorHAnsi" w:hAnsiTheme="majorHAnsi"/>
          <w:color w:val="0070C0"/>
          <w:sz w:val="26"/>
          <w:szCs w:val="26"/>
        </w:rPr>
        <w:lastRenderedPageBreak/>
        <w:t>Attachment 2</w:t>
      </w:r>
    </w:p>
    <w:p w:rsidR="00503AC2" w:rsidRPr="00620F96" w:rsidRDefault="00503AC2" w:rsidP="001B7CF3">
      <w:pPr>
        <w:spacing w:before="0"/>
        <w:rPr>
          <w:szCs w:val="20"/>
          <w:u w:val="single"/>
        </w:rPr>
      </w:pPr>
      <w:proofErr w:type="gramStart"/>
      <w:r w:rsidRPr="001B7CF3">
        <w:rPr>
          <w:b/>
          <w:szCs w:val="20"/>
        </w:rPr>
        <w:t>Diagram 1.</w:t>
      </w:r>
      <w:proofErr w:type="gramEnd"/>
      <w:r w:rsidRPr="00D63F6D">
        <w:rPr>
          <w:szCs w:val="20"/>
        </w:rPr>
        <w:tab/>
      </w:r>
      <w:r w:rsidRPr="00620F96">
        <w:rPr>
          <w:szCs w:val="20"/>
          <w:u w:val="single"/>
        </w:rPr>
        <w:t>Current first trimester testing pathway</w:t>
      </w:r>
    </w:p>
    <w:p w:rsidR="00503AC2" w:rsidRDefault="00503AC2" w:rsidP="001B7CF3">
      <w:pPr>
        <w:spacing w:before="0"/>
        <w:rPr>
          <w:szCs w:val="20"/>
        </w:rPr>
      </w:pPr>
      <w:r w:rsidRPr="00E323C4">
        <w:rPr>
          <w:noProof/>
          <w:lang w:eastAsia="en-AU"/>
        </w:rPr>
        <w:drawing>
          <wp:inline distT="0" distB="0" distL="0" distR="0" wp14:anchorId="1343961A" wp14:editId="22E20D42">
            <wp:extent cx="4772025" cy="3731678"/>
            <wp:effectExtent l="0" t="0" r="0" b="2540"/>
            <wp:docPr id="6" name="Picture 6" descr="clinical managment pathway, where patients undergo first trimester testing, and progress to CVS or amniocentesis if they are high-ris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9911" cy="3730025"/>
                    </a:xfrm>
                    <a:prstGeom prst="rect">
                      <a:avLst/>
                    </a:prstGeom>
                    <a:noFill/>
                    <a:ln>
                      <a:noFill/>
                    </a:ln>
                  </pic:spPr>
                </pic:pic>
              </a:graphicData>
            </a:graphic>
          </wp:inline>
        </w:drawing>
      </w:r>
    </w:p>
    <w:p w:rsidR="00503AC2" w:rsidRDefault="00503AC2" w:rsidP="001B7CF3">
      <w:pPr>
        <w:spacing w:before="0"/>
        <w:rPr>
          <w:szCs w:val="20"/>
          <w:u w:val="single"/>
        </w:rPr>
      </w:pPr>
      <w:r>
        <w:rPr>
          <w:szCs w:val="20"/>
          <w:u w:val="single"/>
        </w:rPr>
        <w:br w:type="page"/>
      </w:r>
    </w:p>
    <w:p w:rsidR="00503AC2" w:rsidRPr="00D63F6D" w:rsidRDefault="00503AC2" w:rsidP="001B7CF3">
      <w:pPr>
        <w:spacing w:before="0"/>
        <w:rPr>
          <w:szCs w:val="20"/>
          <w:u w:val="single"/>
        </w:rPr>
      </w:pPr>
      <w:proofErr w:type="gramStart"/>
      <w:r w:rsidRPr="001B7CF3">
        <w:rPr>
          <w:b/>
          <w:szCs w:val="20"/>
        </w:rPr>
        <w:lastRenderedPageBreak/>
        <w:t>Diagram 2.</w:t>
      </w:r>
      <w:proofErr w:type="gramEnd"/>
      <w:r w:rsidRPr="00D63F6D">
        <w:rPr>
          <w:szCs w:val="20"/>
        </w:rPr>
        <w:tab/>
      </w:r>
      <w:r w:rsidRPr="00620F96">
        <w:rPr>
          <w:szCs w:val="20"/>
          <w:u w:val="single"/>
        </w:rPr>
        <w:t>Proposed prenatal testing pathway with NIPT funded under a contingent testing model</w:t>
      </w:r>
    </w:p>
    <w:p w:rsidR="00503AC2" w:rsidRDefault="00503AC2" w:rsidP="001B7CF3">
      <w:pPr>
        <w:spacing w:before="0"/>
        <w:rPr>
          <w:szCs w:val="20"/>
        </w:rPr>
      </w:pPr>
      <w:r w:rsidRPr="00EF57FC">
        <w:rPr>
          <w:noProof/>
          <w:lang w:eastAsia="en-AU"/>
        </w:rPr>
        <w:drawing>
          <wp:inline distT="0" distB="0" distL="0" distR="0" wp14:anchorId="55235E17" wp14:editId="48DD6C46">
            <wp:extent cx="5731510" cy="2851727"/>
            <wp:effectExtent l="0" t="0" r="2540" b="6350"/>
            <wp:docPr id="9" name="Picture 9" descr="proposed prenatal testing pathway with NIPT. Described earlier in th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2851727"/>
                    </a:xfrm>
                    <a:prstGeom prst="rect">
                      <a:avLst/>
                    </a:prstGeom>
                  </pic:spPr>
                </pic:pic>
              </a:graphicData>
            </a:graphic>
          </wp:inline>
        </w:drawing>
      </w:r>
    </w:p>
    <w:p w:rsidR="00503AC2" w:rsidRDefault="00503AC2" w:rsidP="001B7CF3">
      <w:pPr>
        <w:spacing w:before="0"/>
        <w:rPr>
          <w:szCs w:val="20"/>
        </w:rPr>
      </w:pPr>
      <w:r>
        <w:rPr>
          <w:szCs w:val="20"/>
        </w:rPr>
        <w:t>Source: Hui et al (2013), specific risk thresholds removed</w:t>
      </w:r>
    </w:p>
    <w:p w:rsidR="00503AC2" w:rsidRPr="001B7CF3" w:rsidRDefault="00503AC2" w:rsidP="001B7CF3">
      <w:pPr>
        <w:spacing w:before="0"/>
        <w:rPr>
          <w:szCs w:val="20"/>
        </w:rPr>
      </w:pPr>
      <w:r>
        <w:rPr>
          <w:szCs w:val="20"/>
        </w:rPr>
        <w:t>Note: under specific thresholds for ‘low risk’ and ‘high risk’ the contingent testing model is identical to the general testing model (below) since all women would be within the risk range recommended to receive an NIPT</w:t>
      </w:r>
    </w:p>
    <w:p w:rsidR="00503AC2" w:rsidRPr="00620F96" w:rsidRDefault="00503AC2" w:rsidP="001B7CF3">
      <w:pPr>
        <w:spacing w:before="0"/>
        <w:rPr>
          <w:szCs w:val="20"/>
          <w:u w:val="single"/>
        </w:rPr>
      </w:pPr>
      <w:proofErr w:type="gramStart"/>
      <w:r w:rsidRPr="001B7CF3">
        <w:rPr>
          <w:b/>
          <w:szCs w:val="20"/>
        </w:rPr>
        <w:t>Diagram 3.</w:t>
      </w:r>
      <w:proofErr w:type="gramEnd"/>
      <w:r w:rsidRPr="00D63F6D">
        <w:rPr>
          <w:szCs w:val="20"/>
        </w:rPr>
        <w:tab/>
      </w:r>
      <w:r w:rsidRPr="00620F96">
        <w:rPr>
          <w:szCs w:val="20"/>
          <w:u w:val="single"/>
        </w:rPr>
        <w:t>Proposed prenatal testing pathway with NIPT funded under a primary testing model</w:t>
      </w:r>
    </w:p>
    <w:p w:rsidR="00503AC2" w:rsidRDefault="00503AC2" w:rsidP="001B7CF3">
      <w:pPr>
        <w:spacing w:before="0"/>
        <w:rPr>
          <w:szCs w:val="20"/>
        </w:rPr>
      </w:pPr>
      <w:bookmarkStart w:id="4" w:name="_GoBack"/>
      <w:r w:rsidRPr="00EF57FC">
        <w:rPr>
          <w:noProof/>
          <w:lang w:eastAsia="en-AU"/>
        </w:rPr>
        <w:drawing>
          <wp:inline distT="0" distB="0" distL="0" distR="0" wp14:anchorId="718FA40D" wp14:editId="2E9572C5">
            <wp:extent cx="5731510" cy="3467074"/>
            <wp:effectExtent l="0" t="0" r="2540" b="635"/>
            <wp:docPr id="11" name="Picture 11" descr="NITP funded under primary testing model. Described earlier in the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3467074"/>
                    </a:xfrm>
                    <a:prstGeom prst="rect">
                      <a:avLst/>
                    </a:prstGeom>
                  </pic:spPr>
                </pic:pic>
              </a:graphicData>
            </a:graphic>
          </wp:inline>
        </w:drawing>
      </w:r>
      <w:bookmarkEnd w:id="4"/>
    </w:p>
    <w:p w:rsidR="00451840" w:rsidRPr="00503AC2" w:rsidRDefault="00503AC2" w:rsidP="001B7CF3">
      <w:pPr>
        <w:spacing w:before="0"/>
        <w:rPr>
          <w:szCs w:val="20"/>
        </w:rPr>
      </w:pPr>
      <w:r>
        <w:rPr>
          <w:szCs w:val="20"/>
        </w:rPr>
        <w:t>Source: Hui et al (2013), specific risk thresholds removed</w:t>
      </w:r>
    </w:p>
    <w:sectPr w:rsidR="00451840" w:rsidRPr="00503AC2"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96D" w:rsidRDefault="009A096D" w:rsidP="00CF2DFA">
      <w:pPr>
        <w:spacing w:after="0"/>
      </w:pPr>
      <w:r>
        <w:separator/>
      </w:r>
    </w:p>
  </w:endnote>
  <w:endnote w:type="continuationSeparator" w:id="0">
    <w:p w:rsidR="009A096D" w:rsidRDefault="009A096D"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CB3DAB" w:rsidRDefault="00CB3DAB">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50F6F" w:rsidRPr="00750F6F">
          <w:rPr>
            <w:b/>
            <w:bCs/>
            <w:noProof/>
            <w:sz w:val="18"/>
            <w:szCs w:val="18"/>
          </w:rPr>
          <w:t>33</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CB3DAB" w:rsidRPr="003F7CB9" w:rsidRDefault="00CB3DAB"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96D" w:rsidRDefault="009A096D" w:rsidP="00CF2DFA">
      <w:pPr>
        <w:spacing w:after="0"/>
      </w:pPr>
      <w:r>
        <w:separator/>
      </w:r>
    </w:p>
  </w:footnote>
  <w:footnote w:type="continuationSeparator" w:id="0">
    <w:p w:rsidR="009A096D" w:rsidRDefault="009A096D"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B27668"/>
    <w:multiLevelType w:val="hybridMultilevel"/>
    <w:tmpl w:val="93D270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3E35249"/>
    <w:multiLevelType w:val="hybridMultilevel"/>
    <w:tmpl w:val="EA0C8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7124AAF"/>
    <w:multiLevelType w:val="hybridMultilevel"/>
    <w:tmpl w:val="CAD0306A"/>
    <w:lvl w:ilvl="0" w:tplc="576C4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E1291C"/>
    <w:multiLevelType w:val="hybridMultilevel"/>
    <w:tmpl w:val="39806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8"/>
  </w:num>
  <w:num w:numId="26">
    <w:abstractNumId w:val="4"/>
  </w:num>
  <w:num w:numId="27">
    <w:abstractNumId w:val="15"/>
  </w:num>
  <w:num w:numId="28">
    <w:abstractNumId w:val="11"/>
  </w:num>
  <w:num w:numId="29">
    <w:abstractNumId w:val="19"/>
  </w:num>
  <w:num w:numId="30">
    <w:abstractNumId w:val="3"/>
  </w:num>
  <w:num w:numId="31">
    <w:abstractNumId w:val="17"/>
  </w:num>
  <w:num w:numId="32">
    <w:abstractNumId w:val="7"/>
  </w:num>
  <w:num w:numId="33">
    <w:abstractNumId w:val="16"/>
  </w:num>
  <w:num w:numId="34">
    <w:abstractNumId w:val="6"/>
  </w:num>
  <w:num w:numId="35">
    <w:abstractNumId w:val="12"/>
  </w:num>
  <w:num w:numId="36">
    <w:abstractNumId w:val="0"/>
  </w:num>
  <w:num w:numId="37">
    <w:abstractNumId w:val="22"/>
  </w:num>
  <w:num w:numId="38">
    <w:abstractNumId w:val="2"/>
  </w:num>
  <w:num w:numId="39">
    <w:abstractNumId w:val="9"/>
  </w:num>
  <w:num w:numId="40">
    <w:abstractNumId w:val="21"/>
  </w:num>
  <w:num w:numId="41">
    <w:abstractNumId w:val="13"/>
  </w:num>
  <w:num w:numId="42">
    <w:abstractNumId w:val="13"/>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23E21"/>
    <w:rsid w:val="00025ABC"/>
    <w:rsid w:val="00026412"/>
    <w:rsid w:val="00031F6F"/>
    <w:rsid w:val="00034D6E"/>
    <w:rsid w:val="0005089D"/>
    <w:rsid w:val="000525BC"/>
    <w:rsid w:val="00073222"/>
    <w:rsid w:val="000770BA"/>
    <w:rsid w:val="00092580"/>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3D10"/>
    <w:rsid w:val="00124B00"/>
    <w:rsid w:val="00126B33"/>
    <w:rsid w:val="001507D0"/>
    <w:rsid w:val="00154B00"/>
    <w:rsid w:val="001644E9"/>
    <w:rsid w:val="00172197"/>
    <w:rsid w:val="001845D9"/>
    <w:rsid w:val="0018630F"/>
    <w:rsid w:val="001906CD"/>
    <w:rsid w:val="00191B99"/>
    <w:rsid w:val="00197D29"/>
    <w:rsid w:val="001A02E3"/>
    <w:rsid w:val="001A1ADF"/>
    <w:rsid w:val="001A365C"/>
    <w:rsid w:val="001B171D"/>
    <w:rsid w:val="001B29A1"/>
    <w:rsid w:val="001B5169"/>
    <w:rsid w:val="001B6164"/>
    <w:rsid w:val="001B7CF3"/>
    <w:rsid w:val="001D77ED"/>
    <w:rsid w:val="001E1180"/>
    <w:rsid w:val="001E23EA"/>
    <w:rsid w:val="001E6919"/>
    <w:rsid w:val="001E6958"/>
    <w:rsid w:val="00201924"/>
    <w:rsid w:val="00202473"/>
    <w:rsid w:val="002053F2"/>
    <w:rsid w:val="00206D63"/>
    <w:rsid w:val="0021185D"/>
    <w:rsid w:val="00215E4F"/>
    <w:rsid w:val="00226777"/>
    <w:rsid w:val="00235BD1"/>
    <w:rsid w:val="00242B0E"/>
    <w:rsid w:val="00247DF0"/>
    <w:rsid w:val="00254813"/>
    <w:rsid w:val="00257FF2"/>
    <w:rsid w:val="00265822"/>
    <w:rsid w:val="0027105F"/>
    <w:rsid w:val="002711FB"/>
    <w:rsid w:val="00272799"/>
    <w:rsid w:val="00275D11"/>
    <w:rsid w:val="00283318"/>
    <w:rsid w:val="00285525"/>
    <w:rsid w:val="00294CD8"/>
    <w:rsid w:val="002A270B"/>
    <w:rsid w:val="002A40AE"/>
    <w:rsid w:val="002A50FD"/>
    <w:rsid w:val="002A6753"/>
    <w:rsid w:val="002B28D7"/>
    <w:rsid w:val="002B7EB6"/>
    <w:rsid w:val="002C0B61"/>
    <w:rsid w:val="002C15E6"/>
    <w:rsid w:val="002C247D"/>
    <w:rsid w:val="002C3345"/>
    <w:rsid w:val="002D409A"/>
    <w:rsid w:val="002F30E7"/>
    <w:rsid w:val="002F55EF"/>
    <w:rsid w:val="00300EEB"/>
    <w:rsid w:val="003013A9"/>
    <w:rsid w:val="003020B5"/>
    <w:rsid w:val="003027BB"/>
    <w:rsid w:val="00310A10"/>
    <w:rsid w:val="00327D25"/>
    <w:rsid w:val="003319A7"/>
    <w:rsid w:val="0033473C"/>
    <w:rsid w:val="00334FE3"/>
    <w:rsid w:val="003421AE"/>
    <w:rsid w:val="003433D1"/>
    <w:rsid w:val="00344B24"/>
    <w:rsid w:val="003456B9"/>
    <w:rsid w:val="0035067D"/>
    <w:rsid w:val="00352047"/>
    <w:rsid w:val="00353A16"/>
    <w:rsid w:val="0035776D"/>
    <w:rsid w:val="00364FD9"/>
    <w:rsid w:val="00367C1B"/>
    <w:rsid w:val="00376B61"/>
    <w:rsid w:val="00382407"/>
    <w:rsid w:val="00386A64"/>
    <w:rsid w:val="00386FA1"/>
    <w:rsid w:val="00390142"/>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3333"/>
    <w:rsid w:val="00411735"/>
    <w:rsid w:val="0042719E"/>
    <w:rsid w:val="0043654D"/>
    <w:rsid w:val="00451840"/>
    <w:rsid w:val="00457DE6"/>
    <w:rsid w:val="00460C9A"/>
    <w:rsid w:val="00464924"/>
    <w:rsid w:val="0047581D"/>
    <w:rsid w:val="004777D4"/>
    <w:rsid w:val="00480289"/>
    <w:rsid w:val="00481279"/>
    <w:rsid w:val="00483368"/>
    <w:rsid w:val="004879B6"/>
    <w:rsid w:val="00494011"/>
    <w:rsid w:val="004970E5"/>
    <w:rsid w:val="004A0BF4"/>
    <w:rsid w:val="004A263B"/>
    <w:rsid w:val="004A68EF"/>
    <w:rsid w:val="004B68AE"/>
    <w:rsid w:val="004C35B0"/>
    <w:rsid w:val="004C49EF"/>
    <w:rsid w:val="004C4A19"/>
    <w:rsid w:val="004C5570"/>
    <w:rsid w:val="004D00C9"/>
    <w:rsid w:val="004D1081"/>
    <w:rsid w:val="004E16F5"/>
    <w:rsid w:val="004E3CC7"/>
    <w:rsid w:val="004E5B69"/>
    <w:rsid w:val="004F2A87"/>
    <w:rsid w:val="00503AC2"/>
    <w:rsid w:val="0050517E"/>
    <w:rsid w:val="00507C56"/>
    <w:rsid w:val="0052344E"/>
    <w:rsid w:val="00525055"/>
    <w:rsid w:val="00526478"/>
    <w:rsid w:val="00530204"/>
    <w:rsid w:val="00534C5F"/>
    <w:rsid w:val="00540257"/>
    <w:rsid w:val="005403F8"/>
    <w:rsid w:val="0054192F"/>
    <w:rsid w:val="00544EB3"/>
    <w:rsid w:val="0054594B"/>
    <w:rsid w:val="0054749B"/>
    <w:rsid w:val="00551CC6"/>
    <w:rsid w:val="00560541"/>
    <w:rsid w:val="005672D0"/>
    <w:rsid w:val="00572CEB"/>
    <w:rsid w:val="005834C9"/>
    <w:rsid w:val="005A1500"/>
    <w:rsid w:val="005A58BA"/>
    <w:rsid w:val="005A5D30"/>
    <w:rsid w:val="005A6AB9"/>
    <w:rsid w:val="005C333E"/>
    <w:rsid w:val="005C3AE7"/>
    <w:rsid w:val="005D0677"/>
    <w:rsid w:val="005E294C"/>
    <w:rsid w:val="005E2CE3"/>
    <w:rsid w:val="005F3F07"/>
    <w:rsid w:val="00603D04"/>
    <w:rsid w:val="00606857"/>
    <w:rsid w:val="00615F42"/>
    <w:rsid w:val="006258C2"/>
    <w:rsid w:val="00626365"/>
    <w:rsid w:val="00630E22"/>
    <w:rsid w:val="0064168C"/>
    <w:rsid w:val="00657B46"/>
    <w:rsid w:val="006751A9"/>
    <w:rsid w:val="006764EC"/>
    <w:rsid w:val="006835FE"/>
    <w:rsid w:val="00693BFD"/>
    <w:rsid w:val="00695065"/>
    <w:rsid w:val="006A1038"/>
    <w:rsid w:val="006A649A"/>
    <w:rsid w:val="006B1B49"/>
    <w:rsid w:val="006B4B5B"/>
    <w:rsid w:val="006B6390"/>
    <w:rsid w:val="006C0356"/>
    <w:rsid w:val="006C0843"/>
    <w:rsid w:val="006C74B1"/>
    <w:rsid w:val="006E57AA"/>
    <w:rsid w:val="006F20CF"/>
    <w:rsid w:val="006F38ED"/>
    <w:rsid w:val="00707D4D"/>
    <w:rsid w:val="00714FC4"/>
    <w:rsid w:val="00720673"/>
    <w:rsid w:val="00723503"/>
    <w:rsid w:val="00730C04"/>
    <w:rsid w:val="0073597B"/>
    <w:rsid w:val="007378F6"/>
    <w:rsid w:val="0074545D"/>
    <w:rsid w:val="00750F6F"/>
    <w:rsid w:val="007522E3"/>
    <w:rsid w:val="0075335B"/>
    <w:rsid w:val="00753C44"/>
    <w:rsid w:val="00754383"/>
    <w:rsid w:val="007564D1"/>
    <w:rsid w:val="00757232"/>
    <w:rsid w:val="00760679"/>
    <w:rsid w:val="00763628"/>
    <w:rsid w:val="00767E99"/>
    <w:rsid w:val="00772E62"/>
    <w:rsid w:val="0077789B"/>
    <w:rsid w:val="00780D29"/>
    <w:rsid w:val="00791C8D"/>
    <w:rsid w:val="00794181"/>
    <w:rsid w:val="007A7F6F"/>
    <w:rsid w:val="007B4C76"/>
    <w:rsid w:val="007C2260"/>
    <w:rsid w:val="007D1E52"/>
    <w:rsid w:val="007D2358"/>
    <w:rsid w:val="007E39E4"/>
    <w:rsid w:val="007E6FB3"/>
    <w:rsid w:val="007F21B4"/>
    <w:rsid w:val="00802553"/>
    <w:rsid w:val="00803EAB"/>
    <w:rsid w:val="00804098"/>
    <w:rsid w:val="008046B5"/>
    <w:rsid w:val="008127C0"/>
    <w:rsid w:val="00812EDD"/>
    <w:rsid w:val="008139C5"/>
    <w:rsid w:val="0081650F"/>
    <w:rsid w:val="00832B31"/>
    <w:rsid w:val="008403E0"/>
    <w:rsid w:val="0084657B"/>
    <w:rsid w:val="00855944"/>
    <w:rsid w:val="00864A18"/>
    <w:rsid w:val="00870833"/>
    <w:rsid w:val="00874571"/>
    <w:rsid w:val="00881F93"/>
    <w:rsid w:val="00882CB5"/>
    <w:rsid w:val="00883641"/>
    <w:rsid w:val="00884E69"/>
    <w:rsid w:val="00890082"/>
    <w:rsid w:val="008A48D2"/>
    <w:rsid w:val="008B2610"/>
    <w:rsid w:val="008B471D"/>
    <w:rsid w:val="008B49E4"/>
    <w:rsid w:val="008B729C"/>
    <w:rsid w:val="008C4A93"/>
    <w:rsid w:val="008E0E49"/>
    <w:rsid w:val="008E35FD"/>
    <w:rsid w:val="008E6227"/>
    <w:rsid w:val="009015F9"/>
    <w:rsid w:val="0090543D"/>
    <w:rsid w:val="009056C5"/>
    <w:rsid w:val="009262F2"/>
    <w:rsid w:val="00937791"/>
    <w:rsid w:val="00951933"/>
    <w:rsid w:val="00954343"/>
    <w:rsid w:val="00955271"/>
    <w:rsid w:val="00963C9C"/>
    <w:rsid w:val="00965B6B"/>
    <w:rsid w:val="00971637"/>
    <w:rsid w:val="00971EDB"/>
    <w:rsid w:val="00974D50"/>
    <w:rsid w:val="00987ABE"/>
    <w:rsid w:val="00991EE4"/>
    <w:rsid w:val="009939DC"/>
    <w:rsid w:val="00993B9C"/>
    <w:rsid w:val="009A096D"/>
    <w:rsid w:val="009B4E1E"/>
    <w:rsid w:val="009C03FB"/>
    <w:rsid w:val="009C4B4F"/>
    <w:rsid w:val="009C6B33"/>
    <w:rsid w:val="009F0C02"/>
    <w:rsid w:val="009F5758"/>
    <w:rsid w:val="00A0283F"/>
    <w:rsid w:val="00A04F4A"/>
    <w:rsid w:val="00A174D3"/>
    <w:rsid w:val="00A26343"/>
    <w:rsid w:val="00A408B5"/>
    <w:rsid w:val="00A529E2"/>
    <w:rsid w:val="00A539F8"/>
    <w:rsid w:val="00A6491A"/>
    <w:rsid w:val="00A6594E"/>
    <w:rsid w:val="00A6726E"/>
    <w:rsid w:val="00A727B6"/>
    <w:rsid w:val="00A81CC6"/>
    <w:rsid w:val="00A83EC6"/>
    <w:rsid w:val="00A8732C"/>
    <w:rsid w:val="00A9062D"/>
    <w:rsid w:val="00A93F58"/>
    <w:rsid w:val="00A96329"/>
    <w:rsid w:val="00A96B5E"/>
    <w:rsid w:val="00AA134B"/>
    <w:rsid w:val="00AA2CFE"/>
    <w:rsid w:val="00AA5FDA"/>
    <w:rsid w:val="00AA6291"/>
    <w:rsid w:val="00AC0C91"/>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53BA6"/>
    <w:rsid w:val="00B5731D"/>
    <w:rsid w:val="00B6378B"/>
    <w:rsid w:val="00B63E3A"/>
    <w:rsid w:val="00B71C91"/>
    <w:rsid w:val="00B75965"/>
    <w:rsid w:val="00B771AD"/>
    <w:rsid w:val="00B814CB"/>
    <w:rsid w:val="00BA0CF8"/>
    <w:rsid w:val="00BA1ADF"/>
    <w:rsid w:val="00BA51FC"/>
    <w:rsid w:val="00BB003A"/>
    <w:rsid w:val="00BB3358"/>
    <w:rsid w:val="00BB3382"/>
    <w:rsid w:val="00BB3643"/>
    <w:rsid w:val="00BC3DA0"/>
    <w:rsid w:val="00BC424B"/>
    <w:rsid w:val="00BE0FDE"/>
    <w:rsid w:val="00BE35F0"/>
    <w:rsid w:val="00BF6AC5"/>
    <w:rsid w:val="00C01121"/>
    <w:rsid w:val="00C030A5"/>
    <w:rsid w:val="00C05A45"/>
    <w:rsid w:val="00C0796F"/>
    <w:rsid w:val="00C11B34"/>
    <w:rsid w:val="00C12C5C"/>
    <w:rsid w:val="00C171FB"/>
    <w:rsid w:val="00C209C2"/>
    <w:rsid w:val="00C2267F"/>
    <w:rsid w:val="00C22AD8"/>
    <w:rsid w:val="00C3557E"/>
    <w:rsid w:val="00C3594B"/>
    <w:rsid w:val="00C43102"/>
    <w:rsid w:val="00C4696B"/>
    <w:rsid w:val="00C50513"/>
    <w:rsid w:val="00C54503"/>
    <w:rsid w:val="00C63055"/>
    <w:rsid w:val="00C73B62"/>
    <w:rsid w:val="00C776B1"/>
    <w:rsid w:val="00C815FE"/>
    <w:rsid w:val="00C847AE"/>
    <w:rsid w:val="00CA04C6"/>
    <w:rsid w:val="00CA26DD"/>
    <w:rsid w:val="00CB12EC"/>
    <w:rsid w:val="00CB3DAB"/>
    <w:rsid w:val="00CC09D7"/>
    <w:rsid w:val="00CC12B8"/>
    <w:rsid w:val="00CD22E3"/>
    <w:rsid w:val="00CD4E44"/>
    <w:rsid w:val="00CD5AE4"/>
    <w:rsid w:val="00CD7A7D"/>
    <w:rsid w:val="00CF2D8E"/>
    <w:rsid w:val="00CF2DFA"/>
    <w:rsid w:val="00CF5AD8"/>
    <w:rsid w:val="00D00122"/>
    <w:rsid w:val="00D01D2A"/>
    <w:rsid w:val="00D10B47"/>
    <w:rsid w:val="00D11EB1"/>
    <w:rsid w:val="00D17F17"/>
    <w:rsid w:val="00D223E6"/>
    <w:rsid w:val="00D23597"/>
    <w:rsid w:val="00D30BDC"/>
    <w:rsid w:val="00D57F88"/>
    <w:rsid w:val="00D7105C"/>
    <w:rsid w:val="00D73646"/>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70D86"/>
    <w:rsid w:val="00E7628E"/>
    <w:rsid w:val="00E82F54"/>
    <w:rsid w:val="00E8649B"/>
    <w:rsid w:val="00E871CD"/>
    <w:rsid w:val="00E90990"/>
    <w:rsid w:val="00E95D3D"/>
    <w:rsid w:val="00EA0E25"/>
    <w:rsid w:val="00EA173C"/>
    <w:rsid w:val="00EB0182"/>
    <w:rsid w:val="00EC127A"/>
    <w:rsid w:val="00EC1FF9"/>
    <w:rsid w:val="00EC2737"/>
    <w:rsid w:val="00EE2716"/>
    <w:rsid w:val="00EE6450"/>
    <w:rsid w:val="00F01C2C"/>
    <w:rsid w:val="00F10ED8"/>
    <w:rsid w:val="00F222BE"/>
    <w:rsid w:val="00F24179"/>
    <w:rsid w:val="00F301F1"/>
    <w:rsid w:val="00F30C22"/>
    <w:rsid w:val="00F33F1A"/>
    <w:rsid w:val="00F34AEC"/>
    <w:rsid w:val="00F547F7"/>
    <w:rsid w:val="00F54CCF"/>
    <w:rsid w:val="00F61D7A"/>
    <w:rsid w:val="00F637B3"/>
    <w:rsid w:val="00F63A62"/>
    <w:rsid w:val="00F66CF7"/>
    <w:rsid w:val="00F67BCB"/>
    <w:rsid w:val="00F77C57"/>
    <w:rsid w:val="00F813C7"/>
    <w:rsid w:val="00F83566"/>
    <w:rsid w:val="00F83A9D"/>
    <w:rsid w:val="00F906B5"/>
    <w:rsid w:val="00F93784"/>
    <w:rsid w:val="00F971CC"/>
    <w:rsid w:val="00FA2CAA"/>
    <w:rsid w:val="00FA3DA1"/>
    <w:rsid w:val="00FA6554"/>
    <w:rsid w:val="00FE16C1"/>
    <w:rsid w:val="00FE19FF"/>
    <w:rsid w:val="00FE33A6"/>
    <w:rsid w:val="00FE5452"/>
    <w:rsid w:val="00FE5E88"/>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sites/default/files/regulatory-requirements-house-ivds-australi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C69E-C3DF-4ADF-B0D2-46C13BA6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11872</Words>
  <Characters>67674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79388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2016-11-15T02:24:00Z</dcterms:created>
  <dcterms:modified xsi:type="dcterms:W3CDTF">2016-11-15T02:24:00Z</dcterms:modified>
</cp:coreProperties>
</file>