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09BEC" w14:textId="77777777" w:rsidR="00E44B80" w:rsidRPr="00F637B3" w:rsidRDefault="00E44B80" w:rsidP="00E44B80">
      <w:pPr>
        <w:jc w:val="center"/>
        <w:rPr>
          <w:b/>
          <w:szCs w:val="20"/>
        </w:rPr>
      </w:pPr>
      <w:r w:rsidRPr="00F637B3">
        <w:rPr>
          <w:b/>
          <w:noProof/>
          <w:szCs w:val="20"/>
          <w:lang w:eastAsia="en-AU"/>
        </w:rPr>
        <w:drawing>
          <wp:inline distT="0" distB="0" distL="0" distR="0" wp14:anchorId="6D44BE1E" wp14:editId="013E84BB">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709A9DE0" w14:textId="77777777" w:rsidR="008B2610" w:rsidRPr="006F20CF" w:rsidRDefault="008B2610" w:rsidP="00F971CC">
      <w:pPr>
        <w:pStyle w:val="Title"/>
        <w:spacing w:before="2600"/>
      </w:pPr>
      <w:r w:rsidRPr="001906CD">
        <w:t>Application Form</w:t>
      </w:r>
    </w:p>
    <w:p w14:paraId="76A77F00" w14:textId="77777777" w:rsidR="00E44B80" w:rsidRPr="00D73646" w:rsidRDefault="00E44B80" w:rsidP="00EB0182">
      <w:pPr>
        <w:pStyle w:val="Title"/>
        <w:spacing w:before="240"/>
        <w:rPr>
          <w:sz w:val="28"/>
          <w:szCs w:val="28"/>
        </w:rPr>
      </w:pPr>
      <w:r w:rsidRPr="00D73646">
        <w:rPr>
          <w:sz w:val="28"/>
          <w:szCs w:val="28"/>
        </w:rPr>
        <w:t>(</w:t>
      </w:r>
      <w:r w:rsidR="001906CD" w:rsidRPr="00D73646">
        <w:rPr>
          <w:sz w:val="28"/>
          <w:szCs w:val="28"/>
        </w:rPr>
        <w:t>New and Amended</w:t>
      </w:r>
      <w:r w:rsidR="00EB0182">
        <w:rPr>
          <w:sz w:val="28"/>
          <w:szCs w:val="28"/>
        </w:rPr>
        <w:t xml:space="preserve"> </w:t>
      </w:r>
      <w:r w:rsidR="003433D1" w:rsidRPr="00D73646">
        <w:rPr>
          <w:sz w:val="28"/>
          <w:szCs w:val="28"/>
        </w:rPr>
        <w:t>Requests for Public Funding</w:t>
      </w:r>
      <w:r w:rsidR="008B2610" w:rsidRPr="00D73646">
        <w:rPr>
          <w:sz w:val="28"/>
          <w:szCs w:val="28"/>
        </w:rPr>
        <w:t>)</w:t>
      </w:r>
    </w:p>
    <w:p w14:paraId="12C0211B" w14:textId="77777777" w:rsidR="00EB0182" w:rsidRDefault="003013A9" w:rsidP="006751A9">
      <w:pPr>
        <w:jc w:val="center"/>
        <w:rPr>
          <w:sz w:val="28"/>
          <w:szCs w:val="28"/>
        </w:rPr>
      </w:pPr>
      <w:r w:rsidRPr="00D73646">
        <w:rPr>
          <w:sz w:val="28"/>
          <w:szCs w:val="28"/>
        </w:rPr>
        <w:t xml:space="preserve">(Version </w:t>
      </w:r>
      <w:r w:rsidR="0005089D">
        <w:rPr>
          <w:sz w:val="28"/>
          <w:szCs w:val="28"/>
        </w:rPr>
        <w:t>2.</w:t>
      </w:r>
      <w:r w:rsidR="00FF1A00">
        <w:rPr>
          <w:sz w:val="28"/>
          <w:szCs w:val="28"/>
        </w:rPr>
        <w:t>5</w:t>
      </w:r>
      <w:r w:rsidR="00EB0182">
        <w:rPr>
          <w:sz w:val="28"/>
          <w:szCs w:val="28"/>
        </w:rPr>
        <w:t>)</w:t>
      </w:r>
    </w:p>
    <w:p w14:paraId="6FC2D742" w14:textId="6365F85B" w:rsidR="00EB0182" w:rsidRDefault="00555851" w:rsidP="00F543A2">
      <w:pPr>
        <w:jc w:val="center"/>
        <w:rPr>
          <w:rFonts w:ascii="Arial" w:hAnsi="Arial" w:cs="Arial"/>
          <w:b/>
          <w:sz w:val="52"/>
          <w:szCs w:val="52"/>
        </w:rPr>
      </w:pPr>
      <w:r>
        <w:rPr>
          <w:rFonts w:ascii="Arial" w:hAnsi="Arial" w:cs="Arial"/>
          <w:b/>
          <w:sz w:val="52"/>
          <w:szCs w:val="52"/>
        </w:rPr>
        <w:t>50</w:t>
      </w:r>
      <w:r w:rsidR="00BF4BF2">
        <w:rPr>
          <w:rFonts w:ascii="Arial" w:hAnsi="Arial" w:cs="Arial"/>
          <w:b/>
          <w:sz w:val="52"/>
          <w:szCs w:val="52"/>
        </w:rPr>
        <w:t xml:space="preserve"> </w:t>
      </w:r>
      <w:r w:rsidR="00F543A2">
        <w:rPr>
          <w:rFonts w:ascii="Arial" w:hAnsi="Arial" w:cs="Arial"/>
          <w:b/>
          <w:sz w:val="52"/>
          <w:szCs w:val="52"/>
        </w:rPr>
        <w:t>gene signature assay</w:t>
      </w:r>
      <w:r>
        <w:rPr>
          <w:rFonts w:ascii="Arial" w:hAnsi="Arial" w:cs="Arial"/>
          <w:b/>
          <w:sz w:val="52"/>
          <w:szCs w:val="52"/>
        </w:rPr>
        <w:t xml:space="preserve"> for </w:t>
      </w:r>
      <w:r w:rsidR="00CD797D">
        <w:rPr>
          <w:rFonts w:ascii="Arial" w:hAnsi="Arial" w:cs="Arial"/>
          <w:b/>
          <w:sz w:val="52"/>
          <w:szCs w:val="52"/>
        </w:rPr>
        <w:t xml:space="preserve">predicting </w:t>
      </w:r>
      <w:r>
        <w:rPr>
          <w:rFonts w:ascii="Arial" w:hAnsi="Arial" w:cs="Arial"/>
          <w:b/>
          <w:sz w:val="52"/>
          <w:szCs w:val="52"/>
        </w:rPr>
        <w:t>breast cancer</w:t>
      </w:r>
      <w:r w:rsidR="00CD797D">
        <w:rPr>
          <w:rFonts w:ascii="Arial" w:hAnsi="Arial" w:cs="Arial"/>
          <w:b/>
          <w:sz w:val="52"/>
          <w:szCs w:val="52"/>
        </w:rPr>
        <w:t xml:space="preserve"> recurrence</w:t>
      </w:r>
    </w:p>
    <w:p w14:paraId="20C8DFA3" w14:textId="77777777" w:rsidR="00EB0182" w:rsidRDefault="00EB0182" w:rsidP="003F7CB9">
      <w:pPr>
        <w:rPr>
          <w:rFonts w:ascii="Arial" w:hAnsi="Arial" w:cs="Arial"/>
          <w:b/>
          <w:sz w:val="52"/>
          <w:szCs w:val="52"/>
        </w:rPr>
      </w:pPr>
    </w:p>
    <w:p w14:paraId="55382FFA"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679579C3" w14:textId="77777777" w:rsidR="008B261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6C6D15EA" w14:textId="415F8C3B" w:rsidR="00EB0182" w:rsidRDefault="00EB0182" w:rsidP="00EB0182">
      <w:pPr>
        <w:jc w:val="both"/>
        <w:rPr>
          <w:szCs w:val="20"/>
        </w:rPr>
      </w:pPr>
      <w:r>
        <w:rPr>
          <w:szCs w:val="20"/>
        </w:rPr>
        <w:t>The application form will be disseminated to professional bodies / organisations and consumer organisations that have be</w:t>
      </w:r>
      <w:r w:rsidR="0013111A">
        <w:rPr>
          <w:szCs w:val="20"/>
        </w:rPr>
        <w:t>en</w:t>
      </w:r>
      <w:r>
        <w:rPr>
          <w:szCs w:val="20"/>
        </w:rPr>
        <w:t xml:space="preserve"> identified in Part </w:t>
      </w:r>
      <w:proofErr w:type="gramStart"/>
      <w:r>
        <w:rPr>
          <w:szCs w:val="20"/>
        </w:rPr>
        <w:t>5,</w:t>
      </w:r>
      <w:proofErr w:type="gramEnd"/>
      <w:r>
        <w:rPr>
          <w:szCs w:val="20"/>
        </w:rPr>
        <w:t xml:space="preserve"> and any additional groups that the Department </w:t>
      </w:r>
      <w:r w:rsidR="004A68EF">
        <w:rPr>
          <w:szCs w:val="20"/>
        </w:rPr>
        <w:t>deem</w:t>
      </w:r>
      <w:r>
        <w:rPr>
          <w:szCs w:val="20"/>
        </w:rPr>
        <w:t xml:space="preserve"> should be consulted with.</w:t>
      </w:r>
      <w:r w:rsidR="004A68EF">
        <w:rPr>
          <w:szCs w:val="20"/>
        </w:rPr>
        <w:t xml:space="preserve">  </w:t>
      </w:r>
      <w:r>
        <w:rPr>
          <w:szCs w:val="20"/>
        </w:rPr>
        <w:t>The application form, with relevant material can be redacted if requested by the Applicant.</w:t>
      </w:r>
    </w:p>
    <w:p w14:paraId="2FEE9750" w14:textId="77777777" w:rsidR="008B2610" w:rsidRPr="00154B00" w:rsidRDefault="009F5758" w:rsidP="003F7CB9">
      <w:r w:rsidRPr="00154B00">
        <w:t>Should you require any further assistance, d</w:t>
      </w:r>
      <w:r w:rsidR="008B2610" w:rsidRPr="00154B00">
        <w:t>epartmental staff are available through the contact numbers and email below to discuss</w:t>
      </w:r>
      <w:r w:rsidRPr="00154B00">
        <w:t xml:space="preserve"> the application form, or any other component of the Medical Services Advisory Committee process.</w:t>
      </w:r>
    </w:p>
    <w:p w14:paraId="6F2FA1B7" w14:textId="77777777" w:rsidR="008B2610" w:rsidRPr="00154B00" w:rsidRDefault="009F5758" w:rsidP="003F7CB9">
      <w:pPr>
        <w:spacing w:before="0" w:after="0"/>
      </w:pPr>
      <w:r w:rsidRPr="00154B00">
        <w:t>Phone:  +61 2 6289 7550</w:t>
      </w:r>
    </w:p>
    <w:p w14:paraId="115BD887" w14:textId="77777777" w:rsidR="009F5758" w:rsidRPr="00154B00" w:rsidRDefault="009F5758" w:rsidP="003F7CB9">
      <w:pPr>
        <w:spacing w:before="0" w:after="0"/>
      </w:pPr>
      <w:r w:rsidRPr="00154B00">
        <w:t>Fax:  +61 2 6289 5540</w:t>
      </w:r>
    </w:p>
    <w:p w14:paraId="0B8E6E04" w14:textId="77777777" w:rsidR="009F5758" w:rsidRPr="00154B00" w:rsidRDefault="009F5758" w:rsidP="003F7CB9">
      <w:pPr>
        <w:spacing w:before="0" w:after="0"/>
      </w:pPr>
      <w:r w:rsidRPr="00154B00">
        <w:t xml:space="preserve">Email:  </w:t>
      </w:r>
      <w:hyperlink r:id="rId10" w:tooltip="click here to email the Department of Health HTA Team" w:history="1">
        <w:r w:rsidRPr="00154B00">
          <w:rPr>
            <w:rStyle w:val="Hyperlink"/>
            <w:szCs w:val="20"/>
          </w:rPr>
          <w:t>hta@health.gov.au</w:t>
        </w:r>
      </w:hyperlink>
    </w:p>
    <w:p w14:paraId="721F410E" w14:textId="77777777" w:rsidR="009F5758" w:rsidRPr="00154B00" w:rsidRDefault="009F5758" w:rsidP="003F7CB9">
      <w:pPr>
        <w:spacing w:before="0" w:after="0"/>
      </w:pPr>
      <w:r w:rsidRPr="00154B00">
        <w:t xml:space="preserve">Website:  </w:t>
      </w:r>
      <w:hyperlink r:id="rId11"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340F995E" w14:textId="77777777" w:rsidR="001D77ED" w:rsidRPr="003F7CB9" w:rsidRDefault="00D73646" w:rsidP="006751A9">
      <w:bookmarkStart w:id="0" w:name="_Toc443555803"/>
      <w:r>
        <w:rPr>
          <w:rStyle w:val="IntenseReference"/>
        </w:rPr>
        <w:br w:type="page"/>
      </w:r>
      <w:bookmarkEnd w:id="0"/>
    </w:p>
    <w:p w14:paraId="557B788C" w14:textId="77777777" w:rsidR="00E04FB3" w:rsidRPr="00C776B1" w:rsidRDefault="00494011" w:rsidP="00A8732C">
      <w:pPr>
        <w:pStyle w:val="Heading1"/>
      </w:pPr>
      <w:r>
        <w:lastRenderedPageBreak/>
        <w:t>PART 1</w:t>
      </w:r>
      <w:r w:rsidR="00F93784">
        <w:t xml:space="preserve"> – </w:t>
      </w:r>
      <w:r w:rsidR="00E04FB3" w:rsidRPr="00C776B1">
        <w:t>APPLICANT DETAILS</w:t>
      </w:r>
    </w:p>
    <w:p w14:paraId="7CCC850C"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4D1916AB"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D01F46">
        <w:t>NA</w:t>
      </w:r>
    </w:p>
    <w:p w14:paraId="56877AF5" w14:textId="1B32A15D"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8675D5">
        <w:t>REDACTED</w:t>
      </w:r>
    </w:p>
    <w:p w14:paraId="2684E4DE"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D85765">
        <w:t>NA</w:t>
      </w:r>
    </w:p>
    <w:p w14:paraId="534CE6A6" w14:textId="20F13B92" w:rsidR="00C171FB" w:rsidRDefault="00C171FB" w:rsidP="00C171FB">
      <w:pPr>
        <w:pBdr>
          <w:top w:val="single" w:sz="4" w:space="1" w:color="auto"/>
          <w:left w:val="single" w:sz="4" w:space="4" w:color="auto"/>
          <w:bottom w:val="single" w:sz="4" w:space="1" w:color="auto"/>
          <w:right w:val="single" w:sz="4" w:space="4" w:color="auto"/>
        </w:pBdr>
      </w:pPr>
      <w:r>
        <w:t>Business trading name:</w:t>
      </w:r>
      <w:r w:rsidR="00D85765" w:rsidRPr="00D85765">
        <w:t xml:space="preserve"> </w:t>
      </w:r>
      <w:r w:rsidR="008675D5">
        <w:t>REDACTED</w:t>
      </w:r>
    </w:p>
    <w:p w14:paraId="48394B84" w14:textId="77777777" w:rsidR="00C171FB" w:rsidRPr="00C171FB" w:rsidRDefault="00C171FB" w:rsidP="00C171FB"/>
    <w:p w14:paraId="5912DF4B" w14:textId="7CAEF2C7" w:rsidR="00C171FB" w:rsidRPr="00C171FB" w:rsidRDefault="00C171FB" w:rsidP="00C171FB">
      <w:pPr>
        <w:rPr>
          <w:b/>
        </w:rPr>
      </w:pPr>
      <w:r>
        <w:rPr>
          <w:b/>
        </w:rPr>
        <w:t xml:space="preserve">Primary contact name: </w:t>
      </w:r>
      <w:r w:rsidR="008675D5">
        <w:t>REDACTED</w:t>
      </w:r>
    </w:p>
    <w:p w14:paraId="440D2001"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4691A572" w14:textId="280ACF79"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8675D5">
        <w:t>REDACTED</w:t>
      </w:r>
    </w:p>
    <w:p w14:paraId="5C84F382" w14:textId="65E5CF45" w:rsidR="00C171FB" w:rsidRDefault="00C171FB" w:rsidP="00C171FB">
      <w:pPr>
        <w:pBdr>
          <w:top w:val="single" w:sz="4" w:space="1" w:color="auto"/>
          <w:left w:val="single" w:sz="4" w:space="4" w:color="auto"/>
          <w:bottom w:val="single" w:sz="4" w:space="1" w:color="auto"/>
          <w:right w:val="single" w:sz="4" w:space="4" w:color="auto"/>
        </w:pBdr>
      </w:pPr>
      <w:r>
        <w:t>Mobile:</w:t>
      </w:r>
      <w:r>
        <w:tab/>
      </w:r>
    </w:p>
    <w:p w14:paraId="737EAE0C" w14:textId="1C86A0B9"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8675D5">
        <w:t>REDACTED</w:t>
      </w:r>
    </w:p>
    <w:p w14:paraId="5DE7EACF" w14:textId="77777777" w:rsidR="00C171FB" w:rsidRDefault="00C171FB" w:rsidP="00C171FB">
      <w:pPr>
        <w:rPr>
          <w:b/>
        </w:rPr>
      </w:pPr>
    </w:p>
    <w:p w14:paraId="2527E922" w14:textId="2B78B78E" w:rsidR="00C171FB" w:rsidRPr="00C171FB" w:rsidRDefault="00C171FB" w:rsidP="00C171FB">
      <w:pPr>
        <w:rPr>
          <w:b/>
        </w:rPr>
      </w:pPr>
      <w:r>
        <w:rPr>
          <w:b/>
        </w:rPr>
        <w:t xml:space="preserve">Alternative contact name: </w:t>
      </w:r>
      <w:r w:rsidR="008675D5">
        <w:t>REDACTED</w:t>
      </w:r>
    </w:p>
    <w:p w14:paraId="07278057"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11734BEC" w14:textId="7EB2464C" w:rsidR="00C171FB" w:rsidRDefault="00C171FB" w:rsidP="00C171FB">
      <w:pPr>
        <w:pBdr>
          <w:top w:val="single" w:sz="4" w:space="1" w:color="auto"/>
          <w:left w:val="single" w:sz="4" w:space="4" w:color="auto"/>
          <w:bottom w:val="single" w:sz="4" w:space="1" w:color="auto"/>
          <w:right w:val="single" w:sz="4" w:space="4" w:color="auto"/>
        </w:pBdr>
      </w:pPr>
      <w:r>
        <w:t xml:space="preserve">Business: </w:t>
      </w:r>
    </w:p>
    <w:p w14:paraId="0F3446B3" w14:textId="13E94175"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8675D5">
        <w:t>REDACTED</w:t>
      </w:r>
    </w:p>
    <w:p w14:paraId="6388E9B6" w14:textId="7A8C8B2B"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5540DD" w:rsidRPr="005540DD">
        <w:t xml:space="preserve"> </w:t>
      </w:r>
      <w:r w:rsidR="008675D5">
        <w:t>REDACTED</w:t>
      </w:r>
    </w:p>
    <w:p w14:paraId="167ADD29" w14:textId="77777777" w:rsidR="00C171FB" w:rsidRDefault="00C171FB" w:rsidP="00C171FB"/>
    <w:p w14:paraId="028332E8" w14:textId="77777777" w:rsidR="00F34AEC" w:rsidRPr="00154B00" w:rsidRDefault="00F34AEC" w:rsidP="00F34AEC">
      <w:pPr>
        <w:pStyle w:val="Heading2"/>
      </w:pPr>
      <w:r>
        <w:t>(a) Are you a consultant acting on behalf of an Applicant?</w:t>
      </w:r>
    </w:p>
    <w:p w14:paraId="7E44ACEB" w14:textId="77777777" w:rsidR="00F34AEC" w:rsidRDefault="00CE6AC5" w:rsidP="00F34AEC">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A615A">
        <w:rPr>
          <w:szCs w:val="20"/>
        </w:rPr>
      </w:r>
      <w:r w:rsidR="00BA615A">
        <w:rPr>
          <w:szCs w:val="20"/>
        </w:rPr>
        <w:fldChar w:fldCharType="separate"/>
      </w:r>
      <w:r>
        <w:rPr>
          <w:szCs w:val="20"/>
        </w:rPr>
        <w:fldChar w:fldCharType="end"/>
      </w:r>
      <w:r w:rsidR="00F34AEC">
        <w:rPr>
          <w:szCs w:val="20"/>
        </w:rPr>
        <w:t xml:space="preserve"> Yes</w:t>
      </w:r>
    </w:p>
    <w:p w14:paraId="2BAAADE2" w14:textId="77777777" w:rsidR="00F34AEC" w:rsidRPr="00753C44" w:rsidRDefault="00F34AEC" w:rsidP="00F34AEC">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BA615A">
        <w:rPr>
          <w:szCs w:val="20"/>
        </w:rPr>
      </w:r>
      <w:r w:rsidR="00BA615A">
        <w:rPr>
          <w:szCs w:val="20"/>
        </w:rPr>
        <w:fldChar w:fldCharType="separate"/>
      </w:r>
      <w:r w:rsidRPr="00753C44">
        <w:rPr>
          <w:szCs w:val="20"/>
        </w:rPr>
        <w:fldChar w:fldCharType="end"/>
      </w:r>
      <w:r>
        <w:rPr>
          <w:szCs w:val="20"/>
        </w:rPr>
        <w:t xml:space="preserve"> No</w:t>
      </w:r>
      <w:r w:rsidR="00352047">
        <w:rPr>
          <w:szCs w:val="20"/>
        </w:rPr>
        <w:t xml:space="preserve"> </w:t>
      </w:r>
    </w:p>
    <w:p w14:paraId="4DDD80E8" w14:textId="77777777" w:rsidR="00F34AEC" w:rsidRDefault="00F34AEC" w:rsidP="00C171FB"/>
    <w:p w14:paraId="45A71AE6" w14:textId="77777777" w:rsidR="00F34AEC" w:rsidRPr="002F55EF" w:rsidRDefault="00F34AEC" w:rsidP="002F55EF">
      <w:pPr>
        <w:ind w:firstLine="360"/>
        <w:rPr>
          <w:b/>
        </w:rPr>
      </w:pPr>
      <w:r w:rsidRPr="002F55EF">
        <w:rPr>
          <w:b/>
        </w:rPr>
        <w:t>(b) If yes, what is the Applicant(s) name that you are acting on behalf of?</w:t>
      </w:r>
    </w:p>
    <w:p w14:paraId="36BFC27F" w14:textId="0FA5DC10" w:rsidR="00F34AEC" w:rsidRPr="00CB12EC" w:rsidRDefault="000165EF" w:rsidP="00C548E9">
      <w:pPr>
        <w:ind w:firstLine="142"/>
        <w:rPr>
          <w:noProof/>
        </w:rPr>
      </w:pPr>
      <w:r>
        <w:rPr>
          <w:noProof/>
        </w:rPr>
        <w:t>N</w:t>
      </w:r>
      <w:r w:rsidR="00BF4BF2">
        <w:rPr>
          <w:noProof/>
        </w:rPr>
        <w:t>anoS</w:t>
      </w:r>
      <w:r w:rsidR="00CE6AC5">
        <w:rPr>
          <w:noProof/>
        </w:rPr>
        <w:t>tring Technologies, Inc.</w:t>
      </w:r>
    </w:p>
    <w:p w14:paraId="75954CEA" w14:textId="77777777" w:rsidR="00F34AEC" w:rsidRPr="00C171FB" w:rsidRDefault="00F34AEC" w:rsidP="00C171FB"/>
    <w:p w14:paraId="7BB4917C" w14:textId="77777777" w:rsidR="00534C5F" w:rsidRPr="00154B00" w:rsidRDefault="00494011" w:rsidP="004A0BF4">
      <w:pPr>
        <w:pStyle w:val="Heading2"/>
      </w:pPr>
      <w:r>
        <w:t xml:space="preserve">(a) </w:t>
      </w:r>
      <w:r w:rsidR="00534C5F">
        <w:t>Are you a lobbyist acting on behalf of an Applicant?</w:t>
      </w:r>
    </w:p>
    <w:p w14:paraId="593E3237"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BA615A">
        <w:rPr>
          <w:szCs w:val="20"/>
        </w:rPr>
      </w:r>
      <w:r w:rsidR="00BA615A">
        <w:rPr>
          <w:szCs w:val="20"/>
        </w:rPr>
        <w:fldChar w:fldCharType="separate"/>
      </w:r>
      <w:r w:rsidRPr="00753C44">
        <w:rPr>
          <w:szCs w:val="20"/>
        </w:rPr>
        <w:fldChar w:fldCharType="end"/>
      </w:r>
      <w:r>
        <w:rPr>
          <w:szCs w:val="20"/>
        </w:rPr>
        <w:t xml:space="preserve"> Yes</w:t>
      </w:r>
    </w:p>
    <w:p w14:paraId="42193EAC" w14:textId="77777777" w:rsidR="00A6491A" w:rsidRPr="00753C44" w:rsidRDefault="00CE6AC5" w:rsidP="00A6491A">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BA615A">
        <w:rPr>
          <w:szCs w:val="20"/>
        </w:rPr>
      </w:r>
      <w:r w:rsidR="00BA615A">
        <w:rPr>
          <w:szCs w:val="20"/>
        </w:rPr>
        <w:fldChar w:fldCharType="separate"/>
      </w:r>
      <w:r>
        <w:rPr>
          <w:szCs w:val="20"/>
        </w:rPr>
        <w:fldChar w:fldCharType="end"/>
      </w:r>
      <w:bookmarkEnd w:id="1"/>
      <w:r w:rsidR="00A6491A">
        <w:rPr>
          <w:szCs w:val="20"/>
        </w:rPr>
        <w:t xml:space="preserve"> No</w:t>
      </w:r>
      <w:r w:rsidR="00A6491A" w:rsidRPr="00753C44">
        <w:rPr>
          <w:szCs w:val="20"/>
        </w:rPr>
        <w:t xml:space="preserve">  </w:t>
      </w:r>
    </w:p>
    <w:p w14:paraId="5D862C64" w14:textId="77777777" w:rsidR="00534C5F"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7F61E558"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BA615A">
        <w:rPr>
          <w:szCs w:val="20"/>
        </w:rPr>
      </w:r>
      <w:r w:rsidR="00BA615A">
        <w:rPr>
          <w:szCs w:val="20"/>
        </w:rPr>
        <w:fldChar w:fldCharType="separate"/>
      </w:r>
      <w:r w:rsidRPr="00753C44">
        <w:rPr>
          <w:szCs w:val="20"/>
        </w:rPr>
        <w:fldChar w:fldCharType="end"/>
      </w:r>
      <w:r>
        <w:rPr>
          <w:szCs w:val="20"/>
        </w:rPr>
        <w:t xml:space="preserve"> Yes</w:t>
      </w:r>
    </w:p>
    <w:p w14:paraId="69A86C2F"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BA615A">
        <w:rPr>
          <w:szCs w:val="20"/>
        </w:rPr>
      </w:r>
      <w:r w:rsidR="00BA615A">
        <w:rPr>
          <w:szCs w:val="20"/>
        </w:rPr>
        <w:fldChar w:fldCharType="separate"/>
      </w:r>
      <w:r w:rsidRPr="00753C44">
        <w:rPr>
          <w:szCs w:val="20"/>
        </w:rPr>
        <w:fldChar w:fldCharType="end"/>
      </w:r>
      <w:r>
        <w:rPr>
          <w:szCs w:val="20"/>
        </w:rPr>
        <w:t xml:space="preserve"> No</w:t>
      </w:r>
      <w:r w:rsidRPr="00753C44">
        <w:rPr>
          <w:szCs w:val="20"/>
        </w:rPr>
        <w:t xml:space="preserve">  </w:t>
      </w:r>
    </w:p>
    <w:p w14:paraId="7D4B33CB" w14:textId="2FE8E1BD" w:rsidR="00E04FB3" w:rsidRDefault="00BF4BF2" w:rsidP="00416DD3">
      <w:pPr>
        <w:spacing w:before="0" w:after="0"/>
        <w:ind w:left="1146" w:firstLine="294"/>
        <w:rPr>
          <w:b/>
          <w:szCs w:val="20"/>
        </w:rPr>
      </w:pPr>
      <w:r>
        <w:rPr>
          <w:b/>
          <w:szCs w:val="20"/>
        </w:rPr>
        <w:t>NA</w:t>
      </w:r>
      <w:r w:rsidR="00E04FB3" w:rsidRPr="00154B00">
        <w:rPr>
          <w:b/>
          <w:szCs w:val="20"/>
        </w:rPr>
        <w:br w:type="page"/>
      </w:r>
    </w:p>
    <w:p w14:paraId="490EE217"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5B046332" w14:textId="77777777" w:rsidR="000B3CD0" w:rsidRDefault="000B3CD0" w:rsidP="00730C04">
      <w:pPr>
        <w:pStyle w:val="Heading2"/>
      </w:pPr>
      <w:r w:rsidRPr="00154B00">
        <w:t>Application title</w:t>
      </w:r>
      <w:r w:rsidR="00A8732C">
        <w:t xml:space="preserve"> </w:t>
      </w:r>
    </w:p>
    <w:p w14:paraId="525E6302" w14:textId="68F80776" w:rsidR="009056C5" w:rsidRDefault="00BF4BF2" w:rsidP="00A6491A">
      <w:pPr>
        <w:ind w:left="284"/>
      </w:pPr>
      <w:r>
        <w:t xml:space="preserve">50 </w:t>
      </w:r>
      <w:r w:rsidR="00CE6AC5">
        <w:t xml:space="preserve">gene </w:t>
      </w:r>
      <w:r w:rsidR="00257D7F">
        <w:t xml:space="preserve">signature </w:t>
      </w:r>
      <w:r w:rsidR="00CD797D">
        <w:t>assay</w:t>
      </w:r>
      <w:r w:rsidR="00C172F4">
        <w:t xml:space="preserve"> for </w:t>
      </w:r>
      <w:r w:rsidR="00CD797D">
        <w:t xml:space="preserve">predicting </w:t>
      </w:r>
      <w:r w:rsidR="00C172F4">
        <w:t>breast cancer</w:t>
      </w:r>
      <w:r w:rsidR="00CD797D">
        <w:t xml:space="preserve"> recurrence</w:t>
      </w:r>
    </w:p>
    <w:p w14:paraId="1123C910" w14:textId="77777777" w:rsidR="00416DD3" w:rsidRPr="009056C5" w:rsidRDefault="00416DD3" w:rsidP="00A6491A">
      <w:pPr>
        <w:ind w:left="284"/>
      </w:pPr>
    </w:p>
    <w:p w14:paraId="0A092882" w14:textId="77777777" w:rsidR="009B4E1E" w:rsidRPr="00BA3453" w:rsidRDefault="009B4E1E" w:rsidP="004A0BF4">
      <w:pPr>
        <w:pStyle w:val="Heading2"/>
      </w:pPr>
      <w:r w:rsidRPr="00BA3453">
        <w:t>Provide a succinct description of the medical condition relevant to the proposed service</w:t>
      </w:r>
      <w:r w:rsidR="000955E7" w:rsidRPr="00BA3453">
        <w:t xml:space="preserve"> (no more than 150 words</w:t>
      </w:r>
      <w:r w:rsidR="00F93784" w:rsidRPr="00BA3453">
        <w:t xml:space="preserve"> – </w:t>
      </w:r>
      <w:r w:rsidR="00C847AE" w:rsidRPr="00BA3453">
        <w:t>further</w:t>
      </w:r>
      <w:r w:rsidR="00F93784" w:rsidRPr="00BA3453">
        <w:t xml:space="preserve"> information will be </w:t>
      </w:r>
      <w:r w:rsidR="00C847AE" w:rsidRPr="00BA3453">
        <w:t xml:space="preserve">requested </w:t>
      </w:r>
      <w:r w:rsidR="003F2711" w:rsidRPr="00BA3453">
        <w:t>at Part F</w:t>
      </w:r>
      <w:r w:rsidR="00C847AE" w:rsidRPr="00BA3453">
        <w:t xml:space="preserve"> of the Application Form</w:t>
      </w:r>
      <w:r w:rsidR="000955E7" w:rsidRPr="00BA3453">
        <w:t>)</w:t>
      </w:r>
    </w:p>
    <w:p w14:paraId="2B1BFDCA" w14:textId="0679E444" w:rsidR="00F54570" w:rsidRDefault="006C4A72" w:rsidP="006C4A72">
      <w:pPr>
        <w:ind w:left="284"/>
      </w:pPr>
      <w:proofErr w:type="spellStart"/>
      <w:r w:rsidRPr="006C4A72">
        <w:t>Prosigna</w:t>
      </w:r>
      <w:proofErr w:type="spellEnd"/>
      <w:r w:rsidR="00BF4BF2">
        <w:t>®</w:t>
      </w:r>
      <w:r w:rsidRPr="006C4A72">
        <w:t xml:space="preserve"> is a 50-gene test that is designed to identify intrinsic breast cancer subtypes and </w:t>
      </w:r>
      <w:r w:rsidR="00BF4BF2">
        <w:t xml:space="preserve">to </w:t>
      </w:r>
      <w:r w:rsidRPr="006C4A72">
        <w:t>generate a Risk</w:t>
      </w:r>
      <w:r w:rsidR="00637159">
        <w:t xml:space="preserve"> of Recurrence (ROR) score</w:t>
      </w:r>
      <w:r w:rsidR="00BF4BF2">
        <w:t>. This is then</w:t>
      </w:r>
      <w:r w:rsidR="00BA3453">
        <w:t xml:space="preserve"> used to </w:t>
      </w:r>
      <w:r w:rsidR="00BF4BF2">
        <w:t>tailor</w:t>
      </w:r>
      <w:r w:rsidR="00BA3453">
        <w:t xml:space="preserve"> the </w:t>
      </w:r>
      <w:r w:rsidR="00BF4BF2">
        <w:t xml:space="preserve">most appropriate </w:t>
      </w:r>
      <w:r w:rsidR="00BA3453">
        <w:t>therapy</w:t>
      </w:r>
      <w:r w:rsidR="00BF4BF2">
        <w:t xml:space="preserve"> </w:t>
      </w:r>
      <w:r w:rsidR="00BA3453">
        <w:t xml:space="preserve">for </w:t>
      </w:r>
      <w:r w:rsidR="00BF4BF2">
        <w:t xml:space="preserve">that type of </w:t>
      </w:r>
      <w:r w:rsidR="00BA3453">
        <w:t>primary breast cancer</w:t>
      </w:r>
      <w:r w:rsidR="00637159">
        <w:t>.</w:t>
      </w:r>
      <w:r w:rsidR="00257D7F">
        <w:t xml:space="preserve"> It will be used for women with HER2 –</w:t>
      </w:r>
      <w:proofErr w:type="spellStart"/>
      <w:r w:rsidR="00257D7F">
        <w:t>ve</w:t>
      </w:r>
      <w:proofErr w:type="spellEnd"/>
      <w:r w:rsidR="00257D7F">
        <w:t xml:space="preserve">, ER </w:t>
      </w:r>
      <w:r w:rsidR="00523CAA">
        <w:t>and/</w:t>
      </w:r>
      <w:r w:rsidR="00257D7F">
        <w:t>or PR +</w:t>
      </w:r>
      <w:proofErr w:type="spellStart"/>
      <w:r w:rsidR="00257D7F">
        <w:t>ve</w:t>
      </w:r>
      <w:proofErr w:type="spellEnd"/>
      <w:r w:rsidR="00257D7F">
        <w:t xml:space="preserve"> breast cancer who do not have clear cut treatment choices. </w:t>
      </w:r>
    </w:p>
    <w:p w14:paraId="24E52CAD" w14:textId="77777777" w:rsidR="00416DD3" w:rsidRPr="006C4A72" w:rsidRDefault="00416DD3" w:rsidP="006C4A72">
      <w:pPr>
        <w:ind w:left="284"/>
      </w:pPr>
    </w:p>
    <w:p w14:paraId="3A2834C2" w14:textId="77777777" w:rsidR="000955E7" w:rsidRPr="005229C7" w:rsidRDefault="000955E7" w:rsidP="006C4A72">
      <w:pPr>
        <w:pStyle w:val="Heading2"/>
        <w:rPr>
          <w:rStyle w:val="Strong"/>
          <w:rFonts w:asciiTheme="minorHAnsi" w:eastAsiaTheme="minorHAnsi" w:hAnsiTheme="minorHAnsi" w:cstheme="minorBidi"/>
          <w:b/>
        </w:rPr>
      </w:pPr>
      <w:r w:rsidRPr="005229C7">
        <w:rPr>
          <w:rStyle w:val="Strong"/>
          <w:rFonts w:asciiTheme="minorHAnsi" w:eastAsiaTheme="minorHAnsi" w:hAnsiTheme="minorHAnsi" w:cstheme="minorBidi"/>
          <w:b/>
        </w:rPr>
        <w:t>Prov</w:t>
      </w:r>
      <w:r w:rsidR="00D11EB1" w:rsidRPr="005229C7">
        <w:rPr>
          <w:rStyle w:val="Strong"/>
          <w:rFonts w:asciiTheme="minorHAnsi" w:eastAsiaTheme="minorHAnsi" w:hAnsiTheme="minorHAnsi" w:cstheme="minorBidi"/>
          <w:b/>
        </w:rPr>
        <w:t>i</w:t>
      </w:r>
      <w:r w:rsidRPr="005229C7">
        <w:rPr>
          <w:rStyle w:val="Strong"/>
          <w:rFonts w:asciiTheme="minorHAnsi" w:eastAsiaTheme="minorHAnsi" w:hAnsiTheme="minorHAnsi" w:cstheme="minorBidi"/>
          <w:b/>
        </w:rPr>
        <w:t>de a succinct description of the proposed medical service (no more than 150 words</w:t>
      </w:r>
      <w:r w:rsidR="00C847AE" w:rsidRPr="005229C7">
        <w:rPr>
          <w:rStyle w:val="Strong"/>
          <w:rFonts w:asciiTheme="minorHAnsi" w:eastAsiaTheme="minorHAnsi" w:hAnsiTheme="minorHAnsi" w:cstheme="minorBidi"/>
          <w:b/>
        </w:rPr>
        <w:t xml:space="preserve"> </w:t>
      </w:r>
      <w:r w:rsidR="00F93784" w:rsidRPr="005229C7">
        <w:rPr>
          <w:rStyle w:val="Strong"/>
          <w:rFonts w:asciiTheme="minorHAnsi" w:eastAsiaTheme="minorHAnsi" w:hAnsiTheme="minorHAnsi" w:cstheme="minorBidi"/>
          <w:b/>
        </w:rPr>
        <w:t xml:space="preserve">– </w:t>
      </w:r>
      <w:r w:rsidR="00C847AE" w:rsidRPr="005229C7">
        <w:rPr>
          <w:rStyle w:val="Strong"/>
          <w:rFonts w:asciiTheme="minorHAnsi" w:eastAsiaTheme="minorHAnsi" w:hAnsiTheme="minorHAnsi" w:cstheme="minorBidi"/>
          <w:b/>
        </w:rPr>
        <w:t>further</w:t>
      </w:r>
      <w:r w:rsidR="00F93784" w:rsidRPr="005229C7">
        <w:rPr>
          <w:rStyle w:val="Strong"/>
          <w:rFonts w:asciiTheme="minorHAnsi" w:eastAsiaTheme="minorHAnsi" w:hAnsiTheme="minorHAnsi" w:cstheme="minorBidi"/>
          <w:b/>
        </w:rPr>
        <w:t xml:space="preserve"> information will be </w:t>
      </w:r>
      <w:r w:rsidR="00C847AE" w:rsidRPr="005229C7">
        <w:rPr>
          <w:rStyle w:val="Strong"/>
          <w:rFonts w:asciiTheme="minorHAnsi" w:eastAsiaTheme="minorHAnsi" w:hAnsiTheme="minorHAnsi" w:cstheme="minorBidi"/>
          <w:b/>
        </w:rPr>
        <w:t>requested</w:t>
      </w:r>
      <w:r w:rsidR="00F93784" w:rsidRPr="005229C7">
        <w:rPr>
          <w:rStyle w:val="Strong"/>
          <w:rFonts w:asciiTheme="minorHAnsi" w:eastAsiaTheme="minorHAnsi" w:hAnsiTheme="minorHAnsi" w:cstheme="minorBidi"/>
          <w:b/>
        </w:rPr>
        <w:t xml:space="preserve"> </w:t>
      </w:r>
      <w:r w:rsidR="00883641" w:rsidRPr="005229C7">
        <w:rPr>
          <w:rStyle w:val="Strong"/>
          <w:rFonts w:asciiTheme="minorHAnsi" w:eastAsiaTheme="minorHAnsi" w:hAnsiTheme="minorHAnsi" w:cstheme="minorBidi"/>
          <w:b/>
        </w:rPr>
        <w:t>at</w:t>
      </w:r>
      <w:r w:rsidR="00C847AE" w:rsidRPr="005229C7">
        <w:rPr>
          <w:rStyle w:val="Strong"/>
          <w:rFonts w:asciiTheme="minorHAnsi" w:eastAsiaTheme="minorHAnsi" w:hAnsiTheme="minorHAnsi" w:cstheme="minorBidi"/>
          <w:b/>
        </w:rPr>
        <w:t xml:space="preserve"> </w:t>
      </w:r>
      <w:r w:rsidR="00026412" w:rsidRPr="005229C7">
        <w:rPr>
          <w:rStyle w:val="Strong"/>
          <w:rFonts w:asciiTheme="minorHAnsi" w:eastAsiaTheme="minorHAnsi" w:hAnsiTheme="minorHAnsi" w:cstheme="minorBidi"/>
          <w:b/>
        </w:rPr>
        <w:t>Part 6</w:t>
      </w:r>
      <w:r w:rsidR="00C847AE" w:rsidRPr="005229C7">
        <w:rPr>
          <w:rStyle w:val="Strong"/>
          <w:rFonts w:asciiTheme="minorHAnsi" w:eastAsiaTheme="minorHAnsi" w:hAnsiTheme="minorHAnsi" w:cstheme="minorBidi"/>
          <w:b/>
        </w:rPr>
        <w:t xml:space="preserve"> of the Application Form</w:t>
      </w:r>
      <w:r w:rsidRPr="005229C7">
        <w:rPr>
          <w:rStyle w:val="Strong"/>
          <w:rFonts w:asciiTheme="minorHAnsi" w:eastAsiaTheme="minorHAnsi" w:hAnsiTheme="minorHAnsi" w:cstheme="minorBidi"/>
          <w:b/>
        </w:rPr>
        <w:t>)</w:t>
      </w:r>
    </w:p>
    <w:p w14:paraId="337CD50A" w14:textId="1771BE84" w:rsidR="00CB12EC" w:rsidRDefault="004E2BDD" w:rsidP="006C4A72">
      <w:pPr>
        <w:ind w:left="284"/>
      </w:pPr>
      <w:r w:rsidRPr="004E2BDD">
        <w:t xml:space="preserve">The </w:t>
      </w:r>
      <w:r w:rsidR="00A35486">
        <w:t>assay</w:t>
      </w:r>
      <w:r w:rsidRPr="004E2BDD">
        <w:t xml:space="preserve"> </w:t>
      </w:r>
      <w:r w:rsidR="00555851">
        <w:t xml:space="preserve">provides a 50 gene profile that is used to </w:t>
      </w:r>
      <w:r>
        <w:t>assess the prognosis and predict response to treatment</w:t>
      </w:r>
      <w:r w:rsidRPr="004E2BDD">
        <w:t xml:space="preserve"> </w:t>
      </w:r>
      <w:r w:rsidR="00A35486">
        <w:t>of breast cancer patients</w:t>
      </w:r>
      <w:r w:rsidR="005E63FC">
        <w:t>. The Risk of Recurrence (R</w:t>
      </w:r>
      <w:r w:rsidR="00257D7F">
        <w:t>O</w:t>
      </w:r>
      <w:r w:rsidR="005E63FC">
        <w:t>R) score is</w:t>
      </w:r>
      <w:r w:rsidR="00A35486">
        <w:t xml:space="preserve"> </w:t>
      </w:r>
      <w:r w:rsidRPr="004E2BDD">
        <w:t xml:space="preserve">based on the identification of the four intrinsic </w:t>
      </w:r>
      <w:r w:rsidR="005E63FC">
        <w:t xml:space="preserve">breast cancer </w:t>
      </w:r>
      <w:r w:rsidRPr="004E2BDD">
        <w:t>subtypes</w:t>
      </w:r>
      <w:r w:rsidR="005E63FC">
        <w:t>,</w:t>
      </w:r>
      <w:r w:rsidRPr="004E2BDD">
        <w:t xml:space="preserve"> Luminal A, Luminal B, HER2-enriched, and Basal-like. </w:t>
      </w:r>
      <w:r w:rsidR="00555851">
        <w:t>The</w:t>
      </w:r>
      <w:r w:rsidR="00A35486">
        <w:t xml:space="preserve"> unique genetic profile is produced</w:t>
      </w:r>
      <w:r w:rsidRPr="004E2BDD">
        <w:t xml:space="preserve"> using a diagnostic kit which quantifies mRNA expression and can be performed in local laboratories provided they have the </w:t>
      </w:r>
      <w:proofErr w:type="spellStart"/>
      <w:r w:rsidR="00523CAA">
        <w:t>N</w:t>
      </w:r>
      <w:r w:rsidR="00523CAA" w:rsidRPr="004E2BDD">
        <w:t>ano</w:t>
      </w:r>
      <w:r w:rsidR="00523CAA">
        <w:t>S</w:t>
      </w:r>
      <w:r w:rsidR="00523CAA" w:rsidRPr="004E2BDD">
        <w:t>tring</w:t>
      </w:r>
      <w:proofErr w:type="spellEnd"/>
      <w:r w:rsidR="00523CAA" w:rsidRPr="004E2BDD">
        <w:t xml:space="preserve"> </w:t>
      </w:r>
      <w:proofErr w:type="spellStart"/>
      <w:r w:rsidRPr="004E2BDD">
        <w:t>nCounter</w:t>
      </w:r>
      <w:proofErr w:type="spellEnd"/>
      <w:r w:rsidR="00CD797D">
        <w:t>®</w:t>
      </w:r>
      <w:r w:rsidRPr="004E2BDD">
        <w:t xml:space="preserve"> </w:t>
      </w:r>
      <w:proofErr w:type="spellStart"/>
      <w:r w:rsidRPr="004E2BDD">
        <w:t>Dx</w:t>
      </w:r>
      <w:proofErr w:type="spellEnd"/>
      <w:r w:rsidRPr="004E2BDD">
        <w:t xml:space="preserve"> technology</w:t>
      </w:r>
      <w:r w:rsidR="00BB63E4">
        <w:t xml:space="preserve"> (</w:t>
      </w:r>
      <w:proofErr w:type="spellStart"/>
      <w:r w:rsidR="00BB63E4">
        <w:t>Prosigna</w:t>
      </w:r>
      <w:proofErr w:type="spellEnd"/>
      <w:r w:rsidR="00BB63E4">
        <w:t xml:space="preserve"> enabled)</w:t>
      </w:r>
      <w:r w:rsidRPr="004E2BDD">
        <w:t>.</w:t>
      </w:r>
    </w:p>
    <w:p w14:paraId="06EFB5BA" w14:textId="77777777" w:rsidR="00416DD3" w:rsidRPr="00CB12EC" w:rsidRDefault="00416DD3" w:rsidP="006C4A72">
      <w:pPr>
        <w:ind w:left="284"/>
      </w:pPr>
    </w:p>
    <w:p w14:paraId="57059CF3"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0D62F896" w14:textId="77777777" w:rsidR="00753C44" w:rsidRDefault="00CE6AC5" w:rsidP="00A6491A">
      <w:pPr>
        <w:spacing w:before="0" w:after="0"/>
        <w:ind w:left="284"/>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BA615A">
        <w:rPr>
          <w:szCs w:val="20"/>
        </w:rPr>
      </w:r>
      <w:r w:rsidR="00BA615A">
        <w:rPr>
          <w:szCs w:val="20"/>
        </w:rPr>
        <w:fldChar w:fldCharType="separate"/>
      </w:r>
      <w:r>
        <w:rPr>
          <w:szCs w:val="20"/>
        </w:rPr>
        <w:fldChar w:fldCharType="end"/>
      </w:r>
      <w:bookmarkEnd w:id="2"/>
      <w:r w:rsidR="006B6390">
        <w:rPr>
          <w:szCs w:val="20"/>
        </w:rPr>
        <w:t xml:space="preserve"> Yes</w:t>
      </w:r>
    </w:p>
    <w:p w14:paraId="28E751F5"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BA615A">
        <w:rPr>
          <w:szCs w:val="20"/>
        </w:rPr>
      </w:r>
      <w:r w:rsidR="00BA615A">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4D3FF813"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2A1CC31A" w14:textId="77777777"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BA615A">
        <w:rPr>
          <w:szCs w:val="20"/>
        </w:rPr>
      </w:r>
      <w:r w:rsidR="00BA615A">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2C7579E3" w14:textId="77777777" w:rsidR="00753C44" w:rsidRPr="00753C44" w:rsidRDefault="00CE6AC5"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A615A">
        <w:rPr>
          <w:szCs w:val="20"/>
        </w:rPr>
      </w:r>
      <w:r w:rsidR="00BA615A">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31D1D135"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5953ACA1" w14:textId="6228708A" w:rsidR="003D795C" w:rsidRPr="00CB12EC" w:rsidRDefault="005E63FC" w:rsidP="00416DD3">
      <w:pPr>
        <w:ind w:left="1004" w:firstLine="436"/>
      </w:pPr>
      <w:r w:rsidRPr="005E63FC">
        <w:rPr>
          <w:b/>
        </w:rPr>
        <w:t>NA</w:t>
      </w:r>
      <w:r>
        <w:t xml:space="preserve"> </w:t>
      </w:r>
    </w:p>
    <w:p w14:paraId="7A12762D" w14:textId="77777777" w:rsidR="006C0843"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314C8673"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A615A">
        <w:rPr>
          <w:b/>
          <w:szCs w:val="20"/>
        </w:rPr>
      </w:r>
      <w:r w:rsidR="00BA615A">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5FCEA50B"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A615A">
        <w:rPr>
          <w:b/>
          <w:szCs w:val="20"/>
        </w:rPr>
      </w:r>
      <w:r w:rsidR="00BA615A">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159E8AD7"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A615A">
        <w:rPr>
          <w:b/>
          <w:szCs w:val="20"/>
        </w:rPr>
      </w:r>
      <w:r w:rsidR="00BA615A">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7E410689"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A615A">
        <w:rPr>
          <w:b/>
          <w:szCs w:val="20"/>
        </w:rPr>
      </w:r>
      <w:r w:rsidR="00BA615A">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1FA4AAF6"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A615A">
        <w:rPr>
          <w:b/>
          <w:szCs w:val="20"/>
        </w:rPr>
      </w:r>
      <w:r w:rsidR="00BA615A">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0B3F5625"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A615A">
        <w:rPr>
          <w:b/>
          <w:szCs w:val="20"/>
        </w:rPr>
      </w:r>
      <w:r w:rsidR="00BA615A">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17D87474"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A615A">
        <w:rPr>
          <w:b/>
          <w:szCs w:val="20"/>
        </w:rPr>
      </w:r>
      <w:r w:rsidR="00BA615A">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65F843A8"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A615A">
        <w:rPr>
          <w:b/>
          <w:szCs w:val="20"/>
        </w:rPr>
      </w:r>
      <w:r w:rsidR="00BA615A">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004862BF" w14:textId="77777777"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A615A">
        <w:rPr>
          <w:b/>
          <w:szCs w:val="20"/>
        </w:rPr>
      </w:r>
      <w:r w:rsidR="00BA615A">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7400DD46" w14:textId="54C0E5C0" w:rsidR="002A270B" w:rsidRPr="005E63FC" w:rsidRDefault="005E63FC" w:rsidP="00416DD3">
      <w:pPr>
        <w:ind w:left="1004" w:firstLine="436"/>
        <w:rPr>
          <w:b/>
        </w:rPr>
      </w:pPr>
      <w:r w:rsidRPr="005E63FC">
        <w:rPr>
          <w:b/>
        </w:rPr>
        <w:t>NA</w:t>
      </w:r>
    </w:p>
    <w:p w14:paraId="6035C6DB"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0A1AB486"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BA615A">
        <w:rPr>
          <w:b/>
          <w:szCs w:val="20"/>
        </w:rPr>
      </w:r>
      <w:r w:rsidR="00BA615A">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3D8C40E9" w14:textId="77777777" w:rsidR="006B6390" w:rsidRPr="00AA2CFE" w:rsidRDefault="00CE6AC5" w:rsidP="00AA2CFE">
      <w:pPr>
        <w:pStyle w:val="ListParagraph"/>
        <w:numPr>
          <w:ilvl w:val="0"/>
          <w:numId w:val="35"/>
        </w:numPr>
        <w:spacing w:before="0" w:after="0"/>
        <w:ind w:left="851" w:hanging="425"/>
        <w:rPr>
          <w:rStyle w:val="Strong"/>
          <w:b w:val="0"/>
        </w:rPr>
      </w:pPr>
      <w:r>
        <w:rPr>
          <w:b/>
          <w:szCs w:val="20"/>
        </w:rPr>
        <w:lastRenderedPageBreak/>
        <w:fldChar w:fldCharType="begin">
          <w:ffData>
            <w:name w:val=""/>
            <w:enabled/>
            <w:calcOnExit w:val="0"/>
            <w:checkBox>
              <w:sizeAuto/>
              <w:default w:val="1"/>
            </w:checkBox>
          </w:ffData>
        </w:fldChar>
      </w:r>
      <w:r>
        <w:rPr>
          <w:b/>
          <w:szCs w:val="20"/>
        </w:rPr>
        <w:instrText xml:space="preserve"> FORMCHECKBOX </w:instrText>
      </w:r>
      <w:r w:rsidR="00BA615A">
        <w:rPr>
          <w:b/>
          <w:szCs w:val="20"/>
        </w:rPr>
      </w:r>
      <w:r w:rsidR="00BA615A">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48A30861"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BA615A">
        <w:rPr>
          <w:b/>
          <w:szCs w:val="20"/>
        </w:rPr>
      </w:r>
      <w:r w:rsidR="00BA615A">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318553FF"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BA615A">
        <w:rPr>
          <w:b/>
          <w:szCs w:val="20"/>
        </w:rPr>
      </w:r>
      <w:r w:rsidR="00BA615A">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62F4208C" w14:textId="77777777" w:rsidR="003027BB" w:rsidRPr="007E39E4" w:rsidRDefault="00F30C22" w:rsidP="00637159">
      <w:pPr>
        <w:pStyle w:val="Heading2"/>
        <w:keepNext/>
        <w:keepLines/>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4A917C91" w14:textId="77777777" w:rsidR="000A5B32" w:rsidRDefault="000A5B32" w:rsidP="00637159">
      <w:pPr>
        <w:keepNext/>
        <w:keepLines/>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A615A">
        <w:rPr>
          <w:szCs w:val="20"/>
        </w:rPr>
      </w:r>
      <w:r w:rsidR="00BA615A">
        <w:rPr>
          <w:szCs w:val="20"/>
        </w:rPr>
        <w:fldChar w:fldCharType="separate"/>
      </w:r>
      <w:r w:rsidRPr="000A5B32">
        <w:rPr>
          <w:szCs w:val="20"/>
        </w:rPr>
        <w:fldChar w:fldCharType="end"/>
      </w:r>
      <w:r w:rsidRPr="000A5B32">
        <w:rPr>
          <w:szCs w:val="20"/>
        </w:rPr>
        <w:t xml:space="preserve"> Yes</w:t>
      </w:r>
    </w:p>
    <w:p w14:paraId="4A649B1F" w14:textId="77777777" w:rsidR="00626365" w:rsidRDefault="00657A6E" w:rsidP="00637159">
      <w:pPr>
        <w:keepNext/>
        <w:keepLines/>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A615A">
        <w:rPr>
          <w:szCs w:val="20"/>
        </w:rPr>
      </w:r>
      <w:r w:rsidR="00BA615A">
        <w:rPr>
          <w:szCs w:val="20"/>
        </w:rPr>
        <w:fldChar w:fldCharType="separate"/>
      </w:r>
      <w:r>
        <w:rPr>
          <w:szCs w:val="20"/>
        </w:rPr>
        <w:fldChar w:fldCharType="end"/>
      </w:r>
      <w:r w:rsidR="000A5B32" w:rsidRPr="000A5B32">
        <w:rPr>
          <w:szCs w:val="20"/>
        </w:rPr>
        <w:t xml:space="preserve"> No</w:t>
      </w:r>
    </w:p>
    <w:p w14:paraId="109FC2F1" w14:textId="77777777" w:rsidR="00626365" w:rsidRPr="00637159" w:rsidRDefault="00626365" w:rsidP="00626365">
      <w:pPr>
        <w:spacing w:before="0" w:after="0"/>
        <w:ind w:left="284"/>
      </w:pPr>
    </w:p>
    <w:p w14:paraId="5C064063" w14:textId="77777777" w:rsidR="003027BB" w:rsidRPr="00637159" w:rsidRDefault="003027BB" w:rsidP="00637159">
      <w:pPr>
        <w:spacing w:before="0" w:after="0"/>
        <w:ind w:left="284"/>
      </w:pPr>
      <w:r w:rsidRPr="00637159">
        <w:rPr>
          <w:b/>
        </w:rPr>
        <w:t xml:space="preserve">If yes, please </w:t>
      </w:r>
      <w:proofErr w:type="gramStart"/>
      <w:r w:rsidRPr="00637159">
        <w:rPr>
          <w:b/>
        </w:rPr>
        <w:t>advise</w:t>
      </w:r>
      <w:proofErr w:type="gramEnd"/>
      <w:r w:rsidRPr="00637159">
        <w:rPr>
          <w:b/>
        </w:rPr>
        <w:t>:</w:t>
      </w:r>
    </w:p>
    <w:p w14:paraId="76E0EF93" w14:textId="1E44302F" w:rsidR="000A5B32" w:rsidRDefault="005E63FC" w:rsidP="00416DD3">
      <w:pPr>
        <w:ind w:left="1004" w:firstLine="436"/>
        <w:rPr>
          <w:b/>
        </w:rPr>
      </w:pPr>
      <w:r w:rsidRPr="005E63FC">
        <w:rPr>
          <w:b/>
        </w:rPr>
        <w:t>NA</w:t>
      </w:r>
    </w:p>
    <w:p w14:paraId="351B61FC" w14:textId="77777777" w:rsidR="00416DD3" w:rsidRPr="005E63FC" w:rsidRDefault="00416DD3" w:rsidP="00A6491A">
      <w:pPr>
        <w:ind w:left="284"/>
        <w:rPr>
          <w:rStyle w:val="Strong"/>
          <w:b w:val="0"/>
        </w:rPr>
      </w:pPr>
    </w:p>
    <w:p w14:paraId="2E53E3E6" w14:textId="77777777" w:rsidR="000B3CD0" w:rsidRDefault="000B3CD0" w:rsidP="00730C04">
      <w:pPr>
        <w:pStyle w:val="Heading2"/>
      </w:pPr>
      <w:r w:rsidRPr="00154B00">
        <w:t xml:space="preserve">What is the type of </w:t>
      </w:r>
      <w:proofErr w:type="gramStart"/>
      <w:r w:rsidRPr="00154B00">
        <w:t>service:</w:t>
      </w:r>
      <w:proofErr w:type="gramEnd"/>
    </w:p>
    <w:p w14:paraId="635AAE04"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A615A">
        <w:rPr>
          <w:b/>
          <w:szCs w:val="20"/>
        </w:rPr>
      </w:r>
      <w:r w:rsidR="00BA615A">
        <w:rPr>
          <w:b/>
          <w:szCs w:val="20"/>
        </w:rPr>
        <w:fldChar w:fldCharType="separate"/>
      </w:r>
      <w:r w:rsidRPr="0027105F">
        <w:rPr>
          <w:b/>
          <w:szCs w:val="20"/>
        </w:rPr>
        <w:fldChar w:fldCharType="end"/>
      </w:r>
      <w:r w:rsidRPr="0027105F">
        <w:rPr>
          <w:b/>
          <w:szCs w:val="20"/>
        </w:rPr>
        <w:t xml:space="preserve"> </w:t>
      </w:r>
      <w:r>
        <w:t>Therapeutic medical service</w:t>
      </w:r>
    </w:p>
    <w:p w14:paraId="28D2C9E3" w14:textId="77777777" w:rsidR="00A6594E" w:rsidRDefault="00657A6E"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BA615A">
        <w:rPr>
          <w:b/>
          <w:szCs w:val="20"/>
        </w:rPr>
      </w:r>
      <w:r w:rsidR="00BA615A">
        <w:rPr>
          <w:b/>
          <w:szCs w:val="20"/>
        </w:rPr>
        <w:fldChar w:fldCharType="separate"/>
      </w:r>
      <w:r>
        <w:rPr>
          <w:b/>
          <w:szCs w:val="20"/>
        </w:rPr>
        <w:fldChar w:fldCharType="end"/>
      </w:r>
      <w:r w:rsidR="00A6594E" w:rsidRPr="0027105F">
        <w:rPr>
          <w:b/>
          <w:szCs w:val="20"/>
        </w:rPr>
        <w:t xml:space="preserve"> </w:t>
      </w:r>
      <w:r w:rsidR="00A6594E">
        <w:t>Investigative medical service</w:t>
      </w:r>
    </w:p>
    <w:p w14:paraId="3997DBA9"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A615A">
        <w:rPr>
          <w:b/>
          <w:szCs w:val="20"/>
        </w:rPr>
      </w:r>
      <w:r w:rsidR="00BA615A">
        <w:rPr>
          <w:b/>
          <w:szCs w:val="20"/>
        </w:rPr>
        <w:fldChar w:fldCharType="separate"/>
      </w:r>
      <w:r w:rsidRPr="0027105F">
        <w:rPr>
          <w:b/>
          <w:szCs w:val="20"/>
        </w:rPr>
        <w:fldChar w:fldCharType="end"/>
      </w:r>
      <w:r w:rsidRPr="0027105F">
        <w:rPr>
          <w:b/>
          <w:szCs w:val="20"/>
        </w:rPr>
        <w:t xml:space="preserve"> </w:t>
      </w:r>
      <w:r>
        <w:t>Single consultation medical service</w:t>
      </w:r>
    </w:p>
    <w:p w14:paraId="11D2C634"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A615A">
        <w:rPr>
          <w:b/>
          <w:szCs w:val="20"/>
        </w:rPr>
      </w:r>
      <w:r w:rsidR="00BA615A">
        <w:rPr>
          <w:b/>
          <w:szCs w:val="20"/>
        </w:rPr>
        <w:fldChar w:fldCharType="separate"/>
      </w:r>
      <w:r w:rsidRPr="0027105F">
        <w:rPr>
          <w:b/>
          <w:szCs w:val="20"/>
        </w:rPr>
        <w:fldChar w:fldCharType="end"/>
      </w:r>
      <w:r w:rsidRPr="0027105F">
        <w:rPr>
          <w:b/>
          <w:szCs w:val="20"/>
        </w:rPr>
        <w:t xml:space="preserve"> </w:t>
      </w:r>
      <w:r>
        <w:t>Global consultation medical service</w:t>
      </w:r>
    </w:p>
    <w:p w14:paraId="5E0A6A44"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A615A">
        <w:rPr>
          <w:b/>
          <w:szCs w:val="20"/>
        </w:rPr>
      </w:r>
      <w:r w:rsidR="00BA615A">
        <w:rPr>
          <w:b/>
          <w:szCs w:val="20"/>
        </w:rPr>
        <w:fldChar w:fldCharType="separate"/>
      </w:r>
      <w:r w:rsidRPr="0027105F">
        <w:rPr>
          <w:b/>
          <w:szCs w:val="20"/>
        </w:rPr>
        <w:fldChar w:fldCharType="end"/>
      </w:r>
      <w:r w:rsidRPr="0027105F">
        <w:rPr>
          <w:b/>
          <w:szCs w:val="20"/>
        </w:rPr>
        <w:t xml:space="preserve"> </w:t>
      </w:r>
      <w:r>
        <w:t>Allied health service</w:t>
      </w:r>
    </w:p>
    <w:p w14:paraId="509BA771"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A615A">
        <w:rPr>
          <w:b/>
          <w:szCs w:val="20"/>
        </w:rPr>
      </w:r>
      <w:r w:rsidR="00BA615A">
        <w:rPr>
          <w:b/>
          <w:szCs w:val="20"/>
        </w:rPr>
        <w:fldChar w:fldCharType="separate"/>
      </w:r>
      <w:r w:rsidRPr="0027105F">
        <w:rPr>
          <w:b/>
          <w:szCs w:val="20"/>
        </w:rPr>
        <w:fldChar w:fldCharType="end"/>
      </w:r>
      <w:r w:rsidRPr="0027105F">
        <w:rPr>
          <w:b/>
          <w:szCs w:val="20"/>
        </w:rPr>
        <w:t xml:space="preserve"> </w:t>
      </w:r>
      <w:r>
        <w:t>Co-dependent technology</w:t>
      </w:r>
    </w:p>
    <w:p w14:paraId="7E7373BD"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A615A">
        <w:rPr>
          <w:b/>
          <w:szCs w:val="20"/>
        </w:rPr>
      </w:r>
      <w:r w:rsidR="00BA615A">
        <w:rPr>
          <w:b/>
          <w:szCs w:val="20"/>
        </w:rPr>
        <w:fldChar w:fldCharType="separate"/>
      </w:r>
      <w:r w:rsidRPr="0027105F">
        <w:rPr>
          <w:b/>
          <w:szCs w:val="20"/>
        </w:rPr>
        <w:fldChar w:fldCharType="end"/>
      </w:r>
      <w:r w:rsidRPr="0027105F">
        <w:rPr>
          <w:b/>
          <w:szCs w:val="20"/>
        </w:rPr>
        <w:t xml:space="preserve"> </w:t>
      </w:r>
      <w:r>
        <w:t>Hybrid health technology</w:t>
      </w:r>
    </w:p>
    <w:p w14:paraId="2E2C03C3" w14:textId="77777777" w:rsidR="00124B00" w:rsidRPr="00A6594E" w:rsidRDefault="00124B00" w:rsidP="00A6491A">
      <w:pPr>
        <w:spacing w:before="0" w:after="0"/>
        <w:ind w:left="284"/>
      </w:pPr>
    </w:p>
    <w:p w14:paraId="69990B1B"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2F4BFEA6"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BA615A">
        <w:rPr>
          <w:b/>
          <w:szCs w:val="20"/>
        </w:rPr>
      </w:r>
      <w:r w:rsidR="00BA615A">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1174F91B"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BA615A">
        <w:rPr>
          <w:b/>
          <w:szCs w:val="20"/>
        </w:rPr>
      </w:r>
      <w:r w:rsidR="00BA615A">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4F852945" w14:textId="77777777" w:rsidR="00A6594E" w:rsidRDefault="00657A6E"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BA615A">
        <w:rPr>
          <w:b/>
          <w:szCs w:val="20"/>
        </w:rPr>
      </w:r>
      <w:r w:rsidR="00BA615A">
        <w:rPr>
          <w:b/>
          <w:szCs w:val="20"/>
        </w:rPr>
        <w:fldChar w:fldCharType="separate"/>
      </w:r>
      <w:r>
        <w:rPr>
          <w:b/>
          <w:szCs w:val="20"/>
        </w:rPr>
        <w:fldChar w:fldCharType="end"/>
      </w:r>
      <w:r w:rsidR="00A6594E" w:rsidRPr="00AF4466">
        <w:rPr>
          <w:b/>
          <w:szCs w:val="20"/>
        </w:rPr>
        <w:t xml:space="preserve"> </w:t>
      </w:r>
      <w:r w:rsidR="00A6594E">
        <w:t>Provides information about prognosis</w:t>
      </w:r>
    </w:p>
    <w:p w14:paraId="428D1934" w14:textId="2A1E4188" w:rsidR="00A6594E" w:rsidRDefault="005E63FC" w:rsidP="00AF4466">
      <w:pPr>
        <w:pStyle w:val="ListParagraph"/>
        <w:numPr>
          <w:ilvl w:val="0"/>
          <w:numId w:val="36"/>
        </w:numPr>
        <w:spacing w:before="0" w:after="0"/>
        <w:ind w:left="851" w:hanging="425"/>
      </w:pPr>
      <w:r>
        <w:rPr>
          <w:b/>
          <w:szCs w:val="20"/>
        </w:rPr>
        <w:fldChar w:fldCharType="begin">
          <w:ffData>
            <w:name w:val=""/>
            <w:enabled/>
            <w:calcOnExit w:val="0"/>
            <w:checkBox>
              <w:sizeAuto/>
              <w:default w:val="0"/>
            </w:checkBox>
          </w:ffData>
        </w:fldChar>
      </w:r>
      <w:r>
        <w:rPr>
          <w:b/>
          <w:szCs w:val="20"/>
        </w:rPr>
        <w:instrText xml:space="preserve"> FORMCHECKBOX </w:instrText>
      </w:r>
      <w:r w:rsidR="00BA615A">
        <w:rPr>
          <w:b/>
          <w:szCs w:val="20"/>
        </w:rPr>
      </w:r>
      <w:r w:rsidR="00BA615A">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14:paraId="3A0CB143" w14:textId="77777777" w:rsidR="00F63A62" w:rsidRDefault="00A6594E" w:rsidP="00F63A62">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BA615A">
        <w:rPr>
          <w:b/>
          <w:szCs w:val="20"/>
        </w:rPr>
      </w:r>
      <w:r w:rsidR="00BA615A">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13F93B39" w14:textId="77777777" w:rsidR="00A6594E" w:rsidRDefault="00F63A62" w:rsidP="00F63A62">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BA615A">
        <w:rPr>
          <w:b/>
          <w:szCs w:val="20"/>
        </w:rPr>
      </w:r>
      <w:r w:rsidR="00BA615A">
        <w:rPr>
          <w:b/>
          <w:szCs w:val="20"/>
        </w:rPr>
        <w:fldChar w:fldCharType="separate"/>
      </w:r>
      <w:r w:rsidRPr="00AF4466">
        <w:rPr>
          <w:b/>
          <w:szCs w:val="20"/>
        </w:rPr>
        <w:fldChar w:fldCharType="end"/>
      </w:r>
      <w:r w:rsidRPr="00AF4466">
        <w:rPr>
          <w:b/>
          <w:szCs w:val="20"/>
        </w:rPr>
        <w:t xml:space="preserve"> </w:t>
      </w:r>
      <w:r>
        <w:t xml:space="preserve">Is for genetic testing </w:t>
      </w:r>
      <w:r w:rsidR="0050517E">
        <w:t>for</w:t>
      </w:r>
      <w:r>
        <w:t xml:space="preserve"> heritable mutations </w:t>
      </w:r>
      <w:r w:rsidR="0050517E">
        <w:t>in</w:t>
      </w:r>
      <w:r>
        <w:t xml:space="preserve"> clinically affected individuals and</w:t>
      </w:r>
      <w:r w:rsidR="0050517E">
        <w:t>,</w:t>
      </w:r>
      <w:r>
        <w:t xml:space="preserve"> </w:t>
      </w:r>
      <w:r w:rsidR="0050517E">
        <w:t>when also appropriate,</w:t>
      </w:r>
      <w:r>
        <w:t xml:space="preserve"> </w:t>
      </w:r>
      <w:r w:rsidR="0050517E">
        <w:t xml:space="preserve">in </w:t>
      </w:r>
      <w:r>
        <w:t xml:space="preserve">family members of those individuals who test positive for one or more </w:t>
      </w:r>
      <w:r w:rsidR="0050517E">
        <w:t xml:space="preserve">relevant </w:t>
      </w:r>
      <w:r>
        <w:t xml:space="preserve">mutations (and thus for which the Clinical Utility Card </w:t>
      </w:r>
      <w:proofErr w:type="spellStart"/>
      <w:r>
        <w:t>proforma</w:t>
      </w:r>
      <w:proofErr w:type="spellEnd"/>
      <w:r>
        <w:t xml:space="preserve"> might apply)</w:t>
      </w:r>
    </w:p>
    <w:p w14:paraId="5B61B20D" w14:textId="77777777" w:rsidR="002A40AE" w:rsidRDefault="002A40AE" w:rsidP="002F55EF">
      <w:pPr>
        <w:spacing w:before="0" w:after="0"/>
      </w:pPr>
    </w:p>
    <w:p w14:paraId="4DF88D57" w14:textId="77777777" w:rsidR="000B3CD0" w:rsidRPr="00A0401E" w:rsidRDefault="000B3CD0" w:rsidP="00730C04">
      <w:pPr>
        <w:pStyle w:val="Heading2"/>
      </w:pPr>
      <w:r w:rsidRPr="00A0401E">
        <w:t xml:space="preserve">Does </w:t>
      </w:r>
      <w:r w:rsidR="00C209C2" w:rsidRPr="00A0401E">
        <w:t>your</w:t>
      </w:r>
      <w:r w:rsidRPr="00A0401E">
        <w:t xml:space="preserve"> service rely on another medical </w:t>
      </w:r>
      <w:r w:rsidR="001E1180" w:rsidRPr="00A0401E">
        <w:t>product</w:t>
      </w:r>
      <w:r w:rsidRPr="00A0401E">
        <w:t xml:space="preserve"> to achieve or to enhance its intended effect?</w:t>
      </w:r>
    </w:p>
    <w:p w14:paraId="53531CAB" w14:textId="7AD2EFC0" w:rsidR="00FE16C1" w:rsidRDefault="00BA3453" w:rsidP="00A6491A">
      <w:pPr>
        <w:spacing w:before="0" w:after="0"/>
        <w:ind w:left="284"/>
      </w:pPr>
      <w:r>
        <w:rPr>
          <w:b/>
          <w:szCs w:val="20"/>
        </w:rPr>
        <w:fldChar w:fldCharType="begin">
          <w:ffData>
            <w:name w:val=""/>
            <w:enabled/>
            <w:calcOnExit w:val="0"/>
            <w:checkBox>
              <w:sizeAuto/>
              <w:default w:val="0"/>
            </w:checkBox>
          </w:ffData>
        </w:fldChar>
      </w:r>
      <w:r>
        <w:rPr>
          <w:b/>
          <w:szCs w:val="20"/>
        </w:rPr>
        <w:instrText xml:space="preserve"> FORMCHECKBOX </w:instrText>
      </w:r>
      <w:r w:rsidR="00BA615A">
        <w:rPr>
          <w:b/>
          <w:szCs w:val="20"/>
        </w:rPr>
      </w:r>
      <w:r w:rsidR="00BA615A">
        <w:rPr>
          <w:b/>
          <w:szCs w:val="20"/>
        </w:rPr>
        <w:fldChar w:fldCharType="separate"/>
      </w:r>
      <w:r>
        <w:rPr>
          <w:b/>
          <w:szCs w:val="20"/>
        </w:rPr>
        <w:fldChar w:fldCharType="end"/>
      </w:r>
      <w:r w:rsidR="00FE16C1" w:rsidRPr="0027105F">
        <w:rPr>
          <w:b/>
          <w:szCs w:val="20"/>
        </w:rPr>
        <w:t xml:space="preserve"> </w:t>
      </w:r>
      <w:r w:rsidR="00FE16C1">
        <w:t>Pharmaceutical / Biological</w:t>
      </w:r>
    </w:p>
    <w:p w14:paraId="367FB2B3"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A615A">
        <w:rPr>
          <w:b/>
          <w:szCs w:val="20"/>
        </w:rPr>
      </w:r>
      <w:r w:rsidR="00BA615A">
        <w:rPr>
          <w:b/>
          <w:szCs w:val="20"/>
        </w:rPr>
        <w:fldChar w:fldCharType="separate"/>
      </w:r>
      <w:r w:rsidRPr="0027105F">
        <w:rPr>
          <w:b/>
          <w:szCs w:val="20"/>
        </w:rPr>
        <w:fldChar w:fldCharType="end"/>
      </w:r>
      <w:r w:rsidRPr="0027105F">
        <w:rPr>
          <w:b/>
          <w:szCs w:val="20"/>
        </w:rPr>
        <w:t xml:space="preserve"> </w:t>
      </w:r>
      <w:r>
        <w:t>Prosthesis or device</w:t>
      </w:r>
    </w:p>
    <w:p w14:paraId="5BF74A0D" w14:textId="77777777" w:rsidR="00FE16C1" w:rsidRDefault="00657A6E"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BA615A">
        <w:rPr>
          <w:b/>
          <w:szCs w:val="20"/>
        </w:rPr>
      </w:r>
      <w:r w:rsidR="00BA615A">
        <w:rPr>
          <w:b/>
          <w:szCs w:val="20"/>
        </w:rPr>
        <w:fldChar w:fldCharType="separate"/>
      </w:r>
      <w:r>
        <w:rPr>
          <w:b/>
          <w:szCs w:val="20"/>
        </w:rPr>
        <w:fldChar w:fldCharType="end"/>
      </w:r>
      <w:r w:rsidR="00FE16C1" w:rsidRPr="0027105F">
        <w:rPr>
          <w:b/>
          <w:szCs w:val="20"/>
        </w:rPr>
        <w:t xml:space="preserve"> </w:t>
      </w:r>
      <w:r w:rsidR="00FE16C1">
        <w:t>No</w:t>
      </w:r>
    </w:p>
    <w:p w14:paraId="768AC9F9" w14:textId="77777777" w:rsidR="00416DD3" w:rsidRPr="00FE16C1" w:rsidRDefault="00416DD3" w:rsidP="00A6491A">
      <w:pPr>
        <w:spacing w:before="0" w:after="0"/>
        <w:ind w:left="284"/>
      </w:pPr>
    </w:p>
    <w:p w14:paraId="38E0CA70"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22C2EBE1"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A615A">
        <w:rPr>
          <w:szCs w:val="20"/>
        </w:rPr>
      </w:r>
      <w:r w:rsidR="00BA615A">
        <w:rPr>
          <w:szCs w:val="20"/>
        </w:rPr>
        <w:fldChar w:fldCharType="separate"/>
      </w:r>
      <w:r w:rsidRPr="000A5B32">
        <w:rPr>
          <w:szCs w:val="20"/>
        </w:rPr>
        <w:fldChar w:fldCharType="end"/>
      </w:r>
      <w:r w:rsidRPr="000A5B32">
        <w:rPr>
          <w:szCs w:val="20"/>
        </w:rPr>
        <w:t xml:space="preserve"> Yes</w:t>
      </w:r>
    </w:p>
    <w:p w14:paraId="2ADFCB44" w14:textId="77777777" w:rsidR="00FE16C1" w:rsidRDefault="00FE16C1"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BA615A">
        <w:rPr>
          <w:szCs w:val="20"/>
        </w:rPr>
      </w:r>
      <w:r w:rsidR="00BA615A">
        <w:rPr>
          <w:szCs w:val="20"/>
        </w:rPr>
        <w:fldChar w:fldCharType="separate"/>
      </w:r>
      <w:r w:rsidRPr="000A5B32">
        <w:rPr>
          <w:szCs w:val="20"/>
        </w:rPr>
        <w:fldChar w:fldCharType="end"/>
      </w:r>
      <w:r>
        <w:rPr>
          <w:szCs w:val="20"/>
        </w:rPr>
        <w:t xml:space="preserve"> No  </w:t>
      </w:r>
    </w:p>
    <w:p w14:paraId="46C6FB98" w14:textId="5AAEDA06" w:rsidR="005E63FC" w:rsidRPr="005E63FC" w:rsidRDefault="005E63FC" w:rsidP="00416DD3">
      <w:pPr>
        <w:spacing w:before="0" w:after="0"/>
        <w:ind w:left="1004" w:firstLine="436"/>
        <w:rPr>
          <w:b/>
          <w:szCs w:val="20"/>
        </w:rPr>
      </w:pPr>
      <w:r w:rsidRPr="005E63FC">
        <w:rPr>
          <w:b/>
          <w:szCs w:val="20"/>
        </w:rPr>
        <w:t>NA</w:t>
      </w:r>
    </w:p>
    <w:p w14:paraId="6685AFD7"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31B7B787" w14:textId="1525AEDD" w:rsidR="007E39E4" w:rsidRPr="005E63FC" w:rsidRDefault="005E63FC" w:rsidP="00416DD3">
      <w:pPr>
        <w:ind w:left="1004" w:firstLine="436"/>
        <w:rPr>
          <w:b/>
          <w:szCs w:val="20"/>
        </w:rPr>
      </w:pPr>
      <w:r w:rsidRPr="005E63FC">
        <w:rPr>
          <w:b/>
        </w:rPr>
        <w:t>NA</w:t>
      </w:r>
      <w:r w:rsidRPr="005E63FC">
        <w:rPr>
          <w:b/>
          <w:szCs w:val="20"/>
        </w:rPr>
        <w:t xml:space="preserve"> </w:t>
      </w:r>
    </w:p>
    <w:p w14:paraId="70088983"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12904DC5"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A615A">
        <w:rPr>
          <w:szCs w:val="20"/>
        </w:rPr>
      </w:r>
      <w:r w:rsidR="00BA615A">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450436B0" w14:textId="77777777" w:rsidR="001E6919" w:rsidRDefault="007E39E4" w:rsidP="001E6919">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BA615A">
        <w:rPr>
          <w:szCs w:val="20"/>
        </w:rPr>
      </w:r>
      <w:r w:rsidR="00BA615A">
        <w:rPr>
          <w:szCs w:val="20"/>
        </w:rPr>
        <w:fldChar w:fldCharType="separate"/>
      </w:r>
      <w:r w:rsidRPr="000A5B32">
        <w:rPr>
          <w:szCs w:val="20"/>
        </w:rPr>
        <w:fldChar w:fldCharType="end"/>
      </w:r>
      <w:r w:rsidR="001E6919">
        <w:rPr>
          <w:szCs w:val="20"/>
        </w:rPr>
        <w:t xml:space="preserve"> No</w:t>
      </w:r>
    </w:p>
    <w:p w14:paraId="4DB2D9A6" w14:textId="3A236093" w:rsidR="001E6919" w:rsidRPr="00B10A08" w:rsidRDefault="00B10A08" w:rsidP="00416DD3">
      <w:pPr>
        <w:spacing w:before="0" w:after="0"/>
        <w:ind w:left="1004" w:firstLine="436"/>
        <w:rPr>
          <w:b/>
          <w:szCs w:val="20"/>
        </w:rPr>
      </w:pPr>
      <w:r w:rsidRPr="00B10A08">
        <w:rPr>
          <w:b/>
        </w:rPr>
        <w:lastRenderedPageBreak/>
        <w:t>NA</w:t>
      </w:r>
    </w:p>
    <w:p w14:paraId="61549BBB"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05E73A64" w14:textId="77777777" w:rsidR="001E6958" w:rsidRDefault="001E6958" w:rsidP="00A6491A">
      <w:pPr>
        <w:spacing w:before="0" w:after="0"/>
        <w:ind w:left="284"/>
      </w:pPr>
      <w:r>
        <w:t xml:space="preserve">Trade name: </w:t>
      </w:r>
      <w:r>
        <w:fldChar w:fldCharType="begin">
          <w:ffData>
            <w:name w:val=""/>
            <w:enabled/>
            <w:calcOnExit w:val="0"/>
            <w:textInput>
              <w:default w:val="Insert trade name here"/>
            </w:textInput>
          </w:ffData>
        </w:fldChar>
      </w:r>
      <w:r>
        <w:instrText xml:space="preserve"> FORMTEXT </w:instrText>
      </w:r>
      <w:r>
        <w:fldChar w:fldCharType="separate"/>
      </w:r>
      <w:r>
        <w:rPr>
          <w:noProof/>
        </w:rPr>
        <w:t>Insert trade name here</w:t>
      </w:r>
      <w:r>
        <w:fldChar w:fldCharType="end"/>
      </w:r>
    </w:p>
    <w:p w14:paraId="12B7BF8F" w14:textId="77777777" w:rsidR="001E6958" w:rsidRDefault="001E6958" w:rsidP="00A6491A">
      <w:pPr>
        <w:spacing w:before="0" w:after="0"/>
        <w:ind w:left="284"/>
      </w:pPr>
      <w:r>
        <w:t xml:space="preserve">Generic name: </w:t>
      </w:r>
      <w:r>
        <w:fldChar w:fldCharType="begin">
          <w:ffData>
            <w:name w:val=""/>
            <w:enabled/>
            <w:calcOnExit w:val="0"/>
            <w:textInput>
              <w:default w:val="Insert generic name here"/>
            </w:textInput>
          </w:ffData>
        </w:fldChar>
      </w:r>
      <w:r>
        <w:instrText xml:space="preserve"> FORMTEXT </w:instrText>
      </w:r>
      <w:r>
        <w:fldChar w:fldCharType="separate"/>
      </w:r>
      <w:r>
        <w:rPr>
          <w:noProof/>
        </w:rPr>
        <w:t>Insert generic name here</w:t>
      </w:r>
      <w:r>
        <w:fldChar w:fldCharType="end"/>
      </w:r>
    </w:p>
    <w:p w14:paraId="7A3CCBA7" w14:textId="095DC739" w:rsidR="00B10A08" w:rsidRDefault="00B10A08" w:rsidP="00416DD3">
      <w:pPr>
        <w:spacing w:before="0" w:after="0"/>
        <w:ind w:left="1004" w:firstLine="436"/>
        <w:rPr>
          <w:b/>
        </w:rPr>
      </w:pPr>
      <w:r w:rsidRPr="00B10A08">
        <w:rPr>
          <w:b/>
        </w:rPr>
        <w:t>NA</w:t>
      </w:r>
    </w:p>
    <w:p w14:paraId="457355F6" w14:textId="77777777" w:rsidR="00416DD3" w:rsidRPr="00B10A08" w:rsidRDefault="00416DD3" w:rsidP="00416DD3">
      <w:pPr>
        <w:spacing w:before="0" w:after="0"/>
        <w:ind w:left="1004" w:firstLine="436"/>
        <w:rPr>
          <w:b/>
        </w:rPr>
      </w:pPr>
    </w:p>
    <w:p w14:paraId="2E3C9164"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proofErr w:type="gramStart"/>
      <w:r w:rsidR="00C05A45">
        <w:t>a prosthesis</w:t>
      </w:r>
      <w:proofErr w:type="gramEnd"/>
      <w:r w:rsidR="00CD4E44">
        <w:t>,</w:t>
      </w:r>
      <w:r w:rsidR="00C05A45">
        <w:t xml:space="preserve"> </w:t>
      </w:r>
      <w:r w:rsidR="00B75965" w:rsidRPr="00154B00">
        <w:t>is it already included on the Prosthes</w:t>
      </w:r>
      <w:r w:rsidR="00BB003A">
        <w:t>e</w:t>
      </w:r>
      <w:r w:rsidR="00B75965" w:rsidRPr="00154B00">
        <w:t>s List?</w:t>
      </w:r>
    </w:p>
    <w:p w14:paraId="64A264E5"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A615A">
        <w:rPr>
          <w:szCs w:val="20"/>
        </w:rPr>
      </w:r>
      <w:r w:rsidR="00BA615A">
        <w:rPr>
          <w:szCs w:val="20"/>
        </w:rPr>
        <w:fldChar w:fldCharType="separate"/>
      </w:r>
      <w:r w:rsidRPr="000A5B32">
        <w:rPr>
          <w:szCs w:val="20"/>
        </w:rPr>
        <w:fldChar w:fldCharType="end"/>
      </w:r>
      <w:r w:rsidRPr="000A5B32">
        <w:rPr>
          <w:szCs w:val="20"/>
        </w:rPr>
        <w:t xml:space="preserve"> Yes</w:t>
      </w:r>
    </w:p>
    <w:p w14:paraId="6DB08B6E" w14:textId="77777777" w:rsidR="00B10A08" w:rsidRDefault="001E6958" w:rsidP="00275D11">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BA615A">
        <w:rPr>
          <w:szCs w:val="20"/>
        </w:rPr>
      </w:r>
      <w:r w:rsidR="00BA615A">
        <w:rPr>
          <w:szCs w:val="20"/>
        </w:rPr>
        <w:fldChar w:fldCharType="separate"/>
      </w:r>
      <w:r w:rsidRPr="000A5B32">
        <w:rPr>
          <w:szCs w:val="20"/>
        </w:rPr>
        <w:fldChar w:fldCharType="end"/>
      </w:r>
      <w:r>
        <w:rPr>
          <w:szCs w:val="20"/>
        </w:rPr>
        <w:t xml:space="preserve"> No  </w:t>
      </w:r>
    </w:p>
    <w:p w14:paraId="45058E8A" w14:textId="20DF744A" w:rsidR="001E6919" w:rsidRPr="00B10A08" w:rsidRDefault="00B10A08" w:rsidP="00416DD3">
      <w:pPr>
        <w:spacing w:before="0" w:after="0"/>
        <w:ind w:left="1004" w:firstLine="436"/>
        <w:rPr>
          <w:b/>
          <w:szCs w:val="20"/>
        </w:rPr>
      </w:pPr>
      <w:r w:rsidRPr="00B10A08">
        <w:rPr>
          <w:b/>
          <w:szCs w:val="20"/>
        </w:rPr>
        <w:t>NA</w:t>
      </w:r>
    </w:p>
    <w:p w14:paraId="2FD5D186"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38D3D0BB" w14:textId="77777777" w:rsidR="001E6958" w:rsidRDefault="001E6958" w:rsidP="00A6491A">
      <w:pPr>
        <w:spacing w:before="0" w:after="0"/>
        <w:ind w:left="284"/>
      </w:pPr>
      <w:r>
        <w:t xml:space="preserve">Billing code(s): </w:t>
      </w:r>
      <w:r w:rsidR="009939DC">
        <w:fldChar w:fldCharType="begin">
          <w:ffData>
            <w:name w:val=""/>
            <w:enabled/>
            <w:calcOnExit w:val="0"/>
            <w:textInput>
              <w:default w:val="Insert billing code(s) here"/>
            </w:textInput>
          </w:ffData>
        </w:fldChar>
      </w:r>
      <w:r w:rsidR="009939DC">
        <w:instrText xml:space="preserve"> FORMTEXT </w:instrText>
      </w:r>
      <w:r w:rsidR="009939DC">
        <w:fldChar w:fldCharType="separate"/>
      </w:r>
      <w:r w:rsidR="009939DC">
        <w:rPr>
          <w:noProof/>
        </w:rPr>
        <w:t>Insert billing code(s) here</w:t>
      </w:r>
      <w:r w:rsidR="009939DC">
        <w:fldChar w:fldCharType="end"/>
      </w:r>
    </w:p>
    <w:p w14:paraId="30FB6D1D" w14:textId="77777777" w:rsidR="001E6958" w:rsidRDefault="001E6958" w:rsidP="00A6491A">
      <w:pPr>
        <w:spacing w:before="0" w:after="0"/>
        <w:ind w:left="284"/>
      </w:pPr>
      <w:r>
        <w:t xml:space="preserve">Trade name of prostheses: </w:t>
      </w:r>
      <w:r w:rsidR="009939DC">
        <w:fldChar w:fldCharType="begin">
          <w:ffData>
            <w:name w:val=""/>
            <w:enabled/>
            <w:calcOnExit w:val="0"/>
            <w:textInput>
              <w:default w:val="Insert trade name here"/>
            </w:textInput>
          </w:ffData>
        </w:fldChar>
      </w:r>
      <w:r w:rsidR="009939DC">
        <w:instrText xml:space="preserve"> FORMTEXT </w:instrText>
      </w:r>
      <w:r w:rsidR="009939DC">
        <w:fldChar w:fldCharType="separate"/>
      </w:r>
      <w:r w:rsidR="009939DC">
        <w:rPr>
          <w:noProof/>
        </w:rPr>
        <w:t>Insert trade name here</w:t>
      </w:r>
      <w:r w:rsidR="009939DC">
        <w:fldChar w:fldCharType="end"/>
      </w:r>
    </w:p>
    <w:p w14:paraId="3895C528" w14:textId="77777777" w:rsidR="001E6958" w:rsidRDefault="001E6958" w:rsidP="00A6491A">
      <w:pPr>
        <w:spacing w:before="0" w:after="0"/>
        <w:ind w:left="284"/>
      </w:pPr>
      <w:r>
        <w:t xml:space="preserve">Clinical name of prostheses: </w:t>
      </w:r>
      <w:r w:rsidR="009939DC">
        <w:fldChar w:fldCharType="begin">
          <w:ffData>
            <w:name w:val=""/>
            <w:enabled/>
            <w:calcOnExit w:val="0"/>
            <w:textInput>
              <w:default w:val="Insert clinical name here"/>
            </w:textInput>
          </w:ffData>
        </w:fldChar>
      </w:r>
      <w:r w:rsidR="009939DC">
        <w:instrText xml:space="preserve"> FORMTEXT </w:instrText>
      </w:r>
      <w:r w:rsidR="009939DC">
        <w:fldChar w:fldCharType="separate"/>
      </w:r>
      <w:r w:rsidR="009939DC">
        <w:rPr>
          <w:noProof/>
        </w:rPr>
        <w:t>Insert clinical name here</w:t>
      </w:r>
      <w:r w:rsidR="009939DC">
        <w:fldChar w:fldCharType="end"/>
      </w:r>
    </w:p>
    <w:p w14:paraId="64B95E47" w14:textId="77777777" w:rsidR="001E6958" w:rsidRPr="001E6958" w:rsidRDefault="001E6958" w:rsidP="00A6491A">
      <w:pPr>
        <w:spacing w:before="0" w:after="0"/>
        <w:ind w:left="284"/>
      </w:pPr>
      <w:r>
        <w:t xml:space="preserve">Other device components delivered as part of the service: </w:t>
      </w:r>
      <w:r w:rsidR="009939DC">
        <w:fldChar w:fldCharType="begin">
          <w:ffData>
            <w:name w:val=""/>
            <w:enabled/>
            <w:calcOnExit w:val="0"/>
            <w:textInput>
              <w:default w:val="Insert description of device components here"/>
            </w:textInput>
          </w:ffData>
        </w:fldChar>
      </w:r>
      <w:r w:rsidR="009939DC">
        <w:instrText xml:space="preserve"> FORMTEXT </w:instrText>
      </w:r>
      <w:r w:rsidR="009939DC">
        <w:fldChar w:fldCharType="separate"/>
      </w:r>
      <w:r w:rsidR="009939DC">
        <w:rPr>
          <w:noProof/>
        </w:rPr>
        <w:t>Insert description of device components here</w:t>
      </w:r>
      <w:r w:rsidR="009939DC">
        <w:fldChar w:fldCharType="end"/>
      </w:r>
    </w:p>
    <w:p w14:paraId="3662C653" w14:textId="1298B4B4" w:rsidR="009939DC" w:rsidRDefault="00AF284B" w:rsidP="00416DD3">
      <w:pPr>
        <w:ind w:left="720" w:firstLine="720"/>
        <w:rPr>
          <w:b/>
        </w:rPr>
      </w:pPr>
      <w:r w:rsidRPr="00AF284B">
        <w:rPr>
          <w:b/>
        </w:rPr>
        <w:t>NA</w:t>
      </w:r>
    </w:p>
    <w:p w14:paraId="065F33A6"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0D4D2473"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A615A">
        <w:rPr>
          <w:szCs w:val="20"/>
        </w:rPr>
      </w:r>
      <w:r w:rsidR="00BA615A">
        <w:rPr>
          <w:szCs w:val="20"/>
        </w:rPr>
        <w:fldChar w:fldCharType="separate"/>
      </w:r>
      <w:r w:rsidRPr="000A5B32">
        <w:rPr>
          <w:szCs w:val="20"/>
        </w:rPr>
        <w:fldChar w:fldCharType="end"/>
      </w:r>
      <w:r w:rsidRPr="000A5B32">
        <w:rPr>
          <w:szCs w:val="20"/>
        </w:rPr>
        <w:t xml:space="preserve"> Yes</w:t>
      </w:r>
    </w:p>
    <w:p w14:paraId="637C0BA5" w14:textId="77777777" w:rsidR="001E6958"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BA615A">
        <w:rPr>
          <w:szCs w:val="20"/>
        </w:rPr>
      </w:r>
      <w:r w:rsidR="00BA615A">
        <w:rPr>
          <w:szCs w:val="20"/>
        </w:rPr>
        <w:fldChar w:fldCharType="separate"/>
      </w:r>
      <w:r w:rsidRPr="000A5B32">
        <w:rPr>
          <w:szCs w:val="20"/>
        </w:rPr>
        <w:fldChar w:fldCharType="end"/>
      </w:r>
      <w:r>
        <w:rPr>
          <w:szCs w:val="20"/>
        </w:rPr>
        <w:t xml:space="preserve"> No  </w:t>
      </w:r>
    </w:p>
    <w:p w14:paraId="04A5088E" w14:textId="77777777" w:rsidR="00AF284B" w:rsidRDefault="00AF284B" w:rsidP="00416DD3">
      <w:pPr>
        <w:ind w:left="1004" w:firstLine="436"/>
        <w:rPr>
          <w:b/>
        </w:rPr>
      </w:pPr>
      <w:r w:rsidRPr="00AF284B">
        <w:rPr>
          <w:b/>
        </w:rPr>
        <w:t>NA</w:t>
      </w:r>
    </w:p>
    <w:p w14:paraId="28D797CD"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71E76BA9"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A615A">
        <w:rPr>
          <w:szCs w:val="20"/>
        </w:rPr>
      </w:r>
      <w:r w:rsidR="00BA615A">
        <w:rPr>
          <w:szCs w:val="20"/>
        </w:rPr>
        <w:fldChar w:fldCharType="separate"/>
      </w:r>
      <w:r w:rsidRPr="000A5B32">
        <w:rPr>
          <w:szCs w:val="20"/>
        </w:rPr>
        <w:fldChar w:fldCharType="end"/>
      </w:r>
      <w:r w:rsidRPr="000A5B32">
        <w:rPr>
          <w:szCs w:val="20"/>
        </w:rPr>
        <w:t xml:space="preserve"> Yes</w:t>
      </w:r>
    </w:p>
    <w:p w14:paraId="561A2A94" w14:textId="77777777" w:rsid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BA615A">
        <w:rPr>
          <w:szCs w:val="20"/>
        </w:rPr>
      </w:r>
      <w:r w:rsidR="00BA615A">
        <w:rPr>
          <w:szCs w:val="20"/>
        </w:rPr>
        <w:fldChar w:fldCharType="separate"/>
      </w:r>
      <w:r w:rsidRPr="000A5B32">
        <w:rPr>
          <w:szCs w:val="20"/>
        </w:rPr>
        <w:fldChar w:fldCharType="end"/>
      </w:r>
      <w:r>
        <w:rPr>
          <w:szCs w:val="20"/>
        </w:rPr>
        <w:t xml:space="preserve"> No  </w:t>
      </w:r>
    </w:p>
    <w:p w14:paraId="08E987CD" w14:textId="77777777" w:rsidR="00AF284B" w:rsidRDefault="00AF284B" w:rsidP="00416DD3">
      <w:pPr>
        <w:ind w:left="720" w:firstLine="720"/>
        <w:rPr>
          <w:b/>
        </w:rPr>
      </w:pPr>
      <w:r w:rsidRPr="00AF284B">
        <w:rPr>
          <w:b/>
        </w:rPr>
        <w:t>NA</w:t>
      </w:r>
    </w:p>
    <w:p w14:paraId="44E05717"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020B8809" w14:textId="77777777" w:rsidR="00AF284B" w:rsidRPr="00AF284B" w:rsidRDefault="00AF284B" w:rsidP="00416DD3">
      <w:pPr>
        <w:ind w:left="1080" w:firstLine="360"/>
        <w:rPr>
          <w:b/>
        </w:rPr>
      </w:pPr>
      <w:r w:rsidRPr="00AF284B">
        <w:rPr>
          <w:b/>
        </w:rPr>
        <w:t>NA</w:t>
      </w:r>
    </w:p>
    <w:p w14:paraId="0BD2BA4D" w14:textId="77777777" w:rsidR="00AF284B" w:rsidRPr="009939DC" w:rsidRDefault="00AF284B" w:rsidP="00A6491A">
      <w:pPr>
        <w:ind w:left="284"/>
      </w:pPr>
    </w:p>
    <w:p w14:paraId="7B6D3AE4" w14:textId="77777777" w:rsidR="0084657B" w:rsidRPr="00CD797D" w:rsidRDefault="00A9062D" w:rsidP="00530204">
      <w:pPr>
        <w:pStyle w:val="Heading2"/>
      </w:pPr>
      <w:r w:rsidRPr="00CD797D">
        <w:t>P</w:t>
      </w:r>
      <w:r w:rsidR="0084657B" w:rsidRPr="00CD797D">
        <w:t xml:space="preserve">lease identify </w:t>
      </w:r>
      <w:r w:rsidR="00E8649B" w:rsidRPr="00CD797D">
        <w:t xml:space="preserve">any single </w:t>
      </w:r>
      <w:r w:rsidR="00016B6E" w:rsidRPr="00CD797D">
        <w:t>and / or multi-</w:t>
      </w:r>
      <w:r w:rsidR="00E8649B" w:rsidRPr="00CD797D">
        <w:t>use consumables</w:t>
      </w:r>
      <w:r w:rsidR="0084657B" w:rsidRPr="00CD797D">
        <w:t xml:space="preserve"> </w:t>
      </w:r>
      <w:r w:rsidR="00E8649B" w:rsidRPr="00CD797D">
        <w:t>delivered as part of the service?</w:t>
      </w:r>
    </w:p>
    <w:p w14:paraId="393A3B63" w14:textId="77777777" w:rsidR="005C4AF7" w:rsidRDefault="009939DC" w:rsidP="00A6491A">
      <w:pPr>
        <w:spacing w:before="0" w:after="0"/>
        <w:ind w:left="284"/>
      </w:pPr>
      <w:r>
        <w:t>Single use consumables</w:t>
      </w:r>
      <w:r w:rsidR="005C4AF7">
        <w:t xml:space="preserve"> (consumables per test)</w:t>
      </w:r>
      <w:r>
        <w:t>:</w:t>
      </w:r>
    </w:p>
    <w:p w14:paraId="42972F8D" w14:textId="77777777" w:rsidR="005C4AF7" w:rsidRPr="005C4AF7" w:rsidRDefault="005C4AF7" w:rsidP="00C93089">
      <w:pPr>
        <w:spacing w:before="0" w:after="0"/>
        <w:ind w:left="720"/>
      </w:pPr>
      <w:proofErr w:type="spellStart"/>
      <w:r w:rsidRPr="005C4AF7">
        <w:t>Prosigna</w:t>
      </w:r>
      <w:proofErr w:type="spellEnd"/>
      <w:r w:rsidRPr="005C4AF7">
        <w:t xml:space="preserve"> code set</w:t>
      </w:r>
    </w:p>
    <w:p w14:paraId="3D081A6D" w14:textId="77777777" w:rsidR="005C4AF7" w:rsidRPr="005C4AF7" w:rsidRDefault="005C4AF7" w:rsidP="00C93089">
      <w:pPr>
        <w:spacing w:before="0" w:after="0"/>
        <w:ind w:left="720"/>
      </w:pPr>
      <w:r w:rsidRPr="005C4AF7">
        <w:t>Preparation plates</w:t>
      </w:r>
    </w:p>
    <w:p w14:paraId="7AEA9824" w14:textId="77777777" w:rsidR="005C4AF7" w:rsidRPr="005C4AF7" w:rsidRDefault="005C4AF7" w:rsidP="00C93089">
      <w:pPr>
        <w:spacing w:before="0" w:after="0"/>
        <w:ind w:left="720"/>
      </w:pPr>
      <w:r w:rsidRPr="005C4AF7">
        <w:t>Cartridges</w:t>
      </w:r>
    </w:p>
    <w:p w14:paraId="14DBA766" w14:textId="77777777" w:rsidR="005C4AF7" w:rsidRPr="005C4AF7" w:rsidRDefault="005C4AF7" w:rsidP="00C93089">
      <w:pPr>
        <w:spacing w:before="0" w:after="0"/>
        <w:ind w:left="720"/>
      </w:pPr>
      <w:r w:rsidRPr="005C4AF7">
        <w:t>Preparation pack</w:t>
      </w:r>
    </w:p>
    <w:p w14:paraId="40594C19" w14:textId="77777777" w:rsidR="005C4AF7" w:rsidRDefault="005C4AF7" w:rsidP="00A6491A">
      <w:pPr>
        <w:spacing w:before="0" w:after="0"/>
        <w:ind w:left="284"/>
      </w:pPr>
    </w:p>
    <w:p w14:paraId="4B08119B" w14:textId="549B169E" w:rsidR="00F301F1" w:rsidRPr="00855944" w:rsidRDefault="009939DC" w:rsidP="00A6491A">
      <w:pPr>
        <w:spacing w:before="0" w:after="0"/>
        <w:ind w:left="284"/>
      </w:pPr>
      <w:r>
        <w:t>Multi-use consumables:</w:t>
      </w:r>
      <w:r w:rsidRPr="009939DC">
        <w:t xml:space="preserve"> </w:t>
      </w:r>
      <w:r w:rsidR="00C93089">
        <w:t>NA</w:t>
      </w:r>
      <w:r w:rsidR="00F301F1" w:rsidRPr="00855944">
        <w:br w:type="page"/>
      </w:r>
    </w:p>
    <w:p w14:paraId="0F98426D" w14:textId="77777777" w:rsidR="00226777" w:rsidRPr="00C776B1" w:rsidRDefault="00530204" w:rsidP="00B5731D">
      <w:pPr>
        <w:pStyle w:val="Heading1"/>
      </w:pPr>
      <w:r>
        <w:lastRenderedPageBreak/>
        <w:t>PART 3</w:t>
      </w:r>
      <w:r w:rsidR="00F93784">
        <w:t xml:space="preserve"> – </w:t>
      </w:r>
      <w:r w:rsidR="00226777" w:rsidRPr="00C776B1">
        <w:t>INFORMATION ABOUT REGULATORY REQUIREMENTS</w:t>
      </w:r>
    </w:p>
    <w:p w14:paraId="5F38FE47"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287FC9DA" w14:textId="77777777"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CE45F0">
        <w:rPr>
          <w:szCs w:val="20"/>
        </w:rPr>
        <w:t xml:space="preserve">Acquired genetic alteration </w:t>
      </w:r>
      <w:r w:rsidR="009714BE">
        <w:t>IVD</w:t>
      </w:r>
    </w:p>
    <w:p w14:paraId="496F84CA" w14:textId="01A69297" w:rsidR="00A26343" w:rsidRPr="00A26343" w:rsidRDefault="00A26343" w:rsidP="00A6491A">
      <w:pPr>
        <w:spacing w:before="0" w:after="0"/>
        <w:ind w:left="284"/>
        <w:rPr>
          <w:szCs w:val="20"/>
        </w:rPr>
      </w:pPr>
      <w:r w:rsidRPr="00A26343">
        <w:rPr>
          <w:szCs w:val="20"/>
        </w:rPr>
        <w:t>Manufacturer’s name</w:t>
      </w:r>
      <w:r>
        <w:rPr>
          <w:szCs w:val="20"/>
        </w:rPr>
        <w:t xml:space="preserve">: </w:t>
      </w:r>
      <w:proofErr w:type="spellStart"/>
      <w:r w:rsidR="00523CAA">
        <w:t>N</w:t>
      </w:r>
      <w:r w:rsidR="001C069D">
        <w:t>anoS</w:t>
      </w:r>
      <w:r w:rsidR="009714BE">
        <w:t>tring</w:t>
      </w:r>
      <w:proofErr w:type="spellEnd"/>
      <w:r w:rsidR="009714BE">
        <w:t xml:space="preserve"> Technologies, Inc.</w:t>
      </w:r>
    </w:p>
    <w:p w14:paraId="564615FE" w14:textId="77777777" w:rsidR="00A26343" w:rsidRPr="00A26343" w:rsidRDefault="00A26343" w:rsidP="00A6491A">
      <w:pPr>
        <w:spacing w:before="0" w:after="0"/>
        <w:ind w:left="284"/>
        <w:rPr>
          <w:szCs w:val="20"/>
        </w:rPr>
      </w:pPr>
      <w:r w:rsidRPr="00A26343">
        <w:rPr>
          <w:szCs w:val="20"/>
        </w:rPr>
        <w:t>Sponsor’s name</w:t>
      </w:r>
      <w:r>
        <w:rPr>
          <w:szCs w:val="20"/>
        </w:rPr>
        <w:t xml:space="preserve">: </w:t>
      </w:r>
      <w:r w:rsidR="009714BE">
        <w:t>Bio-Strategy Pty Ltd</w:t>
      </w:r>
    </w:p>
    <w:p w14:paraId="59C69E98"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33BF0795" w14:textId="77777777" w:rsidR="00615F42" w:rsidRPr="00615F42" w:rsidRDefault="009714BE"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A615A">
        <w:rPr>
          <w:szCs w:val="20"/>
        </w:rPr>
      </w:r>
      <w:r w:rsidR="00BA615A">
        <w:rPr>
          <w:szCs w:val="20"/>
        </w:rPr>
        <w:fldChar w:fldCharType="separate"/>
      </w:r>
      <w:r>
        <w:rPr>
          <w:szCs w:val="20"/>
        </w:rPr>
        <w:fldChar w:fldCharType="end"/>
      </w:r>
      <w:r w:rsidR="00615F42" w:rsidRPr="000A5B32">
        <w:rPr>
          <w:szCs w:val="20"/>
        </w:rPr>
        <w:t xml:space="preserve"> </w:t>
      </w:r>
      <w:r w:rsidR="00615F42" w:rsidRPr="00615F42">
        <w:rPr>
          <w:szCs w:val="20"/>
        </w:rPr>
        <w:t>Class III</w:t>
      </w:r>
    </w:p>
    <w:p w14:paraId="4292BB37"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A615A">
        <w:rPr>
          <w:szCs w:val="20"/>
        </w:rPr>
      </w:r>
      <w:r w:rsidR="00BA615A">
        <w:rPr>
          <w:szCs w:val="20"/>
        </w:rPr>
        <w:fldChar w:fldCharType="separate"/>
      </w:r>
      <w:r w:rsidRPr="000A5B32">
        <w:rPr>
          <w:szCs w:val="20"/>
        </w:rPr>
        <w:fldChar w:fldCharType="end"/>
      </w:r>
      <w:r w:rsidRPr="000A5B32">
        <w:rPr>
          <w:szCs w:val="20"/>
        </w:rPr>
        <w:t xml:space="preserve"> </w:t>
      </w:r>
      <w:r w:rsidRPr="00615F42">
        <w:rPr>
          <w:szCs w:val="20"/>
        </w:rPr>
        <w:t>AIMD</w:t>
      </w:r>
    </w:p>
    <w:p w14:paraId="12250FE4" w14:textId="77777777" w:rsidR="005E2CE3"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A615A">
        <w:rPr>
          <w:szCs w:val="20"/>
        </w:rPr>
      </w:r>
      <w:r w:rsidR="00BA615A">
        <w:rPr>
          <w:szCs w:val="20"/>
        </w:rPr>
        <w:fldChar w:fldCharType="separate"/>
      </w:r>
      <w:r w:rsidRPr="000A5B32">
        <w:rPr>
          <w:szCs w:val="20"/>
        </w:rPr>
        <w:fldChar w:fldCharType="end"/>
      </w:r>
      <w:r w:rsidRPr="000A5B32">
        <w:rPr>
          <w:szCs w:val="20"/>
        </w:rPr>
        <w:t xml:space="preserve"> </w:t>
      </w:r>
      <w:r w:rsidRPr="00615F42">
        <w:rPr>
          <w:szCs w:val="20"/>
        </w:rPr>
        <w:t>N/A</w:t>
      </w:r>
    </w:p>
    <w:p w14:paraId="42C40E94" w14:textId="77777777" w:rsidR="001C069D" w:rsidRPr="00154B00" w:rsidRDefault="001C069D" w:rsidP="00A6491A">
      <w:pPr>
        <w:spacing w:before="0" w:after="0"/>
        <w:ind w:left="284"/>
        <w:rPr>
          <w:szCs w:val="20"/>
        </w:rPr>
      </w:pPr>
    </w:p>
    <w:p w14:paraId="32DF4850"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3AE5FE87"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A615A">
        <w:rPr>
          <w:szCs w:val="20"/>
        </w:rPr>
      </w:r>
      <w:r w:rsidR="00BA615A">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2462563D" w14:textId="77777777" w:rsidR="003421AE" w:rsidRPr="00615F42" w:rsidRDefault="009714BE"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A615A">
        <w:rPr>
          <w:szCs w:val="20"/>
        </w:rPr>
      </w:r>
      <w:r w:rsidR="00BA615A">
        <w:rPr>
          <w:szCs w:val="20"/>
        </w:rPr>
        <w:fldChar w:fldCharType="separate"/>
      </w:r>
      <w:r>
        <w:rPr>
          <w:szCs w:val="20"/>
        </w:rPr>
        <w:fldChar w:fldCharType="end"/>
      </w:r>
      <w:r w:rsidR="00615F42">
        <w:rPr>
          <w:szCs w:val="20"/>
        </w:rPr>
        <w:t xml:space="preserve"> No</w:t>
      </w:r>
    </w:p>
    <w:p w14:paraId="6B9329CA"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07B71D1A" w14:textId="77777777" w:rsidR="0043654D" w:rsidRDefault="009714BE"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A615A">
        <w:rPr>
          <w:szCs w:val="20"/>
        </w:rPr>
      </w:r>
      <w:r w:rsidR="00BA615A">
        <w:rPr>
          <w:szCs w:val="20"/>
        </w:rPr>
        <w:fldChar w:fldCharType="separate"/>
      </w:r>
      <w:r>
        <w:rPr>
          <w:szCs w:val="20"/>
        </w:rPr>
        <w:fldChar w:fldCharType="end"/>
      </w:r>
      <w:r w:rsidR="0043654D">
        <w:rPr>
          <w:szCs w:val="20"/>
        </w:rPr>
        <w:t xml:space="preserve"> Yes (if yes, please provide details below)</w:t>
      </w:r>
    </w:p>
    <w:p w14:paraId="16E42585"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A615A">
        <w:rPr>
          <w:szCs w:val="20"/>
        </w:rPr>
      </w:r>
      <w:r w:rsidR="00BA615A">
        <w:rPr>
          <w:szCs w:val="20"/>
        </w:rPr>
        <w:fldChar w:fldCharType="separate"/>
      </w:r>
      <w:r w:rsidRPr="000A5B32">
        <w:rPr>
          <w:szCs w:val="20"/>
        </w:rPr>
        <w:fldChar w:fldCharType="end"/>
      </w:r>
      <w:r>
        <w:rPr>
          <w:szCs w:val="20"/>
        </w:rPr>
        <w:t xml:space="preserve"> No</w:t>
      </w:r>
    </w:p>
    <w:p w14:paraId="49802633" w14:textId="77777777" w:rsidR="0043654D" w:rsidRPr="00615F42" w:rsidRDefault="0043654D" w:rsidP="0043654D">
      <w:pPr>
        <w:spacing w:before="0" w:after="0"/>
        <w:ind w:left="284"/>
        <w:rPr>
          <w:b/>
          <w:szCs w:val="20"/>
        </w:rPr>
      </w:pPr>
    </w:p>
    <w:p w14:paraId="544645EC" w14:textId="77777777"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r w:rsidR="00DD31B5">
        <w:rPr>
          <w:szCs w:val="20"/>
        </w:rPr>
        <w:t xml:space="preserve"> </w:t>
      </w:r>
      <w:r w:rsidR="009714BE">
        <w:t>226487</w:t>
      </w:r>
    </w:p>
    <w:p w14:paraId="26F54EF2" w14:textId="77777777" w:rsidR="0043654D" w:rsidRPr="0043654D" w:rsidRDefault="0043654D" w:rsidP="0043654D">
      <w:pPr>
        <w:spacing w:before="0" w:after="0"/>
        <w:ind w:left="284"/>
        <w:rPr>
          <w:szCs w:val="20"/>
        </w:rPr>
      </w:pPr>
      <w:r w:rsidRPr="0043654D">
        <w:rPr>
          <w:szCs w:val="20"/>
        </w:rPr>
        <w:t>TGA approved indication(s), if applicable:</w:t>
      </w:r>
      <w:r>
        <w:rPr>
          <w:szCs w:val="20"/>
        </w:rPr>
        <w:t xml:space="preserve">  </w:t>
      </w:r>
      <w:r w:rsidR="00DD31B5">
        <w:t>NA</w:t>
      </w:r>
    </w:p>
    <w:p w14:paraId="2BE25615" w14:textId="77777777" w:rsidR="00F301F1" w:rsidRDefault="0043654D" w:rsidP="0043654D">
      <w:pPr>
        <w:spacing w:before="0" w:after="0"/>
        <w:ind w:left="284"/>
      </w:pPr>
      <w:r w:rsidRPr="0043654D">
        <w:rPr>
          <w:szCs w:val="20"/>
        </w:rPr>
        <w:t>TGA approved purpose(s), if applicable:</w:t>
      </w:r>
      <w:r>
        <w:rPr>
          <w:szCs w:val="20"/>
        </w:rPr>
        <w:t xml:space="preserve">  </w:t>
      </w:r>
      <w:r w:rsidR="00DD31B5">
        <w:t>NA</w:t>
      </w:r>
    </w:p>
    <w:p w14:paraId="767014D6" w14:textId="77777777" w:rsidR="001C069D" w:rsidRPr="0043654D" w:rsidRDefault="001C069D" w:rsidP="0043654D">
      <w:pPr>
        <w:spacing w:before="0" w:after="0"/>
        <w:ind w:left="284"/>
        <w:rPr>
          <w:szCs w:val="20"/>
        </w:rPr>
      </w:pPr>
    </w:p>
    <w:p w14:paraId="250D3800" w14:textId="77777777" w:rsidR="00C0796F" w:rsidRDefault="00C0796F" w:rsidP="00530204">
      <w:pPr>
        <w:pStyle w:val="Heading2"/>
      </w:pPr>
      <w:r w:rsidRPr="0043654D">
        <w:t>If the therapeutic good has not been listed, registered or included in the ARTG, is the therapeutic good in the process of being considered for inclusion by the TGA?</w:t>
      </w:r>
    </w:p>
    <w:p w14:paraId="760F3612"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A615A">
        <w:rPr>
          <w:szCs w:val="20"/>
        </w:rPr>
      </w:r>
      <w:r w:rsidR="00BA615A">
        <w:rPr>
          <w:szCs w:val="20"/>
        </w:rPr>
        <w:fldChar w:fldCharType="separate"/>
      </w:r>
      <w:r w:rsidRPr="000A5B32">
        <w:rPr>
          <w:szCs w:val="20"/>
        </w:rPr>
        <w:fldChar w:fldCharType="end"/>
      </w:r>
      <w:r>
        <w:rPr>
          <w:szCs w:val="20"/>
        </w:rPr>
        <w:t xml:space="preserve"> Yes (please provide details below)</w:t>
      </w:r>
    </w:p>
    <w:p w14:paraId="409A5024"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A615A">
        <w:rPr>
          <w:szCs w:val="20"/>
        </w:rPr>
      </w:r>
      <w:r w:rsidR="00BA615A">
        <w:rPr>
          <w:szCs w:val="20"/>
        </w:rPr>
        <w:fldChar w:fldCharType="separate"/>
      </w:r>
      <w:r w:rsidRPr="000A5B32">
        <w:rPr>
          <w:szCs w:val="20"/>
        </w:rPr>
        <w:fldChar w:fldCharType="end"/>
      </w:r>
      <w:r>
        <w:rPr>
          <w:szCs w:val="20"/>
        </w:rPr>
        <w:t xml:space="preserve"> No</w:t>
      </w:r>
    </w:p>
    <w:p w14:paraId="7B5840F8" w14:textId="77777777" w:rsidR="001C069D" w:rsidRDefault="001C069D" w:rsidP="001C069D">
      <w:pPr>
        <w:spacing w:before="0" w:after="0"/>
        <w:ind w:firstLine="720"/>
        <w:rPr>
          <w:b/>
          <w:szCs w:val="20"/>
        </w:rPr>
      </w:pPr>
      <w:r w:rsidRPr="001C069D">
        <w:rPr>
          <w:b/>
          <w:szCs w:val="20"/>
        </w:rPr>
        <w:t>NA</w:t>
      </w:r>
    </w:p>
    <w:p w14:paraId="556C01EA" w14:textId="77777777" w:rsidR="001C069D" w:rsidRDefault="001C069D" w:rsidP="0047581D">
      <w:pPr>
        <w:spacing w:before="0" w:after="0"/>
        <w:rPr>
          <w:szCs w:val="20"/>
        </w:rPr>
      </w:pPr>
    </w:p>
    <w:p w14:paraId="7E2BC8CC" w14:textId="14AA5248" w:rsidR="0047581D" w:rsidRPr="0047581D" w:rsidRDefault="0047581D" w:rsidP="0047581D">
      <w:pPr>
        <w:spacing w:before="0" w:after="0"/>
        <w:rPr>
          <w:szCs w:val="20"/>
        </w:rPr>
      </w:pPr>
      <w:r w:rsidRPr="0047581D">
        <w:rPr>
          <w:szCs w:val="20"/>
        </w:rPr>
        <w:t xml:space="preserve">Date of submission to TGA:  </w:t>
      </w:r>
      <w:r w:rsidR="001C069D">
        <w:t>NA</w:t>
      </w:r>
    </w:p>
    <w:p w14:paraId="70C327BA" w14:textId="30BE4B6C" w:rsidR="0047581D" w:rsidRPr="0047581D" w:rsidRDefault="0047581D" w:rsidP="0047581D">
      <w:pPr>
        <w:spacing w:before="0" w:after="0"/>
        <w:rPr>
          <w:szCs w:val="20"/>
        </w:rPr>
      </w:pPr>
      <w:r w:rsidRPr="0047581D">
        <w:rPr>
          <w:szCs w:val="20"/>
        </w:rPr>
        <w:t>Estimated date by which TGA approval can be expected</w:t>
      </w:r>
      <w:r>
        <w:rPr>
          <w:szCs w:val="20"/>
        </w:rPr>
        <w:t xml:space="preserve">:  </w:t>
      </w:r>
      <w:r w:rsidR="001C069D">
        <w:t>NA</w:t>
      </w:r>
    </w:p>
    <w:p w14:paraId="09D800E3" w14:textId="38D3FD75" w:rsidR="0047581D" w:rsidRPr="0047581D" w:rsidRDefault="0047581D" w:rsidP="0047581D">
      <w:pPr>
        <w:spacing w:before="0" w:after="0"/>
        <w:rPr>
          <w:szCs w:val="20"/>
        </w:rPr>
      </w:pPr>
      <w:r w:rsidRPr="0047581D">
        <w:rPr>
          <w:szCs w:val="20"/>
        </w:rPr>
        <w:t>TGA Application ID</w:t>
      </w:r>
      <w:r>
        <w:rPr>
          <w:szCs w:val="20"/>
        </w:rPr>
        <w:t xml:space="preserve">:  </w:t>
      </w:r>
      <w:r w:rsidR="001C069D">
        <w:t>NA</w:t>
      </w:r>
    </w:p>
    <w:p w14:paraId="3EA6B0BF" w14:textId="2AD73D47" w:rsidR="0047581D" w:rsidRPr="0047581D" w:rsidRDefault="0047581D" w:rsidP="0047581D">
      <w:pPr>
        <w:spacing w:before="0" w:after="0"/>
        <w:rPr>
          <w:szCs w:val="20"/>
        </w:rPr>
      </w:pPr>
      <w:r w:rsidRPr="0047581D">
        <w:rPr>
          <w:szCs w:val="20"/>
        </w:rPr>
        <w:t>TGA approved indication(s), if applicable</w:t>
      </w:r>
      <w:r>
        <w:rPr>
          <w:szCs w:val="20"/>
        </w:rPr>
        <w:t xml:space="preserve">:  </w:t>
      </w:r>
      <w:r w:rsidR="001C069D">
        <w:t>NA</w:t>
      </w:r>
    </w:p>
    <w:p w14:paraId="1BD776A4" w14:textId="356D7896" w:rsidR="003433D1" w:rsidRDefault="0047581D" w:rsidP="0047581D">
      <w:pPr>
        <w:spacing w:before="0" w:after="0"/>
      </w:pPr>
      <w:r w:rsidRPr="0047581D">
        <w:rPr>
          <w:szCs w:val="20"/>
        </w:rPr>
        <w:t>TGA approved purpose(s), if applicable</w:t>
      </w:r>
      <w:r>
        <w:rPr>
          <w:szCs w:val="20"/>
        </w:rPr>
        <w:t xml:space="preserve">:  </w:t>
      </w:r>
      <w:r w:rsidR="001C069D">
        <w:t>NA</w:t>
      </w:r>
    </w:p>
    <w:p w14:paraId="44DC441D" w14:textId="77777777" w:rsidR="001C069D" w:rsidRDefault="001C069D" w:rsidP="0047581D">
      <w:pPr>
        <w:spacing w:before="0" w:after="0"/>
        <w:rPr>
          <w:szCs w:val="20"/>
        </w:rPr>
      </w:pPr>
    </w:p>
    <w:p w14:paraId="33EF3098" w14:textId="77777777" w:rsidR="00C0796F"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6CC1AE07"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A615A">
        <w:rPr>
          <w:szCs w:val="20"/>
        </w:rPr>
      </w:r>
      <w:r w:rsidR="00BA615A">
        <w:rPr>
          <w:szCs w:val="20"/>
        </w:rPr>
        <w:fldChar w:fldCharType="separate"/>
      </w:r>
      <w:r w:rsidRPr="000A5B32">
        <w:rPr>
          <w:szCs w:val="20"/>
        </w:rPr>
        <w:fldChar w:fldCharType="end"/>
      </w:r>
      <w:r>
        <w:rPr>
          <w:szCs w:val="20"/>
        </w:rPr>
        <w:t xml:space="preserve"> Yes (please provide details below)</w:t>
      </w:r>
    </w:p>
    <w:p w14:paraId="5D3E242C"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A615A">
        <w:rPr>
          <w:szCs w:val="20"/>
        </w:rPr>
      </w:r>
      <w:r w:rsidR="00BA615A">
        <w:rPr>
          <w:szCs w:val="20"/>
        </w:rPr>
        <w:fldChar w:fldCharType="separate"/>
      </w:r>
      <w:r w:rsidRPr="000A5B32">
        <w:rPr>
          <w:szCs w:val="20"/>
        </w:rPr>
        <w:fldChar w:fldCharType="end"/>
      </w:r>
      <w:r>
        <w:rPr>
          <w:szCs w:val="20"/>
        </w:rPr>
        <w:t xml:space="preserve"> No</w:t>
      </w:r>
    </w:p>
    <w:p w14:paraId="7EEFED35" w14:textId="15C70876" w:rsidR="001C069D" w:rsidRDefault="001C069D" w:rsidP="001C069D">
      <w:pPr>
        <w:spacing w:before="0" w:after="0"/>
        <w:ind w:firstLine="720"/>
        <w:rPr>
          <w:b/>
          <w:szCs w:val="20"/>
        </w:rPr>
      </w:pPr>
      <w:r w:rsidRPr="001C069D">
        <w:rPr>
          <w:b/>
          <w:szCs w:val="20"/>
        </w:rPr>
        <w:t>NA</w:t>
      </w:r>
      <w:r>
        <w:rPr>
          <w:b/>
          <w:szCs w:val="20"/>
        </w:rPr>
        <w:t xml:space="preserve"> – see 15(b) above.</w:t>
      </w:r>
    </w:p>
    <w:p w14:paraId="2B924AFF" w14:textId="77777777" w:rsidR="001C069D" w:rsidRDefault="001C069D" w:rsidP="00971EDB">
      <w:pPr>
        <w:spacing w:before="0" w:after="0"/>
        <w:rPr>
          <w:szCs w:val="20"/>
        </w:rPr>
      </w:pPr>
    </w:p>
    <w:p w14:paraId="4A491452" w14:textId="4590289C" w:rsidR="00971EDB" w:rsidRPr="00971EDB" w:rsidRDefault="00971EDB" w:rsidP="00971EDB">
      <w:pPr>
        <w:spacing w:before="0" w:after="0"/>
        <w:rPr>
          <w:szCs w:val="20"/>
        </w:rPr>
      </w:pPr>
      <w:r w:rsidRPr="00971EDB">
        <w:rPr>
          <w:szCs w:val="20"/>
        </w:rPr>
        <w:t>Estimated date of submission to TGA</w:t>
      </w:r>
      <w:r>
        <w:rPr>
          <w:szCs w:val="20"/>
        </w:rPr>
        <w:t xml:space="preserve">:  </w:t>
      </w:r>
      <w:r w:rsidR="001C069D">
        <w:t>NA</w:t>
      </w:r>
    </w:p>
    <w:p w14:paraId="709D587D" w14:textId="2F950AAC" w:rsidR="00971EDB" w:rsidRPr="00971EDB" w:rsidRDefault="00971EDB" w:rsidP="00971EDB">
      <w:pPr>
        <w:spacing w:before="0" w:after="0"/>
        <w:rPr>
          <w:szCs w:val="20"/>
        </w:rPr>
      </w:pPr>
      <w:r w:rsidRPr="00971EDB">
        <w:rPr>
          <w:szCs w:val="20"/>
        </w:rPr>
        <w:t>Proposed indication(s), if applicable</w:t>
      </w:r>
      <w:r>
        <w:rPr>
          <w:szCs w:val="20"/>
        </w:rPr>
        <w:t xml:space="preserve">:  </w:t>
      </w:r>
      <w:r w:rsidR="001C069D">
        <w:t>NA</w:t>
      </w:r>
    </w:p>
    <w:p w14:paraId="697C395E" w14:textId="593C47AC" w:rsidR="00F83A9D" w:rsidRPr="00154B00" w:rsidRDefault="00971EDB" w:rsidP="001C069D">
      <w:pPr>
        <w:spacing w:before="0" w:after="0"/>
        <w:rPr>
          <w:szCs w:val="20"/>
        </w:rPr>
      </w:pPr>
      <w:r w:rsidRPr="00971EDB">
        <w:rPr>
          <w:szCs w:val="20"/>
        </w:rPr>
        <w:t>Proposed purpose(s), if applicable</w:t>
      </w:r>
      <w:r>
        <w:rPr>
          <w:szCs w:val="20"/>
        </w:rPr>
        <w:t xml:space="preserve">:  </w:t>
      </w:r>
      <w:r w:rsidR="001C069D">
        <w:t>NA</w:t>
      </w:r>
    </w:p>
    <w:p w14:paraId="5DB1C0C9" w14:textId="77777777" w:rsidR="00DD308E" w:rsidRDefault="00DD308E">
      <w:pPr>
        <w:rPr>
          <w:b/>
          <w:sz w:val="32"/>
          <w:szCs w:val="32"/>
        </w:rPr>
        <w:sectPr w:rsidR="00DD308E" w:rsidSect="00991EE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pPr>
    </w:p>
    <w:p w14:paraId="073DBF9B" w14:textId="77777777" w:rsidR="00DD308E" w:rsidRPr="00C776B1" w:rsidRDefault="00B17CBE" w:rsidP="00F222BE">
      <w:pPr>
        <w:pStyle w:val="Heading1"/>
      </w:pPr>
      <w:r>
        <w:lastRenderedPageBreak/>
        <w:t>PART 4</w:t>
      </w:r>
      <w:r w:rsidR="00DD308E">
        <w:t xml:space="preserve"> – SUMMARY</w:t>
      </w:r>
      <w:r w:rsidR="00DD308E" w:rsidRPr="00C776B1">
        <w:t xml:space="preserve"> OF EVIDENCE</w:t>
      </w:r>
    </w:p>
    <w:p w14:paraId="66EC55F4" w14:textId="77777777" w:rsidR="00DD308E"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 xml:space="preserve">Please do not attach full text </w:t>
      </w:r>
      <w:proofErr w:type="gramStart"/>
      <w:r w:rsidRPr="00832B31">
        <w:rPr>
          <w:i/>
        </w:rPr>
        <w:t>articles,</w:t>
      </w:r>
      <w:proofErr w:type="gramEnd"/>
      <w:r w:rsidRPr="00832B31">
        <w:rPr>
          <w:i/>
        </w:rPr>
        <w:t xml:space="preserve"> this is just intended to be a summary.</w:t>
      </w:r>
    </w:p>
    <w:p w14:paraId="13AA57C5" w14:textId="77777777" w:rsidR="009A759B" w:rsidRPr="00125891" w:rsidRDefault="009A759B" w:rsidP="00477651">
      <w:pPr>
        <w:pStyle w:val="Caption"/>
        <w:spacing w:after="120"/>
        <w:rPr>
          <w:sz w:val="20"/>
          <w:szCs w:val="20"/>
        </w:rPr>
      </w:pPr>
      <w:r w:rsidRPr="00125891">
        <w:rPr>
          <w:sz w:val="20"/>
          <w:szCs w:val="20"/>
        </w:rPr>
        <w:t xml:space="preserve">Table </w:t>
      </w:r>
      <w:r w:rsidRPr="00125891">
        <w:rPr>
          <w:sz w:val="20"/>
          <w:szCs w:val="20"/>
        </w:rPr>
        <w:fldChar w:fldCharType="begin"/>
      </w:r>
      <w:r w:rsidRPr="00125891">
        <w:rPr>
          <w:sz w:val="20"/>
          <w:szCs w:val="20"/>
        </w:rPr>
        <w:instrText xml:space="preserve"> SEQ Table \* ARABIC </w:instrText>
      </w:r>
      <w:r w:rsidRPr="00125891">
        <w:rPr>
          <w:sz w:val="20"/>
          <w:szCs w:val="20"/>
        </w:rPr>
        <w:fldChar w:fldCharType="separate"/>
      </w:r>
      <w:r w:rsidR="003E6138">
        <w:rPr>
          <w:noProof/>
          <w:sz w:val="20"/>
          <w:szCs w:val="20"/>
        </w:rPr>
        <w:t>1</w:t>
      </w:r>
      <w:r w:rsidRPr="00125891">
        <w:rPr>
          <w:sz w:val="20"/>
          <w:szCs w:val="20"/>
        </w:rPr>
        <w:fldChar w:fldCharType="end"/>
      </w:r>
      <w:r w:rsidRPr="00125891">
        <w:rPr>
          <w:sz w:val="20"/>
          <w:szCs w:val="20"/>
        </w:rPr>
        <w:tab/>
        <w:t>Key journal articles relevant to the proposed service</w:t>
      </w:r>
    </w:p>
    <w:tbl>
      <w:tblPr>
        <w:tblStyle w:val="TableGrid"/>
        <w:tblW w:w="5080" w:type="pct"/>
        <w:tblLayout w:type="fixed"/>
        <w:tblLook w:val="04A0" w:firstRow="1" w:lastRow="0" w:firstColumn="1" w:lastColumn="0" w:noHBand="0" w:noVBand="1"/>
        <w:tblCaption w:val="Summary of Evidence - Published"/>
      </w:tblPr>
      <w:tblGrid>
        <w:gridCol w:w="430"/>
        <w:gridCol w:w="1440"/>
        <w:gridCol w:w="3171"/>
        <w:gridCol w:w="5616"/>
        <w:gridCol w:w="2160"/>
        <w:gridCol w:w="1584"/>
      </w:tblGrid>
      <w:tr w:rsidR="00FA232F" w:rsidRPr="001714DC" w14:paraId="0ABE1AE3" w14:textId="77777777" w:rsidTr="001C069D">
        <w:trPr>
          <w:cantSplit/>
          <w:tblHeader/>
        </w:trPr>
        <w:tc>
          <w:tcPr>
            <w:tcW w:w="149" w:type="pct"/>
          </w:tcPr>
          <w:p w14:paraId="08F5EA26" w14:textId="77777777" w:rsidR="00DD308E" w:rsidRPr="001714DC" w:rsidRDefault="00DD308E" w:rsidP="00855944">
            <w:pPr>
              <w:pStyle w:val="TableHEADER"/>
              <w:rPr>
                <w:rFonts w:asciiTheme="minorHAnsi" w:hAnsiTheme="minorHAnsi"/>
              </w:rPr>
            </w:pPr>
          </w:p>
        </w:tc>
        <w:tc>
          <w:tcPr>
            <w:tcW w:w="500" w:type="pct"/>
          </w:tcPr>
          <w:p w14:paraId="5D247584" w14:textId="77777777" w:rsidR="00DD308E" w:rsidRPr="001714DC" w:rsidRDefault="00DD308E" w:rsidP="00855944">
            <w:pPr>
              <w:pStyle w:val="TableHEADER"/>
              <w:rPr>
                <w:rFonts w:asciiTheme="minorHAnsi" w:hAnsiTheme="minorHAnsi"/>
              </w:rPr>
            </w:pPr>
            <w:r w:rsidRPr="001714DC">
              <w:rPr>
                <w:rFonts w:asciiTheme="minorHAnsi" w:hAnsiTheme="minorHAnsi"/>
              </w:rPr>
              <w:t>Type of study design*</w:t>
            </w:r>
          </w:p>
        </w:tc>
        <w:tc>
          <w:tcPr>
            <w:tcW w:w="1101" w:type="pct"/>
          </w:tcPr>
          <w:p w14:paraId="5ABD2E41" w14:textId="77777777" w:rsidR="00DD308E" w:rsidRPr="001714DC" w:rsidRDefault="00DD308E" w:rsidP="00855944">
            <w:pPr>
              <w:pStyle w:val="TableHEADER"/>
              <w:rPr>
                <w:rFonts w:asciiTheme="minorHAnsi" w:hAnsiTheme="minorHAnsi"/>
              </w:rPr>
            </w:pPr>
            <w:r w:rsidRPr="001714DC">
              <w:rPr>
                <w:rFonts w:asciiTheme="minorHAnsi" w:hAnsiTheme="minorHAnsi"/>
              </w:rPr>
              <w:t>Title of journal article  or research project (including any trial identifier or study lead if relevant)</w:t>
            </w:r>
          </w:p>
        </w:tc>
        <w:tc>
          <w:tcPr>
            <w:tcW w:w="1950" w:type="pct"/>
          </w:tcPr>
          <w:p w14:paraId="26A463A2" w14:textId="77777777" w:rsidR="00DD308E" w:rsidRPr="001714DC" w:rsidRDefault="00DD308E" w:rsidP="00855944">
            <w:pPr>
              <w:pStyle w:val="TableHEADER"/>
              <w:rPr>
                <w:rFonts w:asciiTheme="minorHAnsi" w:hAnsiTheme="minorHAnsi"/>
              </w:rPr>
            </w:pPr>
            <w:r w:rsidRPr="001714DC">
              <w:rPr>
                <w:rFonts w:asciiTheme="minorHAnsi" w:hAnsiTheme="minorHAnsi"/>
              </w:rPr>
              <w:t>Short description of research  (max 50 words)**</w:t>
            </w:r>
          </w:p>
        </w:tc>
        <w:tc>
          <w:tcPr>
            <w:tcW w:w="750" w:type="pct"/>
          </w:tcPr>
          <w:p w14:paraId="0B8F0689" w14:textId="77777777" w:rsidR="00DD308E" w:rsidRPr="001714DC" w:rsidRDefault="00DD308E" w:rsidP="00855944">
            <w:pPr>
              <w:pStyle w:val="TableHEADER"/>
              <w:rPr>
                <w:rFonts w:asciiTheme="minorHAnsi" w:hAnsiTheme="minorHAnsi"/>
              </w:rPr>
            </w:pPr>
            <w:r w:rsidRPr="001714DC">
              <w:rPr>
                <w:rFonts w:asciiTheme="minorHAnsi" w:hAnsiTheme="minorHAnsi"/>
              </w:rPr>
              <w:t>Website link to journal article or research (if available)</w:t>
            </w:r>
          </w:p>
        </w:tc>
        <w:tc>
          <w:tcPr>
            <w:tcW w:w="551" w:type="pct"/>
          </w:tcPr>
          <w:p w14:paraId="08FA7098" w14:textId="77777777" w:rsidR="00DD308E" w:rsidRPr="001714DC" w:rsidRDefault="00DD308E" w:rsidP="00855944">
            <w:pPr>
              <w:pStyle w:val="TableHEADER"/>
              <w:rPr>
                <w:rFonts w:asciiTheme="minorHAnsi" w:hAnsiTheme="minorHAnsi"/>
              </w:rPr>
            </w:pPr>
            <w:r w:rsidRPr="001714DC">
              <w:rPr>
                <w:rFonts w:asciiTheme="minorHAnsi" w:hAnsiTheme="minorHAnsi"/>
              </w:rPr>
              <w:t>Date of publication***</w:t>
            </w:r>
          </w:p>
        </w:tc>
      </w:tr>
      <w:tr w:rsidR="00FA232F" w:rsidRPr="001714DC" w14:paraId="4AE3A952" w14:textId="77777777" w:rsidTr="001C069D">
        <w:trPr>
          <w:cantSplit/>
          <w:trHeight w:val="2131"/>
        </w:trPr>
        <w:tc>
          <w:tcPr>
            <w:tcW w:w="149" w:type="pct"/>
          </w:tcPr>
          <w:p w14:paraId="6E0F064A" w14:textId="46579A52" w:rsidR="00DD308E" w:rsidRPr="001714DC" w:rsidRDefault="00ED07A0" w:rsidP="00DD308E">
            <w:pPr>
              <w:rPr>
                <w:szCs w:val="20"/>
              </w:rPr>
            </w:pPr>
            <w:r>
              <w:rPr>
                <w:szCs w:val="20"/>
              </w:rPr>
              <w:t>1</w:t>
            </w:r>
            <w:r w:rsidR="00DD308E" w:rsidRPr="001714DC">
              <w:rPr>
                <w:szCs w:val="20"/>
              </w:rPr>
              <w:t>.</w:t>
            </w:r>
          </w:p>
        </w:tc>
        <w:tc>
          <w:tcPr>
            <w:tcW w:w="500" w:type="pct"/>
          </w:tcPr>
          <w:p w14:paraId="51714529" w14:textId="7A2F7F39" w:rsidR="00DD308E" w:rsidRPr="001714DC" w:rsidRDefault="009B21F1" w:rsidP="00DD308E">
            <w:pPr>
              <w:rPr>
                <w:szCs w:val="20"/>
              </w:rPr>
            </w:pPr>
            <w:r>
              <w:rPr>
                <w:szCs w:val="20"/>
              </w:rPr>
              <w:t>Retrospective cohort study</w:t>
            </w:r>
          </w:p>
          <w:p w14:paraId="01770E8A" w14:textId="694108F7" w:rsidR="00C95A99" w:rsidRPr="001714DC" w:rsidRDefault="009B21F1" w:rsidP="00DD308E">
            <w:pPr>
              <w:rPr>
                <w:b/>
                <w:szCs w:val="20"/>
              </w:rPr>
            </w:pPr>
            <w:r>
              <w:rPr>
                <w:szCs w:val="20"/>
              </w:rPr>
              <w:t>Prognostic level III-3</w:t>
            </w:r>
          </w:p>
        </w:tc>
        <w:tc>
          <w:tcPr>
            <w:tcW w:w="1101" w:type="pct"/>
          </w:tcPr>
          <w:p w14:paraId="4F75730A" w14:textId="77777777" w:rsidR="00DD308E" w:rsidRDefault="00B35E5F" w:rsidP="000D4538">
            <w:pPr>
              <w:spacing w:after="60"/>
              <w:rPr>
                <w:rFonts w:cs="Segoe UI"/>
                <w:szCs w:val="20"/>
              </w:rPr>
            </w:pPr>
            <w:r w:rsidRPr="001714DC">
              <w:rPr>
                <w:rFonts w:cs="Segoe UI"/>
                <w:szCs w:val="20"/>
              </w:rPr>
              <w:t>Supervised risk predictor of breast can</w:t>
            </w:r>
            <w:r w:rsidR="000D4538">
              <w:rPr>
                <w:rFonts w:cs="Segoe UI"/>
                <w:szCs w:val="20"/>
              </w:rPr>
              <w:t>cer based on intrinsic subtypes</w:t>
            </w:r>
          </w:p>
          <w:p w14:paraId="67CB153B" w14:textId="77777777" w:rsidR="000D4538" w:rsidRPr="001714DC" w:rsidRDefault="000D4538" w:rsidP="00DD308E">
            <w:pPr>
              <w:rPr>
                <w:b/>
                <w:szCs w:val="20"/>
              </w:rPr>
            </w:pPr>
            <w:r>
              <w:rPr>
                <w:rFonts w:cs="Segoe UI"/>
                <w:szCs w:val="20"/>
              </w:rPr>
              <w:t>Parker et al</w:t>
            </w:r>
          </w:p>
        </w:tc>
        <w:tc>
          <w:tcPr>
            <w:tcW w:w="1950" w:type="pct"/>
          </w:tcPr>
          <w:p w14:paraId="74FA727D" w14:textId="77777777" w:rsidR="00F7127E" w:rsidRDefault="00F7127E" w:rsidP="00F7127E">
            <w:pPr>
              <w:rPr>
                <w:szCs w:val="20"/>
              </w:rPr>
            </w:pPr>
            <w:r>
              <w:rPr>
                <w:szCs w:val="20"/>
              </w:rPr>
              <w:t>Population: frozen and formalin fixed tissue samples from a number of different breast cancer cohorts</w:t>
            </w:r>
            <w:r w:rsidR="0069492A">
              <w:rPr>
                <w:szCs w:val="20"/>
              </w:rPr>
              <w:t xml:space="preserve"> (HER2 +</w:t>
            </w:r>
            <w:proofErr w:type="spellStart"/>
            <w:r w:rsidR="0069492A">
              <w:rPr>
                <w:szCs w:val="20"/>
              </w:rPr>
              <w:t>ve</w:t>
            </w:r>
            <w:proofErr w:type="spellEnd"/>
            <w:r w:rsidR="0069492A">
              <w:rPr>
                <w:szCs w:val="20"/>
              </w:rPr>
              <w:t xml:space="preserve"> or –</w:t>
            </w:r>
            <w:proofErr w:type="spellStart"/>
            <w:r w:rsidR="0069492A">
              <w:rPr>
                <w:szCs w:val="20"/>
              </w:rPr>
              <w:t>ve</w:t>
            </w:r>
            <w:proofErr w:type="spellEnd"/>
            <w:r w:rsidR="0069492A">
              <w:rPr>
                <w:szCs w:val="20"/>
              </w:rPr>
              <w:t>, ER or PR +</w:t>
            </w:r>
            <w:proofErr w:type="spellStart"/>
            <w:r w:rsidR="0069492A">
              <w:rPr>
                <w:szCs w:val="20"/>
              </w:rPr>
              <w:t>ve</w:t>
            </w:r>
            <w:proofErr w:type="spellEnd"/>
            <w:r w:rsidR="0069492A">
              <w:rPr>
                <w:szCs w:val="20"/>
              </w:rPr>
              <w:t xml:space="preserve"> or –</w:t>
            </w:r>
            <w:proofErr w:type="spellStart"/>
            <w:r w:rsidR="0069492A">
              <w:rPr>
                <w:szCs w:val="20"/>
              </w:rPr>
              <w:t>ve</w:t>
            </w:r>
            <w:proofErr w:type="spellEnd"/>
            <w:r w:rsidR="0069492A">
              <w:rPr>
                <w:szCs w:val="20"/>
              </w:rPr>
              <w:t>, Node +</w:t>
            </w:r>
            <w:proofErr w:type="spellStart"/>
            <w:r w:rsidR="0069492A">
              <w:rPr>
                <w:szCs w:val="20"/>
              </w:rPr>
              <w:t>ve</w:t>
            </w:r>
            <w:proofErr w:type="spellEnd"/>
            <w:r w:rsidR="0069492A">
              <w:rPr>
                <w:szCs w:val="20"/>
              </w:rPr>
              <w:t xml:space="preserve"> or –</w:t>
            </w:r>
            <w:proofErr w:type="spellStart"/>
            <w:r w:rsidR="0069492A">
              <w:rPr>
                <w:szCs w:val="20"/>
              </w:rPr>
              <w:t>ve</w:t>
            </w:r>
            <w:proofErr w:type="spellEnd"/>
            <w:r w:rsidR="0069492A">
              <w:rPr>
                <w:szCs w:val="20"/>
              </w:rPr>
              <w:t>)</w:t>
            </w:r>
          </w:p>
          <w:p w14:paraId="4707217E" w14:textId="77777777" w:rsidR="00F7127E" w:rsidRDefault="00F7127E" w:rsidP="00F7127E">
            <w:pPr>
              <w:rPr>
                <w:szCs w:val="20"/>
              </w:rPr>
            </w:pPr>
            <w:r>
              <w:rPr>
                <w:szCs w:val="20"/>
              </w:rPr>
              <w:t>Purpose: Development of a clinical genetic test to diagnose tumour subtype, and a score which reflects the risk of distant tumour recurrence. Development of prognostic and predictive models for risk according to subtype and score.</w:t>
            </w:r>
          </w:p>
          <w:p w14:paraId="779CB0D1" w14:textId="5B948C19" w:rsidR="001B7459" w:rsidRPr="001714DC" w:rsidRDefault="001B7459" w:rsidP="004F521D">
            <w:pPr>
              <w:tabs>
                <w:tab w:val="left" w:pos="1185"/>
              </w:tabs>
              <w:rPr>
                <w:b/>
                <w:szCs w:val="20"/>
              </w:rPr>
            </w:pPr>
            <w:r>
              <w:rPr>
                <w:szCs w:val="20"/>
              </w:rPr>
              <w:t xml:space="preserve">Results: </w:t>
            </w:r>
            <w:r w:rsidR="004D5CA9">
              <w:rPr>
                <w:szCs w:val="20"/>
              </w:rPr>
              <w:t>Intrinsic subtypes showed prognostic</w:t>
            </w:r>
            <w:r w:rsidR="00A46BC7">
              <w:rPr>
                <w:szCs w:val="20"/>
              </w:rPr>
              <w:t xml:space="preserve"> significance (p = 2.26</w:t>
            </w:r>
            <w:r w:rsidR="00A46BC7" w:rsidRPr="004F521D">
              <w:rPr>
                <w:szCs w:val="20"/>
                <w:vertAlign w:val="superscript"/>
              </w:rPr>
              <w:t>E-12</w:t>
            </w:r>
            <w:r w:rsidR="00A46BC7">
              <w:rPr>
                <w:szCs w:val="20"/>
              </w:rPr>
              <w:t xml:space="preserve">) and remained significant in multivariate analyses (ER status, histologic grade, tumour size, node status). The intrinsic subtype model </w:t>
            </w:r>
            <w:r w:rsidR="004D5CA9">
              <w:rPr>
                <w:szCs w:val="20"/>
              </w:rPr>
              <w:t>predicted</w:t>
            </w:r>
            <w:r w:rsidR="00A46BC7">
              <w:rPr>
                <w:szCs w:val="20"/>
              </w:rPr>
              <w:t xml:space="preserve"> </w:t>
            </w:r>
            <w:proofErr w:type="spellStart"/>
            <w:r w:rsidR="00A46BC7">
              <w:rPr>
                <w:szCs w:val="20"/>
              </w:rPr>
              <w:t>neoadjuvant</w:t>
            </w:r>
            <w:proofErr w:type="spellEnd"/>
            <w:r w:rsidR="00A46BC7">
              <w:rPr>
                <w:szCs w:val="20"/>
              </w:rPr>
              <w:t xml:space="preserve"> chemotherapy efficacy with a </w:t>
            </w:r>
            <w:r w:rsidR="004F521D">
              <w:rPr>
                <w:szCs w:val="20"/>
              </w:rPr>
              <w:t>negative predictive value</w:t>
            </w:r>
            <w:r w:rsidR="00A46BC7">
              <w:rPr>
                <w:szCs w:val="20"/>
              </w:rPr>
              <w:t xml:space="preserve"> for pathologic complete response of 97%.</w:t>
            </w:r>
          </w:p>
        </w:tc>
        <w:tc>
          <w:tcPr>
            <w:tcW w:w="750" w:type="pct"/>
          </w:tcPr>
          <w:p w14:paraId="51383E28" w14:textId="20F76756" w:rsidR="00DD308E" w:rsidRPr="001714DC" w:rsidRDefault="00C95A99" w:rsidP="00DD308E">
            <w:pPr>
              <w:rPr>
                <w:b/>
                <w:szCs w:val="20"/>
              </w:rPr>
            </w:pPr>
            <w:r w:rsidRPr="00A65F2D">
              <w:rPr>
                <w:szCs w:val="20"/>
              </w:rPr>
              <w:t>http://jco.ascopubs.org/content/27/8/1160.long</w:t>
            </w:r>
            <w:r w:rsidRPr="001714DC">
              <w:rPr>
                <w:szCs w:val="20"/>
              </w:rPr>
              <w:t xml:space="preserve"> </w:t>
            </w:r>
          </w:p>
        </w:tc>
        <w:tc>
          <w:tcPr>
            <w:tcW w:w="551" w:type="pct"/>
          </w:tcPr>
          <w:p w14:paraId="75B564A9" w14:textId="77777777" w:rsidR="00DD308E" w:rsidRPr="001714DC" w:rsidRDefault="00B35E5F" w:rsidP="00DD308E">
            <w:pPr>
              <w:rPr>
                <w:b/>
                <w:szCs w:val="20"/>
              </w:rPr>
            </w:pPr>
            <w:r w:rsidRPr="001714DC">
              <w:rPr>
                <w:szCs w:val="20"/>
              </w:rPr>
              <w:t>March 2009</w:t>
            </w:r>
          </w:p>
        </w:tc>
      </w:tr>
      <w:tr w:rsidR="00FA232F" w:rsidRPr="001714DC" w14:paraId="405497A0" w14:textId="77777777" w:rsidTr="001C069D">
        <w:trPr>
          <w:cantSplit/>
        </w:trPr>
        <w:tc>
          <w:tcPr>
            <w:tcW w:w="149" w:type="pct"/>
          </w:tcPr>
          <w:p w14:paraId="1AE3876F" w14:textId="27AB6B0E" w:rsidR="00DD308E" w:rsidRPr="001714DC" w:rsidRDefault="00ED07A0" w:rsidP="00DD308E">
            <w:pPr>
              <w:rPr>
                <w:szCs w:val="20"/>
              </w:rPr>
            </w:pPr>
            <w:r>
              <w:rPr>
                <w:szCs w:val="20"/>
              </w:rPr>
              <w:lastRenderedPageBreak/>
              <w:t>2</w:t>
            </w:r>
            <w:r w:rsidR="00DD308E" w:rsidRPr="001714DC">
              <w:rPr>
                <w:szCs w:val="20"/>
              </w:rPr>
              <w:t>.</w:t>
            </w:r>
          </w:p>
        </w:tc>
        <w:tc>
          <w:tcPr>
            <w:tcW w:w="500" w:type="pct"/>
          </w:tcPr>
          <w:p w14:paraId="1F121209" w14:textId="29C80FB6" w:rsidR="00DD308E" w:rsidRDefault="009B21F1" w:rsidP="0066323D">
            <w:pPr>
              <w:rPr>
                <w:szCs w:val="20"/>
              </w:rPr>
            </w:pPr>
            <w:r>
              <w:rPr>
                <w:szCs w:val="20"/>
              </w:rPr>
              <w:t>Retrospective cohort study</w:t>
            </w:r>
          </w:p>
          <w:p w14:paraId="134AAB81" w14:textId="77777777" w:rsidR="009B21F1" w:rsidRPr="001714DC" w:rsidRDefault="009B21F1" w:rsidP="0066323D">
            <w:pPr>
              <w:rPr>
                <w:b/>
                <w:szCs w:val="20"/>
              </w:rPr>
            </w:pPr>
            <w:r>
              <w:rPr>
                <w:szCs w:val="20"/>
              </w:rPr>
              <w:t>Prognostic level III-3</w:t>
            </w:r>
          </w:p>
        </w:tc>
        <w:tc>
          <w:tcPr>
            <w:tcW w:w="1101" w:type="pct"/>
          </w:tcPr>
          <w:p w14:paraId="32A22B3D" w14:textId="0D239632" w:rsidR="000D4538" w:rsidRDefault="00FA232F" w:rsidP="000D4538">
            <w:pPr>
              <w:autoSpaceDE w:val="0"/>
              <w:autoSpaceDN w:val="0"/>
              <w:adjustRightInd w:val="0"/>
              <w:spacing w:before="0" w:after="60"/>
              <w:rPr>
                <w:rFonts w:cs="Segoe UI"/>
                <w:szCs w:val="20"/>
              </w:rPr>
            </w:pPr>
            <w:r w:rsidRPr="001714DC">
              <w:rPr>
                <w:rFonts w:cs="Segoe UI"/>
                <w:szCs w:val="20"/>
              </w:rPr>
              <w:t>Comparison of PAM50</w:t>
            </w:r>
            <w:r w:rsidR="004F521D">
              <w:rPr>
                <w:rFonts w:cs="Segoe UI"/>
                <w:szCs w:val="20"/>
              </w:rPr>
              <w:t xml:space="preserve"> risk of recurrence score with </w:t>
            </w:r>
            <w:proofErr w:type="spellStart"/>
            <w:r w:rsidR="004F521D">
              <w:rPr>
                <w:rFonts w:cs="Segoe UI"/>
                <w:szCs w:val="20"/>
              </w:rPr>
              <w:t>O</w:t>
            </w:r>
            <w:r w:rsidRPr="001714DC">
              <w:rPr>
                <w:rFonts w:cs="Segoe UI"/>
                <w:szCs w:val="20"/>
              </w:rPr>
              <w:t>ncotype</w:t>
            </w:r>
            <w:proofErr w:type="spellEnd"/>
            <w:r w:rsidRPr="001714DC">
              <w:rPr>
                <w:rFonts w:cs="Segoe UI"/>
                <w:szCs w:val="20"/>
              </w:rPr>
              <w:t xml:space="preserve"> DX and IHC4 for predicting risk of distant recu</w:t>
            </w:r>
            <w:r w:rsidR="000D4538">
              <w:rPr>
                <w:rFonts w:cs="Segoe UI"/>
                <w:szCs w:val="20"/>
              </w:rPr>
              <w:t xml:space="preserve">rrence after endocrine therapy </w:t>
            </w:r>
          </w:p>
          <w:p w14:paraId="12617F8E" w14:textId="77777777" w:rsidR="000D4538" w:rsidRPr="001714DC" w:rsidRDefault="000D4538" w:rsidP="00FA232F">
            <w:pPr>
              <w:autoSpaceDE w:val="0"/>
              <w:autoSpaceDN w:val="0"/>
              <w:adjustRightInd w:val="0"/>
              <w:spacing w:before="0" w:after="0"/>
              <w:rPr>
                <w:rFonts w:cs="Segoe UI"/>
                <w:szCs w:val="20"/>
              </w:rPr>
            </w:pPr>
            <w:proofErr w:type="spellStart"/>
            <w:r>
              <w:rPr>
                <w:rFonts w:cs="Segoe UI"/>
                <w:szCs w:val="20"/>
              </w:rPr>
              <w:t>Dowsett</w:t>
            </w:r>
            <w:proofErr w:type="spellEnd"/>
            <w:r>
              <w:rPr>
                <w:rFonts w:cs="Segoe UI"/>
                <w:szCs w:val="20"/>
              </w:rPr>
              <w:t xml:space="preserve"> et al</w:t>
            </w:r>
          </w:p>
          <w:p w14:paraId="5731E6FD" w14:textId="0ADD6D3C" w:rsidR="003D3C05" w:rsidRDefault="000F6FDF" w:rsidP="003D3C05">
            <w:pPr>
              <w:spacing w:before="0" w:after="0"/>
            </w:pPr>
            <w:r w:rsidRPr="000F6FDF">
              <w:rPr>
                <w:szCs w:val="20"/>
              </w:rPr>
              <w:t>ATAC</w:t>
            </w:r>
            <w:r w:rsidR="00737205">
              <w:rPr>
                <w:szCs w:val="20"/>
              </w:rPr>
              <w:t xml:space="preserve"> trial</w:t>
            </w:r>
            <w:r w:rsidR="003D3C05">
              <w:rPr>
                <w:szCs w:val="20"/>
              </w:rPr>
              <w:t xml:space="preserve">: </w:t>
            </w:r>
            <w:r w:rsidR="003D3C05">
              <w:rPr>
                <w:rStyle w:val="complextitleprimary"/>
              </w:rPr>
              <w:t>ISRCTN18233230</w:t>
            </w:r>
          </w:p>
          <w:p w14:paraId="41672D7F" w14:textId="3E0EA010" w:rsidR="00DD308E" w:rsidRPr="000F6FDF" w:rsidRDefault="00DD308E" w:rsidP="00DD308E">
            <w:pPr>
              <w:rPr>
                <w:szCs w:val="20"/>
              </w:rPr>
            </w:pPr>
          </w:p>
        </w:tc>
        <w:tc>
          <w:tcPr>
            <w:tcW w:w="1950" w:type="pct"/>
          </w:tcPr>
          <w:p w14:paraId="2E4942D8" w14:textId="5EB3BB8D" w:rsidR="00F7127E" w:rsidRDefault="00F7127E" w:rsidP="00DD308E">
            <w:pPr>
              <w:rPr>
                <w:szCs w:val="20"/>
              </w:rPr>
            </w:pPr>
            <w:r>
              <w:rPr>
                <w:szCs w:val="20"/>
              </w:rPr>
              <w:t>Population: mRNA from 1,017 patients in the ATAC trial (post-menopausal, ER +</w:t>
            </w:r>
            <w:proofErr w:type="spellStart"/>
            <w:r>
              <w:rPr>
                <w:szCs w:val="20"/>
              </w:rPr>
              <w:t>ve</w:t>
            </w:r>
            <w:proofErr w:type="spellEnd"/>
            <w:r>
              <w:rPr>
                <w:szCs w:val="20"/>
              </w:rPr>
              <w:t xml:space="preserve"> primary </w:t>
            </w:r>
            <w:r w:rsidR="004F521D">
              <w:rPr>
                <w:szCs w:val="20"/>
              </w:rPr>
              <w:t>breast cancer</w:t>
            </w:r>
            <w:r>
              <w:rPr>
                <w:szCs w:val="20"/>
              </w:rPr>
              <w:t xml:space="preserve"> treated with </w:t>
            </w:r>
            <w:proofErr w:type="spellStart"/>
            <w:r>
              <w:rPr>
                <w:szCs w:val="20"/>
              </w:rPr>
              <w:t>anastrozole</w:t>
            </w:r>
            <w:proofErr w:type="spellEnd"/>
            <w:r>
              <w:rPr>
                <w:szCs w:val="20"/>
              </w:rPr>
              <w:t xml:space="preserve"> or </w:t>
            </w:r>
            <w:proofErr w:type="spellStart"/>
            <w:r>
              <w:rPr>
                <w:szCs w:val="20"/>
              </w:rPr>
              <w:t>tamoxifen</w:t>
            </w:r>
            <w:proofErr w:type="spellEnd"/>
            <w:r>
              <w:rPr>
                <w:szCs w:val="20"/>
              </w:rPr>
              <w:t>)</w:t>
            </w:r>
          </w:p>
          <w:p w14:paraId="4B962CEA" w14:textId="13A7F941" w:rsidR="001B7459" w:rsidRDefault="001B7459" w:rsidP="00DD308E">
            <w:pPr>
              <w:rPr>
                <w:szCs w:val="20"/>
              </w:rPr>
            </w:pPr>
            <w:r>
              <w:rPr>
                <w:szCs w:val="20"/>
              </w:rPr>
              <w:t xml:space="preserve">Purpose: prognostic assessment using PAM50 compared with </w:t>
            </w:r>
            <w:proofErr w:type="spellStart"/>
            <w:r>
              <w:rPr>
                <w:szCs w:val="20"/>
              </w:rPr>
              <w:t>Oncotype</w:t>
            </w:r>
            <w:proofErr w:type="spellEnd"/>
            <w:r>
              <w:rPr>
                <w:szCs w:val="20"/>
              </w:rPr>
              <w:t xml:space="preserve"> DX (</w:t>
            </w:r>
            <w:r w:rsidR="004F521D">
              <w:rPr>
                <w:szCs w:val="20"/>
              </w:rPr>
              <w:t xml:space="preserve">risk score, </w:t>
            </w:r>
            <w:r>
              <w:rPr>
                <w:szCs w:val="20"/>
              </w:rPr>
              <w:t>RS), clinical  treatment score (CTS), and IHC4</w:t>
            </w:r>
          </w:p>
          <w:p w14:paraId="5B45DBAE" w14:textId="30E64AD6" w:rsidR="00ED2AAE" w:rsidRPr="001714DC" w:rsidRDefault="001B7459" w:rsidP="00E62AD6">
            <w:pPr>
              <w:rPr>
                <w:b/>
                <w:szCs w:val="20"/>
              </w:rPr>
            </w:pPr>
            <w:r>
              <w:rPr>
                <w:szCs w:val="20"/>
              </w:rPr>
              <w:t xml:space="preserve">Results: </w:t>
            </w:r>
            <w:r w:rsidR="004F521D">
              <w:rPr>
                <w:szCs w:val="20"/>
              </w:rPr>
              <w:t>PAM50 risk of recurrence (</w:t>
            </w:r>
            <w:r w:rsidR="002C2879" w:rsidRPr="001714DC">
              <w:rPr>
                <w:szCs w:val="20"/>
              </w:rPr>
              <w:t>ROR</w:t>
            </w:r>
            <w:r w:rsidR="004F521D">
              <w:rPr>
                <w:szCs w:val="20"/>
              </w:rPr>
              <w:t>) score</w:t>
            </w:r>
            <w:r w:rsidR="002C2879" w:rsidRPr="001714DC">
              <w:rPr>
                <w:szCs w:val="20"/>
              </w:rPr>
              <w:t xml:space="preserve"> provide</w:t>
            </w:r>
            <w:r w:rsidR="008551A5">
              <w:rPr>
                <w:szCs w:val="20"/>
              </w:rPr>
              <w:t>d</w:t>
            </w:r>
            <w:r w:rsidR="002C2879" w:rsidRPr="001714DC">
              <w:rPr>
                <w:szCs w:val="20"/>
              </w:rPr>
              <w:t xml:space="preserve"> more prognostic information than RS in endocrine-treated </w:t>
            </w:r>
            <w:r w:rsidR="004F521D">
              <w:rPr>
                <w:szCs w:val="20"/>
              </w:rPr>
              <w:t>node -</w:t>
            </w:r>
            <w:proofErr w:type="spellStart"/>
            <w:r w:rsidR="004F521D">
              <w:rPr>
                <w:szCs w:val="20"/>
              </w:rPr>
              <w:t>ve</w:t>
            </w:r>
            <w:proofErr w:type="spellEnd"/>
            <w:r w:rsidR="002C2879" w:rsidRPr="001714DC">
              <w:rPr>
                <w:szCs w:val="20"/>
              </w:rPr>
              <w:t xml:space="preserve">, and more information </w:t>
            </w:r>
            <w:r w:rsidR="00705D7B">
              <w:rPr>
                <w:szCs w:val="20"/>
              </w:rPr>
              <w:t xml:space="preserve">(measured by c index) </w:t>
            </w:r>
            <w:r w:rsidR="002C2879" w:rsidRPr="001714DC">
              <w:rPr>
                <w:szCs w:val="20"/>
              </w:rPr>
              <w:t xml:space="preserve">than </w:t>
            </w:r>
            <w:r w:rsidR="00ED2AAE" w:rsidRPr="001714DC">
              <w:rPr>
                <w:szCs w:val="20"/>
              </w:rPr>
              <w:t xml:space="preserve">RS and </w:t>
            </w:r>
            <w:r w:rsidR="002C2879" w:rsidRPr="001714DC">
              <w:rPr>
                <w:szCs w:val="20"/>
              </w:rPr>
              <w:t xml:space="preserve">CTS in </w:t>
            </w:r>
            <w:r w:rsidR="004F521D">
              <w:rPr>
                <w:szCs w:val="20"/>
              </w:rPr>
              <w:t>node</w:t>
            </w:r>
            <w:r w:rsidR="00ED2AAE" w:rsidRPr="001714DC">
              <w:rPr>
                <w:szCs w:val="20"/>
              </w:rPr>
              <w:t xml:space="preserve"> </w:t>
            </w:r>
            <w:r>
              <w:rPr>
                <w:szCs w:val="20"/>
              </w:rPr>
              <w:t>+/-</w:t>
            </w:r>
            <w:proofErr w:type="spellStart"/>
            <w:r w:rsidR="004F521D">
              <w:rPr>
                <w:szCs w:val="20"/>
              </w:rPr>
              <w:t>ve</w:t>
            </w:r>
            <w:proofErr w:type="spellEnd"/>
            <w:r w:rsidR="00ED2AAE" w:rsidRPr="001714DC">
              <w:rPr>
                <w:szCs w:val="20"/>
              </w:rPr>
              <w:t xml:space="preserve"> patients.</w:t>
            </w:r>
            <w:r w:rsidR="00737205">
              <w:rPr>
                <w:szCs w:val="20"/>
              </w:rPr>
              <w:t xml:space="preserve"> </w:t>
            </w:r>
            <w:r w:rsidR="00ED2AAE" w:rsidRPr="001714DC">
              <w:rPr>
                <w:szCs w:val="20"/>
              </w:rPr>
              <w:t xml:space="preserve">ROR and IHC4 provided similar prognostic information except more was added </w:t>
            </w:r>
            <w:r w:rsidR="00705D7B">
              <w:rPr>
                <w:szCs w:val="20"/>
              </w:rPr>
              <w:t xml:space="preserve">(greater c index) </w:t>
            </w:r>
            <w:r w:rsidR="00ED2AAE" w:rsidRPr="001714DC">
              <w:rPr>
                <w:szCs w:val="20"/>
              </w:rPr>
              <w:t>b</w:t>
            </w:r>
            <w:r w:rsidR="008551A5">
              <w:rPr>
                <w:szCs w:val="20"/>
              </w:rPr>
              <w:t xml:space="preserve">y </w:t>
            </w:r>
            <w:r w:rsidR="00ED2AAE" w:rsidRPr="001714DC">
              <w:rPr>
                <w:szCs w:val="20"/>
              </w:rPr>
              <w:t xml:space="preserve">ROR in the HER2 </w:t>
            </w:r>
            <w:r>
              <w:rPr>
                <w:szCs w:val="20"/>
              </w:rPr>
              <w:t>-</w:t>
            </w:r>
            <w:proofErr w:type="spellStart"/>
            <w:r>
              <w:rPr>
                <w:szCs w:val="20"/>
              </w:rPr>
              <w:t>ve</w:t>
            </w:r>
            <w:proofErr w:type="spellEnd"/>
            <w:r w:rsidR="00ED2AAE" w:rsidRPr="001714DC">
              <w:rPr>
                <w:szCs w:val="20"/>
              </w:rPr>
              <w:t xml:space="preserve"> /</w:t>
            </w:r>
            <w:r>
              <w:rPr>
                <w:szCs w:val="20"/>
              </w:rPr>
              <w:t xml:space="preserve"> </w:t>
            </w:r>
            <w:r w:rsidR="00E62AD6">
              <w:rPr>
                <w:szCs w:val="20"/>
              </w:rPr>
              <w:t>node -</w:t>
            </w:r>
            <w:proofErr w:type="spellStart"/>
            <w:r w:rsidR="00E62AD6">
              <w:rPr>
                <w:szCs w:val="20"/>
              </w:rPr>
              <w:t>ve</w:t>
            </w:r>
            <w:proofErr w:type="spellEnd"/>
            <w:r w:rsidR="00ED2AAE" w:rsidRPr="001714DC">
              <w:rPr>
                <w:szCs w:val="20"/>
              </w:rPr>
              <w:t xml:space="preserve"> group.</w:t>
            </w:r>
          </w:p>
        </w:tc>
        <w:tc>
          <w:tcPr>
            <w:tcW w:w="750" w:type="pct"/>
          </w:tcPr>
          <w:p w14:paraId="220997C7" w14:textId="228432B3" w:rsidR="00DD308E" w:rsidRPr="001714DC" w:rsidRDefault="00C15642" w:rsidP="00DD308E">
            <w:pPr>
              <w:rPr>
                <w:b/>
                <w:szCs w:val="20"/>
              </w:rPr>
            </w:pPr>
            <w:r w:rsidRPr="00A65F2D">
              <w:rPr>
                <w:szCs w:val="20"/>
              </w:rPr>
              <w:t>http://jco.ascopubs.org/content/early/2013/06/25/JCO.2012.46.1558.abstract</w:t>
            </w:r>
            <w:r w:rsidRPr="001714DC">
              <w:rPr>
                <w:szCs w:val="20"/>
              </w:rPr>
              <w:t xml:space="preserve"> </w:t>
            </w:r>
          </w:p>
        </w:tc>
        <w:tc>
          <w:tcPr>
            <w:tcW w:w="551" w:type="pct"/>
          </w:tcPr>
          <w:p w14:paraId="6510608B" w14:textId="77777777" w:rsidR="00DD308E" w:rsidRPr="001714DC" w:rsidRDefault="002C2879" w:rsidP="00DD308E">
            <w:pPr>
              <w:rPr>
                <w:b/>
                <w:szCs w:val="20"/>
              </w:rPr>
            </w:pPr>
            <w:r w:rsidRPr="001714DC">
              <w:rPr>
                <w:szCs w:val="20"/>
              </w:rPr>
              <w:t>July 2013</w:t>
            </w:r>
          </w:p>
        </w:tc>
      </w:tr>
      <w:tr w:rsidR="00FA232F" w:rsidRPr="001714DC" w14:paraId="1771D770" w14:textId="77777777" w:rsidTr="001C069D">
        <w:trPr>
          <w:cantSplit/>
        </w:trPr>
        <w:tc>
          <w:tcPr>
            <w:tcW w:w="149" w:type="pct"/>
          </w:tcPr>
          <w:p w14:paraId="0849BAE2" w14:textId="51324DC1" w:rsidR="00DD308E" w:rsidRPr="001714DC" w:rsidRDefault="00ED07A0" w:rsidP="00DD308E">
            <w:pPr>
              <w:rPr>
                <w:szCs w:val="20"/>
              </w:rPr>
            </w:pPr>
            <w:r>
              <w:rPr>
                <w:szCs w:val="20"/>
              </w:rPr>
              <w:t>3</w:t>
            </w:r>
            <w:r w:rsidR="00DD308E" w:rsidRPr="001714DC">
              <w:rPr>
                <w:szCs w:val="20"/>
              </w:rPr>
              <w:t>.</w:t>
            </w:r>
          </w:p>
        </w:tc>
        <w:tc>
          <w:tcPr>
            <w:tcW w:w="500" w:type="pct"/>
          </w:tcPr>
          <w:p w14:paraId="18E00C6D" w14:textId="0F2AAB92" w:rsidR="00DD308E" w:rsidRDefault="009B21F1" w:rsidP="004D0563">
            <w:pPr>
              <w:rPr>
                <w:szCs w:val="20"/>
              </w:rPr>
            </w:pPr>
            <w:r>
              <w:rPr>
                <w:szCs w:val="20"/>
              </w:rPr>
              <w:t>Analysis of prognostic factors amongst persons in a randomised controlled trial</w:t>
            </w:r>
          </w:p>
          <w:p w14:paraId="66496EAA" w14:textId="77777777" w:rsidR="009B21F1" w:rsidRDefault="009B21F1" w:rsidP="004D0563">
            <w:pPr>
              <w:rPr>
                <w:szCs w:val="20"/>
              </w:rPr>
            </w:pPr>
            <w:r>
              <w:rPr>
                <w:szCs w:val="20"/>
              </w:rPr>
              <w:t>Prognostic level III-2</w:t>
            </w:r>
          </w:p>
          <w:p w14:paraId="2A274B06" w14:textId="1E26E025" w:rsidR="00737205" w:rsidRPr="001714DC" w:rsidRDefault="00737205" w:rsidP="004D0563">
            <w:pPr>
              <w:rPr>
                <w:b/>
                <w:szCs w:val="20"/>
              </w:rPr>
            </w:pPr>
          </w:p>
        </w:tc>
        <w:tc>
          <w:tcPr>
            <w:tcW w:w="1101" w:type="pct"/>
          </w:tcPr>
          <w:p w14:paraId="4075E1CC" w14:textId="77777777" w:rsidR="00DD308E" w:rsidRPr="001714DC" w:rsidRDefault="009F0EFC" w:rsidP="00DD308E">
            <w:pPr>
              <w:rPr>
                <w:rFonts w:cs="Segoe UI"/>
                <w:szCs w:val="20"/>
              </w:rPr>
            </w:pPr>
            <w:r w:rsidRPr="001714DC">
              <w:rPr>
                <w:rFonts w:cs="Segoe UI"/>
                <w:szCs w:val="20"/>
              </w:rPr>
              <w:t xml:space="preserve">Predicting distant recurrence in receptor-positive breast cancer patients with limited </w:t>
            </w:r>
            <w:proofErr w:type="spellStart"/>
            <w:r w:rsidR="000D4538">
              <w:rPr>
                <w:rFonts w:cs="Segoe UI"/>
                <w:szCs w:val="20"/>
              </w:rPr>
              <w:t>clinico</w:t>
            </w:r>
            <w:proofErr w:type="spellEnd"/>
            <w:r w:rsidR="000D4538">
              <w:rPr>
                <w:rFonts w:cs="Segoe UI"/>
                <w:szCs w:val="20"/>
              </w:rPr>
              <w:t>-</w:t>
            </w:r>
            <w:r w:rsidRPr="001714DC">
              <w:rPr>
                <w:rFonts w:cs="Segoe UI"/>
                <w:szCs w:val="20"/>
              </w:rPr>
              <w:t>pathological risk: using the PAM50 Risk of Recurrence score in 1478 postmenopausal patients of the ABCSG-8 trial treated with adjuvant endocrine therapy alone</w:t>
            </w:r>
          </w:p>
          <w:p w14:paraId="056426EE" w14:textId="77777777" w:rsidR="006C4A72" w:rsidRPr="001714DC" w:rsidRDefault="006C4A72" w:rsidP="00DD308E">
            <w:pPr>
              <w:rPr>
                <w:rFonts w:cs="Segoe UI"/>
                <w:szCs w:val="20"/>
              </w:rPr>
            </w:pPr>
            <w:proofErr w:type="spellStart"/>
            <w:r w:rsidRPr="001714DC">
              <w:rPr>
                <w:rFonts w:cs="Segoe UI"/>
                <w:szCs w:val="20"/>
              </w:rPr>
              <w:t>Gnant</w:t>
            </w:r>
            <w:proofErr w:type="spellEnd"/>
            <w:r w:rsidRPr="001714DC">
              <w:rPr>
                <w:rFonts w:cs="Segoe UI"/>
                <w:szCs w:val="20"/>
              </w:rPr>
              <w:t xml:space="preserve"> et al</w:t>
            </w:r>
          </w:p>
          <w:p w14:paraId="6E362770" w14:textId="77777777" w:rsidR="006C4A72" w:rsidRPr="001714DC" w:rsidRDefault="00CC521D" w:rsidP="00DD308E">
            <w:pPr>
              <w:rPr>
                <w:b/>
                <w:szCs w:val="20"/>
              </w:rPr>
            </w:pPr>
            <w:r>
              <w:rPr>
                <w:rFonts w:cs="Segoe UI"/>
                <w:szCs w:val="20"/>
              </w:rPr>
              <w:t xml:space="preserve">ABCSG-8: </w:t>
            </w:r>
            <w:r w:rsidR="006C4A72" w:rsidRPr="001714DC">
              <w:rPr>
                <w:rFonts w:cs="Segoe UI"/>
                <w:szCs w:val="20"/>
              </w:rPr>
              <w:t>NCT00291759</w:t>
            </w:r>
          </w:p>
        </w:tc>
        <w:tc>
          <w:tcPr>
            <w:tcW w:w="1950" w:type="pct"/>
          </w:tcPr>
          <w:p w14:paraId="2E93EF9F" w14:textId="5BA8F28A" w:rsidR="00DD308E" w:rsidRPr="001714DC" w:rsidRDefault="00E72140" w:rsidP="00D7528D">
            <w:pPr>
              <w:rPr>
                <w:szCs w:val="20"/>
              </w:rPr>
            </w:pPr>
            <w:r>
              <w:rPr>
                <w:szCs w:val="20"/>
              </w:rPr>
              <w:t xml:space="preserve">Population: </w:t>
            </w:r>
            <w:r w:rsidR="00E62AD6">
              <w:rPr>
                <w:szCs w:val="20"/>
              </w:rPr>
              <w:t>formalin fixed paraffin-embedded (</w:t>
            </w:r>
            <w:r w:rsidR="002439B0">
              <w:rPr>
                <w:szCs w:val="20"/>
              </w:rPr>
              <w:t>FFPE</w:t>
            </w:r>
            <w:r w:rsidR="00E62AD6">
              <w:rPr>
                <w:szCs w:val="20"/>
              </w:rPr>
              <w:t>)</w:t>
            </w:r>
            <w:r w:rsidR="002439B0">
              <w:rPr>
                <w:szCs w:val="20"/>
              </w:rPr>
              <w:t xml:space="preserve"> samples from 1,478 post-menopausal women with ER +</w:t>
            </w:r>
            <w:proofErr w:type="spellStart"/>
            <w:r w:rsidR="00D7528D" w:rsidRPr="001714DC">
              <w:rPr>
                <w:szCs w:val="20"/>
              </w:rPr>
              <w:t>ve</w:t>
            </w:r>
            <w:proofErr w:type="spellEnd"/>
            <w:r w:rsidR="00D7528D" w:rsidRPr="001714DC">
              <w:rPr>
                <w:szCs w:val="20"/>
              </w:rPr>
              <w:t xml:space="preserve"> early </w:t>
            </w:r>
            <w:r w:rsidR="00E62AD6">
              <w:rPr>
                <w:szCs w:val="20"/>
              </w:rPr>
              <w:t>breast cancer</w:t>
            </w:r>
            <w:r w:rsidR="00D7528D" w:rsidRPr="001714DC">
              <w:rPr>
                <w:szCs w:val="20"/>
              </w:rPr>
              <w:t xml:space="preserve"> treated with </w:t>
            </w:r>
            <w:proofErr w:type="spellStart"/>
            <w:r w:rsidR="00D7528D" w:rsidRPr="001714DC">
              <w:rPr>
                <w:szCs w:val="20"/>
              </w:rPr>
              <w:t>tamoxifen</w:t>
            </w:r>
            <w:proofErr w:type="spellEnd"/>
            <w:r w:rsidR="00D7528D" w:rsidRPr="001714DC">
              <w:rPr>
                <w:szCs w:val="20"/>
              </w:rPr>
              <w:t xml:space="preserve"> or </w:t>
            </w:r>
            <w:proofErr w:type="spellStart"/>
            <w:r w:rsidR="00D7528D" w:rsidRPr="001714DC">
              <w:rPr>
                <w:szCs w:val="20"/>
              </w:rPr>
              <w:t>tamoxifen</w:t>
            </w:r>
            <w:proofErr w:type="spellEnd"/>
            <w:r w:rsidR="00D7528D" w:rsidRPr="001714DC">
              <w:rPr>
                <w:szCs w:val="20"/>
              </w:rPr>
              <w:t>/</w:t>
            </w:r>
            <w:proofErr w:type="spellStart"/>
            <w:r w:rsidR="00D7528D" w:rsidRPr="001714DC">
              <w:rPr>
                <w:szCs w:val="20"/>
              </w:rPr>
              <w:t>anastrozole</w:t>
            </w:r>
            <w:proofErr w:type="spellEnd"/>
            <w:r w:rsidR="00D7528D" w:rsidRPr="001714DC">
              <w:rPr>
                <w:szCs w:val="20"/>
              </w:rPr>
              <w:t xml:space="preserve"> from the ABCSG-8 trial.</w:t>
            </w:r>
          </w:p>
          <w:p w14:paraId="7C5C6B05" w14:textId="14CC8F35" w:rsidR="00D7528D" w:rsidRPr="001714DC" w:rsidRDefault="002439B0" w:rsidP="00D7528D">
            <w:pPr>
              <w:rPr>
                <w:szCs w:val="20"/>
              </w:rPr>
            </w:pPr>
            <w:r>
              <w:rPr>
                <w:szCs w:val="20"/>
              </w:rPr>
              <w:t xml:space="preserve">Purpose: to </w:t>
            </w:r>
            <w:r w:rsidR="00E62AD6">
              <w:rPr>
                <w:szCs w:val="20"/>
              </w:rPr>
              <w:t xml:space="preserve">compare </w:t>
            </w:r>
            <w:r w:rsidR="00D7528D" w:rsidRPr="001714DC">
              <w:rPr>
                <w:szCs w:val="20"/>
              </w:rPr>
              <w:t xml:space="preserve">ROR </w:t>
            </w:r>
            <w:r w:rsidR="00E62AD6">
              <w:rPr>
                <w:szCs w:val="20"/>
              </w:rPr>
              <w:t>prediction against</w:t>
            </w:r>
            <w:r w:rsidR="00D7528D" w:rsidRPr="001714DC">
              <w:rPr>
                <w:szCs w:val="20"/>
              </w:rPr>
              <w:t xml:space="preserve"> other tools</w:t>
            </w:r>
            <w:r w:rsidR="00E62AD6">
              <w:rPr>
                <w:szCs w:val="20"/>
              </w:rPr>
              <w:t>/scoring approaches</w:t>
            </w:r>
            <w:r>
              <w:rPr>
                <w:szCs w:val="20"/>
              </w:rPr>
              <w:t>, including</w:t>
            </w:r>
            <w:r w:rsidR="00E62AD6">
              <w:rPr>
                <w:szCs w:val="20"/>
              </w:rPr>
              <w:t xml:space="preserve"> use of</w:t>
            </w:r>
            <w:r>
              <w:rPr>
                <w:szCs w:val="20"/>
              </w:rPr>
              <w:t xml:space="preserve"> standard clinical factors,</w:t>
            </w:r>
            <w:r w:rsidR="00D7528D" w:rsidRPr="001714DC">
              <w:rPr>
                <w:szCs w:val="20"/>
              </w:rPr>
              <w:t xml:space="preserve"> </w:t>
            </w:r>
            <w:r w:rsidR="00E62AD6">
              <w:rPr>
                <w:szCs w:val="20"/>
              </w:rPr>
              <w:t>to</w:t>
            </w:r>
            <w:r w:rsidR="00D7528D" w:rsidRPr="001714DC">
              <w:rPr>
                <w:szCs w:val="20"/>
              </w:rPr>
              <w:t xml:space="preserve"> determin</w:t>
            </w:r>
            <w:r w:rsidR="00E62AD6">
              <w:rPr>
                <w:szCs w:val="20"/>
              </w:rPr>
              <w:t>e</w:t>
            </w:r>
            <w:r w:rsidR="00C058DF" w:rsidRPr="001714DC">
              <w:rPr>
                <w:szCs w:val="20"/>
              </w:rPr>
              <w:t xml:space="preserve"> prognostic value </w:t>
            </w:r>
            <w:r w:rsidR="00FF20D5">
              <w:rPr>
                <w:szCs w:val="20"/>
              </w:rPr>
              <w:t xml:space="preserve">and </w:t>
            </w:r>
            <w:r w:rsidR="00E62AD6">
              <w:rPr>
                <w:szCs w:val="20"/>
              </w:rPr>
              <w:t xml:space="preserve">ability to </w:t>
            </w:r>
            <w:r w:rsidR="00C058DF" w:rsidRPr="001714DC">
              <w:rPr>
                <w:szCs w:val="20"/>
              </w:rPr>
              <w:t>predict</w:t>
            </w:r>
            <w:r w:rsidR="00E62AD6">
              <w:rPr>
                <w:szCs w:val="20"/>
              </w:rPr>
              <w:t xml:space="preserve"> distant recurrence</w:t>
            </w:r>
            <w:r>
              <w:rPr>
                <w:szCs w:val="20"/>
              </w:rPr>
              <w:t xml:space="preserve"> at 10 years</w:t>
            </w:r>
            <w:r w:rsidR="00C058DF" w:rsidRPr="001714DC">
              <w:rPr>
                <w:szCs w:val="20"/>
              </w:rPr>
              <w:t>.</w:t>
            </w:r>
          </w:p>
          <w:p w14:paraId="00828ADE" w14:textId="0C0FDA94" w:rsidR="004D0563" w:rsidRPr="001714DC" w:rsidRDefault="002439B0" w:rsidP="00E62AD6">
            <w:pPr>
              <w:rPr>
                <w:b/>
                <w:szCs w:val="20"/>
              </w:rPr>
            </w:pPr>
            <w:r>
              <w:rPr>
                <w:szCs w:val="20"/>
              </w:rPr>
              <w:t xml:space="preserve">Results: </w:t>
            </w:r>
            <w:r w:rsidR="004D0563" w:rsidRPr="001714DC">
              <w:rPr>
                <w:szCs w:val="20"/>
              </w:rPr>
              <w:t xml:space="preserve">ROR added significant </w:t>
            </w:r>
            <w:r w:rsidR="00FF5293">
              <w:rPr>
                <w:szCs w:val="20"/>
              </w:rPr>
              <w:t xml:space="preserve">prognostic </w:t>
            </w:r>
            <w:r w:rsidR="004D0563" w:rsidRPr="001714DC">
              <w:rPr>
                <w:szCs w:val="20"/>
              </w:rPr>
              <w:t xml:space="preserve">information </w:t>
            </w:r>
            <w:r w:rsidR="00E62AD6">
              <w:rPr>
                <w:szCs w:val="20"/>
              </w:rPr>
              <w:t>when</w:t>
            </w:r>
            <w:r w:rsidR="004D0563" w:rsidRPr="001714DC">
              <w:rPr>
                <w:szCs w:val="20"/>
              </w:rPr>
              <w:t xml:space="preserve"> add</w:t>
            </w:r>
            <w:r w:rsidR="00E62AD6">
              <w:rPr>
                <w:szCs w:val="20"/>
              </w:rPr>
              <w:t>ed</w:t>
            </w:r>
            <w:r w:rsidR="004D0563" w:rsidRPr="001714DC">
              <w:rPr>
                <w:szCs w:val="20"/>
              </w:rPr>
              <w:t xml:space="preserve"> to </w:t>
            </w:r>
            <w:r w:rsidR="00E62AD6">
              <w:rPr>
                <w:szCs w:val="20"/>
              </w:rPr>
              <w:t>a clinical linear predictor</w:t>
            </w:r>
            <w:r w:rsidR="004D0563" w:rsidRPr="001714DC">
              <w:rPr>
                <w:szCs w:val="20"/>
              </w:rPr>
              <w:t xml:space="preserve"> </w:t>
            </w:r>
            <w:r w:rsidR="00FF5293">
              <w:rPr>
                <w:szCs w:val="20"/>
              </w:rPr>
              <w:t xml:space="preserve">(p &lt; 0.0001) and </w:t>
            </w:r>
            <w:r w:rsidR="004D0563" w:rsidRPr="001714DC">
              <w:rPr>
                <w:szCs w:val="20"/>
              </w:rPr>
              <w:t xml:space="preserve">when predicting 10 </w:t>
            </w:r>
            <w:r w:rsidR="00CC521D">
              <w:rPr>
                <w:szCs w:val="20"/>
              </w:rPr>
              <w:t xml:space="preserve">year </w:t>
            </w:r>
            <w:r w:rsidR="00E62AD6">
              <w:rPr>
                <w:szCs w:val="20"/>
              </w:rPr>
              <w:t>distant recurrence free survival</w:t>
            </w:r>
            <w:r w:rsidR="00FF5293">
              <w:rPr>
                <w:szCs w:val="20"/>
              </w:rPr>
              <w:t xml:space="preserve">. </w:t>
            </w:r>
          </w:p>
        </w:tc>
        <w:tc>
          <w:tcPr>
            <w:tcW w:w="750" w:type="pct"/>
          </w:tcPr>
          <w:p w14:paraId="2B16176E" w14:textId="5380B56B" w:rsidR="00DD308E" w:rsidRPr="00986C08" w:rsidRDefault="00986C08" w:rsidP="00DD308E">
            <w:pPr>
              <w:rPr>
                <w:szCs w:val="20"/>
              </w:rPr>
            </w:pPr>
            <w:r w:rsidRPr="00A65F2D">
              <w:rPr>
                <w:szCs w:val="20"/>
              </w:rPr>
              <w:t>http://prosigna.com/x-us/downloads/publications/</w:t>
            </w:r>
            <w:r w:rsidRPr="00986C08">
              <w:rPr>
                <w:szCs w:val="20"/>
              </w:rPr>
              <w:t xml:space="preserve"> </w:t>
            </w:r>
          </w:p>
        </w:tc>
        <w:tc>
          <w:tcPr>
            <w:tcW w:w="551" w:type="pct"/>
          </w:tcPr>
          <w:p w14:paraId="098D93F5" w14:textId="77777777" w:rsidR="00DD308E" w:rsidRPr="001714DC" w:rsidRDefault="009F0EFC" w:rsidP="00DD308E">
            <w:pPr>
              <w:rPr>
                <w:b/>
                <w:szCs w:val="20"/>
              </w:rPr>
            </w:pPr>
            <w:r w:rsidRPr="001714DC">
              <w:rPr>
                <w:szCs w:val="20"/>
              </w:rPr>
              <w:t>2014</w:t>
            </w:r>
          </w:p>
        </w:tc>
      </w:tr>
      <w:tr w:rsidR="00FA232F" w:rsidRPr="001714DC" w14:paraId="13323557" w14:textId="77777777" w:rsidTr="001C069D">
        <w:trPr>
          <w:cantSplit/>
        </w:trPr>
        <w:tc>
          <w:tcPr>
            <w:tcW w:w="149" w:type="pct"/>
          </w:tcPr>
          <w:p w14:paraId="0562B314" w14:textId="2947A151" w:rsidR="00DD308E" w:rsidRPr="001714DC" w:rsidRDefault="00ED07A0" w:rsidP="00DD308E">
            <w:pPr>
              <w:rPr>
                <w:szCs w:val="20"/>
              </w:rPr>
            </w:pPr>
            <w:r>
              <w:rPr>
                <w:szCs w:val="20"/>
              </w:rPr>
              <w:lastRenderedPageBreak/>
              <w:t>4</w:t>
            </w:r>
            <w:r w:rsidR="00DD308E" w:rsidRPr="001714DC">
              <w:rPr>
                <w:szCs w:val="20"/>
              </w:rPr>
              <w:t>.</w:t>
            </w:r>
          </w:p>
        </w:tc>
        <w:tc>
          <w:tcPr>
            <w:tcW w:w="500" w:type="pct"/>
          </w:tcPr>
          <w:p w14:paraId="367CB7C2" w14:textId="77777777" w:rsidR="009B21F1" w:rsidRDefault="009B21F1" w:rsidP="009B21F1">
            <w:pPr>
              <w:rPr>
                <w:szCs w:val="20"/>
              </w:rPr>
            </w:pPr>
            <w:r>
              <w:rPr>
                <w:szCs w:val="20"/>
              </w:rPr>
              <w:t>Retrospective cohort study</w:t>
            </w:r>
          </w:p>
          <w:p w14:paraId="69A2531F" w14:textId="267A8417" w:rsidR="00DD308E" w:rsidRPr="001714DC" w:rsidRDefault="009B21F1" w:rsidP="009B21F1">
            <w:pPr>
              <w:rPr>
                <w:b/>
                <w:szCs w:val="20"/>
              </w:rPr>
            </w:pPr>
            <w:r>
              <w:rPr>
                <w:szCs w:val="20"/>
              </w:rPr>
              <w:t>Prognostic level III-3</w:t>
            </w:r>
          </w:p>
        </w:tc>
        <w:tc>
          <w:tcPr>
            <w:tcW w:w="1101" w:type="pct"/>
          </w:tcPr>
          <w:p w14:paraId="135BB2EB" w14:textId="77777777" w:rsidR="00DD308E" w:rsidRPr="001714DC" w:rsidRDefault="004D0563" w:rsidP="00DD308E">
            <w:pPr>
              <w:rPr>
                <w:szCs w:val="20"/>
              </w:rPr>
            </w:pPr>
            <w:r w:rsidRPr="001714DC">
              <w:rPr>
                <w:szCs w:val="20"/>
              </w:rPr>
              <w:t xml:space="preserve">A 50-Gene Intrinsic Subtype Classifier for Prognosis and Prediction of Benefit from Adjuvant </w:t>
            </w:r>
            <w:proofErr w:type="spellStart"/>
            <w:r w:rsidRPr="001714DC">
              <w:rPr>
                <w:szCs w:val="20"/>
              </w:rPr>
              <w:t>Tamoxifen</w:t>
            </w:r>
            <w:proofErr w:type="spellEnd"/>
          </w:p>
          <w:p w14:paraId="3FEB8F01" w14:textId="77777777" w:rsidR="00D57DC7" w:rsidRPr="001714DC" w:rsidRDefault="00D57DC7" w:rsidP="00DD308E">
            <w:pPr>
              <w:rPr>
                <w:b/>
                <w:szCs w:val="20"/>
              </w:rPr>
            </w:pPr>
            <w:r w:rsidRPr="001714DC">
              <w:rPr>
                <w:szCs w:val="20"/>
              </w:rPr>
              <w:t>Chia et al</w:t>
            </w:r>
          </w:p>
        </w:tc>
        <w:tc>
          <w:tcPr>
            <w:tcW w:w="1950" w:type="pct"/>
          </w:tcPr>
          <w:p w14:paraId="4AD9E497" w14:textId="6B9FAC6F" w:rsidR="00DD308E" w:rsidRDefault="00650FA7" w:rsidP="00DD308E">
            <w:pPr>
              <w:rPr>
                <w:szCs w:val="20"/>
              </w:rPr>
            </w:pPr>
            <w:r>
              <w:rPr>
                <w:szCs w:val="20"/>
              </w:rPr>
              <w:t xml:space="preserve">Population: </w:t>
            </w:r>
            <w:r w:rsidR="000F6FDF">
              <w:rPr>
                <w:szCs w:val="20"/>
              </w:rPr>
              <w:t>FFPE samples from</w:t>
            </w:r>
            <w:r>
              <w:rPr>
                <w:szCs w:val="20"/>
              </w:rPr>
              <w:t xml:space="preserve"> premenopausal primary </w:t>
            </w:r>
            <w:r w:rsidR="00E62AD6">
              <w:rPr>
                <w:szCs w:val="20"/>
              </w:rPr>
              <w:t>breast cancer</w:t>
            </w:r>
            <w:r>
              <w:rPr>
                <w:szCs w:val="20"/>
              </w:rPr>
              <w:t>, stage I to III, ER +</w:t>
            </w:r>
            <w:proofErr w:type="spellStart"/>
            <w:r>
              <w:rPr>
                <w:szCs w:val="20"/>
              </w:rPr>
              <w:t>ve</w:t>
            </w:r>
            <w:proofErr w:type="spellEnd"/>
            <w:r>
              <w:rPr>
                <w:szCs w:val="20"/>
              </w:rPr>
              <w:t xml:space="preserve"> or –</w:t>
            </w:r>
            <w:proofErr w:type="spellStart"/>
            <w:r>
              <w:rPr>
                <w:szCs w:val="20"/>
              </w:rPr>
              <w:t>ve</w:t>
            </w:r>
            <w:proofErr w:type="spellEnd"/>
            <w:r>
              <w:rPr>
                <w:szCs w:val="20"/>
              </w:rPr>
              <w:t xml:space="preserve">, </w:t>
            </w:r>
            <w:r w:rsidR="00E62AD6">
              <w:rPr>
                <w:szCs w:val="20"/>
              </w:rPr>
              <w:t>node</w:t>
            </w:r>
            <w:r>
              <w:rPr>
                <w:szCs w:val="20"/>
              </w:rPr>
              <w:t xml:space="preserve"> +/-</w:t>
            </w:r>
            <w:proofErr w:type="spellStart"/>
            <w:r w:rsidR="00E62AD6">
              <w:rPr>
                <w:szCs w:val="20"/>
              </w:rPr>
              <w:t>ve</w:t>
            </w:r>
            <w:proofErr w:type="spellEnd"/>
          </w:p>
          <w:p w14:paraId="24235CC8" w14:textId="77777777" w:rsidR="00650FA7" w:rsidRDefault="00650FA7" w:rsidP="00DD308E">
            <w:pPr>
              <w:rPr>
                <w:szCs w:val="20"/>
              </w:rPr>
            </w:pPr>
            <w:r>
              <w:rPr>
                <w:szCs w:val="20"/>
              </w:rPr>
              <w:t xml:space="preserve">Purpose: to evaluate prognostic and predictive significance of intrinsic subtypes identified by PAM50 compared to </w:t>
            </w:r>
            <w:r w:rsidR="00E372CE">
              <w:rPr>
                <w:szCs w:val="20"/>
              </w:rPr>
              <w:t xml:space="preserve">an </w:t>
            </w:r>
            <w:r>
              <w:rPr>
                <w:szCs w:val="20"/>
              </w:rPr>
              <w:t>IHC</w:t>
            </w:r>
            <w:r w:rsidR="00E372CE">
              <w:rPr>
                <w:szCs w:val="20"/>
              </w:rPr>
              <w:t xml:space="preserve"> panel</w:t>
            </w:r>
          </w:p>
          <w:p w14:paraId="7BAB3C05" w14:textId="77777777" w:rsidR="00E372CE" w:rsidRPr="001714DC" w:rsidRDefault="00E372CE" w:rsidP="000F6FDF">
            <w:pPr>
              <w:rPr>
                <w:b/>
                <w:szCs w:val="20"/>
              </w:rPr>
            </w:pPr>
            <w:r>
              <w:rPr>
                <w:szCs w:val="20"/>
              </w:rPr>
              <w:t xml:space="preserve">Results: PAM50 subtype was prognostic for disease-free survival (p = 0.0003) and overall survival (p = 0.0002), whereas the IHC panel was not. Luminal </w:t>
            </w:r>
            <w:r w:rsidR="000F6FDF">
              <w:rPr>
                <w:szCs w:val="20"/>
              </w:rPr>
              <w:t>sub</w:t>
            </w:r>
            <w:r>
              <w:rPr>
                <w:szCs w:val="20"/>
              </w:rPr>
              <w:t xml:space="preserve">types were predictive of a non-significant </w:t>
            </w:r>
            <w:proofErr w:type="spellStart"/>
            <w:r>
              <w:rPr>
                <w:szCs w:val="20"/>
              </w:rPr>
              <w:t>tamoxifen</w:t>
            </w:r>
            <w:proofErr w:type="spellEnd"/>
            <w:r>
              <w:rPr>
                <w:szCs w:val="20"/>
              </w:rPr>
              <w:t xml:space="preserve"> benefit. The trend was the same irrespective of hormone status.</w:t>
            </w:r>
          </w:p>
        </w:tc>
        <w:tc>
          <w:tcPr>
            <w:tcW w:w="750" w:type="pct"/>
          </w:tcPr>
          <w:p w14:paraId="732A8413" w14:textId="61AFEE75" w:rsidR="00DD308E" w:rsidRPr="001714DC" w:rsidRDefault="00986C08" w:rsidP="00DD308E">
            <w:pPr>
              <w:rPr>
                <w:b/>
                <w:szCs w:val="20"/>
              </w:rPr>
            </w:pPr>
            <w:r w:rsidRPr="00A65F2D">
              <w:rPr>
                <w:szCs w:val="20"/>
              </w:rPr>
              <w:t>http://prosigna.com/x-us/downloads/publications/</w:t>
            </w:r>
            <w:r>
              <w:rPr>
                <w:szCs w:val="20"/>
              </w:rPr>
              <w:t xml:space="preserve"> </w:t>
            </w:r>
          </w:p>
        </w:tc>
        <w:tc>
          <w:tcPr>
            <w:tcW w:w="551" w:type="pct"/>
          </w:tcPr>
          <w:p w14:paraId="4119BB46" w14:textId="77777777" w:rsidR="00DD308E" w:rsidRPr="001714DC" w:rsidRDefault="00D57DC7" w:rsidP="00DD308E">
            <w:pPr>
              <w:rPr>
                <w:b/>
                <w:szCs w:val="20"/>
              </w:rPr>
            </w:pPr>
            <w:r w:rsidRPr="001714DC">
              <w:rPr>
                <w:szCs w:val="20"/>
              </w:rPr>
              <w:t>2012</w:t>
            </w:r>
          </w:p>
        </w:tc>
      </w:tr>
      <w:tr w:rsidR="00FA232F" w:rsidRPr="001714DC" w14:paraId="5700380E" w14:textId="77777777" w:rsidTr="001C069D">
        <w:trPr>
          <w:cantSplit/>
        </w:trPr>
        <w:tc>
          <w:tcPr>
            <w:tcW w:w="149" w:type="pct"/>
          </w:tcPr>
          <w:p w14:paraId="0834F3F8" w14:textId="26113499" w:rsidR="00DD308E" w:rsidRPr="001714DC" w:rsidRDefault="00ED07A0" w:rsidP="00DD308E">
            <w:pPr>
              <w:rPr>
                <w:szCs w:val="20"/>
              </w:rPr>
            </w:pPr>
            <w:r>
              <w:rPr>
                <w:szCs w:val="20"/>
              </w:rPr>
              <w:t>5</w:t>
            </w:r>
            <w:r w:rsidR="00DD308E" w:rsidRPr="001714DC">
              <w:rPr>
                <w:szCs w:val="20"/>
              </w:rPr>
              <w:t>.</w:t>
            </w:r>
          </w:p>
        </w:tc>
        <w:tc>
          <w:tcPr>
            <w:tcW w:w="500" w:type="pct"/>
          </w:tcPr>
          <w:p w14:paraId="72802EC2" w14:textId="77777777" w:rsidR="009B21F1" w:rsidRDefault="009B21F1" w:rsidP="009B21F1">
            <w:pPr>
              <w:rPr>
                <w:szCs w:val="20"/>
              </w:rPr>
            </w:pPr>
            <w:r>
              <w:rPr>
                <w:szCs w:val="20"/>
              </w:rPr>
              <w:t>Retrospective cohort study</w:t>
            </w:r>
          </w:p>
          <w:p w14:paraId="3A8EB520" w14:textId="5199D127" w:rsidR="00DD308E" w:rsidRPr="001714DC" w:rsidRDefault="009B21F1" w:rsidP="009B21F1">
            <w:pPr>
              <w:rPr>
                <w:b/>
                <w:szCs w:val="20"/>
              </w:rPr>
            </w:pPr>
            <w:r>
              <w:rPr>
                <w:szCs w:val="20"/>
              </w:rPr>
              <w:t>Prognostic level III-3</w:t>
            </w:r>
          </w:p>
        </w:tc>
        <w:tc>
          <w:tcPr>
            <w:tcW w:w="1101" w:type="pct"/>
          </w:tcPr>
          <w:p w14:paraId="0FC74ECA" w14:textId="77777777" w:rsidR="00DD308E" w:rsidRPr="001714DC" w:rsidRDefault="004D0563" w:rsidP="00DD308E">
            <w:pPr>
              <w:rPr>
                <w:szCs w:val="20"/>
              </w:rPr>
            </w:pPr>
            <w:r w:rsidRPr="001714DC">
              <w:rPr>
                <w:szCs w:val="20"/>
              </w:rPr>
              <w:t xml:space="preserve">Molecular subtype and </w:t>
            </w:r>
            <w:proofErr w:type="spellStart"/>
            <w:r w:rsidRPr="001714DC">
              <w:rPr>
                <w:szCs w:val="20"/>
              </w:rPr>
              <w:t>tumor</w:t>
            </w:r>
            <w:proofErr w:type="spellEnd"/>
            <w:r w:rsidRPr="001714DC">
              <w:rPr>
                <w:szCs w:val="20"/>
              </w:rPr>
              <w:t xml:space="preserve"> characteristics of breast cancer metastases as assessed by gene expression significantly influence patient post-relapse survival</w:t>
            </w:r>
          </w:p>
          <w:p w14:paraId="6C265DC4" w14:textId="77777777" w:rsidR="00D57DC7" w:rsidRDefault="00D57DC7" w:rsidP="00DD308E">
            <w:pPr>
              <w:rPr>
                <w:szCs w:val="20"/>
              </w:rPr>
            </w:pPr>
            <w:r w:rsidRPr="001714DC">
              <w:rPr>
                <w:szCs w:val="20"/>
              </w:rPr>
              <w:t>Tobin et al</w:t>
            </w:r>
          </w:p>
          <w:p w14:paraId="16E825DC" w14:textId="77777777" w:rsidR="00B70145" w:rsidRPr="001714DC" w:rsidRDefault="00B70145" w:rsidP="00DD308E">
            <w:pPr>
              <w:rPr>
                <w:b/>
                <w:szCs w:val="20"/>
              </w:rPr>
            </w:pPr>
            <w:r>
              <w:rPr>
                <w:szCs w:val="20"/>
              </w:rPr>
              <w:t>TEX</w:t>
            </w:r>
            <w:r w:rsidR="006C241E">
              <w:rPr>
                <w:szCs w:val="20"/>
              </w:rPr>
              <w:t xml:space="preserve"> trial</w:t>
            </w:r>
            <w:r>
              <w:rPr>
                <w:szCs w:val="20"/>
              </w:rPr>
              <w:t>: NCT01433614</w:t>
            </w:r>
          </w:p>
        </w:tc>
        <w:tc>
          <w:tcPr>
            <w:tcW w:w="1950" w:type="pct"/>
          </w:tcPr>
          <w:p w14:paraId="630133EC" w14:textId="77777777" w:rsidR="00DD308E" w:rsidRDefault="00B70145" w:rsidP="006C241E">
            <w:pPr>
              <w:rPr>
                <w:szCs w:val="20"/>
              </w:rPr>
            </w:pPr>
            <w:r>
              <w:rPr>
                <w:szCs w:val="20"/>
              </w:rPr>
              <w:t xml:space="preserve">Population: </w:t>
            </w:r>
            <w:r w:rsidR="006C241E">
              <w:rPr>
                <w:szCs w:val="20"/>
              </w:rPr>
              <w:t>Fine needle aspirates from 149</w:t>
            </w:r>
            <w:r>
              <w:rPr>
                <w:szCs w:val="20"/>
              </w:rPr>
              <w:t xml:space="preserve"> patients with distant breast cancer relapse, ER +</w:t>
            </w:r>
            <w:proofErr w:type="spellStart"/>
            <w:r>
              <w:rPr>
                <w:szCs w:val="20"/>
              </w:rPr>
              <w:t>ve</w:t>
            </w:r>
            <w:proofErr w:type="spellEnd"/>
            <w:r>
              <w:rPr>
                <w:szCs w:val="20"/>
              </w:rPr>
              <w:t xml:space="preserve"> or </w:t>
            </w:r>
            <w:r w:rsidR="006C241E">
              <w:rPr>
                <w:szCs w:val="20"/>
              </w:rPr>
              <w:t>–</w:t>
            </w:r>
            <w:proofErr w:type="spellStart"/>
            <w:r>
              <w:rPr>
                <w:szCs w:val="20"/>
              </w:rPr>
              <w:t>ve</w:t>
            </w:r>
            <w:proofErr w:type="spellEnd"/>
            <w:r w:rsidR="006C241E">
              <w:rPr>
                <w:szCs w:val="20"/>
              </w:rPr>
              <w:t>, who were enrolled in the TEX trial</w:t>
            </w:r>
          </w:p>
          <w:p w14:paraId="4031DE1E" w14:textId="46EB5D58" w:rsidR="006C241E" w:rsidRDefault="006C241E" w:rsidP="006C241E">
            <w:pPr>
              <w:rPr>
                <w:szCs w:val="20"/>
              </w:rPr>
            </w:pPr>
            <w:r>
              <w:rPr>
                <w:szCs w:val="20"/>
              </w:rPr>
              <w:t xml:space="preserve">Purpose: To determine </w:t>
            </w:r>
            <w:r w:rsidR="00A47F80">
              <w:rPr>
                <w:szCs w:val="20"/>
              </w:rPr>
              <w:t xml:space="preserve">whether tumour characteristics and PAM50 subtypes in </w:t>
            </w:r>
            <w:r w:rsidR="00EE77CE">
              <w:rPr>
                <w:szCs w:val="20"/>
              </w:rPr>
              <w:t>breast cancer</w:t>
            </w:r>
            <w:r w:rsidR="00A47F80">
              <w:rPr>
                <w:szCs w:val="20"/>
              </w:rPr>
              <w:t xml:space="preserve"> confer clinically relevant prognostic information</w:t>
            </w:r>
          </w:p>
          <w:p w14:paraId="542308A1" w14:textId="27D35FE0" w:rsidR="00A47F80" w:rsidRPr="001714DC" w:rsidRDefault="00490AD7" w:rsidP="00490AD7">
            <w:pPr>
              <w:rPr>
                <w:b/>
                <w:szCs w:val="20"/>
              </w:rPr>
            </w:pPr>
            <w:r>
              <w:rPr>
                <w:szCs w:val="20"/>
              </w:rPr>
              <w:t>Results: Subtyping provided statistically significant post-relapse survival information (</w:t>
            </w:r>
            <w:r w:rsidRPr="00490AD7">
              <w:rPr>
                <w:szCs w:val="20"/>
              </w:rPr>
              <w:t xml:space="preserve">basal-like </w:t>
            </w:r>
            <w:r>
              <w:rPr>
                <w:szCs w:val="20"/>
              </w:rPr>
              <w:t>HR</w:t>
            </w:r>
            <w:r w:rsidR="00EE77CE">
              <w:rPr>
                <w:szCs w:val="20"/>
              </w:rPr>
              <w:t xml:space="preserve"> 3.7</w:t>
            </w:r>
            <w:r w:rsidRPr="00490AD7">
              <w:rPr>
                <w:szCs w:val="20"/>
              </w:rPr>
              <w:t xml:space="preserve"> </w:t>
            </w:r>
            <w:r>
              <w:rPr>
                <w:szCs w:val="20"/>
              </w:rPr>
              <w:t>[</w:t>
            </w:r>
            <w:r w:rsidRPr="00490AD7">
              <w:rPr>
                <w:szCs w:val="20"/>
              </w:rPr>
              <w:t>95% CI 1.3–10.9] and HER2-enriched</w:t>
            </w:r>
            <w:r>
              <w:rPr>
                <w:szCs w:val="20"/>
              </w:rPr>
              <w:t xml:space="preserve"> HR 4.4 [</w:t>
            </w:r>
            <w:r w:rsidRPr="00490AD7">
              <w:rPr>
                <w:szCs w:val="20"/>
              </w:rPr>
              <w:t>95% CI 1.5–12.8</w:t>
            </w:r>
            <w:r>
              <w:rPr>
                <w:szCs w:val="20"/>
              </w:rPr>
              <w:t>]</w:t>
            </w:r>
            <w:r w:rsidRPr="00490AD7">
              <w:rPr>
                <w:szCs w:val="20"/>
              </w:rPr>
              <w:t xml:space="preserve"> subtypes compared with the luminal A subtype</w:t>
            </w:r>
            <w:r>
              <w:rPr>
                <w:szCs w:val="20"/>
              </w:rPr>
              <w:t>)</w:t>
            </w:r>
            <w:r w:rsidRPr="00490AD7">
              <w:rPr>
                <w:szCs w:val="20"/>
              </w:rPr>
              <w:t>.</w:t>
            </w:r>
          </w:p>
        </w:tc>
        <w:tc>
          <w:tcPr>
            <w:tcW w:w="750" w:type="pct"/>
          </w:tcPr>
          <w:p w14:paraId="2AC81E7A" w14:textId="204AF0D9" w:rsidR="00DD308E" w:rsidRDefault="0069492A" w:rsidP="00DD308E">
            <w:pPr>
              <w:rPr>
                <w:szCs w:val="20"/>
              </w:rPr>
            </w:pPr>
            <w:r w:rsidRPr="00A65F2D">
              <w:rPr>
                <w:szCs w:val="20"/>
              </w:rPr>
              <w:t>https://www.clinicaltrials.gov/ct2/show/nct01433614</w:t>
            </w:r>
          </w:p>
          <w:p w14:paraId="04A70D1C" w14:textId="77777777" w:rsidR="00E62AD6" w:rsidRDefault="00E62AD6" w:rsidP="00DD308E">
            <w:pPr>
              <w:rPr>
                <w:szCs w:val="20"/>
              </w:rPr>
            </w:pPr>
          </w:p>
          <w:p w14:paraId="5F0ED942" w14:textId="72CA831B" w:rsidR="00E62AD6" w:rsidRPr="001714DC" w:rsidRDefault="00E62AD6" w:rsidP="00DD308E">
            <w:pPr>
              <w:rPr>
                <w:b/>
                <w:szCs w:val="20"/>
              </w:rPr>
            </w:pPr>
            <w:r w:rsidRPr="00A65F2D">
              <w:rPr>
                <w:szCs w:val="20"/>
              </w:rPr>
              <w:t>https://www.clinicaltrials.gov/ct2/bye/rQoPWwoRrXS9-i-wudNgpQDxudhWudNzlXNiZip9Ei7ym67V</w:t>
            </w:r>
            <w:r w:rsidR="003D3C05" w:rsidRPr="00A65F2D">
              <w:rPr>
                <w:szCs w:val="20"/>
              </w:rPr>
              <w:t>ZR08Fg0jxK4jA6h9Ei4L3BUgWwNG0it</w:t>
            </w:r>
          </w:p>
        </w:tc>
        <w:tc>
          <w:tcPr>
            <w:tcW w:w="551" w:type="pct"/>
          </w:tcPr>
          <w:p w14:paraId="57B1B1D6" w14:textId="77777777" w:rsidR="00DD308E" w:rsidRPr="001714DC" w:rsidRDefault="00D57DC7" w:rsidP="00DD308E">
            <w:pPr>
              <w:rPr>
                <w:b/>
                <w:szCs w:val="20"/>
              </w:rPr>
            </w:pPr>
            <w:r w:rsidRPr="001714DC">
              <w:rPr>
                <w:szCs w:val="20"/>
              </w:rPr>
              <w:t>2014</w:t>
            </w:r>
          </w:p>
        </w:tc>
      </w:tr>
      <w:tr w:rsidR="00FA232F" w:rsidRPr="001714DC" w14:paraId="5A73C137" w14:textId="77777777" w:rsidTr="001C069D">
        <w:trPr>
          <w:cantSplit/>
        </w:trPr>
        <w:tc>
          <w:tcPr>
            <w:tcW w:w="149" w:type="pct"/>
          </w:tcPr>
          <w:p w14:paraId="3E735EB5" w14:textId="093551CF" w:rsidR="00DD308E" w:rsidRPr="001714DC" w:rsidRDefault="00ED07A0" w:rsidP="00DD308E">
            <w:pPr>
              <w:rPr>
                <w:szCs w:val="20"/>
              </w:rPr>
            </w:pPr>
            <w:r>
              <w:rPr>
                <w:szCs w:val="20"/>
              </w:rPr>
              <w:lastRenderedPageBreak/>
              <w:t>6.</w:t>
            </w:r>
          </w:p>
        </w:tc>
        <w:tc>
          <w:tcPr>
            <w:tcW w:w="500" w:type="pct"/>
          </w:tcPr>
          <w:p w14:paraId="6B0515A0" w14:textId="77777777" w:rsidR="009B21F1" w:rsidRDefault="009B21F1" w:rsidP="009B21F1">
            <w:pPr>
              <w:rPr>
                <w:szCs w:val="20"/>
              </w:rPr>
            </w:pPr>
            <w:r>
              <w:rPr>
                <w:szCs w:val="20"/>
              </w:rPr>
              <w:t>Analysis of prognostic factors amongst persons in a randomised controlled trial</w:t>
            </w:r>
          </w:p>
          <w:p w14:paraId="3D1B8D17" w14:textId="77777777" w:rsidR="009B21F1" w:rsidRDefault="009B21F1" w:rsidP="009B21F1">
            <w:pPr>
              <w:rPr>
                <w:szCs w:val="20"/>
              </w:rPr>
            </w:pPr>
            <w:r>
              <w:rPr>
                <w:szCs w:val="20"/>
              </w:rPr>
              <w:t>Prognostic level III-2</w:t>
            </w:r>
          </w:p>
          <w:p w14:paraId="619ACE78" w14:textId="1FB39DBF" w:rsidR="00DD308E" w:rsidRPr="001714DC" w:rsidRDefault="00DD308E" w:rsidP="0060191B">
            <w:pPr>
              <w:rPr>
                <w:b/>
                <w:szCs w:val="20"/>
              </w:rPr>
            </w:pPr>
          </w:p>
        </w:tc>
        <w:tc>
          <w:tcPr>
            <w:tcW w:w="1101" w:type="pct"/>
          </w:tcPr>
          <w:p w14:paraId="0AEFC79C" w14:textId="77777777" w:rsidR="00DD308E" w:rsidRPr="001714DC" w:rsidRDefault="004D0563" w:rsidP="00DD308E">
            <w:pPr>
              <w:rPr>
                <w:szCs w:val="20"/>
              </w:rPr>
            </w:pPr>
            <w:r w:rsidRPr="001714DC">
              <w:rPr>
                <w:szCs w:val="20"/>
              </w:rPr>
              <w:t>PAM50 breast cancer intrinsic subtypes and effect of gemcitabine in advanced breast cancer patients</w:t>
            </w:r>
          </w:p>
          <w:p w14:paraId="2BC9625F" w14:textId="77777777" w:rsidR="00D57DC7" w:rsidRDefault="00D57DC7" w:rsidP="00DD308E">
            <w:pPr>
              <w:rPr>
                <w:szCs w:val="20"/>
              </w:rPr>
            </w:pPr>
            <w:r w:rsidRPr="001714DC">
              <w:rPr>
                <w:szCs w:val="20"/>
              </w:rPr>
              <w:t>Jorgenson et al</w:t>
            </w:r>
          </w:p>
          <w:p w14:paraId="67CFA0EA" w14:textId="66D0EC60" w:rsidR="0060191B" w:rsidRPr="001714DC" w:rsidRDefault="00E92FC2" w:rsidP="00DD308E">
            <w:pPr>
              <w:rPr>
                <w:b/>
                <w:szCs w:val="20"/>
              </w:rPr>
            </w:pPr>
            <w:r>
              <w:rPr>
                <w:szCs w:val="20"/>
              </w:rPr>
              <w:t>DBCG trial</w:t>
            </w:r>
          </w:p>
        </w:tc>
        <w:tc>
          <w:tcPr>
            <w:tcW w:w="1950" w:type="pct"/>
          </w:tcPr>
          <w:p w14:paraId="235D1903" w14:textId="77777777" w:rsidR="00DD308E" w:rsidRDefault="00490AD7" w:rsidP="00DD308E">
            <w:pPr>
              <w:rPr>
                <w:szCs w:val="20"/>
              </w:rPr>
            </w:pPr>
            <w:r>
              <w:rPr>
                <w:szCs w:val="20"/>
              </w:rPr>
              <w:t xml:space="preserve">Population: </w:t>
            </w:r>
            <w:r w:rsidR="006021B6">
              <w:rPr>
                <w:szCs w:val="20"/>
              </w:rPr>
              <w:t xml:space="preserve">270 </w:t>
            </w:r>
            <w:r w:rsidR="0060191B">
              <w:rPr>
                <w:szCs w:val="20"/>
              </w:rPr>
              <w:t>FFPE samples from the DBCG trial</w:t>
            </w:r>
          </w:p>
          <w:p w14:paraId="45954010" w14:textId="64185A79" w:rsidR="00490AD7" w:rsidRDefault="00490AD7" w:rsidP="00DD308E">
            <w:pPr>
              <w:rPr>
                <w:szCs w:val="20"/>
              </w:rPr>
            </w:pPr>
            <w:r>
              <w:rPr>
                <w:szCs w:val="20"/>
              </w:rPr>
              <w:t xml:space="preserve">Purpose: to evaluate whether </w:t>
            </w:r>
            <w:r w:rsidR="00E92FC2">
              <w:rPr>
                <w:szCs w:val="20"/>
              </w:rPr>
              <w:t xml:space="preserve">the </w:t>
            </w:r>
            <w:r>
              <w:rPr>
                <w:szCs w:val="20"/>
              </w:rPr>
              <w:t xml:space="preserve">basal-like subtype identifies patients with advanced breast cancer who </w:t>
            </w:r>
            <w:r w:rsidR="00E92FC2">
              <w:rPr>
                <w:szCs w:val="20"/>
              </w:rPr>
              <w:t xml:space="preserve">would </w:t>
            </w:r>
            <w:r>
              <w:rPr>
                <w:szCs w:val="20"/>
              </w:rPr>
              <w:t xml:space="preserve">benefit from gemcitabine plus </w:t>
            </w:r>
            <w:proofErr w:type="spellStart"/>
            <w:r>
              <w:rPr>
                <w:szCs w:val="20"/>
              </w:rPr>
              <w:t>docetaxel</w:t>
            </w:r>
            <w:proofErr w:type="spellEnd"/>
            <w:r w:rsidR="0060191B">
              <w:rPr>
                <w:szCs w:val="20"/>
              </w:rPr>
              <w:t xml:space="preserve"> compared to </w:t>
            </w:r>
            <w:proofErr w:type="spellStart"/>
            <w:r w:rsidR="0060191B">
              <w:rPr>
                <w:szCs w:val="20"/>
              </w:rPr>
              <w:t>docetaxel</w:t>
            </w:r>
            <w:proofErr w:type="spellEnd"/>
            <w:r w:rsidR="0060191B">
              <w:rPr>
                <w:szCs w:val="20"/>
              </w:rPr>
              <w:t xml:space="preserve"> alone</w:t>
            </w:r>
          </w:p>
          <w:p w14:paraId="09C77397" w14:textId="76F63886" w:rsidR="0060191B" w:rsidRPr="001714DC" w:rsidRDefault="0060191B" w:rsidP="00E92FC2">
            <w:pPr>
              <w:rPr>
                <w:b/>
                <w:szCs w:val="20"/>
              </w:rPr>
            </w:pPr>
            <w:r>
              <w:rPr>
                <w:szCs w:val="20"/>
              </w:rPr>
              <w:t xml:space="preserve">Results: </w:t>
            </w:r>
            <w:r w:rsidR="00900647">
              <w:rPr>
                <w:szCs w:val="20"/>
              </w:rPr>
              <w:t>Intrinsic</w:t>
            </w:r>
            <w:r w:rsidR="006021B6">
              <w:rPr>
                <w:szCs w:val="20"/>
              </w:rPr>
              <w:t xml:space="preserve"> subtypes were </w:t>
            </w:r>
            <w:r w:rsidR="00900647">
              <w:rPr>
                <w:szCs w:val="20"/>
              </w:rPr>
              <w:t>associated</w:t>
            </w:r>
            <w:r w:rsidR="006021B6">
              <w:rPr>
                <w:szCs w:val="20"/>
              </w:rPr>
              <w:t xml:space="preserve"> with </w:t>
            </w:r>
            <w:r w:rsidR="00E92FC2">
              <w:rPr>
                <w:szCs w:val="20"/>
              </w:rPr>
              <w:t>time-to-progression (</w:t>
            </w:r>
            <w:r w:rsidR="006021B6">
              <w:rPr>
                <w:szCs w:val="20"/>
              </w:rPr>
              <w:t>TTP</w:t>
            </w:r>
            <w:r w:rsidR="00E92FC2">
              <w:rPr>
                <w:szCs w:val="20"/>
              </w:rPr>
              <w:t xml:space="preserve">, </w:t>
            </w:r>
            <w:r w:rsidR="006021B6">
              <w:rPr>
                <w:szCs w:val="20"/>
              </w:rPr>
              <w:t xml:space="preserve">p = 0.0006) and </w:t>
            </w:r>
            <w:r w:rsidR="00E92FC2">
              <w:rPr>
                <w:szCs w:val="20"/>
              </w:rPr>
              <w:t>overall survival (</w:t>
            </w:r>
            <w:r w:rsidR="006021B6">
              <w:rPr>
                <w:szCs w:val="20"/>
              </w:rPr>
              <w:t>OS</w:t>
            </w:r>
            <w:r w:rsidR="00E92FC2">
              <w:rPr>
                <w:szCs w:val="20"/>
              </w:rPr>
              <w:t xml:space="preserve">, </w:t>
            </w:r>
            <w:r>
              <w:rPr>
                <w:szCs w:val="20"/>
              </w:rPr>
              <w:t>p&lt;</w:t>
            </w:r>
            <w:r w:rsidR="006021B6">
              <w:rPr>
                <w:szCs w:val="20"/>
              </w:rPr>
              <w:t xml:space="preserve">0.0083). Response rate (complete plus partial response) did not differ significantly among subtypes, </w:t>
            </w:r>
            <w:proofErr w:type="gramStart"/>
            <w:r w:rsidR="006021B6">
              <w:rPr>
                <w:szCs w:val="20"/>
              </w:rPr>
              <w:t>nor</w:t>
            </w:r>
            <w:proofErr w:type="gramEnd"/>
            <w:r w:rsidR="006021B6">
              <w:rPr>
                <w:szCs w:val="20"/>
              </w:rPr>
              <w:t xml:space="preserve"> between basal and non-basal like types. For </w:t>
            </w:r>
            <w:proofErr w:type="spellStart"/>
            <w:r w:rsidR="006021B6">
              <w:rPr>
                <w:szCs w:val="20"/>
              </w:rPr>
              <w:t>predictivity</w:t>
            </w:r>
            <w:proofErr w:type="spellEnd"/>
            <w:r w:rsidR="006021B6">
              <w:rPr>
                <w:szCs w:val="20"/>
              </w:rPr>
              <w:t xml:space="preserve"> </w:t>
            </w:r>
            <w:r w:rsidR="003705D8">
              <w:rPr>
                <w:szCs w:val="20"/>
              </w:rPr>
              <w:t>–</w:t>
            </w:r>
            <w:r w:rsidR="006021B6">
              <w:rPr>
                <w:szCs w:val="20"/>
              </w:rPr>
              <w:t xml:space="preserve"> </w:t>
            </w:r>
            <w:proofErr w:type="gramStart"/>
            <w:r w:rsidR="003705D8">
              <w:rPr>
                <w:szCs w:val="20"/>
              </w:rPr>
              <w:t>PAM50 subtypes were not significantly different for TTP but for OS was</w:t>
            </w:r>
            <w:proofErr w:type="gramEnd"/>
            <w:r w:rsidR="003705D8">
              <w:rPr>
                <w:szCs w:val="20"/>
              </w:rPr>
              <w:t xml:space="preserve"> significant. Basal-like type had an improved OS associated with gemcitabine plus </w:t>
            </w:r>
            <w:proofErr w:type="spellStart"/>
            <w:r w:rsidR="003705D8">
              <w:rPr>
                <w:szCs w:val="20"/>
              </w:rPr>
              <w:t>docetaxel</w:t>
            </w:r>
            <w:proofErr w:type="spellEnd"/>
            <w:r w:rsidR="003705D8">
              <w:rPr>
                <w:szCs w:val="20"/>
              </w:rPr>
              <w:t xml:space="preserve"> (</w:t>
            </w:r>
            <w:proofErr w:type="spellStart"/>
            <w:r w:rsidR="003705D8">
              <w:rPr>
                <w:szCs w:val="20"/>
              </w:rPr>
              <w:t>P</w:t>
            </w:r>
            <w:r w:rsidR="003705D8">
              <w:rPr>
                <w:szCs w:val="20"/>
                <w:vertAlign w:val="subscript"/>
              </w:rPr>
              <w:t>interaction</w:t>
            </w:r>
            <w:proofErr w:type="spellEnd"/>
            <w:r w:rsidR="003705D8">
              <w:rPr>
                <w:szCs w:val="20"/>
              </w:rPr>
              <w:t xml:space="preserve"> =</w:t>
            </w:r>
            <w:r w:rsidR="00900647">
              <w:rPr>
                <w:szCs w:val="20"/>
              </w:rPr>
              <w:t xml:space="preserve"> </w:t>
            </w:r>
            <w:r w:rsidR="003705D8">
              <w:rPr>
                <w:szCs w:val="20"/>
              </w:rPr>
              <w:t xml:space="preserve">0.0016). </w:t>
            </w:r>
            <w:r w:rsidR="00900647">
              <w:rPr>
                <w:szCs w:val="20"/>
              </w:rPr>
              <w:t>PAM50 subtype</w:t>
            </w:r>
            <w:r w:rsidR="006021B6">
              <w:rPr>
                <w:szCs w:val="20"/>
              </w:rPr>
              <w:t xml:space="preserve"> analysis</w:t>
            </w:r>
            <w:r w:rsidR="00A53B83">
              <w:rPr>
                <w:szCs w:val="20"/>
              </w:rPr>
              <w:t xml:space="preserve"> -</w:t>
            </w:r>
            <w:r w:rsidR="006021B6">
              <w:rPr>
                <w:szCs w:val="20"/>
              </w:rPr>
              <w:t xml:space="preserve"> according to</w:t>
            </w:r>
            <w:r w:rsidR="00900647">
              <w:rPr>
                <w:szCs w:val="20"/>
              </w:rPr>
              <w:t xml:space="preserve"> triple negative</w:t>
            </w:r>
            <w:r w:rsidR="006021B6">
              <w:rPr>
                <w:szCs w:val="20"/>
              </w:rPr>
              <w:t xml:space="preserve"> HER2 and ER status </w:t>
            </w:r>
            <w:r w:rsidR="00A53B83">
              <w:rPr>
                <w:szCs w:val="20"/>
              </w:rPr>
              <w:t xml:space="preserve">- </w:t>
            </w:r>
            <w:r w:rsidR="006021B6">
              <w:rPr>
                <w:szCs w:val="20"/>
              </w:rPr>
              <w:t xml:space="preserve">showed no difference in treatment </w:t>
            </w:r>
            <w:r w:rsidR="00900647">
              <w:rPr>
                <w:szCs w:val="20"/>
              </w:rPr>
              <w:t>effect.</w:t>
            </w:r>
          </w:p>
        </w:tc>
        <w:tc>
          <w:tcPr>
            <w:tcW w:w="750" w:type="pct"/>
          </w:tcPr>
          <w:p w14:paraId="43AA3029" w14:textId="553DA42F" w:rsidR="00DD308E" w:rsidRPr="001714DC" w:rsidRDefault="00490AD7" w:rsidP="00DD308E">
            <w:pPr>
              <w:rPr>
                <w:b/>
                <w:szCs w:val="20"/>
              </w:rPr>
            </w:pPr>
            <w:r w:rsidRPr="00A65F2D">
              <w:rPr>
                <w:szCs w:val="20"/>
              </w:rPr>
              <w:t>http://www.tandfonline.com/doi/full/10.3109/0284186X.2013.865076</w:t>
            </w:r>
            <w:r>
              <w:rPr>
                <w:szCs w:val="20"/>
              </w:rPr>
              <w:t xml:space="preserve"> </w:t>
            </w:r>
          </w:p>
        </w:tc>
        <w:tc>
          <w:tcPr>
            <w:tcW w:w="551" w:type="pct"/>
          </w:tcPr>
          <w:p w14:paraId="73067998" w14:textId="77777777" w:rsidR="00DD308E" w:rsidRPr="001714DC" w:rsidRDefault="00D57DC7" w:rsidP="00DD308E">
            <w:pPr>
              <w:rPr>
                <w:b/>
                <w:szCs w:val="20"/>
              </w:rPr>
            </w:pPr>
            <w:r w:rsidRPr="001714DC">
              <w:rPr>
                <w:szCs w:val="20"/>
              </w:rPr>
              <w:t>2014</w:t>
            </w:r>
          </w:p>
        </w:tc>
      </w:tr>
      <w:tr w:rsidR="00FA232F" w:rsidRPr="001714DC" w14:paraId="09CFACDC" w14:textId="77777777" w:rsidTr="001C069D">
        <w:trPr>
          <w:cantSplit/>
        </w:trPr>
        <w:tc>
          <w:tcPr>
            <w:tcW w:w="149" w:type="pct"/>
          </w:tcPr>
          <w:p w14:paraId="25C844B5" w14:textId="453EEEF7" w:rsidR="00DD308E" w:rsidRPr="001714DC" w:rsidRDefault="00ED07A0" w:rsidP="00DD308E">
            <w:pPr>
              <w:rPr>
                <w:szCs w:val="20"/>
              </w:rPr>
            </w:pPr>
            <w:r>
              <w:rPr>
                <w:szCs w:val="20"/>
              </w:rPr>
              <w:t>7.</w:t>
            </w:r>
          </w:p>
        </w:tc>
        <w:tc>
          <w:tcPr>
            <w:tcW w:w="500" w:type="pct"/>
          </w:tcPr>
          <w:p w14:paraId="0F00928C" w14:textId="77777777" w:rsidR="009B21F1" w:rsidRDefault="009B21F1" w:rsidP="009B21F1">
            <w:pPr>
              <w:rPr>
                <w:szCs w:val="20"/>
              </w:rPr>
            </w:pPr>
            <w:r>
              <w:rPr>
                <w:szCs w:val="20"/>
              </w:rPr>
              <w:t>Analysis of prognostic factors amongst persons in a randomised controlled trial</w:t>
            </w:r>
          </w:p>
          <w:p w14:paraId="2402C094" w14:textId="77777777" w:rsidR="009B21F1" w:rsidRDefault="009B21F1" w:rsidP="009B21F1">
            <w:pPr>
              <w:rPr>
                <w:szCs w:val="20"/>
              </w:rPr>
            </w:pPr>
            <w:r>
              <w:rPr>
                <w:szCs w:val="20"/>
              </w:rPr>
              <w:t>Prognostic level III-2</w:t>
            </w:r>
          </w:p>
          <w:p w14:paraId="18A2BEB1" w14:textId="5A31C69E" w:rsidR="00DD308E" w:rsidRPr="001714DC" w:rsidRDefault="00DD308E" w:rsidP="00DD308E">
            <w:pPr>
              <w:rPr>
                <w:b/>
                <w:szCs w:val="20"/>
              </w:rPr>
            </w:pPr>
          </w:p>
        </w:tc>
        <w:tc>
          <w:tcPr>
            <w:tcW w:w="1101" w:type="pct"/>
          </w:tcPr>
          <w:p w14:paraId="367A465F" w14:textId="1FF64156" w:rsidR="00DD308E" w:rsidRPr="001714DC" w:rsidRDefault="00D57DC7" w:rsidP="00DD308E">
            <w:pPr>
              <w:rPr>
                <w:szCs w:val="20"/>
              </w:rPr>
            </w:pPr>
            <w:r w:rsidRPr="001714DC">
              <w:rPr>
                <w:szCs w:val="20"/>
              </w:rPr>
              <w:t xml:space="preserve">Prediction of Late Distant Recurrence After 5 Years of Endocrine Treatment: A Combined Analysis of Patients From the Austrian Breast and Colorectal Cancer Study Group 8 and </w:t>
            </w:r>
            <w:proofErr w:type="spellStart"/>
            <w:r w:rsidRPr="001714DC">
              <w:rPr>
                <w:szCs w:val="20"/>
              </w:rPr>
              <w:t>Arimidex</w:t>
            </w:r>
            <w:proofErr w:type="spellEnd"/>
            <w:r w:rsidRPr="001714DC">
              <w:rPr>
                <w:szCs w:val="20"/>
              </w:rPr>
              <w:t xml:space="preserve">, </w:t>
            </w:r>
            <w:proofErr w:type="spellStart"/>
            <w:r w:rsidRPr="001714DC">
              <w:rPr>
                <w:szCs w:val="20"/>
              </w:rPr>
              <w:t>Tamoxifen</w:t>
            </w:r>
            <w:proofErr w:type="spellEnd"/>
            <w:r w:rsidRPr="001714DC">
              <w:rPr>
                <w:szCs w:val="20"/>
              </w:rPr>
              <w:t xml:space="preserve"> Alone or in Combination Randomized Trials Using the PAM50 Risk</w:t>
            </w:r>
            <w:r w:rsidR="00A53B83">
              <w:rPr>
                <w:szCs w:val="20"/>
              </w:rPr>
              <w:t xml:space="preserve"> of Recurrence score.</w:t>
            </w:r>
          </w:p>
          <w:p w14:paraId="426CF9F6" w14:textId="77777777" w:rsidR="00D57DC7" w:rsidRDefault="00D57DC7" w:rsidP="00DD308E">
            <w:pPr>
              <w:rPr>
                <w:szCs w:val="20"/>
              </w:rPr>
            </w:pPr>
            <w:proofErr w:type="spellStart"/>
            <w:r w:rsidRPr="001714DC">
              <w:rPr>
                <w:szCs w:val="20"/>
              </w:rPr>
              <w:t>Sestak</w:t>
            </w:r>
            <w:proofErr w:type="spellEnd"/>
            <w:r w:rsidRPr="001714DC">
              <w:rPr>
                <w:szCs w:val="20"/>
              </w:rPr>
              <w:t xml:space="preserve"> et al</w:t>
            </w:r>
          </w:p>
          <w:p w14:paraId="709613C9" w14:textId="77777777" w:rsidR="00705D7B" w:rsidRDefault="00705D7B" w:rsidP="00705D7B">
            <w:pPr>
              <w:rPr>
                <w:szCs w:val="20"/>
              </w:rPr>
            </w:pPr>
            <w:r w:rsidRPr="000F6FDF">
              <w:rPr>
                <w:szCs w:val="20"/>
              </w:rPr>
              <w:t>ATAC</w:t>
            </w:r>
            <w:r>
              <w:rPr>
                <w:szCs w:val="20"/>
              </w:rPr>
              <w:t xml:space="preserve"> trial</w:t>
            </w:r>
            <w:r w:rsidRPr="000F6FDF">
              <w:rPr>
                <w:szCs w:val="20"/>
              </w:rPr>
              <w:t>:</w:t>
            </w:r>
            <w:r>
              <w:rPr>
                <w:szCs w:val="20"/>
              </w:rPr>
              <w:t xml:space="preserve"> </w:t>
            </w:r>
            <w:r w:rsidRPr="000F6FDF">
              <w:rPr>
                <w:szCs w:val="20"/>
              </w:rPr>
              <w:t xml:space="preserve"> </w:t>
            </w:r>
            <w:r>
              <w:rPr>
                <w:szCs w:val="20"/>
              </w:rPr>
              <w:t>NCT00849030</w:t>
            </w:r>
          </w:p>
          <w:p w14:paraId="0BEA7B96" w14:textId="4881F0CB" w:rsidR="00705D7B" w:rsidRPr="001714DC" w:rsidRDefault="00705D7B" w:rsidP="00705D7B">
            <w:pPr>
              <w:rPr>
                <w:b/>
                <w:szCs w:val="20"/>
              </w:rPr>
            </w:pPr>
            <w:r>
              <w:rPr>
                <w:rFonts w:cs="Segoe UI"/>
                <w:szCs w:val="20"/>
              </w:rPr>
              <w:t xml:space="preserve">ABCSG-8: </w:t>
            </w:r>
            <w:r w:rsidRPr="001714DC">
              <w:rPr>
                <w:rFonts w:cs="Segoe UI"/>
                <w:szCs w:val="20"/>
              </w:rPr>
              <w:t>NCT00291759</w:t>
            </w:r>
          </w:p>
        </w:tc>
        <w:tc>
          <w:tcPr>
            <w:tcW w:w="1950" w:type="pct"/>
          </w:tcPr>
          <w:p w14:paraId="3D93F180" w14:textId="77777777" w:rsidR="00DD308E" w:rsidRDefault="00823176" w:rsidP="00DD308E">
            <w:pPr>
              <w:rPr>
                <w:szCs w:val="20"/>
              </w:rPr>
            </w:pPr>
            <w:r>
              <w:rPr>
                <w:szCs w:val="20"/>
              </w:rPr>
              <w:t xml:space="preserve">Population: </w:t>
            </w:r>
            <w:r w:rsidR="00A7440F">
              <w:rPr>
                <w:szCs w:val="20"/>
              </w:rPr>
              <w:t xml:space="preserve">2,137 </w:t>
            </w:r>
            <w:r>
              <w:rPr>
                <w:szCs w:val="20"/>
              </w:rPr>
              <w:t>FFPE samples from the ATAC and ABCSG-8 trials</w:t>
            </w:r>
            <w:r w:rsidR="00A7440F">
              <w:rPr>
                <w:szCs w:val="20"/>
              </w:rPr>
              <w:t xml:space="preserve"> from post-menopausal women with ER/PR +</w:t>
            </w:r>
            <w:proofErr w:type="spellStart"/>
            <w:r w:rsidR="00A7440F">
              <w:rPr>
                <w:szCs w:val="20"/>
              </w:rPr>
              <w:t>ve</w:t>
            </w:r>
            <w:proofErr w:type="spellEnd"/>
            <w:r w:rsidR="00A7440F">
              <w:rPr>
                <w:szCs w:val="20"/>
              </w:rPr>
              <w:t xml:space="preserve"> who did not have recurrence after 5 years of endocrine treatment</w:t>
            </w:r>
          </w:p>
          <w:p w14:paraId="6FA48454" w14:textId="77777777" w:rsidR="00823176" w:rsidRDefault="00823176" w:rsidP="00DD308E">
            <w:pPr>
              <w:rPr>
                <w:szCs w:val="20"/>
              </w:rPr>
            </w:pPr>
            <w:r>
              <w:rPr>
                <w:szCs w:val="20"/>
              </w:rPr>
              <w:t>Purpose:  to assess the PAM50 ROR score for predicting distant recurrence after 5 years follow-up</w:t>
            </w:r>
          </w:p>
          <w:p w14:paraId="157579A3" w14:textId="0BD7892D" w:rsidR="00A7440F" w:rsidRPr="00A7440F" w:rsidRDefault="00A7440F" w:rsidP="00A53B83">
            <w:pPr>
              <w:rPr>
                <w:b/>
                <w:szCs w:val="20"/>
              </w:rPr>
            </w:pPr>
            <w:r>
              <w:rPr>
                <w:szCs w:val="20"/>
              </w:rPr>
              <w:t xml:space="preserve">Results: CTS added more prognostic information </w:t>
            </w:r>
            <w:r w:rsidR="001046BF">
              <w:rPr>
                <w:szCs w:val="20"/>
              </w:rPr>
              <w:t xml:space="preserve">for </w:t>
            </w:r>
            <w:r w:rsidR="00A53B83">
              <w:rPr>
                <w:szCs w:val="20"/>
              </w:rPr>
              <w:t>distant recurrence</w:t>
            </w:r>
            <w:r>
              <w:rPr>
                <w:szCs w:val="20"/>
              </w:rPr>
              <w:t xml:space="preserve"> 5 years after diagnosis than the ROR score in the overall population (</w:t>
            </w:r>
            <w:proofErr w:type="spellStart"/>
            <w:r w:rsidR="001046BF">
              <w:rPr>
                <w:szCs w:val="20"/>
              </w:rPr>
              <w:t>univariable</w:t>
            </w:r>
            <w:proofErr w:type="spellEnd"/>
            <w:r w:rsidR="001046BF">
              <w:rPr>
                <w:szCs w:val="20"/>
              </w:rPr>
              <w:t xml:space="preserve">: </w:t>
            </w:r>
            <w:r>
              <w:rPr>
                <w:szCs w:val="20"/>
              </w:rPr>
              <w:t>LR χ</w:t>
            </w:r>
            <w:r>
              <w:rPr>
                <w:szCs w:val="20"/>
                <w:vertAlign w:val="superscript"/>
              </w:rPr>
              <w:t>2</w:t>
            </w:r>
            <w:r>
              <w:rPr>
                <w:szCs w:val="20"/>
              </w:rPr>
              <w:t xml:space="preserve"> = 94.12</w:t>
            </w:r>
            <w:r w:rsidR="009E76E5">
              <w:rPr>
                <w:szCs w:val="20"/>
              </w:rPr>
              <w:t>) and when added to ROR score</w:t>
            </w:r>
            <w:r w:rsidR="001046BF">
              <w:rPr>
                <w:szCs w:val="20"/>
              </w:rPr>
              <w:t xml:space="preserve"> </w:t>
            </w:r>
            <w:r w:rsidR="009E76E5">
              <w:rPr>
                <w:szCs w:val="20"/>
              </w:rPr>
              <w:t>(</w:t>
            </w:r>
            <w:proofErr w:type="spellStart"/>
            <w:r w:rsidR="001046BF">
              <w:rPr>
                <w:szCs w:val="20"/>
              </w:rPr>
              <w:t>bivariable</w:t>
            </w:r>
            <w:proofErr w:type="spellEnd"/>
            <w:r w:rsidR="001046BF">
              <w:rPr>
                <w:szCs w:val="20"/>
              </w:rPr>
              <w:t>:</w:t>
            </w:r>
            <w:r>
              <w:rPr>
                <w:szCs w:val="20"/>
              </w:rPr>
              <w:t xml:space="preserve"> </w:t>
            </w:r>
            <w:r w:rsidR="009E76E5">
              <w:rPr>
                <w:szCs w:val="20"/>
              </w:rPr>
              <w:t xml:space="preserve">LR </w:t>
            </w:r>
            <w:r>
              <w:rPr>
                <w:szCs w:val="20"/>
              </w:rPr>
              <w:t>χ</w:t>
            </w:r>
            <w:r>
              <w:rPr>
                <w:szCs w:val="20"/>
                <w:vertAlign w:val="superscript"/>
              </w:rPr>
              <w:t>2</w:t>
            </w:r>
            <w:r>
              <w:rPr>
                <w:szCs w:val="20"/>
              </w:rPr>
              <w:t xml:space="preserve"> = </w:t>
            </w:r>
            <w:r w:rsidR="001046BF">
              <w:rPr>
                <w:szCs w:val="20"/>
              </w:rPr>
              <w:t>61.43). Agreement between ROR and CTS was w</w:t>
            </w:r>
            <w:r w:rsidR="00A53B83">
              <w:rPr>
                <w:szCs w:val="20"/>
              </w:rPr>
              <w:t>ea</w:t>
            </w:r>
            <w:r w:rsidR="001046BF">
              <w:rPr>
                <w:szCs w:val="20"/>
              </w:rPr>
              <w:t>k (r = 0.36)</w:t>
            </w:r>
          </w:p>
        </w:tc>
        <w:tc>
          <w:tcPr>
            <w:tcW w:w="750" w:type="pct"/>
          </w:tcPr>
          <w:p w14:paraId="56C82413" w14:textId="34AC6D4A" w:rsidR="00DD308E" w:rsidRPr="001714DC" w:rsidRDefault="007A33E1" w:rsidP="00DD308E">
            <w:pPr>
              <w:rPr>
                <w:b/>
                <w:szCs w:val="20"/>
              </w:rPr>
            </w:pPr>
            <w:r w:rsidRPr="00A65F2D">
              <w:rPr>
                <w:szCs w:val="20"/>
              </w:rPr>
              <w:t>http://prosigna.com/x-us/downloads/publications/</w:t>
            </w:r>
            <w:r>
              <w:rPr>
                <w:szCs w:val="20"/>
              </w:rPr>
              <w:t xml:space="preserve"> </w:t>
            </w:r>
          </w:p>
        </w:tc>
        <w:tc>
          <w:tcPr>
            <w:tcW w:w="551" w:type="pct"/>
          </w:tcPr>
          <w:p w14:paraId="571CE024" w14:textId="77777777" w:rsidR="00DD308E" w:rsidRPr="001714DC" w:rsidRDefault="00D57DC7" w:rsidP="00DD308E">
            <w:pPr>
              <w:rPr>
                <w:b/>
                <w:szCs w:val="20"/>
              </w:rPr>
            </w:pPr>
            <w:r w:rsidRPr="001714DC">
              <w:rPr>
                <w:szCs w:val="20"/>
              </w:rPr>
              <w:t>2015</w:t>
            </w:r>
          </w:p>
        </w:tc>
      </w:tr>
      <w:tr w:rsidR="00FA232F" w:rsidRPr="001714DC" w14:paraId="7F1C9CF9" w14:textId="77777777" w:rsidTr="001C069D">
        <w:trPr>
          <w:cantSplit/>
        </w:trPr>
        <w:tc>
          <w:tcPr>
            <w:tcW w:w="149" w:type="pct"/>
          </w:tcPr>
          <w:p w14:paraId="7F2716FC" w14:textId="6E203670" w:rsidR="00DD308E" w:rsidRPr="001714DC" w:rsidRDefault="00ED07A0" w:rsidP="00DD308E">
            <w:pPr>
              <w:rPr>
                <w:szCs w:val="20"/>
              </w:rPr>
            </w:pPr>
            <w:r>
              <w:rPr>
                <w:szCs w:val="20"/>
              </w:rPr>
              <w:lastRenderedPageBreak/>
              <w:t>8</w:t>
            </w:r>
            <w:r w:rsidR="00DD308E" w:rsidRPr="001714DC">
              <w:rPr>
                <w:szCs w:val="20"/>
              </w:rPr>
              <w:t>.</w:t>
            </w:r>
          </w:p>
        </w:tc>
        <w:tc>
          <w:tcPr>
            <w:tcW w:w="500" w:type="pct"/>
          </w:tcPr>
          <w:p w14:paraId="19A9C20D" w14:textId="1195087D" w:rsidR="00DD308E" w:rsidRDefault="009B21F1" w:rsidP="00DD308E">
            <w:pPr>
              <w:rPr>
                <w:szCs w:val="20"/>
              </w:rPr>
            </w:pPr>
            <w:r>
              <w:rPr>
                <w:szCs w:val="20"/>
              </w:rPr>
              <w:t>Before and after case-series</w:t>
            </w:r>
          </w:p>
          <w:p w14:paraId="208633FB" w14:textId="77777777" w:rsidR="009B21F1" w:rsidRPr="001714DC" w:rsidRDefault="009B21F1" w:rsidP="00DD308E">
            <w:pPr>
              <w:rPr>
                <w:b/>
                <w:szCs w:val="20"/>
              </w:rPr>
            </w:pPr>
            <w:r>
              <w:rPr>
                <w:szCs w:val="20"/>
              </w:rPr>
              <w:t>Interventional level IV</w:t>
            </w:r>
          </w:p>
        </w:tc>
        <w:tc>
          <w:tcPr>
            <w:tcW w:w="1101" w:type="pct"/>
          </w:tcPr>
          <w:p w14:paraId="5784F40E" w14:textId="77777777" w:rsidR="00DD308E" w:rsidRPr="001714DC" w:rsidRDefault="00D57DC7" w:rsidP="00DD308E">
            <w:pPr>
              <w:rPr>
                <w:szCs w:val="20"/>
              </w:rPr>
            </w:pPr>
            <w:r w:rsidRPr="001714DC">
              <w:rPr>
                <w:szCs w:val="20"/>
              </w:rPr>
              <w:t xml:space="preserve">Prognostic ability of </w:t>
            </w:r>
            <w:proofErr w:type="spellStart"/>
            <w:r w:rsidRPr="001714DC">
              <w:rPr>
                <w:szCs w:val="20"/>
              </w:rPr>
              <w:t>EndoPredict</w:t>
            </w:r>
            <w:proofErr w:type="spellEnd"/>
            <w:r w:rsidRPr="001714DC">
              <w:rPr>
                <w:szCs w:val="20"/>
              </w:rPr>
              <w:t xml:space="preserve"> compared to research-based versions of the PAM50 risk of recurrence (ROR) scores in node-positive, </w:t>
            </w:r>
            <w:proofErr w:type="spellStart"/>
            <w:r w:rsidRPr="001714DC">
              <w:rPr>
                <w:szCs w:val="20"/>
              </w:rPr>
              <w:t>estrogen</w:t>
            </w:r>
            <w:proofErr w:type="spellEnd"/>
            <w:r w:rsidRPr="001714DC">
              <w:rPr>
                <w:szCs w:val="20"/>
              </w:rPr>
              <w:t xml:space="preserve"> receptor-positive, and HER2-negative breast cancer. A GEICAM/9906 sub-study</w:t>
            </w:r>
          </w:p>
          <w:p w14:paraId="2293AF0E" w14:textId="77777777" w:rsidR="00D57DC7" w:rsidRDefault="00D57DC7" w:rsidP="00DD308E">
            <w:pPr>
              <w:rPr>
                <w:szCs w:val="20"/>
              </w:rPr>
            </w:pPr>
            <w:r w:rsidRPr="001714DC">
              <w:rPr>
                <w:szCs w:val="20"/>
              </w:rPr>
              <w:t>Martin et al</w:t>
            </w:r>
          </w:p>
          <w:p w14:paraId="16AF6A21" w14:textId="49026EA4" w:rsidR="00936EEB" w:rsidRPr="001714DC" w:rsidRDefault="00936EEB" w:rsidP="00DD308E">
            <w:pPr>
              <w:rPr>
                <w:b/>
                <w:szCs w:val="20"/>
              </w:rPr>
            </w:pPr>
            <w:r>
              <w:rPr>
                <w:szCs w:val="20"/>
              </w:rPr>
              <w:t xml:space="preserve">GEICAM trial: </w:t>
            </w:r>
            <w:r w:rsidR="00A53B83">
              <w:t>NCT00129922</w:t>
            </w:r>
          </w:p>
        </w:tc>
        <w:tc>
          <w:tcPr>
            <w:tcW w:w="1950" w:type="pct"/>
          </w:tcPr>
          <w:p w14:paraId="628736BF" w14:textId="774C0830" w:rsidR="00DD308E" w:rsidRDefault="00F95D83" w:rsidP="00DD308E">
            <w:pPr>
              <w:rPr>
                <w:szCs w:val="20"/>
              </w:rPr>
            </w:pPr>
            <w:r>
              <w:rPr>
                <w:szCs w:val="20"/>
              </w:rPr>
              <w:t>Population: 217 patients with post-menopausal, ER +</w:t>
            </w:r>
            <w:proofErr w:type="spellStart"/>
            <w:r>
              <w:rPr>
                <w:szCs w:val="20"/>
              </w:rPr>
              <w:t>ve</w:t>
            </w:r>
            <w:proofErr w:type="spellEnd"/>
            <w:r>
              <w:rPr>
                <w:szCs w:val="20"/>
              </w:rPr>
              <w:t>, HER2 –</w:t>
            </w:r>
            <w:proofErr w:type="spellStart"/>
            <w:r>
              <w:rPr>
                <w:szCs w:val="20"/>
              </w:rPr>
              <w:t>ve</w:t>
            </w:r>
            <w:proofErr w:type="spellEnd"/>
            <w:r>
              <w:rPr>
                <w:szCs w:val="20"/>
              </w:rPr>
              <w:t xml:space="preserve">, </w:t>
            </w:r>
            <w:r w:rsidR="004E50E4">
              <w:rPr>
                <w:szCs w:val="20"/>
              </w:rPr>
              <w:t xml:space="preserve">node </w:t>
            </w:r>
            <w:r>
              <w:rPr>
                <w:szCs w:val="20"/>
              </w:rPr>
              <w:t>-</w:t>
            </w:r>
            <w:proofErr w:type="spellStart"/>
            <w:r w:rsidR="004E50E4">
              <w:rPr>
                <w:szCs w:val="20"/>
              </w:rPr>
              <w:t>ve</w:t>
            </w:r>
            <w:proofErr w:type="spellEnd"/>
            <w:r>
              <w:rPr>
                <w:szCs w:val="20"/>
              </w:rPr>
              <w:t>, stage 1 or 2 tumours</w:t>
            </w:r>
            <w:r w:rsidR="00936EEB">
              <w:rPr>
                <w:szCs w:val="20"/>
              </w:rPr>
              <w:t xml:space="preserve"> (GEICAM trial patients)</w:t>
            </w:r>
          </w:p>
          <w:p w14:paraId="784C3784" w14:textId="509B1C2E" w:rsidR="00F95D83" w:rsidRDefault="00F95D83" w:rsidP="00F95D83">
            <w:pPr>
              <w:rPr>
                <w:szCs w:val="20"/>
              </w:rPr>
            </w:pPr>
            <w:r>
              <w:rPr>
                <w:szCs w:val="20"/>
              </w:rPr>
              <w:t xml:space="preserve">Purpose: to determine the influence of the </w:t>
            </w:r>
            <w:proofErr w:type="spellStart"/>
            <w:r>
              <w:rPr>
                <w:szCs w:val="20"/>
              </w:rPr>
              <w:t>Prosigna</w:t>
            </w:r>
            <w:proofErr w:type="spellEnd"/>
            <w:r>
              <w:rPr>
                <w:szCs w:val="20"/>
              </w:rPr>
              <w:t xml:space="preserve"> gene expression profile on physician adjuvant treatment selection for early </w:t>
            </w:r>
            <w:r w:rsidR="004E50E4">
              <w:rPr>
                <w:szCs w:val="20"/>
              </w:rPr>
              <w:t>breast cancer</w:t>
            </w:r>
            <w:r>
              <w:rPr>
                <w:szCs w:val="20"/>
              </w:rPr>
              <w:t xml:space="preserve"> and treatment optimisation recommendations in clinical practice</w:t>
            </w:r>
          </w:p>
          <w:p w14:paraId="1EFAC601" w14:textId="3AEDE41E" w:rsidR="00F95D83" w:rsidRPr="001714DC" w:rsidRDefault="00F95D83" w:rsidP="004E50E4">
            <w:pPr>
              <w:rPr>
                <w:b/>
                <w:szCs w:val="20"/>
              </w:rPr>
            </w:pPr>
            <w:r>
              <w:rPr>
                <w:szCs w:val="20"/>
              </w:rPr>
              <w:t>Results: treatment recommendations changed in 20% o</w:t>
            </w:r>
            <w:r w:rsidR="00936EEB">
              <w:rPr>
                <w:szCs w:val="20"/>
              </w:rPr>
              <w:t xml:space="preserve">f patients following </w:t>
            </w:r>
            <w:r w:rsidR="004E50E4">
              <w:rPr>
                <w:szCs w:val="20"/>
              </w:rPr>
              <w:t>the gene expression profile</w:t>
            </w:r>
            <w:r w:rsidR="00936EEB">
              <w:rPr>
                <w:szCs w:val="20"/>
              </w:rPr>
              <w:t xml:space="preserve"> result</w:t>
            </w:r>
            <w:r>
              <w:rPr>
                <w:szCs w:val="20"/>
              </w:rPr>
              <w:t xml:space="preserve"> </w:t>
            </w:r>
          </w:p>
        </w:tc>
        <w:tc>
          <w:tcPr>
            <w:tcW w:w="750" w:type="pct"/>
          </w:tcPr>
          <w:p w14:paraId="158AE25E" w14:textId="77365F57" w:rsidR="00DD308E" w:rsidRPr="001714DC" w:rsidRDefault="007A33E1" w:rsidP="00DD308E">
            <w:pPr>
              <w:rPr>
                <w:b/>
                <w:szCs w:val="20"/>
              </w:rPr>
            </w:pPr>
            <w:r w:rsidRPr="00A65F2D">
              <w:rPr>
                <w:szCs w:val="20"/>
              </w:rPr>
              <w:t>http://www.tandfonline.com/doi/full/10.1185/03007995.2015.1037730</w:t>
            </w:r>
            <w:r>
              <w:rPr>
                <w:szCs w:val="20"/>
              </w:rPr>
              <w:t xml:space="preserve"> </w:t>
            </w:r>
          </w:p>
        </w:tc>
        <w:tc>
          <w:tcPr>
            <w:tcW w:w="551" w:type="pct"/>
          </w:tcPr>
          <w:p w14:paraId="0C1AE700" w14:textId="77777777" w:rsidR="00DD308E" w:rsidRPr="001714DC" w:rsidRDefault="00D57DC7" w:rsidP="00F95D83">
            <w:pPr>
              <w:rPr>
                <w:b/>
                <w:szCs w:val="20"/>
              </w:rPr>
            </w:pPr>
            <w:r w:rsidRPr="001714DC">
              <w:rPr>
                <w:szCs w:val="20"/>
              </w:rPr>
              <w:t>201</w:t>
            </w:r>
            <w:r w:rsidR="00F95D83">
              <w:rPr>
                <w:szCs w:val="20"/>
              </w:rPr>
              <w:t>5</w:t>
            </w:r>
          </w:p>
        </w:tc>
      </w:tr>
      <w:tr w:rsidR="00FA232F" w:rsidRPr="001714DC" w14:paraId="60227EDA" w14:textId="77777777" w:rsidTr="001C069D">
        <w:trPr>
          <w:cantSplit/>
        </w:trPr>
        <w:tc>
          <w:tcPr>
            <w:tcW w:w="149" w:type="pct"/>
          </w:tcPr>
          <w:p w14:paraId="7F7A3E14" w14:textId="5ECFE18A" w:rsidR="00DD308E" w:rsidRPr="001714DC" w:rsidRDefault="00ED07A0" w:rsidP="00AE6437">
            <w:pPr>
              <w:rPr>
                <w:szCs w:val="20"/>
              </w:rPr>
            </w:pPr>
            <w:r>
              <w:rPr>
                <w:szCs w:val="20"/>
              </w:rPr>
              <w:t>9</w:t>
            </w:r>
            <w:r w:rsidR="00DD308E" w:rsidRPr="001714DC">
              <w:rPr>
                <w:szCs w:val="20"/>
              </w:rPr>
              <w:t>.</w:t>
            </w:r>
          </w:p>
        </w:tc>
        <w:tc>
          <w:tcPr>
            <w:tcW w:w="500" w:type="pct"/>
          </w:tcPr>
          <w:p w14:paraId="0FAC7D3B" w14:textId="77777777" w:rsidR="009B21F1" w:rsidRDefault="009B21F1" w:rsidP="009B21F1">
            <w:pPr>
              <w:rPr>
                <w:szCs w:val="20"/>
              </w:rPr>
            </w:pPr>
            <w:r>
              <w:rPr>
                <w:szCs w:val="20"/>
              </w:rPr>
              <w:t>Analysis of prognostic factors amongst persons in a randomised controlled trial</w:t>
            </w:r>
          </w:p>
          <w:p w14:paraId="674CEC90" w14:textId="77777777" w:rsidR="009B21F1" w:rsidRDefault="009B21F1" w:rsidP="009B21F1">
            <w:pPr>
              <w:rPr>
                <w:szCs w:val="20"/>
              </w:rPr>
            </w:pPr>
            <w:r>
              <w:rPr>
                <w:szCs w:val="20"/>
              </w:rPr>
              <w:t>Prognostic level III-2</w:t>
            </w:r>
          </w:p>
          <w:p w14:paraId="0D1C4FFE" w14:textId="5430B601" w:rsidR="00DD308E" w:rsidRPr="001714DC" w:rsidRDefault="00DD308E" w:rsidP="00DD308E">
            <w:pPr>
              <w:rPr>
                <w:b/>
                <w:szCs w:val="20"/>
              </w:rPr>
            </w:pPr>
          </w:p>
        </w:tc>
        <w:tc>
          <w:tcPr>
            <w:tcW w:w="1101" w:type="pct"/>
          </w:tcPr>
          <w:p w14:paraId="12358A89" w14:textId="77777777" w:rsidR="00DD308E" w:rsidRPr="001714DC" w:rsidRDefault="003E29D5" w:rsidP="00DD308E">
            <w:pPr>
              <w:rPr>
                <w:szCs w:val="20"/>
              </w:rPr>
            </w:pPr>
            <w:r w:rsidRPr="001714DC">
              <w:rPr>
                <w:szCs w:val="20"/>
              </w:rPr>
              <w:t xml:space="preserve">Responsiveness of intrinsic subtypes to adjuvant </w:t>
            </w:r>
            <w:proofErr w:type="spellStart"/>
            <w:r w:rsidRPr="001714DC">
              <w:rPr>
                <w:szCs w:val="20"/>
              </w:rPr>
              <w:t>anthracycline</w:t>
            </w:r>
            <w:proofErr w:type="spellEnd"/>
            <w:r w:rsidRPr="001714DC">
              <w:rPr>
                <w:szCs w:val="20"/>
              </w:rPr>
              <w:t xml:space="preserve"> substitution in the NCIC.CTG MA.5 randomized trial</w:t>
            </w:r>
          </w:p>
          <w:p w14:paraId="2B105348" w14:textId="77777777" w:rsidR="003E29D5" w:rsidRPr="001714DC" w:rsidRDefault="003E29D5" w:rsidP="00DD308E">
            <w:pPr>
              <w:rPr>
                <w:b/>
                <w:szCs w:val="20"/>
              </w:rPr>
            </w:pPr>
            <w:proofErr w:type="spellStart"/>
            <w:r w:rsidRPr="001714DC">
              <w:rPr>
                <w:szCs w:val="20"/>
              </w:rPr>
              <w:t>Cheang</w:t>
            </w:r>
            <w:proofErr w:type="spellEnd"/>
            <w:r w:rsidRPr="001714DC">
              <w:rPr>
                <w:szCs w:val="20"/>
              </w:rPr>
              <w:t xml:space="preserve"> et al</w:t>
            </w:r>
          </w:p>
        </w:tc>
        <w:tc>
          <w:tcPr>
            <w:tcW w:w="1950" w:type="pct"/>
          </w:tcPr>
          <w:p w14:paraId="2C57BCC3" w14:textId="43D29D80" w:rsidR="0079686E" w:rsidRDefault="0079686E" w:rsidP="00DD308E">
            <w:pPr>
              <w:rPr>
                <w:szCs w:val="20"/>
              </w:rPr>
            </w:pPr>
            <w:r>
              <w:rPr>
                <w:szCs w:val="20"/>
              </w:rPr>
              <w:t>Population: FFPE sa</w:t>
            </w:r>
            <w:r w:rsidR="00761094">
              <w:rPr>
                <w:szCs w:val="20"/>
              </w:rPr>
              <w:t xml:space="preserve">mples from premenopausal node </w:t>
            </w:r>
            <w:r>
              <w:rPr>
                <w:szCs w:val="20"/>
              </w:rPr>
              <w:t>+</w:t>
            </w:r>
            <w:proofErr w:type="spellStart"/>
            <w:r w:rsidR="00761094">
              <w:rPr>
                <w:szCs w:val="20"/>
              </w:rPr>
              <w:t>ve</w:t>
            </w:r>
            <w:proofErr w:type="spellEnd"/>
            <w:r>
              <w:rPr>
                <w:szCs w:val="20"/>
              </w:rPr>
              <w:t xml:space="preserve"> </w:t>
            </w:r>
            <w:r w:rsidR="004E50E4">
              <w:rPr>
                <w:szCs w:val="20"/>
              </w:rPr>
              <w:t xml:space="preserve">breast cancer </w:t>
            </w:r>
            <w:r>
              <w:rPr>
                <w:szCs w:val="20"/>
              </w:rPr>
              <w:t>patients (NCIC.CTG MA.5 trial)</w:t>
            </w:r>
          </w:p>
          <w:p w14:paraId="3CF142E2" w14:textId="3FF936D7" w:rsidR="00DD308E" w:rsidRDefault="0079686E" w:rsidP="00DD308E">
            <w:pPr>
              <w:rPr>
                <w:szCs w:val="20"/>
              </w:rPr>
            </w:pPr>
            <w:r>
              <w:rPr>
                <w:szCs w:val="20"/>
              </w:rPr>
              <w:t xml:space="preserve">Purpose: to determine the association of </w:t>
            </w:r>
            <w:proofErr w:type="spellStart"/>
            <w:r>
              <w:rPr>
                <w:szCs w:val="20"/>
              </w:rPr>
              <w:t>qPCR</w:t>
            </w:r>
            <w:proofErr w:type="spellEnd"/>
            <w:r>
              <w:rPr>
                <w:szCs w:val="20"/>
              </w:rPr>
              <w:t xml:space="preserve"> P</w:t>
            </w:r>
            <w:r w:rsidR="004E50E4">
              <w:rPr>
                <w:szCs w:val="20"/>
              </w:rPr>
              <w:t>AM</w:t>
            </w:r>
            <w:r>
              <w:rPr>
                <w:szCs w:val="20"/>
              </w:rPr>
              <w:t xml:space="preserve">50 intrinsic subtypes with </w:t>
            </w:r>
            <w:r w:rsidR="004E50E4">
              <w:rPr>
                <w:szCs w:val="20"/>
              </w:rPr>
              <w:t>recurrence free survival</w:t>
            </w:r>
            <w:r>
              <w:rPr>
                <w:szCs w:val="20"/>
              </w:rPr>
              <w:t xml:space="preserve"> </w:t>
            </w:r>
            <w:r w:rsidR="004E50E4">
              <w:rPr>
                <w:szCs w:val="20"/>
              </w:rPr>
              <w:t xml:space="preserve">(RFS) and OS; to determine </w:t>
            </w:r>
            <w:r>
              <w:rPr>
                <w:szCs w:val="20"/>
              </w:rPr>
              <w:t xml:space="preserve">the significance of </w:t>
            </w:r>
            <w:r w:rsidR="004E50E4">
              <w:rPr>
                <w:szCs w:val="20"/>
              </w:rPr>
              <w:t xml:space="preserve">the </w:t>
            </w:r>
            <w:r>
              <w:rPr>
                <w:szCs w:val="20"/>
              </w:rPr>
              <w:t xml:space="preserve">interaction between treatment </w:t>
            </w:r>
            <w:r w:rsidR="0054034E">
              <w:rPr>
                <w:szCs w:val="20"/>
              </w:rPr>
              <w:t xml:space="preserve">(CMF versus CEF) </w:t>
            </w:r>
            <w:r>
              <w:rPr>
                <w:szCs w:val="20"/>
              </w:rPr>
              <w:t>and subtypes</w:t>
            </w:r>
            <w:r w:rsidR="003E5046">
              <w:rPr>
                <w:szCs w:val="20"/>
              </w:rPr>
              <w:t>.</w:t>
            </w:r>
          </w:p>
          <w:p w14:paraId="0E9F9ADE" w14:textId="3CA10193" w:rsidR="0079686E" w:rsidRPr="001714DC" w:rsidRDefault="0079686E" w:rsidP="0054034E">
            <w:pPr>
              <w:rPr>
                <w:b/>
                <w:szCs w:val="20"/>
              </w:rPr>
            </w:pPr>
            <w:r>
              <w:rPr>
                <w:szCs w:val="20"/>
              </w:rPr>
              <w:t xml:space="preserve">Results: </w:t>
            </w:r>
            <w:r w:rsidR="00761094">
              <w:rPr>
                <w:szCs w:val="20"/>
              </w:rPr>
              <w:t xml:space="preserve">In the combined cohort treated with either CMF or CEF, subtypes were associated with RFS (p = 0.0005) and OS (p </w:t>
            </w:r>
            <w:r w:rsidR="0054034E">
              <w:rPr>
                <w:szCs w:val="20"/>
              </w:rPr>
              <w:t xml:space="preserve">= </w:t>
            </w:r>
            <w:r w:rsidR="00761094">
              <w:rPr>
                <w:szCs w:val="20"/>
              </w:rPr>
              <w:t xml:space="preserve">0.0001). </w:t>
            </w:r>
            <w:r w:rsidR="003E5046">
              <w:rPr>
                <w:szCs w:val="20"/>
              </w:rPr>
              <w:t xml:space="preserve">The </w:t>
            </w:r>
            <w:r w:rsidR="00761094">
              <w:rPr>
                <w:szCs w:val="20"/>
              </w:rPr>
              <w:t xml:space="preserve">HER2 enriched subtype </w:t>
            </w:r>
            <w:r w:rsidR="0054034E">
              <w:rPr>
                <w:szCs w:val="20"/>
              </w:rPr>
              <w:t xml:space="preserve">strongly predicted </w:t>
            </w:r>
            <w:proofErr w:type="spellStart"/>
            <w:r w:rsidR="0054034E">
              <w:rPr>
                <w:szCs w:val="20"/>
              </w:rPr>
              <w:t>anthracycline</w:t>
            </w:r>
            <w:proofErr w:type="spellEnd"/>
            <w:r w:rsidR="0054034E">
              <w:rPr>
                <w:szCs w:val="20"/>
              </w:rPr>
              <w:t xml:space="preserve"> (CEF) sensitivity, whereas for basal-like tumours there was no difference in benefit between CEF and CMF.</w:t>
            </w:r>
          </w:p>
        </w:tc>
        <w:tc>
          <w:tcPr>
            <w:tcW w:w="750" w:type="pct"/>
          </w:tcPr>
          <w:p w14:paraId="1C04E40F" w14:textId="6C6979CC" w:rsidR="00DD308E" w:rsidRPr="001714DC" w:rsidRDefault="0079686E" w:rsidP="00DD308E">
            <w:pPr>
              <w:rPr>
                <w:b/>
                <w:szCs w:val="20"/>
              </w:rPr>
            </w:pPr>
            <w:r w:rsidRPr="00A65F2D">
              <w:rPr>
                <w:szCs w:val="20"/>
              </w:rPr>
              <w:t>http://prosigna.com/x-us/downloads/publications/</w:t>
            </w:r>
            <w:r>
              <w:rPr>
                <w:szCs w:val="20"/>
              </w:rPr>
              <w:t xml:space="preserve"> </w:t>
            </w:r>
          </w:p>
        </w:tc>
        <w:tc>
          <w:tcPr>
            <w:tcW w:w="551" w:type="pct"/>
          </w:tcPr>
          <w:p w14:paraId="02ADC9C7" w14:textId="77777777" w:rsidR="00DD308E" w:rsidRPr="001714DC" w:rsidRDefault="00792B33" w:rsidP="00DD308E">
            <w:pPr>
              <w:rPr>
                <w:b/>
                <w:szCs w:val="20"/>
              </w:rPr>
            </w:pPr>
            <w:r>
              <w:rPr>
                <w:szCs w:val="20"/>
              </w:rPr>
              <w:t>2012</w:t>
            </w:r>
          </w:p>
        </w:tc>
      </w:tr>
      <w:tr w:rsidR="00FA232F" w:rsidRPr="001714DC" w14:paraId="40A1286B" w14:textId="77777777" w:rsidTr="001C069D">
        <w:trPr>
          <w:cantSplit/>
        </w:trPr>
        <w:tc>
          <w:tcPr>
            <w:tcW w:w="149" w:type="pct"/>
          </w:tcPr>
          <w:p w14:paraId="26696DCE" w14:textId="03223370" w:rsidR="00DD308E" w:rsidRPr="001714DC" w:rsidRDefault="00ED07A0" w:rsidP="00AE6437">
            <w:pPr>
              <w:rPr>
                <w:szCs w:val="20"/>
              </w:rPr>
            </w:pPr>
            <w:r>
              <w:rPr>
                <w:szCs w:val="20"/>
              </w:rPr>
              <w:lastRenderedPageBreak/>
              <w:t>10</w:t>
            </w:r>
            <w:r w:rsidR="00DD308E" w:rsidRPr="001714DC">
              <w:rPr>
                <w:szCs w:val="20"/>
              </w:rPr>
              <w:t>.</w:t>
            </w:r>
          </w:p>
        </w:tc>
        <w:tc>
          <w:tcPr>
            <w:tcW w:w="500" w:type="pct"/>
          </w:tcPr>
          <w:p w14:paraId="35A644F0" w14:textId="77777777" w:rsidR="005F0242" w:rsidRDefault="005F0242" w:rsidP="005F0242">
            <w:pPr>
              <w:rPr>
                <w:szCs w:val="20"/>
              </w:rPr>
            </w:pPr>
            <w:r>
              <w:rPr>
                <w:szCs w:val="20"/>
              </w:rPr>
              <w:t>Retrospective cohort study</w:t>
            </w:r>
          </w:p>
          <w:p w14:paraId="5608154B" w14:textId="2A5DC827" w:rsidR="00E13F47" w:rsidRPr="001714DC" w:rsidRDefault="005F0242" w:rsidP="00DD308E">
            <w:pPr>
              <w:rPr>
                <w:b/>
                <w:szCs w:val="20"/>
              </w:rPr>
            </w:pPr>
            <w:r>
              <w:rPr>
                <w:szCs w:val="20"/>
              </w:rPr>
              <w:t>Prognostic level III-3</w:t>
            </w:r>
          </w:p>
        </w:tc>
        <w:tc>
          <w:tcPr>
            <w:tcW w:w="1101" w:type="pct"/>
          </w:tcPr>
          <w:p w14:paraId="0F25B983" w14:textId="77777777" w:rsidR="00DD308E" w:rsidRPr="001714DC" w:rsidRDefault="003E29D5" w:rsidP="00DD308E">
            <w:pPr>
              <w:rPr>
                <w:szCs w:val="20"/>
              </w:rPr>
            </w:pPr>
            <w:r w:rsidRPr="001714DC">
              <w:rPr>
                <w:szCs w:val="20"/>
              </w:rPr>
              <w:t xml:space="preserve">Prediction of Response to </w:t>
            </w:r>
            <w:proofErr w:type="spellStart"/>
            <w:r w:rsidRPr="001714DC">
              <w:rPr>
                <w:szCs w:val="20"/>
              </w:rPr>
              <w:t>Neoadjuvant</w:t>
            </w:r>
            <w:proofErr w:type="spellEnd"/>
            <w:r w:rsidRPr="001714DC">
              <w:rPr>
                <w:szCs w:val="20"/>
              </w:rPr>
              <w:t xml:space="preserve"> Chemotherapy Using Core Needle Biopsy Samples with the </w:t>
            </w:r>
            <w:proofErr w:type="spellStart"/>
            <w:r w:rsidRPr="001714DC">
              <w:rPr>
                <w:szCs w:val="20"/>
              </w:rPr>
              <w:t>Prosigna</w:t>
            </w:r>
            <w:proofErr w:type="spellEnd"/>
            <w:r w:rsidRPr="001714DC">
              <w:rPr>
                <w:szCs w:val="20"/>
              </w:rPr>
              <w:t xml:space="preserve"> Assay</w:t>
            </w:r>
          </w:p>
          <w:p w14:paraId="354A9335" w14:textId="77777777" w:rsidR="003E29D5" w:rsidRPr="001714DC" w:rsidRDefault="003E29D5" w:rsidP="00DD308E">
            <w:pPr>
              <w:rPr>
                <w:b/>
                <w:szCs w:val="20"/>
              </w:rPr>
            </w:pPr>
            <w:r w:rsidRPr="001714DC">
              <w:rPr>
                <w:szCs w:val="20"/>
              </w:rPr>
              <w:t>Pratt et al</w:t>
            </w:r>
          </w:p>
        </w:tc>
        <w:tc>
          <w:tcPr>
            <w:tcW w:w="1950" w:type="pct"/>
          </w:tcPr>
          <w:p w14:paraId="08FE3013" w14:textId="1CA4D4C4" w:rsidR="00DD308E" w:rsidRDefault="00394FD5" w:rsidP="00DD308E">
            <w:pPr>
              <w:rPr>
                <w:szCs w:val="20"/>
              </w:rPr>
            </w:pPr>
            <w:r>
              <w:rPr>
                <w:szCs w:val="20"/>
              </w:rPr>
              <w:t>Population:</w:t>
            </w:r>
            <w:r w:rsidR="00E13F47">
              <w:rPr>
                <w:szCs w:val="20"/>
              </w:rPr>
              <w:t xml:space="preserve"> 122 FFPE samples of core needle biopsy tissue </w:t>
            </w:r>
            <w:r w:rsidR="004C18FD">
              <w:rPr>
                <w:szCs w:val="20"/>
              </w:rPr>
              <w:t>from newly</w:t>
            </w:r>
            <w:r w:rsidR="00E13F47">
              <w:rPr>
                <w:szCs w:val="20"/>
              </w:rPr>
              <w:t xml:space="preserve"> diagnosed</w:t>
            </w:r>
            <w:r w:rsidR="003E5046">
              <w:rPr>
                <w:szCs w:val="20"/>
              </w:rPr>
              <w:t xml:space="preserve"> breast cancer</w:t>
            </w:r>
            <w:r w:rsidR="00E13F47">
              <w:rPr>
                <w:szCs w:val="20"/>
              </w:rPr>
              <w:t xml:space="preserve"> patients, and 216 samples from a Spanish HR +</w:t>
            </w:r>
            <w:proofErr w:type="spellStart"/>
            <w:r w:rsidR="00E13F47">
              <w:rPr>
                <w:szCs w:val="20"/>
              </w:rPr>
              <w:t>ve</w:t>
            </w:r>
            <w:proofErr w:type="spellEnd"/>
            <w:r w:rsidR="00E13F47">
              <w:rPr>
                <w:szCs w:val="20"/>
              </w:rPr>
              <w:t xml:space="preserve"> / HER2 –</w:t>
            </w:r>
            <w:proofErr w:type="spellStart"/>
            <w:r w:rsidR="00E13F47">
              <w:rPr>
                <w:szCs w:val="20"/>
              </w:rPr>
              <w:t>ve</w:t>
            </w:r>
            <w:proofErr w:type="spellEnd"/>
            <w:r w:rsidR="00E13F47">
              <w:rPr>
                <w:szCs w:val="20"/>
              </w:rPr>
              <w:t xml:space="preserve"> cohort bank.</w:t>
            </w:r>
          </w:p>
          <w:p w14:paraId="1A86F7E3" w14:textId="2FD20F07" w:rsidR="00E13F47" w:rsidRDefault="00E13F47" w:rsidP="00DD308E">
            <w:pPr>
              <w:rPr>
                <w:szCs w:val="20"/>
              </w:rPr>
            </w:pPr>
            <w:r>
              <w:rPr>
                <w:szCs w:val="20"/>
              </w:rPr>
              <w:t xml:space="preserve">Purpose: to evaluate the performance of </w:t>
            </w:r>
            <w:proofErr w:type="spellStart"/>
            <w:r>
              <w:rPr>
                <w:szCs w:val="20"/>
              </w:rPr>
              <w:t>Prosigna</w:t>
            </w:r>
            <w:proofErr w:type="spellEnd"/>
            <w:r>
              <w:rPr>
                <w:szCs w:val="20"/>
              </w:rPr>
              <w:t xml:space="preserve"> on core needle biopsy tissue </w:t>
            </w:r>
            <w:r w:rsidR="004C18FD">
              <w:rPr>
                <w:szCs w:val="20"/>
              </w:rPr>
              <w:t>compared to surgical resection specimens</w:t>
            </w:r>
            <w:r w:rsidR="003E5046">
              <w:rPr>
                <w:szCs w:val="20"/>
              </w:rPr>
              <w:t>;</w:t>
            </w:r>
            <w:r w:rsidR="004C18FD">
              <w:rPr>
                <w:szCs w:val="20"/>
              </w:rPr>
              <w:t xml:space="preserve"> </w:t>
            </w:r>
            <w:r>
              <w:rPr>
                <w:szCs w:val="20"/>
              </w:rPr>
              <w:t xml:space="preserve">and determine whether </w:t>
            </w:r>
            <w:proofErr w:type="spellStart"/>
            <w:r>
              <w:rPr>
                <w:szCs w:val="20"/>
              </w:rPr>
              <w:t>Prosigna</w:t>
            </w:r>
            <w:proofErr w:type="spellEnd"/>
            <w:r>
              <w:rPr>
                <w:szCs w:val="20"/>
              </w:rPr>
              <w:t xml:space="preserve"> ROR score and intrinsic subtype could predict response to </w:t>
            </w:r>
            <w:proofErr w:type="spellStart"/>
            <w:r>
              <w:rPr>
                <w:szCs w:val="20"/>
              </w:rPr>
              <w:t>neoadjuvant</w:t>
            </w:r>
            <w:proofErr w:type="spellEnd"/>
            <w:r>
              <w:rPr>
                <w:szCs w:val="20"/>
              </w:rPr>
              <w:t xml:space="preserve"> chemotherapy</w:t>
            </w:r>
          </w:p>
          <w:p w14:paraId="46E06EAB" w14:textId="77777777" w:rsidR="00E13F47" w:rsidRDefault="00E13F47" w:rsidP="00DD308E">
            <w:pPr>
              <w:rPr>
                <w:szCs w:val="20"/>
              </w:rPr>
            </w:pPr>
            <w:r>
              <w:rPr>
                <w:szCs w:val="20"/>
              </w:rPr>
              <w:t xml:space="preserve">Results: </w:t>
            </w:r>
            <w:r w:rsidR="004C18FD">
              <w:rPr>
                <w:szCs w:val="20"/>
              </w:rPr>
              <w:t xml:space="preserve">Correlation in ROR score between needle biopsy and surgical resection samples was high (r </w:t>
            </w:r>
            <w:proofErr w:type="gramStart"/>
            <w:r w:rsidR="004C18FD">
              <w:rPr>
                <w:szCs w:val="20"/>
              </w:rPr>
              <w:t>≥  0.90</w:t>
            </w:r>
            <w:proofErr w:type="gramEnd"/>
            <w:r w:rsidR="004C18FD">
              <w:rPr>
                <w:szCs w:val="20"/>
              </w:rPr>
              <w:t xml:space="preserve">) and 4- and 3-subtype classifications (kappa = 0.81 and  0.91 respectively). Both ROR (p = 0.047) and subtype (OR </w:t>
            </w:r>
            <w:proofErr w:type="spellStart"/>
            <w:r w:rsidR="004C18FD">
              <w:rPr>
                <w:szCs w:val="20"/>
              </w:rPr>
              <w:t>LumA</w:t>
            </w:r>
            <w:proofErr w:type="spellEnd"/>
            <w:r w:rsidR="004C18FD">
              <w:rPr>
                <w:szCs w:val="20"/>
              </w:rPr>
              <w:t xml:space="preserve"> versus non-</w:t>
            </w:r>
            <w:proofErr w:type="spellStart"/>
            <w:r w:rsidR="004C18FD">
              <w:rPr>
                <w:szCs w:val="20"/>
              </w:rPr>
              <w:t>LumA</w:t>
            </w:r>
            <w:proofErr w:type="spellEnd"/>
            <w:r w:rsidR="004C18FD">
              <w:rPr>
                <w:szCs w:val="20"/>
              </w:rPr>
              <w:t xml:space="preserve"> = 0.341, p = 0.037) were significant predictors of response to </w:t>
            </w:r>
            <w:proofErr w:type="spellStart"/>
            <w:r w:rsidR="004C18FD">
              <w:rPr>
                <w:szCs w:val="20"/>
              </w:rPr>
              <w:t>neoadjuvant</w:t>
            </w:r>
            <w:proofErr w:type="spellEnd"/>
            <w:r w:rsidR="004C18FD">
              <w:rPr>
                <w:szCs w:val="20"/>
              </w:rPr>
              <w:t xml:space="preserve"> chemotherapy.</w:t>
            </w:r>
          </w:p>
          <w:p w14:paraId="2B028099" w14:textId="77777777" w:rsidR="00394FD5" w:rsidRPr="001714DC" w:rsidRDefault="00394FD5" w:rsidP="00DD308E">
            <w:pPr>
              <w:rPr>
                <w:b/>
                <w:szCs w:val="20"/>
              </w:rPr>
            </w:pPr>
          </w:p>
        </w:tc>
        <w:tc>
          <w:tcPr>
            <w:tcW w:w="750" w:type="pct"/>
          </w:tcPr>
          <w:p w14:paraId="1A0C2555" w14:textId="31DB468F" w:rsidR="00DD308E" w:rsidRPr="001714DC" w:rsidRDefault="0079686E" w:rsidP="00DD308E">
            <w:pPr>
              <w:rPr>
                <w:b/>
                <w:szCs w:val="20"/>
              </w:rPr>
            </w:pPr>
            <w:r w:rsidRPr="00A65F2D">
              <w:rPr>
                <w:szCs w:val="20"/>
              </w:rPr>
              <w:t>http://prosigna.com/x-us/downloads/publications/</w:t>
            </w:r>
            <w:r>
              <w:rPr>
                <w:szCs w:val="20"/>
              </w:rPr>
              <w:t xml:space="preserve"> </w:t>
            </w:r>
          </w:p>
        </w:tc>
        <w:tc>
          <w:tcPr>
            <w:tcW w:w="551" w:type="pct"/>
          </w:tcPr>
          <w:p w14:paraId="5F00E6BF" w14:textId="77777777" w:rsidR="00DD308E" w:rsidRPr="001714DC" w:rsidRDefault="003E29D5" w:rsidP="00DD308E">
            <w:pPr>
              <w:rPr>
                <w:b/>
                <w:szCs w:val="20"/>
              </w:rPr>
            </w:pPr>
            <w:r w:rsidRPr="001714DC">
              <w:rPr>
                <w:szCs w:val="20"/>
              </w:rPr>
              <w:t>2015</w:t>
            </w:r>
          </w:p>
        </w:tc>
      </w:tr>
      <w:tr w:rsidR="003E29D5" w:rsidRPr="001714DC" w14:paraId="07322079" w14:textId="77777777" w:rsidTr="001C069D">
        <w:trPr>
          <w:cantSplit/>
        </w:trPr>
        <w:tc>
          <w:tcPr>
            <w:tcW w:w="149" w:type="pct"/>
          </w:tcPr>
          <w:p w14:paraId="48D4798F" w14:textId="77777777" w:rsidR="003E29D5" w:rsidRPr="001714DC" w:rsidRDefault="001714DC" w:rsidP="00AE6437">
            <w:pPr>
              <w:rPr>
                <w:szCs w:val="20"/>
              </w:rPr>
            </w:pPr>
            <w:r w:rsidRPr="001714DC">
              <w:rPr>
                <w:szCs w:val="20"/>
              </w:rPr>
              <w:t>1</w:t>
            </w:r>
            <w:r w:rsidR="00AE6437">
              <w:rPr>
                <w:szCs w:val="20"/>
              </w:rPr>
              <w:t>5</w:t>
            </w:r>
          </w:p>
        </w:tc>
        <w:tc>
          <w:tcPr>
            <w:tcW w:w="500" w:type="pct"/>
          </w:tcPr>
          <w:p w14:paraId="1A4846FB" w14:textId="77777777" w:rsidR="005F0242" w:rsidRDefault="005F0242" w:rsidP="005F0242">
            <w:pPr>
              <w:rPr>
                <w:szCs w:val="20"/>
              </w:rPr>
            </w:pPr>
            <w:r>
              <w:rPr>
                <w:szCs w:val="20"/>
              </w:rPr>
              <w:t>Analysis of prognostic factors amongst persons in a randomised controlled trial</w:t>
            </w:r>
          </w:p>
          <w:p w14:paraId="61D7D177" w14:textId="77777777" w:rsidR="005F0242" w:rsidRDefault="005F0242" w:rsidP="005F0242">
            <w:pPr>
              <w:rPr>
                <w:szCs w:val="20"/>
              </w:rPr>
            </w:pPr>
            <w:r>
              <w:rPr>
                <w:szCs w:val="20"/>
              </w:rPr>
              <w:t>Prognostic level III-2</w:t>
            </w:r>
          </w:p>
          <w:p w14:paraId="2F8BAA9B" w14:textId="3C4E87B6" w:rsidR="003E29D5" w:rsidRPr="001714DC" w:rsidRDefault="003E29D5" w:rsidP="00DD308E">
            <w:pPr>
              <w:rPr>
                <w:szCs w:val="20"/>
              </w:rPr>
            </w:pPr>
          </w:p>
        </w:tc>
        <w:tc>
          <w:tcPr>
            <w:tcW w:w="1101" w:type="pct"/>
          </w:tcPr>
          <w:p w14:paraId="1C1CD720" w14:textId="77777777" w:rsidR="003E29D5" w:rsidRPr="001714DC" w:rsidRDefault="001714DC" w:rsidP="00DD308E">
            <w:pPr>
              <w:rPr>
                <w:szCs w:val="20"/>
              </w:rPr>
            </w:pPr>
            <w:r w:rsidRPr="001714DC">
              <w:rPr>
                <w:szCs w:val="20"/>
              </w:rPr>
              <w:t>Defining breast cancer intrinsic subtypes by quantitative receptor expression</w:t>
            </w:r>
          </w:p>
          <w:p w14:paraId="19759FCC" w14:textId="77777777" w:rsidR="001714DC" w:rsidRPr="001714DC" w:rsidRDefault="001714DC" w:rsidP="00DD308E">
            <w:pPr>
              <w:rPr>
                <w:szCs w:val="20"/>
              </w:rPr>
            </w:pPr>
            <w:proofErr w:type="spellStart"/>
            <w:r w:rsidRPr="001714DC">
              <w:rPr>
                <w:szCs w:val="20"/>
              </w:rPr>
              <w:t>Cheang</w:t>
            </w:r>
            <w:proofErr w:type="spellEnd"/>
            <w:r w:rsidRPr="001714DC">
              <w:rPr>
                <w:szCs w:val="20"/>
              </w:rPr>
              <w:t xml:space="preserve"> et al</w:t>
            </w:r>
          </w:p>
        </w:tc>
        <w:tc>
          <w:tcPr>
            <w:tcW w:w="1950" w:type="pct"/>
          </w:tcPr>
          <w:p w14:paraId="50801F4A" w14:textId="26EC775D" w:rsidR="003E29D5" w:rsidRDefault="004346DA" w:rsidP="00DD308E">
            <w:pPr>
              <w:rPr>
                <w:szCs w:val="20"/>
              </w:rPr>
            </w:pPr>
            <w:r>
              <w:rPr>
                <w:szCs w:val="20"/>
              </w:rPr>
              <w:t xml:space="preserve">Population: Data </w:t>
            </w:r>
            <w:r w:rsidR="005F0242">
              <w:rPr>
                <w:szCs w:val="20"/>
              </w:rPr>
              <w:t xml:space="preserve">and </w:t>
            </w:r>
            <w:r>
              <w:rPr>
                <w:szCs w:val="20"/>
              </w:rPr>
              <w:t>FFPE samples of 1,557 patients from 3 trials – GEICAM/, NCIC CTG MA.5 and NCIC CTG MA.12</w:t>
            </w:r>
          </w:p>
          <w:p w14:paraId="5E3D2CFA" w14:textId="2B008D69" w:rsidR="004346DA" w:rsidRDefault="004346DA" w:rsidP="00DD308E">
            <w:pPr>
              <w:rPr>
                <w:szCs w:val="20"/>
              </w:rPr>
            </w:pPr>
            <w:r>
              <w:rPr>
                <w:szCs w:val="20"/>
              </w:rPr>
              <w:t xml:space="preserve">Purpose: to compare centrally performed clinical assays of ER, PR and HER2 expression with PAM50 intrinsic subtypes, a centroid based </w:t>
            </w:r>
            <w:r w:rsidR="00F5073A">
              <w:rPr>
                <w:szCs w:val="20"/>
              </w:rPr>
              <w:t>50</w:t>
            </w:r>
            <w:r>
              <w:rPr>
                <w:szCs w:val="20"/>
              </w:rPr>
              <w:t>-gene prediction algorithm</w:t>
            </w:r>
          </w:p>
          <w:p w14:paraId="6BF35D84" w14:textId="77777777" w:rsidR="004346DA" w:rsidRPr="001714DC" w:rsidRDefault="004346DA" w:rsidP="00DD308E">
            <w:pPr>
              <w:rPr>
                <w:szCs w:val="20"/>
              </w:rPr>
            </w:pPr>
            <w:r>
              <w:rPr>
                <w:szCs w:val="20"/>
              </w:rPr>
              <w:t>Results:</w:t>
            </w:r>
            <w:r w:rsidR="00147F20">
              <w:rPr>
                <w:szCs w:val="20"/>
              </w:rPr>
              <w:t xml:space="preserve"> There was significant discordance between clinical </w:t>
            </w:r>
            <w:proofErr w:type="gramStart"/>
            <w:r w:rsidR="00147F20">
              <w:rPr>
                <w:szCs w:val="20"/>
              </w:rPr>
              <w:t>assay</w:t>
            </w:r>
            <w:proofErr w:type="gramEnd"/>
            <w:r w:rsidR="00147F20">
              <w:rPr>
                <w:szCs w:val="20"/>
              </w:rPr>
              <w:t xml:space="preserve"> </w:t>
            </w:r>
            <w:r w:rsidR="0034119C">
              <w:rPr>
                <w:szCs w:val="20"/>
              </w:rPr>
              <w:t>defined</w:t>
            </w:r>
            <w:r w:rsidR="00147F20">
              <w:rPr>
                <w:szCs w:val="20"/>
              </w:rPr>
              <w:t xml:space="preserve"> subsets and </w:t>
            </w:r>
            <w:proofErr w:type="spellStart"/>
            <w:r w:rsidR="00147F20">
              <w:rPr>
                <w:szCs w:val="20"/>
              </w:rPr>
              <w:t>Prosigna</w:t>
            </w:r>
            <w:proofErr w:type="spellEnd"/>
            <w:r w:rsidR="00147F20">
              <w:rPr>
                <w:szCs w:val="20"/>
              </w:rPr>
              <w:t xml:space="preserve"> intrinsic subtype.</w:t>
            </w:r>
          </w:p>
        </w:tc>
        <w:tc>
          <w:tcPr>
            <w:tcW w:w="750" w:type="pct"/>
          </w:tcPr>
          <w:p w14:paraId="725783F7" w14:textId="4B3263E5" w:rsidR="003E29D5" w:rsidRPr="001714DC" w:rsidRDefault="00F5073A" w:rsidP="00DD308E">
            <w:pPr>
              <w:rPr>
                <w:szCs w:val="20"/>
              </w:rPr>
            </w:pPr>
            <w:r w:rsidRPr="00A65F2D">
              <w:rPr>
                <w:szCs w:val="20"/>
              </w:rPr>
              <w:t>http://theoncologist.alphamedpress.org/content/20/5/474.long</w:t>
            </w:r>
            <w:r>
              <w:rPr>
                <w:szCs w:val="20"/>
              </w:rPr>
              <w:t xml:space="preserve"> </w:t>
            </w:r>
          </w:p>
        </w:tc>
        <w:tc>
          <w:tcPr>
            <w:tcW w:w="551" w:type="pct"/>
          </w:tcPr>
          <w:p w14:paraId="226E940B" w14:textId="77777777" w:rsidR="003E29D5" w:rsidRPr="001714DC" w:rsidRDefault="001714DC" w:rsidP="00DD308E">
            <w:pPr>
              <w:rPr>
                <w:szCs w:val="20"/>
              </w:rPr>
            </w:pPr>
            <w:r w:rsidRPr="001714DC">
              <w:rPr>
                <w:szCs w:val="20"/>
              </w:rPr>
              <w:t>2015</w:t>
            </w:r>
          </w:p>
        </w:tc>
      </w:tr>
    </w:tbl>
    <w:p w14:paraId="29C05D55" w14:textId="3CA6DCF8" w:rsidR="00F50B54" w:rsidRPr="001B78DA" w:rsidRDefault="00D7528D" w:rsidP="00F50B54">
      <w:pPr>
        <w:spacing w:after="0"/>
        <w:rPr>
          <w:sz w:val="18"/>
          <w:szCs w:val="18"/>
        </w:rPr>
      </w:pPr>
      <w:r>
        <w:rPr>
          <w:sz w:val="18"/>
          <w:szCs w:val="18"/>
        </w:rPr>
        <w:t xml:space="preserve">ABCSG-8 = </w:t>
      </w:r>
      <w:r w:rsidR="00317715">
        <w:rPr>
          <w:sz w:val="18"/>
          <w:szCs w:val="18"/>
        </w:rPr>
        <w:t xml:space="preserve">Austrian Breast and Colorectal Cancer Study Group 8; </w:t>
      </w:r>
      <w:r>
        <w:rPr>
          <w:sz w:val="18"/>
          <w:szCs w:val="18"/>
        </w:rPr>
        <w:t xml:space="preserve">ATAC = </w:t>
      </w:r>
      <w:proofErr w:type="spellStart"/>
      <w:r w:rsidR="00317715">
        <w:rPr>
          <w:sz w:val="18"/>
          <w:szCs w:val="18"/>
        </w:rPr>
        <w:t>Arimidex</w:t>
      </w:r>
      <w:proofErr w:type="spellEnd"/>
      <w:r w:rsidR="00317715">
        <w:rPr>
          <w:sz w:val="18"/>
          <w:szCs w:val="18"/>
        </w:rPr>
        <w:t xml:space="preserve">, </w:t>
      </w:r>
      <w:proofErr w:type="spellStart"/>
      <w:r w:rsidR="00317715">
        <w:rPr>
          <w:sz w:val="18"/>
          <w:szCs w:val="18"/>
        </w:rPr>
        <w:t>Tamoxifen</w:t>
      </w:r>
      <w:proofErr w:type="spellEnd"/>
      <w:r w:rsidR="00317715">
        <w:rPr>
          <w:sz w:val="18"/>
          <w:szCs w:val="18"/>
        </w:rPr>
        <w:t xml:space="preserve"> Alone or in Combination trial;</w:t>
      </w:r>
      <w:r w:rsidR="00705D7B">
        <w:rPr>
          <w:sz w:val="18"/>
          <w:szCs w:val="18"/>
        </w:rPr>
        <w:t xml:space="preserve"> c index = comparison of concordance index;</w:t>
      </w:r>
      <w:r w:rsidR="00737205">
        <w:rPr>
          <w:sz w:val="18"/>
          <w:szCs w:val="18"/>
        </w:rPr>
        <w:t xml:space="preserve"> </w:t>
      </w:r>
      <w:r w:rsidR="00705D7B">
        <w:rPr>
          <w:sz w:val="18"/>
          <w:szCs w:val="18"/>
        </w:rPr>
        <w:t xml:space="preserve">CEF = cyclophosphamide, </w:t>
      </w:r>
      <w:proofErr w:type="spellStart"/>
      <w:r w:rsidR="00705D7B">
        <w:rPr>
          <w:sz w:val="18"/>
          <w:szCs w:val="18"/>
        </w:rPr>
        <w:t>epirubicin</w:t>
      </w:r>
      <w:proofErr w:type="spellEnd"/>
      <w:r w:rsidR="00705D7B">
        <w:rPr>
          <w:sz w:val="18"/>
          <w:szCs w:val="18"/>
        </w:rPr>
        <w:t xml:space="preserve"> and fluorouracil</w:t>
      </w:r>
      <w:r w:rsidR="00F50B54">
        <w:rPr>
          <w:sz w:val="18"/>
          <w:szCs w:val="18"/>
        </w:rPr>
        <w:t xml:space="preserve">; CMF = cyclophosphamide, methotrexate and fluorouracil; </w:t>
      </w:r>
      <w:r w:rsidR="0066323D">
        <w:rPr>
          <w:sz w:val="18"/>
          <w:szCs w:val="18"/>
        </w:rPr>
        <w:t xml:space="preserve">CTS = clinical treatment score based on nodal status, tumour size, </w:t>
      </w:r>
      <w:proofErr w:type="spellStart"/>
      <w:r w:rsidR="0066323D">
        <w:rPr>
          <w:sz w:val="18"/>
          <w:szCs w:val="18"/>
        </w:rPr>
        <w:t>histopathologic</w:t>
      </w:r>
      <w:proofErr w:type="spellEnd"/>
      <w:r w:rsidR="0066323D">
        <w:rPr>
          <w:sz w:val="18"/>
          <w:szCs w:val="18"/>
        </w:rPr>
        <w:t xml:space="preserve"> grade, age and </w:t>
      </w:r>
      <w:proofErr w:type="spellStart"/>
      <w:r w:rsidR="0066323D">
        <w:rPr>
          <w:sz w:val="18"/>
          <w:szCs w:val="18"/>
        </w:rPr>
        <w:t>anastrozole</w:t>
      </w:r>
      <w:proofErr w:type="spellEnd"/>
      <w:r w:rsidR="0066323D">
        <w:rPr>
          <w:sz w:val="18"/>
          <w:szCs w:val="18"/>
        </w:rPr>
        <w:t xml:space="preserve"> or </w:t>
      </w:r>
      <w:proofErr w:type="spellStart"/>
      <w:r w:rsidR="0066323D">
        <w:rPr>
          <w:sz w:val="18"/>
          <w:szCs w:val="18"/>
        </w:rPr>
        <w:t>tamoxifen</w:t>
      </w:r>
      <w:proofErr w:type="spellEnd"/>
      <w:r w:rsidR="0066323D">
        <w:rPr>
          <w:sz w:val="18"/>
          <w:szCs w:val="18"/>
        </w:rPr>
        <w:t xml:space="preserve"> treatment; </w:t>
      </w:r>
      <w:r w:rsidR="00F50B54">
        <w:rPr>
          <w:sz w:val="18"/>
          <w:szCs w:val="18"/>
        </w:rPr>
        <w:t xml:space="preserve">DBCG = Danish Breast Cancer Cooperative Group trial; </w:t>
      </w:r>
      <w:r w:rsidR="0034119C">
        <w:rPr>
          <w:sz w:val="18"/>
          <w:szCs w:val="18"/>
        </w:rPr>
        <w:t xml:space="preserve">DRFS = distant recurrence free survival; </w:t>
      </w:r>
      <w:r w:rsidR="00F50B54">
        <w:rPr>
          <w:sz w:val="18"/>
          <w:szCs w:val="18"/>
        </w:rPr>
        <w:t xml:space="preserve">ER = </w:t>
      </w:r>
      <w:proofErr w:type="spellStart"/>
      <w:r w:rsidR="00F50B54">
        <w:rPr>
          <w:sz w:val="18"/>
          <w:szCs w:val="18"/>
        </w:rPr>
        <w:t>estrogen</w:t>
      </w:r>
      <w:proofErr w:type="spellEnd"/>
      <w:r w:rsidR="00F50B54">
        <w:rPr>
          <w:sz w:val="18"/>
          <w:szCs w:val="18"/>
        </w:rPr>
        <w:t xml:space="preserve"> receptor; FFPE = formalin fixed paraffin embedded; GEICAM = </w:t>
      </w:r>
      <w:proofErr w:type="spellStart"/>
      <w:r w:rsidR="00F50B54">
        <w:rPr>
          <w:sz w:val="18"/>
          <w:szCs w:val="18"/>
        </w:rPr>
        <w:t>Grupo</w:t>
      </w:r>
      <w:proofErr w:type="spellEnd"/>
      <w:r w:rsidR="00F50B54">
        <w:rPr>
          <w:sz w:val="18"/>
          <w:szCs w:val="18"/>
        </w:rPr>
        <w:t xml:space="preserve"> </w:t>
      </w:r>
      <w:proofErr w:type="spellStart"/>
      <w:r w:rsidR="00F50B54">
        <w:rPr>
          <w:sz w:val="18"/>
          <w:szCs w:val="18"/>
        </w:rPr>
        <w:t>Espanol</w:t>
      </w:r>
      <w:proofErr w:type="spellEnd"/>
      <w:r w:rsidR="00F50B54">
        <w:rPr>
          <w:sz w:val="18"/>
          <w:szCs w:val="18"/>
        </w:rPr>
        <w:t xml:space="preserve"> </w:t>
      </w:r>
      <w:proofErr w:type="spellStart"/>
      <w:r w:rsidR="00F50B54">
        <w:rPr>
          <w:sz w:val="18"/>
          <w:szCs w:val="18"/>
        </w:rPr>
        <w:t>para</w:t>
      </w:r>
      <w:proofErr w:type="spellEnd"/>
      <w:r w:rsidR="00F50B54">
        <w:rPr>
          <w:sz w:val="18"/>
          <w:szCs w:val="18"/>
        </w:rPr>
        <w:t xml:space="preserve"> la </w:t>
      </w:r>
      <w:proofErr w:type="spellStart"/>
      <w:r w:rsidR="00F50B54">
        <w:rPr>
          <w:sz w:val="18"/>
          <w:szCs w:val="18"/>
        </w:rPr>
        <w:t>Investiacion</w:t>
      </w:r>
      <w:proofErr w:type="spellEnd"/>
      <w:r w:rsidR="00F50B54">
        <w:rPr>
          <w:sz w:val="18"/>
          <w:szCs w:val="18"/>
        </w:rPr>
        <w:t xml:space="preserve"> del Cancer de Mama; </w:t>
      </w:r>
      <w:r w:rsidR="00F50B54" w:rsidRPr="00ED07A0">
        <w:rPr>
          <w:sz w:val="18"/>
          <w:szCs w:val="18"/>
        </w:rPr>
        <w:t>GEP =</w:t>
      </w:r>
      <w:r w:rsidR="00F50B54">
        <w:rPr>
          <w:sz w:val="18"/>
          <w:szCs w:val="18"/>
        </w:rPr>
        <w:t xml:space="preserve"> gene expression profile; HER2 = human epidermal growth factor receptor 2; IHC4 =  an </w:t>
      </w:r>
      <w:r w:rsidR="00F50B54">
        <w:rPr>
          <w:sz w:val="18"/>
          <w:szCs w:val="18"/>
        </w:rPr>
        <w:lastRenderedPageBreak/>
        <w:t xml:space="preserve">index of distant recurrence risk derived from </w:t>
      </w:r>
      <w:proofErr w:type="spellStart"/>
      <w:r w:rsidR="00F50B54">
        <w:rPr>
          <w:sz w:val="18"/>
          <w:szCs w:val="18"/>
        </w:rPr>
        <w:t>immunohistochemical</w:t>
      </w:r>
      <w:proofErr w:type="spellEnd"/>
      <w:r w:rsidR="00F50B54">
        <w:rPr>
          <w:sz w:val="18"/>
          <w:szCs w:val="18"/>
        </w:rPr>
        <w:t xml:space="preserve"> testing of oestrogen receptor, </w:t>
      </w:r>
      <w:proofErr w:type="spellStart"/>
      <w:r w:rsidR="00F50B54">
        <w:rPr>
          <w:sz w:val="18"/>
          <w:szCs w:val="18"/>
        </w:rPr>
        <w:t>dprogesterone</w:t>
      </w:r>
      <w:proofErr w:type="spellEnd"/>
      <w:r w:rsidR="00F50B54">
        <w:rPr>
          <w:sz w:val="18"/>
          <w:szCs w:val="18"/>
        </w:rPr>
        <w:t xml:space="preserve"> receptor, human epidermal growth factor receptor 2 and Ki67; N +/- = node positive or negative; mRNA = messenger ribonucleic acid; NCIC.CTG MA5 and MA12= National Cancer Institute of Canada Clinical Trials Group MA5 and MA12 trials; </w:t>
      </w:r>
      <w:r w:rsidR="00F50B54" w:rsidRPr="001B78DA">
        <w:rPr>
          <w:sz w:val="18"/>
          <w:szCs w:val="18"/>
        </w:rPr>
        <w:t>NPV = negative predictive value</w:t>
      </w:r>
      <w:r w:rsidR="00F50B54">
        <w:rPr>
          <w:sz w:val="18"/>
          <w:szCs w:val="18"/>
        </w:rPr>
        <w:t xml:space="preserve">; OR = odds ratio; OS = overall survival; ROR = risk of recurrence score; PR = progesterone receptor; RS = </w:t>
      </w:r>
      <w:proofErr w:type="spellStart"/>
      <w:r w:rsidR="00F50B54">
        <w:rPr>
          <w:sz w:val="18"/>
          <w:szCs w:val="18"/>
        </w:rPr>
        <w:t>Oncotype</w:t>
      </w:r>
      <w:proofErr w:type="spellEnd"/>
      <w:r w:rsidR="00F50B54">
        <w:rPr>
          <w:sz w:val="18"/>
          <w:szCs w:val="18"/>
        </w:rPr>
        <w:t xml:space="preserve"> DX recurrence score;; TEX trial = first-line chemotherapy of </w:t>
      </w:r>
      <w:proofErr w:type="spellStart"/>
      <w:r w:rsidR="00F50B54">
        <w:rPr>
          <w:sz w:val="18"/>
          <w:szCs w:val="18"/>
        </w:rPr>
        <w:t>epirubicin</w:t>
      </w:r>
      <w:proofErr w:type="spellEnd"/>
      <w:r w:rsidR="00F50B54">
        <w:rPr>
          <w:sz w:val="18"/>
          <w:szCs w:val="18"/>
        </w:rPr>
        <w:t xml:space="preserve"> and paclitaxel alone or in combination with </w:t>
      </w:r>
      <w:proofErr w:type="spellStart"/>
      <w:r w:rsidR="00F50B54">
        <w:rPr>
          <w:sz w:val="18"/>
          <w:szCs w:val="18"/>
        </w:rPr>
        <w:t>capecitabine</w:t>
      </w:r>
      <w:proofErr w:type="spellEnd"/>
      <w:r w:rsidR="00F50B54">
        <w:rPr>
          <w:sz w:val="18"/>
          <w:szCs w:val="18"/>
        </w:rPr>
        <w:t>; TTP = time to progression</w:t>
      </w:r>
    </w:p>
    <w:p w14:paraId="05CB073E" w14:textId="77777777" w:rsidR="00DD308E" w:rsidRDefault="00DD308E" w:rsidP="00F50B54">
      <w:pPr>
        <w:spacing w:after="0"/>
        <w:ind w:firstLine="426"/>
        <w:rPr>
          <w:i/>
          <w:szCs w:val="20"/>
        </w:rPr>
      </w:pPr>
      <w:r>
        <w:rPr>
          <w:i/>
          <w:szCs w:val="20"/>
        </w:rPr>
        <w:t xml:space="preserve">* Categorise study design, for example meta-analysis, randomised trials, non-randomised trial or observational study, study of diagnostic accuracy, etc. </w:t>
      </w:r>
    </w:p>
    <w:p w14:paraId="58E1906A"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606E29DE" w14:textId="77777777"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p>
    <w:p w14:paraId="494EBE58" w14:textId="77777777" w:rsidR="00125891" w:rsidRDefault="00125891" w:rsidP="00DD308E">
      <w:pPr>
        <w:spacing w:after="0"/>
        <w:ind w:left="426"/>
        <w:rPr>
          <w:i/>
          <w:szCs w:val="20"/>
        </w:rPr>
      </w:pPr>
    </w:p>
    <w:p w14:paraId="1EC7714E" w14:textId="77777777" w:rsidR="004C49EF" w:rsidRDefault="004C49EF" w:rsidP="00530204">
      <w:pPr>
        <w:pStyle w:val="Heading2"/>
        <w:rPr>
          <w:i/>
        </w:rPr>
      </w:pPr>
      <w:r w:rsidRPr="00E82F54">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w:t>
      </w:r>
      <w:proofErr w:type="gramStart"/>
      <w:r w:rsidRPr="001130B0">
        <w:rPr>
          <w:i/>
        </w:rPr>
        <w:t>articles,</w:t>
      </w:r>
      <w:proofErr w:type="gramEnd"/>
      <w:r w:rsidRPr="001130B0">
        <w:rPr>
          <w:i/>
        </w:rPr>
        <w:t xml:space="preserve"> this is just intended to be a summary.</w:t>
      </w:r>
    </w:p>
    <w:p w14:paraId="645289B0" w14:textId="77777777" w:rsidR="009A759B" w:rsidRPr="003E5046" w:rsidRDefault="009A759B" w:rsidP="00477651">
      <w:pPr>
        <w:pStyle w:val="Caption"/>
        <w:spacing w:after="120"/>
        <w:rPr>
          <w:sz w:val="20"/>
          <w:szCs w:val="20"/>
        </w:rPr>
      </w:pPr>
      <w:r w:rsidRPr="003E5046">
        <w:rPr>
          <w:sz w:val="20"/>
          <w:szCs w:val="20"/>
        </w:rPr>
        <w:t xml:space="preserve">Table </w:t>
      </w:r>
      <w:r w:rsidRPr="003E5046">
        <w:rPr>
          <w:sz w:val="20"/>
          <w:szCs w:val="20"/>
        </w:rPr>
        <w:fldChar w:fldCharType="begin"/>
      </w:r>
      <w:r w:rsidRPr="003E5046">
        <w:rPr>
          <w:sz w:val="20"/>
          <w:szCs w:val="20"/>
        </w:rPr>
        <w:instrText xml:space="preserve"> SEQ Table \* ARABIC </w:instrText>
      </w:r>
      <w:r w:rsidRPr="003E5046">
        <w:rPr>
          <w:sz w:val="20"/>
          <w:szCs w:val="20"/>
        </w:rPr>
        <w:fldChar w:fldCharType="separate"/>
      </w:r>
      <w:r w:rsidR="003E6138">
        <w:rPr>
          <w:sz w:val="20"/>
          <w:szCs w:val="20"/>
        </w:rPr>
        <w:t>2</w:t>
      </w:r>
      <w:r w:rsidRPr="003E5046">
        <w:rPr>
          <w:sz w:val="20"/>
          <w:szCs w:val="20"/>
        </w:rPr>
        <w:fldChar w:fldCharType="end"/>
      </w:r>
      <w:r w:rsidRPr="003E5046">
        <w:rPr>
          <w:sz w:val="20"/>
          <w:szCs w:val="20"/>
        </w:rPr>
        <w:tab/>
        <w:t>Key trials relevant to the proposed service that have yet to publish evidence</w:t>
      </w:r>
    </w:p>
    <w:tbl>
      <w:tblPr>
        <w:tblStyle w:val="TableGrid"/>
        <w:tblW w:w="5000" w:type="pct"/>
        <w:tblLayout w:type="fixed"/>
        <w:tblLook w:val="04A0" w:firstRow="1" w:lastRow="0" w:firstColumn="1" w:lastColumn="0" w:noHBand="0" w:noVBand="1"/>
        <w:tblCaption w:val="Summary of Evidence - Yet to be Published"/>
      </w:tblPr>
      <w:tblGrid>
        <w:gridCol w:w="477"/>
        <w:gridCol w:w="1505"/>
        <w:gridCol w:w="3631"/>
        <w:gridCol w:w="4178"/>
        <w:gridCol w:w="3195"/>
        <w:gridCol w:w="1188"/>
      </w:tblGrid>
      <w:tr w:rsidR="004C49EF" w14:paraId="15D7E0F1" w14:textId="77777777" w:rsidTr="00F41EEA">
        <w:trPr>
          <w:cantSplit/>
          <w:tblHeader/>
        </w:trPr>
        <w:tc>
          <w:tcPr>
            <w:tcW w:w="168" w:type="pct"/>
          </w:tcPr>
          <w:p w14:paraId="4D79024C" w14:textId="77777777" w:rsidR="004C49EF" w:rsidRDefault="004C49EF" w:rsidP="00855944">
            <w:pPr>
              <w:pStyle w:val="TableHEADER"/>
            </w:pPr>
          </w:p>
        </w:tc>
        <w:tc>
          <w:tcPr>
            <w:tcW w:w="531" w:type="pct"/>
          </w:tcPr>
          <w:p w14:paraId="365A03E3" w14:textId="77777777" w:rsidR="004C49EF" w:rsidRDefault="004C49EF" w:rsidP="00855944">
            <w:pPr>
              <w:pStyle w:val="TableHEADER"/>
            </w:pPr>
            <w:r>
              <w:t>Type of study design*</w:t>
            </w:r>
          </w:p>
        </w:tc>
        <w:tc>
          <w:tcPr>
            <w:tcW w:w="1281" w:type="pct"/>
          </w:tcPr>
          <w:p w14:paraId="3653F2FB" w14:textId="77777777" w:rsidR="004C49EF" w:rsidRDefault="004C49EF" w:rsidP="00855944">
            <w:pPr>
              <w:pStyle w:val="TableHEADER"/>
            </w:pPr>
            <w:r>
              <w:t>Title of research (including any trial identifier if relevant)</w:t>
            </w:r>
          </w:p>
        </w:tc>
        <w:tc>
          <w:tcPr>
            <w:tcW w:w="1474" w:type="pct"/>
          </w:tcPr>
          <w:p w14:paraId="4D9D6704" w14:textId="77777777" w:rsidR="004C49EF" w:rsidRDefault="00367C1B" w:rsidP="00855944">
            <w:pPr>
              <w:pStyle w:val="TableHEADER"/>
            </w:pPr>
            <w:r>
              <w:t xml:space="preserve">Short description of research </w:t>
            </w:r>
            <w:r w:rsidR="004C49EF">
              <w:t>(max 50 words)**</w:t>
            </w:r>
          </w:p>
        </w:tc>
        <w:tc>
          <w:tcPr>
            <w:tcW w:w="1127" w:type="pct"/>
          </w:tcPr>
          <w:p w14:paraId="2A85EA82" w14:textId="77777777" w:rsidR="004C49EF" w:rsidRDefault="004C49EF" w:rsidP="00855944">
            <w:pPr>
              <w:pStyle w:val="TableHEADER"/>
            </w:pPr>
            <w:r w:rsidRPr="00E82F54">
              <w:t xml:space="preserve">Website link to </w:t>
            </w:r>
            <w:r>
              <w:t>research (if available)</w:t>
            </w:r>
          </w:p>
        </w:tc>
        <w:tc>
          <w:tcPr>
            <w:tcW w:w="419" w:type="pct"/>
          </w:tcPr>
          <w:p w14:paraId="6E823FD6" w14:textId="77777777" w:rsidR="004C49EF" w:rsidRDefault="004C49EF" w:rsidP="00855944">
            <w:pPr>
              <w:pStyle w:val="TableHEADER"/>
            </w:pPr>
            <w:r w:rsidRPr="00E82F54">
              <w:t>Date*</w:t>
            </w:r>
            <w:r>
              <w:t>**</w:t>
            </w:r>
          </w:p>
        </w:tc>
      </w:tr>
      <w:tr w:rsidR="00F41EEA" w14:paraId="3AE498CA" w14:textId="77777777" w:rsidTr="00F41EEA">
        <w:trPr>
          <w:cantSplit/>
        </w:trPr>
        <w:tc>
          <w:tcPr>
            <w:tcW w:w="168" w:type="pct"/>
          </w:tcPr>
          <w:p w14:paraId="15DD3C1E" w14:textId="77777777" w:rsidR="004C49EF" w:rsidRDefault="006C1CEE" w:rsidP="00526478">
            <w:pPr>
              <w:rPr>
                <w:szCs w:val="20"/>
              </w:rPr>
            </w:pPr>
            <w:r>
              <w:rPr>
                <w:szCs w:val="20"/>
              </w:rPr>
              <w:t>1</w:t>
            </w:r>
            <w:r w:rsidR="004C49EF">
              <w:rPr>
                <w:szCs w:val="20"/>
              </w:rPr>
              <w:t>.</w:t>
            </w:r>
          </w:p>
        </w:tc>
        <w:tc>
          <w:tcPr>
            <w:tcW w:w="531" w:type="pct"/>
          </w:tcPr>
          <w:p w14:paraId="69600F08" w14:textId="6FC1A3F1" w:rsidR="00ED07A0" w:rsidRDefault="007F6001" w:rsidP="00ED07A0">
            <w:pPr>
              <w:rPr>
                <w:szCs w:val="20"/>
              </w:rPr>
            </w:pPr>
            <w:r>
              <w:rPr>
                <w:szCs w:val="20"/>
              </w:rPr>
              <w:t>Prospective cohort study</w:t>
            </w:r>
          </w:p>
          <w:p w14:paraId="63581813" w14:textId="1BDAC149" w:rsidR="004C49EF" w:rsidRDefault="00ED07A0" w:rsidP="007F6001">
            <w:pPr>
              <w:rPr>
                <w:b/>
                <w:szCs w:val="20"/>
              </w:rPr>
            </w:pPr>
            <w:r>
              <w:rPr>
                <w:szCs w:val="20"/>
              </w:rPr>
              <w:t xml:space="preserve">Interventional level </w:t>
            </w:r>
            <w:r w:rsidR="007F6001">
              <w:rPr>
                <w:szCs w:val="20"/>
              </w:rPr>
              <w:t>III-2</w:t>
            </w:r>
          </w:p>
        </w:tc>
        <w:tc>
          <w:tcPr>
            <w:tcW w:w="1281" w:type="pct"/>
          </w:tcPr>
          <w:p w14:paraId="45A06E30" w14:textId="77777777" w:rsidR="004C49EF" w:rsidRDefault="00DA5377" w:rsidP="00526478">
            <w:pPr>
              <w:rPr>
                <w:b/>
                <w:szCs w:val="20"/>
              </w:rPr>
            </w:pPr>
            <w:r w:rsidRPr="00DA5377">
              <w:t xml:space="preserve">NCT02625935: Prospective Observational Study Evaluating Treatment Decision Impact of </w:t>
            </w:r>
            <w:proofErr w:type="spellStart"/>
            <w:r w:rsidRPr="00DA5377">
              <w:t>Prosigna</w:t>
            </w:r>
            <w:proofErr w:type="spellEnd"/>
            <w:r w:rsidRPr="00DA5377">
              <w:t>® in Early Stage Breast Cancer Patients</w:t>
            </w:r>
          </w:p>
        </w:tc>
        <w:tc>
          <w:tcPr>
            <w:tcW w:w="1474" w:type="pct"/>
          </w:tcPr>
          <w:p w14:paraId="36B006BF" w14:textId="41E7277E" w:rsidR="004C49EF" w:rsidRDefault="00F41EEA" w:rsidP="003E5046">
            <w:pPr>
              <w:rPr>
                <w:b/>
                <w:szCs w:val="20"/>
              </w:rPr>
            </w:pPr>
            <w:r>
              <w:t xml:space="preserve">Designed to examine whether </w:t>
            </w:r>
            <w:proofErr w:type="spellStart"/>
            <w:r>
              <w:t>Prosigna</w:t>
            </w:r>
            <w:proofErr w:type="spellEnd"/>
            <w:r>
              <w:t xml:space="preserve"> score influences physician and patients adjuvant treatment selection over currently used prognostic factors, in post-menopausal women with </w:t>
            </w:r>
            <w:r w:rsidR="003E5046">
              <w:t>node</w:t>
            </w:r>
            <w:r>
              <w:t xml:space="preserve"> –</w:t>
            </w:r>
            <w:proofErr w:type="spellStart"/>
            <w:r>
              <w:t>ve</w:t>
            </w:r>
            <w:proofErr w:type="spellEnd"/>
            <w:r>
              <w:t>, ER +</w:t>
            </w:r>
            <w:proofErr w:type="spellStart"/>
            <w:r>
              <w:t>ve</w:t>
            </w:r>
            <w:proofErr w:type="spellEnd"/>
            <w:r>
              <w:t>, HER2 –</w:t>
            </w:r>
            <w:proofErr w:type="spellStart"/>
            <w:r>
              <w:t>ve</w:t>
            </w:r>
            <w:proofErr w:type="spellEnd"/>
            <w:r>
              <w:t xml:space="preserve"> early stage </w:t>
            </w:r>
            <w:r w:rsidR="003E5046">
              <w:t>breast cancer</w:t>
            </w:r>
          </w:p>
        </w:tc>
        <w:tc>
          <w:tcPr>
            <w:tcW w:w="1127" w:type="pct"/>
          </w:tcPr>
          <w:p w14:paraId="19FFA907" w14:textId="188C63CF" w:rsidR="004C49EF" w:rsidRPr="00E82F54" w:rsidRDefault="00F41EEA" w:rsidP="00526478">
            <w:pPr>
              <w:rPr>
                <w:b/>
                <w:szCs w:val="20"/>
              </w:rPr>
            </w:pPr>
            <w:r w:rsidRPr="00A65F2D">
              <w:t>https://clinicaltrials.gov/ct2/show/record/NCT02625935?term=Prosigna&amp;rank=1</w:t>
            </w:r>
            <w:r>
              <w:t xml:space="preserve"> </w:t>
            </w:r>
          </w:p>
        </w:tc>
        <w:tc>
          <w:tcPr>
            <w:tcW w:w="419" w:type="pct"/>
          </w:tcPr>
          <w:p w14:paraId="00042AA4" w14:textId="77777777" w:rsidR="004C49EF" w:rsidRPr="00E82F54" w:rsidRDefault="00DA5377" w:rsidP="00FD7A97">
            <w:pPr>
              <w:rPr>
                <w:b/>
                <w:szCs w:val="20"/>
              </w:rPr>
            </w:pPr>
            <w:r>
              <w:t>Estimated completion Dec 2016</w:t>
            </w:r>
          </w:p>
        </w:tc>
      </w:tr>
      <w:tr w:rsidR="00FD7A97" w14:paraId="5EBCF119" w14:textId="77777777" w:rsidTr="00F41EEA">
        <w:trPr>
          <w:cantSplit/>
        </w:trPr>
        <w:tc>
          <w:tcPr>
            <w:tcW w:w="168" w:type="pct"/>
          </w:tcPr>
          <w:p w14:paraId="6EC65499" w14:textId="77777777" w:rsidR="004C49EF" w:rsidRDefault="006C1CEE" w:rsidP="00526478">
            <w:pPr>
              <w:rPr>
                <w:szCs w:val="20"/>
              </w:rPr>
            </w:pPr>
            <w:r>
              <w:rPr>
                <w:szCs w:val="20"/>
              </w:rPr>
              <w:t>2.</w:t>
            </w:r>
          </w:p>
        </w:tc>
        <w:tc>
          <w:tcPr>
            <w:tcW w:w="531" w:type="pct"/>
          </w:tcPr>
          <w:p w14:paraId="5E104F04" w14:textId="7528C95C" w:rsidR="00ED07A0" w:rsidRDefault="007F6001" w:rsidP="00ED07A0">
            <w:pPr>
              <w:rPr>
                <w:szCs w:val="20"/>
              </w:rPr>
            </w:pPr>
            <w:r>
              <w:rPr>
                <w:szCs w:val="20"/>
              </w:rPr>
              <w:t>Prospective cohort study</w:t>
            </w:r>
          </w:p>
          <w:p w14:paraId="49A869C4" w14:textId="457205B4" w:rsidR="004C49EF" w:rsidRDefault="00ED07A0" w:rsidP="007F6001">
            <w:pPr>
              <w:rPr>
                <w:b/>
                <w:szCs w:val="20"/>
              </w:rPr>
            </w:pPr>
            <w:r>
              <w:rPr>
                <w:szCs w:val="20"/>
              </w:rPr>
              <w:t xml:space="preserve">Interventional level </w:t>
            </w:r>
            <w:r w:rsidR="007F6001">
              <w:rPr>
                <w:szCs w:val="20"/>
              </w:rPr>
              <w:t>III-2</w:t>
            </w:r>
          </w:p>
        </w:tc>
        <w:tc>
          <w:tcPr>
            <w:tcW w:w="1281" w:type="pct"/>
          </w:tcPr>
          <w:p w14:paraId="5CEE6B87" w14:textId="77777777" w:rsidR="004C49EF" w:rsidRDefault="00DA5377" w:rsidP="00526478">
            <w:pPr>
              <w:rPr>
                <w:b/>
                <w:szCs w:val="20"/>
              </w:rPr>
            </w:pPr>
            <w:r w:rsidRPr="00DA5377">
              <w:t xml:space="preserve">NCT02395575: A Study of Clinical Outcomes for the </w:t>
            </w:r>
            <w:proofErr w:type="spellStart"/>
            <w:r w:rsidRPr="00DA5377">
              <w:t>NanoString</w:t>
            </w:r>
            <w:proofErr w:type="spellEnd"/>
            <w:r w:rsidRPr="00DA5377">
              <w:t xml:space="preserve">® Technologies </w:t>
            </w:r>
            <w:proofErr w:type="spellStart"/>
            <w:r w:rsidRPr="00DA5377">
              <w:t>Prosigna</w:t>
            </w:r>
            <w:proofErr w:type="spellEnd"/>
            <w:r w:rsidRPr="00DA5377">
              <w:t>™ Gene Signature Assay (prospective)</w:t>
            </w:r>
          </w:p>
        </w:tc>
        <w:tc>
          <w:tcPr>
            <w:tcW w:w="1474" w:type="pct"/>
          </w:tcPr>
          <w:p w14:paraId="41A00664" w14:textId="29A65DAB" w:rsidR="004C49EF" w:rsidRDefault="00F41EEA" w:rsidP="003E5046">
            <w:pPr>
              <w:rPr>
                <w:b/>
                <w:szCs w:val="20"/>
              </w:rPr>
            </w:pPr>
            <w:r>
              <w:t xml:space="preserve">Designed to evaluate the impact of </w:t>
            </w:r>
            <w:proofErr w:type="spellStart"/>
            <w:r>
              <w:t>Prosigna</w:t>
            </w:r>
            <w:proofErr w:type="spellEnd"/>
            <w:r>
              <w:t xml:space="preserve"> on the therapeutic decision of adjuvant therapy in </w:t>
            </w:r>
            <w:r w:rsidR="003E5046">
              <w:t>node</w:t>
            </w:r>
            <w:r>
              <w:t xml:space="preserve"> –</w:t>
            </w:r>
            <w:proofErr w:type="spellStart"/>
            <w:r>
              <w:t>ve</w:t>
            </w:r>
            <w:proofErr w:type="spellEnd"/>
            <w:r>
              <w:t>, ER +</w:t>
            </w:r>
            <w:proofErr w:type="spellStart"/>
            <w:r>
              <w:t>ve</w:t>
            </w:r>
            <w:proofErr w:type="spellEnd"/>
            <w:r>
              <w:t>, HER2 –</w:t>
            </w:r>
            <w:proofErr w:type="spellStart"/>
            <w:r>
              <w:t>ve</w:t>
            </w:r>
            <w:proofErr w:type="spellEnd"/>
            <w:r>
              <w:t xml:space="preserve"> early stage </w:t>
            </w:r>
            <w:r w:rsidR="003E5046">
              <w:t>breast cancer</w:t>
            </w:r>
          </w:p>
        </w:tc>
        <w:tc>
          <w:tcPr>
            <w:tcW w:w="1127" w:type="pct"/>
          </w:tcPr>
          <w:p w14:paraId="3321F6D5" w14:textId="59FB4325" w:rsidR="004C49EF" w:rsidRPr="00E82F54" w:rsidRDefault="00F41EEA" w:rsidP="00526478">
            <w:pPr>
              <w:rPr>
                <w:b/>
                <w:szCs w:val="20"/>
              </w:rPr>
            </w:pPr>
            <w:r w:rsidRPr="00A65F2D">
              <w:t>https://clinicaltrials.gov/ct2/show/record/NCT02395575?term=Prosigna&amp;rank=2</w:t>
            </w:r>
            <w:r>
              <w:t xml:space="preserve"> </w:t>
            </w:r>
          </w:p>
        </w:tc>
        <w:tc>
          <w:tcPr>
            <w:tcW w:w="419" w:type="pct"/>
          </w:tcPr>
          <w:p w14:paraId="39070E50" w14:textId="77777777" w:rsidR="004C49EF" w:rsidRPr="00E82F54" w:rsidRDefault="00DA5377" w:rsidP="00FD7A97">
            <w:pPr>
              <w:rPr>
                <w:b/>
                <w:szCs w:val="20"/>
              </w:rPr>
            </w:pPr>
            <w:r w:rsidRPr="00DA5377">
              <w:t>Estimated completion Dec 2016</w:t>
            </w:r>
          </w:p>
        </w:tc>
      </w:tr>
      <w:tr w:rsidR="00853BDC" w14:paraId="58EC6E58" w14:textId="77777777" w:rsidTr="00F41EEA">
        <w:trPr>
          <w:cantSplit/>
        </w:trPr>
        <w:tc>
          <w:tcPr>
            <w:tcW w:w="168" w:type="pct"/>
          </w:tcPr>
          <w:p w14:paraId="145FEE62" w14:textId="70C35506" w:rsidR="004C49EF" w:rsidRDefault="00C43821" w:rsidP="00526478">
            <w:pPr>
              <w:rPr>
                <w:szCs w:val="20"/>
              </w:rPr>
            </w:pPr>
            <w:r>
              <w:rPr>
                <w:szCs w:val="20"/>
              </w:rPr>
              <w:lastRenderedPageBreak/>
              <w:t>3</w:t>
            </w:r>
            <w:r w:rsidR="004C49EF">
              <w:rPr>
                <w:szCs w:val="20"/>
              </w:rPr>
              <w:t>.</w:t>
            </w:r>
          </w:p>
        </w:tc>
        <w:tc>
          <w:tcPr>
            <w:tcW w:w="531" w:type="pct"/>
          </w:tcPr>
          <w:p w14:paraId="3B73A880" w14:textId="07882019" w:rsidR="004C6CC8" w:rsidRDefault="004C6CC8" w:rsidP="00526478">
            <w:r>
              <w:t>Evaluation of biomarkers</w:t>
            </w:r>
          </w:p>
          <w:p w14:paraId="3F48EF8E" w14:textId="33873191" w:rsidR="004C49EF" w:rsidRDefault="004C6CC8" w:rsidP="00526478">
            <w:pPr>
              <w:rPr>
                <w:b/>
                <w:szCs w:val="20"/>
              </w:rPr>
            </w:pPr>
            <w:r>
              <w:t>Prognostic level</w:t>
            </w:r>
            <w:r w:rsidR="00C43821">
              <w:t xml:space="preserve"> IV</w:t>
            </w:r>
          </w:p>
        </w:tc>
        <w:tc>
          <w:tcPr>
            <w:tcW w:w="1281" w:type="pct"/>
          </w:tcPr>
          <w:p w14:paraId="6C1AFF23" w14:textId="77777777" w:rsidR="004C49EF" w:rsidRDefault="00853BDC" w:rsidP="00526478">
            <w:pPr>
              <w:rPr>
                <w:b/>
                <w:szCs w:val="20"/>
              </w:rPr>
            </w:pPr>
            <w:r>
              <w:t xml:space="preserve">NCT02213042: </w:t>
            </w:r>
            <w:r w:rsidRPr="00853BDC">
              <w:t>Evaluation of Biomarkers Associated With Response to Subsequent Therapies in Subjects With HER2-Positive Metastatic Breast Cancer</w:t>
            </w:r>
          </w:p>
        </w:tc>
        <w:tc>
          <w:tcPr>
            <w:tcW w:w="1474" w:type="pct"/>
          </w:tcPr>
          <w:p w14:paraId="62BAD8C6" w14:textId="4B1AF1C3" w:rsidR="004C49EF" w:rsidRDefault="00853BDC" w:rsidP="003E5046">
            <w:pPr>
              <w:rPr>
                <w:b/>
                <w:szCs w:val="20"/>
              </w:rPr>
            </w:pPr>
            <w:r>
              <w:t xml:space="preserve">To </w:t>
            </w:r>
            <w:r w:rsidRPr="00853BDC">
              <w:t xml:space="preserve">evaluate the changes in biomarkers associated with </w:t>
            </w:r>
            <w:r w:rsidR="003E5046">
              <w:t xml:space="preserve">the </w:t>
            </w:r>
            <w:r w:rsidRPr="00853BDC">
              <w:t>HER family, immunomodulation, apoptosis, and Adenosine</w:t>
            </w:r>
            <w:r>
              <w:t xml:space="preserve"> triphosphate binding cassette </w:t>
            </w:r>
            <w:r w:rsidRPr="00853BDC">
              <w:t>transporters between the pre-treatment</w:t>
            </w:r>
            <w:r w:rsidR="00FD7A97">
              <w:t xml:space="preserve"> and disease progression biopsy, in HER2 +</w:t>
            </w:r>
            <w:proofErr w:type="spellStart"/>
            <w:r w:rsidR="00FD7A97">
              <w:t>ve</w:t>
            </w:r>
            <w:proofErr w:type="spellEnd"/>
            <w:r w:rsidR="000B2CC9">
              <w:t xml:space="preserve"> </w:t>
            </w:r>
            <w:r w:rsidR="00FD7A97">
              <w:t xml:space="preserve">metastatic </w:t>
            </w:r>
            <w:r w:rsidR="003E5046">
              <w:t>breast cancer</w:t>
            </w:r>
            <w:r w:rsidR="00FD7A97">
              <w:t xml:space="preserve"> who </w:t>
            </w:r>
            <w:r w:rsidR="000B2CC9">
              <w:t xml:space="preserve">received </w:t>
            </w:r>
            <w:r w:rsidR="00FD7A97">
              <w:t xml:space="preserve">at least 2 prior lines of anti-HER2-targeted therapies including a </w:t>
            </w:r>
            <w:proofErr w:type="spellStart"/>
            <w:r w:rsidR="00FD7A97">
              <w:t>Trastuzumab</w:t>
            </w:r>
            <w:proofErr w:type="spellEnd"/>
            <w:r w:rsidR="00FD7A97">
              <w:t xml:space="preserve"> regimen</w:t>
            </w:r>
          </w:p>
        </w:tc>
        <w:tc>
          <w:tcPr>
            <w:tcW w:w="1127" w:type="pct"/>
          </w:tcPr>
          <w:p w14:paraId="351B15E6" w14:textId="6769572E" w:rsidR="004C49EF" w:rsidRPr="00E82F54" w:rsidRDefault="00FD7A97" w:rsidP="00526478">
            <w:pPr>
              <w:rPr>
                <w:b/>
                <w:szCs w:val="20"/>
              </w:rPr>
            </w:pPr>
            <w:r w:rsidRPr="00A65F2D">
              <w:t>https://clinicaltrials.gov/ct2/show/record/NCT02213042?term=Prosigna&amp;rank=6</w:t>
            </w:r>
            <w:r>
              <w:t xml:space="preserve"> </w:t>
            </w:r>
          </w:p>
        </w:tc>
        <w:tc>
          <w:tcPr>
            <w:tcW w:w="419" w:type="pct"/>
          </w:tcPr>
          <w:p w14:paraId="6B23D698" w14:textId="77777777" w:rsidR="004C49EF" w:rsidRPr="00E82F54" w:rsidRDefault="00853BDC" w:rsidP="00FD7A97">
            <w:pPr>
              <w:rPr>
                <w:b/>
                <w:szCs w:val="20"/>
              </w:rPr>
            </w:pPr>
            <w:r w:rsidRPr="00853BDC">
              <w:t xml:space="preserve">Estimated completion </w:t>
            </w:r>
            <w:r>
              <w:t>A</w:t>
            </w:r>
            <w:r w:rsidR="00FD7A97">
              <w:t>ug</w:t>
            </w:r>
            <w:r>
              <w:t xml:space="preserve"> 2017</w:t>
            </w:r>
          </w:p>
        </w:tc>
      </w:tr>
      <w:tr w:rsidR="00F05078" w14:paraId="0FE54349" w14:textId="77777777" w:rsidTr="00F41EEA">
        <w:trPr>
          <w:cantSplit/>
        </w:trPr>
        <w:tc>
          <w:tcPr>
            <w:tcW w:w="168" w:type="pct"/>
          </w:tcPr>
          <w:p w14:paraId="570C49E5" w14:textId="6DEBE72F" w:rsidR="004C49EF" w:rsidRDefault="00C43821" w:rsidP="00526478">
            <w:pPr>
              <w:rPr>
                <w:szCs w:val="20"/>
              </w:rPr>
            </w:pPr>
            <w:r>
              <w:rPr>
                <w:szCs w:val="20"/>
              </w:rPr>
              <w:t>4</w:t>
            </w:r>
            <w:r w:rsidR="004C49EF">
              <w:rPr>
                <w:szCs w:val="20"/>
              </w:rPr>
              <w:t>.</w:t>
            </w:r>
          </w:p>
        </w:tc>
        <w:tc>
          <w:tcPr>
            <w:tcW w:w="531" w:type="pct"/>
          </w:tcPr>
          <w:p w14:paraId="7F66EA8C" w14:textId="572975DE" w:rsidR="00C43821" w:rsidRDefault="00A2369E" w:rsidP="00C43821">
            <w:pPr>
              <w:rPr>
                <w:szCs w:val="20"/>
              </w:rPr>
            </w:pPr>
            <w:r>
              <w:rPr>
                <w:szCs w:val="20"/>
              </w:rPr>
              <w:t>Prospective cohort study</w:t>
            </w:r>
          </w:p>
          <w:p w14:paraId="0D7BBB59" w14:textId="11E65304" w:rsidR="004C49EF" w:rsidRDefault="00C43821" w:rsidP="00A2369E">
            <w:pPr>
              <w:rPr>
                <w:b/>
                <w:szCs w:val="20"/>
              </w:rPr>
            </w:pPr>
            <w:r>
              <w:rPr>
                <w:szCs w:val="20"/>
              </w:rPr>
              <w:t xml:space="preserve">Prognostic level </w:t>
            </w:r>
            <w:r w:rsidR="00A2369E">
              <w:rPr>
                <w:szCs w:val="20"/>
              </w:rPr>
              <w:t>II</w:t>
            </w:r>
          </w:p>
        </w:tc>
        <w:tc>
          <w:tcPr>
            <w:tcW w:w="1281" w:type="pct"/>
          </w:tcPr>
          <w:p w14:paraId="5ECF010C" w14:textId="77777777" w:rsidR="004C49EF" w:rsidRDefault="00E31FE8" w:rsidP="00526478">
            <w:pPr>
              <w:rPr>
                <w:b/>
                <w:szCs w:val="20"/>
              </w:rPr>
            </w:pPr>
            <w:r w:rsidRPr="00E31FE8">
              <w:t>NCT02400567</w:t>
            </w:r>
            <w:r>
              <w:t xml:space="preserve">: </w:t>
            </w:r>
            <w:r w:rsidRPr="00E31FE8">
              <w:t xml:space="preserve">Efficacy of </w:t>
            </w:r>
            <w:proofErr w:type="spellStart"/>
            <w:r w:rsidRPr="00E31FE8">
              <w:t>Letrozole</w:t>
            </w:r>
            <w:proofErr w:type="spellEnd"/>
            <w:r w:rsidRPr="00E31FE8">
              <w:t xml:space="preserve"> + </w:t>
            </w:r>
            <w:proofErr w:type="spellStart"/>
            <w:r w:rsidRPr="00E31FE8">
              <w:t>Palbociclib</w:t>
            </w:r>
            <w:proofErr w:type="spellEnd"/>
            <w:r w:rsidRPr="00E31FE8">
              <w:t xml:space="preserve"> Combination as </w:t>
            </w:r>
            <w:proofErr w:type="spellStart"/>
            <w:r w:rsidRPr="00E31FE8">
              <w:t>Neoadjuvant</w:t>
            </w:r>
            <w:proofErr w:type="spellEnd"/>
            <w:r w:rsidRPr="00E31FE8">
              <w:t xml:space="preserve"> Treatment of Stage II-IIIA PAM 50 ROR-defined Low or Intermediate Risk Luminal Breast Cancer, in Postmenopausal Women (</w:t>
            </w:r>
            <w:proofErr w:type="spellStart"/>
            <w:r w:rsidRPr="00E31FE8">
              <w:t>NeoPAL</w:t>
            </w:r>
            <w:proofErr w:type="spellEnd"/>
            <w:r w:rsidRPr="00E31FE8">
              <w:t>)</w:t>
            </w:r>
          </w:p>
        </w:tc>
        <w:tc>
          <w:tcPr>
            <w:tcW w:w="1474" w:type="pct"/>
          </w:tcPr>
          <w:p w14:paraId="466820A5" w14:textId="77777777" w:rsidR="004C49EF" w:rsidRDefault="000B2CC9" w:rsidP="00A61FDA">
            <w:pPr>
              <w:rPr>
                <w:b/>
                <w:szCs w:val="20"/>
              </w:rPr>
            </w:pPr>
            <w:r>
              <w:t>Outcomes</w:t>
            </w:r>
            <w:r w:rsidR="00A61FDA">
              <w:t xml:space="preserve"> include the determination of correlation of the PAM50 ROR score with prediction of residual cancer burden (RCB, 0-1 index)</w:t>
            </w:r>
            <w:r w:rsidR="00E31FE8" w:rsidRPr="00E31FE8">
              <w:t xml:space="preserve"> </w:t>
            </w:r>
            <w:r w:rsidR="00A61FDA">
              <w:t xml:space="preserve">in </w:t>
            </w:r>
            <w:proofErr w:type="spellStart"/>
            <w:r w:rsidR="00A61FDA">
              <w:t>neoadjuvant</w:t>
            </w:r>
            <w:proofErr w:type="spellEnd"/>
            <w:r w:rsidR="00A61FDA">
              <w:t xml:space="preserve"> operable breast cancer</w:t>
            </w:r>
          </w:p>
        </w:tc>
        <w:tc>
          <w:tcPr>
            <w:tcW w:w="1127" w:type="pct"/>
          </w:tcPr>
          <w:p w14:paraId="23B93A60" w14:textId="4215C981" w:rsidR="004C49EF" w:rsidRPr="00E82F54" w:rsidRDefault="00E31FE8" w:rsidP="00526478">
            <w:pPr>
              <w:rPr>
                <w:b/>
                <w:szCs w:val="20"/>
              </w:rPr>
            </w:pPr>
            <w:r w:rsidRPr="00A65F2D">
              <w:t>https://clinicaltrials.gov/ct2/show/record/NCT02400567?term=PAM50&amp;rank=2</w:t>
            </w:r>
            <w:r>
              <w:t xml:space="preserve"> </w:t>
            </w:r>
          </w:p>
        </w:tc>
        <w:tc>
          <w:tcPr>
            <w:tcW w:w="419" w:type="pct"/>
          </w:tcPr>
          <w:p w14:paraId="140145F3" w14:textId="77777777" w:rsidR="004C49EF" w:rsidRPr="00E82F54" w:rsidRDefault="00E31FE8" w:rsidP="00526478">
            <w:pPr>
              <w:rPr>
                <w:b/>
                <w:szCs w:val="20"/>
              </w:rPr>
            </w:pPr>
            <w:r>
              <w:t>Estimated completion Dec 2018</w:t>
            </w:r>
          </w:p>
        </w:tc>
      </w:tr>
      <w:tr w:rsidR="00F05078" w:rsidRPr="00E82F54" w14:paraId="0171A72C" w14:textId="77777777" w:rsidTr="00F41EEA">
        <w:trPr>
          <w:cantSplit/>
        </w:trPr>
        <w:tc>
          <w:tcPr>
            <w:tcW w:w="168" w:type="pct"/>
          </w:tcPr>
          <w:p w14:paraId="69531059" w14:textId="11ED70B1" w:rsidR="004C49EF" w:rsidRDefault="00C43821" w:rsidP="00F05078">
            <w:pPr>
              <w:rPr>
                <w:szCs w:val="20"/>
              </w:rPr>
            </w:pPr>
            <w:r>
              <w:rPr>
                <w:szCs w:val="20"/>
              </w:rPr>
              <w:t>5</w:t>
            </w:r>
            <w:r w:rsidR="006C1CEE">
              <w:rPr>
                <w:szCs w:val="20"/>
              </w:rPr>
              <w:t>.</w:t>
            </w:r>
          </w:p>
        </w:tc>
        <w:tc>
          <w:tcPr>
            <w:tcW w:w="531" w:type="pct"/>
          </w:tcPr>
          <w:p w14:paraId="4E4287FF" w14:textId="77777777" w:rsidR="00A2369E" w:rsidRDefault="00A2369E" w:rsidP="00A2369E">
            <w:pPr>
              <w:rPr>
                <w:szCs w:val="20"/>
              </w:rPr>
            </w:pPr>
            <w:r>
              <w:rPr>
                <w:szCs w:val="20"/>
              </w:rPr>
              <w:t>Analysis of prognostic factors amongst persons in a randomised controlled trial</w:t>
            </w:r>
          </w:p>
          <w:p w14:paraId="32A71574" w14:textId="696820DE" w:rsidR="004C49EF" w:rsidRDefault="00A2369E" w:rsidP="00A2369E">
            <w:pPr>
              <w:rPr>
                <w:b/>
                <w:szCs w:val="20"/>
              </w:rPr>
            </w:pPr>
            <w:r>
              <w:rPr>
                <w:szCs w:val="20"/>
              </w:rPr>
              <w:t>Prognostic level III-2</w:t>
            </w:r>
          </w:p>
        </w:tc>
        <w:tc>
          <w:tcPr>
            <w:tcW w:w="1281" w:type="pct"/>
          </w:tcPr>
          <w:p w14:paraId="4EEEC4ED" w14:textId="77777777" w:rsidR="004C49EF" w:rsidRDefault="00F05078" w:rsidP="00F05078">
            <w:pPr>
              <w:rPr>
                <w:b/>
                <w:szCs w:val="20"/>
              </w:rPr>
            </w:pPr>
            <w:r>
              <w:t>N</w:t>
            </w:r>
            <w:r w:rsidRPr="00F05078">
              <w:t>CT01560663</w:t>
            </w:r>
            <w:r>
              <w:t xml:space="preserve">: Predictors of Response to </w:t>
            </w:r>
            <w:proofErr w:type="spellStart"/>
            <w:r>
              <w:t>Neoadjuvant</w:t>
            </w:r>
            <w:proofErr w:type="spellEnd"/>
            <w:r>
              <w:t xml:space="preserve"> </w:t>
            </w:r>
            <w:proofErr w:type="spellStart"/>
            <w:r>
              <w:t>Docetaxel</w:t>
            </w:r>
            <w:proofErr w:type="spellEnd"/>
            <w:r>
              <w:t>-Carboplatin Chemotherapy for Patients With Stage II and III Triple Negative Breast Cancer</w:t>
            </w:r>
          </w:p>
        </w:tc>
        <w:tc>
          <w:tcPr>
            <w:tcW w:w="1474" w:type="pct"/>
          </w:tcPr>
          <w:p w14:paraId="3905A45F" w14:textId="6DDDE04E" w:rsidR="004C49EF" w:rsidRDefault="00F05078" w:rsidP="00F50B54">
            <w:pPr>
              <w:rPr>
                <w:b/>
                <w:szCs w:val="20"/>
              </w:rPr>
            </w:pPr>
            <w:r>
              <w:t>T</w:t>
            </w:r>
            <w:r w:rsidRPr="00F05078">
              <w:t xml:space="preserve">o identify predictors of response </w:t>
            </w:r>
            <w:r w:rsidR="00F50B54">
              <w:t>(</w:t>
            </w:r>
            <w:r w:rsidRPr="00F05078">
              <w:t xml:space="preserve">defined as lack of invasive </w:t>
            </w:r>
            <w:r w:rsidR="000B2CC9" w:rsidRPr="00F05078">
              <w:t>tumour</w:t>
            </w:r>
            <w:r w:rsidRPr="00F05078">
              <w:t xml:space="preserve"> in breast plus axilla</w:t>
            </w:r>
            <w:r w:rsidR="00F50B54">
              <w:t xml:space="preserve">) </w:t>
            </w:r>
            <w:r w:rsidR="00F50B54" w:rsidRPr="00F05078">
              <w:t xml:space="preserve">to </w:t>
            </w:r>
            <w:proofErr w:type="spellStart"/>
            <w:r w:rsidR="00F50B54" w:rsidRPr="00F05078">
              <w:t>docetaxel</w:t>
            </w:r>
            <w:proofErr w:type="spellEnd"/>
            <w:r w:rsidR="00F50B54" w:rsidRPr="00F05078">
              <w:t xml:space="preserve">-carboplatin </w:t>
            </w:r>
            <w:r w:rsidRPr="00F05078">
              <w:t xml:space="preserve">after </w:t>
            </w:r>
            <w:proofErr w:type="spellStart"/>
            <w:r w:rsidRPr="00F05078">
              <w:t>neoadjuvant</w:t>
            </w:r>
            <w:proofErr w:type="spellEnd"/>
            <w:r w:rsidRPr="00F05078">
              <w:t xml:space="preserve"> chemotherapy (PCR, pathological comp</w:t>
            </w:r>
            <w:r>
              <w:t xml:space="preserve">lete response), </w:t>
            </w:r>
            <w:r w:rsidRPr="00F05078">
              <w:t>in patients with</w:t>
            </w:r>
            <w:r>
              <w:t xml:space="preserve"> triple negative primary tumo</w:t>
            </w:r>
            <w:r w:rsidR="000B2CC9">
              <w:t>u</w:t>
            </w:r>
            <w:r>
              <w:t>rs</w:t>
            </w:r>
          </w:p>
        </w:tc>
        <w:tc>
          <w:tcPr>
            <w:tcW w:w="1127" w:type="pct"/>
          </w:tcPr>
          <w:p w14:paraId="287F960C" w14:textId="1841D38E" w:rsidR="004C49EF" w:rsidRPr="00E82F54" w:rsidRDefault="00F05078" w:rsidP="00526478">
            <w:pPr>
              <w:rPr>
                <w:b/>
                <w:szCs w:val="20"/>
              </w:rPr>
            </w:pPr>
            <w:r w:rsidRPr="00A65F2D">
              <w:t>https://clinicaltrials.gov/ct2/show/NCT01560663?term=PAM50&amp;rank=9</w:t>
            </w:r>
            <w:r>
              <w:t xml:space="preserve"> </w:t>
            </w:r>
          </w:p>
        </w:tc>
        <w:tc>
          <w:tcPr>
            <w:tcW w:w="419" w:type="pct"/>
          </w:tcPr>
          <w:p w14:paraId="41AC136A" w14:textId="77777777" w:rsidR="004C49EF" w:rsidRPr="00E82F54" w:rsidRDefault="00F05078" w:rsidP="00F05078">
            <w:pPr>
              <w:rPr>
                <w:b/>
                <w:szCs w:val="20"/>
              </w:rPr>
            </w:pPr>
            <w:r w:rsidRPr="00F05078">
              <w:t xml:space="preserve">Estimated completion </w:t>
            </w:r>
            <w:r>
              <w:t>Mar 2017</w:t>
            </w:r>
          </w:p>
        </w:tc>
      </w:tr>
    </w:tbl>
    <w:p w14:paraId="036CBDA4"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7DB3F598" w14:textId="77777777"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14:paraId="7BE1D12F" w14:textId="77777777"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14:paraId="2122F9C7"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lastRenderedPageBreak/>
        <w:br w:type="page"/>
      </w:r>
    </w:p>
    <w:p w14:paraId="55D50AF4"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69120D4D"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74953AEE" w14:textId="77777777" w:rsidR="009A759B" w:rsidRDefault="009A759B" w:rsidP="00A727B6">
      <w:pPr>
        <w:ind w:left="426"/>
      </w:pPr>
      <w:r>
        <w:t>Sonic Genetics</w:t>
      </w:r>
    </w:p>
    <w:p w14:paraId="52E89536" w14:textId="77777777" w:rsidR="00B8667C" w:rsidRDefault="00B8667C" w:rsidP="00A727B6">
      <w:pPr>
        <w:ind w:left="426"/>
      </w:pPr>
    </w:p>
    <w:p w14:paraId="2EF0043C"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48DF3D2D" w14:textId="5CA42EEC" w:rsidR="009A759B" w:rsidRDefault="009A759B" w:rsidP="00A727B6">
      <w:pPr>
        <w:ind w:left="426"/>
      </w:pPr>
      <w:r>
        <w:t>R</w:t>
      </w:r>
      <w:r w:rsidR="00B8667C">
        <w:t xml:space="preserve">oyal </w:t>
      </w:r>
      <w:r>
        <w:t>C</w:t>
      </w:r>
      <w:r w:rsidR="00B8667C">
        <w:t xml:space="preserve">ollege of </w:t>
      </w:r>
      <w:r>
        <w:t>P</w:t>
      </w:r>
      <w:r w:rsidR="00B8667C">
        <w:t xml:space="preserve">athologists of </w:t>
      </w:r>
      <w:r>
        <w:t>A</w:t>
      </w:r>
      <w:r w:rsidR="00B8667C">
        <w:t>ustralasia</w:t>
      </w:r>
    </w:p>
    <w:p w14:paraId="373AB6D9" w14:textId="77777777" w:rsidR="009A759B" w:rsidRDefault="009A759B" w:rsidP="00A727B6">
      <w:pPr>
        <w:ind w:left="426"/>
      </w:pPr>
      <w:r>
        <w:t>Clinical Oncology Society of Australia</w:t>
      </w:r>
    </w:p>
    <w:p w14:paraId="347196A7" w14:textId="6D1B7F1E" w:rsidR="0040505B" w:rsidRDefault="0040505B" w:rsidP="000235BB">
      <w:pPr>
        <w:ind w:firstLine="426"/>
      </w:pPr>
      <w:r>
        <w:t xml:space="preserve">Medical Oncology </w:t>
      </w:r>
      <w:r w:rsidR="00B8667C">
        <w:t>G</w:t>
      </w:r>
      <w:r>
        <w:t>roup of Australia</w:t>
      </w:r>
    </w:p>
    <w:p w14:paraId="3FB12770" w14:textId="77777777" w:rsidR="00B8667C" w:rsidRDefault="00B8667C" w:rsidP="000235BB">
      <w:pPr>
        <w:ind w:firstLine="426"/>
      </w:pPr>
    </w:p>
    <w:p w14:paraId="06523DF8" w14:textId="77777777"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1247509F" w14:textId="183BFD92" w:rsidR="009A759B" w:rsidRDefault="009A759B" w:rsidP="00A727B6">
      <w:pPr>
        <w:ind w:left="426"/>
      </w:pPr>
      <w:r>
        <w:t>Breast Cancer Network Australia</w:t>
      </w:r>
      <w:r w:rsidR="000235BB">
        <w:t xml:space="preserve"> </w:t>
      </w:r>
      <w:r w:rsidR="005600FC">
        <w:t>(BCNA has agreed to provide a letter of support and this will be forwarded once it is received.)</w:t>
      </w:r>
    </w:p>
    <w:p w14:paraId="0A42BFF8" w14:textId="77777777" w:rsidR="00B8667C" w:rsidRDefault="00B8667C" w:rsidP="00A727B6">
      <w:pPr>
        <w:ind w:left="426"/>
      </w:pPr>
    </w:p>
    <w:p w14:paraId="149AE384"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1516EF82" w14:textId="3C836B0D" w:rsidR="009A759B" w:rsidRPr="00B8667C" w:rsidRDefault="009A759B" w:rsidP="00523CAA">
      <w:pPr>
        <w:pStyle w:val="Caption"/>
        <w:spacing w:after="120"/>
        <w:ind w:left="426"/>
        <w:rPr>
          <w:sz w:val="20"/>
          <w:szCs w:val="20"/>
        </w:rPr>
      </w:pPr>
      <w:r w:rsidRPr="00B8667C">
        <w:rPr>
          <w:sz w:val="20"/>
          <w:szCs w:val="20"/>
        </w:rPr>
        <w:t xml:space="preserve">Table </w:t>
      </w:r>
      <w:r w:rsidRPr="00B8667C">
        <w:rPr>
          <w:sz w:val="20"/>
          <w:szCs w:val="20"/>
        </w:rPr>
        <w:fldChar w:fldCharType="begin"/>
      </w:r>
      <w:r w:rsidRPr="00B8667C">
        <w:rPr>
          <w:sz w:val="20"/>
          <w:szCs w:val="20"/>
        </w:rPr>
        <w:instrText xml:space="preserve"> SEQ Table \* ARABIC </w:instrText>
      </w:r>
      <w:r w:rsidRPr="00B8667C">
        <w:rPr>
          <w:sz w:val="20"/>
          <w:szCs w:val="20"/>
        </w:rPr>
        <w:fldChar w:fldCharType="separate"/>
      </w:r>
      <w:r w:rsidR="003E6138">
        <w:rPr>
          <w:sz w:val="20"/>
          <w:szCs w:val="20"/>
        </w:rPr>
        <w:t>3</w:t>
      </w:r>
      <w:r w:rsidRPr="00B8667C">
        <w:rPr>
          <w:sz w:val="20"/>
          <w:szCs w:val="20"/>
        </w:rPr>
        <w:fldChar w:fldCharType="end"/>
      </w:r>
      <w:r w:rsidR="000235BB" w:rsidRPr="00B8667C">
        <w:rPr>
          <w:sz w:val="20"/>
          <w:szCs w:val="20"/>
        </w:rPr>
        <w:tab/>
      </w:r>
      <w:r w:rsidR="009A39CA" w:rsidRPr="00B8667C">
        <w:rPr>
          <w:sz w:val="20"/>
          <w:szCs w:val="20"/>
        </w:rPr>
        <w:t>Similar products to the proposed service</w:t>
      </w:r>
    </w:p>
    <w:tbl>
      <w:tblPr>
        <w:tblStyle w:val="TableGrid"/>
        <w:tblW w:w="0" w:type="auto"/>
        <w:tblInd w:w="426" w:type="dxa"/>
        <w:tblLook w:val="04A0" w:firstRow="1" w:lastRow="0" w:firstColumn="1" w:lastColumn="0" w:noHBand="0" w:noVBand="1"/>
        <w:tblDescription w:val="Table 3 Similar products to the proposed service"/>
      </w:tblPr>
      <w:tblGrid>
        <w:gridCol w:w="4326"/>
        <w:gridCol w:w="4264"/>
      </w:tblGrid>
      <w:tr w:rsidR="009A39CA" w:rsidRPr="009A39CA" w14:paraId="250FAFD8" w14:textId="77777777" w:rsidTr="00A65F2D">
        <w:trPr>
          <w:tblHeader/>
        </w:trPr>
        <w:tc>
          <w:tcPr>
            <w:tcW w:w="4326" w:type="dxa"/>
          </w:tcPr>
          <w:p w14:paraId="2BEF1CAE" w14:textId="77777777" w:rsidR="009A759B" w:rsidRPr="000235BB" w:rsidRDefault="009A759B" w:rsidP="00523CAA">
            <w:pPr>
              <w:spacing w:before="60"/>
              <w:rPr>
                <w:b/>
              </w:rPr>
            </w:pPr>
            <w:r w:rsidRPr="000235BB">
              <w:rPr>
                <w:b/>
              </w:rPr>
              <w:t>Sponsor/manufacturer</w:t>
            </w:r>
          </w:p>
        </w:tc>
        <w:tc>
          <w:tcPr>
            <w:tcW w:w="4264" w:type="dxa"/>
          </w:tcPr>
          <w:p w14:paraId="0F2BF982" w14:textId="77777777" w:rsidR="009A759B" w:rsidRPr="000235BB" w:rsidRDefault="009A759B" w:rsidP="00523CAA">
            <w:pPr>
              <w:spacing w:before="60"/>
              <w:rPr>
                <w:b/>
              </w:rPr>
            </w:pPr>
            <w:r w:rsidRPr="000235BB">
              <w:rPr>
                <w:b/>
              </w:rPr>
              <w:t>Product</w:t>
            </w:r>
          </w:p>
        </w:tc>
      </w:tr>
      <w:tr w:rsidR="009A759B" w14:paraId="3B06CEF7" w14:textId="77777777" w:rsidTr="00A65F2D">
        <w:trPr>
          <w:tblHeader/>
        </w:trPr>
        <w:tc>
          <w:tcPr>
            <w:tcW w:w="4326" w:type="dxa"/>
          </w:tcPr>
          <w:p w14:paraId="65D9AD1C" w14:textId="77777777" w:rsidR="009A759B" w:rsidRDefault="009A759B" w:rsidP="00523CAA">
            <w:pPr>
              <w:spacing w:before="60"/>
            </w:pPr>
            <w:r>
              <w:t>Genomic Health Inc. (US)</w:t>
            </w:r>
          </w:p>
        </w:tc>
        <w:tc>
          <w:tcPr>
            <w:tcW w:w="4264" w:type="dxa"/>
          </w:tcPr>
          <w:p w14:paraId="6AD2FB7D" w14:textId="77777777" w:rsidR="009A759B" w:rsidRDefault="009A759B" w:rsidP="00523CAA">
            <w:pPr>
              <w:spacing w:before="60"/>
            </w:pPr>
            <w:proofErr w:type="spellStart"/>
            <w:r>
              <w:t>Oncotype</w:t>
            </w:r>
            <w:proofErr w:type="spellEnd"/>
            <w:r>
              <w:t xml:space="preserve"> DX</w:t>
            </w:r>
          </w:p>
        </w:tc>
      </w:tr>
      <w:tr w:rsidR="009A759B" w14:paraId="3B8EB1A1" w14:textId="77777777" w:rsidTr="00A65F2D">
        <w:trPr>
          <w:tblHeader/>
        </w:trPr>
        <w:tc>
          <w:tcPr>
            <w:tcW w:w="4326" w:type="dxa"/>
          </w:tcPr>
          <w:p w14:paraId="0F3EAA95" w14:textId="77777777" w:rsidR="009A759B" w:rsidRDefault="009A759B" w:rsidP="00523CAA">
            <w:pPr>
              <w:spacing w:before="60"/>
            </w:pPr>
            <w:proofErr w:type="spellStart"/>
            <w:r>
              <w:t>Sividon</w:t>
            </w:r>
            <w:proofErr w:type="spellEnd"/>
            <w:r>
              <w:t xml:space="preserve"> Diagnostics (GmbH), distributed by Myriad Genetics Australia Pty Ltd</w:t>
            </w:r>
          </w:p>
        </w:tc>
        <w:tc>
          <w:tcPr>
            <w:tcW w:w="4264" w:type="dxa"/>
          </w:tcPr>
          <w:p w14:paraId="7222C93A" w14:textId="77777777" w:rsidR="009A759B" w:rsidRDefault="009A759B" w:rsidP="00523CAA">
            <w:pPr>
              <w:spacing w:before="60"/>
            </w:pPr>
            <w:proofErr w:type="spellStart"/>
            <w:r>
              <w:t>EndoPredict</w:t>
            </w:r>
            <w:proofErr w:type="spellEnd"/>
            <w:r>
              <w:t>®</w:t>
            </w:r>
          </w:p>
        </w:tc>
      </w:tr>
      <w:tr w:rsidR="005C4AF7" w14:paraId="0CEAFD3E" w14:textId="77777777" w:rsidTr="00A65F2D">
        <w:trPr>
          <w:tblHeader/>
        </w:trPr>
        <w:tc>
          <w:tcPr>
            <w:tcW w:w="4326" w:type="dxa"/>
          </w:tcPr>
          <w:p w14:paraId="5E4C67C4" w14:textId="2E01F743" w:rsidR="005C4AF7" w:rsidRDefault="005C4AF7" w:rsidP="00523CAA">
            <w:pPr>
              <w:spacing w:before="60"/>
            </w:pPr>
            <w:proofErr w:type="spellStart"/>
            <w:r>
              <w:t>Agendia</w:t>
            </w:r>
            <w:proofErr w:type="spellEnd"/>
          </w:p>
        </w:tc>
        <w:tc>
          <w:tcPr>
            <w:tcW w:w="4264" w:type="dxa"/>
          </w:tcPr>
          <w:p w14:paraId="3435BEF1" w14:textId="2F8DAE26" w:rsidR="005C4AF7" w:rsidRDefault="005C4AF7" w:rsidP="00523CAA">
            <w:pPr>
              <w:spacing w:before="60"/>
            </w:pPr>
            <w:proofErr w:type="spellStart"/>
            <w:r>
              <w:t>MammaPrint</w:t>
            </w:r>
            <w:proofErr w:type="spellEnd"/>
            <w:r>
              <w:t>®</w:t>
            </w:r>
          </w:p>
        </w:tc>
      </w:tr>
    </w:tbl>
    <w:p w14:paraId="6C413531" w14:textId="77777777" w:rsidR="009A759B" w:rsidRDefault="009A759B" w:rsidP="00EE6450">
      <w:pPr>
        <w:ind w:left="426"/>
      </w:pPr>
    </w:p>
    <w:p w14:paraId="23DA784A" w14:textId="77777777" w:rsidR="00E82F54" w:rsidRDefault="00E82F54" w:rsidP="00530204">
      <w:pPr>
        <w:pStyle w:val="Heading2"/>
      </w:pPr>
      <w:r w:rsidRPr="00154B00">
        <w:t>Nominate two experts who could be approached about the proposed medical service and the current clinical management of the service(s):</w:t>
      </w:r>
    </w:p>
    <w:p w14:paraId="75C6BEFA" w14:textId="0EE61FD2" w:rsidR="00987ABE" w:rsidRPr="00987ABE" w:rsidRDefault="00987ABE" w:rsidP="00987ABE">
      <w:pPr>
        <w:ind w:left="426"/>
        <w:rPr>
          <w:szCs w:val="20"/>
        </w:rPr>
      </w:pPr>
      <w:r>
        <w:rPr>
          <w:szCs w:val="20"/>
        </w:rPr>
        <w:t xml:space="preserve">Name of expert 1: </w:t>
      </w:r>
      <w:r w:rsidR="008675D5">
        <w:t>REDACTED</w:t>
      </w:r>
    </w:p>
    <w:p w14:paraId="64996E69" w14:textId="1E3D8CD9" w:rsidR="00987ABE" w:rsidRPr="00987ABE" w:rsidRDefault="00987ABE" w:rsidP="00987ABE">
      <w:pPr>
        <w:ind w:left="426"/>
        <w:rPr>
          <w:szCs w:val="20"/>
        </w:rPr>
      </w:pPr>
      <w:r>
        <w:rPr>
          <w:szCs w:val="20"/>
        </w:rPr>
        <w:t xml:space="preserve">Telephone </w:t>
      </w:r>
      <w:r w:rsidR="008675D5">
        <w:rPr>
          <w:szCs w:val="20"/>
        </w:rPr>
        <w:t>number(s): REDACTED</w:t>
      </w:r>
    </w:p>
    <w:p w14:paraId="6D2D9A11" w14:textId="7E350E5C" w:rsidR="00987ABE" w:rsidRPr="00987ABE" w:rsidRDefault="00987ABE" w:rsidP="00987ABE">
      <w:pPr>
        <w:ind w:left="426"/>
        <w:rPr>
          <w:szCs w:val="20"/>
        </w:rPr>
      </w:pPr>
      <w:r>
        <w:rPr>
          <w:szCs w:val="20"/>
        </w:rPr>
        <w:t xml:space="preserve">Email address: </w:t>
      </w:r>
      <w:r w:rsidR="008675D5">
        <w:t>REDACTED</w:t>
      </w:r>
    </w:p>
    <w:p w14:paraId="097C7BE9" w14:textId="45DE6B5C" w:rsidR="00987ABE" w:rsidRPr="00987ABE" w:rsidRDefault="00987ABE" w:rsidP="00987ABE">
      <w:pPr>
        <w:ind w:left="426"/>
        <w:rPr>
          <w:szCs w:val="20"/>
        </w:rPr>
      </w:pPr>
      <w:r>
        <w:rPr>
          <w:szCs w:val="20"/>
        </w:rPr>
        <w:t xml:space="preserve">Justification of expertise: </w:t>
      </w:r>
      <w:r w:rsidR="008675D5">
        <w:t>REDACTED</w:t>
      </w:r>
    </w:p>
    <w:p w14:paraId="544D0C9A" w14:textId="77777777" w:rsidR="00BB63E4" w:rsidRDefault="00BB63E4" w:rsidP="00BB63E4">
      <w:pPr>
        <w:spacing w:before="0" w:after="0"/>
        <w:ind w:left="426"/>
        <w:rPr>
          <w:szCs w:val="20"/>
        </w:rPr>
      </w:pPr>
    </w:p>
    <w:p w14:paraId="2A327D63" w14:textId="1CD6D5C5" w:rsidR="00987ABE" w:rsidRPr="00987ABE" w:rsidRDefault="00987ABE" w:rsidP="00BB63E4">
      <w:pPr>
        <w:spacing w:before="0"/>
        <w:ind w:left="426"/>
        <w:rPr>
          <w:szCs w:val="20"/>
        </w:rPr>
      </w:pPr>
      <w:r w:rsidRPr="00054BF4">
        <w:rPr>
          <w:szCs w:val="20"/>
        </w:rPr>
        <w:t xml:space="preserve">Name of expert 2: </w:t>
      </w:r>
      <w:r w:rsidR="008675D5">
        <w:t>REDACTED</w:t>
      </w:r>
    </w:p>
    <w:p w14:paraId="6E00F895" w14:textId="7817DEBD" w:rsidR="00987ABE" w:rsidRPr="00987ABE" w:rsidRDefault="00987ABE" w:rsidP="00987ABE">
      <w:pPr>
        <w:ind w:left="426"/>
        <w:rPr>
          <w:szCs w:val="20"/>
        </w:rPr>
      </w:pPr>
      <w:r>
        <w:rPr>
          <w:szCs w:val="20"/>
        </w:rPr>
        <w:t xml:space="preserve">Telephone number(s): </w:t>
      </w:r>
      <w:r w:rsidR="008675D5">
        <w:t>REDACTED</w:t>
      </w:r>
    </w:p>
    <w:p w14:paraId="5D5E7587" w14:textId="2EB61A8C" w:rsidR="005600FC" w:rsidRDefault="00987ABE" w:rsidP="00B8667C">
      <w:pPr>
        <w:ind w:left="426"/>
        <w:rPr>
          <w:lang w:val="en-US"/>
        </w:rPr>
      </w:pPr>
      <w:r>
        <w:rPr>
          <w:szCs w:val="20"/>
        </w:rPr>
        <w:t xml:space="preserve">Email address: </w:t>
      </w:r>
      <w:r w:rsidR="008675D5">
        <w:rPr>
          <w:lang w:val="en-US"/>
        </w:rPr>
        <w:t>REDACTED</w:t>
      </w:r>
    </w:p>
    <w:p w14:paraId="26E58C90" w14:textId="2449442B" w:rsidR="00B8667C" w:rsidRDefault="00987ABE" w:rsidP="00B8667C">
      <w:pPr>
        <w:ind w:left="426"/>
        <w:rPr>
          <w:szCs w:val="20"/>
        </w:rPr>
      </w:pPr>
      <w:r>
        <w:rPr>
          <w:szCs w:val="20"/>
        </w:rPr>
        <w:t xml:space="preserve">Justification of expertise: </w:t>
      </w:r>
      <w:r w:rsidR="008675D5">
        <w:t>REDACTED</w:t>
      </w:r>
    </w:p>
    <w:p w14:paraId="10D6D1F3" w14:textId="58C13240" w:rsidR="003433D1" w:rsidRDefault="00E82F54" w:rsidP="00B8667C">
      <w:pPr>
        <w:ind w:left="426"/>
        <w:rPr>
          <w:i/>
          <w:szCs w:val="20"/>
        </w:rPr>
      </w:pPr>
      <w:r w:rsidRPr="00154B00">
        <w:rPr>
          <w:i/>
          <w:szCs w:val="20"/>
        </w:rPr>
        <w:lastRenderedPageBreak/>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p>
    <w:p w14:paraId="06B19CE4" w14:textId="77777777" w:rsidR="0075380C" w:rsidRPr="00B8667C" w:rsidRDefault="0075380C" w:rsidP="00B8667C">
      <w:pPr>
        <w:ind w:left="426"/>
        <w:rPr>
          <w:szCs w:val="20"/>
        </w:rPr>
      </w:pPr>
    </w:p>
    <w:p w14:paraId="1C4111F3" w14:textId="77777777" w:rsidR="00E82F54" w:rsidRPr="00EA173C" w:rsidRDefault="00F93784" w:rsidP="00A96329">
      <w:pPr>
        <w:pStyle w:val="Heading1"/>
      </w:pPr>
      <w:r>
        <w:t>PAR</w:t>
      </w:r>
      <w:r w:rsidR="005C3AE7">
        <w:t>T 6</w:t>
      </w:r>
      <w:r>
        <w:t xml:space="preserve"> – POPULATION</w:t>
      </w:r>
      <w:r w:rsidR="000525BC">
        <w:t xml:space="preserve"> (AND PRIOR TESTS)</w:t>
      </w:r>
      <w:r>
        <w:t>, INDICATION, COMPARATOR, OUTCOME (PICO)</w:t>
      </w:r>
    </w:p>
    <w:p w14:paraId="075A5360" w14:textId="77777777" w:rsidR="0021185D" w:rsidRPr="005C3AE7" w:rsidRDefault="005C3AE7" w:rsidP="005C3AE7">
      <w:pPr>
        <w:pStyle w:val="Subtitle"/>
      </w:pPr>
      <w:r w:rsidRPr="005C3AE7">
        <w:t xml:space="preserve">PART 6a – </w:t>
      </w:r>
      <w:r w:rsidR="0021185D" w:rsidRPr="005C3AE7">
        <w:t>INFORMATION ABOUT THE PROPOSED POPULATION</w:t>
      </w:r>
    </w:p>
    <w:p w14:paraId="2F3D30EA"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598A4CD6" w14:textId="077457F2" w:rsidR="003660F0" w:rsidRDefault="00CF11DB" w:rsidP="00CF11DB">
      <w:pPr>
        <w:ind w:left="426"/>
      </w:pPr>
      <w:r>
        <w:t>Breast cancer is the most common cancer type among women, representing 28% of all reported cancer</w:t>
      </w:r>
      <w:r w:rsidR="00DC709C">
        <w:t>s</w:t>
      </w:r>
      <w:r>
        <w:t xml:space="preserve"> in females in Australia (AIHW 2012). The incidence of </w:t>
      </w:r>
      <w:r w:rsidR="00DC709C">
        <w:t>breast cancer</w:t>
      </w:r>
      <w:r>
        <w:t xml:space="preserve"> in Australia is increasing, and has </w:t>
      </w:r>
      <w:proofErr w:type="gramStart"/>
      <w:r>
        <w:t>risen</w:t>
      </w:r>
      <w:proofErr w:type="gramEnd"/>
      <w:r>
        <w:t xml:space="preserve"> from 5</w:t>
      </w:r>
      <w:r w:rsidR="00DC709C">
        <w:t>,</w:t>
      </w:r>
      <w:r>
        <w:t>303 new cases in 1982 to 14</w:t>
      </w:r>
      <w:r w:rsidR="00DC709C">
        <w:t>,</w:t>
      </w:r>
      <w:r>
        <w:t xml:space="preserve">181 new cases in 2010 (Cancer Australia 2015). </w:t>
      </w:r>
    </w:p>
    <w:p w14:paraId="29B280B1" w14:textId="4D80E185" w:rsidR="00E24D90" w:rsidRDefault="00CF11DB" w:rsidP="00CF11DB">
      <w:pPr>
        <w:ind w:left="426"/>
      </w:pPr>
      <w:r>
        <w:t xml:space="preserve">There are multiple classifications of </w:t>
      </w:r>
      <w:r w:rsidR="00DC709C">
        <w:t>breast cancer</w:t>
      </w:r>
      <w:r>
        <w:t xml:space="preserve">. The most important primary tumour markers in terms of prognosis and </w:t>
      </w:r>
      <w:r w:rsidR="00FC0A8B">
        <w:t>treatment have been considered recently</w:t>
      </w:r>
      <w:r>
        <w:t xml:space="preserve"> to be the epidermal growth factor gene (HER2) and hormone receptor </w:t>
      </w:r>
      <w:r w:rsidR="00FC0A8B">
        <w:t xml:space="preserve">(HR) </w:t>
      </w:r>
      <w:r>
        <w:t>genes (</w:t>
      </w:r>
      <w:r w:rsidR="00DA0F33">
        <w:t xml:space="preserve">oestrogen, </w:t>
      </w:r>
      <w:r>
        <w:t>ER</w:t>
      </w:r>
      <w:r w:rsidR="00DC709C">
        <w:t>;</w:t>
      </w:r>
      <w:r>
        <w:t xml:space="preserve"> and </w:t>
      </w:r>
      <w:r w:rsidR="00DA0F33">
        <w:t xml:space="preserve">progesterone, </w:t>
      </w:r>
      <w:r>
        <w:t xml:space="preserve">PR) (Coates et al. 2015; Rossi et al. 2015). </w:t>
      </w:r>
      <w:r w:rsidR="00C55881">
        <w:t xml:space="preserve">Breast cancer guidelines recommend the categorisation of primary </w:t>
      </w:r>
      <w:r>
        <w:t xml:space="preserve">disease into </w:t>
      </w:r>
      <w:r w:rsidR="00FC0A8B">
        <w:t xml:space="preserve">the </w:t>
      </w:r>
      <w:r>
        <w:t>basic groups</w:t>
      </w:r>
      <w:r w:rsidR="00FC0A8B">
        <w:t xml:space="preserve"> </w:t>
      </w:r>
      <w:r w:rsidR="00DA0F33">
        <w:t xml:space="preserve">which constitute the four combinations of </w:t>
      </w:r>
      <w:r w:rsidR="00FC0A8B">
        <w:t>HER2 +</w:t>
      </w:r>
      <w:proofErr w:type="spellStart"/>
      <w:r w:rsidR="00FC0A8B">
        <w:t>ve</w:t>
      </w:r>
      <w:proofErr w:type="spellEnd"/>
      <w:r w:rsidR="00DA0F33">
        <w:t xml:space="preserve"> or -</w:t>
      </w:r>
      <w:proofErr w:type="spellStart"/>
      <w:r w:rsidR="00DA0F33">
        <w:t>ve</w:t>
      </w:r>
      <w:proofErr w:type="spellEnd"/>
      <w:r w:rsidR="00DA0F33">
        <w:t xml:space="preserve"> and ER/PR +</w:t>
      </w:r>
      <w:proofErr w:type="spellStart"/>
      <w:r w:rsidR="00DA0F33">
        <w:t>ve</w:t>
      </w:r>
      <w:proofErr w:type="spellEnd"/>
      <w:r w:rsidR="00DA0F33">
        <w:t xml:space="preserve"> or –</w:t>
      </w:r>
      <w:proofErr w:type="spellStart"/>
      <w:r w:rsidR="00DA0F33">
        <w:t>ve</w:t>
      </w:r>
      <w:proofErr w:type="spellEnd"/>
      <w:r w:rsidR="00DA0F33">
        <w:t xml:space="preserve">. </w:t>
      </w:r>
      <w:r w:rsidR="00E24D90">
        <w:t>The largest category is the HER2 –</w:t>
      </w:r>
      <w:proofErr w:type="spellStart"/>
      <w:r w:rsidR="00E24D90">
        <w:t>ve</w:t>
      </w:r>
      <w:proofErr w:type="spellEnd"/>
      <w:r w:rsidR="00E24D90">
        <w:t>/ER +</w:t>
      </w:r>
      <w:proofErr w:type="spellStart"/>
      <w:r w:rsidR="00E24D90">
        <w:t>ve</w:t>
      </w:r>
      <w:proofErr w:type="spellEnd"/>
      <w:r w:rsidR="00E24D90">
        <w:t xml:space="preserve"> group, which makes up 65-70% of all breast cancer according to published evidence </w:t>
      </w:r>
      <w:r w:rsidR="00E24D90">
        <w:fldChar w:fldCharType="begin">
          <w:fldData xml:space="preserve">PEVuZE5vdGU+PENpdGU+PEF1dGhvcj5Wb2R1YzwvQXV0aG9yPjxZZWFyPjIwMTA8L1llYXI+PFJl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</w:fldData>
        </w:fldChar>
      </w:r>
      <w:r w:rsidR="00E24D90">
        <w:instrText xml:space="preserve"> ADDIN EN.CITE </w:instrText>
      </w:r>
      <w:r w:rsidR="00E24D90">
        <w:fldChar w:fldCharType="begin">
          <w:fldData xml:space="preserve">PEVuZE5vdGU+PENpdGU+PEF1dGhvcj5Wb2R1YzwvQXV0aG9yPjxZZWFyPjIwMTA8L1llYXI+PFJl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</w:fldData>
        </w:fldChar>
      </w:r>
      <w:r w:rsidR="00E24D90">
        <w:instrText xml:space="preserve"> ADDIN EN.CITE.DATA </w:instrText>
      </w:r>
      <w:r w:rsidR="00E24D90">
        <w:fldChar w:fldCharType="end"/>
      </w:r>
      <w:r w:rsidR="00E24D90">
        <w:fldChar w:fldCharType="separate"/>
      </w:r>
      <w:r w:rsidR="00E24D90">
        <w:rPr>
          <w:noProof/>
        </w:rPr>
        <w:t>(</w:t>
      </w:r>
      <w:hyperlink w:anchor="_ENREF_9" w:tooltip="Voduc, 2010 #79" w:history="1">
        <w:r w:rsidR="00477651">
          <w:rPr>
            <w:noProof/>
          </w:rPr>
          <w:t>Voduc et al. 2010</w:t>
        </w:r>
      </w:hyperlink>
      <w:r w:rsidR="00E24D90">
        <w:rPr>
          <w:noProof/>
        </w:rPr>
        <w:t xml:space="preserve">; </w:t>
      </w:r>
      <w:hyperlink w:anchor="_ENREF_10" w:tooltip="Wang-Lopez, 2015 #80" w:history="1">
        <w:r w:rsidR="00477651">
          <w:rPr>
            <w:noProof/>
          </w:rPr>
          <w:t>Wang-Lopez et al. 2015</w:t>
        </w:r>
      </w:hyperlink>
      <w:r w:rsidR="00E24D90">
        <w:rPr>
          <w:noProof/>
        </w:rPr>
        <w:t>)</w:t>
      </w:r>
      <w:r w:rsidR="00E24D90">
        <w:fldChar w:fldCharType="end"/>
      </w:r>
      <w:r w:rsidR="00AE5CB1">
        <w:t xml:space="preserve"> (Table 4)</w:t>
      </w:r>
      <w:r w:rsidR="00E24D90">
        <w:t>.</w:t>
      </w:r>
    </w:p>
    <w:p w14:paraId="3FFFBCB3" w14:textId="4A2F1AFD" w:rsidR="003660F0" w:rsidRPr="00606EC9" w:rsidRDefault="00606EC9" w:rsidP="00523CAA">
      <w:pPr>
        <w:pStyle w:val="Caption"/>
        <w:spacing w:after="120"/>
        <w:ind w:left="426"/>
        <w:rPr>
          <w:sz w:val="20"/>
          <w:szCs w:val="20"/>
        </w:rPr>
      </w:pPr>
      <w:r w:rsidRPr="00606EC9">
        <w:rPr>
          <w:sz w:val="20"/>
          <w:szCs w:val="20"/>
        </w:rPr>
        <w:t xml:space="preserve">Table </w:t>
      </w:r>
      <w:r w:rsidRPr="00606EC9">
        <w:rPr>
          <w:sz w:val="20"/>
          <w:szCs w:val="20"/>
        </w:rPr>
        <w:fldChar w:fldCharType="begin"/>
      </w:r>
      <w:r w:rsidRPr="00606EC9">
        <w:rPr>
          <w:sz w:val="20"/>
          <w:szCs w:val="20"/>
        </w:rPr>
        <w:instrText xml:space="preserve"> SEQ Table \* ARABIC </w:instrText>
      </w:r>
      <w:r w:rsidRPr="00606EC9">
        <w:rPr>
          <w:sz w:val="20"/>
          <w:szCs w:val="20"/>
        </w:rPr>
        <w:fldChar w:fldCharType="separate"/>
      </w:r>
      <w:r w:rsidR="003E6138">
        <w:rPr>
          <w:sz w:val="20"/>
          <w:szCs w:val="20"/>
        </w:rPr>
        <w:t>4</w:t>
      </w:r>
      <w:r w:rsidRPr="00606EC9">
        <w:rPr>
          <w:sz w:val="20"/>
          <w:szCs w:val="20"/>
        </w:rPr>
        <w:fldChar w:fldCharType="end"/>
      </w:r>
      <w:r w:rsidRPr="00606EC9">
        <w:rPr>
          <w:sz w:val="20"/>
          <w:szCs w:val="20"/>
        </w:rPr>
        <w:tab/>
        <w:t>Estimated breast cancer incidence for Australia</w:t>
      </w:r>
      <w:r w:rsidR="006A7271">
        <w:rPr>
          <w:sz w:val="20"/>
          <w:szCs w:val="20"/>
        </w:rPr>
        <w:t xml:space="preserve"> (males and females)</w:t>
      </w:r>
    </w:p>
    <w:tbl>
      <w:tblPr>
        <w:tblStyle w:val="TableGrid3"/>
        <w:tblW w:w="0" w:type="auto"/>
        <w:tblInd w:w="421" w:type="dxa"/>
        <w:tblLook w:val="04A0" w:firstRow="1" w:lastRow="0" w:firstColumn="1" w:lastColumn="0" w:noHBand="0" w:noVBand="1"/>
        <w:tblDescription w:val="Table 4:  Estimated breast cancer statistics incidence for Australia "/>
      </w:tblPr>
      <w:tblGrid>
        <w:gridCol w:w="3737"/>
        <w:gridCol w:w="1220"/>
        <w:gridCol w:w="1221"/>
        <w:gridCol w:w="1196"/>
        <w:gridCol w:w="1221"/>
      </w:tblGrid>
      <w:tr w:rsidR="006A7271" w:rsidRPr="00515109" w14:paraId="5BF73ECA" w14:textId="77777777" w:rsidTr="00CD797D">
        <w:trPr>
          <w:tblHeader/>
        </w:trPr>
        <w:tc>
          <w:tcPr>
            <w:tcW w:w="3737" w:type="dxa"/>
          </w:tcPr>
          <w:p w14:paraId="08BF6084" w14:textId="77777777" w:rsidR="006A7271" w:rsidRPr="00515109" w:rsidRDefault="006A7271" w:rsidP="00523CAA">
            <w:pPr>
              <w:spacing w:before="60"/>
              <w:rPr>
                <w:rFonts w:ascii="Arial Narrow" w:hAnsi="Arial Narrow"/>
                <w:b/>
                <w:sz w:val="18"/>
                <w:szCs w:val="18"/>
              </w:rPr>
            </w:pPr>
            <w:r w:rsidRPr="00515109">
              <w:rPr>
                <w:rFonts w:ascii="Arial Narrow" w:hAnsi="Arial Narrow"/>
                <w:b/>
                <w:sz w:val="18"/>
                <w:szCs w:val="18"/>
              </w:rPr>
              <w:t>Statistic</w:t>
            </w:r>
          </w:p>
        </w:tc>
        <w:tc>
          <w:tcPr>
            <w:tcW w:w="1220" w:type="dxa"/>
          </w:tcPr>
          <w:p w14:paraId="30E6702F" w14:textId="77777777" w:rsidR="006A7271" w:rsidRPr="00515109" w:rsidRDefault="006A7271" w:rsidP="00523CAA">
            <w:pPr>
              <w:spacing w:before="60"/>
              <w:rPr>
                <w:rFonts w:ascii="Arial Narrow" w:hAnsi="Arial Narrow"/>
                <w:b/>
                <w:sz w:val="18"/>
                <w:szCs w:val="18"/>
              </w:rPr>
            </w:pPr>
            <w:r w:rsidRPr="00515109">
              <w:rPr>
                <w:rFonts w:ascii="Arial Narrow" w:hAnsi="Arial Narrow"/>
                <w:b/>
                <w:sz w:val="18"/>
                <w:szCs w:val="18"/>
              </w:rPr>
              <w:t>201</w:t>
            </w:r>
            <w:r>
              <w:rPr>
                <w:rFonts w:ascii="Arial Narrow" w:hAnsi="Arial Narrow"/>
                <w:b/>
                <w:sz w:val="18"/>
                <w:szCs w:val="18"/>
              </w:rPr>
              <w:t>2</w:t>
            </w:r>
          </w:p>
        </w:tc>
        <w:tc>
          <w:tcPr>
            <w:tcW w:w="1221" w:type="dxa"/>
          </w:tcPr>
          <w:p w14:paraId="136A98D0" w14:textId="77777777" w:rsidR="006A7271" w:rsidRPr="00515109" w:rsidRDefault="006A7271" w:rsidP="00523CAA">
            <w:pPr>
              <w:spacing w:before="60"/>
              <w:rPr>
                <w:rFonts w:ascii="Arial Narrow" w:hAnsi="Arial Narrow"/>
                <w:b/>
                <w:sz w:val="18"/>
                <w:szCs w:val="18"/>
              </w:rPr>
            </w:pPr>
            <w:r w:rsidRPr="00515109">
              <w:rPr>
                <w:rFonts w:ascii="Arial Narrow" w:hAnsi="Arial Narrow"/>
                <w:b/>
                <w:sz w:val="18"/>
                <w:szCs w:val="18"/>
              </w:rPr>
              <w:t>2014</w:t>
            </w:r>
          </w:p>
        </w:tc>
        <w:tc>
          <w:tcPr>
            <w:tcW w:w="1196" w:type="dxa"/>
          </w:tcPr>
          <w:p w14:paraId="7B751FF4" w14:textId="77777777" w:rsidR="006A7271" w:rsidRPr="00515109" w:rsidRDefault="006A7271" w:rsidP="00523CAA">
            <w:pPr>
              <w:spacing w:before="60"/>
              <w:rPr>
                <w:rFonts w:ascii="Arial Narrow" w:hAnsi="Arial Narrow"/>
                <w:b/>
                <w:sz w:val="18"/>
                <w:szCs w:val="18"/>
              </w:rPr>
            </w:pPr>
            <w:r>
              <w:rPr>
                <w:rFonts w:ascii="Arial Narrow" w:hAnsi="Arial Narrow"/>
                <w:b/>
                <w:sz w:val="18"/>
                <w:szCs w:val="18"/>
              </w:rPr>
              <w:t>2016</w:t>
            </w:r>
          </w:p>
        </w:tc>
        <w:tc>
          <w:tcPr>
            <w:tcW w:w="1221" w:type="dxa"/>
          </w:tcPr>
          <w:p w14:paraId="5757BCEA" w14:textId="77777777" w:rsidR="006A7271" w:rsidRPr="00515109" w:rsidRDefault="006A7271" w:rsidP="00523CAA">
            <w:pPr>
              <w:spacing w:before="60"/>
              <w:rPr>
                <w:rFonts w:ascii="Arial Narrow" w:hAnsi="Arial Narrow"/>
                <w:b/>
                <w:sz w:val="18"/>
                <w:szCs w:val="18"/>
              </w:rPr>
            </w:pPr>
            <w:r w:rsidRPr="00515109">
              <w:rPr>
                <w:rFonts w:ascii="Arial Narrow" w:hAnsi="Arial Narrow"/>
                <w:b/>
                <w:sz w:val="18"/>
                <w:szCs w:val="18"/>
              </w:rPr>
              <w:t>2020</w:t>
            </w:r>
          </w:p>
        </w:tc>
      </w:tr>
      <w:tr w:rsidR="006A7271" w:rsidRPr="00515109" w14:paraId="64DC5ACD" w14:textId="77777777" w:rsidTr="00CD797D">
        <w:tc>
          <w:tcPr>
            <w:tcW w:w="3737" w:type="dxa"/>
          </w:tcPr>
          <w:p w14:paraId="3730A6CC" w14:textId="77777777" w:rsidR="006A7271" w:rsidRPr="00515109" w:rsidRDefault="006A7271" w:rsidP="00523CAA">
            <w:pPr>
              <w:spacing w:before="60"/>
              <w:rPr>
                <w:rFonts w:ascii="Arial Narrow" w:hAnsi="Arial Narrow"/>
                <w:sz w:val="18"/>
                <w:szCs w:val="18"/>
              </w:rPr>
            </w:pPr>
            <w:r w:rsidRPr="00515109">
              <w:rPr>
                <w:rFonts w:ascii="Arial Narrow" w:hAnsi="Arial Narrow"/>
                <w:sz w:val="18"/>
                <w:szCs w:val="18"/>
              </w:rPr>
              <w:t>New cases</w:t>
            </w:r>
          </w:p>
        </w:tc>
        <w:tc>
          <w:tcPr>
            <w:tcW w:w="1220" w:type="dxa"/>
          </w:tcPr>
          <w:p w14:paraId="607BAAA9" w14:textId="77777777" w:rsidR="006A7271" w:rsidRPr="006D1C32" w:rsidRDefault="006A7271" w:rsidP="00523CAA">
            <w:pPr>
              <w:tabs>
                <w:tab w:val="right" w:pos="853"/>
              </w:tabs>
              <w:spacing w:before="60"/>
              <w:rPr>
                <w:rFonts w:ascii="Arial Narrow" w:hAnsi="Arial Narrow"/>
                <w:sz w:val="18"/>
                <w:szCs w:val="18"/>
                <w:vertAlign w:val="superscript"/>
              </w:rPr>
            </w:pPr>
            <w:r>
              <w:rPr>
                <w:rFonts w:ascii="Arial Narrow" w:hAnsi="Arial Narrow"/>
                <w:sz w:val="18"/>
                <w:szCs w:val="18"/>
              </w:rPr>
              <w:t>15,166</w:t>
            </w:r>
            <w:r>
              <w:rPr>
                <w:rFonts w:ascii="Arial Narrow" w:hAnsi="Arial Narrow"/>
                <w:sz w:val="18"/>
                <w:szCs w:val="18"/>
                <w:vertAlign w:val="superscript"/>
              </w:rPr>
              <w:t>a</w:t>
            </w:r>
          </w:p>
        </w:tc>
        <w:tc>
          <w:tcPr>
            <w:tcW w:w="1221" w:type="dxa"/>
          </w:tcPr>
          <w:p w14:paraId="034F0B56" w14:textId="77777777" w:rsidR="006A7271" w:rsidRPr="00957E20" w:rsidRDefault="006A7271" w:rsidP="00523CAA">
            <w:pPr>
              <w:tabs>
                <w:tab w:val="right" w:pos="897"/>
              </w:tabs>
              <w:spacing w:before="60"/>
              <w:rPr>
                <w:rFonts w:ascii="Arial Narrow" w:hAnsi="Arial Narrow"/>
                <w:sz w:val="18"/>
                <w:szCs w:val="18"/>
                <w:vertAlign w:val="superscript"/>
              </w:rPr>
            </w:pPr>
            <w:r w:rsidRPr="00515109">
              <w:rPr>
                <w:rFonts w:ascii="Arial Narrow" w:hAnsi="Arial Narrow"/>
                <w:sz w:val="18"/>
                <w:szCs w:val="18"/>
              </w:rPr>
              <w:t>15</w:t>
            </w:r>
            <w:r>
              <w:rPr>
                <w:rFonts w:ascii="Arial Narrow" w:hAnsi="Arial Narrow"/>
                <w:sz w:val="18"/>
                <w:szCs w:val="18"/>
              </w:rPr>
              <w:t>,</w:t>
            </w:r>
            <w:r w:rsidRPr="00515109">
              <w:rPr>
                <w:rFonts w:ascii="Arial Narrow" w:hAnsi="Arial Narrow"/>
                <w:sz w:val="18"/>
                <w:szCs w:val="18"/>
              </w:rPr>
              <w:t>270</w:t>
            </w:r>
            <w:r>
              <w:rPr>
                <w:rFonts w:ascii="Arial Narrow" w:hAnsi="Arial Narrow"/>
                <w:sz w:val="18"/>
                <w:szCs w:val="18"/>
                <w:vertAlign w:val="superscript"/>
              </w:rPr>
              <w:t>b</w:t>
            </w:r>
          </w:p>
        </w:tc>
        <w:tc>
          <w:tcPr>
            <w:tcW w:w="1196" w:type="dxa"/>
          </w:tcPr>
          <w:p w14:paraId="0A7291FA" w14:textId="77777777" w:rsidR="006A7271" w:rsidRPr="006D1C32" w:rsidRDefault="006A7271" w:rsidP="00523CAA">
            <w:pPr>
              <w:tabs>
                <w:tab w:val="right" w:pos="898"/>
              </w:tabs>
              <w:spacing w:before="60"/>
              <w:rPr>
                <w:rFonts w:ascii="Arial Narrow" w:hAnsi="Arial Narrow"/>
                <w:sz w:val="18"/>
                <w:szCs w:val="18"/>
                <w:vertAlign w:val="superscript"/>
              </w:rPr>
            </w:pPr>
            <w:r>
              <w:rPr>
                <w:rFonts w:ascii="Arial Narrow" w:hAnsi="Arial Narrow"/>
                <w:sz w:val="18"/>
                <w:szCs w:val="18"/>
              </w:rPr>
              <w:t>16,084</w:t>
            </w:r>
            <w:r>
              <w:rPr>
                <w:rFonts w:ascii="Arial Narrow" w:hAnsi="Arial Narrow"/>
                <w:sz w:val="18"/>
                <w:szCs w:val="18"/>
                <w:vertAlign w:val="superscript"/>
              </w:rPr>
              <w:t>b</w:t>
            </w:r>
          </w:p>
        </w:tc>
        <w:tc>
          <w:tcPr>
            <w:tcW w:w="1221" w:type="dxa"/>
          </w:tcPr>
          <w:p w14:paraId="6856CBFB" w14:textId="77777777" w:rsidR="006A7271" w:rsidRPr="00957E20" w:rsidRDefault="006A7271" w:rsidP="00523CAA">
            <w:pPr>
              <w:tabs>
                <w:tab w:val="right" w:pos="898"/>
              </w:tabs>
              <w:spacing w:before="60"/>
              <w:rPr>
                <w:rFonts w:ascii="Arial Narrow" w:hAnsi="Arial Narrow"/>
                <w:sz w:val="18"/>
                <w:szCs w:val="18"/>
                <w:vertAlign w:val="superscript"/>
              </w:rPr>
            </w:pPr>
            <w:r w:rsidRPr="00515109">
              <w:rPr>
                <w:rFonts w:ascii="Arial Narrow" w:hAnsi="Arial Narrow"/>
                <w:sz w:val="18"/>
                <w:szCs w:val="18"/>
              </w:rPr>
              <w:t>17</w:t>
            </w:r>
            <w:r>
              <w:rPr>
                <w:rFonts w:ascii="Arial Narrow" w:hAnsi="Arial Narrow"/>
                <w:sz w:val="18"/>
                <w:szCs w:val="18"/>
              </w:rPr>
              <w:t>,</w:t>
            </w:r>
            <w:r w:rsidRPr="00515109">
              <w:rPr>
                <w:rFonts w:ascii="Arial Narrow" w:hAnsi="Arial Narrow"/>
                <w:sz w:val="18"/>
                <w:szCs w:val="18"/>
              </w:rPr>
              <w:t>210</w:t>
            </w:r>
            <w:r>
              <w:rPr>
                <w:rFonts w:ascii="Arial Narrow" w:hAnsi="Arial Narrow"/>
                <w:sz w:val="18"/>
                <w:szCs w:val="18"/>
                <w:vertAlign w:val="superscript"/>
              </w:rPr>
              <w:t>c</w:t>
            </w:r>
          </w:p>
        </w:tc>
      </w:tr>
      <w:tr w:rsidR="006A7271" w:rsidRPr="00515109" w14:paraId="7EE13EE9" w14:textId="77777777" w:rsidTr="00CD797D">
        <w:tc>
          <w:tcPr>
            <w:tcW w:w="3737" w:type="dxa"/>
          </w:tcPr>
          <w:p w14:paraId="74945A56" w14:textId="77777777" w:rsidR="006A7271" w:rsidRPr="00515109" w:rsidRDefault="006A7271" w:rsidP="00523CAA">
            <w:pPr>
              <w:spacing w:before="60"/>
              <w:rPr>
                <w:rFonts w:ascii="Arial Narrow" w:hAnsi="Arial Narrow"/>
                <w:sz w:val="18"/>
                <w:szCs w:val="18"/>
                <w:vertAlign w:val="superscript"/>
              </w:rPr>
            </w:pPr>
            <w:r w:rsidRPr="00515109">
              <w:rPr>
                <w:rFonts w:ascii="Arial Narrow" w:hAnsi="Arial Narrow"/>
                <w:sz w:val="18"/>
                <w:szCs w:val="18"/>
              </w:rPr>
              <w:t>New ER</w:t>
            </w:r>
            <w:r>
              <w:rPr>
                <w:rFonts w:ascii="Arial Narrow" w:hAnsi="Arial Narrow"/>
                <w:sz w:val="18"/>
                <w:szCs w:val="18"/>
              </w:rPr>
              <w:t xml:space="preserve"> </w:t>
            </w:r>
            <w:r w:rsidRPr="00515109">
              <w:rPr>
                <w:rFonts w:ascii="Arial Narrow" w:hAnsi="Arial Narrow"/>
                <w:sz w:val="18"/>
                <w:szCs w:val="18"/>
              </w:rPr>
              <w:t>+</w:t>
            </w:r>
            <w:proofErr w:type="spellStart"/>
            <w:r w:rsidRPr="00515109">
              <w:rPr>
                <w:rFonts w:ascii="Arial Narrow" w:hAnsi="Arial Narrow"/>
                <w:sz w:val="18"/>
                <w:szCs w:val="18"/>
              </w:rPr>
              <w:t>ve</w:t>
            </w:r>
            <w:proofErr w:type="spellEnd"/>
            <w:r w:rsidRPr="00515109">
              <w:rPr>
                <w:rFonts w:ascii="Arial Narrow" w:hAnsi="Arial Narrow"/>
                <w:sz w:val="18"/>
                <w:szCs w:val="18"/>
              </w:rPr>
              <w:t>, HER2</w:t>
            </w:r>
            <w:r>
              <w:rPr>
                <w:rFonts w:ascii="Arial Narrow" w:hAnsi="Arial Narrow"/>
                <w:sz w:val="18"/>
                <w:szCs w:val="18"/>
              </w:rPr>
              <w:t xml:space="preserve"> </w:t>
            </w:r>
            <w:r w:rsidRPr="00515109">
              <w:rPr>
                <w:rFonts w:ascii="Arial Narrow" w:hAnsi="Arial Narrow"/>
                <w:sz w:val="18"/>
                <w:szCs w:val="18"/>
              </w:rPr>
              <w:t>-</w:t>
            </w:r>
            <w:proofErr w:type="spellStart"/>
            <w:r w:rsidRPr="00515109">
              <w:rPr>
                <w:rFonts w:ascii="Arial Narrow" w:hAnsi="Arial Narrow"/>
                <w:sz w:val="18"/>
                <w:szCs w:val="18"/>
              </w:rPr>
              <w:t>ve</w:t>
            </w:r>
            <w:proofErr w:type="spellEnd"/>
            <w:r w:rsidRPr="00515109">
              <w:rPr>
                <w:rFonts w:ascii="Arial Narrow" w:hAnsi="Arial Narrow"/>
                <w:sz w:val="18"/>
                <w:szCs w:val="18"/>
              </w:rPr>
              <w:t xml:space="preserve"> cases (assuming 65% of total)</w:t>
            </w:r>
            <w:r>
              <w:rPr>
                <w:rFonts w:ascii="Arial Narrow" w:hAnsi="Arial Narrow"/>
                <w:sz w:val="18"/>
                <w:szCs w:val="18"/>
                <w:vertAlign w:val="superscript"/>
              </w:rPr>
              <w:t>d</w:t>
            </w:r>
          </w:p>
        </w:tc>
        <w:tc>
          <w:tcPr>
            <w:tcW w:w="1220" w:type="dxa"/>
          </w:tcPr>
          <w:p w14:paraId="7A5A9CB6" w14:textId="77777777" w:rsidR="006A7271" w:rsidRPr="00515109" w:rsidRDefault="006A7271" w:rsidP="00523CAA">
            <w:pPr>
              <w:tabs>
                <w:tab w:val="right" w:pos="853"/>
              </w:tabs>
              <w:spacing w:before="60"/>
              <w:rPr>
                <w:rFonts w:ascii="Arial Narrow" w:hAnsi="Arial Narrow"/>
                <w:sz w:val="18"/>
                <w:szCs w:val="18"/>
              </w:rPr>
            </w:pPr>
            <w:r>
              <w:rPr>
                <w:rFonts w:ascii="Arial Narrow" w:hAnsi="Arial Narrow"/>
                <w:sz w:val="18"/>
                <w:szCs w:val="18"/>
              </w:rPr>
              <w:t>9857</w:t>
            </w:r>
          </w:p>
        </w:tc>
        <w:tc>
          <w:tcPr>
            <w:tcW w:w="1221" w:type="dxa"/>
          </w:tcPr>
          <w:p w14:paraId="013ADB8C" w14:textId="77777777" w:rsidR="006A7271" w:rsidRPr="00515109" w:rsidRDefault="006A7271" w:rsidP="00523CAA">
            <w:pPr>
              <w:tabs>
                <w:tab w:val="right" w:pos="897"/>
              </w:tabs>
              <w:spacing w:before="60"/>
              <w:rPr>
                <w:rFonts w:ascii="Arial Narrow" w:hAnsi="Arial Narrow"/>
                <w:sz w:val="18"/>
                <w:szCs w:val="18"/>
              </w:rPr>
            </w:pPr>
            <w:r w:rsidRPr="00515109">
              <w:rPr>
                <w:rFonts w:ascii="Arial Narrow" w:hAnsi="Arial Narrow"/>
                <w:sz w:val="18"/>
                <w:szCs w:val="18"/>
              </w:rPr>
              <w:t>9925</w:t>
            </w:r>
          </w:p>
        </w:tc>
        <w:tc>
          <w:tcPr>
            <w:tcW w:w="1196" w:type="dxa"/>
          </w:tcPr>
          <w:p w14:paraId="4A052CDA" w14:textId="77777777" w:rsidR="006A7271" w:rsidRPr="00515109" w:rsidRDefault="006A7271" w:rsidP="00523CAA">
            <w:pPr>
              <w:tabs>
                <w:tab w:val="right" w:pos="898"/>
              </w:tabs>
              <w:spacing w:before="60"/>
              <w:rPr>
                <w:rFonts w:ascii="Arial Narrow" w:hAnsi="Arial Narrow"/>
                <w:sz w:val="18"/>
                <w:szCs w:val="18"/>
              </w:rPr>
            </w:pPr>
            <w:r>
              <w:rPr>
                <w:rFonts w:ascii="Arial Narrow" w:hAnsi="Arial Narrow"/>
                <w:sz w:val="18"/>
                <w:szCs w:val="18"/>
              </w:rPr>
              <w:t>9972</w:t>
            </w:r>
          </w:p>
        </w:tc>
        <w:tc>
          <w:tcPr>
            <w:tcW w:w="1221" w:type="dxa"/>
          </w:tcPr>
          <w:p w14:paraId="43967A5E" w14:textId="77777777" w:rsidR="006A7271" w:rsidRPr="00515109" w:rsidRDefault="006A7271" w:rsidP="00523CAA">
            <w:pPr>
              <w:tabs>
                <w:tab w:val="right" w:pos="898"/>
              </w:tabs>
              <w:spacing w:before="60"/>
              <w:rPr>
                <w:rFonts w:ascii="Arial Narrow" w:hAnsi="Arial Narrow"/>
                <w:sz w:val="18"/>
                <w:szCs w:val="18"/>
              </w:rPr>
            </w:pPr>
            <w:r w:rsidRPr="00515109">
              <w:rPr>
                <w:rFonts w:ascii="Arial Narrow" w:hAnsi="Arial Narrow"/>
                <w:sz w:val="18"/>
                <w:szCs w:val="18"/>
              </w:rPr>
              <w:t>11</w:t>
            </w:r>
            <w:r>
              <w:rPr>
                <w:rFonts w:ascii="Arial Narrow" w:hAnsi="Arial Narrow"/>
                <w:sz w:val="18"/>
                <w:szCs w:val="18"/>
              </w:rPr>
              <w:t>,</w:t>
            </w:r>
            <w:r w:rsidRPr="00515109">
              <w:rPr>
                <w:rFonts w:ascii="Arial Narrow" w:hAnsi="Arial Narrow"/>
                <w:sz w:val="18"/>
                <w:szCs w:val="18"/>
              </w:rPr>
              <w:t>187</w:t>
            </w:r>
          </w:p>
        </w:tc>
      </w:tr>
    </w:tbl>
    <w:p w14:paraId="1B4678FB" w14:textId="33EF52D6" w:rsidR="00606EC9" w:rsidRPr="00606EC9" w:rsidRDefault="00957E20" w:rsidP="00523CAA">
      <w:pPr>
        <w:spacing w:before="60" w:after="0"/>
        <w:ind w:left="425"/>
        <w:rPr>
          <w:rFonts w:ascii="Arial Narrow" w:hAnsi="Arial Narrow"/>
          <w:sz w:val="18"/>
          <w:szCs w:val="18"/>
        </w:rPr>
      </w:pPr>
      <w:r w:rsidRPr="00957E20">
        <w:rPr>
          <w:rFonts w:ascii="Arial Narrow" w:hAnsi="Arial Narrow"/>
          <w:sz w:val="18"/>
          <w:szCs w:val="18"/>
          <w:vertAlign w:val="superscript"/>
        </w:rPr>
        <w:t>a</w:t>
      </w:r>
      <w:r w:rsidR="00032DC1">
        <w:rPr>
          <w:rFonts w:ascii="Arial Narrow" w:hAnsi="Arial Narrow"/>
          <w:sz w:val="18"/>
          <w:szCs w:val="18"/>
          <w:vertAlign w:val="superscript"/>
        </w:rPr>
        <w:t xml:space="preserve"> </w:t>
      </w:r>
      <w:r w:rsidR="00606EC9" w:rsidRPr="00606EC9">
        <w:rPr>
          <w:rFonts w:ascii="Arial Narrow" w:hAnsi="Arial Narrow"/>
          <w:sz w:val="18"/>
          <w:szCs w:val="18"/>
        </w:rPr>
        <w:t xml:space="preserve">Australian Institute of Health and Welfare in </w:t>
      </w:r>
      <w:r w:rsidR="006A7271">
        <w:rPr>
          <w:rFonts w:ascii="Arial Narrow" w:hAnsi="Arial Narrow"/>
          <w:sz w:val="18"/>
          <w:szCs w:val="18"/>
        </w:rPr>
        <w:t xml:space="preserve">2016 </w:t>
      </w:r>
      <w:r w:rsidR="006A7271">
        <w:rPr>
          <w:rFonts w:ascii="Arial Narrow" w:hAnsi="Arial Narrow"/>
          <w:sz w:val="18"/>
          <w:szCs w:val="18"/>
        </w:rPr>
        <w:fldChar w:fldCharType="begin"/>
      </w:r>
      <w:r w:rsidR="006A7271">
        <w:rPr>
          <w:rFonts w:ascii="Arial Narrow" w:hAnsi="Arial Narrow"/>
          <w:sz w:val="18"/>
          <w:szCs w:val="18"/>
        </w:rPr>
        <w:instrText xml:space="preserve"> ADDIN EN.CITE &lt;EndNote&gt;&lt;Cite&gt;&lt;Author&gt;AIHW&lt;/Author&gt;&lt;Year&gt;2016&lt;/Year&gt;&lt;RecNum&gt;92&lt;/RecNum&gt;&lt;DisplayText&gt;(AIHW 2016)&lt;/DisplayText&gt;&lt;record&gt;&lt;rec-number&gt;92&lt;/rec-number&gt;&lt;foreign-keys&gt;&lt;key app="EN" db-id="d0zpx20a6fxrw3etdtj5tetpa2adf9stz5fr" timestamp="1478498265"&gt;92&lt;/key&gt;&lt;/foreign-keys&gt;&lt;ref-type name="Report"&gt;27&lt;/ref-type&gt;&lt;contributors&gt;&lt;authors&gt;&lt;author&gt;AIHW&lt;/author&gt;&lt;/authors&gt;&lt;/contributors&gt;&lt;titles&gt;&lt;title&gt;Australian cancer Incidence and Mortality (ACIM) books&lt;/title&gt;&lt;secondary-title&gt;Breast Cancer&lt;/secondary-title&gt;&lt;/titles&gt;&lt;number&gt;Last updated 29 January 2016&lt;/number&gt;&lt;dates&gt;&lt;year&gt;2016&lt;/year&gt;&lt;/dates&gt;&lt;pub-location&gt;Canberra&lt;/pub-location&gt;&lt;publisher&gt;Australian Insitute of Health and Welfare&lt;/publisher&gt;&lt;urls&gt;&lt;related-urls&gt;&lt;url&gt;http://www.aihw.gov.au/acim-books/&lt;/url&gt;&lt;/related-urls&gt;&lt;/urls&gt;&lt;/record&gt;&lt;/Cite&gt;&lt;/EndNote&gt;</w:instrText>
      </w:r>
      <w:r w:rsidR="006A7271">
        <w:rPr>
          <w:rFonts w:ascii="Arial Narrow" w:hAnsi="Arial Narrow"/>
          <w:sz w:val="18"/>
          <w:szCs w:val="18"/>
        </w:rPr>
        <w:fldChar w:fldCharType="separate"/>
      </w:r>
      <w:r w:rsidR="006A7271">
        <w:rPr>
          <w:rFonts w:ascii="Arial Narrow" w:hAnsi="Arial Narrow"/>
          <w:noProof/>
          <w:sz w:val="18"/>
          <w:szCs w:val="18"/>
        </w:rPr>
        <w:t>(</w:t>
      </w:r>
      <w:hyperlink w:anchor="_ENREF_2" w:tooltip="AIHW, 2016 #92" w:history="1">
        <w:r w:rsidR="00477651">
          <w:rPr>
            <w:rFonts w:ascii="Arial Narrow" w:hAnsi="Arial Narrow"/>
            <w:noProof/>
            <w:sz w:val="18"/>
            <w:szCs w:val="18"/>
          </w:rPr>
          <w:t>AIHW 2016</w:t>
        </w:r>
      </w:hyperlink>
      <w:r w:rsidR="006A7271">
        <w:rPr>
          <w:rFonts w:ascii="Arial Narrow" w:hAnsi="Arial Narrow"/>
          <w:noProof/>
          <w:sz w:val="18"/>
          <w:szCs w:val="18"/>
        </w:rPr>
        <w:t>)</w:t>
      </w:r>
      <w:r w:rsidR="006A7271">
        <w:rPr>
          <w:rFonts w:ascii="Arial Narrow" w:hAnsi="Arial Narrow"/>
          <w:sz w:val="18"/>
          <w:szCs w:val="18"/>
        </w:rPr>
        <w:fldChar w:fldCharType="end"/>
      </w:r>
    </w:p>
    <w:p w14:paraId="799BE4E9" w14:textId="5370981A" w:rsidR="00606EC9" w:rsidRDefault="00957E20" w:rsidP="00606EC9">
      <w:pPr>
        <w:spacing w:before="0" w:after="0"/>
        <w:ind w:left="426"/>
        <w:rPr>
          <w:rFonts w:ascii="Arial Narrow" w:hAnsi="Arial Narrow"/>
          <w:sz w:val="18"/>
          <w:szCs w:val="18"/>
        </w:rPr>
      </w:pPr>
      <w:r w:rsidRPr="00957E20">
        <w:rPr>
          <w:rFonts w:ascii="Arial Narrow" w:hAnsi="Arial Narrow"/>
          <w:sz w:val="18"/>
          <w:szCs w:val="18"/>
          <w:vertAlign w:val="superscript"/>
        </w:rPr>
        <w:t>b</w:t>
      </w:r>
      <w:r w:rsidR="006A7271">
        <w:rPr>
          <w:rFonts w:ascii="Arial Narrow" w:hAnsi="Arial Narrow"/>
          <w:sz w:val="18"/>
          <w:szCs w:val="18"/>
        </w:rPr>
        <w:fldChar w:fldCharType="begin"/>
      </w:r>
      <w:r w:rsidR="006A7271">
        <w:rPr>
          <w:rFonts w:ascii="Arial Narrow" w:hAnsi="Arial Narrow"/>
          <w:sz w:val="18"/>
          <w:szCs w:val="18"/>
        </w:rPr>
        <w:instrText xml:space="preserve"> ADDIN EN.CITE &lt;EndNote&gt;&lt;Cite&gt;&lt;Author&gt;Cancer Australia&lt;/Author&gt;&lt;Year&gt;2016&lt;/Year&gt;&lt;RecNum&gt;93&lt;/RecNum&gt;&lt;DisplayText&gt;(Cancer Australia 2016)&lt;/DisplayText&gt;&lt;record&gt;&lt;rec-number&gt;93&lt;/rec-number&gt;&lt;foreign-keys&gt;&lt;key app="EN" db-id="d0zpx20a6fxrw3etdtj5tetpa2adf9stz5fr" timestamp="1478498437"&gt;93&lt;/key&gt;&lt;/foreign-keys&gt;&lt;ref-type name="Report"&gt;27&lt;/ref-type&gt;&lt;contributors&gt;&lt;authors&gt;&lt;author&gt;Cancer Australia, &lt;/author&gt;&lt;/authors&gt;&lt;secondary-authors&gt;&lt;author&gt;Australian Government&lt;/author&gt;&lt;/secondary-authors&gt;&lt;/contributors&gt;&lt;titles&gt;&lt;title&gt;Breast cancer statistics&lt;/title&gt;&lt;secondary-title&gt;Breast Cancer in Australia&lt;/secondary-title&gt;&lt;/titles&gt;&lt;number&gt;Last updated 29 January 2016&lt;/number&gt;&lt;dates&gt;&lt;year&gt;2016&lt;/year&gt;&lt;/dates&gt;&lt;pub-location&gt;Canberra&lt;/pub-location&gt;&lt;urls&gt;&lt;related-urls&gt;&lt;url&gt;https://canceraustralia.gov.au/affected-cancer/cancer-types/breast-cancer/breast-cancer-statistics&lt;/url&gt;&lt;/related-urls&gt;&lt;/urls&gt;&lt;/record&gt;&lt;/Cite&gt;&lt;/EndNote&gt;</w:instrText>
      </w:r>
      <w:r w:rsidR="006A7271">
        <w:rPr>
          <w:rFonts w:ascii="Arial Narrow" w:hAnsi="Arial Narrow"/>
          <w:sz w:val="18"/>
          <w:szCs w:val="18"/>
        </w:rPr>
        <w:fldChar w:fldCharType="separate"/>
      </w:r>
      <w:r w:rsidR="006A7271">
        <w:rPr>
          <w:rFonts w:ascii="Arial Narrow" w:hAnsi="Arial Narrow"/>
          <w:noProof/>
          <w:sz w:val="18"/>
          <w:szCs w:val="18"/>
        </w:rPr>
        <w:t>(</w:t>
      </w:r>
      <w:hyperlink w:anchor="_ENREF_4" w:tooltip="Cancer Australia, 2016 #93" w:history="1">
        <w:r w:rsidR="00477651">
          <w:rPr>
            <w:rFonts w:ascii="Arial Narrow" w:hAnsi="Arial Narrow"/>
            <w:noProof/>
            <w:sz w:val="18"/>
            <w:szCs w:val="18"/>
          </w:rPr>
          <w:t>Cancer Australia 2016</w:t>
        </w:r>
      </w:hyperlink>
      <w:r w:rsidR="006A7271">
        <w:rPr>
          <w:rFonts w:ascii="Arial Narrow" w:hAnsi="Arial Narrow"/>
          <w:noProof/>
          <w:sz w:val="18"/>
          <w:szCs w:val="18"/>
        </w:rPr>
        <w:t>)</w:t>
      </w:r>
      <w:r w:rsidR="006A7271">
        <w:rPr>
          <w:rFonts w:ascii="Arial Narrow" w:hAnsi="Arial Narrow"/>
          <w:sz w:val="18"/>
          <w:szCs w:val="18"/>
        </w:rPr>
        <w:fldChar w:fldCharType="end"/>
      </w:r>
    </w:p>
    <w:p w14:paraId="4A63C4A1" w14:textId="35A51E7E" w:rsidR="006A7271" w:rsidRPr="006A7271" w:rsidRDefault="006A7271" w:rsidP="00606EC9">
      <w:pPr>
        <w:spacing w:before="0" w:after="0"/>
        <w:ind w:left="426"/>
        <w:rPr>
          <w:rFonts w:ascii="Arial Narrow" w:hAnsi="Arial Narrow"/>
          <w:sz w:val="18"/>
          <w:szCs w:val="18"/>
        </w:rPr>
      </w:pPr>
      <w:r>
        <w:rPr>
          <w:rFonts w:ascii="Arial Narrow" w:hAnsi="Arial Narrow"/>
          <w:sz w:val="18"/>
          <w:szCs w:val="18"/>
          <w:vertAlign w:val="superscript"/>
        </w:rPr>
        <w:t>c</w:t>
      </w:r>
      <w:r w:rsidRPr="006A7271">
        <w:rPr>
          <w:rFonts w:ascii="Arial Narrow" w:hAnsi="Arial Narrow"/>
          <w:sz w:val="18"/>
          <w:szCs w:val="18"/>
        </w:rPr>
        <w:fldChar w:fldCharType="begin"/>
      </w:r>
      <w:r>
        <w:rPr>
          <w:rFonts w:ascii="Arial Narrow" w:hAnsi="Arial Narrow"/>
          <w:sz w:val="18"/>
          <w:szCs w:val="18"/>
        </w:rPr>
        <w:instrText xml:space="preserve"> ADDIN EN.CITE &lt;EndNote&gt;&lt;Cite&gt;&lt;Author&gt;AIHW&lt;/Author&gt;&lt;Year&gt;2012&lt;/Year&gt;&lt;RecNum&gt;94&lt;/RecNum&gt;&lt;DisplayText&gt;(AIHW 2012)&lt;/DisplayText&gt;&lt;record&gt;&lt;rec-number&gt;94&lt;/rec-number&gt;&lt;foreign-keys&gt;&lt;key app="EN" db-id="d0zpx20a6fxrw3etdtj5tetpa2adf9stz5fr" timestamp="1478499429"&gt;94&lt;/key&gt;&lt;/foreign-keys&gt;&lt;ref-type name="Report"&gt;27&lt;/ref-type&gt;&lt;contributors&gt;&lt;authors&gt;&lt;author&gt;AIHW&lt;/author&gt;&lt;/authors&gt;&lt;/contributors&gt;&lt;titles&gt;&lt;title&gt;Cancer incidence projections, Australia, 2011 to 2020&lt;/title&gt;&lt;/titles&gt;&lt;number&gt;Cancer series Number 66&lt;/number&gt;&lt;dates&gt;&lt;year&gt;2012&lt;/year&gt;&lt;/dates&gt;&lt;pub-location&gt;Canberra&lt;/pub-location&gt;&lt;publisher&gt;Australian Institute of Health and Welfare&lt;/publisher&gt;&lt;urls&gt;&lt;related-urls&gt;&lt;url&gt;http://www.aihw.gov.au/WorkArea/DownloadAsset.aspx?id=10737421440&lt;/url&gt;&lt;/related-urls&gt;&lt;/urls&gt;&lt;/record&gt;&lt;/Cite&gt;&lt;/EndNote&gt;</w:instrText>
      </w:r>
      <w:r w:rsidRPr="006A7271">
        <w:rPr>
          <w:rFonts w:ascii="Arial Narrow" w:hAnsi="Arial Narrow"/>
          <w:sz w:val="18"/>
          <w:szCs w:val="18"/>
        </w:rPr>
        <w:fldChar w:fldCharType="separate"/>
      </w:r>
      <w:r>
        <w:rPr>
          <w:rFonts w:ascii="Arial Narrow" w:hAnsi="Arial Narrow"/>
          <w:noProof/>
          <w:sz w:val="18"/>
          <w:szCs w:val="18"/>
        </w:rPr>
        <w:t>(</w:t>
      </w:r>
      <w:hyperlink w:anchor="_ENREF_1" w:tooltip="AIHW, 2012 #94" w:history="1">
        <w:r w:rsidR="00477651">
          <w:rPr>
            <w:rFonts w:ascii="Arial Narrow" w:hAnsi="Arial Narrow"/>
            <w:noProof/>
            <w:sz w:val="18"/>
            <w:szCs w:val="18"/>
          </w:rPr>
          <w:t>AIHW 2012</w:t>
        </w:r>
      </w:hyperlink>
      <w:r>
        <w:rPr>
          <w:rFonts w:ascii="Arial Narrow" w:hAnsi="Arial Narrow"/>
          <w:noProof/>
          <w:sz w:val="18"/>
          <w:szCs w:val="18"/>
        </w:rPr>
        <w:t>)</w:t>
      </w:r>
      <w:r w:rsidRPr="006A7271">
        <w:rPr>
          <w:rFonts w:ascii="Arial Narrow" w:hAnsi="Arial Narrow"/>
          <w:sz w:val="18"/>
          <w:szCs w:val="18"/>
        </w:rPr>
        <w:fldChar w:fldCharType="end"/>
      </w:r>
      <w:r w:rsidRPr="006A7271">
        <w:rPr>
          <w:rFonts w:ascii="Arial Narrow" w:hAnsi="Arial Narrow"/>
          <w:sz w:val="18"/>
          <w:szCs w:val="18"/>
        </w:rPr>
        <w:t xml:space="preserve"> </w:t>
      </w:r>
    </w:p>
    <w:p w14:paraId="6CA9B388" w14:textId="0406FB45" w:rsidR="00606EC9" w:rsidRDefault="006A7271" w:rsidP="00606EC9">
      <w:pPr>
        <w:spacing w:before="0" w:after="0"/>
        <w:ind w:left="426"/>
        <w:rPr>
          <w:rFonts w:ascii="Arial Narrow" w:hAnsi="Arial Narrow"/>
          <w:sz w:val="18"/>
          <w:szCs w:val="18"/>
        </w:rPr>
      </w:pPr>
      <w:proofErr w:type="gramStart"/>
      <w:r>
        <w:rPr>
          <w:rFonts w:ascii="Arial Narrow" w:hAnsi="Arial Narrow"/>
          <w:sz w:val="18"/>
          <w:szCs w:val="18"/>
          <w:vertAlign w:val="superscript"/>
        </w:rPr>
        <w:t>d</w:t>
      </w:r>
      <w:proofErr w:type="gramEnd"/>
      <w:r w:rsidR="00032DC1">
        <w:rPr>
          <w:rFonts w:ascii="Arial Narrow" w:hAnsi="Arial Narrow"/>
          <w:sz w:val="18"/>
          <w:szCs w:val="18"/>
          <w:vertAlign w:val="superscript"/>
        </w:rPr>
        <w:t xml:space="preserve"> </w:t>
      </w:r>
      <w:r w:rsidR="00606EC9" w:rsidRPr="00606EC9">
        <w:rPr>
          <w:rFonts w:ascii="Arial Narrow" w:hAnsi="Arial Narrow"/>
          <w:sz w:val="18"/>
          <w:szCs w:val="18"/>
        </w:rPr>
        <w:t>Estimated from recent publications (</w:t>
      </w:r>
      <w:proofErr w:type="spellStart"/>
      <w:r w:rsidR="00606EC9" w:rsidRPr="00606EC9">
        <w:rPr>
          <w:rFonts w:ascii="Arial Narrow" w:hAnsi="Arial Narrow"/>
          <w:sz w:val="18"/>
          <w:szCs w:val="18"/>
        </w:rPr>
        <w:t>Voduc</w:t>
      </w:r>
      <w:proofErr w:type="spellEnd"/>
      <w:r w:rsidR="00606EC9" w:rsidRPr="00606EC9">
        <w:rPr>
          <w:rFonts w:ascii="Arial Narrow" w:hAnsi="Arial Narrow"/>
          <w:sz w:val="18"/>
          <w:szCs w:val="18"/>
        </w:rPr>
        <w:t xml:space="preserve"> et al. 2010; Wang-Lopez et al. 2015)</w:t>
      </w:r>
    </w:p>
    <w:p w14:paraId="45595008" w14:textId="6D7B1C64" w:rsidR="008E6B24" w:rsidRDefault="00CF11DB" w:rsidP="00CF11DB">
      <w:pPr>
        <w:ind w:left="426"/>
      </w:pPr>
      <w:r>
        <w:t xml:space="preserve">Another way of defining breast cancer is by </w:t>
      </w:r>
      <w:r w:rsidR="00CC56D6">
        <w:t xml:space="preserve">intrinsic subtype categorisation – luminal </w:t>
      </w:r>
      <w:proofErr w:type="gramStart"/>
      <w:r w:rsidR="00CC56D6">
        <w:t>A</w:t>
      </w:r>
      <w:proofErr w:type="gramEnd"/>
      <w:r w:rsidR="00CC56D6">
        <w:t>, luminal B, HER2 enriched and Basal-like</w:t>
      </w:r>
      <w:r>
        <w:t xml:space="preserve">. Luminal cell tumours which express low levels of Ki67 are called luminal </w:t>
      </w:r>
      <w:proofErr w:type="gramStart"/>
      <w:r>
        <w:t>A</w:t>
      </w:r>
      <w:proofErr w:type="gramEnd"/>
      <w:r>
        <w:t xml:space="preserve"> type and tend not to be responsive to chemotherapy. Those expressing high levels of Ki67 are called luminal B type tumours (Coates et al. 2015).  There is some overlap of HER2+ve and -</w:t>
      </w:r>
      <w:proofErr w:type="spellStart"/>
      <w:r>
        <w:t>ve</w:t>
      </w:r>
      <w:proofErr w:type="spellEnd"/>
      <w:r>
        <w:t xml:space="preserve"> expression between luminal A and B groups. While most Luminal A type cancers will be HER2-ve, some will be HER2+ve. Some HER2-ve patients may fall into the luminal B type cancer group. </w:t>
      </w:r>
    </w:p>
    <w:p w14:paraId="0E6024D7" w14:textId="3404752D" w:rsidR="0081375A" w:rsidRDefault="00DC709C" w:rsidP="00CF11DB">
      <w:pPr>
        <w:ind w:left="426"/>
        <w:rPr>
          <w:szCs w:val="20"/>
        </w:rPr>
      </w:pPr>
      <w:r>
        <w:rPr>
          <w:szCs w:val="20"/>
        </w:rPr>
        <w:t>A f</w:t>
      </w:r>
      <w:r w:rsidR="0081375A">
        <w:rPr>
          <w:szCs w:val="20"/>
        </w:rPr>
        <w:t xml:space="preserve">urther breakdown of </w:t>
      </w:r>
      <w:r>
        <w:rPr>
          <w:szCs w:val="20"/>
        </w:rPr>
        <w:t>breast cancer</w:t>
      </w:r>
      <w:r w:rsidR="0081375A">
        <w:rPr>
          <w:szCs w:val="20"/>
        </w:rPr>
        <w:t xml:space="preserve"> subgroups w</w:t>
      </w:r>
      <w:r>
        <w:rPr>
          <w:szCs w:val="20"/>
        </w:rPr>
        <w:t>as</w:t>
      </w:r>
      <w:r w:rsidR="0081375A">
        <w:rPr>
          <w:szCs w:val="20"/>
        </w:rPr>
        <w:t xml:space="preserve"> reported by </w:t>
      </w:r>
      <w:proofErr w:type="spellStart"/>
      <w:r w:rsidR="0081375A">
        <w:rPr>
          <w:szCs w:val="20"/>
        </w:rPr>
        <w:t>Voduc</w:t>
      </w:r>
      <w:proofErr w:type="spellEnd"/>
      <w:r w:rsidR="0081375A">
        <w:rPr>
          <w:szCs w:val="20"/>
        </w:rPr>
        <w:t xml:space="preserve"> et al (2010) in a cohort of 2,985 primary tumours from </w:t>
      </w:r>
      <w:r>
        <w:rPr>
          <w:szCs w:val="20"/>
        </w:rPr>
        <w:t xml:space="preserve">breast cancer </w:t>
      </w:r>
      <w:r w:rsidR="0081375A">
        <w:rPr>
          <w:szCs w:val="20"/>
        </w:rPr>
        <w:t xml:space="preserve">patients attending the British Columbia Cancer Agency. The </w:t>
      </w:r>
      <w:r>
        <w:rPr>
          <w:szCs w:val="20"/>
        </w:rPr>
        <w:t>10-year local relapse-free survival (LRFS) data</w:t>
      </w:r>
      <w:r w:rsidR="0081375A">
        <w:rPr>
          <w:szCs w:val="20"/>
        </w:rPr>
        <w:t xml:space="preserve"> from </w:t>
      </w:r>
      <w:r>
        <w:rPr>
          <w:szCs w:val="20"/>
        </w:rPr>
        <w:t xml:space="preserve">those </w:t>
      </w:r>
      <w:r w:rsidR="0081375A">
        <w:rPr>
          <w:szCs w:val="20"/>
        </w:rPr>
        <w:t xml:space="preserve">patients who had undergone surgical removal of the primary tumour (with negative surgical margins) and </w:t>
      </w:r>
      <w:r>
        <w:rPr>
          <w:szCs w:val="20"/>
        </w:rPr>
        <w:t xml:space="preserve">received </w:t>
      </w:r>
      <w:r w:rsidR="0081375A">
        <w:rPr>
          <w:szCs w:val="20"/>
        </w:rPr>
        <w:t xml:space="preserve">adjuvant radiotherapy, </w:t>
      </w:r>
      <w:r>
        <w:rPr>
          <w:szCs w:val="20"/>
        </w:rPr>
        <w:t>but</w:t>
      </w:r>
      <w:r w:rsidR="0081375A">
        <w:rPr>
          <w:szCs w:val="20"/>
        </w:rPr>
        <w:t xml:space="preserve"> who did not have </w:t>
      </w:r>
      <w:r w:rsidR="0081375A" w:rsidRPr="00DC709C">
        <w:rPr>
          <w:i/>
          <w:szCs w:val="20"/>
        </w:rPr>
        <w:t>in situ</w:t>
      </w:r>
      <w:r w:rsidR="0081375A">
        <w:rPr>
          <w:szCs w:val="20"/>
        </w:rPr>
        <w:t xml:space="preserve"> or metastatic disease</w:t>
      </w:r>
      <w:r w:rsidR="008B6CBF">
        <w:rPr>
          <w:szCs w:val="20"/>
        </w:rPr>
        <w:t xml:space="preserve"> (no adjustment for age)</w:t>
      </w:r>
      <w:r>
        <w:rPr>
          <w:szCs w:val="20"/>
        </w:rPr>
        <w:t>,</w:t>
      </w:r>
      <w:r w:rsidR="0081375A">
        <w:rPr>
          <w:szCs w:val="20"/>
        </w:rPr>
        <w:t xml:space="preserve"> are reported in </w:t>
      </w:r>
      <w:r w:rsidR="008E6B24">
        <w:rPr>
          <w:szCs w:val="20"/>
        </w:rPr>
        <w:fldChar w:fldCharType="begin"/>
      </w:r>
      <w:r w:rsidR="008E6B24">
        <w:rPr>
          <w:szCs w:val="20"/>
        </w:rPr>
        <w:instrText xml:space="preserve"> REF _Ref465155397 \h </w:instrText>
      </w:r>
      <w:r w:rsidR="008E6B24">
        <w:rPr>
          <w:szCs w:val="20"/>
        </w:rPr>
      </w:r>
      <w:r w:rsidR="008E6B24">
        <w:rPr>
          <w:szCs w:val="20"/>
        </w:rPr>
        <w:fldChar w:fldCharType="separate"/>
      </w:r>
      <w:r w:rsidR="00AE5CB1" w:rsidRPr="0081375A">
        <w:rPr>
          <w:szCs w:val="20"/>
        </w:rPr>
        <w:t xml:space="preserve">Table </w:t>
      </w:r>
      <w:r w:rsidR="00AE5CB1">
        <w:rPr>
          <w:szCs w:val="20"/>
        </w:rPr>
        <w:t>5</w:t>
      </w:r>
      <w:r w:rsidR="008E6B24">
        <w:rPr>
          <w:szCs w:val="20"/>
        </w:rPr>
        <w:fldChar w:fldCharType="end"/>
      </w:r>
      <w:r w:rsidR="0081375A">
        <w:rPr>
          <w:szCs w:val="20"/>
        </w:rPr>
        <w:t>.</w:t>
      </w:r>
    </w:p>
    <w:p w14:paraId="19720F18" w14:textId="1C2B1DC7" w:rsidR="0081375A" w:rsidRPr="0081375A" w:rsidRDefault="0081375A" w:rsidP="00523CAA">
      <w:pPr>
        <w:pStyle w:val="Caption"/>
        <w:spacing w:after="120"/>
        <w:ind w:left="426"/>
        <w:rPr>
          <w:sz w:val="20"/>
          <w:szCs w:val="20"/>
        </w:rPr>
      </w:pPr>
      <w:bookmarkStart w:id="3" w:name="_Ref465155397"/>
      <w:r w:rsidRPr="0081375A">
        <w:rPr>
          <w:sz w:val="20"/>
          <w:szCs w:val="20"/>
        </w:rPr>
        <w:t xml:space="preserve">Table </w:t>
      </w:r>
      <w:r w:rsidRPr="0081375A">
        <w:rPr>
          <w:sz w:val="20"/>
          <w:szCs w:val="20"/>
        </w:rPr>
        <w:fldChar w:fldCharType="begin"/>
      </w:r>
      <w:r w:rsidRPr="0081375A">
        <w:rPr>
          <w:sz w:val="20"/>
          <w:szCs w:val="20"/>
        </w:rPr>
        <w:instrText xml:space="preserve"> SEQ Table \* ARABIC </w:instrText>
      </w:r>
      <w:r w:rsidRPr="0081375A">
        <w:rPr>
          <w:sz w:val="20"/>
          <w:szCs w:val="20"/>
        </w:rPr>
        <w:fldChar w:fldCharType="separate"/>
      </w:r>
      <w:r w:rsidR="003E6138">
        <w:rPr>
          <w:sz w:val="20"/>
          <w:szCs w:val="20"/>
        </w:rPr>
        <w:t>5</w:t>
      </w:r>
      <w:r w:rsidRPr="0081375A">
        <w:rPr>
          <w:sz w:val="20"/>
          <w:szCs w:val="20"/>
        </w:rPr>
        <w:fldChar w:fldCharType="end"/>
      </w:r>
      <w:bookmarkEnd w:id="3"/>
      <w:r>
        <w:rPr>
          <w:sz w:val="20"/>
          <w:szCs w:val="20"/>
        </w:rPr>
        <w:tab/>
        <w:t>10-year LRFS after breast conserving surgery by subtype (</w:t>
      </w:r>
      <w:proofErr w:type="spellStart"/>
      <w:r>
        <w:rPr>
          <w:sz w:val="20"/>
          <w:szCs w:val="20"/>
        </w:rPr>
        <w:t>Voduc</w:t>
      </w:r>
      <w:proofErr w:type="spellEnd"/>
      <w:r>
        <w:rPr>
          <w:sz w:val="20"/>
          <w:szCs w:val="20"/>
        </w:rPr>
        <w:t xml:space="preserve"> et al, 2010)</w:t>
      </w:r>
    </w:p>
    <w:tbl>
      <w:tblPr>
        <w:tblStyle w:val="TableGrid"/>
        <w:tblW w:w="0" w:type="auto"/>
        <w:tblInd w:w="426" w:type="dxa"/>
        <w:tblLook w:val="04A0" w:firstRow="1" w:lastRow="0" w:firstColumn="1" w:lastColumn="0" w:noHBand="0" w:noVBand="1"/>
        <w:tblDescription w:val="Table 5 10-year LRFS after breast conserving surgery by subtype (Voduc et al, 2010)"/>
      </w:tblPr>
      <w:tblGrid>
        <w:gridCol w:w="1730"/>
        <w:gridCol w:w="1727"/>
        <w:gridCol w:w="1719"/>
        <w:gridCol w:w="1711"/>
        <w:gridCol w:w="1703"/>
      </w:tblGrid>
      <w:tr w:rsidR="0081375A" w:rsidRPr="00515109" w14:paraId="51CE6DC5" w14:textId="77777777" w:rsidTr="00A65F2D">
        <w:trPr>
          <w:tblHeader/>
        </w:trPr>
        <w:tc>
          <w:tcPr>
            <w:tcW w:w="1730" w:type="dxa"/>
          </w:tcPr>
          <w:p w14:paraId="47B9CE08" w14:textId="77777777" w:rsidR="0081375A" w:rsidRPr="00515109" w:rsidRDefault="0081375A" w:rsidP="00523CAA">
            <w:pPr>
              <w:spacing w:before="60"/>
              <w:rPr>
                <w:rFonts w:ascii="Arial Narrow" w:hAnsi="Arial Narrow"/>
                <w:b/>
                <w:sz w:val="18"/>
                <w:szCs w:val="18"/>
              </w:rPr>
            </w:pPr>
            <w:r w:rsidRPr="00515109">
              <w:rPr>
                <w:rFonts w:ascii="Arial Narrow" w:hAnsi="Arial Narrow"/>
                <w:b/>
                <w:sz w:val="18"/>
                <w:szCs w:val="18"/>
              </w:rPr>
              <w:t>Subtype</w:t>
            </w:r>
          </w:p>
        </w:tc>
        <w:tc>
          <w:tcPr>
            <w:tcW w:w="1727" w:type="dxa"/>
          </w:tcPr>
          <w:p w14:paraId="3E21D93B" w14:textId="77777777" w:rsidR="0081375A" w:rsidRPr="00515109" w:rsidRDefault="0081375A" w:rsidP="00523CAA">
            <w:pPr>
              <w:spacing w:before="60"/>
              <w:jc w:val="center"/>
              <w:rPr>
                <w:rFonts w:ascii="Arial Narrow" w:hAnsi="Arial Narrow"/>
                <w:b/>
                <w:sz w:val="18"/>
                <w:szCs w:val="18"/>
              </w:rPr>
            </w:pPr>
            <w:r w:rsidRPr="00515109">
              <w:rPr>
                <w:rFonts w:ascii="Arial Narrow" w:hAnsi="Arial Narrow"/>
                <w:b/>
                <w:sz w:val="18"/>
                <w:szCs w:val="18"/>
              </w:rPr>
              <w:t>Patients N</w:t>
            </w:r>
          </w:p>
        </w:tc>
        <w:tc>
          <w:tcPr>
            <w:tcW w:w="1719" w:type="dxa"/>
          </w:tcPr>
          <w:p w14:paraId="33977B7C" w14:textId="77777777" w:rsidR="0081375A" w:rsidRPr="00515109" w:rsidRDefault="0081375A" w:rsidP="00523CAA">
            <w:pPr>
              <w:spacing w:before="60"/>
              <w:jc w:val="center"/>
              <w:rPr>
                <w:rFonts w:ascii="Arial Narrow" w:hAnsi="Arial Narrow"/>
                <w:b/>
                <w:sz w:val="18"/>
                <w:szCs w:val="18"/>
              </w:rPr>
            </w:pPr>
            <w:r w:rsidRPr="00515109">
              <w:rPr>
                <w:rFonts w:ascii="Arial Narrow" w:hAnsi="Arial Narrow"/>
                <w:b/>
                <w:sz w:val="18"/>
                <w:szCs w:val="18"/>
              </w:rPr>
              <w:t>Events N</w:t>
            </w:r>
          </w:p>
        </w:tc>
        <w:tc>
          <w:tcPr>
            <w:tcW w:w="1711" w:type="dxa"/>
          </w:tcPr>
          <w:p w14:paraId="55690FB9" w14:textId="30C4B51A" w:rsidR="0081375A" w:rsidRPr="00515109" w:rsidRDefault="0081375A" w:rsidP="00523CAA">
            <w:pPr>
              <w:spacing w:before="60"/>
              <w:jc w:val="center"/>
              <w:rPr>
                <w:rFonts w:ascii="Arial Narrow" w:hAnsi="Arial Narrow"/>
                <w:b/>
                <w:sz w:val="18"/>
                <w:szCs w:val="18"/>
              </w:rPr>
            </w:pPr>
            <w:r w:rsidRPr="00515109">
              <w:rPr>
                <w:rFonts w:ascii="Arial Narrow" w:hAnsi="Arial Narrow"/>
                <w:b/>
                <w:sz w:val="18"/>
                <w:szCs w:val="18"/>
              </w:rPr>
              <w:t>10-year LRFS</w:t>
            </w:r>
            <w:r w:rsidR="00F50B54">
              <w:rPr>
                <w:rFonts w:ascii="Arial Narrow" w:hAnsi="Arial Narrow"/>
                <w:b/>
                <w:sz w:val="18"/>
                <w:szCs w:val="18"/>
              </w:rPr>
              <w:t xml:space="preserve"> (%)</w:t>
            </w:r>
          </w:p>
        </w:tc>
        <w:tc>
          <w:tcPr>
            <w:tcW w:w="1703" w:type="dxa"/>
          </w:tcPr>
          <w:p w14:paraId="3A8D1794" w14:textId="77777777" w:rsidR="0081375A" w:rsidRPr="00515109" w:rsidRDefault="0081375A" w:rsidP="00523CAA">
            <w:pPr>
              <w:spacing w:before="60"/>
              <w:jc w:val="center"/>
              <w:rPr>
                <w:rFonts w:ascii="Arial Narrow" w:hAnsi="Arial Narrow"/>
                <w:b/>
                <w:sz w:val="18"/>
                <w:szCs w:val="18"/>
              </w:rPr>
            </w:pPr>
            <w:r w:rsidRPr="00515109">
              <w:rPr>
                <w:rFonts w:ascii="Arial Narrow" w:hAnsi="Arial Narrow"/>
                <w:b/>
                <w:sz w:val="18"/>
                <w:szCs w:val="18"/>
              </w:rPr>
              <w:t>95% CI</w:t>
            </w:r>
          </w:p>
        </w:tc>
      </w:tr>
      <w:tr w:rsidR="0081375A" w:rsidRPr="00515109" w14:paraId="414C10E1" w14:textId="77777777" w:rsidTr="00A65F2D">
        <w:trPr>
          <w:tblHeader/>
        </w:trPr>
        <w:tc>
          <w:tcPr>
            <w:tcW w:w="1730" w:type="dxa"/>
          </w:tcPr>
          <w:p w14:paraId="7755F2B5" w14:textId="77777777" w:rsidR="0081375A" w:rsidRPr="00515109" w:rsidRDefault="0081375A" w:rsidP="00523CAA">
            <w:pPr>
              <w:spacing w:before="60"/>
              <w:rPr>
                <w:rFonts w:ascii="Arial Narrow" w:hAnsi="Arial Narrow"/>
                <w:sz w:val="18"/>
                <w:szCs w:val="18"/>
              </w:rPr>
            </w:pPr>
            <w:r w:rsidRPr="00515109">
              <w:rPr>
                <w:rFonts w:ascii="Arial Narrow" w:hAnsi="Arial Narrow"/>
                <w:sz w:val="18"/>
                <w:szCs w:val="18"/>
              </w:rPr>
              <w:t>Luminal A</w:t>
            </w:r>
          </w:p>
        </w:tc>
        <w:tc>
          <w:tcPr>
            <w:tcW w:w="1727" w:type="dxa"/>
          </w:tcPr>
          <w:p w14:paraId="374D0948" w14:textId="77777777" w:rsidR="0081375A" w:rsidRPr="00515109" w:rsidRDefault="008E6B24" w:rsidP="00523CAA">
            <w:pPr>
              <w:spacing w:before="60"/>
              <w:jc w:val="center"/>
              <w:rPr>
                <w:rFonts w:ascii="Arial Narrow" w:hAnsi="Arial Narrow"/>
                <w:sz w:val="18"/>
                <w:szCs w:val="18"/>
              </w:rPr>
            </w:pPr>
            <w:r w:rsidRPr="00515109">
              <w:rPr>
                <w:rFonts w:ascii="Arial Narrow" w:hAnsi="Arial Narrow"/>
                <w:sz w:val="18"/>
                <w:szCs w:val="18"/>
              </w:rPr>
              <w:t>587</w:t>
            </w:r>
          </w:p>
        </w:tc>
        <w:tc>
          <w:tcPr>
            <w:tcW w:w="1719" w:type="dxa"/>
          </w:tcPr>
          <w:p w14:paraId="2169EEFE" w14:textId="77777777" w:rsidR="0081375A" w:rsidRPr="00515109" w:rsidRDefault="008E6B24" w:rsidP="00523CAA">
            <w:pPr>
              <w:spacing w:before="60"/>
              <w:jc w:val="center"/>
              <w:rPr>
                <w:rFonts w:ascii="Arial Narrow" w:hAnsi="Arial Narrow"/>
                <w:sz w:val="18"/>
                <w:szCs w:val="18"/>
              </w:rPr>
            </w:pPr>
            <w:r w:rsidRPr="00515109">
              <w:rPr>
                <w:rFonts w:ascii="Arial Narrow" w:hAnsi="Arial Narrow"/>
                <w:sz w:val="18"/>
                <w:szCs w:val="18"/>
              </w:rPr>
              <w:t>55</w:t>
            </w:r>
          </w:p>
        </w:tc>
        <w:tc>
          <w:tcPr>
            <w:tcW w:w="1711" w:type="dxa"/>
          </w:tcPr>
          <w:p w14:paraId="780245F6" w14:textId="77777777" w:rsidR="0081375A" w:rsidRPr="00515109" w:rsidRDefault="008E6B24" w:rsidP="00523CAA">
            <w:pPr>
              <w:spacing w:before="60"/>
              <w:jc w:val="center"/>
              <w:rPr>
                <w:rFonts w:ascii="Arial Narrow" w:hAnsi="Arial Narrow"/>
                <w:sz w:val="18"/>
                <w:szCs w:val="18"/>
              </w:rPr>
            </w:pPr>
            <w:r w:rsidRPr="00515109">
              <w:rPr>
                <w:rFonts w:ascii="Arial Narrow" w:hAnsi="Arial Narrow"/>
                <w:sz w:val="18"/>
                <w:szCs w:val="18"/>
              </w:rPr>
              <w:t>92</w:t>
            </w:r>
          </w:p>
        </w:tc>
        <w:tc>
          <w:tcPr>
            <w:tcW w:w="1703" w:type="dxa"/>
          </w:tcPr>
          <w:p w14:paraId="0A42D758" w14:textId="77777777" w:rsidR="0081375A" w:rsidRPr="00515109" w:rsidRDefault="008E6B24" w:rsidP="00523CAA">
            <w:pPr>
              <w:spacing w:before="60"/>
              <w:jc w:val="center"/>
              <w:rPr>
                <w:rFonts w:ascii="Arial Narrow" w:hAnsi="Arial Narrow"/>
                <w:sz w:val="18"/>
                <w:szCs w:val="18"/>
              </w:rPr>
            </w:pPr>
            <w:r w:rsidRPr="00515109">
              <w:rPr>
                <w:rFonts w:ascii="Arial Narrow" w:hAnsi="Arial Narrow"/>
                <w:sz w:val="18"/>
                <w:szCs w:val="18"/>
              </w:rPr>
              <w:t>90 to 95</w:t>
            </w:r>
          </w:p>
        </w:tc>
      </w:tr>
      <w:tr w:rsidR="008E6B24" w:rsidRPr="00515109" w14:paraId="1A262761" w14:textId="77777777" w:rsidTr="00A65F2D">
        <w:trPr>
          <w:tblHeader/>
        </w:trPr>
        <w:tc>
          <w:tcPr>
            <w:tcW w:w="1730" w:type="dxa"/>
          </w:tcPr>
          <w:p w14:paraId="1E304D46" w14:textId="77777777" w:rsidR="008E6B24" w:rsidRPr="00515109" w:rsidRDefault="008E6B24" w:rsidP="00523CAA">
            <w:pPr>
              <w:spacing w:before="60"/>
              <w:rPr>
                <w:rFonts w:ascii="Arial Narrow" w:hAnsi="Arial Narrow"/>
                <w:sz w:val="18"/>
                <w:szCs w:val="18"/>
              </w:rPr>
            </w:pPr>
            <w:r w:rsidRPr="00515109">
              <w:rPr>
                <w:rFonts w:ascii="Arial Narrow" w:hAnsi="Arial Narrow"/>
                <w:sz w:val="18"/>
                <w:szCs w:val="18"/>
              </w:rPr>
              <w:t>Luminal B</w:t>
            </w:r>
          </w:p>
        </w:tc>
        <w:tc>
          <w:tcPr>
            <w:tcW w:w="1727" w:type="dxa"/>
          </w:tcPr>
          <w:p w14:paraId="3E113F7C" w14:textId="77777777" w:rsidR="008E6B24" w:rsidRPr="00515109" w:rsidRDefault="008E6B24" w:rsidP="00523CAA">
            <w:pPr>
              <w:spacing w:before="60"/>
              <w:jc w:val="center"/>
              <w:rPr>
                <w:rFonts w:ascii="Arial Narrow" w:hAnsi="Arial Narrow"/>
                <w:sz w:val="18"/>
                <w:szCs w:val="18"/>
              </w:rPr>
            </w:pPr>
            <w:r w:rsidRPr="00515109">
              <w:rPr>
                <w:rFonts w:ascii="Arial Narrow" w:hAnsi="Arial Narrow"/>
                <w:sz w:val="18"/>
                <w:szCs w:val="18"/>
              </w:rPr>
              <w:t>295</w:t>
            </w:r>
          </w:p>
        </w:tc>
        <w:tc>
          <w:tcPr>
            <w:tcW w:w="1719" w:type="dxa"/>
          </w:tcPr>
          <w:p w14:paraId="36BD55B5" w14:textId="77777777" w:rsidR="008E6B24" w:rsidRPr="00515109" w:rsidRDefault="008E6B24" w:rsidP="00523CAA">
            <w:pPr>
              <w:spacing w:before="60"/>
              <w:jc w:val="center"/>
              <w:rPr>
                <w:rFonts w:ascii="Arial Narrow" w:hAnsi="Arial Narrow"/>
                <w:sz w:val="18"/>
                <w:szCs w:val="18"/>
              </w:rPr>
            </w:pPr>
            <w:r w:rsidRPr="00515109">
              <w:rPr>
                <w:rFonts w:ascii="Arial Narrow" w:hAnsi="Arial Narrow"/>
                <w:sz w:val="18"/>
                <w:szCs w:val="18"/>
              </w:rPr>
              <w:t>27</w:t>
            </w:r>
          </w:p>
        </w:tc>
        <w:tc>
          <w:tcPr>
            <w:tcW w:w="1711" w:type="dxa"/>
          </w:tcPr>
          <w:p w14:paraId="188DDC8B" w14:textId="77777777" w:rsidR="008E6B24" w:rsidRPr="00515109" w:rsidRDefault="008E6B24" w:rsidP="00523CAA">
            <w:pPr>
              <w:spacing w:before="60"/>
              <w:jc w:val="center"/>
              <w:rPr>
                <w:rFonts w:ascii="Arial Narrow" w:hAnsi="Arial Narrow"/>
                <w:sz w:val="18"/>
                <w:szCs w:val="18"/>
              </w:rPr>
            </w:pPr>
            <w:r w:rsidRPr="00515109">
              <w:rPr>
                <w:rFonts w:ascii="Arial Narrow" w:hAnsi="Arial Narrow"/>
                <w:sz w:val="18"/>
                <w:szCs w:val="18"/>
              </w:rPr>
              <w:t>90</w:t>
            </w:r>
          </w:p>
        </w:tc>
        <w:tc>
          <w:tcPr>
            <w:tcW w:w="1703" w:type="dxa"/>
          </w:tcPr>
          <w:p w14:paraId="15528788" w14:textId="77777777" w:rsidR="008E6B24" w:rsidRPr="00515109" w:rsidRDefault="008E6B24" w:rsidP="00523CAA">
            <w:pPr>
              <w:spacing w:before="60"/>
              <w:jc w:val="center"/>
              <w:rPr>
                <w:rFonts w:ascii="Arial Narrow" w:hAnsi="Arial Narrow"/>
                <w:sz w:val="18"/>
                <w:szCs w:val="18"/>
              </w:rPr>
            </w:pPr>
            <w:r w:rsidRPr="00515109">
              <w:rPr>
                <w:rFonts w:ascii="Arial Narrow" w:hAnsi="Arial Narrow"/>
                <w:sz w:val="18"/>
                <w:szCs w:val="18"/>
              </w:rPr>
              <w:t>86 to 94</w:t>
            </w:r>
          </w:p>
        </w:tc>
      </w:tr>
      <w:tr w:rsidR="008E6B24" w:rsidRPr="00515109" w14:paraId="6FF8D4C2" w14:textId="77777777" w:rsidTr="00A65F2D">
        <w:trPr>
          <w:tblHeader/>
        </w:trPr>
        <w:tc>
          <w:tcPr>
            <w:tcW w:w="1730" w:type="dxa"/>
          </w:tcPr>
          <w:p w14:paraId="44C165D7" w14:textId="77777777" w:rsidR="008E6B24" w:rsidRPr="00515109" w:rsidRDefault="008E6B24" w:rsidP="00523CAA">
            <w:pPr>
              <w:spacing w:before="60"/>
              <w:rPr>
                <w:rFonts w:ascii="Arial Narrow" w:hAnsi="Arial Narrow"/>
                <w:sz w:val="18"/>
                <w:szCs w:val="18"/>
              </w:rPr>
            </w:pPr>
            <w:r w:rsidRPr="00515109">
              <w:rPr>
                <w:rFonts w:ascii="Arial Narrow" w:hAnsi="Arial Narrow"/>
                <w:sz w:val="18"/>
                <w:szCs w:val="18"/>
              </w:rPr>
              <w:t>Luminal-HER2</w:t>
            </w:r>
          </w:p>
        </w:tc>
        <w:tc>
          <w:tcPr>
            <w:tcW w:w="1727" w:type="dxa"/>
          </w:tcPr>
          <w:p w14:paraId="4A6CCC63" w14:textId="77777777" w:rsidR="008E6B24" w:rsidRPr="00515109" w:rsidRDefault="008E6B24" w:rsidP="00523CAA">
            <w:pPr>
              <w:spacing w:before="60"/>
              <w:jc w:val="center"/>
              <w:rPr>
                <w:rFonts w:ascii="Arial Narrow" w:hAnsi="Arial Narrow"/>
                <w:sz w:val="18"/>
                <w:szCs w:val="18"/>
              </w:rPr>
            </w:pPr>
            <w:r w:rsidRPr="00515109">
              <w:rPr>
                <w:rFonts w:ascii="Arial Narrow" w:hAnsi="Arial Narrow"/>
                <w:sz w:val="18"/>
                <w:szCs w:val="18"/>
              </w:rPr>
              <w:t>61</w:t>
            </w:r>
          </w:p>
        </w:tc>
        <w:tc>
          <w:tcPr>
            <w:tcW w:w="1719" w:type="dxa"/>
          </w:tcPr>
          <w:p w14:paraId="4AE9BF4A" w14:textId="77777777" w:rsidR="008E6B24" w:rsidRPr="00515109" w:rsidRDefault="008E6B24" w:rsidP="00523CAA">
            <w:pPr>
              <w:spacing w:before="60"/>
              <w:jc w:val="center"/>
              <w:rPr>
                <w:rFonts w:ascii="Arial Narrow" w:hAnsi="Arial Narrow"/>
                <w:sz w:val="18"/>
                <w:szCs w:val="18"/>
              </w:rPr>
            </w:pPr>
            <w:r w:rsidRPr="00515109">
              <w:rPr>
                <w:rFonts w:ascii="Arial Narrow" w:hAnsi="Arial Narrow"/>
                <w:sz w:val="18"/>
                <w:szCs w:val="18"/>
              </w:rPr>
              <w:t>5</w:t>
            </w:r>
          </w:p>
        </w:tc>
        <w:tc>
          <w:tcPr>
            <w:tcW w:w="1711" w:type="dxa"/>
          </w:tcPr>
          <w:p w14:paraId="045C651C" w14:textId="77777777" w:rsidR="008E6B24" w:rsidRPr="00515109" w:rsidRDefault="008E6B24" w:rsidP="00523CAA">
            <w:pPr>
              <w:spacing w:before="60"/>
              <w:jc w:val="center"/>
              <w:rPr>
                <w:rFonts w:ascii="Arial Narrow" w:hAnsi="Arial Narrow"/>
                <w:sz w:val="18"/>
                <w:szCs w:val="18"/>
              </w:rPr>
            </w:pPr>
            <w:r w:rsidRPr="00515109">
              <w:rPr>
                <w:rFonts w:ascii="Arial Narrow" w:hAnsi="Arial Narrow"/>
                <w:sz w:val="18"/>
                <w:szCs w:val="18"/>
              </w:rPr>
              <w:t>91</w:t>
            </w:r>
          </w:p>
        </w:tc>
        <w:tc>
          <w:tcPr>
            <w:tcW w:w="1703" w:type="dxa"/>
          </w:tcPr>
          <w:p w14:paraId="679F93E0" w14:textId="77777777" w:rsidR="008E6B24" w:rsidRPr="00515109" w:rsidRDefault="008E6B24" w:rsidP="00523CAA">
            <w:pPr>
              <w:spacing w:before="60"/>
              <w:jc w:val="center"/>
              <w:rPr>
                <w:rFonts w:ascii="Arial Narrow" w:hAnsi="Arial Narrow"/>
                <w:sz w:val="18"/>
                <w:szCs w:val="18"/>
              </w:rPr>
            </w:pPr>
            <w:r w:rsidRPr="00515109">
              <w:rPr>
                <w:rFonts w:ascii="Arial Narrow" w:hAnsi="Arial Narrow"/>
                <w:sz w:val="18"/>
                <w:szCs w:val="18"/>
              </w:rPr>
              <w:t>83 to 100</w:t>
            </w:r>
          </w:p>
        </w:tc>
      </w:tr>
      <w:tr w:rsidR="008E6B24" w:rsidRPr="00515109" w14:paraId="2CB33D2B" w14:textId="77777777" w:rsidTr="00A65F2D">
        <w:trPr>
          <w:tblHeader/>
        </w:trPr>
        <w:tc>
          <w:tcPr>
            <w:tcW w:w="1730" w:type="dxa"/>
          </w:tcPr>
          <w:p w14:paraId="38071542" w14:textId="77777777" w:rsidR="008E6B24" w:rsidRPr="00515109" w:rsidRDefault="008E6B24" w:rsidP="00523CAA">
            <w:pPr>
              <w:spacing w:before="60"/>
              <w:rPr>
                <w:rFonts w:ascii="Arial Narrow" w:hAnsi="Arial Narrow"/>
                <w:sz w:val="18"/>
                <w:szCs w:val="18"/>
              </w:rPr>
            </w:pPr>
            <w:r w:rsidRPr="00515109">
              <w:rPr>
                <w:rFonts w:ascii="Arial Narrow" w:hAnsi="Arial Narrow"/>
                <w:sz w:val="18"/>
                <w:szCs w:val="18"/>
              </w:rPr>
              <w:lastRenderedPageBreak/>
              <w:t>HER2 enriched</w:t>
            </w:r>
          </w:p>
        </w:tc>
        <w:tc>
          <w:tcPr>
            <w:tcW w:w="1727" w:type="dxa"/>
          </w:tcPr>
          <w:p w14:paraId="02C74558" w14:textId="77777777" w:rsidR="008E6B24" w:rsidRPr="00515109" w:rsidRDefault="008E6B24" w:rsidP="00523CAA">
            <w:pPr>
              <w:spacing w:before="60"/>
              <w:jc w:val="center"/>
              <w:rPr>
                <w:rFonts w:ascii="Arial Narrow" w:hAnsi="Arial Narrow"/>
                <w:sz w:val="18"/>
                <w:szCs w:val="18"/>
              </w:rPr>
            </w:pPr>
            <w:r w:rsidRPr="00515109">
              <w:rPr>
                <w:rFonts w:ascii="Arial Narrow" w:hAnsi="Arial Narrow"/>
                <w:sz w:val="18"/>
                <w:szCs w:val="18"/>
              </w:rPr>
              <w:t>80</w:t>
            </w:r>
          </w:p>
        </w:tc>
        <w:tc>
          <w:tcPr>
            <w:tcW w:w="1719" w:type="dxa"/>
          </w:tcPr>
          <w:p w14:paraId="31BBF592" w14:textId="77777777" w:rsidR="008E6B24" w:rsidRPr="00515109" w:rsidRDefault="008E6B24" w:rsidP="00523CAA">
            <w:pPr>
              <w:spacing w:before="60"/>
              <w:jc w:val="center"/>
              <w:rPr>
                <w:rFonts w:ascii="Arial Narrow" w:hAnsi="Arial Narrow"/>
                <w:sz w:val="18"/>
                <w:szCs w:val="18"/>
              </w:rPr>
            </w:pPr>
            <w:r w:rsidRPr="00515109">
              <w:rPr>
                <w:rFonts w:ascii="Arial Narrow" w:hAnsi="Arial Narrow"/>
                <w:sz w:val="18"/>
                <w:szCs w:val="18"/>
              </w:rPr>
              <w:t>15</w:t>
            </w:r>
          </w:p>
        </w:tc>
        <w:tc>
          <w:tcPr>
            <w:tcW w:w="1711" w:type="dxa"/>
          </w:tcPr>
          <w:p w14:paraId="12C8A927" w14:textId="77777777" w:rsidR="008E6B24" w:rsidRPr="00515109" w:rsidRDefault="008E6B24" w:rsidP="00523CAA">
            <w:pPr>
              <w:spacing w:before="60"/>
              <w:jc w:val="center"/>
              <w:rPr>
                <w:rFonts w:ascii="Arial Narrow" w:hAnsi="Arial Narrow"/>
                <w:sz w:val="18"/>
                <w:szCs w:val="18"/>
              </w:rPr>
            </w:pPr>
            <w:r w:rsidRPr="00515109">
              <w:rPr>
                <w:rFonts w:ascii="Arial Narrow" w:hAnsi="Arial Narrow"/>
                <w:sz w:val="18"/>
                <w:szCs w:val="18"/>
              </w:rPr>
              <w:t>79</w:t>
            </w:r>
          </w:p>
        </w:tc>
        <w:tc>
          <w:tcPr>
            <w:tcW w:w="1703" w:type="dxa"/>
          </w:tcPr>
          <w:p w14:paraId="370DEFBF" w14:textId="77777777" w:rsidR="008E6B24" w:rsidRPr="00515109" w:rsidRDefault="008E6B24" w:rsidP="00523CAA">
            <w:pPr>
              <w:spacing w:before="60"/>
              <w:jc w:val="center"/>
              <w:rPr>
                <w:rFonts w:ascii="Arial Narrow" w:hAnsi="Arial Narrow"/>
                <w:sz w:val="18"/>
                <w:szCs w:val="18"/>
              </w:rPr>
            </w:pPr>
            <w:r w:rsidRPr="00515109">
              <w:rPr>
                <w:rFonts w:ascii="Arial Narrow" w:hAnsi="Arial Narrow"/>
                <w:sz w:val="18"/>
                <w:szCs w:val="18"/>
              </w:rPr>
              <w:t>69 to 89</w:t>
            </w:r>
          </w:p>
        </w:tc>
      </w:tr>
      <w:tr w:rsidR="008E6B24" w:rsidRPr="00515109" w14:paraId="661BBADD" w14:textId="77777777" w:rsidTr="00A65F2D">
        <w:trPr>
          <w:tblHeader/>
        </w:trPr>
        <w:tc>
          <w:tcPr>
            <w:tcW w:w="1730" w:type="dxa"/>
          </w:tcPr>
          <w:p w14:paraId="733E58BC" w14:textId="77777777" w:rsidR="008E6B24" w:rsidRPr="00515109" w:rsidRDefault="008E6B24" w:rsidP="00523CAA">
            <w:pPr>
              <w:spacing w:before="60"/>
              <w:rPr>
                <w:rFonts w:ascii="Arial Narrow" w:hAnsi="Arial Narrow"/>
                <w:sz w:val="18"/>
                <w:szCs w:val="18"/>
              </w:rPr>
            </w:pPr>
            <w:r w:rsidRPr="00515109">
              <w:rPr>
                <w:rFonts w:ascii="Arial Narrow" w:hAnsi="Arial Narrow"/>
                <w:sz w:val="18"/>
                <w:szCs w:val="18"/>
              </w:rPr>
              <w:t>Basal-like</w:t>
            </w:r>
          </w:p>
        </w:tc>
        <w:tc>
          <w:tcPr>
            <w:tcW w:w="1727" w:type="dxa"/>
          </w:tcPr>
          <w:p w14:paraId="39DF1464" w14:textId="77777777" w:rsidR="008E6B24" w:rsidRPr="00515109" w:rsidRDefault="008E6B24" w:rsidP="00523CAA">
            <w:pPr>
              <w:spacing w:before="60"/>
              <w:jc w:val="center"/>
              <w:rPr>
                <w:rFonts w:ascii="Arial Narrow" w:hAnsi="Arial Narrow"/>
                <w:sz w:val="18"/>
                <w:szCs w:val="18"/>
              </w:rPr>
            </w:pPr>
            <w:r w:rsidRPr="00515109">
              <w:rPr>
                <w:rFonts w:ascii="Arial Narrow" w:hAnsi="Arial Narrow"/>
                <w:sz w:val="18"/>
                <w:szCs w:val="18"/>
              </w:rPr>
              <w:t>134</w:t>
            </w:r>
          </w:p>
        </w:tc>
        <w:tc>
          <w:tcPr>
            <w:tcW w:w="1719" w:type="dxa"/>
          </w:tcPr>
          <w:p w14:paraId="3E1E0FFA" w14:textId="77777777" w:rsidR="008E6B24" w:rsidRPr="00515109" w:rsidRDefault="008E6B24" w:rsidP="00523CAA">
            <w:pPr>
              <w:spacing w:before="60"/>
              <w:jc w:val="center"/>
              <w:rPr>
                <w:rFonts w:ascii="Arial Narrow" w:hAnsi="Arial Narrow"/>
                <w:sz w:val="18"/>
                <w:szCs w:val="18"/>
              </w:rPr>
            </w:pPr>
            <w:r w:rsidRPr="00515109">
              <w:rPr>
                <w:rFonts w:ascii="Arial Narrow" w:hAnsi="Arial Narrow"/>
                <w:sz w:val="18"/>
                <w:szCs w:val="18"/>
              </w:rPr>
              <w:t>19</w:t>
            </w:r>
          </w:p>
        </w:tc>
        <w:tc>
          <w:tcPr>
            <w:tcW w:w="1711" w:type="dxa"/>
          </w:tcPr>
          <w:p w14:paraId="2257C6E2" w14:textId="77777777" w:rsidR="008E6B24" w:rsidRPr="00515109" w:rsidRDefault="008E6B24" w:rsidP="00523CAA">
            <w:pPr>
              <w:spacing w:before="60"/>
              <w:jc w:val="center"/>
              <w:rPr>
                <w:rFonts w:ascii="Arial Narrow" w:hAnsi="Arial Narrow"/>
                <w:sz w:val="18"/>
                <w:szCs w:val="18"/>
              </w:rPr>
            </w:pPr>
            <w:r w:rsidRPr="00515109">
              <w:rPr>
                <w:rFonts w:ascii="Arial Narrow" w:hAnsi="Arial Narrow"/>
                <w:sz w:val="18"/>
                <w:szCs w:val="18"/>
              </w:rPr>
              <w:t>86</w:t>
            </w:r>
          </w:p>
        </w:tc>
        <w:tc>
          <w:tcPr>
            <w:tcW w:w="1703" w:type="dxa"/>
          </w:tcPr>
          <w:p w14:paraId="1C759682" w14:textId="77777777" w:rsidR="008E6B24" w:rsidRPr="00515109" w:rsidRDefault="008E6B24" w:rsidP="00523CAA">
            <w:pPr>
              <w:spacing w:before="60"/>
              <w:jc w:val="center"/>
              <w:rPr>
                <w:rFonts w:ascii="Arial Narrow" w:hAnsi="Arial Narrow"/>
                <w:sz w:val="18"/>
                <w:szCs w:val="18"/>
              </w:rPr>
            </w:pPr>
            <w:r w:rsidRPr="00515109">
              <w:rPr>
                <w:rFonts w:ascii="Arial Narrow" w:hAnsi="Arial Narrow"/>
                <w:sz w:val="18"/>
                <w:szCs w:val="18"/>
              </w:rPr>
              <w:t>80 to 93</w:t>
            </w:r>
          </w:p>
        </w:tc>
      </w:tr>
      <w:tr w:rsidR="008E6B24" w:rsidRPr="00515109" w14:paraId="28AF0305" w14:textId="77777777" w:rsidTr="00A65F2D">
        <w:trPr>
          <w:tblHeader/>
        </w:trPr>
        <w:tc>
          <w:tcPr>
            <w:tcW w:w="1730" w:type="dxa"/>
          </w:tcPr>
          <w:p w14:paraId="50DC8E9F" w14:textId="77777777" w:rsidR="008E6B24" w:rsidRPr="00515109" w:rsidRDefault="008E6B24" w:rsidP="00523CAA">
            <w:pPr>
              <w:spacing w:before="60"/>
              <w:rPr>
                <w:rFonts w:ascii="Arial Narrow" w:hAnsi="Arial Narrow"/>
                <w:sz w:val="18"/>
                <w:szCs w:val="18"/>
              </w:rPr>
            </w:pPr>
            <w:r w:rsidRPr="00515109">
              <w:rPr>
                <w:rFonts w:ascii="Arial Narrow" w:hAnsi="Arial Narrow"/>
                <w:sz w:val="18"/>
                <w:szCs w:val="18"/>
              </w:rPr>
              <w:t>TNP-</w:t>
            </w:r>
            <w:proofErr w:type="spellStart"/>
            <w:r w:rsidRPr="00515109">
              <w:rPr>
                <w:rFonts w:ascii="Arial Narrow" w:hAnsi="Arial Narrow"/>
                <w:sz w:val="18"/>
                <w:szCs w:val="18"/>
              </w:rPr>
              <w:t>nonbasal</w:t>
            </w:r>
            <w:proofErr w:type="spellEnd"/>
          </w:p>
        </w:tc>
        <w:tc>
          <w:tcPr>
            <w:tcW w:w="1727" w:type="dxa"/>
          </w:tcPr>
          <w:p w14:paraId="3858378A" w14:textId="77777777" w:rsidR="008E6B24" w:rsidRPr="00515109" w:rsidRDefault="008E6B24" w:rsidP="00523CAA">
            <w:pPr>
              <w:spacing w:before="60"/>
              <w:jc w:val="center"/>
              <w:rPr>
                <w:rFonts w:ascii="Arial Narrow" w:hAnsi="Arial Narrow"/>
                <w:sz w:val="18"/>
                <w:szCs w:val="18"/>
              </w:rPr>
            </w:pPr>
            <w:r w:rsidRPr="00515109">
              <w:rPr>
                <w:rFonts w:ascii="Arial Narrow" w:hAnsi="Arial Narrow"/>
                <w:sz w:val="18"/>
                <w:szCs w:val="18"/>
              </w:rPr>
              <w:t>114</w:t>
            </w:r>
          </w:p>
        </w:tc>
        <w:tc>
          <w:tcPr>
            <w:tcW w:w="1719" w:type="dxa"/>
          </w:tcPr>
          <w:p w14:paraId="2B577171" w14:textId="77777777" w:rsidR="008E6B24" w:rsidRPr="00515109" w:rsidRDefault="008E6B24" w:rsidP="00523CAA">
            <w:pPr>
              <w:spacing w:before="60"/>
              <w:jc w:val="center"/>
              <w:rPr>
                <w:rFonts w:ascii="Arial Narrow" w:hAnsi="Arial Narrow"/>
                <w:sz w:val="18"/>
                <w:szCs w:val="18"/>
              </w:rPr>
            </w:pPr>
            <w:r w:rsidRPr="00515109">
              <w:rPr>
                <w:rFonts w:ascii="Arial Narrow" w:hAnsi="Arial Narrow"/>
                <w:sz w:val="18"/>
                <w:szCs w:val="18"/>
              </w:rPr>
              <w:t>9</w:t>
            </w:r>
          </w:p>
        </w:tc>
        <w:tc>
          <w:tcPr>
            <w:tcW w:w="1711" w:type="dxa"/>
          </w:tcPr>
          <w:p w14:paraId="54A7BA64" w14:textId="77777777" w:rsidR="008E6B24" w:rsidRPr="00515109" w:rsidRDefault="008E6B24" w:rsidP="00523CAA">
            <w:pPr>
              <w:spacing w:before="60"/>
              <w:jc w:val="center"/>
              <w:rPr>
                <w:rFonts w:ascii="Arial Narrow" w:hAnsi="Arial Narrow"/>
                <w:sz w:val="18"/>
                <w:szCs w:val="18"/>
              </w:rPr>
            </w:pPr>
            <w:r w:rsidRPr="00515109">
              <w:rPr>
                <w:rFonts w:ascii="Arial Narrow" w:hAnsi="Arial Narrow"/>
                <w:sz w:val="18"/>
                <w:szCs w:val="18"/>
              </w:rPr>
              <w:t>92</w:t>
            </w:r>
          </w:p>
        </w:tc>
        <w:tc>
          <w:tcPr>
            <w:tcW w:w="1703" w:type="dxa"/>
          </w:tcPr>
          <w:p w14:paraId="41A66CF6" w14:textId="77777777" w:rsidR="008E6B24" w:rsidRPr="00515109" w:rsidRDefault="008E6B24" w:rsidP="00523CAA">
            <w:pPr>
              <w:spacing w:before="60"/>
              <w:jc w:val="center"/>
              <w:rPr>
                <w:rFonts w:ascii="Arial Narrow" w:hAnsi="Arial Narrow"/>
                <w:sz w:val="18"/>
                <w:szCs w:val="18"/>
              </w:rPr>
            </w:pPr>
            <w:r w:rsidRPr="00515109">
              <w:rPr>
                <w:rFonts w:ascii="Arial Narrow" w:hAnsi="Arial Narrow"/>
                <w:sz w:val="18"/>
                <w:szCs w:val="18"/>
              </w:rPr>
              <w:t>86 to 97</w:t>
            </w:r>
          </w:p>
        </w:tc>
      </w:tr>
    </w:tbl>
    <w:p w14:paraId="5D138EA3" w14:textId="77777777" w:rsidR="0081375A" w:rsidRPr="008E6B24" w:rsidRDefault="008E6B24" w:rsidP="00523CAA">
      <w:pPr>
        <w:spacing w:before="60" w:after="0"/>
        <w:ind w:left="425"/>
        <w:rPr>
          <w:rFonts w:ascii="Arial Narrow" w:hAnsi="Arial Narrow"/>
          <w:sz w:val="18"/>
          <w:szCs w:val="18"/>
        </w:rPr>
      </w:pPr>
      <w:r w:rsidRPr="008E6B24">
        <w:rPr>
          <w:rFonts w:ascii="Arial Narrow" w:hAnsi="Arial Narrow"/>
          <w:sz w:val="18"/>
          <w:szCs w:val="18"/>
        </w:rPr>
        <w:t>HER2 = human epidermal growth factor receptor 2; LRFS = local relapse-free survival; TNP = triple-negative phenotype</w:t>
      </w:r>
    </w:p>
    <w:p w14:paraId="65952B8D" w14:textId="77777777" w:rsidR="0081375A" w:rsidRPr="00154B00" w:rsidRDefault="0081375A" w:rsidP="00CF11DB">
      <w:pPr>
        <w:ind w:left="426"/>
        <w:rPr>
          <w:szCs w:val="20"/>
        </w:rPr>
      </w:pPr>
    </w:p>
    <w:p w14:paraId="782E7E6A" w14:textId="77777777" w:rsidR="00AA5FDA"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10A412EC" w14:textId="589D4BD9" w:rsidR="000A02D4" w:rsidRPr="000A02D4" w:rsidRDefault="000A02D4" w:rsidP="001E6994">
      <w:pPr>
        <w:ind w:left="426"/>
      </w:pPr>
    </w:p>
    <w:p w14:paraId="61C59BCC" w14:textId="3F4FCB9D" w:rsidR="000A02D4" w:rsidRDefault="00E03C60" w:rsidP="00E357B9">
      <w:pPr>
        <w:ind w:left="426"/>
      </w:pPr>
      <w:r w:rsidRPr="00E03C60">
        <w:t xml:space="preserve">Patients with primary breast tumours </w:t>
      </w:r>
      <w:r>
        <w:t>of</w:t>
      </w:r>
      <w:r w:rsidRPr="00E03C60">
        <w:t xml:space="preserve"> the subtype ER</w:t>
      </w:r>
      <w:r w:rsidR="009B6572">
        <w:t xml:space="preserve"> </w:t>
      </w:r>
      <w:r w:rsidR="00BA74DE">
        <w:t>and/</w:t>
      </w:r>
      <w:r w:rsidR="009B6572">
        <w:t xml:space="preserve">or PR </w:t>
      </w:r>
      <w:r w:rsidRPr="00E03C60">
        <w:t>+</w:t>
      </w:r>
      <w:proofErr w:type="spellStart"/>
      <w:r w:rsidRPr="00E03C60">
        <w:t>ve</w:t>
      </w:r>
      <w:proofErr w:type="spellEnd"/>
      <w:r w:rsidRPr="00E03C60">
        <w:t>, HER2</w:t>
      </w:r>
      <w:r w:rsidR="009B6572">
        <w:t xml:space="preserve"> </w:t>
      </w:r>
      <w:r w:rsidRPr="00E03C60">
        <w:t>-</w:t>
      </w:r>
      <w:proofErr w:type="spellStart"/>
      <w:r w:rsidRPr="00E03C60">
        <w:t>ve</w:t>
      </w:r>
      <w:proofErr w:type="spellEnd"/>
      <w:r w:rsidRPr="00E03C60">
        <w:t xml:space="preserve"> </w:t>
      </w:r>
      <w:r>
        <w:t>are often without</w:t>
      </w:r>
      <w:r w:rsidRPr="00E03C60">
        <w:t xml:space="preserve"> clear-cut treatment options. </w:t>
      </w:r>
      <w:r>
        <w:t>C</w:t>
      </w:r>
      <w:r w:rsidRPr="00E03C60">
        <w:t xml:space="preserve">linical factors and immunohistochemistry (IHC) </w:t>
      </w:r>
      <w:r w:rsidR="000A02D4">
        <w:t xml:space="preserve">test results </w:t>
      </w:r>
      <w:r w:rsidRPr="00E03C60">
        <w:t xml:space="preserve">may </w:t>
      </w:r>
      <w:r w:rsidR="000A02D4">
        <w:t xml:space="preserve">be </w:t>
      </w:r>
      <w:r w:rsidRPr="00E03C60">
        <w:t>predict</w:t>
      </w:r>
      <w:r w:rsidR="000A02D4">
        <w:t>ive of</w:t>
      </w:r>
      <w:r w:rsidRPr="00E03C60">
        <w:t xml:space="preserve"> risk of </w:t>
      </w:r>
      <w:r w:rsidR="000A02D4">
        <w:t xml:space="preserve">cancer </w:t>
      </w:r>
      <w:r w:rsidRPr="00E03C60">
        <w:t xml:space="preserve">recurrence for those at the low and high risk ends of the spectrum, </w:t>
      </w:r>
      <w:r w:rsidR="009B0937">
        <w:t xml:space="preserve">but </w:t>
      </w:r>
      <w:r w:rsidRPr="00E03C60">
        <w:t>many patients fall i</w:t>
      </w:r>
      <w:r w:rsidR="009B6572">
        <w:t xml:space="preserve">nto an intermediate risk group. </w:t>
      </w:r>
    </w:p>
    <w:p w14:paraId="713D2E7A" w14:textId="73430D4A" w:rsidR="00E03C60" w:rsidRDefault="009B6572" w:rsidP="00E357B9">
      <w:pPr>
        <w:ind w:left="426"/>
      </w:pPr>
      <w:r>
        <w:t xml:space="preserve">It is </w:t>
      </w:r>
      <w:r w:rsidR="009B0937">
        <w:t xml:space="preserve">for </w:t>
      </w:r>
      <w:r>
        <w:t xml:space="preserve">this group that clinicians seek </w:t>
      </w:r>
      <w:r w:rsidR="00E03C60" w:rsidRPr="00E03C60">
        <w:t>better inform</w:t>
      </w:r>
      <w:r>
        <w:t>ation to direct treatment choices</w:t>
      </w:r>
      <w:r w:rsidR="00E03C60" w:rsidRPr="00E03C60">
        <w:t xml:space="preserve">. </w:t>
      </w:r>
      <w:proofErr w:type="spellStart"/>
      <w:r>
        <w:t>Prosigna</w:t>
      </w:r>
      <w:proofErr w:type="spellEnd"/>
      <w:r w:rsidR="009624E2">
        <w:t>®</w:t>
      </w:r>
      <w:r>
        <w:t xml:space="preserve"> would be offered to those patients who have been diagnosed with primary early invasive breast cancer classified as ER </w:t>
      </w:r>
      <w:r w:rsidR="00BA74DE">
        <w:t>and/</w:t>
      </w:r>
      <w:r>
        <w:t>or PR +</w:t>
      </w:r>
      <w:proofErr w:type="spellStart"/>
      <w:r>
        <w:t>ve</w:t>
      </w:r>
      <w:proofErr w:type="spellEnd"/>
      <w:r>
        <w:t xml:space="preserve"> and HER2 -</w:t>
      </w:r>
      <w:proofErr w:type="spellStart"/>
      <w:r>
        <w:t>ve</w:t>
      </w:r>
      <w:proofErr w:type="spellEnd"/>
      <w:r>
        <w:t xml:space="preserve">, that have undergone surgical tumour removal. </w:t>
      </w:r>
      <w:proofErr w:type="spellStart"/>
      <w:r>
        <w:t>Prosigna</w:t>
      </w:r>
      <w:proofErr w:type="spellEnd"/>
      <w:r w:rsidR="009624E2">
        <w:t>®</w:t>
      </w:r>
      <w:r>
        <w:t xml:space="preserve"> can be conducted on tissue samples from formalin fixed paraffin embedded (FFPE) blocks</w:t>
      </w:r>
      <w:r w:rsidR="00E43E22">
        <w:t xml:space="preserve"> used for tissue storage following tumour removal</w:t>
      </w:r>
      <w:r w:rsidR="003C5B82">
        <w:t>, or on fresh or frozen tissue</w:t>
      </w:r>
      <w:r>
        <w:t>.</w:t>
      </w:r>
    </w:p>
    <w:p w14:paraId="532CF8C1" w14:textId="2AC6A83C" w:rsidR="00E43E22" w:rsidRDefault="00E43E22" w:rsidP="00E357B9">
      <w:pPr>
        <w:ind w:left="426"/>
      </w:pPr>
      <w:proofErr w:type="spellStart"/>
      <w:r>
        <w:t>Prosigna</w:t>
      </w:r>
      <w:proofErr w:type="spellEnd"/>
      <w:r w:rsidR="009624E2">
        <w:t>®</w:t>
      </w:r>
      <w:r>
        <w:t xml:space="preserve"> would be </w:t>
      </w:r>
      <w:r w:rsidR="000A02D4">
        <w:t>used on samples from</w:t>
      </w:r>
      <w:r>
        <w:t xml:space="preserve"> both pre and post-menopausal patients that are either node positive or negative.</w:t>
      </w:r>
    </w:p>
    <w:p w14:paraId="0BF1988A" w14:textId="77777777" w:rsidR="00E43E22" w:rsidRPr="00154B00" w:rsidRDefault="00E43E22" w:rsidP="00E357B9">
      <w:pPr>
        <w:ind w:left="426"/>
        <w:rPr>
          <w:szCs w:val="20"/>
        </w:rPr>
      </w:pPr>
    </w:p>
    <w:p w14:paraId="4E759CD4"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110E61C9" w14:textId="24BCE543" w:rsidR="00E43E22" w:rsidRDefault="00E43E22" w:rsidP="00D73646">
      <w:pPr>
        <w:ind w:left="426"/>
      </w:pPr>
      <w:r>
        <w:t xml:space="preserve">In current clinical practice, patients suspected of having a breast tumour would undergo clinical investigation by an oncologist, as well as histological and IHC investigation of biopsy tissue by </w:t>
      </w:r>
      <w:r w:rsidR="00DB59E7">
        <w:t>a pathologist</w:t>
      </w:r>
      <w:r>
        <w:t>. Following surgery</w:t>
      </w:r>
      <w:r w:rsidR="000A02D4">
        <w:t>,</w:t>
      </w:r>
      <w:r>
        <w:t xml:space="preserve"> ER/PR and HER2 status and intrinsic subtype </w:t>
      </w:r>
      <w:r w:rsidR="000A02D4">
        <w:t xml:space="preserve">of the tumour tissue </w:t>
      </w:r>
      <w:r>
        <w:t xml:space="preserve">would be confirmed. </w:t>
      </w:r>
      <w:r w:rsidR="009B0937">
        <w:t xml:space="preserve">The oncologist would then base their treatment recommendations </w:t>
      </w:r>
      <w:r w:rsidR="00DB59E7">
        <w:t>on the tumour classification.</w:t>
      </w:r>
    </w:p>
    <w:p w14:paraId="6FCA1DA7" w14:textId="6E61C61E" w:rsidR="00DB59E7" w:rsidRDefault="00DB59E7" w:rsidP="00D73646">
      <w:pPr>
        <w:ind w:left="426"/>
      </w:pPr>
      <w:r>
        <w:t xml:space="preserve">Patients with tumours classified as ER </w:t>
      </w:r>
      <w:r w:rsidR="00BA74DE">
        <w:t>and/</w:t>
      </w:r>
      <w:r>
        <w:t>or PR +</w:t>
      </w:r>
      <w:proofErr w:type="spellStart"/>
      <w:r>
        <w:t>ve</w:t>
      </w:r>
      <w:proofErr w:type="spellEnd"/>
      <w:r>
        <w:t>, HER2 –</w:t>
      </w:r>
      <w:proofErr w:type="spellStart"/>
      <w:r>
        <w:t>ve</w:t>
      </w:r>
      <w:proofErr w:type="spellEnd"/>
      <w:r>
        <w:t xml:space="preserve"> would be offered endocrine therapy</w:t>
      </w:r>
      <w:r w:rsidR="00DE767B">
        <w:t xml:space="preserve">. If a patient is categorised on a clinical and histological basis as </w:t>
      </w:r>
      <w:r w:rsidR="00ED18CF">
        <w:t xml:space="preserve">having a </w:t>
      </w:r>
      <w:r w:rsidR="00DE767B">
        <w:t>low</w:t>
      </w:r>
      <w:r>
        <w:t xml:space="preserve"> </w:t>
      </w:r>
      <w:r w:rsidR="00DE767B">
        <w:t xml:space="preserve">risk of distant recurrence they would be offered endocrine therapy alone. If categorised as </w:t>
      </w:r>
      <w:r w:rsidR="00ED18CF">
        <w:t xml:space="preserve">having a </w:t>
      </w:r>
      <w:r w:rsidR="00DE767B">
        <w:t>high risk of recurrence, a patient may be offered adjuvant chemotherapy</w:t>
      </w:r>
      <w:r w:rsidR="00ED18CF">
        <w:t>, to reduce the risk of recurrence</w:t>
      </w:r>
      <w:r w:rsidR="00DE767B">
        <w:t>. Those who fall into the intermediate risk category may be offered either of these options, depending on</w:t>
      </w:r>
      <w:r w:rsidR="000A02D4">
        <w:t xml:space="preserve"> the</w:t>
      </w:r>
      <w:r w:rsidR="00DE767B">
        <w:t xml:space="preserve"> individual circumstances </w:t>
      </w:r>
      <w:r w:rsidR="000A02D4">
        <w:t xml:space="preserve">and risk factors </w:t>
      </w:r>
      <w:r w:rsidR="00DE767B">
        <w:t>of the patient.</w:t>
      </w:r>
      <w:r w:rsidR="003C5B82">
        <w:t xml:space="preserve"> International guidelines and/or other assessment tools such as Ki67, IHC4, Adjuvant! Online</w:t>
      </w:r>
      <w:r w:rsidR="000A02D4">
        <w:t>, and PREDICT</w:t>
      </w:r>
      <w:r w:rsidR="003C5B82">
        <w:t xml:space="preserve"> may be used in the clinical assessment.</w:t>
      </w:r>
    </w:p>
    <w:p w14:paraId="74B5557D" w14:textId="019120F4" w:rsidR="00204529" w:rsidRDefault="00204529" w:rsidP="00D73646">
      <w:pPr>
        <w:ind w:left="426"/>
      </w:pPr>
      <w:r>
        <w:t xml:space="preserve">See attached flowchart – </w:t>
      </w:r>
      <w:r w:rsidRPr="006A7271">
        <w:t>[</w:t>
      </w:r>
      <w:r w:rsidR="006A7271">
        <w:t>Clinical management algorithms.ppt</w:t>
      </w:r>
      <w:r>
        <w:t>].</w:t>
      </w:r>
    </w:p>
    <w:p w14:paraId="37E0945E" w14:textId="77777777" w:rsidR="00BC424B" w:rsidRPr="00BC424B" w:rsidRDefault="00E43E22" w:rsidP="00D73646">
      <w:pPr>
        <w:ind w:left="426"/>
      </w:pPr>
      <w:r w:rsidRPr="00BC424B">
        <w:t xml:space="preserve"> </w:t>
      </w:r>
    </w:p>
    <w:p w14:paraId="04C7A580" w14:textId="77777777" w:rsidR="00054BF4" w:rsidRDefault="00054BF4">
      <w:pPr>
        <w:spacing w:before="0" w:after="200" w:line="276" w:lineRule="auto"/>
        <w:rPr>
          <w:b/>
          <w:i/>
          <w:szCs w:val="20"/>
          <w:u w:val="single"/>
        </w:rPr>
      </w:pPr>
      <w:r>
        <w:br w:type="page"/>
      </w:r>
    </w:p>
    <w:p w14:paraId="3DA8A800" w14:textId="0F8F3A98" w:rsidR="002A50FD" w:rsidRPr="00881F93" w:rsidRDefault="005C3AE7" w:rsidP="005C3AE7">
      <w:pPr>
        <w:pStyle w:val="Subtitle"/>
      </w:pPr>
      <w:r>
        <w:lastRenderedPageBreak/>
        <w:t xml:space="preserve">PART 6b – </w:t>
      </w:r>
      <w:r w:rsidR="002A50FD" w:rsidRPr="00881F93">
        <w:t>INFORMATION ABOUT THE INTERVENTION</w:t>
      </w:r>
    </w:p>
    <w:p w14:paraId="0A41D747"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1AEC7904" w14:textId="0B77A26D" w:rsidR="00385796" w:rsidRDefault="00385796" w:rsidP="00E357B9">
      <w:pPr>
        <w:ind w:left="426"/>
      </w:pPr>
      <w:r>
        <w:t xml:space="preserve">The </w:t>
      </w:r>
      <w:proofErr w:type="spellStart"/>
      <w:r>
        <w:t>Prosigna</w:t>
      </w:r>
      <w:proofErr w:type="spellEnd"/>
      <w:r w:rsidR="009624E2">
        <w:t>®</w:t>
      </w:r>
      <w:r>
        <w:t xml:space="preserve"> Clinical Summary </w:t>
      </w:r>
      <w:r w:rsidR="00360AAF">
        <w:t>(</w:t>
      </w:r>
      <w:proofErr w:type="spellStart"/>
      <w:r w:rsidR="000165EF">
        <w:t>N</w:t>
      </w:r>
      <w:r w:rsidR="009624E2">
        <w:t>anoS</w:t>
      </w:r>
      <w:r>
        <w:t>tring</w:t>
      </w:r>
      <w:proofErr w:type="spellEnd"/>
      <w:r>
        <w:t xml:space="preserve"> Technologies Inc. </w:t>
      </w:r>
      <w:r w:rsidR="009107B3">
        <w:t>2015) provided</w:t>
      </w:r>
      <w:r>
        <w:t xml:space="preserve"> the following</w:t>
      </w:r>
      <w:r w:rsidR="00360AAF">
        <w:t xml:space="preserve"> </w:t>
      </w:r>
      <w:r w:rsidR="003234E0">
        <w:t>information</w:t>
      </w:r>
      <w:r w:rsidR="00360AAF">
        <w:t>:</w:t>
      </w:r>
    </w:p>
    <w:p w14:paraId="7CEB4718" w14:textId="77777777" w:rsidR="00360AAF" w:rsidRDefault="00360AAF" w:rsidP="00360AAF">
      <w:pPr>
        <w:pStyle w:val="ListParagraph"/>
        <w:numPr>
          <w:ilvl w:val="0"/>
          <w:numId w:val="39"/>
        </w:numPr>
      </w:pPr>
      <w:proofErr w:type="spellStart"/>
      <w:r w:rsidRPr="00360AAF">
        <w:t>Prosigna</w:t>
      </w:r>
      <w:proofErr w:type="spellEnd"/>
      <w:r w:rsidRPr="00360AAF">
        <w:t xml:space="preserve">® Breast Cancer Prognostic Gene Signature Assay is an </w:t>
      </w:r>
      <w:r w:rsidRPr="009624E2">
        <w:rPr>
          <w:i/>
        </w:rPr>
        <w:t>in vitro</w:t>
      </w:r>
      <w:r w:rsidRPr="00360AAF">
        <w:t xml:space="preserve"> diagnostic assay which measures the expression of 50 genes to provide an intrinsic subtype classification and ri</w:t>
      </w:r>
      <w:r>
        <w:t>sk of recurrence (ROR) score.</w:t>
      </w:r>
      <w:r w:rsidR="003234E0">
        <w:t xml:space="preserve"> </w:t>
      </w:r>
    </w:p>
    <w:p w14:paraId="69137035" w14:textId="4864A3B7" w:rsidR="0014124D" w:rsidRPr="0014124D" w:rsidRDefault="00367CC5" w:rsidP="0014124D">
      <w:pPr>
        <w:pStyle w:val="ListParagraph"/>
        <w:numPr>
          <w:ilvl w:val="0"/>
          <w:numId w:val="39"/>
        </w:numPr>
      </w:pPr>
      <w:r>
        <w:t>The test</w:t>
      </w:r>
      <w:r w:rsidRPr="0014124D">
        <w:t xml:space="preserve"> </w:t>
      </w:r>
      <w:r w:rsidR="0014124D" w:rsidRPr="0014124D">
        <w:t xml:space="preserve">is performed </w:t>
      </w:r>
      <w:r>
        <w:t>on</w:t>
      </w:r>
      <w:r w:rsidR="0014124D" w:rsidRPr="0014124D">
        <w:t xml:space="preserve"> RNA</w:t>
      </w:r>
      <w:r>
        <w:t xml:space="preserve"> extracted</w:t>
      </w:r>
      <w:r w:rsidR="0014124D" w:rsidRPr="0014124D">
        <w:t xml:space="preserve"> from FFPE tumour samples and </w:t>
      </w:r>
      <w:r w:rsidR="009624E2">
        <w:t xml:space="preserve">this is performed by </w:t>
      </w:r>
      <w:r w:rsidR="0014124D" w:rsidRPr="0014124D">
        <w:t xml:space="preserve">running the sample through a gene expression measurement system called the </w:t>
      </w:r>
      <w:proofErr w:type="spellStart"/>
      <w:r w:rsidR="0014124D" w:rsidRPr="0014124D">
        <w:t>nCounter</w:t>
      </w:r>
      <w:proofErr w:type="spellEnd"/>
      <w:r w:rsidR="0014124D" w:rsidRPr="0014124D">
        <w:t>® Analysis System.</w:t>
      </w:r>
      <w:r w:rsidR="00E118E9">
        <w:t xml:space="preserve"> The </w:t>
      </w:r>
      <w:proofErr w:type="spellStart"/>
      <w:r w:rsidR="00E118E9">
        <w:t>nCounter</w:t>
      </w:r>
      <w:proofErr w:type="spellEnd"/>
      <w:r w:rsidR="00E118E9">
        <w:t xml:space="preserve"> needs to be enabled for </w:t>
      </w:r>
      <w:proofErr w:type="spellStart"/>
      <w:r w:rsidR="00E118E9">
        <w:t>Prosigna</w:t>
      </w:r>
      <w:proofErr w:type="spellEnd"/>
      <w:r w:rsidR="00E118E9">
        <w:t xml:space="preserve"> to run the assay.</w:t>
      </w:r>
    </w:p>
    <w:p w14:paraId="29C49146" w14:textId="4A522B46" w:rsidR="00360AAF" w:rsidRDefault="00360AAF" w:rsidP="00360AAF">
      <w:pPr>
        <w:pStyle w:val="ListParagraph"/>
        <w:numPr>
          <w:ilvl w:val="0"/>
          <w:numId w:val="39"/>
        </w:numPr>
      </w:pPr>
      <w:proofErr w:type="spellStart"/>
      <w:r w:rsidRPr="00360AAF">
        <w:t>Prosigna</w:t>
      </w:r>
      <w:proofErr w:type="spellEnd"/>
      <w:r w:rsidR="009624E2">
        <w:t>®</w:t>
      </w:r>
      <w:r w:rsidRPr="00360AAF">
        <w:t xml:space="preserve"> classifies patients into low, intermediate, and high risk groups by generating </w:t>
      </w:r>
      <w:r w:rsidR="003234E0">
        <w:t xml:space="preserve">ROR </w:t>
      </w:r>
      <w:r w:rsidRPr="00360AAF">
        <w:t>scores on a scale of 0 – 100</w:t>
      </w:r>
      <w:r w:rsidR="003234E0">
        <w:t>, based on the expression profile, intrinsic subtype and size</w:t>
      </w:r>
      <w:r w:rsidR="009624E2" w:rsidRPr="009624E2">
        <w:t xml:space="preserve"> </w:t>
      </w:r>
      <w:r w:rsidR="009624E2">
        <w:t>of the tumour</w:t>
      </w:r>
      <w:r w:rsidR="003234E0">
        <w:t>.</w:t>
      </w:r>
      <w:r w:rsidRPr="00360AAF">
        <w:t xml:space="preserve"> </w:t>
      </w:r>
    </w:p>
    <w:p w14:paraId="7505F31B" w14:textId="36B8E168" w:rsidR="00360AAF" w:rsidRDefault="00360AAF" w:rsidP="00360AAF">
      <w:pPr>
        <w:pStyle w:val="ListParagraph"/>
        <w:numPr>
          <w:ilvl w:val="0"/>
          <w:numId w:val="39"/>
        </w:numPr>
      </w:pPr>
      <w:proofErr w:type="spellStart"/>
      <w:r w:rsidRPr="00360AAF">
        <w:t>Prosigna</w:t>
      </w:r>
      <w:proofErr w:type="spellEnd"/>
      <w:r w:rsidR="009624E2">
        <w:t>®</w:t>
      </w:r>
      <w:r w:rsidRPr="00360AAF">
        <w:t xml:space="preserve"> </w:t>
      </w:r>
      <w:r w:rsidR="009107B3">
        <w:t>(</w:t>
      </w:r>
      <w:r w:rsidRPr="00360AAF">
        <w:t xml:space="preserve">developed </w:t>
      </w:r>
      <w:r w:rsidR="009624E2">
        <w:t>using</w:t>
      </w:r>
      <w:r w:rsidRPr="00360AAF">
        <w:t xml:space="preserve"> the PAM50 gene signature</w:t>
      </w:r>
      <w:r w:rsidR="009624E2">
        <w:t xml:space="preserve"> but on a different platform</w:t>
      </w:r>
      <w:r w:rsidR="0014124D">
        <w:t>)</w:t>
      </w:r>
      <w:r w:rsidR="009624E2">
        <w:t xml:space="preserve"> classifies</w:t>
      </w:r>
      <w:r w:rsidRPr="00360AAF">
        <w:t xml:space="preserve"> </w:t>
      </w:r>
      <w:r w:rsidR="009107B3" w:rsidRPr="00360AAF">
        <w:t>tumours</w:t>
      </w:r>
      <w:r w:rsidRPr="00360AAF">
        <w:t xml:space="preserve"> </w:t>
      </w:r>
      <w:r w:rsidR="0014124D">
        <w:t xml:space="preserve">into 1 of 4 intrinsic subtypes – </w:t>
      </w:r>
      <w:r w:rsidR="003234E0">
        <w:t>l</w:t>
      </w:r>
      <w:r w:rsidR="0014124D">
        <w:t xml:space="preserve">uminal </w:t>
      </w:r>
      <w:r w:rsidR="003234E0">
        <w:t>A, luminal B, HER2-enric</w:t>
      </w:r>
      <w:r w:rsidR="0014124D">
        <w:t>hed and basal-like</w:t>
      </w:r>
      <w:r w:rsidR="003234E0">
        <w:t>.</w:t>
      </w:r>
    </w:p>
    <w:p w14:paraId="004C5A5C" w14:textId="00DCA594" w:rsidR="0014124D" w:rsidRDefault="0014124D" w:rsidP="00360AAF">
      <w:pPr>
        <w:pStyle w:val="ListParagraph"/>
        <w:numPr>
          <w:ilvl w:val="0"/>
          <w:numId w:val="39"/>
        </w:numPr>
      </w:pPr>
      <w:r>
        <w:t xml:space="preserve">The </w:t>
      </w:r>
      <w:proofErr w:type="spellStart"/>
      <w:r>
        <w:t>nCounter</w:t>
      </w:r>
      <w:proofErr w:type="spellEnd"/>
      <w:r>
        <w:t>® Analysis System uses a highly sensitive hybridisation technique with labelled probes which enable</w:t>
      </w:r>
      <w:r w:rsidR="009624E2">
        <w:t>s</w:t>
      </w:r>
      <w:r>
        <w:t xml:space="preserve"> detection of as little as one RNA copy per cell. The method is non-enzymatic and does not require amplification of </w:t>
      </w:r>
      <w:r w:rsidR="009624E2">
        <w:t xml:space="preserve">the </w:t>
      </w:r>
      <w:r>
        <w:t>RNA.</w:t>
      </w:r>
    </w:p>
    <w:p w14:paraId="0C331F2B" w14:textId="5274F5D0" w:rsidR="0014124D" w:rsidRDefault="0014124D" w:rsidP="001120B5">
      <w:pPr>
        <w:pStyle w:val="ListParagraph"/>
        <w:numPr>
          <w:ilvl w:val="0"/>
          <w:numId w:val="39"/>
        </w:numPr>
      </w:pPr>
      <w:r>
        <w:t>A patient’s treatment decision would be based on the combined information from the ROR score</w:t>
      </w:r>
      <w:r w:rsidR="006B5515">
        <w:t xml:space="preserve"> and subtype</w:t>
      </w:r>
      <w:r w:rsidR="0032699B">
        <w:t>.</w:t>
      </w:r>
    </w:p>
    <w:p w14:paraId="203F5A64" w14:textId="77777777" w:rsidR="0014124D" w:rsidRDefault="0014124D" w:rsidP="0014124D">
      <w:pPr>
        <w:ind w:left="426"/>
      </w:pPr>
    </w:p>
    <w:p w14:paraId="397B5ECC"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4CF096B5" w14:textId="46A0383D" w:rsidR="009F719F" w:rsidRDefault="009F719F" w:rsidP="00E357B9">
      <w:pPr>
        <w:ind w:left="426"/>
      </w:pPr>
      <w:r>
        <w:t xml:space="preserve">The components of the proposed medical service that have a registered trademark are given in </w:t>
      </w:r>
      <w:r w:rsidR="00ED18CF">
        <w:fldChar w:fldCharType="begin"/>
      </w:r>
      <w:r w:rsidR="00ED18CF">
        <w:instrText xml:space="preserve"> REF _Ref465767827 \h </w:instrText>
      </w:r>
      <w:r w:rsidR="00ED18CF">
        <w:fldChar w:fldCharType="separate"/>
      </w:r>
      <w:r w:rsidR="00AE5CB1" w:rsidRPr="009F719F">
        <w:rPr>
          <w:szCs w:val="20"/>
        </w:rPr>
        <w:t xml:space="preserve">Table </w:t>
      </w:r>
      <w:r w:rsidR="00AE5CB1">
        <w:rPr>
          <w:szCs w:val="20"/>
        </w:rPr>
        <w:t>6</w:t>
      </w:r>
      <w:r w:rsidR="00ED18CF">
        <w:fldChar w:fldCharType="end"/>
      </w:r>
      <w:r w:rsidR="00ED18CF">
        <w:t xml:space="preserve">. </w:t>
      </w:r>
    </w:p>
    <w:p w14:paraId="44D270C6" w14:textId="4CEA0461" w:rsidR="009F719F" w:rsidRPr="009F719F" w:rsidRDefault="009F719F" w:rsidP="00477651">
      <w:pPr>
        <w:pStyle w:val="Caption"/>
        <w:spacing w:after="120"/>
        <w:ind w:left="426"/>
        <w:rPr>
          <w:sz w:val="20"/>
          <w:szCs w:val="20"/>
        </w:rPr>
      </w:pPr>
      <w:bookmarkStart w:id="4" w:name="_Ref465767827"/>
      <w:r w:rsidRPr="009F719F">
        <w:rPr>
          <w:sz w:val="20"/>
          <w:szCs w:val="20"/>
        </w:rPr>
        <w:t xml:space="preserve">Table </w:t>
      </w:r>
      <w:r w:rsidRPr="009F719F">
        <w:rPr>
          <w:sz w:val="20"/>
          <w:szCs w:val="20"/>
        </w:rPr>
        <w:fldChar w:fldCharType="begin"/>
      </w:r>
      <w:r w:rsidRPr="009F719F">
        <w:rPr>
          <w:sz w:val="20"/>
          <w:szCs w:val="20"/>
        </w:rPr>
        <w:instrText xml:space="preserve"> SEQ Table \* ARABIC </w:instrText>
      </w:r>
      <w:r w:rsidRPr="009F719F">
        <w:rPr>
          <w:sz w:val="20"/>
          <w:szCs w:val="20"/>
        </w:rPr>
        <w:fldChar w:fldCharType="separate"/>
      </w:r>
      <w:r w:rsidR="003E6138">
        <w:rPr>
          <w:sz w:val="20"/>
          <w:szCs w:val="20"/>
        </w:rPr>
        <w:t>6</w:t>
      </w:r>
      <w:r w:rsidRPr="009F719F">
        <w:rPr>
          <w:sz w:val="20"/>
          <w:szCs w:val="20"/>
        </w:rPr>
        <w:fldChar w:fldCharType="end"/>
      </w:r>
      <w:bookmarkEnd w:id="4"/>
      <w:r>
        <w:rPr>
          <w:sz w:val="20"/>
          <w:szCs w:val="20"/>
        </w:rPr>
        <w:tab/>
      </w:r>
      <w:r w:rsidR="006902F0">
        <w:rPr>
          <w:sz w:val="20"/>
          <w:szCs w:val="20"/>
        </w:rPr>
        <w:t>Trademark registration details</w:t>
      </w:r>
    </w:p>
    <w:tbl>
      <w:tblPr>
        <w:tblStyle w:val="TableGrid"/>
        <w:tblW w:w="0" w:type="auto"/>
        <w:tblInd w:w="426" w:type="dxa"/>
        <w:tblLook w:val="04A0" w:firstRow="1" w:lastRow="0" w:firstColumn="1" w:lastColumn="0" w:noHBand="0" w:noVBand="1"/>
        <w:tblDescription w:val="Table 6 Trademark registration details"/>
      </w:tblPr>
      <w:tblGrid>
        <w:gridCol w:w="2251"/>
        <w:gridCol w:w="2115"/>
        <w:gridCol w:w="2117"/>
        <w:gridCol w:w="2107"/>
      </w:tblGrid>
      <w:tr w:rsidR="006902F0" w:rsidRPr="00515109" w14:paraId="48FE843D" w14:textId="77777777" w:rsidTr="00A65F2D">
        <w:trPr>
          <w:tblHeader/>
        </w:trPr>
        <w:tc>
          <w:tcPr>
            <w:tcW w:w="2251" w:type="dxa"/>
          </w:tcPr>
          <w:p w14:paraId="583D3FA8" w14:textId="77777777" w:rsidR="006902F0" w:rsidRPr="00515109" w:rsidRDefault="006902F0" w:rsidP="009F719F">
            <w:pPr>
              <w:spacing w:before="60" w:after="60"/>
              <w:jc w:val="center"/>
              <w:rPr>
                <w:rFonts w:ascii="Arial Narrow" w:hAnsi="Arial Narrow"/>
                <w:b/>
                <w:sz w:val="18"/>
                <w:szCs w:val="18"/>
              </w:rPr>
            </w:pPr>
            <w:r w:rsidRPr="00515109">
              <w:rPr>
                <w:rFonts w:ascii="Arial Narrow" w:hAnsi="Arial Narrow"/>
                <w:b/>
                <w:sz w:val="18"/>
                <w:szCs w:val="18"/>
              </w:rPr>
              <w:t>Component</w:t>
            </w:r>
          </w:p>
        </w:tc>
        <w:tc>
          <w:tcPr>
            <w:tcW w:w="2115" w:type="dxa"/>
          </w:tcPr>
          <w:p w14:paraId="40C0072B" w14:textId="77777777" w:rsidR="006902F0" w:rsidRPr="00515109" w:rsidRDefault="006902F0" w:rsidP="009F719F">
            <w:pPr>
              <w:spacing w:before="60" w:after="60"/>
              <w:jc w:val="center"/>
              <w:rPr>
                <w:rFonts w:ascii="Arial Narrow" w:hAnsi="Arial Narrow"/>
                <w:b/>
                <w:sz w:val="18"/>
                <w:szCs w:val="18"/>
              </w:rPr>
            </w:pPr>
            <w:r w:rsidRPr="00515109">
              <w:rPr>
                <w:rFonts w:ascii="Arial Narrow" w:hAnsi="Arial Narrow"/>
                <w:b/>
                <w:sz w:val="18"/>
                <w:szCs w:val="18"/>
              </w:rPr>
              <w:t>Australian trademark and entry date</w:t>
            </w:r>
          </w:p>
        </w:tc>
        <w:tc>
          <w:tcPr>
            <w:tcW w:w="2117" w:type="dxa"/>
          </w:tcPr>
          <w:p w14:paraId="21DFCF1F" w14:textId="77777777" w:rsidR="006902F0" w:rsidRPr="00515109" w:rsidRDefault="006902F0" w:rsidP="009F719F">
            <w:pPr>
              <w:spacing w:before="60" w:after="60"/>
              <w:jc w:val="center"/>
              <w:rPr>
                <w:rFonts w:ascii="Arial Narrow" w:hAnsi="Arial Narrow"/>
                <w:b/>
                <w:sz w:val="18"/>
                <w:szCs w:val="18"/>
              </w:rPr>
            </w:pPr>
            <w:r w:rsidRPr="00515109">
              <w:rPr>
                <w:rFonts w:ascii="Arial Narrow" w:hAnsi="Arial Narrow"/>
                <w:b/>
                <w:sz w:val="18"/>
                <w:szCs w:val="18"/>
              </w:rPr>
              <w:t>International registration</w:t>
            </w:r>
          </w:p>
        </w:tc>
        <w:tc>
          <w:tcPr>
            <w:tcW w:w="2107" w:type="dxa"/>
          </w:tcPr>
          <w:p w14:paraId="22198B37" w14:textId="77777777" w:rsidR="006902F0" w:rsidRPr="00515109" w:rsidRDefault="006902F0" w:rsidP="009F719F">
            <w:pPr>
              <w:spacing w:before="60" w:after="60"/>
              <w:jc w:val="center"/>
              <w:rPr>
                <w:rFonts w:ascii="Arial Narrow" w:hAnsi="Arial Narrow"/>
                <w:b/>
                <w:sz w:val="18"/>
                <w:szCs w:val="18"/>
              </w:rPr>
            </w:pPr>
            <w:r w:rsidRPr="00515109">
              <w:rPr>
                <w:rFonts w:ascii="Arial Narrow" w:hAnsi="Arial Narrow"/>
                <w:b/>
                <w:sz w:val="18"/>
                <w:szCs w:val="18"/>
              </w:rPr>
              <w:t>Owner</w:t>
            </w:r>
          </w:p>
        </w:tc>
      </w:tr>
      <w:tr w:rsidR="006902F0" w:rsidRPr="00515109" w14:paraId="197AFCA0" w14:textId="77777777" w:rsidTr="00A65F2D">
        <w:trPr>
          <w:tblHeader/>
        </w:trPr>
        <w:tc>
          <w:tcPr>
            <w:tcW w:w="2251" w:type="dxa"/>
          </w:tcPr>
          <w:p w14:paraId="6723E808" w14:textId="77777777" w:rsidR="006902F0" w:rsidRPr="00515109" w:rsidRDefault="006902F0" w:rsidP="009F719F">
            <w:pPr>
              <w:spacing w:before="60" w:after="60"/>
              <w:rPr>
                <w:rFonts w:ascii="Arial Narrow" w:hAnsi="Arial Narrow"/>
                <w:sz w:val="18"/>
                <w:szCs w:val="18"/>
              </w:rPr>
            </w:pPr>
            <w:proofErr w:type="spellStart"/>
            <w:r w:rsidRPr="00515109">
              <w:rPr>
                <w:rFonts w:ascii="Arial Narrow" w:hAnsi="Arial Narrow"/>
                <w:sz w:val="18"/>
                <w:szCs w:val="18"/>
              </w:rPr>
              <w:t>Prosigna</w:t>
            </w:r>
            <w:proofErr w:type="spellEnd"/>
            <w:r w:rsidRPr="00515109">
              <w:rPr>
                <w:rFonts w:ascii="Arial Narrow" w:hAnsi="Arial Narrow"/>
                <w:sz w:val="18"/>
                <w:szCs w:val="18"/>
              </w:rPr>
              <w:t>® assay kit</w:t>
            </w:r>
          </w:p>
        </w:tc>
        <w:tc>
          <w:tcPr>
            <w:tcW w:w="2115" w:type="dxa"/>
          </w:tcPr>
          <w:p w14:paraId="67896CDF" w14:textId="77777777" w:rsidR="006902F0" w:rsidRPr="00515109" w:rsidRDefault="006902F0" w:rsidP="006902F0">
            <w:pPr>
              <w:spacing w:before="60" w:after="60"/>
              <w:jc w:val="center"/>
              <w:rPr>
                <w:rFonts w:ascii="Arial Narrow" w:hAnsi="Arial Narrow"/>
                <w:sz w:val="18"/>
                <w:szCs w:val="18"/>
              </w:rPr>
            </w:pPr>
            <w:r w:rsidRPr="00515109">
              <w:rPr>
                <w:rFonts w:ascii="Arial Narrow" w:hAnsi="Arial Narrow"/>
                <w:sz w:val="18"/>
                <w:szCs w:val="18"/>
              </w:rPr>
              <w:t>1732521</w:t>
            </w:r>
            <w:r w:rsidRPr="00515109">
              <w:rPr>
                <w:rFonts w:ascii="Arial Narrow" w:hAnsi="Arial Narrow"/>
                <w:sz w:val="18"/>
                <w:szCs w:val="18"/>
              </w:rPr>
              <w:br/>
              <w:t>14 March 2016</w:t>
            </w:r>
          </w:p>
        </w:tc>
        <w:tc>
          <w:tcPr>
            <w:tcW w:w="2117" w:type="dxa"/>
          </w:tcPr>
          <w:p w14:paraId="1E228B6B" w14:textId="77777777" w:rsidR="006902F0" w:rsidRPr="00515109" w:rsidRDefault="006902F0" w:rsidP="009F719F">
            <w:pPr>
              <w:spacing w:before="60" w:after="60"/>
              <w:jc w:val="center"/>
              <w:rPr>
                <w:rFonts w:ascii="Arial Narrow" w:hAnsi="Arial Narrow"/>
                <w:sz w:val="18"/>
                <w:szCs w:val="18"/>
              </w:rPr>
            </w:pPr>
            <w:r w:rsidRPr="00515109">
              <w:rPr>
                <w:rFonts w:ascii="Arial Narrow" w:hAnsi="Arial Narrow"/>
                <w:sz w:val="18"/>
                <w:szCs w:val="18"/>
              </w:rPr>
              <w:t>1272305</w:t>
            </w:r>
          </w:p>
        </w:tc>
        <w:tc>
          <w:tcPr>
            <w:tcW w:w="2107" w:type="dxa"/>
          </w:tcPr>
          <w:p w14:paraId="2E4B4AA2" w14:textId="079EF9A1" w:rsidR="006902F0" w:rsidRPr="00515109" w:rsidRDefault="000165EF" w:rsidP="009F719F">
            <w:pPr>
              <w:spacing w:before="60" w:after="60"/>
              <w:jc w:val="center"/>
              <w:rPr>
                <w:rFonts w:ascii="Arial Narrow" w:hAnsi="Arial Narrow"/>
                <w:sz w:val="18"/>
                <w:szCs w:val="18"/>
              </w:rPr>
            </w:pPr>
            <w:proofErr w:type="spellStart"/>
            <w:r>
              <w:rPr>
                <w:rFonts w:ascii="Arial Narrow" w:hAnsi="Arial Narrow"/>
                <w:sz w:val="18"/>
                <w:szCs w:val="18"/>
              </w:rPr>
              <w:t>N</w:t>
            </w:r>
            <w:r w:rsidR="006902F0" w:rsidRPr="00515109">
              <w:rPr>
                <w:rFonts w:ascii="Arial Narrow" w:hAnsi="Arial Narrow"/>
                <w:sz w:val="18"/>
                <w:szCs w:val="18"/>
              </w:rPr>
              <w:t>anoString</w:t>
            </w:r>
            <w:proofErr w:type="spellEnd"/>
            <w:r w:rsidR="006902F0" w:rsidRPr="00515109">
              <w:rPr>
                <w:rFonts w:ascii="Arial Narrow" w:hAnsi="Arial Narrow"/>
                <w:sz w:val="18"/>
                <w:szCs w:val="18"/>
              </w:rPr>
              <w:t xml:space="preserve"> Technologies, Inc.</w:t>
            </w:r>
          </w:p>
        </w:tc>
      </w:tr>
      <w:tr w:rsidR="006902F0" w:rsidRPr="00515109" w14:paraId="272A4373" w14:textId="77777777" w:rsidTr="00A65F2D">
        <w:trPr>
          <w:tblHeader/>
        </w:trPr>
        <w:tc>
          <w:tcPr>
            <w:tcW w:w="2251" w:type="dxa"/>
          </w:tcPr>
          <w:p w14:paraId="1E3A3C73" w14:textId="71C4FF00" w:rsidR="006902F0" w:rsidRPr="00515109" w:rsidRDefault="006902F0" w:rsidP="009F719F">
            <w:pPr>
              <w:spacing w:before="60" w:after="60"/>
              <w:rPr>
                <w:rFonts w:ascii="Arial Narrow" w:hAnsi="Arial Narrow"/>
                <w:sz w:val="18"/>
                <w:szCs w:val="18"/>
              </w:rPr>
            </w:pPr>
            <w:proofErr w:type="spellStart"/>
            <w:r w:rsidRPr="00515109">
              <w:rPr>
                <w:rFonts w:ascii="Arial Narrow" w:hAnsi="Arial Narrow"/>
                <w:sz w:val="18"/>
                <w:szCs w:val="18"/>
              </w:rPr>
              <w:t>nCounter</w:t>
            </w:r>
            <w:proofErr w:type="spellEnd"/>
            <w:r w:rsidR="00204529">
              <w:rPr>
                <w:rFonts w:ascii="Arial Narrow" w:hAnsi="Arial Narrow"/>
                <w:sz w:val="18"/>
                <w:szCs w:val="18"/>
              </w:rPr>
              <w:t>®</w:t>
            </w:r>
            <w:r w:rsidRPr="00515109">
              <w:rPr>
                <w:rFonts w:ascii="Arial Narrow" w:hAnsi="Arial Narrow"/>
                <w:sz w:val="18"/>
                <w:szCs w:val="18"/>
              </w:rPr>
              <w:t xml:space="preserve"> Analysis System</w:t>
            </w:r>
          </w:p>
        </w:tc>
        <w:tc>
          <w:tcPr>
            <w:tcW w:w="2115" w:type="dxa"/>
          </w:tcPr>
          <w:p w14:paraId="3B2DD5B4" w14:textId="77777777" w:rsidR="006902F0" w:rsidRPr="00515109" w:rsidRDefault="006902F0" w:rsidP="006902F0">
            <w:pPr>
              <w:spacing w:before="60" w:after="60"/>
              <w:jc w:val="center"/>
              <w:rPr>
                <w:rFonts w:ascii="Arial Narrow" w:hAnsi="Arial Narrow"/>
                <w:sz w:val="18"/>
                <w:szCs w:val="18"/>
              </w:rPr>
            </w:pPr>
            <w:r w:rsidRPr="00515109">
              <w:rPr>
                <w:rFonts w:ascii="Arial Narrow" w:hAnsi="Arial Narrow"/>
                <w:sz w:val="18"/>
                <w:szCs w:val="18"/>
              </w:rPr>
              <w:t>1732521</w:t>
            </w:r>
            <w:r w:rsidRPr="00515109">
              <w:rPr>
                <w:rFonts w:ascii="Arial Narrow" w:hAnsi="Arial Narrow"/>
                <w:sz w:val="18"/>
                <w:szCs w:val="18"/>
              </w:rPr>
              <w:br/>
              <w:t>15 March 2016</w:t>
            </w:r>
          </w:p>
        </w:tc>
        <w:tc>
          <w:tcPr>
            <w:tcW w:w="2117" w:type="dxa"/>
          </w:tcPr>
          <w:p w14:paraId="686C30A2" w14:textId="77777777" w:rsidR="006902F0" w:rsidRPr="00515109" w:rsidRDefault="006902F0" w:rsidP="009F719F">
            <w:pPr>
              <w:spacing w:before="60" w:after="60"/>
              <w:jc w:val="center"/>
              <w:rPr>
                <w:rFonts w:ascii="Arial Narrow" w:hAnsi="Arial Narrow"/>
                <w:sz w:val="18"/>
                <w:szCs w:val="18"/>
              </w:rPr>
            </w:pPr>
            <w:r w:rsidRPr="00515109">
              <w:rPr>
                <w:rFonts w:ascii="Arial Narrow" w:hAnsi="Arial Narrow"/>
                <w:sz w:val="18"/>
                <w:szCs w:val="18"/>
              </w:rPr>
              <w:t>1272305</w:t>
            </w:r>
          </w:p>
        </w:tc>
        <w:tc>
          <w:tcPr>
            <w:tcW w:w="2107" w:type="dxa"/>
          </w:tcPr>
          <w:p w14:paraId="19929351" w14:textId="78DB5AA5" w:rsidR="006902F0" w:rsidRPr="00515109" w:rsidRDefault="000165EF" w:rsidP="009F719F">
            <w:pPr>
              <w:spacing w:before="60" w:after="60"/>
              <w:jc w:val="center"/>
              <w:rPr>
                <w:rFonts w:ascii="Arial Narrow" w:hAnsi="Arial Narrow"/>
                <w:sz w:val="18"/>
                <w:szCs w:val="18"/>
              </w:rPr>
            </w:pPr>
            <w:proofErr w:type="spellStart"/>
            <w:r>
              <w:rPr>
                <w:rFonts w:ascii="Arial Narrow" w:hAnsi="Arial Narrow"/>
                <w:sz w:val="18"/>
                <w:szCs w:val="18"/>
              </w:rPr>
              <w:t>N</w:t>
            </w:r>
            <w:r w:rsidR="006902F0" w:rsidRPr="00515109">
              <w:rPr>
                <w:rFonts w:ascii="Arial Narrow" w:hAnsi="Arial Narrow"/>
                <w:sz w:val="18"/>
                <w:szCs w:val="18"/>
              </w:rPr>
              <w:t>anoString</w:t>
            </w:r>
            <w:proofErr w:type="spellEnd"/>
            <w:r w:rsidR="006902F0" w:rsidRPr="00515109">
              <w:rPr>
                <w:rFonts w:ascii="Arial Narrow" w:hAnsi="Arial Narrow"/>
                <w:sz w:val="18"/>
                <w:szCs w:val="18"/>
              </w:rPr>
              <w:t xml:space="preserve"> Technologies, Inc.</w:t>
            </w:r>
          </w:p>
        </w:tc>
      </w:tr>
    </w:tbl>
    <w:p w14:paraId="1B6A4F06" w14:textId="77777777" w:rsidR="006902F0" w:rsidRDefault="006902F0" w:rsidP="00E357B9">
      <w:pPr>
        <w:ind w:left="426"/>
      </w:pPr>
    </w:p>
    <w:p w14:paraId="58664E27" w14:textId="77777777" w:rsidR="00C22AD8"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08B8FD68" w14:textId="3BAE0F71" w:rsidR="00A93C57" w:rsidRDefault="00A93C57" w:rsidP="00C92908">
      <w:pPr>
        <w:ind w:firstLine="426"/>
      </w:pPr>
      <w:r>
        <w:t>N/A (no prosthesis or device)</w:t>
      </w:r>
    </w:p>
    <w:p w14:paraId="01A04370" w14:textId="77777777" w:rsidR="009624E2" w:rsidRPr="00A93C57" w:rsidRDefault="009624E2" w:rsidP="00C92908">
      <w:pPr>
        <w:ind w:firstLine="426"/>
      </w:pPr>
    </w:p>
    <w:p w14:paraId="4C7E3EF0"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22414F3C" w14:textId="04ED3624" w:rsidR="00094A6B" w:rsidRDefault="00862B01" w:rsidP="00E357B9">
      <w:pPr>
        <w:ind w:left="426"/>
      </w:pPr>
      <w:r>
        <w:t xml:space="preserve">The test is proposed for primary breast cancer patients, and would be expected to be delivered once per primary cancer diagnosis per patient </w:t>
      </w:r>
      <w:proofErr w:type="spellStart"/>
      <w:r w:rsidR="00204529">
        <w:t>ie</w:t>
      </w:r>
      <w:proofErr w:type="spellEnd"/>
      <w:r w:rsidR="00204529">
        <w:t xml:space="preserve"> </w:t>
      </w:r>
      <w:r w:rsidRPr="008C14C5">
        <w:t>at the point of primary tumour analysis</w:t>
      </w:r>
      <w:r w:rsidRPr="00410C7B">
        <w:t xml:space="preserve">. For </w:t>
      </w:r>
      <w:r>
        <w:t>most</w:t>
      </w:r>
      <w:r w:rsidRPr="00410C7B">
        <w:t xml:space="preserve"> patients the test would be requested once in their lifetime, but in the instance where primary breast cancer is detected a second or additional t</w:t>
      </w:r>
      <w:r w:rsidRPr="001A0074">
        <w:t>i</w:t>
      </w:r>
      <w:r>
        <w:t>me</w:t>
      </w:r>
      <w:r w:rsidRPr="001A0074">
        <w:t xml:space="preserve"> (in either breast), the test may be requested more than once.</w:t>
      </w:r>
      <w:r w:rsidR="00094A6B">
        <w:t xml:space="preserve"> </w:t>
      </w:r>
    </w:p>
    <w:p w14:paraId="7C47BE7B" w14:textId="77777777" w:rsidR="009624E2" w:rsidRDefault="009624E2" w:rsidP="00E357B9">
      <w:pPr>
        <w:ind w:left="426"/>
      </w:pPr>
    </w:p>
    <w:p w14:paraId="3D0007BE"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4535D1A6" w14:textId="6280727F" w:rsidR="00515109" w:rsidRDefault="00C92908" w:rsidP="00884E69">
      <w:pPr>
        <w:ind w:left="426"/>
      </w:pPr>
      <w:r>
        <w:lastRenderedPageBreak/>
        <w:t>T</w:t>
      </w:r>
      <w:r w:rsidR="00515109">
        <w:t xml:space="preserve">esting would be performed following </w:t>
      </w:r>
      <w:r w:rsidR="007C3366">
        <w:t>surgical resection to assist decision making</w:t>
      </w:r>
      <w:r w:rsidR="00204529" w:rsidRPr="00204529">
        <w:t xml:space="preserve"> </w:t>
      </w:r>
      <w:r w:rsidR="00204529">
        <w:t>concerning the need for adjuvant treatment</w:t>
      </w:r>
      <w:r w:rsidR="00515109">
        <w:t xml:space="preserve">, in which case a request for an FFPE tissue sample would be required. </w:t>
      </w:r>
      <w:r w:rsidR="001F4EEC">
        <w:t xml:space="preserve">A separate tissue </w:t>
      </w:r>
      <w:r w:rsidR="00204529">
        <w:t>biopsy</w:t>
      </w:r>
      <w:r w:rsidR="001F4EEC">
        <w:t xml:space="preserve"> would not be required from the patient </w:t>
      </w:r>
      <w:r w:rsidR="00204529">
        <w:t>in order to perform</w:t>
      </w:r>
      <w:r w:rsidR="001F4EEC">
        <w:t xml:space="preserve"> the test.</w:t>
      </w:r>
    </w:p>
    <w:p w14:paraId="6763679F" w14:textId="77777777" w:rsidR="009624E2" w:rsidRDefault="009624E2" w:rsidP="00884E69">
      <w:pPr>
        <w:ind w:left="426"/>
      </w:pPr>
    </w:p>
    <w:p w14:paraId="13F97C38" w14:textId="77777777" w:rsidR="00B17E26"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651F27DD" w14:textId="17C37B5F" w:rsidR="001F4EEC" w:rsidRDefault="007C3366" w:rsidP="00515109">
      <w:pPr>
        <w:ind w:left="426"/>
      </w:pPr>
      <w:r w:rsidRPr="007C3366">
        <w:t xml:space="preserve">A core biopsy is performed by an oncology surgeon, and then sent to </w:t>
      </w:r>
      <w:r w:rsidR="00E60699">
        <w:t>an accredited</w:t>
      </w:r>
      <w:r w:rsidRPr="007C3366">
        <w:t xml:space="preserve"> laboratory for testing and routine FFPE embedding. Patients with new primary breast cancer will be assessed for suitability for surgery. Following </w:t>
      </w:r>
      <w:r w:rsidR="001F4EEC">
        <w:t>surgery</w:t>
      </w:r>
      <w:r w:rsidRPr="007C3366">
        <w:t>, a pathologist assesses the tissue for ER/HER status (by IHC/ISH staining), tumour size and nodal status</w:t>
      </w:r>
      <w:r w:rsidR="001F4EEC">
        <w:t xml:space="preserve"> and </w:t>
      </w:r>
      <w:r w:rsidR="00204529">
        <w:t xml:space="preserve">provides a </w:t>
      </w:r>
      <w:r w:rsidR="001F4EEC">
        <w:t xml:space="preserve">report </w:t>
      </w:r>
      <w:r w:rsidRPr="007C3366">
        <w:t>to the oncologist or surgeon.</w:t>
      </w:r>
      <w:r w:rsidR="001F4EEC">
        <w:t xml:space="preserve"> </w:t>
      </w:r>
    </w:p>
    <w:p w14:paraId="774939F9" w14:textId="2B2CDB1F" w:rsidR="00515109" w:rsidRDefault="00515109" w:rsidP="00515109">
      <w:pPr>
        <w:ind w:left="426"/>
      </w:pPr>
      <w:r>
        <w:t>Gene profiling would be</w:t>
      </w:r>
      <w:r w:rsidR="001F4EEC">
        <w:t xml:space="preserve"> requested by the oncologist or surgeon. It would</w:t>
      </w:r>
      <w:r>
        <w:t xml:space="preserve"> </w:t>
      </w:r>
      <w:proofErr w:type="gramStart"/>
      <w:r>
        <w:t>performed</w:t>
      </w:r>
      <w:proofErr w:type="gramEnd"/>
      <w:r>
        <w:t xml:space="preserve"> in a pathology </w:t>
      </w:r>
      <w:r w:rsidR="001F4EEC">
        <w:t>laboratory</w:t>
      </w:r>
      <w:r>
        <w:t>, by a specialist molecular pathologist.</w:t>
      </w:r>
      <w:r w:rsidR="007C3366">
        <w:t xml:space="preserve"> Samples from FFPE blocks would be prepared for RNA extraction using the </w:t>
      </w:r>
      <w:proofErr w:type="spellStart"/>
      <w:r w:rsidR="007C3366">
        <w:t>Prosigna</w:t>
      </w:r>
      <w:proofErr w:type="spellEnd"/>
      <w:r w:rsidR="00204529">
        <w:t>®</w:t>
      </w:r>
      <w:r w:rsidR="007C3366">
        <w:t xml:space="preserve"> kit reagents. </w:t>
      </w:r>
      <w:r w:rsidR="001F4EEC">
        <w:t xml:space="preserve">The </w:t>
      </w:r>
      <w:proofErr w:type="spellStart"/>
      <w:r w:rsidR="001F4EEC">
        <w:t>Prosigna</w:t>
      </w:r>
      <w:proofErr w:type="spellEnd"/>
      <w:r w:rsidR="001F4EEC">
        <w:t xml:space="preserve"> intrinsic subtyping and ROR score can only be produced using the </w:t>
      </w:r>
      <w:proofErr w:type="spellStart"/>
      <w:r w:rsidR="005C4AF7">
        <w:t>Prosigna</w:t>
      </w:r>
      <w:proofErr w:type="spellEnd"/>
      <w:r w:rsidR="005C4AF7">
        <w:t xml:space="preserve"> enabled </w:t>
      </w:r>
      <w:proofErr w:type="spellStart"/>
      <w:r w:rsidR="001F4EEC">
        <w:t>nCounter</w:t>
      </w:r>
      <w:proofErr w:type="spellEnd"/>
      <w:r w:rsidR="00204529">
        <w:t>®</w:t>
      </w:r>
      <w:r w:rsidR="001F4EEC">
        <w:t xml:space="preserve"> Analysis System. Results would be reported by the molecular pathologist to the requesting specialist.</w:t>
      </w:r>
    </w:p>
    <w:p w14:paraId="6B8B3C90" w14:textId="77777777" w:rsidR="009624E2" w:rsidRPr="00515109" w:rsidRDefault="009624E2" w:rsidP="00515109">
      <w:pPr>
        <w:ind w:left="426"/>
      </w:pPr>
    </w:p>
    <w:p w14:paraId="33F3E9BA"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2F5A58F1" w14:textId="005EAA95" w:rsidR="00E60699" w:rsidRDefault="00E60699" w:rsidP="00884E69">
      <w:pPr>
        <w:ind w:left="426"/>
      </w:pPr>
      <w:r>
        <w:t xml:space="preserve">Any molecular pathologist trained and accredited in the use of </w:t>
      </w:r>
      <w:r w:rsidR="00C53EEB">
        <w:t xml:space="preserve">the </w:t>
      </w:r>
      <w:proofErr w:type="spellStart"/>
      <w:r w:rsidR="005C4AF7">
        <w:t>Prosigna</w:t>
      </w:r>
      <w:proofErr w:type="spellEnd"/>
      <w:r w:rsidR="005C4AF7">
        <w:t xml:space="preserve"> enabled </w:t>
      </w:r>
      <w:proofErr w:type="spellStart"/>
      <w:r>
        <w:t>nCounter</w:t>
      </w:r>
      <w:proofErr w:type="spellEnd"/>
      <w:r w:rsidR="00204529">
        <w:t>®</w:t>
      </w:r>
      <w:r>
        <w:t xml:space="preserve"> Analysis System would be able to interpret and report the results.</w:t>
      </w:r>
    </w:p>
    <w:p w14:paraId="579F5F8A" w14:textId="77777777" w:rsidR="009624E2" w:rsidRDefault="009624E2" w:rsidP="00884E69">
      <w:pPr>
        <w:ind w:left="426"/>
      </w:pPr>
    </w:p>
    <w:p w14:paraId="46BF004C" w14:textId="77777777" w:rsidR="00EA0E25"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287B3CDA" w14:textId="5DB433FF" w:rsidR="00E60699" w:rsidRDefault="00E60699" w:rsidP="00E60699">
      <w:pPr>
        <w:ind w:left="426"/>
      </w:pPr>
      <w:r>
        <w:t xml:space="preserve">It is expected that a patient’s oncologist or surgeon would be able to order the </w:t>
      </w:r>
      <w:proofErr w:type="spellStart"/>
      <w:r>
        <w:t>Prosigna</w:t>
      </w:r>
      <w:proofErr w:type="spellEnd"/>
      <w:r w:rsidR="00204529">
        <w:t>®</w:t>
      </w:r>
      <w:r>
        <w:t xml:space="preserve"> assay and that a suitably trained pathologist would be able to perform the assay on the </w:t>
      </w:r>
      <w:proofErr w:type="spellStart"/>
      <w:r w:rsidR="005C4AF7">
        <w:t>Prosigna</w:t>
      </w:r>
      <w:proofErr w:type="spellEnd"/>
      <w:r w:rsidR="005C4AF7">
        <w:t xml:space="preserve"> enabled </w:t>
      </w:r>
      <w:proofErr w:type="spellStart"/>
      <w:r>
        <w:t>nCounter</w:t>
      </w:r>
      <w:proofErr w:type="spellEnd"/>
      <w:r w:rsidR="00204529">
        <w:t>®</w:t>
      </w:r>
      <w:r>
        <w:t xml:space="preserve"> Analysis System and report on the results.</w:t>
      </w:r>
      <w:r w:rsidR="00204529">
        <w:t xml:space="preserve"> </w:t>
      </w:r>
      <w:proofErr w:type="spellStart"/>
      <w:r w:rsidR="00523CAA">
        <w:t>NanoString</w:t>
      </w:r>
      <w:proofErr w:type="spellEnd"/>
      <w:r w:rsidR="00523CAA">
        <w:t xml:space="preserve"> </w:t>
      </w:r>
      <w:r w:rsidR="00204529">
        <w:t>Technologies</w:t>
      </w:r>
      <w:r w:rsidR="00477651">
        <w:t>,</w:t>
      </w:r>
      <w:r w:rsidR="00204529">
        <w:t xml:space="preserve"> Inc. </w:t>
      </w:r>
      <w:r w:rsidR="00F54E0F">
        <w:t>has validated procedures for training laboratory person</w:t>
      </w:r>
      <w:r w:rsidR="00204529">
        <w:t>n</w:t>
      </w:r>
      <w:r w:rsidR="00F54E0F">
        <w:t>el to perform the assay.</w:t>
      </w:r>
    </w:p>
    <w:p w14:paraId="18211B75" w14:textId="77777777" w:rsidR="009624E2" w:rsidRPr="00E60699" w:rsidRDefault="009624E2" w:rsidP="00E60699">
      <w:pPr>
        <w:ind w:left="426"/>
      </w:pPr>
    </w:p>
    <w:p w14:paraId="408F640B" w14:textId="77777777" w:rsidR="00EA0E25" w:rsidRDefault="00EA0E25" w:rsidP="00530204">
      <w:pPr>
        <w:pStyle w:val="Heading2"/>
      </w:pPr>
      <w:r w:rsidRPr="00154B00">
        <w:t xml:space="preserve">If applicable, </w:t>
      </w:r>
      <w:proofErr w:type="gramStart"/>
      <w:r w:rsidRPr="00154B00">
        <w:t>advise</w:t>
      </w:r>
      <w:proofErr w:type="gramEnd"/>
      <w:r w:rsidRPr="00154B00">
        <w:t xml:space="preserv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57FDC539" w14:textId="653BAB8E" w:rsidR="00B1370D" w:rsidRDefault="00B1370D" w:rsidP="00B1370D">
      <w:pPr>
        <w:ind w:left="426"/>
      </w:pPr>
      <w:r>
        <w:t>Gene profiling should be performed within an appropriately accredited pathology laboratory, meeting the standards required for</w:t>
      </w:r>
      <w:r w:rsidR="000160AA">
        <w:t xml:space="preserve"> the National Association of Testing Authorities, Australia (NATA). </w:t>
      </w:r>
      <w:r>
        <w:t xml:space="preserve"> </w:t>
      </w:r>
      <w:r w:rsidR="000160AA">
        <w:t>In Australia, the technical competency of medical testing (of which genetic testing is a component) is ensured by the accreditatio</w:t>
      </w:r>
      <w:r w:rsidR="00204529">
        <w:t xml:space="preserve">n scheme operated by the NATA. </w:t>
      </w:r>
      <w:proofErr w:type="spellStart"/>
      <w:r w:rsidR="00523CAA">
        <w:t>NanoString</w:t>
      </w:r>
      <w:proofErr w:type="spellEnd"/>
      <w:r w:rsidR="00523CAA">
        <w:t xml:space="preserve"> </w:t>
      </w:r>
      <w:r w:rsidR="00204529">
        <w:t>Technologies</w:t>
      </w:r>
      <w:r w:rsidR="00477651">
        <w:t>,</w:t>
      </w:r>
      <w:r w:rsidR="00204529">
        <w:t xml:space="preserve"> Inc. </w:t>
      </w:r>
      <w:r w:rsidR="000160AA">
        <w:t xml:space="preserve">has validated procedures for training laboratory personnel to perform the </w:t>
      </w:r>
      <w:proofErr w:type="spellStart"/>
      <w:r w:rsidR="000160AA">
        <w:t>Prosigna</w:t>
      </w:r>
      <w:proofErr w:type="spellEnd"/>
      <w:r w:rsidR="00204529">
        <w:t>®</w:t>
      </w:r>
      <w:r w:rsidR="000160AA">
        <w:t xml:space="preserve"> assay using the </w:t>
      </w:r>
      <w:proofErr w:type="spellStart"/>
      <w:r w:rsidR="000160AA">
        <w:t>nCounter</w:t>
      </w:r>
      <w:proofErr w:type="spellEnd"/>
      <w:r w:rsidR="00204529">
        <w:t xml:space="preserve">® </w:t>
      </w:r>
      <w:r w:rsidR="000160AA">
        <w:t>Analysis System which will also be required to meet NATA standards.</w:t>
      </w:r>
    </w:p>
    <w:p w14:paraId="492727AD" w14:textId="77777777" w:rsidR="009624E2" w:rsidRPr="00B1370D" w:rsidRDefault="009624E2" w:rsidP="00B1370D">
      <w:pPr>
        <w:ind w:left="426"/>
      </w:pPr>
    </w:p>
    <w:p w14:paraId="0C8C3539" w14:textId="6962D91C" w:rsidR="005F3F07" w:rsidRDefault="003248BF" w:rsidP="00530204">
      <w:pPr>
        <w:pStyle w:val="Heading2"/>
      </w:pPr>
      <w:r w:rsidDel="003248BF">
        <w:t xml:space="preserve"> </w:t>
      </w:r>
      <w:r w:rsidR="005C3AE7">
        <w:t>(</w:t>
      </w:r>
      <w:proofErr w:type="gramStart"/>
      <w:r w:rsidR="005C3AE7">
        <w:t>a</w:t>
      </w:r>
      <w:proofErr w:type="gramEnd"/>
      <w:r w:rsidR="005C3AE7">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79E2773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A615A">
        <w:rPr>
          <w:szCs w:val="20"/>
        </w:rPr>
      </w:r>
      <w:r w:rsidR="00BA615A">
        <w:rPr>
          <w:szCs w:val="20"/>
        </w:rPr>
        <w:fldChar w:fldCharType="separate"/>
      </w:r>
      <w:r w:rsidRPr="000A5B32">
        <w:rPr>
          <w:szCs w:val="20"/>
        </w:rPr>
        <w:fldChar w:fldCharType="end"/>
      </w:r>
      <w:r>
        <w:rPr>
          <w:szCs w:val="20"/>
        </w:rPr>
        <w:t xml:space="preserve"> </w:t>
      </w:r>
      <w:r>
        <w:t>Inpatient private hospital</w:t>
      </w:r>
    </w:p>
    <w:p w14:paraId="00054D75"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A615A">
        <w:rPr>
          <w:szCs w:val="20"/>
        </w:rPr>
      </w:r>
      <w:r w:rsidR="00BA615A">
        <w:rPr>
          <w:szCs w:val="20"/>
        </w:rPr>
        <w:fldChar w:fldCharType="separate"/>
      </w:r>
      <w:r w:rsidRPr="000A5B32">
        <w:rPr>
          <w:szCs w:val="20"/>
        </w:rPr>
        <w:fldChar w:fldCharType="end"/>
      </w:r>
      <w:r>
        <w:rPr>
          <w:szCs w:val="20"/>
        </w:rPr>
        <w:t xml:space="preserve"> </w:t>
      </w:r>
      <w:r>
        <w:t>Inpatient public hospital</w:t>
      </w:r>
    </w:p>
    <w:p w14:paraId="6679435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A615A">
        <w:rPr>
          <w:szCs w:val="20"/>
        </w:rPr>
      </w:r>
      <w:r w:rsidR="00BA615A">
        <w:rPr>
          <w:szCs w:val="20"/>
        </w:rPr>
        <w:fldChar w:fldCharType="separate"/>
      </w:r>
      <w:r w:rsidRPr="000A5B32">
        <w:rPr>
          <w:szCs w:val="20"/>
        </w:rPr>
        <w:fldChar w:fldCharType="end"/>
      </w:r>
      <w:r>
        <w:rPr>
          <w:szCs w:val="20"/>
        </w:rPr>
        <w:t xml:space="preserve"> </w:t>
      </w:r>
      <w:r>
        <w:t>Outpatient clinic</w:t>
      </w:r>
    </w:p>
    <w:p w14:paraId="551A3A06"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A615A">
        <w:rPr>
          <w:szCs w:val="20"/>
        </w:rPr>
      </w:r>
      <w:r w:rsidR="00BA615A">
        <w:rPr>
          <w:szCs w:val="20"/>
        </w:rPr>
        <w:fldChar w:fldCharType="separate"/>
      </w:r>
      <w:r w:rsidRPr="000A5B32">
        <w:rPr>
          <w:szCs w:val="20"/>
        </w:rPr>
        <w:fldChar w:fldCharType="end"/>
      </w:r>
      <w:r>
        <w:rPr>
          <w:szCs w:val="20"/>
        </w:rPr>
        <w:t xml:space="preserve"> </w:t>
      </w:r>
      <w:r>
        <w:t>Emergency Department</w:t>
      </w:r>
    </w:p>
    <w:p w14:paraId="6A30EDD1"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A615A">
        <w:rPr>
          <w:szCs w:val="20"/>
        </w:rPr>
      </w:r>
      <w:r w:rsidR="00BA615A">
        <w:rPr>
          <w:szCs w:val="20"/>
        </w:rPr>
        <w:fldChar w:fldCharType="separate"/>
      </w:r>
      <w:r w:rsidRPr="000A5B32">
        <w:rPr>
          <w:szCs w:val="20"/>
        </w:rPr>
        <w:fldChar w:fldCharType="end"/>
      </w:r>
      <w:r>
        <w:rPr>
          <w:szCs w:val="20"/>
        </w:rPr>
        <w:t xml:space="preserve"> </w:t>
      </w:r>
      <w:r>
        <w:t>Consulting rooms</w:t>
      </w:r>
    </w:p>
    <w:p w14:paraId="72204B81"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A615A">
        <w:rPr>
          <w:szCs w:val="20"/>
        </w:rPr>
      </w:r>
      <w:r w:rsidR="00BA615A">
        <w:rPr>
          <w:szCs w:val="20"/>
        </w:rPr>
        <w:fldChar w:fldCharType="separate"/>
      </w:r>
      <w:r w:rsidRPr="000A5B32">
        <w:rPr>
          <w:szCs w:val="20"/>
        </w:rPr>
        <w:fldChar w:fldCharType="end"/>
      </w:r>
      <w:r>
        <w:rPr>
          <w:szCs w:val="20"/>
        </w:rPr>
        <w:t xml:space="preserve"> </w:t>
      </w:r>
      <w:r>
        <w:t>Day surgery centre</w:t>
      </w:r>
    </w:p>
    <w:p w14:paraId="5BFD993C"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A615A">
        <w:rPr>
          <w:szCs w:val="20"/>
        </w:rPr>
      </w:r>
      <w:r w:rsidR="00BA615A">
        <w:rPr>
          <w:szCs w:val="20"/>
        </w:rPr>
        <w:fldChar w:fldCharType="separate"/>
      </w:r>
      <w:r w:rsidRPr="000A5B32">
        <w:rPr>
          <w:szCs w:val="20"/>
        </w:rPr>
        <w:fldChar w:fldCharType="end"/>
      </w:r>
      <w:r>
        <w:rPr>
          <w:szCs w:val="20"/>
        </w:rPr>
        <w:t xml:space="preserve"> </w:t>
      </w:r>
      <w:r>
        <w:t>Residential aged care facility</w:t>
      </w:r>
    </w:p>
    <w:p w14:paraId="2AEC78E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A615A">
        <w:rPr>
          <w:szCs w:val="20"/>
        </w:rPr>
      </w:r>
      <w:r w:rsidR="00BA615A">
        <w:rPr>
          <w:szCs w:val="20"/>
        </w:rPr>
        <w:fldChar w:fldCharType="separate"/>
      </w:r>
      <w:r w:rsidRPr="000A5B32">
        <w:rPr>
          <w:szCs w:val="20"/>
        </w:rPr>
        <w:fldChar w:fldCharType="end"/>
      </w:r>
      <w:r>
        <w:rPr>
          <w:szCs w:val="20"/>
        </w:rPr>
        <w:t xml:space="preserve"> </w:t>
      </w:r>
      <w:r>
        <w:t>Patient’s home</w:t>
      </w:r>
    </w:p>
    <w:p w14:paraId="4CE7E5AD" w14:textId="77777777" w:rsidR="000A478F" w:rsidRDefault="00B1370D"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BA615A">
        <w:rPr>
          <w:szCs w:val="20"/>
        </w:rPr>
      </w:r>
      <w:r w:rsidR="00BA615A">
        <w:rPr>
          <w:szCs w:val="20"/>
        </w:rPr>
        <w:fldChar w:fldCharType="separate"/>
      </w:r>
      <w:r>
        <w:rPr>
          <w:szCs w:val="20"/>
        </w:rPr>
        <w:fldChar w:fldCharType="end"/>
      </w:r>
      <w:r w:rsidR="000A478F">
        <w:rPr>
          <w:szCs w:val="20"/>
        </w:rPr>
        <w:t xml:space="preserve"> </w:t>
      </w:r>
      <w:r w:rsidR="000A478F">
        <w:t>Laboratory</w:t>
      </w:r>
    </w:p>
    <w:p w14:paraId="776305EC"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A615A">
        <w:rPr>
          <w:szCs w:val="20"/>
        </w:rPr>
      </w:r>
      <w:r w:rsidR="00BA615A">
        <w:rPr>
          <w:szCs w:val="20"/>
        </w:rPr>
        <w:fldChar w:fldCharType="separate"/>
      </w:r>
      <w:r w:rsidRPr="000A5B32">
        <w:rPr>
          <w:szCs w:val="20"/>
        </w:rPr>
        <w:fldChar w:fldCharType="end"/>
      </w:r>
      <w:r>
        <w:rPr>
          <w:szCs w:val="20"/>
        </w:rPr>
        <w:t xml:space="preserve"> </w:t>
      </w:r>
      <w:r>
        <w:t>Other – please specify below</w:t>
      </w:r>
    </w:p>
    <w:p w14:paraId="713A5870" w14:textId="77777777" w:rsidR="00054BF4" w:rsidRDefault="00054BF4">
      <w:pPr>
        <w:spacing w:before="0" w:after="200" w:line="276" w:lineRule="auto"/>
        <w:rPr>
          <w:b/>
          <w:szCs w:val="20"/>
        </w:rPr>
      </w:pPr>
      <w:r>
        <w:rPr>
          <w:b/>
          <w:szCs w:val="20"/>
        </w:rPr>
        <w:br w:type="page"/>
      </w:r>
    </w:p>
    <w:p w14:paraId="37F88D4A" w14:textId="7A24CF87" w:rsidR="003433D1" w:rsidRPr="005C3AE7" w:rsidRDefault="00E048ED" w:rsidP="005C3AE7">
      <w:pPr>
        <w:pStyle w:val="ListParagraph"/>
        <w:numPr>
          <w:ilvl w:val="0"/>
          <w:numId w:val="29"/>
        </w:numPr>
        <w:rPr>
          <w:b/>
          <w:szCs w:val="20"/>
        </w:rPr>
      </w:pPr>
      <w:r w:rsidRPr="005C3AE7">
        <w:rPr>
          <w:b/>
          <w:szCs w:val="20"/>
        </w:rPr>
        <w:lastRenderedPageBreak/>
        <w:t>Where the proposed medical service is provided in more than one setting, please describ</w:t>
      </w:r>
      <w:r w:rsidR="00AE1188" w:rsidRPr="005C3AE7">
        <w:rPr>
          <w:b/>
          <w:szCs w:val="20"/>
        </w:rPr>
        <w:t>e the rationale related to each:</w:t>
      </w:r>
    </w:p>
    <w:p w14:paraId="55511890" w14:textId="1101EC69" w:rsidR="009C4D63" w:rsidRDefault="009C4D63" w:rsidP="0073597B">
      <w:pPr>
        <w:ind w:left="426"/>
      </w:pPr>
      <w:r>
        <w:t xml:space="preserve">Any laboratory that is NATA accredited and has </w:t>
      </w:r>
      <w:r w:rsidR="00063CD5">
        <w:t xml:space="preserve">the </w:t>
      </w:r>
      <w:proofErr w:type="spellStart"/>
      <w:r w:rsidR="005C4AF7">
        <w:t>Prosigna</w:t>
      </w:r>
      <w:proofErr w:type="spellEnd"/>
      <w:r w:rsidR="005C4AF7">
        <w:t xml:space="preserve"> enabled </w:t>
      </w:r>
      <w:proofErr w:type="spellStart"/>
      <w:r w:rsidR="00063CD5">
        <w:t>nCounter</w:t>
      </w:r>
      <w:proofErr w:type="spellEnd"/>
      <w:r w:rsidR="00204529">
        <w:t>®</w:t>
      </w:r>
      <w:r w:rsidR="00063CD5">
        <w:t xml:space="preserve"> Analysis System can perform the assay</w:t>
      </w:r>
      <w:r w:rsidR="00713379">
        <w:t xml:space="preserve"> using the </w:t>
      </w:r>
      <w:proofErr w:type="spellStart"/>
      <w:r w:rsidR="00713379">
        <w:t>Prosigna</w:t>
      </w:r>
      <w:proofErr w:type="spellEnd"/>
      <w:r w:rsidR="00204529">
        <w:t>®</w:t>
      </w:r>
      <w:r w:rsidR="00713379">
        <w:t xml:space="preserve"> kit reagents</w:t>
      </w:r>
      <w:r w:rsidR="00063CD5">
        <w:t>. This may occur in the private pathology sector or public hospital pathology setting.</w:t>
      </w:r>
    </w:p>
    <w:p w14:paraId="504656AF" w14:textId="5BA45E2E" w:rsidR="005C4AF7" w:rsidRPr="005C4AF7" w:rsidRDefault="005C4AF7" w:rsidP="005C4AF7">
      <w:pPr>
        <w:ind w:left="426"/>
      </w:pPr>
      <w:r w:rsidRPr="005C4AF7">
        <w:t xml:space="preserve">Currently Sonic Healthcare is the only pathology laboratory with the </w:t>
      </w:r>
      <w:proofErr w:type="spellStart"/>
      <w:r w:rsidRPr="005C4AF7">
        <w:t>nCounter</w:t>
      </w:r>
      <w:proofErr w:type="spellEnd"/>
      <w:r w:rsidR="00EF6A9B">
        <w:t>®</w:t>
      </w:r>
      <w:r w:rsidRPr="005C4AF7">
        <w:t xml:space="preserve"> system enabled to run the </w:t>
      </w:r>
      <w:proofErr w:type="spellStart"/>
      <w:r w:rsidRPr="005C4AF7">
        <w:t>Prosigna</w:t>
      </w:r>
      <w:proofErr w:type="spellEnd"/>
      <w:r w:rsidRPr="005C4AF7">
        <w:t xml:space="preserve"> test. There are a number of other </w:t>
      </w:r>
      <w:proofErr w:type="spellStart"/>
      <w:r w:rsidRPr="005C4AF7">
        <w:t>nCounter</w:t>
      </w:r>
      <w:proofErr w:type="spellEnd"/>
      <w:r w:rsidRPr="005C4AF7">
        <w:t xml:space="preserve"> systems throughout Australia but within research settings.</w:t>
      </w:r>
    </w:p>
    <w:p w14:paraId="7E29FF52" w14:textId="77777777" w:rsidR="009624E2" w:rsidRDefault="009624E2" w:rsidP="0073597B">
      <w:pPr>
        <w:ind w:left="426"/>
      </w:pPr>
    </w:p>
    <w:p w14:paraId="57662B2A" w14:textId="77777777" w:rsidR="003E30FB" w:rsidRDefault="003E30FB" w:rsidP="00530204">
      <w:pPr>
        <w:pStyle w:val="Heading2"/>
      </w:pPr>
      <w:r>
        <w:t xml:space="preserve">Is the </w:t>
      </w:r>
      <w:r w:rsidRPr="001B29A1">
        <w:t>proposed</w:t>
      </w:r>
      <w:r>
        <w:t xml:space="preserve"> medical service intended to be entirely rendered in Australia?</w:t>
      </w:r>
    </w:p>
    <w:p w14:paraId="0592D5C9" w14:textId="77777777" w:rsidR="000A478F" w:rsidRDefault="00063CD5"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A615A">
        <w:rPr>
          <w:szCs w:val="20"/>
        </w:rPr>
      </w:r>
      <w:r w:rsidR="00BA615A">
        <w:rPr>
          <w:szCs w:val="20"/>
        </w:rPr>
        <w:fldChar w:fldCharType="separate"/>
      </w:r>
      <w:r>
        <w:rPr>
          <w:szCs w:val="20"/>
        </w:rPr>
        <w:fldChar w:fldCharType="end"/>
      </w:r>
      <w:r w:rsidR="000A478F">
        <w:rPr>
          <w:szCs w:val="20"/>
        </w:rPr>
        <w:t xml:space="preserve"> Yes</w:t>
      </w:r>
    </w:p>
    <w:p w14:paraId="6D20263B"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BA615A">
        <w:rPr>
          <w:szCs w:val="20"/>
        </w:rPr>
      </w:r>
      <w:r w:rsidR="00BA615A">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72338803" w14:textId="2882826A" w:rsidR="000A478F" w:rsidRDefault="000A478F" w:rsidP="00881F93">
      <w:pPr>
        <w:rPr>
          <w:b/>
          <w:i/>
          <w:szCs w:val="20"/>
          <w:u w:val="single"/>
        </w:rPr>
      </w:pPr>
    </w:p>
    <w:p w14:paraId="3DF5E110" w14:textId="77777777" w:rsidR="00E60529" w:rsidRPr="00881F93" w:rsidRDefault="005C3AE7" w:rsidP="00935422">
      <w:pPr>
        <w:pStyle w:val="Caption"/>
        <w:spacing w:after="0"/>
      </w:pPr>
      <w:r>
        <w:t xml:space="preserve">PART 6c – </w:t>
      </w:r>
      <w:r w:rsidR="00E60529" w:rsidRPr="00881F93">
        <w:t>INFORMATION ABOUT THE COMPARATOR</w:t>
      </w:r>
      <w:r w:rsidR="00A83EC6" w:rsidRPr="00881F93">
        <w:t>(S)</w:t>
      </w:r>
    </w:p>
    <w:p w14:paraId="1CC7F3F6" w14:textId="77777777" w:rsidR="00E60529"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3DE6F358" w14:textId="12BED3E1" w:rsidR="003C3B78" w:rsidRPr="003C3B78" w:rsidRDefault="003C3B78" w:rsidP="003C3B78">
      <w:pPr>
        <w:ind w:left="426"/>
      </w:pPr>
      <w:bookmarkStart w:id="5" w:name="_GoBack"/>
      <w:bookmarkEnd w:id="5"/>
      <w:r>
        <w:t xml:space="preserve">The comparator for the assessment of </w:t>
      </w:r>
      <w:proofErr w:type="spellStart"/>
      <w:r>
        <w:t>Prosigna</w:t>
      </w:r>
      <w:proofErr w:type="spellEnd"/>
      <w:r w:rsidR="00422ABC">
        <w:t>®</w:t>
      </w:r>
      <w:r>
        <w:t xml:space="preserve"> in women with HER2 –</w:t>
      </w:r>
      <w:proofErr w:type="spellStart"/>
      <w:r>
        <w:t>ve</w:t>
      </w:r>
      <w:proofErr w:type="spellEnd"/>
      <w:r>
        <w:t>, ER</w:t>
      </w:r>
      <w:r w:rsidR="00713379">
        <w:t xml:space="preserve"> </w:t>
      </w:r>
      <w:r w:rsidR="00BA74DE">
        <w:t>and/</w:t>
      </w:r>
      <w:r>
        <w:t>or PR +</w:t>
      </w:r>
      <w:proofErr w:type="spellStart"/>
      <w:r>
        <w:t>ve</w:t>
      </w:r>
      <w:proofErr w:type="spellEnd"/>
      <w:r>
        <w:t xml:space="preserve"> primary </w:t>
      </w:r>
      <w:r w:rsidR="00422ABC">
        <w:t>breast cancer</w:t>
      </w:r>
      <w:r>
        <w:t xml:space="preserve"> </w:t>
      </w:r>
      <w:r w:rsidR="00C53EEB">
        <w:t xml:space="preserve">would </w:t>
      </w:r>
      <w:r>
        <w:t>be standard care.</w:t>
      </w:r>
      <w:r w:rsidR="000E2B74">
        <w:t xml:space="preserve"> </w:t>
      </w:r>
    </w:p>
    <w:p w14:paraId="60123BAD" w14:textId="7BE78C05" w:rsidR="003C3B78" w:rsidRDefault="003C3B78" w:rsidP="001B29A1">
      <w:pPr>
        <w:ind w:left="426"/>
      </w:pPr>
      <w:r>
        <w:t xml:space="preserve">Current standard care of primary breast cancer in Australia is largely determined by </w:t>
      </w:r>
      <w:r w:rsidR="000E2B74">
        <w:t xml:space="preserve">immunohistochemistry (IHC) and </w:t>
      </w:r>
      <w:r w:rsidR="000E2B74" w:rsidRPr="00054BF4">
        <w:rPr>
          <w:i/>
        </w:rPr>
        <w:t>in situ</w:t>
      </w:r>
      <w:r w:rsidR="000E2B74">
        <w:t xml:space="preserve"> h</w:t>
      </w:r>
      <w:r w:rsidR="00054BF4">
        <w:t>y</w:t>
      </w:r>
      <w:r w:rsidR="000E2B74">
        <w:t>bridisation (</w:t>
      </w:r>
      <w:r>
        <w:t>ISH</w:t>
      </w:r>
      <w:r w:rsidR="000E2B74">
        <w:t>)</w:t>
      </w:r>
      <w:r>
        <w:t xml:space="preserve"> analysis of tumour type, i.e. hormone receptor (ER/PR) positive or negative, and HER2 positive or negative. </w:t>
      </w:r>
      <w:r w:rsidRPr="003C3B78">
        <w:t xml:space="preserve">In Australia HER2 status is determined by ISH rather than IHC, as it is a requirement for access to </w:t>
      </w:r>
      <w:proofErr w:type="spellStart"/>
      <w:r w:rsidRPr="003C3B78">
        <w:t>trastuzumab</w:t>
      </w:r>
      <w:proofErr w:type="spellEnd"/>
      <w:r w:rsidRPr="003C3B78">
        <w:t xml:space="preserve"> under the Pharmaceutical Benefits Scheme (PBS) (MBS item 73332), although the result may be confirmed by IHC. MBS items 72848 and 73061 provide for the IHC analysis of oestrogen, progesterone and HER2 receptor status. However treatment benefit cannot be totally predicted by these subtypes. Other standard markers </w:t>
      </w:r>
      <w:r>
        <w:t xml:space="preserve">and factors </w:t>
      </w:r>
      <w:r w:rsidRPr="003C3B78">
        <w:t xml:space="preserve">used in the </w:t>
      </w:r>
      <w:r>
        <w:t xml:space="preserve">clinical </w:t>
      </w:r>
      <w:r w:rsidRPr="003C3B78">
        <w:t xml:space="preserve">risk assessment process are the molecular marker Ki67, </w:t>
      </w:r>
      <w:r w:rsidR="002923EC">
        <w:t>IHC4</w:t>
      </w:r>
      <w:r w:rsidR="000E2B74">
        <w:t xml:space="preserve"> (an IHC test and algorithm for</w:t>
      </w:r>
      <w:r w:rsidR="000E2B74" w:rsidRPr="000E2B74">
        <w:t xml:space="preserve"> </w:t>
      </w:r>
      <w:r w:rsidR="000E2B74">
        <w:t>HER2, ER, PR and Ki67)</w:t>
      </w:r>
      <w:r w:rsidR="002923EC">
        <w:t xml:space="preserve">, intrinsic subtype, </w:t>
      </w:r>
      <w:r w:rsidRPr="003C3B78">
        <w:t>tumour grade</w:t>
      </w:r>
      <w:r>
        <w:t>,</w:t>
      </w:r>
      <w:r w:rsidRPr="003C3B78">
        <w:t xml:space="preserve"> </w:t>
      </w:r>
      <w:r w:rsidRPr="00F224B2">
        <w:t>age, menopausal status, lymph node involvement,</w:t>
      </w:r>
      <w:r>
        <w:t xml:space="preserve"> tumour size, and comorbidities.</w:t>
      </w:r>
    </w:p>
    <w:p w14:paraId="36884B58" w14:textId="380E6C70" w:rsidR="003C3B78" w:rsidRDefault="002923EC" w:rsidP="001B29A1">
      <w:pPr>
        <w:ind w:left="426"/>
      </w:pPr>
      <w:r>
        <w:t>Clinicians</w:t>
      </w:r>
      <w:r w:rsidR="003C3B78">
        <w:t xml:space="preserve"> may </w:t>
      </w:r>
      <w:r w:rsidR="00C71C5D">
        <w:t xml:space="preserve">additionally </w:t>
      </w:r>
      <w:r w:rsidR="003C3B78">
        <w:t xml:space="preserve">use </w:t>
      </w:r>
      <w:r>
        <w:t xml:space="preserve">predictive algorithmic </w:t>
      </w:r>
      <w:r w:rsidR="003C3B78">
        <w:t xml:space="preserve">tools </w:t>
      </w:r>
      <w:r>
        <w:t xml:space="preserve">such as Adjuvant! Online </w:t>
      </w:r>
      <w:r w:rsidR="00B739B5">
        <w:t>or</w:t>
      </w:r>
      <w:r w:rsidR="00C71C5D">
        <w:t xml:space="preserve"> </w:t>
      </w:r>
      <w:r>
        <w:t>PREDICT</w:t>
      </w:r>
      <w:r w:rsidR="00C71C5D">
        <w:t xml:space="preserve"> and recent clinical guidelines</w:t>
      </w:r>
      <w:r w:rsidR="00422ABC">
        <w:t xml:space="preserve"> to determine the risk of breast cancer recurrence in their patients</w:t>
      </w:r>
      <w:r w:rsidR="00C71C5D">
        <w:t>. R</w:t>
      </w:r>
      <w:r w:rsidR="003C3B78">
        <w:t>ecently published clinical guidelines make vari</w:t>
      </w:r>
      <w:r w:rsidR="00C71C5D">
        <w:t>ed recommendations regarding the use of gene expression profiling</w:t>
      </w:r>
      <w:r w:rsidR="009C4085">
        <w:t xml:space="preserve"> in addition to standard clinical factors </w:t>
      </w:r>
      <w:r w:rsidR="00422ABC">
        <w:t xml:space="preserve">in order </w:t>
      </w:r>
      <w:r w:rsidR="00911E7F">
        <w:t xml:space="preserve">to direct treatment choices in </w:t>
      </w:r>
      <w:r w:rsidR="00422ABC">
        <w:t>breast cancer</w:t>
      </w:r>
      <w:r w:rsidR="00911E7F">
        <w:t xml:space="preserve"> patients</w:t>
      </w:r>
      <w:r w:rsidR="00237D4E">
        <w:t xml:space="preserve"> </w:t>
      </w:r>
      <w:r w:rsidR="00237D4E">
        <w:fldChar w:fldCharType="begin">
          <w:fldData xml:space="preserve">PEVuZE5vdGU+PENpdGU+PEF1dGhvcj5Db2F0ZXM8L0F1dGhvcj48WWVhcj4yMDE1PC9ZZWFyPjxS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</w:fldData>
        </w:fldChar>
      </w:r>
      <w:r w:rsidR="00237D4E">
        <w:instrText xml:space="preserve"> ADDIN EN.CITE </w:instrText>
      </w:r>
      <w:r w:rsidR="00237D4E">
        <w:fldChar w:fldCharType="begin">
          <w:fldData xml:space="preserve">PEVuZE5vdGU+PENpdGU+PEF1dGhvcj5Db2F0ZXM8L0F1dGhvcj48WWVhcj4yMDE1PC9ZZWFyPjxS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</w:fldData>
        </w:fldChar>
      </w:r>
      <w:r w:rsidR="00237D4E">
        <w:instrText xml:space="preserve"> ADDIN EN.CITE.DATA </w:instrText>
      </w:r>
      <w:r w:rsidR="00237D4E">
        <w:fldChar w:fldCharType="end"/>
      </w:r>
      <w:r w:rsidR="00237D4E">
        <w:fldChar w:fldCharType="separate"/>
      </w:r>
      <w:r w:rsidR="00237D4E">
        <w:rPr>
          <w:noProof/>
        </w:rPr>
        <w:t>(</w:t>
      </w:r>
      <w:hyperlink w:anchor="_ENREF_5" w:tooltip="Coates, 2015 #77" w:history="1">
        <w:r w:rsidR="00477651">
          <w:rPr>
            <w:noProof/>
          </w:rPr>
          <w:t>Coates et al. 2015</w:t>
        </w:r>
      </w:hyperlink>
      <w:r w:rsidR="00237D4E">
        <w:rPr>
          <w:noProof/>
        </w:rPr>
        <w:t xml:space="preserve">; </w:t>
      </w:r>
      <w:hyperlink w:anchor="_ENREF_6" w:tooltip="Harris, 2016 #85" w:history="1">
        <w:r w:rsidR="00477651">
          <w:rPr>
            <w:noProof/>
          </w:rPr>
          <w:t>Harris et al. 2016</w:t>
        </w:r>
      </w:hyperlink>
      <w:r w:rsidR="00237D4E">
        <w:rPr>
          <w:noProof/>
        </w:rPr>
        <w:t xml:space="preserve">; </w:t>
      </w:r>
      <w:hyperlink w:anchor="_ENREF_8" w:tooltip="Senkus, 2015 #76" w:history="1">
        <w:r w:rsidR="00477651">
          <w:rPr>
            <w:noProof/>
          </w:rPr>
          <w:t>Senkus et al. 2015</w:t>
        </w:r>
      </w:hyperlink>
      <w:r w:rsidR="00237D4E">
        <w:rPr>
          <w:noProof/>
        </w:rPr>
        <w:t xml:space="preserve">; </w:t>
      </w:r>
      <w:hyperlink w:anchor="_ENREF_11" w:tooltip="Wockel, 2008 #84" w:history="1">
        <w:r w:rsidR="00477651">
          <w:rPr>
            <w:noProof/>
          </w:rPr>
          <w:t>Wockel &amp; Kreienberg 2008</w:t>
        </w:r>
      </w:hyperlink>
      <w:r w:rsidR="00237D4E">
        <w:rPr>
          <w:noProof/>
        </w:rPr>
        <w:t>)</w:t>
      </w:r>
      <w:r w:rsidR="00237D4E">
        <w:fldChar w:fldCharType="end"/>
      </w:r>
      <w:r w:rsidR="00911E7F">
        <w:t>.</w:t>
      </w:r>
      <w:r w:rsidR="009C4085">
        <w:t xml:space="preserve"> For example</w:t>
      </w:r>
      <w:r w:rsidR="00422ABC">
        <w:t>,</w:t>
      </w:r>
      <w:r w:rsidR="009C4085">
        <w:t xml:space="preserve"> the </w:t>
      </w:r>
      <w:r w:rsidR="009C4085" w:rsidRPr="00443AE5">
        <w:t xml:space="preserve">European Society for Medical Oncology </w:t>
      </w:r>
      <w:r w:rsidR="009C4085">
        <w:t>(ESMO) guideline lists four</w:t>
      </w:r>
      <w:r w:rsidR="00C92908">
        <w:t xml:space="preserve"> gene expressions profiles</w:t>
      </w:r>
      <w:r w:rsidR="009C4085">
        <w:t xml:space="preserve"> </w:t>
      </w:r>
      <w:r w:rsidR="00C92908">
        <w:t>(</w:t>
      </w:r>
      <w:r w:rsidR="009C4085">
        <w:t>GEPs</w:t>
      </w:r>
      <w:r w:rsidR="00C92908">
        <w:t>)</w:t>
      </w:r>
      <w:r w:rsidR="009C4085">
        <w:t xml:space="preserve"> which may be used</w:t>
      </w:r>
      <w:r w:rsidR="00422ABC">
        <w:t>,</w:t>
      </w:r>
      <w:r w:rsidR="009C4085">
        <w:t xml:space="preserve"> at the clinicians’ discretion, in cases </w:t>
      </w:r>
      <w:r w:rsidR="00422ABC">
        <w:t xml:space="preserve">where there is </w:t>
      </w:r>
      <w:r w:rsidR="009C4085">
        <w:t xml:space="preserve">uncertainty </w:t>
      </w:r>
      <w:r w:rsidR="00422ABC">
        <w:t>concerning the</w:t>
      </w:r>
      <w:r w:rsidR="009C4085">
        <w:t xml:space="preserve"> indications </w:t>
      </w:r>
      <w:r w:rsidR="00422ABC">
        <w:t>for</w:t>
      </w:r>
      <w:r w:rsidR="009C4085">
        <w:t xml:space="preserve"> adjuvant treatment with chemotherapy. </w:t>
      </w:r>
      <w:r w:rsidR="00B739B5">
        <w:t>R</w:t>
      </w:r>
      <w:r w:rsidR="009C4085">
        <w:t xml:space="preserve">ecommendations </w:t>
      </w:r>
      <w:r w:rsidR="00422ABC">
        <w:t>were based on</w:t>
      </w:r>
      <w:r w:rsidR="009C4085">
        <w:t xml:space="preserve"> lower level evidence, but with </w:t>
      </w:r>
      <w:r w:rsidR="00422ABC">
        <w:t xml:space="preserve">a </w:t>
      </w:r>
      <w:r w:rsidR="009C4085">
        <w:t xml:space="preserve">strong </w:t>
      </w:r>
      <w:r w:rsidR="00422ABC">
        <w:t xml:space="preserve">expert </w:t>
      </w:r>
      <w:r w:rsidR="009C4085">
        <w:t xml:space="preserve">consensus </w:t>
      </w:r>
      <w:r w:rsidR="00422ABC">
        <w:t>concerning the likely</w:t>
      </w:r>
      <w:r w:rsidR="009C4085">
        <w:t xml:space="preserve"> benefit</w:t>
      </w:r>
      <w:r w:rsidR="00237D4E">
        <w:t xml:space="preserve"> </w:t>
      </w:r>
      <w:r w:rsidR="00237D4E">
        <w:fldChar w:fldCharType="begin"/>
      </w:r>
      <w:r w:rsidR="00237D4E">
        <w:instrText xml:space="preserve"> ADDIN EN.CITE &lt;EndNote&gt;&lt;Cite&gt;&lt;Author&gt;Senkus&lt;/Author&gt;&lt;Year&gt;2015&lt;/Year&gt;&lt;RecNum&gt;76&lt;/RecNum&gt;&lt;IDText&gt;v8-v30&lt;/IDText&gt;&lt;DisplayText&gt;(Senkus et al. 2015)&lt;/DisplayText&gt;&lt;record&gt;&lt;rec-number&gt;76&lt;/rec-number&gt;&lt;foreign-keys&gt;&lt;key app="EN" db-id="d0zpx20a6fxrw3etdtj5tetpa2adf9stz5fr" timestamp="1477287646"&gt;76&lt;/key&gt;&lt;/foreign-keys&gt;&lt;ref-type name="Journal Article"&gt;17&lt;/ref-type&gt;&lt;contributors&gt;&lt;authors&gt;&lt;author&gt;Senkus, E.&lt;/author&gt;&lt;author&gt;Kyriakides, S.&lt;/author&gt;&lt;author&gt;Ohno, S.&lt;/author&gt;&lt;author&gt;Penault-Llorca, F.&lt;/author&gt;&lt;author&gt;Poortmans, P.&lt;/author&gt;&lt;author&gt;Rutgers, E.&lt;/author&gt;&lt;author&gt;Zackrisson, S.&lt;/author&gt;&lt;author&gt;Cardoso, F.&lt;/author&gt;&lt;/authors&gt;&lt;/contributors&gt;&lt;titles&gt;&lt;title&gt;Primary breast cancer: ESMO Clinical Practice Guidelines for diagnosis, treatment and follow-up&lt;/title&gt;&lt;secondary-title&gt;Annals of Oncology&lt;/secondary-title&gt;&lt;/titles&gt;&lt;periodical&gt;&lt;full-title&gt;Annals of Oncology&lt;/full-title&gt;&lt;/periodical&gt;&lt;pages&gt;v8-v30&lt;/pages&gt;&lt;volume&gt;26&lt;/volume&gt;&lt;number&gt;suppl 5&lt;/number&gt;&lt;dates&gt;&lt;year&gt;2015&lt;/year&gt;&lt;pub-dates&gt;&lt;date&gt;September 1, 2015&lt;/date&gt;&lt;/pub-dates&gt;&lt;/dates&gt;&lt;urls&gt;&lt;related-urls&gt;&lt;url&gt;http://annonc.oxfordjournals.org/content/26/suppl_5/v8.short&lt;/url&gt;&lt;url&gt;http://annonc.oxfordjournals.org/content/26/suppl_5/v8.full.pdf&lt;/url&gt;&lt;/related-urls&gt;&lt;/urls&gt;&lt;electronic-resource-num&gt;10.1093/annonc/mdv298&lt;/electronic-resource-num&gt;&lt;/record&gt;&lt;/Cite&gt;&lt;/EndNote&gt;</w:instrText>
      </w:r>
      <w:r w:rsidR="00237D4E">
        <w:fldChar w:fldCharType="separate"/>
      </w:r>
      <w:r w:rsidR="00237D4E">
        <w:rPr>
          <w:noProof/>
        </w:rPr>
        <w:t>(</w:t>
      </w:r>
      <w:hyperlink w:anchor="_ENREF_8" w:tooltip="Senkus, 2015 #76" w:history="1">
        <w:r w:rsidR="00477651">
          <w:rPr>
            <w:noProof/>
          </w:rPr>
          <w:t>Senkus et al. 2015</w:t>
        </w:r>
      </w:hyperlink>
      <w:r w:rsidR="00237D4E">
        <w:rPr>
          <w:noProof/>
        </w:rPr>
        <w:t>)</w:t>
      </w:r>
      <w:r w:rsidR="00237D4E">
        <w:fldChar w:fldCharType="end"/>
      </w:r>
      <w:r w:rsidR="009C4085">
        <w:t>.</w:t>
      </w:r>
      <w:r w:rsidR="00125A96">
        <w:t xml:space="preserve"> </w:t>
      </w:r>
    </w:p>
    <w:p w14:paraId="25BF2D3C" w14:textId="5C277C1A" w:rsidR="00125A96" w:rsidRDefault="00125A96" w:rsidP="001B29A1">
      <w:pPr>
        <w:ind w:left="426"/>
      </w:pPr>
      <w:r>
        <w:t xml:space="preserve">Considering current practice in Australia, the standard care </w:t>
      </w:r>
      <w:r w:rsidR="00422ABC">
        <w:t xml:space="preserve">comparator </w:t>
      </w:r>
      <w:r>
        <w:t xml:space="preserve">in the assessment of </w:t>
      </w:r>
      <w:proofErr w:type="spellStart"/>
      <w:r>
        <w:t>Prosigna</w:t>
      </w:r>
      <w:proofErr w:type="spellEnd"/>
      <w:r w:rsidR="00422ABC">
        <w:t>®</w:t>
      </w:r>
      <w:r>
        <w:t xml:space="preserve"> will be defined as:</w:t>
      </w:r>
    </w:p>
    <w:p w14:paraId="32372E77" w14:textId="77777777" w:rsidR="00125A96" w:rsidRDefault="00125A96" w:rsidP="00474110">
      <w:pPr>
        <w:pStyle w:val="ListParagraph"/>
        <w:numPr>
          <w:ilvl w:val="0"/>
          <w:numId w:val="40"/>
        </w:numPr>
      </w:pPr>
      <w:r>
        <w:t>Determination of HER2, ER and PR status by IHC and ISH analysis</w:t>
      </w:r>
    </w:p>
    <w:p w14:paraId="09FE52A4" w14:textId="77777777" w:rsidR="00125A96" w:rsidRDefault="00125A96" w:rsidP="00474110">
      <w:pPr>
        <w:pStyle w:val="ListParagraph"/>
        <w:numPr>
          <w:ilvl w:val="0"/>
          <w:numId w:val="40"/>
        </w:numPr>
      </w:pPr>
      <w:r>
        <w:t>Consideration of patient characteristics of age, menopausal status and comorbidities</w:t>
      </w:r>
    </w:p>
    <w:p w14:paraId="7CB51506" w14:textId="77777777" w:rsidR="00125A96" w:rsidRDefault="00474110" w:rsidP="00474110">
      <w:pPr>
        <w:pStyle w:val="ListParagraph"/>
        <w:numPr>
          <w:ilvl w:val="0"/>
          <w:numId w:val="40"/>
        </w:numPr>
      </w:pPr>
      <w:r>
        <w:t>Post-surgical</w:t>
      </w:r>
      <w:r w:rsidR="00125A96">
        <w:t xml:space="preserve"> determination of lymph node status, tumour size, tumour grade</w:t>
      </w:r>
      <w:r>
        <w:t>, intrinsic subtype</w:t>
      </w:r>
    </w:p>
    <w:p w14:paraId="49F470E7" w14:textId="33884786" w:rsidR="00125A96" w:rsidRDefault="00125A96" w:rsidP="00474110">
      <w:pPr>
        <w:pStyle w:val="ListParagraph"/>
        <w:numPr>
          <w:ilvl w:val="0"/>
          <w:numId w:val="40"/>
        </w:numPr>
      </w:pPr>
      <w:r>
        <w:t xml:space="preserve">Discretionary input from other markers and tools such as Ki67, IHC4, </w:t>
      </w:r>
      <w:proofErr w:type="gramStart"/>
      <w:r>
        <w:t>Adjuvant</w:t>
      </w:r>
      <w:proofErr w:type="gramEnd"/>
      <w:r>
        <w:t xml:space="preserve">! </w:t>
      </w:r>
      <w:r w:rsidR="00474110">
        <w:t>O</w:t>
      </w:r>
      <w:r>
        <w:t>nline</w:t>
      </w:r>
      <w:r w:rsidR="00422ABC">
        <w:t>, PREDICT.</w:t>
      </w:r>
    </w:p>
    <w:p w14:paraId="419C3325" w14:textId="77777777" w:rsidR="00125A96" w:rsidRDefault="00125A96" w:rsidP="001B29A1">
      <w:pPr>
        <w:ind w:left="426"/>
      </w:pPr>
      <w:r>
        <w:t>Alternative comparators of other GEPs may be included in the assessment, depending on the availability of suitable evidence.</w:t>
      </w:r>
    </w:p>
    <w:p w14:paraId="2062FB7E" w14:textId="34348AC0" w:rsidR="00237D4E" w:rsidRDefault="00780FA1" w:rsidP="00477651">
      <w:pPr>
        <w:keepNext/>
        <w:keepLines/>
        <w:ind w:left="425"/>
        <w:rPr>
          <w:i/>
        </w:rPr>
      </w:pPr>
      <w:r>
        <w:rPr>
          <w:i/>
        </w:rPr>
        <w:lastRenderedPageBreak/>
        <w:t>Secondary</w:t>
      </w:r>
      <w:r w:rsidRPr="00125A96">
        <w:rPr>
          <w:i/>
        </w:rPr>
        <w:t xml:space="preserve"> </w:t>
      </w:r>
      <w:r w:rsidR="00237D4E" w:rsidRPr="00125A96">
        <w:rPr>
          <w:i/>
        </w:rPr>
        <w:t>comparators</w:t>
      </w:r>
    </w:p>
    <w:p w14:paraId="7F306EC7" w14:textId="6E94A290" w:rsidR="00780FA1" w:rsidRPr="00C92908" w:rsidRDefault="00780FA1" w:rsidP="00477651">
      <w:pPr>
        <w:keepNext/>
        <w:keepLines/>
        <w:ind w:left="425"/>
      </w:pPr>
      <w:r>
        <w:t xml:space="preserve">Other risk prediction tools are currently in the process of seeking MBS reimbursement. Although not considered part of standard practice in Australia, they may become relevant comparators to </w:t>
      </w:r>
      <w:proofErr w:type="spellStart"/>
      <w:r>
        <w:t>Prosigna</w:t>
      </w:r>
      <w:proofErr w:type="spellEnd"/>
      <w:r w:rsidR="00422ABC">
        <w:t>®</w:t>
      </w:r>
      <w:r>
        <w:t xml:space="preserve"> in the future. </w:t>
      </w:r>
    </w:p>
    <w:p w14:paraId="1056DD94" w14:textId="77777777" w:rsidR="00125A96" w:rsidRDefault="00237D4E" w:rsidP="001B29A1">
      <w:pPr>
        <w:ind w:left="426"/>
      </w:pPr>
      <w:proofErr w:type="spellStart"/>
      <w:r w:rsidRPr="00125A96">
        <w:rPr>
          <w:b/>
        </w:rPr>
        <w:t>OncotypeDX</w:t>
      </w:r>
      <w:proofErr w:type="spellEnd"/>
      <w:r w:rsidRPr="00125A96">
        <w:rPr>
          <w:b/>
        </w:rPr>
        <w:t>®</w:t>
      </w:r>
      <w:r w:rsidRPr="00237D4E">
        <w:t xml:space="preserve"> uses RT-</w:t>
      </w:r>
      <w:proofErr w:type="spellStart"/>
      <w:r w:rsidRPr="00237D4E">
        <w:t>qPCR</w:t>
      </w:r>
      <w:proofErr w:type="spellEnd"/>
      <w:r w:rsidRPr="00237D4E">
        <w:t xml:space="preserve"> to produce an expression panel of 21 genes and calculate a Recurrence Score® (10 year risk of distant recurrence for node negative patients, 5 year risk of recurrence or death for node positive patients) to determine the likelihood of benefiting from combined adjuvant chemotherapy and endocrine therapy. </w:t>
      </w:r>
    </w:p>
    <w:p w14:paraId="6F7F3135" w14:textId="572D7329" w:rsidR="00237D4E" w:rsidRDefault="00125A96" w:rsidP="001B29A1">
      <w:pPr>
        <w:ind w:left="426"/>
      </w:pPr>
      <w:proofErr w:type="spellStart"/>
      <w:r w:rsidRPr="00125A96">
        <w:rPr>
          <w:b/>
        </w:rPr>
        <w:t>Endopredict</w:t>
      </w:r>
      <w:proofErr w:type="spellEnd"/>
      <w:r w:rsidRPr="00125A96">
        <w:rPr>
          <w:b/>
        </w:rPr>
        <w:t>®</w:t>
      </w:r>
      <w:r>
        <w:t xml:space="preserve"> is an algorithm which includes an expression panel of eight genes and clinical factors to assign patients to either </w:t>
      </w:r>
      <w:r w:rsidR="00422ABC">
        <w:t xml:space="preserve">a </w:t>
      </w:r>
      <w:r>
        <w:t>high or low risk of recurrence.</w:t>
      </w:r>
    </w:p>
    <w:p w14:paraId="61C1A1D7" w14:textId="77777777" w:rsidR="005C4AF7" w:rsidRPr="005C4AF7" w:rsidRDefault="005C4AF7" w:rsidP="005C4AF7">
      <w:pPr>
        <w:ind w:left="426"/>
      </w:pPr>
      <w:proofErr w:type="spellStart"/>
      <w:r w:rsidRPr="005C4AF7">
        <w:rPr>
          <w:b/>
        </w:rPr>
        <w:t>MammPrint</w:t>
      </w:r>
      <w:proofErr w:type="spellEnd"/>
      <w:r w:rsidRPr="005C4AF7">
        <w:rPr>
          <w:b/>
        </w:rPr>
        <w:t xml:space="preserve">® </w:t>
      </w:r>
      <w:r w:rsidRPr="005C4AF7">
        <w:t>is a 70 gene profiling test performed by microarray to quantify the risk of disease recurrence and predict adjuvant chemotherapy benefit in breast cancer patients.</w:t>
      </w:r>
    </w:p>
    <w:p w14:paraId="7D8FB22A" w14:textId="511CFEA5" w:rsidR="00713379" w:rsidRDefault="00713379" w:rsidP="001B29A1">
      <w:pPr>
        <w:ind w:left="426"/>
        <w:rPr>
          <w:b/>
        </w:rPr>
      </w:pPr>
      <w:r>
        <w:rPr>
          <w:b/>
        </w:rPr>
        <w:t xml:space="preserve">Current clinical </w:t>
      </w:r>
      <w:r w:rsidR="00422ABC">
        <w:rPr>
          <w:b/>
        </w:rPr>
        <w:t xml:space="preserve">practice </w:t>
      </w:r>
      <w:r>
        <w:rPr>
          <w:b/>
        </w:rPr>
        <w:t>guidelines</w:t>
      </w:r>
      <w:r w:rsidR="00311CA2">
        <w:rPr>
          <w:b/>
        </w:rPr>
        <w:t xml:space="preserve"> (examples listed)</w:t>
      </w:r>
    </w:p>
    <w:p w14:paraId="4AAC50AA" w14:textId="686483E2" w:rsidR="00311CA2" w:rsidRDefault="00311CA2" w:rsidP="00311CA2">
      <w:pPr>
        <w:ind w:left="993" w:hanging="284"/>
      </w:pPr>
      <w:r>
        <w:t>•</w:t>
      </w:r>
      <w:r>
        <w:tab/>
      </w:r>
      <w:r w:rsidRPr="00311CA2">
        <w:t>ASCO Clinical Practice Guideline on Use of Biomarkers to Guide Decisions on Adjuvant Systemic Therapy for Women with Early-Stage Invasive Breast Cancer, 2016</w:t>
      </w:r>
    </w:p>
    <w:p w14:paraId="09F7BDD5" w14:textId="4F9F5D3A" w:rsidR="00311CA2" w:rsidRDefault="00311CA2" w:rsidP="00311CA2">
      <w:pPr>
        <w:pStyle w:val="ListParagraph"/>
        <w:numPr>
          <w:ilvl w:val="0"/>
          <w:numId w:val="44"/>
        </w:numPr>
        <w:ind w:left="993" w:hanging="284"/>
      </w:pPr>
      <w:r>
        <w:t xml:space="preserve">NCCN 2015, Breast Cancer, NCCN Clinical Practice Guidelines in Oncology National Comprehensive Cancer Network. </w:t>
      </w:r>
    </w:p>
    <w:p w14:paraId="5698B198" w14:textId="7CF31515" w:rsidR="00311CA2" w:rsidRDefault="00311CA2" w:rsidP="00311CA2">
      <w:pPr>
        <w:ind w:left="993" w:hanging="284"/>
      </w:pPr>
      <w:r>
        <w:t>•</w:t>
      </w:r>
      <w:r>
        <w:tab/>
      </w:r>
      <w:proofErr w:type="spellStart"/>
      <w:r>
        <w:t>Senkus</w:t>
      </w:r>
      <w:proofErr w:type="spellEnd"/>
      <w:r>
        <w:t xml:space="preserve"> E, </w:t>
      </w:r>
      <w:proofErr w:type="spellStart"/>
      <w:r>
        <w:t>Kyriakides</w:t>
      </w:r>
      <w:proofErr w:type="spellEnd"/>
      <w:r>
        <w:t xml:space="preserve"> S, </w:t>
      </w:r>
      <w:proofErr w:type="spellStart"/>
      <w:r>
        <w:t>Ohno</w:t>
      </w:r>
      <w:proofErr w:type="spellEnd"/>
      <w:r>
        <w:t xml:space="preserve"> S, </w:t>
      </w:r>
      <w:proofErr w:type="spellStart"/>
      <w:r>
        <w:t>Penault-Llorca</w:t>
      </w:r>
      <w:proofErr w:type="spellEnd"/>
      <w:r>
        <w:t xml:space="preserve"> F, </w:t>
      </w:r>
      <w:proofErr w:type="spellStart"/>
      <w:r>
        <w:t>Poortmans</w:t>
      </w:r>
      <w:proofErr w:type="spellEnd"/>
      <w:r>
        <w:t xml:space="preserve"> P, Rutgers E, </w:t>
      </w:r>
      <w:proofErr w:type="spellStart"/>
      <w:r>
        <w:t>Zackrisson</w:t>
      </w:r>
      <w:proofErr w:type="spellEnd"/>
      <w:r>
        <w:t xml:space="preserve"> S, Cardoso F; ESMO Guidelines Committee. Primary breast cancer: ESMO Clinical Practice Guidelines for diagnosis, treatment and follow-up†. Ann </w:t>
      </w:r>
      <w:proofErr w:type="spellStart"/>
      <w:r>
        <w:t>Oncol</w:t>
      </w:r>
      <w:proofErr w:type="spellEnd"/>
      <w:r>
        <w:t>. 2015</w:t>
      </w:r>
      <w:proofErr w:type="gramStart"/>
      <w:r>
        <w:t>;26</w:t>
      </w:r>
      <w:proofErr w:type="gramEnd"/>
      <w:r>
        <w:t xml:space="preserve"> </w:t>
      </w:r>
      <w:proofErr w:type="spellStart"/>
      <w:r>
        <w:t>Suppl</w:t>
      </w:r>
      <w:proofErr w:type="spellEnd"/>
      <w:r>
        <w:t xml:space="preserve"> 5:v8-v30. </w:t>
      </w:r>
      <w:proofErr w:type="gramStart"/>
      <w:r>
        <w:t>ESMO Guidelines Committee.</w:t>
      </w:r>
      <w:proofErr w:type="gramEnd"/>
      <w:r>
        <w:t xml:space="preserve"> Primary breast cancer: ESMO Clinical Practice Guidelines for diagnosis, treatment and follow-up</w:t>
      </w:r>
    </w:p>
    <w:p w14:paraId="0734A3FF" w14:textId="57EBB9EE" w:rsidR="00311CA2" w:rsidRDefault="00311CA2" w:rsidP="00311CA2">
      <w:pPr>
        <w:ind w:left="993" w:hanging="284"/>
      </w:pPr>
      <w:r>
        <w:t>•</w:t>
      </w:r>
      <w:r>
        <w:tab/>
        <w:t xml:space="preserve">Coates AS, </w:t>
      </w:r>
      <w:proofErr w:type="spellStart"/>
      <w:r>
        <w:t>Winer</w:t>
      </w:r>
      <w:proofErr w:type="spellEnd"/>
      <w:r>
        <w:t xml:space="preserve"> EP, </w:t>
      </w:r>
      <w:proofErr w:type="spellStart"/>
      <w:r>
        <w:t>Goldhirsch</w:t>
      </w:r>
      <w:proofErr w:type="spellEnd"/>
      <w:r>
        <w:t xml:space="preserve"> A, </w:t>
      </w:r>
      <w:proofErr w:type="spellStart"/>
      <w:r>
        <w:t>Gelber</w:t>
      </w:r>
      <w:proofErr w:type="spellEnd"/>
      <w:r>
        <w:t xml:space="preserve"> RD, </w:t>
      </w:r>
      <w:proofErr w:type="spellStart"/>
      <w:r>
        <w:t>Gnant</w:t>
      </w:r>
      <w:proofErr w:type="spellEnd"/>
      <w:r>
        <w:t xml:space="preserve"> M, </w:t>
      </w:r>
      <w:proofErr w:type="spellStart"/>
      <w:r>
        <w:t>Piccart-Gebhart</w:t>
      </w:r>
      <w:proofErr w:type="spellEnd"/>
      <w:r>
        <w:t xml:space="preserve"> M, </w:t>
      </w:r>
      <w:proofErr w:type="spellStart"/>
      <w:r>
        <w:t>Thürlimann</w:t>
      </w:r>
      <w:proofErr w:type="spellEnd"/>
      <w:r>
        <w:t xml:space="preserve"> B, </w:t>
      </w:r>
      <w:proofErr w:type="spellStart"/>
      <w:r>
        <w:t>Senn</w:t>
      </w:r>
      <w:proofErr w:type="spellEnd"/>
      <w:r>
        <w:t xml:space="preserve"> HJ; Panel Members. -Tailoring therapies-improving the management of early breast cancer: St </w:t>
      </w:r>
      <w:proofErr w:type="spellStart"/>
      <w:r>
        <w:t>Gallen</w:t>
      </w:r>
      <w:proofErr w:type="spellEnd"/>
      <w:r>
        <w:t xml:space="preserve"> International Expert Consensus on the Primary Therapy of Early Breast Cancer 2015. Ann </w:t>
      </w:r>
      <w:proofErr w:type="spellStart"/>
      <w:r>
        <w:t>Oncol</w:t>
      </w:r>
      <w:proofErr w:type="spellEnd"/>
      <w:r>
        <w:t>. 2015</w:t>
      </w:r>
      <w:proofErr w:type="gramStart"/>
      <w:r>
        <w:t>;26:1533</w:t>
      </w:r>
      <w:proofErr w:type="gramEnd"/>
      <w:r>
        <w:t>-46. http://annonc.oxfordjournals.org/content/26/8/1533.long</w:t>
      </w:r>
    </w:p>
    <w:p w14:paraId="07301668" w14:textId="09841D12" w:rsidR="00422ABC" w:rsidRDefault="00311CA2" w:rsidP="00311CA2">
      <w:pPr>
        <w:ind w:left="993" w:hanging="284"/>
      </w:pPr>
      <w:r>
        <w:t>•</w:t>
      </w:r>
      <w:r>
        <w:tab/>
      </w:r>
      <w:proofErr w:type="spellStart"/>
      <w:r>
        <w:t>Wockel</w:t>
      </w:r>
      <w:proofErr w:type="spellEnd"/>
      <w:r>
        <w:t xml:space="preserve">, A &amp; </w:t>
      </w:r>
      <w:proofErr w:type="spellStart"/>
      <w:r>
        <w:t>Kreienberg</w:t>
      </w:r>
      <w:proofErr w:type="spellEnd"/>
      <w:r>
        <w:t>, R 2008, 'First Revision of the German S3 Guideline 'Diagnosis, Therapy, and Follow-Up of Breast Cancer’, Breast Care (Basel), vol. 3, no. 2, pp. 82-86.</w:t>
      </w:r>
    </w:p>
    <w:p w14:paraId="22B56A58" w14:textId="77777777" w:rsidR="00935422" w:rsidRDefault="00935422" w:rsidP="00311CA2">
      <w:pPr>
        <w:ind w:left="993" w:hanging="284"/>
      </w:pPr>
    </w:p>
    <w:p w14:paraId="487F819D" w14:textId="77777777"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14:paraId="5E9C4464" w14:textId="77777777" w:rsidR="006A1038" w:rsidRDefault="00474110"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A615A">
        <w:rPr>
          <w:szCs w:val="20"/>
        </w:rPr>
      </w:r>
      <w:r w:rsidR="00BA615A">
        <w:rPr>
          <w:szCs w:val="20"/>
        </w:rPr>
        <w:fldChar w:fldCharType="separate"/>
      </w:r>
      <w:r>
        <w:rPr>
          <w:szCs w:val="20"/>
        </w:rPr>
        <w:fldChar w:fldCharType="end"/>
      </w:r>
      <w:r w:rsidR="006A1038">
        <w:rPr>
          <w:szCs w:val="20"/>
        </w:rPr>
        <w:t xml:space="preserve"> Yes (please provide all relevant MBS item numbers below)</w:t>
      </w:r>
    </w:p>
    <w:p w14:paraId="2BF8A0CC" w14:textId="77777777" w:rsidR="000159B9" w:rsidRDefault="00474110" w:rsidP="006A1038">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BA615A">
        <w:rPr>
          <w:szCs w:val="20"/>
        </w:rPr>
      </w:r>
      <w:r w:rsidR="00BA615A">
        <w:rPr>
          <w:szCs w:val="20"/>
        </w:rPr>
        <w:fldChar w:fldCharType="separate"/>
      </w:r>
      <w:r>
        <w:rPr>
          <w:szCs w:val="20"/>
        </w:rPr>
        <w:fldChar w:fldCharType="end"/>
      </w:r>
      <w:r w:rsidR="006A1038">
        <w:rPr>
          <w:szCs w:val="20"/>
        </w:rPr>
        <w:t xml:space="preserve"> No  </w:t>
      </w:r>
    </w:p>
    <w:p w14:paraId="7C3D7E3C" w14:textId="77777777" w:rsidR="00474110" w:rsidRDefault="00474110" w:rsidP="00A06B18">
      <w:pPr>
        <w:keepNext/>
        <w:keepLines/>
        <w:ind w:left="426"/>
      </w:pPr>
      <w:r>
        <w:t>MBS item 72848</w:t>
      </w:r>
    </w:p>
    <w:tbl>
      <w:tblPr>
        <w:tblStyle w:val="TableGrid"/>
        <w:tblW w:w="0" w:type="auto"/>
        <w:tblInd w:w="426" w:type="dxa"/>
        <w:tblLook w:val="04A0" w:firstRow="1" w:lastRow="0" w:firstColumn="1" w:lastColumn="0" w:noHBand="0" w:noVBand="1"/>
        <w:tblDescription w:val="MBS item 72848"/>
      </w:tblPr>
      <w:tblGrid>
        <w:gridCol w:w="8816"/>
      </w:tblGrid>
      <w:tr w:rsidR="00474110" w14:paraId="277123C1" w14:textId="77777777" w:rsidTr="00A65F2D">
        <w:trPr>
          <w:tblHeader/>
        </w:trPr>
        <w:tc>
          <w:tcPr>
            <w:tcW w:w="9016" w:type="dxa"/>
          </w:tcPr>
          <w:p w14:paraId="5E20B29D" w14:textId="77777777" w:rsidR="00474110" w:rsidRDefault="00474110" w:rsidP="00A06B18">
            <w:pPr>
              <w:keepNext/>
              <w:keepLines/>
              <w:jc w:val="right"/>
            </w:pPr>
            <w:r>
              <w:t>Category 6 –PATHOLOGY SERVICES</w:t>
            </w:r>
          </w:p>
        </w:tc>
      </w:tr>
      <w:tr w:rsidR="00474110" w14:paraId="0DDE4B52" w14:textId="77777777" w:rsidTr="00A65F2D">
        <w:trPr>
          <w:tblHeader/>
        </w:trPr>
        <w:tc>
          <w:tcPr>
            <w:tcW w:w="9016" w:type="dxa"/>
          </w:tcPr>
          <w:p w14:paraId="3A755A1C" w14:textId="77777777" w:rsidR="00474110" w:rsidRPr="00A06B18" w:rsidRDefault="00474110" w:rsidP="00A06B18">
            <w:pPr>
              <w:keepNext/>
              <w:keepLines/>
              <w:tabs>
                <w:tab w:val="left" w:pos="5535"/>
              </w:tabs>
              <w:spacing w:before="60" w:after="60"/>
              <w:rPr>
                <w:sz w:val="18"/>
                <w:szCs w:val="18"/>
              </w:rPr>
            </w:pPr>
            <w:r w:rsidRPr="00A06B18">
              <w:rPr>
                <w:sz w:val="18"/>
                <w:szCs w:val="18"/>
              </w:rPr>
              <w:t>72848</w:t>
            </w:r>
            <w:r w:rsidR="00A06B18">
              <w:rPr>
                <w:sz w:val="18"/>
                <w:szCs w:val="18"/>
              </w:rPr>
              <w:tab/>
              <w:t>Group P5 – TISSUE PATHOLOGY</w:t>
            </w:r>
          </w:p>
          <w:p w14:paraId="430ECA73" w14:textId="77777777" w:rsidR="00474110" w:rsidRPr="00A06B18" w:rsidRDefault="00474110" w:rsidP="00A06B18">
            <w:pPr>
              <w:keepNext/>
              <w:keepLines/>
              <w:spacing w:before="60"/>
              <w:rPr>
                <w:sz w:val="18"/>
                <w:szCs w:val="18"/>
              </w:rPr>
            </w:pPr>
            <w:proofErr w:type="spellStart"/>
            <w:r w:rsidRPr="00A06B18">
              <w:rPr>
                <w:sz w:val="18"/>
                <w:szCs w:val="18"/>
              </w:rPr>
              <w:t>Immunohistochemical</w:t>
            </w:r>
            <w:proofErr w:type="spellEnd"/>
            <w:r w:rsidRPr="00A06B18">
              <w:rPr>
                <w:sz w:val="18"/>
                <w:szCs w:val="18"/>
              </w:rPr>
              <w:t xml:space="preserve"> examination of biopsy material by immunofluorescence, </w:t>
            </w:r>
            <w:proofErr w:type="spellStart"/>
            <w:r w:rsidRPr="00A06B18">
              <w:rPr>
                <w:sz w:val="18"/>
                <w:szCs w:val="18"/>
              </w:rPr>
              <w:t>immunoperoxidase</w:t>
            </w:r>
            <w:proofErr w:type="spellEnd"/>
            <w:r w:rsidRPr="00A06B18">
              <w:rPr>
                <w:sz w:val="18"/>
                <w:szCs w:val="18"/>
              </w:rPr>
              <w:t xml:space="preserve"> or other labelled antibody techniques with multiple antigenic specificities per specimen - 1 to 3 of the following antibodies - oestrogen, progesterone and c-erb-B2 (HER2)</w:t>
            </w:r>
          </w:p>
          <w:p w14:paraId="2979754C" w14:textId="77777777" w:rsidR="00474110" w:rsidRPr="00A06B18" w:rsidRDefault="00474110" w:rsidP="00A06B18">
            <w:pPr>
              <w:keepNext/>
              <w:keepLines/>
              <w:spacing w:before="60"/>
              <w:rPr>
                <w:sz w:val="18"/>
                <w:szCs w:val="18"/>
              </w:rPr>
            </w:pPr>
            <w:r w:rsidRPr="00A06B18">
              <w:rPr>
                <w:sz w:val="18"/>
                <w:szCs w:val="18"/>
              </w:rPr>
              <w:t>(Item is subject to rule 13)</w:t>
            </w:r>
          </w:p>
          <w:p w14:paraId="33959E15" w14:textId="77777777" w:rsidR="00474110" w:rsidRDefault="00474110" w:rsidP="00A06B18">
            <w:pPr>
              <w:keepNext/>
              <w:keepLines/>
              <w:spacing w:before="60" w:after="60"/>
            </w:pPr>
            <w:r w:rsidRPr="00A06B18">
              <w:rPr>
                <w:sz w:val="18"/>
                <w:szCs w:val="18"/>
              </w:rPr>
              <w:t>Fee: $74.50 Benefit: 75% = $55.90 85% = $63.35</w:t>
            </w:r>
          </w:p>
        </w:tc>
      </w:tr>
    </w:tbl>
    <w:p w14:paraId="23FC4B67" w14:textId="77777777" w:rsidR="00474110" w:rsidRDefault="00474110" w:rsidP="001B29A1">
      <w:pPr>
        <w:ind w:left="426"/>
      </w:pPr>
      <w:r>
        <w:t xml:space="preserve"> </w:t>
      </w:r>
      <w:r w:rsidRPr="00474110">
        <w:t>MBS item 73061</w:t>
      </w:r>
    </w:p>
    <w:tbl>
      <w:tblPr>
        <w:tblStyle w:val="TableGrid"/>
        <w:tblW w:w="0" w:type="auto"/>
        <w:tblInd w:w="426" w:type="dxa"/>
        <w:tblLook w:val="04A0" w:firstRow="1" w:lastRow="0" w:firstColumn="1" w:lastColumn="0" w:noHBand="0" w:noVBand="1"/>
        <w:tblDescription w:val="MBS item 73061"/>
      </w:tblPr>
      <w:tblGrid>
        <w:gridCol w:w="8816"/>
      </w:tblGrid>
      <w:tr w:rsidR="00474110" w14:paraId="1DA9A02E" w14:textId="77777777" w:rsidTr="00A65F2D">
        <w:trPr>
          <w:tblHeader/>
        </w:trPr>
        <w:tc>
          <w:tcPr>
            <w:tcW w:w="9016" w:type="dxa"/>
          </w:tcPr>
          <w:p w14:paraId="20E57441" w14:textId="77777777" w:rsidR="00474110" w:rsidRDefault="00474110" w:rsidP="00474110">
            <w:pPr>
              <w:jc w:val="right"/>
            </w:pPr>
            <w:r>
              <w:t>Category 6 – PATHOLOGY SERVICES</w:t>
            </w:r>
          </w:p>
        </w:tc>
      </w:tr>
      <w:tr w:rsidR="00474110" w14:paraId="64988D73" w14:textId="77777777" w:rsidTr="00A65F2D">
        <w:trPr>
          <w:tblHeader/>
        </w:trPr>
        <w:tc>
          <w:tcPr>
            <w:tcW w:w="9016" w:type="dxa"/>
          </w:tcPr>
          <w:p w14:paraId="0F72D1E4" w14:textId="77777777" w:rsidR="00474110" w:rsidRPr="00A06B18" w:rsidRDefault="00A06B18" w:rsidP="00A06B18">
            <w:pPr>
              <w:tabs>
                <w:tab w:val="left" w:pos="5490"/>
              </w:tabs>
              <w:spacing w:before="60" w:after="60"/>
              <w:rPr>
                <w:sz w:val="18"/>
                <w:szCs w:val="18"/>
              </w:rPr>
            </w:pPr>
            <w:r w:rsidRPr="00A06B18">
              <w:rPr>
                <w:sz w:val="18"/>
                <w:szCs w:val="18"/>
              </w:rPr>
              <w:lastRenderedPageBreak/>
              <w:t>73061</w:t>
            </w:r>
            <w:r>
              <w:rPr>
                <w:sz w:val="18"/>
                <w:szCs w:val="18"/>
              </w:rPr>
              <w:tab/>
              <w:t>Group P6 - CYTOLOGY</w:t>
            </w:r>
          </w:p>
          <w:p w14:paraId="42EACEC0" w14:textId="77777777" w:rsidR="00A06B18" w:rsidRPr="00A06B18" w:rsidRDefault="00A06B18" w:rsidP="00A06B18">
            <w:pPr>
              <w:spacing w:before="60"/>
              <w:rPr>
                <w:sz w:val="18"/>
                <w:szCs w:val="18"/>
              </w:rPr>
            </w:pPr>
            <w:proofErr w:type="spellStart"/>
            <w:r w:rsidRPr="00A06B18">
              <w:rPr>
                <w:sz w:val="18"/>
                <w:szCs w:val="18"/>
              </w:rPr>
              <w:t>Immunocytochemical</w:t>
            </w:r>
            <w:proofErr w:type="spellEnd"/>
            <w:r w:rsidRPr="00A06B18">
              <w:rPr>
                <w:sz w:val="18"/>
                <w:szCs w:val="18"/>
              </w:rPr>
              <w:t xml:space="preserve"> examination of material obtained by procedures described in items 73045, 73047, 73049, 73051, 73062, 73063, 73066 and 73067 for the characterisation of a malignancy by immunofluorescence, </w:t>
            </w:r>
            <w:proofErr w:type="spellStart"/>
            <w:r w:rsidRPr="00A06B18">
              <w:rPr>
                <w:sz w:val="18"/>
                <w:szCs w:val="18"/>
              </w:rPr>
              <w:t>immunoperoxidase</w:t>
            </w:r>
            <w:proofErr w:type="spellEnd"/>
            <w:r w:rsidRPr="00A06B18">
              <w:rPr>
                <w:sz w:val="18"/>
                <w:szCs w:val="18"/>
              </w:rPr>
              <w:t xml:space="preserve"> or other labelled antibody techniques with multiple antigenic specificities per specimen - 1 to 3 of the following antibodies - oestrogen, progesterone and c-erb-B2 (HER2)</w:t>
            </w:r>
          </w:p>
          <w:p w14:paraId="450A7B0F" w14:textId="77777777" w:rsidR="00A06B18" w:rsidRPr="00A06B18" w:rsidRDefault="00A06B18" w:rsidP="00A06B18">
            <w:pPr>
              <w:spacing w:before="60"/>
              <w:rPr>
                <w:sz w:val="18"/>
                <w:szCs w:val="18"/>
              </w:rPr>
            </w:pPr>
            <w:r w:rsidRPr="00A06B18">
              <w:rPr>
                <w:sz w:val="18"/>
                <w:szCs w:val="18"/>
              </w:rPr>
              <w:t>(Item is subject to rule 13)</w:t>
            </w:r>
          </w:p>
          <w:p w14:paraId="3E1FCA16" w14:textId="77777777" w:rsidR="00A06B18" w:rsidRDefault="00A06B18" w:rsidP="00A06B18">
            <w:pPr>
              <w:spacing w:before="60" w:after="60"/>
            </w:pPr>
            <w:r w:rsidRPr="00A06B18">
              <w:rPr>
                <w:sz w:val="18"/>
                <w:szCs w:val="18"/>
              </w:rPr>
              <w:t>Fee: $51.20 Benefit: 75% = $38.40 85% = $43.55</w:t>
            </w:r>
          </w:p>
        </w:tc>
      </w:tr>
    </w:tbl>
    <w:p w14:paraId="4B775E5A" w14:textId="77777777" w:rsidR="00474110" w:rsidRDefault="00A06B18" w:rsidP="001B29A1">
      <w:pPr>
        <w:ind w:left="426"/>
      </w:pPr>
      <w:r>
        <w:t>MBS item 73332</w:t>
      </w:r>
    </w:p>
    <w:tbl>
      <w:tblPr>
        <w:tblStyle w:val="TableGrid"/>
        <w:tblW w:w="0" w:type="auto"/>
        <w:tblInd w:w="426" w:type="dxa"/>
        <w:tblLook w:val="04A0" w:firstRow="1" w:lastRow="0" w:firstColumn="1" w:lastColumn="0" w:noHBand="0" w:noVBand="1"/>
        <w:tblDescription w:val="MBS item 73332"/>
      </w:tblPr>
      <w:tblGrid>
        <w:gridCol w:w="8816"/>
      </w:tblGrid>
      <w:tr w:rsidR="00A06B18" w14:paraId="5F30C9F7" w14:textId="77777777" w:rsidTr="00A65F2D">
        <w:trPr>
          <w:tblHeader/>
        </w:trPr>
        <w:tc>
          <w:tcPr>
            <w:tcW w:w="9016" w:type="dxa"/>
          </w:tcPr>
          <w:p w14:paraId="3D6B79EA" w14:textId="77777777" w:rsidR="00A06B18" w:rsidRDefault="00A06B18" w:rsidP="00BA3453">
            <w:pPr>
              <w:jc w:val="right"/>
            </w:pPr>
            <w:r>
              <w:t>Category 6 – PATHOLOGY SERVICES</w:t>
            </w:r>
          </w:p>
        </w:tc>
      </w:tr>
      <w:tr w:rsidR="00A06B18" w14:paraId="317895FC" w14:textId="77777777" w:rsidTr="00A65F2D">
        <w:trPr>
          <w:tblHeader/>
        </w:trPr>
        <w:tc>
          <w:tcPr>
            <w:tcW w:w="9016" w:type="dxa"/>
          </w:tcPr>
          <w:p w14:paraId="6DC0FF44" w14:textId="77777777" w:rsidR="00A06B18" w:rsidRDefault="00A06B18" w:rsidP="00A06B18">
            <w:pPr>
              <w:tabs>
                <w:tab w:val="left" w:pos="5535"/>
              </w:tabs>
              <w:spacing w:before="60"/>
              <w:rPr>
                <w:sz w:val="18"/>
                <w:szCs w:val="18"/>
              </w:rPr>
            </w:pPr>
            <w:r>
              <w:rPr>
                <w:sz w:val="18"/>
                <w:szCs w:val="18"/>
              </w:rPr>
              <w:t>73332</w:t>
            </w:r>
            <w:r>
              <w:rPr>
                <w:sz w:val="18"/>
                <w:szCs w:val="18"/>
              </w:rPr>
              <w:tab/>
              <w:t>Group P7 - GENETICS</w:t>
            </w:r>
          </w:p>
          <w:p w14:paraId="200DBB2E" w14:textId="77777777" w:rsidR="00A06B18" w:rsidRPr="00A06B18" w:rsidRDefault="00A06B18" w:rsidP="00A06B18">
            <w:pPr>
              <w:spacing w:before="60"/>
              <w:rPr>
                <w:sz w:val="18"/>
                <w:szCs w:val="18"/>
              </w:rPr>
            </w:pPr>
            <w:r w:rsidRPr="00A06B18">
              <w:rPr>
                <w:sz w:val="18"/>
                <w:szCs w:val="18"/>
              </w:rPr>
              <w:t xml:space="preserve">An in situ hybridization (ISH) test of tumour tissue from a patient with breast cancer requested by, or on the advice of, a specialist or consultant physician who manages the treatment of the patient to determine if the requirements relating to human epidermal growth factor receptor 2 (HER2) gene amplification for access to </w:t>
            </w:r>
            <w:proofErr w:type="spellStart"/>
            <w:r w:rsidRPr="00A06B18">
              <w:rPr>
                <w:sz w:val="18"/>
                <w:szCs w:val="18"/>
              </w:rPr>
              <w:t>trastuzumab</w:t>
            </w:r>
            <w:proofErr w:type="spellEnd"/>
            <w:r w:rsidRPr="00A06B18">
              <w:rPr>
                <w:sz w:val="18"/>
                <w:szCs w:val="18"/>
              </w:rPr>
              <w:t xml:space="preserve"> under the Pharmaceutical Benefits Scheme (PBS) or the Herceptin Program are fulfilled.</w:t>
            </w:r>
          </w:p>
          <w:p w14:paraId="49D2A7B5" w14:textId="77777777" w:rsidR="00A06B18" w:rsidRDefault="00A06B18" w:rsidP="00A06B18">
            <w:pPr>
              <w:spacing w:before="60" w:after="60"/>
            </w:pPr>
            <w:r w:rsidRPr="00A06B18">
              <w:rPr>
                <w:sz w:val="18"/>
                <w:szCs w:val="18"/>
              </w:rPr>
              <w:t>Fee: $315.40 Benefit: 75% = $236.55 85% = $268.10</w:t>
            </w:r>
          </w:p>
        </w:tc>
      </w:tr>
    </w:tbl>
    <w:p w14:paraId="7A1EA61B" w14:textId="77777777" w:rsidR="00A06B18" w:rsidRDefault="00A06B18" w:rsidP="001B29A1">
      <w:pPr>
        <w:ind w:left="426"/>
      </w:pPr>
    </w:p>
    <w:p w14:paraId="3275A000" w14:textId="574DE599" w:rsidR="00780FA1" w:rsidRDefault="00935422" w:rsidP="001B29A1">
      <w:pPr>
        <w:ind w:left="426"/>
      </w:pPr>
      <w:r>
        <w:t xml:space="preserve">As </w:t>
      </w:r>
      <w:proofErr w:type="spellStart"/>
      <w:r w:rsidR="00780FA1">
        <w:t>Oncotype</w:t>
      </w:r>
      <w:proofErr w:type="spellEnd"/>
      <w:r w:rsidR="00780FA1">
        <w:t xml:space="preserve"> DX®</w:t>
      </w:r>
      <w:r w:rsidR="005C4AF7">
        <w:t>,</w:t>
      </w:r>
      <w:r>
        <w:t xml:space="preserve"> </w:t>
      </w:r>
      <w:proofErr w:type="spellStart"/>
      <w:r>
        <w:t>Endopredict</w:t>
      </w:r>
      <w:proofErr w:type="spellEnd"/>
      <w:r>
        <w:t>®</w:t>
      </w:r>
      <w:r w:rsidR="005C4AF7">
        <w:t xml:space="preserve"> and </w:t>
      </w:r>
      <w:proofErr w:type="spellStart"/>
      <w:r w:rsidR="005C4AF7">
        <w:t>MammaPrint</w:t>
      </w:r>
      <w:proofErr w:type="spellEnd"/>
      <w:r w:rsidR="005C4AF7">
        <w:t>®</w:t>
      </w:r>
      <w:r>
        <w:t xml:space="preserve"> are not currently listed on the </w:t>
      </w:r>
      <w:proofErr w:type="gramStart"/>
      <w:r>
        <w:t>MBS,</w:t>
      </w:r>
      <w:proofErr w:type="gramEnd"/>
      <w:r>
        <w:t xml:space="preserve"> there are no relevant MBS items for these tests.</w:t>
      </w:r>
    </w:p>
    <w:p w14:paraId="5AD845D5" w14:textId="77777777" w:rsidR="00422ABC" w:rsidRDefault="00422ABC" w:rsidP="001B29A1">
      <w:pPr>
        <w:ind w:left="426"/>
      </w:pPr>
    </w:p>
    <w:p w14:paraId="54461B2E"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14:paraId="208D8995" w14:textId="3961CC07" w:rsidR="001C43B7" w:rsidRDefault="00A06B18" w:rsidP="001B29A1">
      <w:pPr>
        <w:ind w:left="426"/>
      </w:pPr>
      <w:r w:rsidRPr="00A06B18">
        <w:t>U</w:t>
      </w:r>
      <w:r w:rsidR="003B2639">
        <w:t>nder</w:t>
      </w:r>
      <w:r w:rsidRPr="00A06B18">
        <w:t xml:space="preserve"> the current clinical pathway, a diagnosis of primary breast cancer </w:t>
      </w:r>
      <w:r w:rsidR="003B2639">
        <w:t xml:space="preserve">would be </w:t>
      </w:r>
      <w:r w:rsidRPr="00A06B18">
        <w:t>confirmed by core needle biopsy</w:t>
      </w:r>
      <w:r w:rsidR="003B2639">
        <w:t>, following which a</w:t>
      </w:r>
      <w:r w:rsidRPr="00A06B18">
        <w:t xml:space="preserve"> patient would be placed under the care of an oncologist and assessed for suitability</w:t>
      </w:r>
      <w:r w:rsidR="00B10D0B" w:rsidRPr="00B10D0B">
        <w:t xml:space="preserve"> </w:t>
      </w:r>
      <w:r w:rsidR="00B10D0B">
        <w:t xml:space="preserve">for </w:t>
      </w:r>
      <w:r w:rsidR="00B10D0B" w:rsidRPr="00A06B18">
        <w:t>surgery</w:t>
      </w:r>
      <w:r w:rsidRPr="00A06B18">
        <w:t xml:space="preserve">. </w:t>
      </w:r>
      <w:r w:rsidR="003B2639">
        <w:t>A</w:t>
      </w:r>
      <w:r w:rsidRPr="00A06B18">
        <w:t xml:space="preserve"> pathologist w</w:t>
      </w:r>
      <w:r w:rsidR="00B10D0B">
        <w:t>ould</w:t>
      </w:r>
      <w:r w:rsidRPr="00A06B18">
        <w:t xml:space="preserve"> conduct a histological examination</w:t>
      </w:r>
      <w:r w:rsidR="003B2639" w:rsidRPr="003B2639">
        <w:t xml:space="preserve"> </w:t>
      </w:r>
      <w:r w:rsidR="003B2639">
        <w:t>f</w:t>
      </w:r>
      <w:r w:rsidR="003B2639" w:rsidRPr="00A06B18">
        <w:t>ollowing surgical tumour removal or mastectomy,</w:t>
      </w:r>
      <w:r w:rsidRPr="00A06B18">
        <w:t xml:space="preserve"> </w:t>
      </w:r>
      <w:r w:rsidR="003B2639">
        <w:t>and make an assessment</w:t>
      </w:r>
      <w:r w:rsidRPr="00A06B18">
        <w:t xml:space="preserve"> </w:t>
      </w:r>
      <w:r w:rsidR="00B10D0B">
        <w:t xml:space="preserve">of </w:t>
      </w:r>
      <w:r w:rsidRPr="00A06B18">
        <w:t>ER and HER2 status</w:t>
      </w:r>
      <w:r w:rsidR="00B10D0B">
        <w:t>,</w:t>
      </w:r>
      <w:r w:rsidRPr="00A06B18">
        <w:t xml:space="preserve"> tumour </w:t>
      </w:r>
      <w:r w:rsidR="003B2639">
        <w:t>characteristic</w:t>
      </w:r>
      <w:r w:rsidR="00B10D0B">
        <w:t>s and nodal status. Results would</w:t>
      </w:r>
      <w:r w:rsidR="003B2639">
        <w:t xml:space="preserve"> be</w:t>
      </w:r>
      <w:r w:rsidRPr="00A06B18">
        <w:t xml:space="preserve"> report</w:t>
      </w:r>
      <w:r w:rsidR="003B2639">
        <w:t>ed</w:t>
      </w:r>
      <w:r w:rsidRPr="00A06B18">
        <w:t xml:space="preserve"> to the</w:t>
      </w:r>
      <w:r w:rsidR="00F7241F">
        <w:t xml:space="preserve"> surgeon and/or </w:t>
      </w:r>
      <w:r w:rsidRPr="00A06B18">
        <w:t>oncologist. The oncologist w</w:t>
      </w:r>
      <w:r w:rsidR="00B10D0B">
        <w:t xml:space="preserve">ould </w:t>
      </w:r>
      <w:r w:rsidRPr="00A06B18">
        <w:t>further assess other clinical factors and classify the patient</w:t>
      </w:r>
      <w:r w:rsidR="003B2639">
        <w:t>’s</w:t>
      </w:r>
      <w:r w:rsidRPr="00A06B18">
        <w:t xml:space="preserve"> risk of disease recurrence. </w:t>
      </w:r>
    </w:p>
    <w:p w14:paraId="70E3D2BF" w14:textId="605AE962" w:rsidR="00A06B18" w:rsidRDefault="003B2639" w:rsidP="001B29A1">
      <w:pPr>
        <w:ind w:left="426"/>
      </w:pPr>
      <w:r w:rsidRPr="001E6994">
        <w:t>In a</w:t>
      </w:r>
      <w:r w:rsidR="00A06B18" w:rsidRPr="001E6994">
        <w:t xml:space="preserve"> base case scenario,</w:t>
      </w:r>
      <w:r w:rsidR="00A06B18" w:rsidRPr="00A06B18">
        <w:t xml:space="preserve"> this decision </w:t>
      </w:r>
      <w:r w:rsidR="001C43B7">
        <w:t>w</w:t>
      </w:r>
      <w:r w:rsidR="00A06B18" w:rsidRPr="00A06B18">
        <w:t>ould be based on (in addition to ER</w:t>
      </w:r>
      <w:r w:rsidR="00897514">
        <w:t>/</w:t>
      </w:r>
      <w:proofErr w:type="spellStart"/>
      <w:r w:rsidR="00897514">
        <w:t>PR</w:t>
      </w:r>
      <w:r w:rsidR="00A06B18" w:rsidRPr="00A06B18">
        <w:t>+ve</w:t>
      </w:r>
      <w:proofErr w:type="spellEnd"/>
      <w:r w:rsidR="00A06B18" w:rsidRPr="00A06B18">
        <w:t xml:space="preserve">, HER2-ve status, tumour </w:t>
      </w:r>
      <w:r w:rsidR="001C43B7">
        <w:t>characteristics</w:t>
      </w:r>
      <w:r w:rsidR="00A06B18" w:rsidRPr="00A06B18">
        <w:t xml:space="preserve"> and nodal status) Ki67 status and</w:t>
      </w:r>
      <w:r>
        <w:t>/or</w:t>
      </w:r>
      <w:r w:rsidR="00A06B18" w:rsidRPr="00A06B18">
        <w:t xml:space="preserve"> other markers most likely to be used in the Australian population. Treatment with endocrine therapy is given to all patients, and adjuvant chemotherapy is administered to high risk and some intermediate risk patients. </w:t>
      </w:r>
    </w:p>
    <w:p w14:paraId="6F18DD60" w14:textId="77CEF119" w:rsidR="003B2639" w:rsidRDefault="003B2639" w:rsidP="001B29A1">
      <w:pPr>
        <w:ind w:left="426"/>
      </w:pPr>
      <w:r w:rsidRPr="001E6994">
        <w:t>In an alternative scenario,</w:t>
      </w:r>
      <w:r>
        <w:t xml:space="preserve"> the decision for treatment would be based on recent clinical guidelines, or an available GEP in addition to standard clinical factors.</w:t>
      </w:r>
      <w:r w:rsidR="00B10D0B">
        <w:t xml:space="preserve"> </w:t>
      </w:r>
      <w:r w:rsidR="00B10D0B" w:rsidRPr="00A06B18">
        <w:t>Treatment with endocrine therapy is given to all patients, and adjuvant chemotherapy is administered to high risk and some intermediate risk patients.</w:t>
      </w:r>
    </w:p>
    <w:p w14:paraId="6D89F165" w14:textId="57FF14EE" w:rsidR="00F7241F" w:rsidRDefault="00BA74DE" w:rsidP="001B29A1">
      <w:pPr>
        <w:ind w:left="426"/>
      </w:pPr>
      <w:r w:rsidDel="00BA74DE">
        <w:t xml:space="preserve"> </w:t>
      </w:r>
      <w:r w:rsidR="00F7241F">
        <w:t xml:space="preserve">(See attached document </w:t>
      </w:r>
      <w:r w:rsidR="00CD0AE1" w:rsidRPr="001E6994">
        <w:t>[</w:t>
      </w:r>
      <w:r w:rsidR="001E6994">
        <w:t>Clinical management algorithms.ppt</w:t>
      </w:r>
      <w:r w:rsidR="00CD0AE1">
        <w:t xml:space="preserve">] </w:t>
      </w:r>
      <w:r w:rsidR="00F7241F">
        <w:t>for current clinical pathway algorithm.)</w:t>
      </w:r>
    </w:p>
    <w:p w14:paraId="1D2F6DE3" w14:textId="77777777" w:rsidR="00CD0AE1" w:rsidRDefault="00CD0AE1" w:rsidP="001B29A1">
      <w:pPr>
        <w:ind w:left="426"/>
      </w:pPr>
    </w:p>
    <w:p w14:paraId="78AC0353" w14:textId="02A25523" w:rsidR="00A83EC6" w:rsidRPr="00154B00" w:rsidRDefault="00F7241F" w:rsidP="00530204">
      <w:pPr>
        <w:pStyle w:val="Heading2"/>
      </w:pPr>
      <w:r>
        <w:t xml:space="preserve"> </w:t>
      </w:r>
      <w:r w:rsidR="005C3AE7">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7A08925E" w14:textId="77777777" w:rsidR="001B29A1" w:rsidRDefault="00A06B18"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A615A">
        <w:rPr>
          <w:szCs w:val="20"/>
        </w:rPr>
      </w:r>
      <w:r w:rsidR="00BA615A">
        <w:rPr>
          <w:szCs w:val="20"/>
        </w:rPr>
        <w:fldChar w:fldCharType="separate"/>
      </w:r>
      <w:r>
        <w:rPr>
          <w:szCs w:val="20"/>
        </w:rPr>
        <w:fldChar w:fldCharType="end"/>
      </w:r>
      <w:r w:rsidR="001B29A1">
        <w:rPr>
          <w:szCs w:val="20"/>
        </w:rPr>
        <w:t xml:space="preserve"> Yes </w:t>
      </w:r>
    </w:p>
    <w:p w14:paraId="35E40CDF" w14:textId="77777777"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BA615A">
        <w:rPr>
          <w:szCs w:val="20"/>
        </w:rPr>
      </w:r>
      <w:r w:rsidR="00BA615A">
        <w:rPr>
          <w:szCs w:val="20"/>
        </w:rPr>
        <w:fldChar w:fldCharType="separate"/>
      </w:r>
      <w:r w:rsidRPr="00753C44">
        <w:rPr>
          <w:szCs w:val="20"/>
        </w:rPr>
        <w:fldChar w:fldCharType="end"/>
      </w:r>
      <w:r>
        <w:rPr>
          <w:szCs w:val="20"/>
        </w:rPr>
        <w:t xml:space="preserve"> No  </w:t>
      </w:r>
    </w:p>
    <w:p w14:paraId="08CE9012" w14:textId="77777777" w:rsidR="00E70D86" w:rsidRPr="00154B00"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14:paraId="69CB7107" w14:textId="0F479564" w:rsidR="00780FA1" w:rsidRDefault="00B10D0B" w:rsidP="001B29A1">
      <w:pPr>
        <w:ind w:left="426"/>
      </w:pPr>
      <w:r>
        <w:lastRenderedPageBreak/>
        <w:t>With regard to the primary comparator, t</w:t>
      </w:r>
      <w:r w:rsidR="00713379">
        <w:t>he proposed test would be used in addition to current markers and characteristics to assist in the treatment decision.</w:t>
      </w:r>
      <w:r w:rsidR="00780FA1">
        <w:t xml:space="preserve"> </w:t>
      </w:r>
      <w:r w:rsidR="00C85074">
        <w:t xml:space="preserve"> </w:t>
      </w:r>
    </w:p>
    <w:p w14:paraId="63B6A7A2" w14:textId="7B0BBDCF" w:rsidR="00780FA1" w:rsidRDefault="00B10D0B" w:rsidP="001B29A1">
      <w:pPr>
        <w:ind w:left="426"/>
      </w:pPr>
      <w:r>
        <w:t xml:space="preserve">With regard to the secondary comparators, </w:t>
      </w:r>
      <w:proofErr w:type="spellStart"/>
      <w:r w:rsidR="00780FA1">
        <w:t>Prosigna</w:t>
      </w:r>
      <w:proofErr w:type="spellEnd"/>
      <w:r>
        <w:t>®</w:t>
      </w:r>
      <w:r w:rsidR="00780FA1">
        <w:t xml:space="preserve"> </w:t>
      </w:r>
      <w:r>
        <w:t>would be</w:t>
      </w:r>
      <w:r w:rsidR="00780FA1">
        <w:t xml:space="preserve"> an alternative to </w:t>
      </w:r>
      <w:proofErr w:type="spellStart"/>
      <w:r w:rsidR="00780FA1">
        <w:t>Endopredict</w:t>
      </w:r>
      <w:proofErr w:type="spellEnd"/>
      <w:r w:rsidR="00EF6A9B">
        <w:t xml:space="preserve">®, </w:t>
      </w:r>
      <w:proofErr w:type="spellStart"/>
      <w:r w:rsidR="00780FA1">
        <w:t>Oncotype</w:t>
      </w:r>
      <w:proofErr w:type="spellEnd"/>
      <w:r w:rsidR="00780FA1">
        <w:t xml:space="preserve"> DX</w:t>
      </w:r>
      <w:r w:rsidR="00EF6A9B">
        <w:t xml:space="preserve">® and </w:t>
      </w:r>
      <w:proofErr w:type="spellStart"/>
      <w:r w:rsidR="00EF6A9B">
        <w:t>MammaPrint</w:t>
      </w:r>
      <w:proofErr w:type="spellEnd"/>
      <w:r w:rsidR="00EF6A9B">
        <w:t>®</w:t>
      </w:r>
      <w:r w:rsidR="00780FA1">
        <w:t xml:space="preserve">. </w:t>
      </w:r>
      <w:r>
        <w:t xml:space="preserve">(As the secondary comparators are </w:t>
      </w:r>
      <w:r w:rsidRPr="00B10D0B">
        <w:rPr>
          <w:u w:val="single"/>
        </w:rPr>
        <w:t>not</w:t>
      </w:r>
      <w:r>
        <w:t xml:space="preserve"> currently MBS listed, a clinical comparison would be provided in the submission but not an economic comparison)</w:t>
      </w:r>
    </w:p>
    <w:p w14:paraId="15739852" w14:textId="77777777" w:rsidR="00B10D0B" w:rsidRDefault="00B10D0B" w:rsidP="001B29A1">
      <w:pPr>
        <w:ind w:left="426"/>
      </w:pPr>
    </w:p>
    <w:p w14:paraId="58C88283"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1F43C3E4" w14:textId="36B7BDC8" w:rsidR="006572F0" w:rsidRDefault="006572F0" w:rsidP="00D10B47">
      <w:pPr>
        <w:pStyle w:val="ListParagraph"/>
        <w:ind w:left="360"/>
      </w:pPr>
      <w:r>
        <w:t>The proposed test would be used in addition to current clinical practice</w:t>
      </w:r>
      <w:r w:rsidR="00B962F6">
        <w:t xml:space="preserve"> (primary comparator)</w:t>
      </w:r>
      <w:r>
        <w:t xml:space="preserve"> for those patients who are not clearly suitable for endocrine therapy alone, or adjuvant chemotherapy. This group of patients, who could be classified as ‘intermediate risk’</w:t>
      </w:r>
      <w:r w:rsidR="00B962F6">
        <w:t>,</w:t>
      </w:r>
      <w:r>
        <w:t xml:space="preserve"> are the </w:t>
      </w:r>
      <w:r w:rsidR="00B962F6">
        <w:t>most difficult</w:t>
      </w:r>
      <w:r>
        <w:t xml:space="preserve"> </w:t>
      </w:r>
      <w:r w:rsidR="00B962F6">
        <w:t>for determining</w:t>
      </w:r>
      <w:r>
        <w:t xml:space="preserve"> treatment decision</w:t>
      </w:r>
      <w:r w:rsidR="00B962F6">
        <w:t>s</w:t>
      </w:r>
      <w:r>
        <w:t>. To assist in</w:t>
      </w:r>
      <w:r w:rsidR="003D2D57">
        <w:t xml:space="preserve"> the</w:t>
      </w:r>
      <w:r>
        <w:t xml:space="preserve"> treatment decision, a patient’s oncologist could order the </w:t>
      </w:r>
      <w:proofErr w:type="spellStart"/>
      <w:r>
        <w:t>Prosigna</w:t>
      </w:r>
      <w:proofErr w:type="spellEnd"/>
      <w:r w:rsidR="00B962F6">
        <w:t>®</w:t>
      </w:r>
      <w:r>
        <w:t xml:space="preserve"> assay, which would require retrieval of an FFPE sample of resected tumour. The assay would provide a ROR score </w:t>
      </w:r>
      <w:r w:rsidR="00377340">
        <w:t>generated by</w:t>
      </w:r>
      <w:r>
        <w:t xml:space="preserve"> the </w:t>
      </w:r>
      <w:proofErr w:type="spellStart"/>
      <w:r>
        <w:t>nCounter</w:t>
      </w:r>
      <w:proofErr w:type="spellEnd"/>
      <w:r w:rsidR="00B962F6">
        <w:t>®</w:t>
      </w:r>
      <w:r>
        <w:t xml:space="preserve"> Analysis System</w:t>
      </w:r>
      <w:r w:rsidR="00377340">
        <w:t xml:space="preserve"> </w:t>
      </w:r>
      <w:r w:rsidR="00B962F6">
        <w:t>which is</w:t>
      </w:r>
      <w:r w:rsidR="00377340">
        <w:t xml:space="preserve"> based on intrinsic subtype, proliferation score and tumour size</w:t>
      </w:r>
      <w:r>
        <w:t>.</w:t>
      </w:r>
      <w:r w:rsidR="00377340">
        <w:t xml:space="preserve"> The patient would be assigned to therapy based on </w:t>
      </w:r>
      <w:r w:rsidR="00B962F6">
        <w:t xml:space="preserve">the </w:t>
      </w:r>
      <w:r w:rsidR="00377340">
        <w:t>ROR score on a scale of 1 – 100</w:t>
      </w:r>
      <w:r w:rsidR="00815BD6">
        <w:t xml:space="preserve"> (</w:t>
      </w:r>
      <w:r w:rsidR="00815BD6">
        <w:fldChar w:fldCharType="begin"/>
      </w:r>
      <w:r w:rsidR="00815BD6">
        <w:instrText xml:space="preserve"> REF _Ref465353583 \h </w:instrText>
      </w:r>
      <w:r w:rsidR="00815BD6">
        <w:fldChar w:fldCharType="separate"/>
      </w:r>
      <w:r w:rsidR="00AE5CB1" w:rsidRPr="00377340">
        <w:rPr>
          <w:szCs w:val="20"/>
        </w:rPr>
        <w:t xml:space="preserve">Table </w:t>
      </w:r>
      <w:r w:rsidR="00AE5CB1">
        <w:rPr>
          <w:szCs w:val="20"/>
        </w:rPr>
        <w:t>7</w:t>
      </w:r>
      <w:r w:rsidR="00815BD6">
        <w:fldChar w:fldCharType="end"/>
      </w:r>
      <w:r w:rsidR="00815BD6">
        <w:t>) and nodal status</w:t>
      </w:r>
      <w:r w:rsidR="00377340">
        <w:t>.</w:t>
      </w:r>
      <w:r w:rsidR="00815BD6">
        <w:t xml:space="preserve"> Risk categories identified by </w:t>
      </w:r>
      <w:proofErr w:type="spellStart"/>
      <w:r w:rsidR="00815BD6">
        <w:t>Prosigna</w:t>
      </w:r>
      <w:proofErr w:type="spellEnd"/>
      <w:r w:rsidR="00B962F6">
        <w:t>®</w:t>
      </w:r>
      <w:r w:rsidR="00815BD6">
        <w:t xml:space="preserve"> are described in</w:t>
      </w:r>
      <w:r w:rsidR="00B962F6">
        <w:t xml:space="preserve"> Table 8</w:t>
      </w:r>
      <w:r w:rsidR="00815BD6">
        <w:t>.</w:t>
      </w:r>
    </w:p>
    <w:p w14:paraId="05BED5AD" w14:textId="77777777" w:rsidR="00377340" w:rsidRDefault="00377340" w:rsidP="00D10B47">
      <w:pPr>
        <w:pStyle w:val="ListParagraph"/>
        <w:ind w:left="360"/>
      </w:pPr>
    </w:p>
    <w:p w14:paraId="05180B25" w14:textId="0FC4CE0A" w:rsidR="00377340" w:rsidRPr="00377340" w:rsidRDefault="00377340" w:rsidP="00897514">
      <w:pPr>
        <w:pStyle w:val="Caption"/>
        <w:spacing w:after="120"/>
        <w:ind w:left="426"/>
        <w:rPr>
          <w:sz w:val="20"/>
          <w:szCs w:val="20"/>
        </w:rPr>
      </w:pPr>
      <w:bookmarkStart w:id="6" w:name="_Ref465353583"/>
      <w:r w:rsidRPr="00377340">
        <w:rPr>
          <w:sz w:val="20"/>
          <w:szCs w:val="20"/>
        </w:rPr>
        <w:t xml:space="preserve">Table </w:t>
      </w:r>
      <w:r w:rsidRPr="00377340">
        <w:rPr>
          <w:sz w:val="20"/>
          <w:szCs w:val="20"/>
        </w:rPr>
        <w:fldChar w:fldCharType="begin"/>
      </w:r>
      <w:r w:rsidRPr="00377340">
        <w:rPr>
          <w:sz w:val="20"/>
          <w:szCs w:val="20"/>
        </w:rPr>
        <w:instrText xml:space="preserve"> SEQ Table \* ARABIC </w:instrText>
      </w:r>
      <w:r w:rsidRPr="00377340">
        <w:rPr>
          <w:sz w:val="20"/>
          <w:szCs w:val="20"/>
        </w:rPr>
        <w:fldChar w:fldCharType="separate"/>
      </w:r>
      <w:r w:rsidR="003E6138">
        <w:rPr>
          <w:sz w:val="20"/>
          <w:szCs w:val="20"/>
        </w:rPr>
        <w:t>7</w:t>
      </w:r>
      <w:r w:rsidRPr="00377340">
        <w:rPr>
          <w:sz w:val="20"/>
          <w:szCs w:val="20"/>
        </w:rPr>
        <w:fldChar w:fldCharType="end"/>
      </w:r>
      <w:bookmarkEnd w:id="6"/>
      <w:r>
        <w:rPr>
          <w:sz w:val="20"/>
          <w:szCs w:val="20"/>
        </w:rPr>
        <w:tab/>
      </w:r>
      <w:proofErr w:type="spellStart"/>
      <w:r>
        <w:rPr>
          <w:sz w:val="20"/>
          <w:szCs w:val="20"/>
        </w:rPr>
        <w:t>Prosigna</w:t>
      </w:r>
      <w:proofErr w:type="spellEnd"/>
      <w:r w:rsidR="00B962F6">
        <w:rPr>
          <w:sz w:val="20"/>
          <w:szCs w:val="20"/>
        </w:rPr>
        <w:t>®</w:t>
      </w:r>
      <w:r>
        <w:rPr>
          <w:sz w:val="20"/>
          <w:szCs w:val="20"/>
        </w:rPr>
        <w:t xml:space="preserve"> risk classification by ROR score and nodal status</w:t>
      </w:r>
    </w:p>
    <w:tbl>
      <w:tblPr>
        <w:tblStyle w:val="TableGrid"/>
        <w:tblW w:w="0" w:type="auto"/>
        <w:tblInd w:w="360" w:type="dxa"/>
        <w:tblLook w:val="04A0" w:firstRow="1" w:lastRow="0" w:firstColumn="1" w:lastColumn="0" w:noHBand="0" w:noVBand="1"/>
        <w:tblDescription w:val="Table 7 Prosigna® risk classification by ROR score and nodal status"/>
      </w:tblPr>
      <w:tblGrid>
        <w:gridCol w:w="2871"/>
        <w:gridCol w:w="2882"/>
        <w:gridCol w:w="2903"/>
      </w:tblGrid>
      <w:tr w:rsidR="00377340" w:rsidRPr="00815BD6" w14:paraId="71A3FDCC" w14:textId="77777777" w:rsidTr="00A65F2D">
        <w:trPr>
          <w:tblHeader/>
        </w:trPr>
        <w:tc>
          <w:tcPr>
            <w:tcW w:w="2871" w:type="dxa"/>
          </w:tcPr>
          <w:p w14:paraId="06702DE3" w14:textId="77777777" w:rsidR="00377340" w:rsidRPr="00815BD6" w:rsidRDefault="00377340" w:rsidP="00897514">
            <w:pPr>
              <w:pStyle w:val="ListParagraph"/>
              <w:spacing w:before="60"/>
              <w:ind w:left="0"/>
              <w:jc w:val="center"/>
              <w:rPr>
                <w:rFonts w:ascii="Arial Narrow" w:hAnsi="Arial Narrow"/>
                <w:b/>
                <w:sz w:val="18"/>
                <w:szCs w:val="18"/>
              </w:rPr>
            </w:pPr>
            <w:r w:rsidRPr="00815BD6">
              <w:rPr>
                <w:rFonts w:ascii="Arial Narrow" w:hAnsi="Arial Narrow"/>
                <w:b/>
                <w:sz w:val="18"/>
                <w:szCs w:val="18"/>
              </w:rPr>
              <w:t>Nodal status</w:t>
            </w:r>
          </w:p>
        </w:tc>
        <w:tc>
          <w:tcPr>
            <w:tcW w:w="2882" w:type="dxa"/>
          </w:tcPr>
          <w:p w14:paraId="189D0DB9" w14:textId="569877E2" w:rsidR="00377340" w:rsidRPr="00815BD6" w:rsidRDefault="00377340" w:rsidP="00897514">
            <w:pPr>
              <w:pStyle w:val="ListParagraph"/>
              <w:spacing w:before="60"/>
              <w:ind w:left="0"/>
              <w:contextualSpacing w:val="0"/>
              <w:jc w:val="center"/>
              <w:rPr>
                <w:rFonts w:ascii="Arial Narrow" w:hAnsi="Arial Narrow"/>
                <w:b/>
                <w:sz w:val="18"/>
                <w:szCs w:val="18"/>
              </w:rPr>
            </w:pPr>
            <w:proofErr w:type="spellStart"/>
            <w:r w:rsidRPr="00815BD6">
              <w:rPr>
                <w:rFonts w:ascii="Arial Narrow" w:hAnsi="Arial Narrow"/>
                <w:b/>
                <w:sz w:val="18"/>
                <w:szCs w:val="18"/>
              </w:rPr>
              <w:t>Prosigna</w:t>
            </w:r>
            <w:proofErr w:type="spellEnd"/>
            <w:r w:rsidR="00B962F6">
              <w:rPr>
                <w:rFonts w:ascii="Arial Narrow" w:hAnsi="Arial Narrow"/>
                <w:b/>
                <w:sz w:val="18"/>
                <w:szCs w:val="18"/>
              </w:rPr>
              <w:t>®</w:t>
            </w:r>
            <w:r w:rsidRPr="00815BD6">
              <w:rPr>
                <w:rFonts w:ascii="Arial Narrow" w:hAnsi="Arial Narrow"/>
                <w:b/>
                <w:sz w:val="18"/>
                <w:szCs w:val="18"/>
              </w:rPr>
              <w:t xml:space="preserve"> score range</w:t>
            </w:r>
          </w:p>
        </w:tc>
        <w:tc>
          <w:tcPr>
            <w:tcW w:w="2903" w:type="dxa"/>
          </w:tcPr>
          <w:p w14:paraId="5C2424C8" w14:textId="77777777" w:rsidR="00377340" w:rsidRPr="00815BD6" w:rsidRDefault="00377340" w:rsidP="00897514">
            <w:pPr>
              <w:pStyle w:val="ListParagraph"/>
              <w:spacing w:before="60"/>
              <w:ind w:left="0"/>
              <w:contextualSpacing w:val="0"/>
              <w:jc w:val="center"/>
              <w:rPr>
                <w:rFonts w:ascii="Arial Narrow" w:hAnsi="Arial Narrow"/>
                <w:b/>
                <w:sz w:val="18"/>
                <w:szCs w:val="18"/>
              </w:rPr>
            </w:pPr>
            <w:r w:rsidRPr="00815BD6">
              <w:rPr>
                <w:rFonts w:ascii="Arial Narrow" w:hAnsi="Arial Narrow"/>
                <w:b/>
                <w:sz w:val="18"/>
                <w:szCs w:val="18"/>
              </w:rPr>
              <w:t>Risk classification</w:t>
            </w:r>
          </w:p>
        </w:tc>
      </w:tr>
      <w:tr w:rsidR="00815BD6" w:rsidRPr="00815BD6" w14:paraId="4BECA308" w14:textId="77777777" w:rsidTr="00A65F2D">
        <w:trPr>
          <w:tblHeader/>
        </w:trPr>
        <w:tc>
          <w:tcPr>
            <w:tcW w:w="2871" w:type="dxa"/>
            <w:vMerge w:val="restart"/>
          </w:tcPr>
          <w:p w14:paraId="3B4C5F97" w14:textId="77777777" w:rsidR="00815BD6" w:rsidRPr="00815BD6" w:rsidRDefault="00815BD6" w:rsidP="00897514">
            <w:pPr>
              <w:pStyle w:val="ListParagraph"/>
              <w:spacing w:before="60"/>
              <w:ind w:left="0"/>
              <w:rPr>
                <w:rFonts w:ascii="Arial Narrow" w:hAnsi="Arial Narrow"/>
                <w:sz w:val="18"/>
                <w:szCs w:val="18"/>
              </w:rPr>
            </w:pPr>
            <w:r w:rsidRPr="00815BD6">
              <w:rPr>
                <w:rFonts w:ascii="Arial Narrow" w:hAnsi="Arial Narrow"/>
                <w:sz w:val="18"/>
                <w:szCs w:val="18"/>
              </w:rPr>
              <w:t>Node negative</w:t>
            </w:r>
          </w:p>
        </w:tc>
        <w:tc>
          <w:tcPr>
            <w:tcW w:w="2882" w:type="dxa"/>
          </w:tcPr>
          <w:p w14:paraId="7BFBEDA8" w14:textId="77777777" w:rsidR="00815BD6" w:rsidRPr="00815BD6" w:rsidRDefault="00815BD6" w:rsidP="00897514">
            <w:pPr>
              <w:pStyle w:val="ListParagraph"/>
              <w:spacing w:before="60"/>
              <w:ind w:left="0"/>
              <w:contextualSpacing w:val="0"/>
              <w:jc w:val="center"/>
              <w:rPr>
                <w:rFonts w:ascii="Arial Narrow" w:hAnsi="Arial Narrow"/>
                <w:sz w:val="18"/>
                <w:szCs w:val="18"/>
              </w:rPr>
            </w:pPr>
            <w:r w:rsidRPr="00815BD6">
              <w:rPr>
                <w:rFonts w:ascii="Arial Narrow" w:hAnsi="Arial Narrow"/>
                <w:sz w:val="18"/>
                <w:szCs w:val="18"/>
              </w:rPr>
              <w:t>0 - 40</w:t>
            </w:r>
          </w:p>
        </w:tc>
        <w:tc>
          <w:tcPr>
            <w:tcW w:w="2903" w:type="dxa"/>
          </w:tcPr>
          <w:p w14:paraId="0AD94304" w14:textId="77777777" w:rsidR="00815BD6" w:rsidRPr="00815BD6" w:rsidRDefault="00815BD6" w:rsidP="00897514">
            <w:pPr>
              <w:pStyle w:val="ListParagraph"/>
              <w:spacing w:before="60"/>
              <w:ind w:left="0"/>
              <w:contextualSpacing w:val="0"/>
              <w:jc w:val="center"/>
              <w:rPr>
                <w:rFonts w:ascii="Arial Narrow" w:hAnsi="Arial Narrow"/>
                <w:sz w:val="18"/>
                <w:szCs w:val="18"/>
              </w:rPr>
            </w:pPr>
            <w:r w:rsidRPr="00815BD6">
              <w:rPr>
                <w:rFonts w:ascii="Arial Narrow" w:hAnsi="Arial Narrow"/>
                <w:sz w:val="18"/>
                <w:szCs w:val="18"/>
              </w:rPr>
              <w:t>Low</w:t>
            </w:r>
          </w:p>
        </w:tc>
      </w:tr>
      <w:tr w:rsidR="00815BD6" w:rsidRPr="00815BD6" w14:paraId="47B0CD93" w14:textId="77777777" w:rsidTr="00A65F2D">
        <w:trPr>
          <w:tblHeader/>
        </w:trPr>
        <w:tc>
          <w:tcPr>
            <w:tcW w:w="2871" w:type="dxa"/>
            <w:vMerge/>
          </w:tcPr>
          <w:p w14:paraId="503734AF" w14:textId="77777777" w:rsidR="00815BD6" w:rsidRPr="00815BD6" w:rsidRDefault="00815BD6" w:rsidP="00897514">
            <w:pPr>
              <w:pStyle w:val="ListParagraph"/>
              <w:spacing w:before="60"/>
              <w:ind w:left="0"/>
              <w:rPr>
                <w:rFonts w:ascii="Arial Narrow" w:hAnsi="Arial Narrow"/>
                <w:sz w:val="18"/>
                <w:szCs w:val="18"/>
              </w:rPr>
            </w:pPr>
          </w:p>
        </w:tc>
        <w:tc>
          <w:tcPr>
            <w:tcW w:w="2882" w:type="dxa"/>
          </w:tcPr>
          <w:p w14:paraId="70ED020D" w14:textId="77777777" w:rsidR="00815BD6" w:rsidRPr="00815BD6" w:rsidRDefault="00815BD6" w:rsidP="00897514">
            <w:pPr>
              <w:pStyle w:val="ListParagraph"/>
              <w:spacing w:before="60"/>
              <w:ind w:left="0"/>
              <w:contextualSpacing w:val="0"/>
              <w:jc w:val="center"/>
              <w:rPr>
                <w:rFonts w:ascii="Arial Narrow" w:hAnsi="Arial Narrow"/>
                <w:sz w:val="18"/>
                <w:szCs w:val="18"/>
              </w:rPr>
            </w:pPr>
            <w:r w:rsidRPr="00815BD6">
              <w:rPr>
                <w:rFonts w:ascii="Arial Narrow" w:hAnsi="Arial Narrow"/>
                <w:sz w:val="18"/>
                <w:szCs w:val="18"/>
              </w:rPr>
              <w:t>41 - 60</w:t>
            </w:r>
          </w:p>
        </w:tc>
        <w:tc>
          <w:tcPr>
            <w:tcW w:w="2903" w:type="dxa"/>
          </w:tcPr>
          <w:p w14:paraId="4F749CD1" w14:textId="77777777" w:rsidR="00815BD6" w:rsidRPr="00815BD6" w:rsidRDefault="00815BD6" w:rsidP="00897514">
            <w:pPr>
              <w:pStyle w:val="ListParagraph"/>
              <w:spacing w:before="60"/>
              <w:ind w:left="0"/>
              <w:contextualSpacing w:val="0"/>
              <w:jc w:val="center"/>
              <w:rPr>
                <w:rFonts w:ascii="Arial Narrow" w:hAnsi="Arial Narrow"/>
                <w:sz w:val="18"/>
                <w:szCs w:val="18"/>
              </w:rPr>
            </w:pPr>
            <w:r w:rsidRPr="00815BD6">
              <w:rPr>
                <w:rFonts w:ascii="Arial Narrow" w:hAnsi="Arial Narrow"/>
                <w:sz w:val="18"/>
                <w:szCs w:val="18"/>
              </w:rPr>
              <w:t>Intermediate</w:t>
            </w:r>
          </w:p>
        </w:tc>
      </w:tr>
      <w:tr w:rsidR="00815BD6" w:rsidRPr="00815BD6" w14:paraId="0391E789" w14:textId="77777777" w:rsidTr="00A65F2D">
        <w:trPr>
          <w:tblHeader/>
        </w:trPr>
        <w:tc>
          <w:tcPr>
            <w:tcW w:w="2871" w:type="dxa"/>
            <w:vMerge/>
          </w:tcPr>
          <w:p w14:paraId="64CB5D76" w14:textId="77777777" w:rsidR="00815BD6" w:rsidRPr="00815BD6" w:rsidRDefault="00815BD6" w:rsidP="00897514">
            <w:pPr>
              <w:pStyle w:val="ListParagraph"/>
              <w:spacing w:before="60"/>
              <w:ind w:left="0"/>
              <w:rPr>
                <w:rFonts w:ascii="Arial Narrow" w:hAnsi="Arial Narrow"/>
                <w:sz w:val="18"/>
                <w:szCs w:val="18"/>
              </w:rPr>
            </w:pPr>
          </w:p>
        </w:tc>
        <w:tc>
          <w:tcPr>
            <w:tcW w:w="2882" w:type="dxa"/>
          </w:tcPr>
          <w:p w14:paraId="68CD68A2" w14:textId="77777777" w:rsidR="00815BD6" w:rsidRPr="00815BD6" w:rsidRDefault="00815BD6" w:rsidP="00897514">
            <w:pPr>
              <w:pStyle w:val="ListParagraph"/>
              <w:spacing w:before="60"/>
              <w:ind w:left="0"/>
              <w:contextualSpacing w:val="0"/>
              <w:jc w:val="center"/>
              <w:rPr>
                <w:rFonts w:ascii="Arial Narrow" w:hAnsi="Arial Narrow"/>
                <w:sz w:val="18"/>
                <w:szCs w:val="18"/>
              </w:rPr>
            </w:pPr>
            <w:r w:rsidRPr="00815BD6">
              <w:rPr>
                <w:rFonts w:ascii="Arial Narrow" w:hAnsi="Arial Narrow"/>
                <w:sz w:val="18"/>
                <w:szCs w:val="18"/>
              </w:rPr>
              <w:t>61 - 100</w:t>
            </w:r>
          </w:p>
        </w:tc>
        <w:tc>
          <w:tcPr>
            <w:tcW w:w="2903" w:type="dxa"/>
          </w:tcPr>
          <w:p w14:paraId="2B33F6DB" w14:textId="77777777" w:rsidR="00815BD6" w:rsidRPr="00815BD6" w:rsidRDefault="00815BD6" w:rsidP="00897514">
            <w:pPr>
              <w:pStyle w:val="ListParagraph"/>
              <w:spacing w:before="60"/>
              <w:ind w:left="0"/>
              <w:contextualSpacing w:val="0"/>
              <w:jc w:val="center"/>
              <w:rPr>
                <w:rFonts w:ascii="Arial Narrow" w:hAnsi="Arial Narrow"/>
                <w:sz w:val="18"/>
                <w:szCs w:val="18"/>
              </w:rPr>
            </w:pPr>
            <w:r w:rsidRPr="00815BD6">
              <w:rPr>
                <w:rFonts w:ascii="Arial Narrow" w:hAnsi="Arial Narrow"/>
                <w:sz w:val="18"/>
                <w:szCs w:val="18"/>
              </w:rPr>
              <w:t>High</w:t>
            </w:r>
          </w:p>
        </w:tc>
      </w:tr>
      <w:tr w:rsidR="00815BD6" w:rsidRPr="00815BD6" w14:paraId="0819C230" w14:textId="77777777" w:rsidTr="00A65F2D">
        <w:trPr>
          <w:tblHeader/>
        </w:trPr>
        <w:tc>
          <w:tcPr>
            <w:tcW w:w="2871" w:type="dxa"/>
            <w:vMerge w:val="restart"/>
          </w:tcPr>
          <w:p w14:paraId="0F6C1A2F" w14:textId="77777777" w:rsidR="00815BD6" w:rsidRPr="00815BD6" w:rsidRDefault="00815BD6" w:rsidP="00897514">
            <w:pPr>
              <w:pStyle w:val="ListParagraph"/>
              <w:spacing w:before="60"/>
              <w:ind w:left="0"/>
              <w:rPr>
                <w:rFonts w:ascii="Arial Narrow" w:hAnsi="Arial Narrow"/>
                <w:sz w:val="18"/>
                <w:szCs w:val="18"/>
              </w:rPr>
            </w:pPr>
            <w:r w:rsidRPr="00815BD6">
              <w:rPr>
                <w:rFonts w:ascii="Arial Narrow" w:hAnsi="Arial Narrow"/>
                <w:sz w:val="18"/>
                <w:szCs w:val="18"/>
              </w:rPr>
              <w:t>Node positive (1-3 nodes)</w:t>
            </w:r>
          </w:p>
        </w:tc>
        <w:tc>
          <w:tcPr>
            <w:tcW w:w="2882" w:type="dxa"/>
          </w:tcPr>
          <w:p w14:paraId="41354561" w14:textId="77777777" w:rsidR="00815BD6" w:rsidRPr="00815BD6" w:rsidRDefault="00815BD6" w:rsidP="00897514">
            <w:pPr>
              <w:pStyle w:val="ListParagraph"/>
              <w:spacing w:before="60"/>
              <w:ind w:left="0"/>
              <w:contextualSpacing w:val="0"/>
              <w:jc w:val="center"/>
              <w:rPr>
                <w:rFonts w:ascii="Arial Narrow" w:hAnsi="Arial Narrow"/>
                <w:sz w:val="18"/>
                <w:szCs w:val="18"/>
              </w:rPr>
            </w:pPr>
            <w:r w:rsidRPr="00815BD6">
              <w:rPr>
                <w:rFonts w:ascii="Arial Narrow" w:hAnsi="Arial Narrow"/>
                <w:sz w:val="18"/>
                <w:szCs w:val="18"/>
              </w:rPr>
              <w:t>0 - 15</w:t>
            </w:r>
          </w:p>
        </w:tc>
        <w:tc>
          <w:tcPr>
            <w:tcW w:w="2903" w:type="dxa"/>
          </w:tcPr>
          <w:p w14:paraId="33B37EF1" w14:textId="77777777" w:rsidR="00815BD6" w:rsidRPr="00815BD6" w:rsidRDefault="00815BD6" w:rsidP="00897514">
            <w:pPr>
              <w:pStyle w:val="ListParagraph"/>
              <w:spacing w:before="60"/>
              <w:ind w:left="0"/>
              <w:contextualSpacing w:val="0"/>
              <w:jc w:val="center"/>
              <w:rPr>
                <w:rFonts w:ascii="Arial Narrow" w:hAnsi="Arial Narrow"/>
                <w:sz w:val="18"/>
                <w:szCs w:val="18"/>
              </w:rPr>
            </w:pPr>
            <w:r w:rsidRPr="00815BD6">
              <w:rPr>
                <w:rFonts w:ascii="Arial Narrow" w:hAnsi="Arial Narrow"/>
                <w:sz w:val="18"/>
                <w:szCs w:val="18"/>
              </w:rPr>
              <w:t>Low</w:t>
            </w:r>
          </w:p>
        </w:tc>
      </w:tr>
      <w:tr w:rsidR="00815BD6" w:rsidRPr="00815BD6" w14:paraId="7F4100F3" w14:textId="77777777" w:rsidTr="00A65F2D">
        <w:trPr>
          <w:tblHeader/>
        </w:trPr>
        <w:tc>
          <w:tcPr>
            <w:tcW w:w="2871" w:type="dxa"/>
            <w:vMerge/>
          </w:tcPr>
          <w:p w14:paraId="5F3B6EB9" w14:textId="77777777" w:rsidR="00815BD6" w:rsidRPr="00815BD6" w:rsidRDefault="00815BD6" w:rsidP="00897514">
            <w:pPr>
              <w:pStyle w:val="ListParagraph"/>
              <w:spacing w:before="60"/>
              <w:ind w:left="0"/>
              <w:rPr>
                <w:rFonts w:ascii="Arial Narrow" w:hAnsi="Arial Narrow"/>
                <w:sz w:val="18"/>
                <w:szCs w:val="18"/>
              </w:rPr>
            </w:pPr>
          </w:p>
        </w:tc>
        <w:tc>
          <w:tcPr>
            <w:tcW w:w="2882" w:type="dxa"/>
          </w:tcPr>
          <w:p w14:paraId="06138D65" w14:textId="77777777" w:rsidR="00815BD6" w:rsidRPr="00815BD6" w:rsidRDefault="00815BD6" w:rsidP="00897514">
            <w:pPr>
              <w:pStyle w:val="ListParagraph"/>
              <w:spacing w:before="60"/>
              <w:ind w:left="0"/>
              <w:contextualSpacing w:val="0"/>
              <w:jc w:val="center"/>
              <w:rPr>
                <w:rFonts w:ascii="Arial Narrow" w:hAnsi="Arial Narrow"/>
                <w:sz w:val="18"/>
                <w:szCs w:val="18"/>
              </w:rPr>
            </w:pPr>
            <w:r w:rsidRPr="00815BD6">
              <w:rPr>
                <w:rFonts w:ascii="Arial Narrow" w:hAnsi="Arial Narrow"/>
                <w:sz w:val="18"/>
                <w:szCs w:val="18"/>
              </w:rPr>
              <w:t>16 - 40</w:t>
            </w:r>
          </w:p>
        </w:tc>
        <w:tc>
          <w:tcPr>
            <w:tcW w:w="2903" w:type="dxa"/>
          </w:tcPr>
          <w:p w14:paraId="37241B88" w14:textId="77777777" w:rsidR="00815BD6" w:rsidRPr="00815BD6" w:rsidRDefault="00815BD6" w:rsidP="00897514">
            <w:pPr>
              <w:pStyle w:val="ListParagraph"/>
              <w:spacing w:before="60"/>
              <w:ind w:left="0"/>
              <w:contextualSpacing w:val="0"/>
              <w:jc w:val="center"/>
              <w:rPr>
                <w:rFonts w:ascii="Arial Narrow" w:hAnsi="Arial Narrow"/>
                <w:sz w:val="18"/>
                <w:szCs w:val="18"/>
              </w:rPr>
            </w:pPr>
            <w:r w:rsidRPr="00815BD6">
              <w:rPr>
                <w:rFonts w:ascii="Arial Narrow" w:hAnsi="Arial Narrow"/>
                <w:sz w:val="18"/>
                <w:szCs w:val="18"/>
              </w:rPr>
              <w:t>Intermediate</w:t>
            </w:r>
          </w:p>
        </w:tc>
      </w:tr>
      <w:tr w:rsidR="00815BD6" w:rsidRPr="00815BD6" w14:paraId="25946708" w14:textId="77777777" w:rsidTr="00A65F2D">
        <w:trPr>
          <w:tblHeader/>
        </w:trPr>
        <w:tc>
          <w:tcPr>
            <w:tcW w:w="2871" w:type="dxa"/>
            <w:vMerge/>
          </w:tcPr>
          <w:p w14:paraId="7BCE7497" w14:textId="77777777" w:rsidR="00815BD6" w:rsidRPr="00815BD6" w:rsidRDefault="00815BD6" w:rsidP="00897514">
            <w:pPr>
              <w:pStyle w:val="ListParagraph"/>
              <w:spacing w:before="60"/>
              <w:ind w:left="0"/>
              <w:rPr>
                <w:rFonts w:ascii="Arial Narrow" w:hAnsi="Arial Narrow"/>
                <w:sz w:val="18"/>
                <w:szCs w:val="18"/>
              </w:rPr>
            </w:pPr>
          </w:p>
        </w:tc>
        <w:tc>
          <w:tcPr>
            <w:tcW w:w="2882" w:type="dxa"/>
          </w:tcPr>
          <w:p w14:paraId="3A5BD10C" w14:textId="77777777" w:rsidR="00815BD6" w:rsidRPr="00815BD6" w:rsidRDefault="00815BD6" w:rsidP="00897514">
            <w:pPr>
              <w:pStyle w:val="ListParagraph"/>
              <w:spacing w:before="60"/>
              <w:ind w:left="0"/>
              <w:contextualSpacing w:val="0"/>
              <w:jc w:val="center"/>
              <w:rPr>
                <w:rFonts w:ascii="Arial Narrow" w:hAnsi="Arial Narrow"/>
                <w:sz w:val="18"/>
                <w:szCs w:val="18"/>
              </w:rPr>
            </w:pPr>
            <w:r w:rsidRPr="00815BD6">
              <w:rPr>
                <w:rFonts w:ascii="Arial Narrow" w:hAnsi="Arial Narrow"/>
                <w:sz w:val="18"/>
                <w:szCs w:val="18"/>
              </w:rPr>
              <w:t>41 - 100</w:t>
            </w:r>
          </w:p>
        </w:tc>
        <w:tc>
          <w:tcPr>
            <w:tcW w:w="2903" w:type="dxa"/>
          </w:tcPr>
          <w:p w14:paraId="6F6F8D80" w14:textId="77777777" w:rsidR="00815BD6" w:rsidRPr="00815BD6" w:rsidRDefault="00815BD6" w:rsidP="00897514">
            <w:pPr>
              <w:pStyle w:val="ListParagraph"/>
              <w:spacing w:before="60"/>
              <w:ind w:left="0"/>
              <w:contextualSpacing w:val="0"/>
              <w:jc w:val="center"/>
              <w:rPr>
                <w:rFonts w:ascii="Arial Narrow" w:hAnsi="Arial Narrow"/>
                <w:sz w:val="18"/>
                <w:szCs w:val="18"/>
              </w:rPr>
            </w:pPr>
            <w:r w:rsidRPr="00815BD6">
              <w:rPr>
                <w:rFonts w:ascii="Arial Narrow" w:hAnsi="Arial Narrow"/>
                <w:sz w:val="18"/>
                <w:szCs w:val="18"/>
              </w:rPr>
              <w:t>High</w:t>
            </w:r>
          </w:p>
        </w:tc>
      </w:tr>
      <w:tr w:rsidR="00377340" w:rsidRPr="00815BD6" w14:paraId="7FA772BB" w14:textId="77777777" w:rsidTr="00A65F2D">
        <w:trPr>
          <w:tblHeader/>
        </w:trPr>
        <w:tc>
          <w:tcPr>
            <w:tcW w:w="2871" w:type="dxa"/>
          </w:tcPr>
          <w:p w14:paraId="49415760" w14:textId="77777777" w:rsidR="00377340" w:rsidRPr="00815BD6" w:rsidRDefault="00815BD6" w:rsidP="00897514">
            <w:pPr>
              <w:pStyle w:val="ListParagraph"/>
              <w:spacing w:before="60"/>
              <w:ind w:left="0"/>
              <w:rPr>
                <w:rFonts w:ascii="Arial Narrow" w:hAnsi="Arial Narrow"/>
                <w:sz w:val="18"/>
                <w:szCs w:val="18"/>
              </w:rPr>
            </w:pPr>
            <w:r w:rsidRPr="00815BD6">
              <w:rPr>
                <w:rFonts w:ascii="Arial Narrow" w:hAnsi="Arial Narrow"/>
                <w:sz w:val="18"/>
                <w:szCs w:val="18"/>
              </w:rPr>
              <w:t>Node positive (≥4 nodes)</w:t>
            </w:r>
          </w:p>
        </w:tc>
        <w:tc>
          <w:tcPr>
            <w:tcW w:w="2882" w:type="dxa"/>
          </w:tcPr>
          <w:p w14:paraId="6AC1E3ED" w14:textId="77777777" w:rsidR="00377340" w:rsidRPr="00815BD6" w:rsidRDefault="00815BD6" w:rsidP="00897514">
            <w:pPr>
              <w:pStyle w:val="ListParagraph"/>
              <w:spacing w:before="60"/>
              <w:ind w:left="0"/>
              <w:contextualSpacing w:val="0"/>
              <w:jc w:val="center"/>
              <w:rPr>
                <w:rFonts w:ascii="Arial Narrow" w:hAnsi="Arial Narrow"/>
                <w:sz w:val="18"/>
                <w:szCs w:val="18"/>
              </w:rPr>
            </w:pPr>
            <w:r w:rsidRPr="00815BD6">
              <w:rPr>
                <w:rFonts w:ascii="Arial Narrow" w:hAnsi="Arial Narrow"/>
                <w:sz w:val="18"/>
                <w:szCs w:val="18"/>
              </w:rPr>
              <w:t>0 - 100</w:t>
            </w:r>
          </w:p>
        </w:tc>
        <w:tc>
          <w:tcPr>
            <w:tcW w:w="2903" w:type="dxa"/>
          </w:tcPr>
          <w:p w14:paraId="2B51E413" w14:textId="77777777" w:rsidR="00377340" w:rsidRPr="00815BD6" w:rsidRDefault="00815BD6" w:rsidP="00897514">
            <w:pPr>
              <w:pStyle w:val="ListParagraph"/>
              <w:spacing w:before="60"/>
              <w:ind w:left="0"/>
              <w:contextualSpacing w:val="0"/>
              <w:jc w:val="center"/>
              <w:rPr>
                <w:rFonts w:ascii="Arial Narrow" w:hAnsi="Arial Narrow"/>
                <w:sz w:val="18"/>
                <w:szCs w:val="18"/>
              </w:rPr>
            </w:pPr>
            <w:r w:rsidRPr="00815BD6">
              <w:rPr>
                <w:rFonts w:ascii="Arial Narrow" w:hAnsi="Arial Narrow"/>
                <w:sz w:val="18"/>
                <w:szCs w:val="18"/>
              </w:rPr>
              <w:t>High</w:t>
            </w:r>
          </w:p>
        </w:tc>
      </w:tr>
    </w:tbl>
    <w:p w14:paraId="4B118CC0" w14:textId="5F3A24AE" w:rsidR="00B962F6" w:rsidRDefault="00B962F6" w:rsidP="00B962F6">
      <w:pPr>
        <w:pStyle w:val="ListParagraph"/>
        <w:spacing w:before="60" w:after="60"/>
        <w:ind w:left="357"/>
        <w:rPr>
          <w:rFonts w:ascii="Arial Narrow" w:hAnsi="Arial Narrow"/>
          <w:sz w:val="16"/>
          <w:szCs w:val="16"/>
        </w:rPr>
      </w:pPr>
      <w:r>
        <w:rPr>
          <w:rFonts w:ascii="Arial Narrow" w:hAnsi="Arial Narrow"/>
          <w:sz w:val="16"/>
          <w:szCs w:val="16"/>
        </w:rPr>
        <w:t>RO</w:t>
      </w:r>
      <w:r w:rsidRPr="00815BD6">
        <w:rPr>
          <w:rFonts w:ascii="Arial Narrow" w:hAnsi="Arial Narrow"/>
          <w:sz w:val="16"/>
          <w:szCs w:val="16"/>
        </w:rPr>
        <w:t xml:space="preserve">R = </w:t>
      </w:r>
      <w:r>
        <w:rPr>
          <w:rFonts w:ascii="Arial Narrow" w:hAnsi="Arial Narrow"/>
          <w:sz w:val="16"/>
          <w:szCs w:val="16"/>
        </w:rPr>
        <w:t>risk of</w:t>
      </w:r>
      <w:r w:rsidRPr="00815BD6">
        <w:rPr>
          <w:rFonts w:ascii="Arial Narrow" w:hAnsi="Arial Narrow"/>
          <w:sz w:val="16"/>
          <w:szCs w:val="16"/>
        </w:rPr>
        <w:t xml:space="preserve"> recurrence</w:t>
      </w:r>
    </w:p>
    <w:p w14:paraId="55E97B39" w14:textId="77777777" w:rsidR="00377340" w:rsidRDefault="00377340" w:rsidP="00D10B47">
      <w:pPr>
        <w:pStyle w:val="ListParagraph"/>
        <w:ind w:left="360"/>
      </w:pPr>
    </w:p>
    <w:p w14:paraId="79292D51" w14:textId="21422B80" w:rsidR="00815BD6" w:rsidRPr="00815BD6" w:rsidRDefault="00815BD6" w:rsidP="00897514">
      <w:pPr>
        <w:pStyle w:val="Caption"/>
        <w:spacing w:after="120"/>
        <w:ind w:left="426"/>
        <w:rPr>
          <w:sz w:val="20"/>
          <w:szCs w:val="20"/>
        </w:rPr>
      </w:pPr>
      <w:bookmarkStart w:id="7" w:name="_Ref465353884"/>
      <w:r w:rsidRPr="00815BD6">
        <w:rPr>
          <w:sz w:val="20"/>
          <w:szCs w:val="20"/>
        </w:rPr>
        <w:t xml:space="preserve">Table </w:t>
      </w:r>
      <w:r w:rsidRPr="00815BD6">
        <w:rPr>
          <w:sz w:val="20"/>
          <w:szCs w:val="20"/>
        </w:rPr>
        <w:fldChar w:fldCharType="begin"/>
      </w:r>
      <w:r w:rsidRPr="00815BD6">
        <w:rPr>
          <w:sz w:val="20"/>
          <w:szCs w:val="20"/>
        </w:rPr>
        <w:instrText xml:space="preserve"> SEQ Table \* ARABIC </w:instrText>
      </w:r>
      <w:r w:rsidRPr="00815BD6">
        <w:rPr>
          <w:sz w:val="20"/>
          <w:szCs w:val="20"/>
        </w:rPr>
        <w:fldChar w:fldCharType="separate"/>
      </w:r>
      <w:r w:rsidR="003E6138">
        <w:rPr>
          <w:sz w:val="20"/>
          <w:szCs w:val="20"/>
        </w:rPr>
        <w:t>8</w:t>
      </w:r>
      <w:r w:rsidRPr="00815BD6">
        <w:rPr>
          <w:sz w:val="20"/>
          <w:szCs w:val="20"/>
        </w:rPr>
        <w:fldChar w:fldCharType="end"/>
      </w:r>
      <w:bookmarkEnd w:id="7"/>
      <w:r>
        <w:rPr>
          <w:sz w:val="20"/>
          <w:szCs w:val="20"/>
        </w:rPr>
        <w:tab/>
        <w:t xml:space="preserve">Risk categories as identified by </w:t>
      </w:r>
      <w:proofErr w:type="spellStart"/>
      <w:r>
        <w:rPr>
          <w:sz w:val="20"/>
          <w:szCs w:val="20"/>
        </w:rPr>
        <w:t>Prosigna</w:t>
      </w:r>
      <w:proofErr w:type="spellEnd"/>
      <w:r w:rsidR="00B962F6">
        <w:rPr>
          <w:sz w:val="20"/>
          <w:szCs w:val="20"/>
        </w:rPr>
        <w:t>®</w:t>
      </w:r>
    </w:p>
    <w:tbl>
      <w:tblPr>
        <w:tblStyle w:val="TableGrid"/>
        <w:tblW w:w="0" w:type="auto"/>
        <w:tblInd w:w="360" w:type="dxa"/>
        <w:tblLook w:val="04A0" w:firstRow="1" w:lastRow="0" w:firstColumn="1" w:lastColumn="0" w:noHBand="0" w:noVBand="1"/>
        <w:tblDescription w:val="Table 8 Risk categories as identified by Prosigna®"/>
      </w:tblPr>
      <w:tblGrid>
        <w:gridCol w:w="2612"/>
        <w:gridCol w:w="4394"/>
      </w:tblGrid>
      <w:tr w:rsidR="00815BD6" w:rsidRPr="00815BD6" w14:paraId="663582D3" w14:textId="77777777" w:rsidTr="00A65F2D">
        <w:trPr>
          <w:tblHeader/>
        </w:trPr>
        <w:tc>
          <w:tcPr>
            <w:tcW w:w="2612" w:type="dxa"/>
          </w:tcPr>
          <w:p w14:paraId="3BBC870B" w14:textId="77777777" w:rsidR="00815BD6" w:rsidRPr="00815BD6" w:rsidRDefault="00815BD6" w:rsidP="00897514">
            <w:pPr>
              <w:pStyle w:val="ListParagraph"/>
              <w:spacing w:before="60"/>
              <w:ind w:left="0"/>
              <w:jc w:val="center"/>
              <w:rPr>
                <w:rFonts w:ascii="Arial Narrow" w:hAnsi="Arial Narrow"/>
                <w:b/>
                <w:sz w:val="18"/>
                <w:szCs w:val="18"/>
              </w:rPr>
            </w:pPr>
            <w:r w:rsidRPr="00815BD6">
              <w:rPr>
                <w:rFonts w:ascii="Arial Narrow" w:hAnsi="Arial Narrow"/>
                <w:b/>
                <w:sz w:val="18"/>
                <w:szCs w:val="18"/>
              </w:rPr>
              <w:t>Category</w:t>
            </w:r>
          </w:p>
        </w:tc>
        <w:tc>
          <w:tcPr>
            <w:tcW w:w="4394" w:type="dxa"/>
          </w:tcPr>
          <w:p w14:paraId="4A958C55" w14:textId="77777777" w:rsidR="00815BD6" w:rsidRPr="00815BD6" w:rsidRDefault="00815BD6" w:rsidP="00897514">
            <w:pPr>
              <w:pStyle w:val="ListParagraph"/>
              <w:spacing w:before="60"/>
              <w:ind w:left="0"/>
              <w:contextualSpacing w:val="0"/>
              <w:jc w:val="center"/>
              <w:rPr>
                <w:rFonts w:ascii="Arial Narrow" w:hAnsi="Arial Narrow"/>
                <w:b/>
                <w:sz w:val="18"/>
                <w:szCs w:val="18"/>
              </w:rPr>
            </w:pPr>
            <w:r w:rsidRPr="00815BD6">
              <w:rPr>
                <w:rFonts w:ascii="Arial Narrow" w:hAnsi="Arial Narrow"/>
                <w:b/>
                <w:sz w:val="18"/>
                <w:szCs w:val="18"/>
              </w:rPr>
              <w:t>Description</w:t>
            </w:r>
          </w:p>
        </w:tc>
      </w:tr>
      <w:tr w:rsidR="00815BD6" w:rsidRPr="00815BD6" w14:paraId="099794CB" w14:textId="77777777" w:rsidTr="00A65F2D">
        <w:trPr>
          <w:tblHeader/>
        </w:trPr>
        <w:tc>
          <w:tcPr>
            <w:tcW w:w="2612" w:type="dxa"/>
          </w:tcPr>
          <w:p w14:paraId="2DE8D2B6" w14:textId="77777777" w:rsidR="00815BD6" w:rsidRPr="00815BD6" w:rsidRDefault="00815BD6" w:rsidP="00897514">
            <w:pPr>
              <w:pStyle w:val="ListParagraph"/>
              <w:spacing w:before="60"/>
              <w:ind w:left="0"/>
              <w:jc w:val="center"/>
              <w:rPr>
                <w:rFonts w:ascii="Arial Narrow" w:hAnsi="Arial Narrow"/>
                <w:sz w:val="18"/>
                <w:szCs w:val="18"/>
              </w:rPr>
            </w:pPr>
            <w:r w:rsidRPr="00815BD6">
              <w:rPr>
                <w:rFonts w:ascii="Arial Narrow" w:hAnsi="Arial Narrow"/>
                <w:sz w:val="18"/>
                <w:szCs w:val="18"/>
              </w:rPr>
              <w:t>Low risk</w:t>
            </w:r>
          </w:p>
        </w:tc>
        <w:tc>
          <w:tcPr>
            <w:tcW w:w="4394" w:type="dxa"/>
          </w:tcPr>
          <w:p w14:paraId="57E865D6" w14:textId="77777777" w:rsidR="00815BD6" w:rsidRPr="00815BD6" w:rsidRDefault="00815BD6" w:rsidP="00897514">
            <w:pPr>
              <w:pStyle w:val="ListParagraph"/>
              <w:spacing w:before="60"/>
              <w:ind w:left="0"/>
              <w:contextualSpacing w:val="0"/>
              <w:jc w:val="center"/>
              <w:rPr>
                <w:rFonts w:ascii="Arial Narrow" w:hAnsi="Arial Narrow"/>
                <w:sz w:val="18"/>
                <w:szCs w:val="18"/>
              </w:rPr>
            </w:pPr>
            <w:r w:rsidRPr="00815BD6">
              <w:rPr>
                <w:rFonts w:ascii="Arial Narrow" w:hAnsi="Arial Narrow"/>
                <w:sz w:val="18"/>
                <w:szCs w:val="18"/>
              </w:rPr>
              <w:t>&lt; 10% predicted clinical risk of DR by 10 years</w:t>
            </w:r>
          </w:p>
        </w:tc>
      </w:tr>
      <w:tr w:rsidR="00815BD6" w:rsidRPr="00815BD6" w14:paraId="2C461D6D" w14:textId="77777777" w:rsidTr="00A65F2D">
        <w:trPr>
          <w:tblHeader/>
        </w:trPr>
        <w:tc>
          <w:tcPr>
            <w:tcW w:w="2612" w:type="dxa"/>
          </w:tcPr>
          <w:p w14:paraId="1733DF41" w14:textId="77777777" w:rsidR="00815BD6" w:rsidRPr="00815BD6" w:rsidRDefault="00815BD6" w:rsidP="00897514">
            <w:pPr>
              <w:pStyle w:val="ListParagraph"/>
              <w:spacing w:before="60"/>
              <w:ind w:left="0"/>
              <w:jc w:val="center"/>
              <w:rPr>
                <w:rFonts w:ascii="Arial Narrow" w:hAnsi="Arial Narrow"/>
                <w:sz w:val="18"/>
                <w:szCs w:val="18"/>
              </w:rPr>
            </w:pPr>
            <w:r w:rsidRPr="00815BD6">
              <w:rPr>
                <w:rFonts w:ascii="Arial Narrow" w:hAnsi="Arial Narrow"/>
                <w:sz w:val="18"/>
                <w:szCs w:val="18"/>
              </w:rPr>
              <w:t>Intermediate risk</w:t>
            </w:r>
          </w:p>
        </w:tc>
        <w:tc>
          <w:tcPr>
            <w:tcW w:w="4394" w:type="dxa"/>
          </w:tcPr>
          <w:p w14:paraId="3C087A3C" w14:textId="77777777" w:rsidR="00815BD6" w:rsidRPr="00815BD6" w:rsidRDefault="00815BD6" w:rsidP="00897514">
            <w:pPr>
              <w:pStyle w:val="ListParagraph"/>
              <w:spacing w:before="60"/>
              <w:ind w:left="0"/>
              <w:contextualSpacing w:val="0"/>
              <w:jc w:val="center"/>
              <w:rPr>
                <w:rFonts w:ascii="Arial Narrow" w:hAnsi="Arial Narrow"/>
                <w:sz w:val="18"/>
                <w:szCs w:val="18"/>
              </w:rPr>
            </w:pPr>
            <w:r w:rsidRPr="00815BD6">
              <w:rPr>
                <w:rFonts w:ascii="Arial Narrow" w:hAnsi="Arial Narrow"/>
                <w:sz w:val="18"/>
                <w:szCs w:val="18"/>
              </w:rPr>
              <w:t>10 – 20% predicted risk of DR by 10 years</w:t>
            </w:r>
          </w:p>
        </w:tc>
      </w:tr>
      <w:tr w:rsidR="00815BD6" w:rsidRPr="00815BD6" w14:paraId="5FD552BB" w14:textId="77777777" w:rsidTr="00A65F2D">
        <w:trPr>
          <w:tblHeader/>
        </w:trPr>
        <w:tc>
          <w:tcPr>
            <w:tcW w:w="2612" w:type="dxa"/>
          </w:tcPr>
          <w:p w14:paraId="18E398F8" w14:textId="77777777" w:rsidR="00815BD6" w:rsidRPr="00815BD6" w:rsidRDefault="00815BD6" w:rsidP="00897514">
            <w:pPr>
              <w:pStyle w:val="ListParagraph"/>
              <w:spacing w:before="60"/>
              <w:ind w:left="0"/>
              <w:jc w:val="center"/>
              <w:rPr>
                <w:rFonts w:ascii="Arial Narrow" w:hAnsi="Arial Narrow"/>
                <w:sz w:val="18"/>
                <w:szCs w:val="18"/>
              </w:rPr>
            </w:pPr>
            <w:r w:rsidRPr="00815BD6">
              <w:rPr>
                <w:rFonts w:ascii="Arial Narrow" w:hAnsi="Arial Narrow"/>
                <w:sz w:val="18"/>
                <w:szCs w:val="18"/>
              </w:rPr>
              <w:t>High risk</w:t>
            </w:r>
          </w:p>
        </w:tc>
        <w:tc>
          <w:tcPr>
            <w:tcW w:w="4394" w:type="dxa"/>
          </w:tcPr>
          <w:p w14:paraId="6E7028AC" w14:textId="77777777" w:rsidR="00815BD6" w:rsidRPr="00815BD6" w:rsidRDefault="00815BD6" w:rsidP="00897514">
            <w:pPr>
              <w:pStyle w:val="ListParagraph"/>
              <w:spacing w:before="60"/>
              <w:ind w:left="0"/>
              <w:contextualSpacing w:val="0"/>
              <w:jc w:val="center"/>
              <w:rPr>
                <w:rFonts w:ascii="Arial Narrow" w:hAnsi="Arial Narrow"/>
                <w:sz w:val="18"/>
                <w:szCs w:val="18"/>
              </w:rPr>
            </w:pPr>
            <w:r w:rsidRPr="00815BD6">
              <w:rPr>
                <w:rFonts w:ascii="Arial Narrow" w:hAnsi="Arial Narrow"/>
                <w:sz w:val="18"/>
                <w:szCs w:val="18"/>
              </w:rPr>
              <w:t>&gt; 20% predicted risk of DR by 10 years</w:t>
            </w:r>
          </w:p>
        </w:tc>
      </w:tr>
    </w:tbl>
    <w:p w14:paraId="15D3C0B4" w14:textId="77777777" w:rsidR="00815BD6" w:rsidRDefault="00815BD6" w:rsidP="00815BD6">
      <w:pPr>
        <w:pStyle w:val="ListParagraph"/>
        <w:spacing w:before="60" w:after="60"/>
        <w:ind w:left="357"/>
        <w:rPr>
          <w:rFonts w:ascii="Arial Narrow" w:hAnsi="Arial Narrow"/>
          <w:sz w:val="16"/>
          <w:szCs w:val="16"/>
        </w:rPr>
      </w:pPr>
      <w:r w:rsidRPr="00815BD6">
        <w:rPr>
          <w:rFonts w:ascii="Arial Narrow" w:hAnsi="Arial Narrow"/>
          <w:sz w:val="16"/>
          <w:szCs w:val="16"/>
        </w:rPr>
        <w:t>DR = distant recurrence</w:t>
      </w:r>
    </w:p>
    <w:p w14:paraId="77947B06" w14:textId="77777777" w:rsidR="00815BD6" w:rsidRPr="00815BD6" w:rsidRDefault="00815BD6" w:rsidP="00815BD6">
      <w:pPr>
        <w:pStyle w:val="ListParagraph"/>
        <w:spacing w:before="60" w:after="60"/>
        <w:ind w:left="357"/>
        <w:rPr>
          <w:rFonts w:ascii="Arial Narrow" w:hAnsi="Arial Narrow"/>
          <w:sz w:val="16"/>
          <w:szCs w:val="16"/>
        </w:rPr>
      </w:pPr>
    </w:p>
    <w:p w14:paraId="52184C64" w14:textId="08B3A279" w:rsidR="00F7241F" w:rsidRDefault="00F7241F" w:rsidP="00F7241F">
      <w:pPr>
        <w:ind w:firstLine="357"/>
      </w:pPr>
      <w:r>
        <w:t xml:space="preserve">(See attached document </w:t>
      </w:r>
      <w:r w:rsidR="00B962F6" w:rsidRPr="001E6994">
        <w:t>[</w:t>
      </w:r>
      <w:r w:rsidR="003B691F" w:rsidRPr="001E6994">
        <w:t>Clinical management algorithms.ppt</w:t>
      </w:r>
      <w:r w:rsidR="00B962F6" w:rsidRPr="001E6994">
        <w:t>]</w:t>
      </w:r>
      <w:r w:rsidR="00B962F6">
        <w:t xml:space="preserve"> </w:t>
      </w:r>
      <w:r>
        <w:t>for proposed clinical pathway algorithm.)</w:t>
      </w:r>
    </w:p>
    <w:p w14:paraId="2613EC93" w14:textId="028B961C" w:rsidR="00DF0D47" w:rsidRPr="00881F93" w:rsidRDefault="001B29A1" w:rsidP="00B962F6">
      <w:pPr>
        <w:pStyle w:val="Caption"/>
        <w:spacing w:after="0"/>
      </w:pPr>
      <w:r>
        <w:rPr>
          <w:b/>
          <w:i w:val="0"/>
          <w:szCs w:val="20"/>
          <w:u w:val="single"/>
        </w:rPr>
        <w:br w:type="page"/>
      </w:r>
      <w:r w:rsidR="005C3AE7">
        <w:lastRenderedPageBreak/>
        <w:t xml:space="preserve">PART 6d – </w:t>
      </w:r>
      <w:r w:rsidR="00DF0D47" w:rsidRPr="00881F93">
        <w:t xml:space="preserve">INFORMATION ABOUT THE </w:t>
      </w:r>
      <w:r w:rsidR="00CF5AD8" w:rsidRPr="00881F93">
        <w:t xml:space="preserve">CLINICAL </w:t>
      </w:r>
      <w:r w:rsidR="00DF0D47" w:rsidRPr="00881F93">
        <w:t>OUTCOME</w:t>
      </w:r>
    </w:p>
    <w:p w14:paraId="65677C0C"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05001FCD" w14:textId="245E852E" w:rsidR="00C85074" w:rsidRDefault="00844967" w:rsidP="001B29A1">
      <w:pPr>
        <w:ind w:left="426"/>
      </w:pPr>
      <w:r w:rsidRPr="00844967">
        <w:t>If funded</w:t>
      </w:r>
      <w:r w:rsidR="00C85074">
        <w:t>,</w:t>
      </w:r>
      <w:r w:rsidRPr="00844967">
        <w:t xml:space="preserve"> the proposed new service would be added to the current decision pathway for treatment of ER</w:t>
      </w:r>
      <w:r w:rsidR="00BA74DE">
        <w:t xml:space="preserve"> and/or PR </w:t>
      </w:r>
      <w:r w:rsidRPr="00844967">
        <w:t>+</w:t>
      </w:r>
      <w:proofErr w:type="spellStart"/>
      <w:r w:rsidRPr="00844967">
        <w:t>ve</w:t>
      </w:r>
      <w:proofErr w:type="spellEnd"/>
      <w:r w:rsidRPr="00844967">
        <w:t>,</w:t>
      </w:r>
      <w:r>
        <w:t xml:space="preserve"> HER2-ve primary </w:t>
      </w:r>
      <w:r w:rsidR="00935422">
        <w:t>breast cancer</w:t>
      </w:r>
      <w:r>
        <w:t xml:space="preserve">. </w:t>
      </w:r>
      <w:r w:rsidR="00C85074">
        <w:t xml:space="preserve">The claim is that </w:t>
      </w:r>
      <w:proofErr w:type="spellStart"/>
      <w:r w:rsidR="00C85074">
        <w:t>Prosigna</w:t>
      </w:r>
      <w:proofErr w:type="spellEnd"/>
      <w:r w:rsidR="00C831FC">
        <w:t>®</w:t>
      </w:r>
      <w:r w:rsidR="00C85074">
        <w:t xml:space="preserve"> provides incremental prognostic and predictive information over current markers and </w:t>
      </w:r>
      <w:r w:rsidR="00C831FC">
        <w:t xml:space="preserve">clinical </w:t>
      </w:r>
      <w:r w:rsidR="00C85074">
        <w:t xml:space="preserve">characteristics, so that chemotherapy may be used in those </w:t>
      </w:r>
      <w:r w:rsidR="00C831FC">
        <w:t>breast cancer patients who are at the greatest</w:t>
      </w:r>
      <w:r w:rsidR="00C85074">
        <w:t xml:space="preserve"> risk of recurrence, and most likely to benefit from </w:t>
      </w:r>
      <w:r w:rsidR="00C831FC">
        <w:t>this treatment</w:t>
      </w:r>
      <w:r w:rsidR="00C85074">
        <w:t xml:space="preserve">. </w:t>
      </w:r>
      <w:r w:rsidR="00756D5E">
        <w:t xml:space="preserve">The use of the </w:t>
      </w:r>
      <w:proofErr w:type="spellStart"/>
      <w:r w:rsidR="00756D5E">
        <w:t>Prosigna</w:t>
      </w:r>
      <w:proofErr w:type="spellEnd"/>
      <w:r w:rsidR="00756D5E">
        <w:t>® assay to tailor treatment options according to risk of recurrence will mean that patients will be more likely to appropriately receive adjuvant chemotherapy.</w:t>
      </w:r>
    </w:p>
    <w:p w14:paraId="12280E3E" w14:textId="0294D8A8" w:rsidR="00756D5E" w:rsidRDefault="00C831FC" w:rsidP="00C85074">
      <w:pPr>
        <w:ind w:left="426"/>
      </w:pPr>
      <w:r>
        <w:t xml:space="preserve">The use of the </w:t>
      </w:r>
      <w:proofErr w:type="spellStart"/>
      <w:r w:rsidR="00C85074">
        <w:t>Prosigna</w:t>
      </w:r>
      <w:proofErr w:type="spellEnd"/>
      <w:r>
        <w:t xml:space="preserve">® assay to tailor treatment options according to risk of recurrence will mean that </w:t>
      </w:r>
      <w:r w:rsidR="00C85074">
        <w:t xml:space="preserve">patients who are unlikely to benefit from chemotherapy (either because they are not at risk of recurrence, or </w:t>
      </w:r>
      <w:r>
        <w:t xml:space="preserve">they </w:t>
      </w:r>
      <w:r w:rsidR="00C85074">
        <w:t xml:space="preserve">are unlikely to respond to chemotherapy) </w:t>
      </w:r>
      <w:r>
        <w:t xml:space="preserve">are able </w:t>
      </w:r>
      <w:r w:rsidR="00C85074">
        <w:t xml:space="preserve">to avoid it. In those who avoid chemotherapy, there will be a reduction in harms associated with the treatment, and </w:t>
      </w:r>
      <w:r w:rsidR="00C53EEB">
        <w:t xml:space="preserve">are </w:t>
      </w:r>
      <w:r w:rsidR="00C85074">
        <w:t xml:space="preserve">likely to </w:t>
      </w:r>
      <w:r w:rsidR="00C53EEB">
        <w:t xml:space="preserve">have an </w:t>
      </w:r>
      <w:r w:rsidR="00C85074">
        <w:t xml:space="preserve">improved quality of life. </w:t>
      </w:r>
    </w:p>
    <w:p w14:paraId="2FBDC29D" w14:textId="23484A93" w:rsidR="00C85074" w:rsidRDefault="00B10693" w:rsidP="00C85074">
      <w:pPr>
        <w:ind w:left="426"/>
      </w:pPr>
      <w:r>
        <w:t xml:space="preserve">For </w:t>
      </w:r>
      <w:r w:rsidR="00756D5E">
        <w:t xml:space="preserve">patients who receive adjuvant chemotherapy, when with standard care they would have not received it, it is predicted they would have a reduced rate of disease recurrence (assuming that </w:t>
      </w:r>
      <w:r>
        <w:t xml:space="preserve">the </w:t>
      </w:r>
      <w:r w:rsidR="00756D5E">
        <w:t>treatment is effective).</w:t>
      </w:r>
    </w:p>
    <w:p w14:paraId="4E3CA480" w14:textId="77777777" w:rsidR="00C831FC" w:rsidRDefault="00C831FC" w:rsidP="00C85074">
      <w:pPr>
        <w:ind w:left="426"/>
      </w:pPr>
    </w:p>
    <w:p w14:paraId="389AEFDA" w14:textId="2E02E38D"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2AF047DA" w14:textId="77777777" w:rsidR="001B29A1" w:rsidRPr="001B29A1" w:rsidRDefault="00844967"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A615A">
        <w:rPr>
          <w:szCs w:val="20"/>
        </w:rPr>
      </w:r>
      <w:r w:rsidR="00BA615A">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5F013EE0" w14:textId="77777777" w:rsidR="004E3CC7"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BA615A">
        <w:rPr>
          <w:szCs w:val="20"/>
        </w:rPr>
      </w:r>
      <w:r w:rsidR="00BA615A">
        <w:rPr>
          <w:szCs w:val="20"/>
        </w:rPr>
        <w:fldChar w:fldCharType="separate"/>
      </w:r>
      <w:r w:rsidRPr="001B29A1">
        <w:rPr>
          <w:szCs w:val="20"/>
        </w:rPr>
        <w:fldChar w:fldCharType="end"/>
      </w:r>
      <w:r w:rsidRPr="001B29A1">
        <w:rPr>
          <w:szCs w:val="20"/>
        </w:rPr>
        <w:t xml:space="preserve"> Non-inferiority</w:t>
      </w:r>
      <w:r w:rsidRPr="001B29A1">
        <w:rPr>
          <w:szCs w:val="20"/>
        </w:rPr>
        <w:tab/>
      </w:r>
    </w:p>
    <w:p w14:paraId="077F9A78" w14:textId="77777777" w:rsidR="00C831FC" w:rsidRPr="001B29A1" w:rsidRDefault="00C831FC" w:rsidP="001B29A1">
      <w:pPr>
        <w:spacing w:before="0" w:after="0"/>
        <w:ind w:left="426"/>
        <w:rPr>
          <w:szCs w:val="20"/>
        </w:rPr>
      </w:pPr>
    </w:p>
    <w:p w14:paraId="4DD5F88E"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24AD4FFB" w14:textId="3FE05AFC" w:rsidR="001B29A1" w:rsidRDefault="001B29A1" w:rsidP="001B29A1">
      <w:pPr>
        <w:pBdr>
          <w:top w:val="single" w:sz="4" w:space="1" w:color="auto"/>
          <w:left w:val="single" w:sz="4" w:space="4" w:color="auto"/>
          <w:bottom w:val="single" w:sz="4" w:space="1" w:color="auto"/>
          <w:right w:val="single" w:sz="4" w:space="4" w:color="auto"/>
        </w:pBdr>
      </w:pPr>
      <w:r w:rsidRPr="001B29A1">
        <w:rPr>
          <w:b/>
          <w:szCs w:val="20"/>
        </w:rPr>
        <w:t>Safety Outcomes</w:t>
      </w:r>
      <w:r>
        <w:rPr>
          <w:b/>
          <w:szCs w:val="20"/>
        </w:rPr>
        <w:t>:</w:t>
      </w:r>
      <w:r w:rsidR="00F82D5D" w:rsidDel="00F82D5D">
        <w:t xml:space="preserve"> </w:t>
      </w:r>
    </w:p>
    <w:p w14:paraId="27E21558" w14:textId="1D0F4952" w:rsidR="00844967" w:rsidRDefault="00F82D5D" w:rsidP="00844967">
      <w:pPr>
        <w:pBdr>
          <w:top w:val="single" w:sz="4" w:space="1" w:color="auto"/>
          <w:left w:val="single" w:sz="4" w:space="4" w:color="auto"/>
          <w:bottom w:val="single" w:sz="4" w:space="1" w:color="auto"/>
          <w:right w:val="single" w:sz="4" w:space="4" w:color="auto"/>
        </w:pBdr>
        <w:rPr>
          <w:szCs w:val="20"/>
        </w:rPr>
      </w:pPr>
      <w:r>
        <w:rPr>
          <w:szCs w:val="20"/>
        </w:rPr>
        <w:t xml:space="preserve">Harms associated with testing: </w:t>
      </w:r>
      <w:proofErr w:type="spellStart"/>
      <w:r>
        <w:rPr>
          <w:szCs w:val="20"/>
        </w:rPr>
        <w:t>rebiopsy</w:t>
      </w:r>
      <w:proofErr w:type="spellEnd"/>
      <w:r>
        <w:rPr>
          <w:szCs w:val="20"/>
        </w:rPr>
        <w:t xml:space="preserve"> rate, h</w:t>
      </w:r>
      <w:r w:rsidR="00844967" w:rsidRPr="00844967">
        <w:rPr>
          <w:szCs w:val="20"/>
        </w:rPr>
        <w:t>arms of undergo</w:t>
      </w:r>
      <w:r w:rsidR="00844967">
        <w:rPr>
          <w:szCs w:val="20"/>
        </w:rPr>
        <w:t>ing</w:t>
      </w:r>
      <w:r w:rsidR="00844967" w:rsidRPr="00844967">
        <w:rPr>
          <w:szCs w:val="20"/>
        </w:rPr>
        <w:t xml:space="preserve"> </w:t>
      </w:r>
      <w:proofErr w:type="spellStart"/>
      <w:r w:rsidR="00844967" w:rsidRPr="00844967">
        <w:rPr>
          <w:szCs w:val="20"/>
        </w:rPr>
        <w:t>rebiopsy</w:t>
      </w:r>
      <w:proofErr w:type="spellEnd"/>
    </w:p>
    <w:p w14:paraId="27599D8C" w14:textId="3A0B7776" w:rsidR="00844967" w:rsidRDefault="00F82D5D" w:rsidP="00844967">
      <w:pPr>
        <w:pBdr>
          <w:top w:val="single" w:sz="4" w:space="1" w:color="auto"/>
          <w:left w:val="single" w:sz="4" w:space="4" w:color="auto"/>
          <w:bottom w:val="single" w:sz="4" w:space="1" w:color="auto"/>
          <w:right w:val="single" w:sz="4" w:space="4" w:color="auto"/>
        </w:pBdr>
        <w:rPr>
          <w:szCs w:val="20"/>
        </w:rPr>
      </w:pPr>
      <w:r>
        <w:rPr>
          <w:szCs w:val="20"/>
        </w:rPr>
        <w:t xml:space="preserve">Harms associated with subsequent treatment: harms </w:t>
      </w:r>
      <w:r w:rsidR="002310D1">
        <w:rPr>
          <w:szCs w:val="20"/>
        </w:rPr>
        <w:t xml:space="preserve">of </w:t>
      </w:r>
      <w:r>
        <w:rPr>
          <w:szCs w:val="20"/>
        </w:rPr>
        <w:t>chemotherapy</w:t>
      </w:r>
    </w:p>
    <w:p w14:paraId="33FDCFC3" w14:textId="77777777" w:rsidR="002310D1" w:rsidRPr="00844967" w:rsidRDefault="002310D1" w:rsidP="00844967">
      <w:pPr>
        <w:pBdr>
          <w:top w:val="single" w:sz="4" w:space="1" w:color="auto"/>
          <w:left w:val="single" w:sz="4" w:space="4" w:color="auto"/>
          <w:bottom w:val="single" w:sz="4" w:space="1" w:color="auto"/>
          <w:right w:val="single" w:sz="4" w:space="4" w:color="auto"/>
        </w:pBdr>
        <w:rPr>
          <w:szCs w:val="20"/>
        </w:rPr>
      </w:pPr>
    </w:p>
    <w:p w14:paraId="2B1845C1" w14:textId="64F2C01C" w:rsidR="00B25D20" w:rsidRDefault="001B29A1" w:rsidP="001B29A1">
      <w:pPr>
        <w:pBdr>
          <w:top w:val="single" w:sz="4" w:space="1" w:color="auto"/>
          <w:left w:val="single" w:sz="4" w:space="4" w:color="auto"/>
          <w:bottom w:val="single" w:sz="4" w:space="1" w:color="auto"/>
          <w:right w:val="single" w:sz="4" w:space="4" w:color="auto"/>
        </w:pBdr>
      </w:pPr>
      <w:r w:rsidRPr="001B29A1">
        <w:rPr>
          <w:b/>
          <w:szCs w:val="20"/>
        </w:rPr>
        <w:t>Clinical Effectiveness Outcomes</w:t>
      </w:r>
      <w:r>
        <w:rPr>
          <w:b/>
          <w:szCs w:val="20"/>
        </w:rPr>
        <w:t xml:space="preserve">: </w:t>
      </w:r>
    </w:p>
    <w:p w14:paraId="5C95B169" w14:textId="75C3F377" w:rsidR="00463C3D" w:rsidRDefault="00463C3D" w:rsidP="00463C3D">
      <w:pPr>
        <w:pBdr>
          <w:top w:val="single" w:sz="4" w:space="1" w:color="auto"/>
          <w:left w:val="single" w:sz="4" w:space="4" w:color="auto"/>
          <w:bottom w:val="single" w:sz="4" w:space="1" w:color="auto"/>
          <w:right w:val="single" w:sz="4" w:space="4" w:color="auto"/>
        </w:pBdr>
        <w:rPr>
          <w:szCs w:val="20"/>
        </w:rPr>
      </w:pPr>
      <w:r>
        <w:rPr>
          <w:szCs w:val="20"/>
        </w:rPr>
        <w:t>Clinical utility:</w:t>
      </w:r>
    </w:p>
    <w:p w14:paraId="5D38D5C1" w14:textId="4ED72AF8" w:rsidR="00844967" w:rsidRDefault="00463C3D" w:rsidP="001B29A1">
      <w:pPr>
        <w:pBdr>
          <w:top w:val="single" w:sz="4" w:space="1" w:color="auto"/>
          <w:left w:val="single" w:sz="4" w:space="4" w:color="auto"/>
          <w:bottom w:val="single" w:sz="4" w:space="1" w:color="auto"/>
          <w:right w:val="single" w:sz="4" w:space="4" w:color="auto"/>
        </w:pBdr>
        <w:rPr>
          <w:szCs w:val="20"/>
        </w:rPr>
      </w:pPr>
      <w:r>
        <w:rPr>
          <w:szCs w:val="20"/>
        </w:rPr>
        <w:t>- Overall s</w:t>
      </w:r>
      <w:r w:rsidR="00844967">
        <w:rPr>
          <w:szCs w:val="20"/>
        </w:rPr>
        <w:t>urvival</w:t>
      </w:r>
    </w:p>
    <w:p w14:paraId="686D2261" w14:textId="79AD129D" w:rsidR="00844967" w:rsidRDefault="00463C3D" w:rsidP="001B29A1">
      <w:pPr>
        <w:pBdr>
          <w:top w:val="single" w:sz="4" w:space="1" w:color="auto"/>
          <w:left w:val="single" w:sz="4" w:space="4" w:color="auto"/>
          <w:bottom w:val="single" w:sz="4" w:space="1" w:color="auto"/>
          <w:right w:val="single" w:sz="4" w:space="4" w:color="auto"/>
        </w:pBdr>
        <w:rPr>
          <w:szCs w:val="20"/>
        </w:rPr>
      </w:pPr>
      <w:r>
        <w:rPr>
          <w:szCs w:val="20"/>
        </w:rPr>
        <w:t xml:space="preserve">- </w:t>
      </w:r>
      <w:r w:rsidR="00844967">
        <w:rPr>
          <w:szCs w:val="20"/>
        </w:rPr>
        <w:t>Disease-free survival</w:t>
      </w:r>
    </w:p>
    <w:p w14:paraId="3DCCD834" w14:textId="7FB016B4" w:rsidR="00844967" w:rsidRDefault="00463C3D" w:rsidP="001B29A1">
      <w:pPr>
        <w:pBdr>
          <w:top w:val="single" w:sz="4" w:space="1" w:color="auto"/>
          <w:left w:val="single" w:sz="4" w:space="4" w:color="auto"/>
          <w:bottom w:val="single" w:sz="4" w:space="1" w:color="auto"/>
          <w:right w:val="single" w:sz="4" w:space="4" w:color="auto"/>
        </w:pBdr>
        <w:rPr>
          <w:szCs w:val="20"/>
        </w:rPr>
      </w:pPr>
      <w:r>
        <w:rPr>
          <w:szCs w:val="20"/>
        </w:rPr>
        <w:t xml:space="preserve">- </w:t>
      </w:r>
      <w:r w:rsidR="00844967">
        <w:rPr>
          <w:szCs w:val="20"/>
        </w:rPr>
        <w:t>Metastasis-free survival</w:t>
      </w:r>
    </w:p>
    <w:p w14:paraId="768F0B1E" w14:textId="2163F965" w:rsidR="00844967" w:rsidRDefault="00463C3D" w:rsidP="001B29A1">
      <w:pPr>
        <w:pBdr>
          <w:top w:val="single" w:sz="4" w:space="1" w:color="auto"/>
          <w:left w:val="single" w:sz="4" w:space="4" w:color="auto"/>
          <w:bottom w:val="single" w:sz="4" w:space="1" w:color="auto"/>
          <w:right w:val="single" w:sz="4" w:space="4" w:color="auto"/>
        </w:pBdr>
        <w:rPr>
          <w:szCs w:val="20"/>
        </w:rPr>
      </w:pPr>
      <w:r>
        <w:rPr>
          <w:szCs w:val="20"/>
        </w:rPr>
        <w:t xml:space="preserve">- </w:t>
      </w:r>
      <w:r w:rsidR="00844967">
        <w:rPr>
          <w:szCs w:val="20"/>
        </w:rPr>
        <w:t>Quality of life</w:t>
      </w:r>
    </w:p>
    <w:p w14:paraId="7049F677" w14:textId="77777777" w:rsidR="002310D1" w:rsidRDefault="002310D1" w:rsidP="001B29A1">
      <w:pPr>
        <w:pBdr>
          <w:top w:val="single" w:sz="4" w:space="1" w:color="auto"/>
          <w:left w:val="single" w:sz="4" w:space="4" w:color="auto"/>
          <w:bottom w:val="single" w:sz="4" w:space="1" w:color="auto"/>
          <w:right w:val="single" w:sz="4" w:space="4" w:color="auto"/>
        </w:pBdr>
        <w:rPr>
          <w:szCs w:val="20"/>
        </w:rPr>
      </w:pPr>
    </w:p>
    <w:p w14:paraId="60812379" w14:textId="77777777" w:rsidR="002310D1" w:rsidRPr="002310D1" w:rsidRDefault="002310D1" w:rsidP="001B29A1">
      <w:pPr>
        <w:pBdr>
          <w:top w:val="single" w:sz="4" w:space="1" w:color="auto"/>
          <w:left w:val="single" w:sz="4" w:space="4" w:color="auto"/>
          <w:bottom w:val="single" w:sz="4" w:space="1" w:color="auto"/>
          <w:right w:val="single" w:sz="4" w:space="4" w:color="auto"/>
        </w:pBdr>
        <w:rPr>
          <w:b/>
          <w:szCs w:val="20"/>
        </w:rPr>
      </w:pPr>
      <w:r w:rsidRPr="002310D1">
        <w:rPr>
          <w:b/>
          <w:szCs w:val="20"/>
        </w:rPr>
        <w:t>Indirect outcomes (linked analysis):</w:t>
      </w:r>
    </w:p>
    <w:p w14:paraId="553AB6B1" w14:textId="5E74B38F" w:rsidR="002310D1" w:rsidRDefault="002310D1" w:rsidP="001B29A1">
      <w:pPr>
        <w:pBdr>
          <w:top w:val="single" w:sz="4" w:space="1" w:color="auto"/>
          <w:left w:val="single" w:sz="4" w:space="4" w:color="auto"/>
          <w:bottom w:val="single" w:sz="4" w:space="1" w:color="auto"/>
          <w:right w:val="single" w:sz="4" w:space="4" w:color="auto"/>
        </w:pBdr>
        <w:rPr>
          <w:szCs w:val="20"/>
        </w:rPr>
      </w:pPr>
      <w:r>
        <w:rPr>
          <w:szCs w:val="20"/>
        </w:rPr>
        <w:t>Clinical validity</w:t>
      </w:r>
      <w:r w:rsidR="00463C3D">
        <w:rPr>
          <w:szCs w:val="20"/>
        </w:rPr>
        <w:t xml:space="preserve"> of </w:t>
      </w:r>
      <w:proofErr w:type="spellStart"/>
      <w:r w:rsidR="00463C3D">
        <w:rPr>
          <w:szCs w:val="20"/>
        </w:rPr>
        <w:t>Prosigna</w:t>
      </w:r>
      <w:proofErr w:type="spellEnd"/>
      <w:r w:rsidR="00463C3D">
        <w:rPr>
          <w:szCs w:val="20"/>
        </w:rPr>
        <w:t>® assay</w:t>
      </w:r>
      <w:r w:rsidR="005D675B">
        <w:rPr>
          <w:szCs w:val="20"/>
        </w:rPr>
        <w:t xml:space="preserve"> (including a comparison of </w:t>
      </w:r>
      <w:proofErr w:type="spellStart"/>
      <w:r w:rsidR="005D675B">
        <w:rPr>
          <w:szCs w:val="20"/>
        </w:rPr>
        <w:t>Prosigna</w:t>
      </w:r>
      <w:proofErr w:type="spellEnd"/>
      <w:r w:rsidR="005D675B">
        <w:rPr>
          <w:szCs w:val="20"/>
        </w:rPr>
        <w:t xml:space="preserve"> and PAM50)</w:t>
      </w:r>
    </w:p>
    <w:p w14:paraId="487F870E" w14:textId="734890F7" w:rsidR="002310D1" w:rsidRDefault="002310D1" w:rsidP="001B29A1">
      <w:pPr>
        <w:pBdr>
          <w:top w:val="single" w:sz="4" w:space="1" w:color="auto"/>
          <w:left w:val="single" w:sz="4" w:space="4" w:color="auto"/>
          <w:bottom w:val="single" w:sz="4" w:space="1" w:color="auto"/>
          <w:right w:val="single" w:sz="4" w:space="4" w:color="auto"/>
        </w:pBdr>
        <w:rPr>
          <w:szCs w:val="20"/>
        </w:rPr>
      </w:pPr>
      <w:r>
        <w:rPr>
          <w:szCs w:val="20"/>
        </w:rPr>
        <w:t>Prognostic performance</w:t>
      </w:r>
      <w:r w:rsidR="00463C3D">
        <w:rPr>
          <w:szCs w:val="20"/>
        </w:rPr>
        <w:t xml:space="preserve"> of </w:t>
      </w:r>
      <w:proofErr w:type="spellStart"/>
      <w:r w:rsidR="00463C3D">
        <w:rPr>
          <w:szCs w:val="20"/>
        </w:rPr>
        <w:t>Prosigna</w:t>
      </w:r>
      <w:proofErr w:type="spellEnd"/>
      <w:r w:rsidR="00463C3D">
        <w:rPr>
          <w:szCs w:val="20"/>
        </w:rPr>
        <w:t>® or PAM50 assay</w:t>
      </w:r>
    </w:p>
    <w:p w14:paraId="5F6D0D5C" w14:textId="1368F412" w:rsidR="002310D1" w:rsidRDefault="002310D1" w:rsidP="001B29A1">
      <w:pPr>
        <w:pBdr>
          <w:top w:val="single" w:sz="4" w:space="1" w:color="auto"/>
          <w:left w:val="single" w:sz="4" w:space="4" w:color="auto"/>
          <w:bottom w:val="single" w:sz="4" w:space="1" w:color="auto"/>
          <w:right w:val="single" w:sz="4" w:space="4" w:color="auto"/>
        </w:pBdr>
        <w:rPr>
          <w:szCs w:val="20"/>
        </w:rPr>
      </w:pPr>
      <w:r>
        <w:rPr>
          <w:szCs w:val="20"/>
        </w:rPr>
        <w:t>Predictive performance</w:t>
      </w:r>
      <w:r w:rsidR="00463C3D">
        <w:rPr>
          <w:szCs w:val="20"/>
        </w:rPr>
        <w:t xml:space="preserve"> of </w:t>
      </w:r>
      <w:proofErr w:type="spellStart"/>
      <w:r w:rsidR="00463C3D">
        <w:rPr>
          <w:szCs w:val="20"/>
        </w:rPr>
        <w:t>Prosigna</w:t>
      </w:r>
      <w:proofErr w:type="spellEnd"/>
      <w:r w:rsidR="00463C3D">
        <w:rPr>
          <w:szCs w:val="20"/>
        </w:rPr>
        <w:t>® or PAM50 assay</w:t>
      </w:r>
    </w:p>
    <w:p w14:paraId="0B5C1A70" w14:textId="7C767E3F" w:rsidR="002310D1" w:rsidRDefault="002310D1" w:rsidP="001B29A1">
      <w:pPr>
        <w:pBdr>
          <w:top w:val="single" w:sz="4" w:space="1" w:color="auto"/>
          <w:left w:val="single" w:sz="4" w:space="4" w:color="auto"/>
          <w:bottom w:val="single" w:sz="4" w:space="1" w:color="auto"/>
          <w:right w:val="single" w:sz="4" w:space="4" w:color="auto"/>
        </w:pBdr>
        <w:rPr>
          <w:szCs w:val="20"/>
        </w:rPr>
      </w:pPr>
      <w:r>
        <w:rPr>
          <w:szCs w:val="20"/>
        </w:rPr>
        <w:t>Change in management</w:t>
      </w:r>
      <w:r w:rsidR="00F82D5D">
        <w:rPr>
          <w:szCs w:val="20"/>
        </w:rPr>
        <w:t xml:space="preserve"> (treatment decisions made with and without </w:t>
      </w:r>
      <w:r w:rsidR="00463C3D">
        <w:rPr>
          <w:szCs w:val="20"/>
        </w:rPr>
        <w:t xml:space="preserve">the use of </w:t>
      </w:r>
      <w:proofErr w:type="spellStart"/>
      <w:r w:rsidR="00F82D5D">
        <w:rPr>
          <w:szCs w:val="20"/>
        </w:rPr>
        <w:t>Prosigna</w:t>
      </w:r>
      <w:proofErr w:type="spellEnd"/>
      <w:r w:rsidR="00463C3D">
        <w:rPr>
          <w:szCs w:val="20"/>
        </w:rPr>
        <w:t>®</w:t>
      </w:r>
      <w:r w:rsidR="00F82D5D">
        <w:rPr>
          <w:szCs w:val="20"/>
        </w:rPr>
        <w:t>)</w:t>
      </w:r>
    </w:p>
    <w:p w14:paraId="71F5EBC6" w14:textId="3835236A" w:rsidR="00463C3D" w:rsidRDefault="00463C3D" w:rsidP="00463C3D">
      <w:pPr>
        <w:pBdr>
          <w:top w:val="single" w:sz="4" w:space="1" w:color="auto"/>
          <w:left w:val="single" w:sz="4" w:space="4" w:color="auto"/>
          <w:bottom w:val="single" w:sz="4" w:space="1" w:color="auto"/>
          <w:right w:val="single" w:sz="4" w:space="4" w:color="auto"/>
        </w:pBdr>
        <w:rPr>
          <w:szCs w:val="20"/>
        </w:rPr>
      </w:pPr>
      <w:r>
        <w:rPr>
          <w:szCs w:val="20"/>
        </w:rPr>
        <w:t>Likely i</w:t>
      </w:r>
      <w:r w:rsidR="002310D1">
        <w:rPr>
          <w:szCs w:val="20"/>
        </w:rPr>
        <w:t xml:space="preserve">mpact of </w:t>
      </w:r>
      <w:r>
        <w:rPr>
          <w:szCs w:val="20"/>
        </w:rPr>
        <w:t xml:space="preserve">expected </w:t>
      </w:r>
      <w:r w:rsidR="002310D1">
        <w:rPr>
          <w:szCs w:val="20"/>
        </w:rPr>
        <w:t>change in management</w:t>
      </w:r>
      <w:r w:rsidR="00F82D5D">
        <w:rPr>
          <w:szCs w:val="20"/>
        </w:rPr>
        <w:t xml:space="preserve"> (efficacy of endocrine therapy alone versus endocrine therapy plus chemotherapy in patients at intermediate risk of recurrence)</w:t>
      </w:r>
      <w:r w:rsidRPr="00463C3D">
        <w:rPr>
          <w:szCs w:val="20"/>
        </w:rPr>
        <w:t xml:space="preserve"> </w:t>
      </w:r>
    </w:p>
    <w:p w14:paraId="29E0496E" w14:textId="77777777" w:rsidR="00463C3D" w:rsidRDefault="00463C3D" w:rsidP="00463C3D">
      <w:pPr>
        <w:pBdr>
          <w:top w:val="single" w:sz="4" w:space="1" w:color="auto"/>
          <w:left w:val="single" w:sz="4" w:space="4" w:color="auto"/>
          <w:bottom w:val="single" w:sz="4" w:space="1" w:color="auto"/>
          <w:right w:val="single" w:sz="4" w:space="4" w:color="auto"/>
        </w:pBdr>
        <w:rPr>
          <w:szCs w:val="20"/>
        </w:rPr>
      </w:pPr>
    </w:p>
    <w:p w14:paraId="1E63C2D9" w14:textId="0262F867" w:rsidR="00463C3D" w:rsidRPr="00463C3D" w:rsidRDefault="00463C3D" w:rsidP="00463C3D">
      <w:pPr>
        <w:pBdr>
          <w:top w:val="single" w:sz="4" w:space="1" w:color="auto"/>
          <w:left w:val="single" w:sz="4" w:space="4" w:color="auto"/>
          <w:bottom w:val="single" w:sz="4" w:space="1" w:color="auto"/>
          <w:right w:val="single" w:sz="4" w:space="4" w:color="auto"/>
        </w:pBdr>
        <w:rPr>
          <w:b/>
          <w:szCs w:val="20"/>
        </w:rPr>
      </w:pPr>
      <w:r w:rsidRPr="00463C3D">
        <w:rPr>
          <w:b/>
          <w:szCs w:val="20"/>
        </w:rPr>
        <w:t>Cost utility</w:t>
      </w:r>
    </w:p>
    <w:p w14:paraId="240A2612" w14:textId="25B44818" w:rsidR="001B29A1" w:rsidRPr="00463C3D" w:rsidRDefault="00463C3D" w:rsidP="001B29A1">
      <w:pPr>
        <w:pBdr>
          <w:top w:val="single" w:sz="4" w:space="1" w:color="auto"/>
          <w:left w:val="single" w:sz="4" w:space="4" w:color="auto"/>
          <w:bottom w:val="single" w:sz="4" w:space="1" w:color="auto"/>
          <w:right w:val="single" w:sz="4" w:space="4" w:color="auto"/>
        </w:pBdr>
        <w:rPr>
          <w:szCs w:val="20"/>
        </w:rPr>
      </w:pPr>
      <w:r w:rsidRPr="00463C3D">
        <w:rPr>
          <w:szCs w:val="20"/>
        </w:rPr>
        <w:t>- cost per QALY</w:t>
      </w:r>
    </w:p>
    <w:p w14:paraId="07B50DA3" w14:textId="77777777" w:rsidR="00160FB7" w:rsidRDefault="00160FB7" w:rsidP="00092580">
      <w:pPr>
        <w:pStyle w:val="Heading1"/>
      </w:pPr>
    </w:p>
    <w:p w14:paraId="34635609" w14:textId="699C5FDD" w:rsidR="00C776B1" w:rsidRPr="00C776B1" w:rsidRDefault="005C3AE7" w:rsidP="00092580">
      <w:pPr>
        <w:pStyle w:val="Heading1"/>
      </w:pPr>
      <w:r>
        <w:t>PART 7</w:t>
      </w:r>
      <w:r w:rsidR="00F93784">
        <w:t xml:space="preserve"> – </w:t>
      </w:r>
      <w:r w:rsidR="006C74B1" w:rsidRPr="00C776B1">
        <w:t xml:space="preserve">INFORMATION ABOUT </w:t>
      </w:r>
      <w:r w:rsidR="0018630F" w:rsidRPr="00C776B1">
        <w:t xml:space="preserve">ESTIMATED </w:t>
      </w:r>
      <w:r w:rsidR="00974D50" w:rsidRPr="00C776B1">
        <w:t>UTILISATION</w:t>
      </w:r>
    </w:p>
    <w:p w14:paraId="61E85469" w14:textId="77777777" w:rsidR="006C74B1"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28FB2261" w14:textId="70BE35D0" w:rsidR="006A6590" w:rsidRDefault="006A6590" w:rsidP="006A6590">
      <w:pPr>
        <w:ind w:left="502"/>
      </w:pPr>
      <w:r>
        <w:t xml:space="preserve">According to estimates of newly diagnosed cases of </w:t>
      </w:r>
      <w:r w:rsidR="00E274F3">
        <w:t>breast cancer</w:t>
      </w:r>
      <w:r>
        <w:t xml:space="preserve"> in Australia there would be 17, 210 new cases in the 2020. Of these, it is estimated that 65% would be HER2 –</w:t>
      </w:r>
      <w:proofErr w:type="spellStart"/>
      <w:r>
        <w:t>ve</w:t>
      </w:r>
      <w:proofErr w:type="spellEnd"/>
      <w:r>
        <w:t xml:space="preserve">, ER </w:t>
      </w:r>
      <w:r w:rsidR="0060518E">
        <w:t>and/</w:t>
      </w:r>
      <w:r>
        <w:t>or PR +</w:t>
      </w:r>
      <w:proofErr w:type="spellStart"/>
      <w:r>
        <w:t>ve</w:t>
      </w:r>
      <w:proofErr w:type="spellEnd"/>
      <w:r>
        <w:t xml:space="preserve"> </w:t>
      </w:r>
      <w:r w:rsidR="005D675B">
        <w:t>(</w:t>
      </w:r>
      <w:r w:rsidR="008F10D1">
        <w:t>proposed</w:t>
      </w:r>
      <w:r w:rsidR="005D675B">
        <w:t xml:space="preserve"> population) </w:t>
      </w:r>
      <w:r>
        <w:t xml:space="preserve">which would be 11,187 </w:t>
      </w:r>
      <w:proofErr w:type="gramStart"/>
      <w:r>
        <w:t>case</w:t>
      </w:r>
      <w:proofErr w:type="gramEnd"/>
      <w:r>
        <w:t xml:space="preserve"> in the same year. Only a proportion of these case</w:t>
      </w:r>
      <w:r w:rsidR="00E274F3">
        <w:t>s</w:t>
      </w:r>
      <w:r>
        <w:t xml:space="preserve"> would be eligible </w:t>
      </w:r>
      <w:r w:rsidR="00E274F3">
        <w:t>to receive</w:t>
      </w:r>
      <w:r>
        <w:t xml:space="preserve"> </w:t>
      </w:r>
      <w:proofErr w:type="spellStart"/>
      <w:r>
        <w:t>Prosigna</w:t>
      </w:r>
      <w:proofErr w:type="spellEnd"/>
      <w:r w:rsidR="00E274F3">
        <w:t>® testing</w:t>
      </w:r>
      <w:r>
        <w:t xml:space="preserve">, as many would be clearly assigned to endocrine </w:t>
      </w:r>
      <w:r w:rsidR="00E274F3">
        <w:t xml:space="preserve">treatment </w:t>
      </w:r>
      <w:r>
        <w:t xml:space="preserve">alone or adjuvant </w:t>
      </w:r>
      <w:r w:rsidR="0017084E">
        <w:t>chemotherapy</w:t>
      </w:r>
      <w:r w:rsidR="008F10D1">
        <w:t xml:space="preserve"> (</w:t>
      </w:r>
      <w:r w:rsidR="008F10D1">
        <w:fldChar w:fldCharType="begin"/>
      </w:r>
      <w:r w:rsidR="008F10D1">
        <w:instrText xml:space="preserve"> REF _Ref465773659 \h </w:instrText>
      </w:r>
      <w:r w:rsidR="008F10D1">
        <w:fldChar w:fldCharType="separate"/>
      </w:r>
      <w:r w:rsidR="00AE5CB1" w:rsidRPr="006A6590">
        <w:rPr>
          <w:szCs w:val="20"/>
        </w:rPr>
        <w:t xml:space="preserve">Table </w:t>
      </w:r>
      <w:r w:rsidR="00AE5CB1">
        <w:rPr>
          <w:szCs w:val="20"/>
        </w:rPr>
        <w:t>9</w:t>
      </w:r>
      <w:r w:rsidR="008F10D1">
        <w:fldChar w:fldCharType="end"/>
      </w:r>
      <w:r w:rsidR="008F10D1">
        <w:t>)</w:t>
      </w:r>
      <w:r>
        <w:t>.</w:t>
      </w:r>
      <w:r w:rsidR="0017084E">
        <w:t xml:space="preserve"> </w:t>
      </w:r>
    </w:p>
    <w:p w14:paraId="45629BBC" w14:textId="32C3FC3D" w:rsidR="006A6590" w:rsidRDefault="006A6590" w:rsidP="00477651">
      <w:pPr>
        <w:pStyle w:val="Caption"/>
        <w:spacing w:after="120"/>
        <w:ind w:left="426"/>
        <w:rPr>
          <w:sz w:val="20"/>
          <w:szCs w:val="20"/>
        </w:rPr>
      </w:pPr>
      <w:bookmarkStart w:id="8" w:name="_Ref465773659"/>
      <w:r w:rsidRPr="006A6590">
        <w:rPr>
          <w:sz w:val="20"/>
          <w:szCs w:val="20"/>
        </w:rPr>
        <w:t xml:space="preserve">Table </w:t>
      </w:r>
      <w:r w:rsidRPr="006A6590">
        <w:rPr>
          <w:sz w:val="20"/>
          <w:szCs w:val="20"/>
        </w:rPr>
        <w:fldChar w:fldCharType="begin"/>
      </w:r>
      <w:r w:rsidRPr="006A6590">
        <w:rPr>
          <w:sz w:val="20"/>
          <w:szCs w:val="20"/>
        </w:rPr>
        <w:instrText xml:space="preserve"> SEQ Table \* ARABIC </w:instrText>
      </w:r>
      <w:r w:rsidRPr="006A6590">
        <w:rPr>
          <w:sz w:val="20"/>
          <w:szCs w:val="20"/>
        </w:rPr>
        <w:fldChar w:fldCharType="separate"/>
      </w:r>
      <w:r w:rsidR="003E6138">
        <w:rPr>
          <w:sz w:val="20"/>
          <w:szCs w:val="20"/>
        </w:rPr>
        <w:t>9</w:t>
      </w:r>
      <w:r w:rsidRPr="006A6590">
        <w:rPr>
          <w:sz w:val="20"/>
          <w:szCs w:val="20"/>
        </w:rPr>
        <w:fldChar w:fldCharType="end"/>
      </w:r>
      <w:bookmarkEnd w:id="8"/>
      <w:r>
        <w:rPr>
          <w:sz w:val="20"/>
          <w:szCs w:val="20"/>
        </w:rPr>
        <w:tab/>
        <w:t xml:space="preserve">Estimated number of new breast cancer cases eligible for </w:t>
      </w:r>
      <w:proofErr w:type="spellStart"/>
      <w:r>
        <w:rPr>
          <w:sz w:val="20"/>
          <w:szCs w:val="20"/>
        </w:rPr>
        <w:t>Prosigna</w:t>
      </w:r>
      <w:proofErr w:type="spellEnd"/>
    </w:p>
    <w:tbl>
      <w:tblPr>
        <w:tblStyle w:val="TableGrid3"/>
        <w:tblW w:w="0" w:type="auto"/>
        <w:tblInd w:w="421" w:type="dxa"/>
        <w:tblLook w:val="04A0" w:firstRow="1" w:lastRow="0" w:firstColumn="1" w:lastColumn="0" w:noHBand="0" w:noVBand="1"/>
        <w:tblDescription w:val="Table 4:  Estimated breast cancer statistics incidence for Australia "/>
      </w:tblPr>
      <w:tblGrid>
        <w:gridCol w:w="3737"/>
        <w:gridCol w:w="1220"/>
        <w:gridCol w:w="1221"/>
        <w:gridCol w:w="1196"/>
        <w:gridCol w:w="1221"/>
      </w:tblGrid>
      <w:tr w:rsidR="002F2F6A" w:rsidRPr="00515109" w14:paraId="021E7141" w14:textId="77777777" w:rsidTr="00CD797D">
        <w:trPr>
          <w:tblHeader/>
        </w:trPr>
        <w:tc>
          <w:tcPr>
            <w:tcW w:w="3737" w:type="dxa"/>
          </w:tcPr>
          <w:p w14:paraId="721116D1" w14:textId="77777777" w:rsidR="002F2F6A" w:rsidRPr="00515109" w:rsidRDefault="002F2F6A" w:rsidP="00477651">
            <w:pPr>
              <w:spacing w:before="60"/>
              <w:rPr>
                <w:rFonts w:ascii="Arial Narrow" w:hAnsi="Arial Narrow"/>
                <w:b/>
                <w:sz w:val="18"/>
                <w:szCs w:val="18"/>
              </w:rPr>
            </w:pPr>
            <w:r w:rsidRPr="00515109">
              <w:rPr>
                <w:rFonts w:ascii="Arial Narrow" w:hAnsi="Arial Narrow"/>
                <w:b/>
                <w:sz w:val="18"/>
                <w:szCs w:val="18"/>
              </w:rPr>
              <w:t>Statistic</w:t>
            </w:r>
          </w:p>
        </w:tc>
        <w:tc>
          <w:tcPr>
            <w:tcW w:w="1220" w:type="dxa"/>
          </w:tcPr>
          <w:p w14:paraId="14A54E2F" w14:textId="77777777" w:rsidR="002F2F6A" w:rsidRPr="00515109" w:rsidRDefault="002F2F6A" w:rsidP="00477651">
            <w:pPr>
              <w:spacing w:before="60"/>
              <w:rPr>
                <w:rFonts w:ascii="Arial Narrow" w:hAnsi="Arial Narrow"/>
                <w:b/>
                <w:sz w:val="18"/>
                <w:szCs w:val="18"/>
              </w:rPr>
            </w:pPr>
            <w:r w:rsidRPr="00515109">
              <w:rPr>
                <w:rFonts w:ascii="Arial Narrow" w:hAnsi="Arial Narrow"/>
                <w:b/>
                <w:sz w:val="18"/>
                <w:szCs w:val="18"/>
              </w:rPr>
              <w:t>201</w:t>
            </w:r>
            <w:r>
              <w:rPr>
                <w:rFonts w:ascii="Arial Narrow" w:hAnsi="Arial Narrow"/>
                <w:b/>
                <w:sz w:val="18"/>
                <w:szCs w:val="18"/>
              </w:rPr>
              <w:t>2</w:t>
            </w:r>
          </w:p>
        </w:tc>
        <w:tc>
          <w:tcPr>
            <w:tcW w:w="1221" w:type="dxa"/>
          </w:tcPr>
          <w:p w14:paraId="24B51719" w14:textId="77777777" w:rsidR="002F2F6A" w:rsidRPr="00515109" w:rsidRDefault="002F2F6A" w:rsidP="00477651">
            <w:pPr>
              <w:spacing w:before="60"/>
              <w:rPr>
                <w:rFonts w:ascii="Arial Narrow" w:hAnsi="Arial Narrow"/>
                <w:b/>
                <w:sz w:val="18"/>
                <w:szCs w:val="18"/>
              </w:rPr>
            </w:pPr>
            <w:r w:rsidRPr="00515109">
              <w:rPr>
                <w:rFonts w:ascii="Arial Narrow" w:hAnsi="Arial Narrow"/>
                <w:b/>
                <w:sz w:val="18"/>
                <w:szCs w:val="18"/>
              </w:rPr>
              <w:t>2014</w:t>
            </w:r>
          </w:p>
        </w:tc>
        <w:tc>
          <w:tcPr>
            <w:tcW w:w="1196" w:type="dxa"/>
          </w:tcPr>
          <w:p w14:paraId="5243F27F" w14:textId="77777777" w:rsidR="002F2F6A" w:rsidRPr="00515109" w:rsidRDefault="002F2F6A" w:rsidP="00477651">
            <w:pPr>
              <w:spacing w:before="60"/>
              <w:rPr>
                <w:rFonts w:ascii="Arial Narrow" w:hAnsi="Arial Narrow"/>
                <w:b/>
                <w:sz w:val="18"/>
                <w:szCs w:val="18"/>
              </w:rPr>
            </w:pPr>
            <w:r>
              <w:rPr>
                <w:rFonts w:ascii="Arial Narrow" w:hAnsi="Arial Narrow"/>
                <w:b/>
                <w:sz w:val="18"/>
                <w:szCs w:val="18"/>
              </w:rPr>
              <w:t>2016</w:t>
            </w:r>
          </w:p>
        </w:tc>
        <w:tc>
          <w:tcPr>
            <w:tcW w:w="1221" w:type="dxa"/>
          </w:tcPr>
          <w:p w14:paraId="13BAD8DE" w14:textId="77777777" w:rsidR="002F2F6A" w:rsidRPr="00515109" w:rsidRDefault="002F2F6A" w:rsidP="00477651">
            <w:pPr>
              <w:spacing w:before="60"/>
              <w:rPr>
                <w:rFonts w:ascii="Arial Narrow" w:hAnsi="Arial Narrow"/>
                <w:b/>
                <w:sz w:val="18"/>
                <w:szCs w:val="18"/>
              </w:rPr>
            </w:pPr>
            <w:r w:rsidRPr="00515109">
              <w:rPr>
                <w:rFonts w:ascii="Arial Narrow" w:hAnsi="Arial Narrow"/>
                <w:b/>
                <w:sz w:val="18"/>
                <w:szCs w:val="18"/>
              </w:rPr>
              <w:t>2020</w:t>
            </w:r>
          </w:p>
        </w:tc>
      </w:tr>
      <w:tr w:rsidR="002F2F6A" w:rsidRPr="00515109" w14:paraId="07416BF1" w14:textId="77777777" w:rsidTr="00CD797D">
        <w:tc>
          <w:tcPr>
            <w:tcW w:w="3737" w:type="dxa"/>
          </w:tcPr>
          <w:p w14:paraId="64EB6B5B" w14:textId="77777777" w:rsidR="002F2F6A" w:rsidRPr="00515109" w:rsidRDefault="002F2F6A" w:rsidP="00477651">
            <w:pPr>
              <w:spacing w:before="60"/>
              <w:rPr>
                <w:rFonts w:ascii="Arial Narrow" w:hAnsi="Arial Narrow"/>
                <w:sz w:val="18"/>
                <w:szCs w:val="18"/>
              </w:rPr>
            </w:pPr>
            <w:r w:rsidRPr="00515109">
              <w:rPr>
                <w:rFonts w:ascii="Arial Narrow" w:hAnsi="Arial Narrow"/>
                <w:sz w:val="18"/>
                <w:szCs w:val="18"/>
              </w:rPr>
              <w:t>New cases</w:t>
            </w:r>
          </w:p>
        </w:tc>
        <w:tc>
          <w:tcPr>
            <w:tcW w:w="1220" w:type="dxa"/>
          </w:tcPr>
          <w:p w14:paraId="36826A5D" w14:textId="77777777" w:rsidR="002F2F6A" w:rsidRPr="006D1C32" w:rsidRDefault="002F2F6A" w:rsidP="00477651">
            <w:pPr>
              <w:tabs>
                <w:tab w:val="right" w:pos="853"/>
              </w:tabs>
              <w:spacing w:before="60"/>
              <w:rPr>
                <w:rFonts w:ascii="Arial Narrow" w:hAnsi="Arial Narrow"/>
                <w:sz w:val="18"/>
                <w:szCs w:val="18"/>
                <w:vertAlign w:val="superscript"/>
              </w:rPr>
            </w:pPr>
            <w:r>
              <w:rPr>
                <w:rFonts w:ascii="Arial Narrow" w:hAnsi="Arial Narrow"/>
                <w:sz w:val="18"/>
                <w:szCs w:val="18"/>
              </w:rPr>
              <w:t>15,166</w:t>
            </w:r>
            <w:r>
              <w:rPr>
                <w:rFonts w:ascii="Arial Narrow" w:hAnsi="Arial Narrow"/>
                <w:sz w:val="18"/>
                <w:szCs w:val="18"/>
                <w:vertAlign w:val="superscript"/>
              </w:rPr>
              <w:t>a</w:t>
            </w:r>
          </w:p>
        </w:tc>
        <w:tc>
          <w:tcPr>
            <w:tcW w:w="1221" w:type="dxa"/>
          </w:tcPr>
          <w:p w14:paraId="44373645" w14:textId="77777777" w:rsidR="002F2F6A" w:rsidRPr="00957E20" w:rsidRDefault="002F2F6A" w:rsidP="00477651">
            <w:pPr>
              <w:tabs>
                <w:tab w:val="right" w:pos="897"/>
              </w:tabs>
              <w:spacing w:before="60"/>
              <w:rPr>
                <w:rFonts w:ascii="Arial Narrow" w:hAnsi="Arial Narrow"/>
                <w:sz w:val="18"/>
                <w:szCs w:val="18"/>
                <w:vertAlign w:val="superscript"/>
              </w:rPr>
            </w:pPr>
            <w:r w:rsidRPr="00515109">
              <w:rPr>
                <w:rFonts w:ascii="Arial Narrow" w:hAnsi="Arial Narrow"/>
                <w:sz w:val="18"/>
                <w:szCs w:val="18"/>
              </w:rPr>
              <w:t>15</w:t>
            </w:r>
            <w:r>
              <w:rPr>
                <w:rFonts w:ascii="Arial Narrow" w:hAnsi="Arial Narrow"/>
                <w:sz w:val="18"/>
                <w:szCs w:val="18"/>
              </w:rPr>
              <w:t>,</w:t>
            </w:r>
            <w:r w:rsidRPr="00515109">
              <w:rPr>
                <w:rFonts w:ascii="Arial Narrow" w:hAnsi="Arial Narrow"/>
                <w:sz w:val="18"/>
                <w:szCs w:val="18"/>
              </w:rPr>
              <w:t>270</w:t>
            </w:r>
            <w:r>
              <w:rPr>
                <w:rFonts w:ascii="Arial Narrow" w:hAnsi="Arial Narrow"/>
                <w:sz w:val="18"/>
                <w:szCs w:val="18"/>
                <w:vertAlign w:val="superscript"/>
              </w:rPr>
              <w:t>b</w:t>
            </w:r>
          </w:p>
        </w:tc>
        <w:tc>
          <w:tcPr>
            <w:tcW w:w="1196" w:type="dxa"/>
          </w:tcPr>
          <w:p w14:paraId="1529CFA8" w14:textId="77777777" w:rsidR="002F2F6A" w:rsidRPr="006D1C32" w:rsidRDefault="002F2F6A" w:rsidP="00477651">
            <w:pPr>
              <w:tabs>
                <w:tab w:val="right" w:pos="898"/>
              </w:tabs>
              <w:spacing w:before="60"/>
              <w:rPr>
                <w:rFonts w:ascii="Arial Narrow" w:hAnsi="Arial Narrow"/>
                <w:sz w:val="18"/>
                <w:szCs w:val="18"/>
                <w:vertAlign w:val="superscript"/>
              </w:rPr>
            </w:pPr>
            <w:r>
              <w:rPr>
                <w:rFonts w:ascii="Arial Narrow" w:hAnsi="Arial Narrow"/>
                <w:sz w:val="18"/>
                <w:szCs w:val="18"/>
              </w:rPr>
              <w:t>16,084</w:t>
            </w:r>
            <w:r>
              <w:rPr>
                <w:rFonts w:ascii="Arial Narrow" w:hAnsi="Arial Narrow"/>
                <w:sz w:val="18"/>
                <w:szCs w:val="18"/>
                <w:vertAlign w:val="superscript"/>
              </w:rPr>
              <w:t>b</w:t>
            </w:r>
          </w:p>
        </w:tc>
        <w:tc>
          <w:tcPr>
            <w:tcW w:w="1221" w:type="dxa"/>
          </w:tcPr>
          <w:p w14:paraId="00102AAA" w14:textId="77777777" w:rsidR="002F2F6A" w:rsidRPr="00957E20" w:rsidRDefault="002F2F6A" w:rsidP="00477651">
            <w:pPr>
              <w:tabs>
                <w:tab w:val="right" w:pos="898"/>
              </w:tabs>
              <w:spacing w:before="60"/>
              <w:rPr>
                <w:rFonts w:ascii="Arial Narrow" w:hAnsi="Arial Narrow"/>
                <w:sz w:val="18"/>
                <w:szCs w:val="18"/>
                <w:vertAlign w:val="superscript"/>
              </w:rPr>
            </w:pPr>
            <w:r w:rsidRPr="00515109">
              <w:rPr>
                <w:rFonts w:ascii="Arial Narrow" w:hAnsi="Arial Narrow"/>
                <w:sz w:val="18"/>
                <w:szCs w:val="18"/>
              </w:rPr>
              <w:t>17</w:t>
            </w:r>
            <w:r>
              <w:rPr>
                <w:rFonts w:ascii="Arial Narrow" w:hAnsi="Arial Narrow"/>
                <w:sz w:val="18"/>
                <w:szCs w:val="18"/>
              </w:rPr>
              <w:t>,</w:t>
            </w:r>
            <w:r w:rsidRPr="00515109">
              <w:rPr>
                <w:rFonts w:ascii="Arial Narrow" w:hAnsi="Arial Narrow"/>
                <w:sz w:val="18"/>
                <w:szCs w:val="18"/>
              </w:rPr>
              <w:t>210</w:t>
            </w:r>
            <w:r>
              <w:rPr>
                <w:rFonts w:ascii="Arial Narrow" w:hAnsi="Arial Narrow"/>
                <w:sz w:val="18"/>
                <w:szCs w:val="18"/>
                <w:vertAlign w:val="superscript"/>
              </w:rPr>
              <w:t>c</w:t>
            </w:r>
          </w:p>
        </w:tc>
      </w:tr>
      <w:tr w:rsidR="002F2F6A" w:rsidRPr="00515109" w14:paraId="5BF97DA9" w14:textId="77777777" w:rsidTr="00CD797D">
        <w:tc>
          <w:tcPr>
            <w:tcW w:w="3737" w:type="dxa"/>
          </w:tcPr>
          <w:p w14:paraId="73D6A828" w14:textId="77777777" w:rsidR="002F2F6A" w:rsidRPr="00515109" w:rsidRDefault="002F2F6A" w:rsidP="00477651">
            <w:pPr>
              <w:spacing w:before="60"/>
              <w:rPr>
                <w:rFonts w:ascii="Arial Narrow" w:hAnsi="Arial Narrow"/>
                <w:sz w:val="18"/>
                <w:szCs w:val="18"/>
                <w:vertAlign w:val="superscript"/>
              </w:rPr>
            </w:pPr>
            <w:r w:rsidRPr="00515109">
              <w:rPr>
                <w:rFonts w:ascii="Arial Narrow" w:hAnsi="Arial Narrow"/>
                <w:sz w:val="18"/>
                <w:szCs w:val="18"/>
              </w:rPr>
              <w:t>New ER</w:t>
            </w:r>
            <w:r>
              <w:rPr>
                <w:rFonts w:ascii="Arial Narrow" w:hAnsi="Arial Narrow"/>
                <w:sz w:val="18"/>
                <w:szCs w:val="18"/>
              </w:rPr>
              <w:t xml:space="preserve"> </w:t>
            </w:r>
            <w:r w:rsidRPr="00515109">
              <w:rPr>
                <w:rFonts w:ascii="Arial Narrow" w:hAnsi="Arial Narrow"/>
                <w:sz w:val="18"/>
                <w:szCs w:val="18"/>
              </w:rPr>
              <w:t>+</w:t>
            </w:r>
            <w:proofErr w:type="spellStart"/>
            <w:r w:rsidRPr="00515109">
              <w:rPr>
                <w:rFonts w:ascii="Arial Narrow" w:hAnsi="Arial Narrow"/>
                <w:sz w:val="18"/>
                <w:szCs w:val="18"/>
              </w:rPr>
              <w:t>ve</w:t>
            </w:r>
            <w:proofErr w:type="spellEnd"/>
            <w:r w:rsidRPr="00515109">
              <w:rPr>
                <w:rFonts w:ascii="Arial Narrow" w:hAnsi="Arial Narrow"/>
                <w:sz w:val="18"/>
                <w:szCs w:val="18"/>
              </w:rPr>
              <w:t>, HER2</w:t>
            </w:r>
            <w:r>
              <w:rPr>
                <w:rFonts w:ascii="Arial Narrow" w:hAnsi="Arial Narrow"/>
                <w:sz w:val="18"/>
                <w:szCs w:val="18"/>
              </w:rPr>
              <w:t xml:space="preserve"> </w:t>
            </w:r>
            <w:r w:rsidRPr="00515109">
              <w:rPr>
                <w:rFonts w:ascii="Arial Narrow" w:hAnsi="Arial Narrow"/>
                <w:sz w:val="18"/>
                <w:szCs w:val="18"/>
              </w:rPr>
              <w:t>-</w:t>
            </w:r>
            <w:proofErr w:type="spellStart"/>
            <w:r w:rsidRPr="00515109">
              <w:rPr>
                <w:rFonts w:ascii="Arial Narrow" w:hAnsi="Arial Narrow"/>
                <w:sz w:val="18"/>
                <w:szCs w:val="18"/>
              </w:rPr>
              <w:t>ve</w:t>
            </w:r>
            <w:proofErr w:type="spellEnd"/>
            <w:r w:rsidRPr="00515109">
              <w:rPr>
                <w:rFonts w:ascii="Arial Narrow" w:hAnsi="Arial Narrow"/>
                <w:sz w:val="18"/>
                <w:szCs w:val="18"/>
              </w:rPr>
              <w:t xml:space="preserve"> cases (assuming 65% of total)</w:t>
            </w:r>
            <w:r>
              <w:rPr>
                <w:rFonts w:ascii="Arial Narrow" w:hAnsi="Arial Narrow"/>
                <w:sz w:val="18"/>
                <w:szCs w:val="18"/>
                <w:vertAlign w:val="superscript"/>
              </w:rPr>
              <w:t>d</w:t>
            </w:r>
          </w:p>
        </w:tc>
        <w:tc>
          <w:tcPr>
            <w:tcW w:w="1220" w:type="dxa"/>
          </w:tcPr>
          <w:p w14:paraId="0CFE0974" w14:textId="77777777" w:rsidR="002F2F6A" w:rsidRPr="00515109" w:rsidRDefault="002F2F6A" w:rsidP="00477651">
            <w:pPr>
              <w:tabs>
                <w:tab w:val="right" w:pos="853"/>
              </w:tabs>
              <w:spacing w:before="60"/>
              <w:rPr>
                <w:rFonts w:ascii="Arial Narrow" w:hAnsi="Arial Narrow"/>
                <w:sz w:val="18"/>
                <w:szCs w:val="18"/>
              </w:rPr>
            </w:pPr>
            <w:r>
              <w:rPr>
                <w:rFonts w:ascii="Arial Narrow" w:hAnsi="Arial Narrow"/>
                <w:sz w:val="18"/>
                <w:szCs w:val="18"/>
              </w:rPr>
              <w:t>9857</w:t>
            </w:r>
          </w:p>
        </w:tc>
        <w:tc>
          <w:tcPr>
            <w:tcW w:w="1221" w:type="dxa"/>
          </w:tcPr>
          <w:p w14:paraId="08BD5F6A" w14:textId="77777777" w:rsidR="002F2F6A" w:rsidRPr="00515109" w:rsidRDefault="002F2F6A" w:rsidP="00477651">
            <w:pPr>
              <w:tabs>
                <w:tab w:val="right" w:pos="897"/>
              </w:tabs>
              <w:spacing w:before="60"/>
              <w:rPr>
                <w:rFonts w:ascii="Arial Narrow" w:hAnsi="Arial Narrow"/>
                <w:sz w:val="18"/>
                <w:szCs w:val="18"/>
              </w:rPr>
            </w:pPr>
            <w:r w:rsidRPr="00515109">
              <w:rPr>
                <w:rFonts w:ascii="Arial Narrow" w:hAnsi="Arial Narrow"/>
                <w:sz w:val="18"/>
                <w:szCs w:val="18"/>
              </w:rPr>
              <w:t>9925</w:t>
            </w:r>
          </w:p>
        </w:tc>
        <w:tc>
          <w:tcPr>
            <w:tcW w:w="1196" w:type="dxa"/>
          </w:tcPr>
          <w:p w14:paraId="640228CB" w14:textId="77777777" w:rsidR="002F2F6A" w:rsidRPr="00515109" w:rsidRDefault="002F2F6A" w:rsidP="00477651">
            <w:pPr>
              <w:tabs>
                <w:tab w:val="right" w:pos="898"/>
              </w:tabs>
              <w:spacing w:before="60"/>
              <w:rPr>
                <w:rFonts w:ascii="Arial Narrow" w:hAnsi="Arial Narrow"/>
                <w:sz w:val="18"/>
                <w:szCs w:val="18"/>
              </w:rPr>
            </w:pPr>
            <w:r>
              <w:rPr>
                <w:rFonts w:ascii="Arial Narrow" w:hAnsi="Arial Narrow"/>
                <w:sz w:val="18"/>
                <w:szCs w:val="18"/>
              </w:rPr>
              <w:t>9972</w:t>
            </w:r>
          </w:p>
        </w:tc>
        <w:tc>
          <w:tcPr>
            <w:tcW w:w="1221" w:type="dxa"/>
          </w:tcPr>
          <w:p w14:paraId="41E3D1EE" w14:textId="77777777" w:rsidR="002F2F6A" w:rsidRPr="00515109" w:rsidRDefault="002F2F6A" w:rsidP="00477651">
            <w:pPr>
              <w:tabs>
                <w:tab w:val="right" w:pos="898"/>
              </w:tabs>
              <w:spacing w:before="60"/>
              <w:rPr>
                <w:rFonts w:ascii="Arial Narrow" w:hAnsi="Arial Narrow"/>
                <w:sz w:val="18"/>
                <w:szCs w:val="18"/>
              </w:rPr>
            </w:pPr>
            <w:r w:rsidRPr="00515109">
              <w:rPr>
                <w:rFonts w:ascii="Arial Narrow" w:hAnsi="Arial Narrow"/>
                <w:sz w:val="18"/>
                <w:szCs w:val="18"/>
              </w:rPr>
              <w:t>11</w:t>
            </w:r>
            <w:r>
              <w:rPr>
                <w:rFonts w:ascii="Arial Narrow" w:hAnsi="Arial Narrow"/>
                <w:sz w:val="18"/>
                <w:szCs w:val="18"/>
              </w:rPr>
              <w:t>,</w:t>
            </w:r>
            <w:r w:rsidRPr="00515109">
              <w:rPr>
                <w:rFonts w:ascii="Arial Narrow" w:hAnsi="Arial Narrow"/>
                <w:sz w:val="18"/>
                <w:szCs w:val="18"/>
              </w:rPr>
              <w:t>187</w:t>
            </w:r>
          </w:p>
        </w:tc>
      </w:tr>
      <w:tr w:rsidR="002F2F6A" w:rsidRPr="00515109" w14:paraId="5AD75E15" w14:textId="77777777" w:rsidTr="00CD797D">
        <w:tc>
          <w:tcPr>
            <w:tcW w:w="3737" w:type="dxa"/>
          </w:tcPr>
          <w:p w14:paraId="5B608F83" w14:textId="7F9C0407" w:rsidR="002F2F6A" w:rsidRPr="00515109" w:rsidRDefault="002F2F6A" w:rsidP="00477651">
            <w:pPr>
              <w:spacing w:before="60"/>
              <w:rPr>
                <w:rFonts w:ascii="Arial Narrow" w:hAnsi="Arial Narrow"/>
                <w:sz w:val="18"/>
                <w:szCs w:val="18"/>
              </w:rPr>
            </w:pPr>
            <w:r w:rsidRPr="00054BF4">
              <w:rPr>
                <w:rFonts w:ascii="Arial Narrow" w:hAnsi="Arial Narrow"/>
                <w:sz w:val="18"/>
                <w:szCs w:val="18"/>
              </w:rPr>
              <w:t>Estimated new ER +</w:t>
            </w:r>
            <w:proofErr w:type="spellStart"/>
            <w:r w:rsidRPr="00054BF4">
              <w:rPr>
                <w:rFonts w:ascii="Arial Narrow" w:hAnsi="Arial Narrow"/>
                <w:sz w:val="18"/>
                <w:szCs w:val="18"/>
              </w:rPr>
              <w:t>ve</w:t>
            </w:r>
            <w:proofErr w:type="spellEnd"/>
            <w:r w:rsidRPr="00054BF4">
              <w:rPr>
                <w:rFonts w:ascii="Arial Narrow" w:hAnsi="Arial Narrow"/>
                <w:sz w:val="18"/>
                <w:szCs w:val="18"/>
              </w:rPr>
              <w:t>, HER2 –</w:t>
            </w:r>
            <w:proofErr w:type="spellStart"/>
            <w:r w:rsidRPr="00054BF4">
              <w:rPr>
                <w:rFonts w:ascii="Arial Narrow" w:hAnsi="Arial Narrow"/>
                <w:sz w:val="18"/>
                <w:szCs w:val="18"/>
              </w:rPr>
              <w:t>ve</w:t>
            </w:r>
            <w:proofErr w:type="spellEnd"/>
            <w:r w:rsidRPr="00054BF4">
              <w:rPr>
                <w:rFonts w:ascii="Arial Narrow" w:hAnsi="Arial Narrow"/>
                <w:sz w:val="18"/>
                <w:szCs w:val="18"/>
              </w:rPr>
              <w:t xml:space="preserve"> cases  </w:t>
            </w:r>
            <w:r w:rsidR="005D675B" w:rsidRPr="00054BF4">
              <w:rPr>
                <w:rFonts w:ascii="Arial Narrow" w:hAnsi="Arial Narrow"/>
                <w:sz w:val="18"/>
                <w:szCs w:val="18"/>
              </w:rPr>
              <w:t xml:space="preserve">of local or regional cancer in women under 80 years </w:t>
            </w:r>
            <w:r w:rsidRPr="00054BF4">
              <w:rPr>
                <w:rFonts w:ascii="Arial Narrow" w:hAnsi="Arial Narrow"/>
                <w:sz w:val="18"/>
                <w:szCs w:val="18"/>
              </w:rPr>
              <w:t xml:space="preserve">(assuming </w:t>
            </w:r>
            <w:r w:rsidR="005D675B" w:rsidRPr="00054BF4">
              <w:rPr>
                <w:rFonts w:ascii="Arial Narrow" w:hAnsi="Arial Narrow"/>
                <w:sz w:val="18"/>
                <w:szCs w:val="18"/>
              </w:rPr>
              <w:t>68</w:t>
            </w:r>
            <w:r w:rsidRPr="00054BF4">
              <w:rPr>
                <w:rFonts w:ascii="Arial Narrow" w:hAnsi="Arial Narrow"/>
                <w:sz w:val="18"/>
                <w:szCs w:val="18"/>
              </w:rPr>
              <w:t>% of total)</w:t>
            </w:r>
            <w:r w:rsidRPr="00054BF4">
              <w:rPr>
                <w:rFonts w:ascii="Arial Narrow" w:hAnsi="Arial Narrow"/>
                <w:sz w:val="18"/>
                <w:szCs w:val="18"/>
                <w:vertAlign w:val="superscript"/>
              </w:rPr>
              <w:t>e</w:t>
            </w:r>
          </w:p>
        </w:tc>
        <w:tc>
          <w:tcPr>
            <w:tcW w:w="1220" w:type="dxa"/>
          </w:tcPr>
          <w:p w14:paraId="226E7540" w14:textId="06AFEBDE" w:rsidR="002F2F6A" w:rsidRDefault="005D675B" w:rsidP="00477651">
            <w:pPr>
              <w:tabs>
                <w:tab w:val="right" w:pos="853"/>
              </w:tabs>
              <w:spacing w:before="60"/>
              <w:rPr>
                <w:rFonts w:ascii="Arial Narrow" w:hAnsi="Arial Narrow"/>
                <w:sz w:val="18"/>
                <w:szCs w:val="18"/>
              </w:rPr>
            </w:pPr>
            <w:r>
              <w:rPr>
                <w:rFonts w:ascii="Arial Narrow" w:hAnsi="Arial Narrow"/>
                <w:sz w:val="18"/>
                <w:szCs w:val="18"/>
              </w:rPr>
              <w:t>6703</w:t>
            </w:r>
          </w:p>
        </w:tc>
        <w:tc>
          <w:tcPr>
            <w:tcW w:w="1221" w:type="dxa"/>
          </w:tcPr>
          <w:p w14:paraId="0294D7DE" w14:textId="6E10993C" w:rsidR="002F2F6A" w:rsidRPr="00515109" w:rsidRDefault="005D675B" w:rsidP="00477651">
            <w:pPr>
              <w:tabs>
                <w:tab w:val="right" w:pos="897"/>
              </w:tabs>
              <w:spacing w:before="60"/>
              <w:rPr>
                <w:rFonts w:ascii="Arial Narrow" w:hAnsi="Arial Narrow"/>
                <w:sz w:val="18"/>
                <w:szCs w:val="18"/>
              </w:rPr>
            </w:pPr>
            <w:r>
              <w:rPr>
                <w:rFonts w:ascii="Arial Narrow" w:hAnsi="Arial Narrow"/>
                <w:sz w:val="18"/>
                <w:szCs w:val="18"/>
              </w:rPr>
              <w:t>4049</w:t>
            </w:r>
          </w:p>
        </w:tc>
        <w:tc>
          <w:tcPr>
            <w:tcW w:w="1196" w:type="dxa"/>
          </w:tcPr>
          <w:p w14:paraId="232A1B4B" w14:textId="38552F09" w:rsidR="002F2F6A" w:rsidRDefault="005D675B" w:rsidP="00477651">
            <w:pPr>
              <w:tabs>
                <w:tab w:val="right" w:pos="898"/>
              </w:tabs>
              <w:spacing w:before="60"/>
              <w:rPr>
                <w:rFonts w:ascii="Arial Narrow" w:hAnsi="Arial Narrow"/>
                <w:sz w:val="18"/>
                <w:szCs w:val="18"/>
              </w:rPr>
            </w:pPr>
            <w:r>
              <w:rPr>
                <w:rFonts w:ascii="Arial Narrow" w:hAnsi="Arial Narrow"/>
                <w:sz w:val="18"/>
                <w:szCs w:val="18"/>
              </w:rPr>
              <w:t>6781</w:t>
            </w:r>
          </w:p>
        </w:tc>
        <w:tc>
          <w:tcPr>
            <w:tcW w:w="1221" w:type="dxa"/>
          </w:tcPr>
          <w:p w14:paraId="2165D634" w14:textId="36A70569" w:rsidR="002F2F6A" w:rsidRPr="00515109" w:rsidRDefault="005D675B" w:rsidP="00477651">
            <w:pPr>
              <w:tabs>
                <w:tab w:val="right" w:pos="898"/>
              </w:tabs>
              <w:spacing w:before="60"/>
              <w:rPr>
                <w:rFonts w:ascii="Arial Narrow" w:hAnsi="Arial Narrow"/>
                <w:sz w:val="18"/>
                <w:szCs w:val="18"/>
              </w:rPr>
            </w:pPr>
            <w:r>
              <w:rPr>
                <w:rFonts w:ascii="Arial Narrow" w:hAnsi="Arial Narrow"/>
                <w:sz w:val="18"/>
                <w:szCs w:val="18"/>
              </w:rPr>
              <w:t>7607</w:t>
            </w:r>
          </w:p>
        </w:tc>
      </w:tr>
    </w:tbl>
    <w:p w14:paraId="0D56B34F" w14:textId="3322F2B1" w:rsidR="002F2F6A" w:rsidRPr="00606EC9" w:rsidRDefault="002F2F6A" w:rsidP="002F2F6A">
      <w:pPr>
        <w:spacing w:before="0" w:after="0"/>
        <w:ind w:left="426"/>
        <w:rPr>
          <w:rFonts w:ascii="Arial Narrow" w:hAnsi="Arial Narrow"/>
          <w:sz w:val="18"/>
          <w:szCs w:val="18"/>
        </w:rPr>
      </w:pPr>
      <w:r w:rsidRPr="00957E20">
        <w:rPr>
          <w:rFonts w:ascii="Arial Narrow" w:hAnsi="Arial Narrow"/>
          <w:sz w:val="18"/>
          <w:szCs w:val="18"/>
          <w:vertAlign w:val="superscript"/>
        </w:rPr>
        <w:t>a</w:t>
      </w:r>
      <w:r>
        <w:rPr>
          <w:rFonts w:ascii="Arial Narrow" w:hAnsi="Arial Narrow"/>
          <w:sz w:val="18"/>
          <w:szCs w:val="18"/>
          <w:vertAlign w:val="superscript"/>
        </w:rPr>
        <w:t xml:space="preserve"> </w:t>
      </w:r>
      <w:r w:rsidRPr="00606EC9">
        <w:rPr>
          <w:rFonts w:ascii="Arial Narrow" w:hAnsi="Arial Narrow"/>
          <w:sz w:val="18"/>
          <w:szCs w:val="18"/>
        </w:rPr>
        <w:t xml:space="preserve">Australian Institute of Health and Welfare in </w:t>
      </w:r>
      <w:r>
        <w:rPr>
          <w:rFonts w:ascii="Arial Narrow" w:hAnsi="Arial Narrow"/>
          <w:sz w:val="18"/>
          <w:szCs w:val="18"/>
        </w:rPr>
        <w:t xml:space="preserve">2016 </w:t>
      </w:r>
      <w:r>
        <w:rPr>
          <w:rFonts w:ascii="Arial Narrow" w:hAnsi="Arial Narrow"/>
          <w:sz w:val="18"/>
          <w:szCs w:val="18"/>
        </w:rPr>
        <w:fldChar w:fldCharType="begin"/>
      </w:r>
      <w:r>
        <w:rPr>
          <w:rFonts w:ascii="Arial Narrow" w:hAnsi="Arial Narrow"/>
          <w:sz w:val="18"/>
          <w:szCs w:val="18"/>
        </w:rPr>
        <w:instrText xml:space="preserve"> ADDIN EN.CITE &lt;EndNote&gt;&lt;Cite&gt;&lt;Author&gt;AIHW&lt;/Author&gt;&lt;Year&gt;2016&lt;/Year&gt;&lt;RecNum&gt;92&lt;/RecNum&gt;&lt;DisplayText&gt;(AIHW 2016)&lt;/DisplayText&gt;&lt;record&gt;&lt;rec-number&gt;92&lt;/rec-number&gt;&lt;foreign-keys&gt;&lt;key app="EN" db-id="d0zpx20a6fxrw3etdtj5tetpa2adf9stz5fr" timestamp="1478498265"&gt;92&lt;/key&gt;&lt;/foreign-keys&gt;&lt;ref-type name="Report"&gt;27&lt;/ref-type&gt;&lt;contributors&gt;&lt;authors&gt;&lt;author&gt;AIHW&lt;/author&gt;&lt;/authors&gt;&lt;/contributors&gt;&lt;titles&gt;&lt;title&gt;Australian cancer Incidence and Mortality (ACIM) books&lt;/title&gt;&lt;secondary-title&gt;Breast Cancer&lt;/secondary-title&gt;&lt;/titles&gt;&lt;number&gt;Last updated 29 January 2016&lt;/number&gt;&lt;dates&gt;&lt;year&gt;2016&lt;/year&gt;&lt;/dates&gt;&lt;pub-location&gt;Canberra&lt;/pub-location&gt;&lt;publisher&gt;Australian Insitute of Health and Welfare&lt;/publisher&gt;&lt;urls&gt;&lt;related-urls&gt;&lt;url&gt;http://www.aihw.gov.au/acim-books/&lt;/url&gt;&lt;/related-urls&gt;&lt;/urls&gt;&lt;/record&gt;&lt;/Cite&gt;&lt;/EndNote&gt;</w:instrText>
      </w:r>
      <w:r>
        <w:rPr>
          <w:rFonts w:ascii="Arial Narrow" w:hAnsi="Arial Narrow"/>
          <w:sz w:val="18"/>
          <w:szCs w:val="18"/>
        </w:rPr>
        <w:fldChar w:fldCharType="separate"/>
      </w:r>
      <w:r>
        <w:rPr>
          <w:rFonts w:ascii="Arial Narrow" w:hAnsi="Arial Narrow"/>
          <w:noProof/>
          <w:sz w:val="18"/>
          <w:szCs w:val="18"/>
        </w:rPr>
        <w:t>(</w:t>
      </w:r>
      <w:hyperlink w:anchor="_ENREF_2" w:tooltip="AIHW, 2016 #92" w:history="1">
        <w:r w:rsidR="00477651">
          <w:rPr>
            <w:rFonts w:ascii="Arial Narrow" w:hAnsi="Arial Narrow"/>
            <w:noProof/>
            <w:sz w:val="18"/>
            <w:szCs w:val="18"/>
          </w:rPr>
          <w:t>AIHW 2016</w:t>
        </w:r>
      </w:hyperlink>
      <w:r>
        <w:rPr>
          <w:rFonts w:ascii="Arial Narrow" w:hAnsi="Arial Narrow"/>
          <w:noProof/>
          <w:sz w:val="18"/>
          <w:szCs w:val="18"/>
        </w:rPr>
        <w:t>)</w:t>
      </w:r>
      <w:r>
        <w:rPr>
          <w:rFonts w:ascii="Arial Narrow" w:hAnsi="Arial Narrow"/>
          <w:sz w:val="18"/>
          <w:szCs w:val="18"/>
        </w:rPr>
        <w:fldChar w:fldCharType="end"/>
      </w:r>
    </w:p>
    <w:p w14:paraId="52299B4A" w14:textId="11B9FCF2" w:rsidR="002F2F6A" w:rsidRDefault="002F2F6A" w:rsidP="002F2F6A">
      <w:pPr>
        <w:spacing w:before="0" w:after="0"/>
        <w:ind w:left="426"/>
        <w:rPr>
          <w:rFonts w:ascii="Arial Narrow" w:hAnsi="Arial Narrow"/>
          <w:sz w:val="18"/>
          <w:szCs w:val="18"/>
        </w:rPr>
      </w:pPr>
      <w:r w:rsidRPr="00957E20">
        <w:rPr>
          <w:rFonts w:ascii="Arial Narrow" w:hAnsi="Arial Narrow"/>
          <w:sz w:val="18"/>
          <w:szCs w:val="18"/>
          <w:vertAlign w:val="superscript"/>
        </w:rPr>
        <w:t>b</w:t>
      </w:r>
      <w:r>
        <w:rPr>
          <w:rFonts w:ascii="Arial Narrow" w:hAnsi="Arial Narrow"/>
          <w:sz w:val="18"/>
          <w:szCs w:val="18"/>
        </w:rPr>
        <w:fldChar w:fldCharType="begin"/>
      </w:r>
      <w:r>
        <w:rPr>
          <w:rFonts w:ascii="Arial Narrow" w:hAnsi="Arial Narrow"/>
          <w:sz w:val="18"/>
          <w:szCs w:val="18"/>
        </w:rPr>
        <w:instrText xml:space="preserve"> ADDIN EN.CITE &lt;EndNote&gt;&lt;Cite&gt;&lt;Author&gt;Cancer Australia&lt;/Author&gt;&lt;Year&gt;2016&lt;/Year&gt;&lt;RecNum&gt;93&lt;/RecNum&gt;&lt;DisplayText&gt;(Cancer Australia 2016)&lt;/DisplayText&gt;&lt;record&gt;&lt;rec-number&gt;93&lt;/rec-number&gt;&lt;foreign-keys&gt;&lt;key app="EN" db-id="d0zpx20a6fxrw3etdtj5tetpa2adf9stz5fr" timestamp="1478498437"&gt;93&lt;/key&gt;&lt;/foreign-keys&gt;&lt;ref-type name="Report"&gt;27&lt;/ref-type&gt;&lt;contributors&gt;&lt;authors&gt;&lt;author&gt;Cancer Australia, &lt;/author&gt;&lt;/authors&gt;&lt;secondary-authors&gt;&lt;author&gt;Australian Government&lt;/author&gt;&lt;/secondary-authors&gt;&lt;/contributors&gt;&lt;titles&gt;&lt;title&gt;Breast cancer statistics&lt;/title&gt;&lt;secondary-title&gt;Breast Cancer in Australia&lt;/secondary-title&gt;&lt;/titles&gt;&lt;number&gt;Last updated 29 January 2016&lt;/number&gt;&lt;dates&gt;&lt;year&gt;2016&lt;/year&gt;&lt;/dates&gt;&lt;pub-location&gt;Canberra&lt;/pub-location&gt;&lt;urls&gt;&lt;related-urls&gt;&lt;url&gt;https://canceraustralia.gov.au/affected-cancer/cancer-types/breast-cancer/breast-cancer-statistics&lt;/url&gt;&lt;/related-urls&gt;&lt;/urls&gt;&lt;/record&gt;&lt;/Cite&gt;&lt;/EndNote&gt;</w:instrText>
      </w:r>
      <w:r>
        <w:rPr>
          <w:rFonts w:ascii="Arial Narrow" w:hAnsi="Arial Narrow"/>
          <w:sz w:val="18"/>
          <w:szCs w:val="18"/>
        </w:rPr>
        <w:fldChar w:fldCharType="separate"/>
      </w:r>
      <w:r>
        <w:rPr>
          <w:rFonts w:ascii="Arial Narrow" w:hAnsi="Arial Narrow"/>
          <w:noProof/>
          <w:sz w:val="18"/>
          <w:szCs w:val="18"/>
        </w:rPr>
        <w:t>(</w:t>
      </w:r>
      <w:hyperlink w:anchor="_ENREF_4" w:tooltip="Cancer Australia, 2016 #93" w:history="1">
        <w:r w:rsidR="00477651">
          <w:rPr>
            <w:rFonts w:ascii="Arial Narrow" w:hAnsi="Arial Narrow"/>
            <w:noProof/>
            <w:sz w:val="18"/>
            <w:szCs w:val="18"/>
          </w:rPr>
          <w:t>Cancer Australia 2016</w:t>
        </w:r>
      </w:hyperlink>
      <w:r>
        <w:rPr>
          <w:rFonts w:ascii="Arial Narrow" w:hAnsi="Arial Narrow"/>
          <w:noProof/>
          <w:sz w:val="18"/>
          <w:szCs w:val="18"/>
        </w:rPr>
        <w:t>)</w:t>
      </w:r>
      <w:r>
        <w:rPr>
          <w:rFonts w:ascii="Arial Narrow" w:hAnsi="Arial Narrow"/>
          <w:sz w:val="18"/>
          <w:szCs w:val="18"/>
        </w:rPr>
        <w:fldChar w:fldCharType="end"/>
      </w:r>
    </w:p>
    <w:p w14:paraId="21374B90" w14:textId="60080EFF" w:rsidR="002F2F6A" w:rsidRPr="006A7271" w:rsidRDefault="002F2F6A" w:rsidP="002F2F6A">
      <w:pPr>
        <w:spacing w:before="0" w:after="0"/>
        <w:ind w:left="426"/>
        <w:rPr>
          <w:rFonts w:ascii="Arial Narrow" w:hAnsi="Arial Narrow"/>
          <w:sz w:val="18"/>
          <w:szCs w:val="18"/>
        </w:rPr>
      </w:pPr>
      <w:r>
        <w:rPr>
          <w:rFonts w:ascii="Arial Narrow" w:hAnsi="Arial Narrow"/>
          <w:sz w:val="18"/>
          <w:szCs w:val="18"/>
          <w:vertAlign w:val="superscript"/>
        </w:rPr>
        <w:t>c</w:t>
      </w:r>
      <w:r w:rsidRPr="006A7271">
        <w:rPr>
          <w:rFonts w:ascii="Arial Narrow" w:hAnsi="Arial Narrow"/>
          <w:sz w:val="18"/>
          <w:szCs w:val="18"/>
        </w:rPr>
        <w:fldChar w:fldCharType="begin"/>
      </w:r>
      <w:r>
        <w:rPr>
          <w:rFonts w:ascii="Arial Narrow" w:hAnsi="Arial Narrow"/>
          <w:sz w:val="18"/>
          <w:szCs w:val="18"/>
        </w:rPr>
        <w:instrText xml:space="preserve"> ADDIN EN.CITE &lt;EndNote&gt;&lt;Cite&gt;&lt;Author&gt;AIHW&lt;/Author&gt;&lt;Year&gt;2012&lt;/Year&gt;&lt;RecNum&gt;94&lt;/RecNum&gt;&lt;DisplayText&gt;(AIHW 2012)&lt;/DisplayText&gt;&lt;record&gt;&lt;rec-number&gt;94&lt;/rec-number&gt;&lt;foreign-keys&gt;&lt;key app="EN" db-id="d0zpx20a6fxrw3etdtj5tetpa2adf9stz5fr" timestamp="1478499429"&gt;94&lt;/key&gt;&lt;/foreign-keys&gt;&lt;ref-type name="Report"&gt;27&lt;/ref-type&gt;&lt;contributors&gt;&lt;authors&gt;&lt;author&gt;AIHW&lt;/author&gt;&lt;/authors&gt;&lt;/contributors&gt;&lt;titles&gt;&lt;title&gt;Cancer incidence projections, Australia, 2011 to 2020&lt;/title&gt;&lt;/titles&gt;&lt;number&gt;Cancer series Number 66&lt;/number&gt;&lt;dates&gt;&lt;year&gt;2012&lt;/year&gt;&lt;/dates&gt;&lt;pub-location&gt;Canberra&lt;/pub-location&gt;&lt;publisher&gt;Australian Institute of Health and Welfare&lt;/publisher&gt;&lt;urls&gt;&lt;related-urls&gt;&lt;url&gt;http://www.aihw.gov.au/WorkArea/DownloadAsset.aspx?id=10737421440&lt;/url&gt;&lt;/related-urls&gt;&lt;/urls&gt;&lt;/record&gt;&lt;/Cite&gt;&lt;/EndNote&gt;</w:instrText>
      </w:r>
      <w:r w:rsidRPr="006A7271">
        <w:rPr>
          <w:rFonts w:ascii="Arial Narrow" w:hAnsi="Arial Narrow"/>
          <w:sz w:val="18"/>
          <w:szCs w:val="18"/>
        </w:rPr>
        <w:fldChar w:fldCharType="separate"/>
      </w:r>
      <w:r>
        <w:rPr>
          <w:rFonts w:ascii="Arial Narrow" w:hAnsi="Arial Narrow"/>
          <w:noProof/>
          <w:sz w:val="18"/>
          <w:szCs w:val="18"/>
        </w:rPr>
        <w:t>(</w:t>
      </w:r>
      <w:hyperlink w:anchor="_ENREF_1" w:tooltip="AIHW, 2012 #94" w:history="1">
        <w:r w:rsidR="00477651">
          <w:rPr>
            <w:rFonts w:ascii="Arial Narrow" w:hAnsi="Arial Narrow"/>
            <w:noProof/>
            <w:sz w:val="18"/>
            <w:szCs w:val="18"/>
          </w:rPr>
          <w:t>AIHW 2012</w:t>
        </w:r>
      </w:hyperlink>
      <w:r>
        <w:rPr>
          <w:rFonts w:ascii="Arial Narrow" w:hAnsi="Arial Narrow"/>
          <w:noProof/>
          <w:sz w:val="18"/>
          <w:szCs w:val="18"/>
        </w:rPr>
        <w:t>)</w:t>
      </w:r>
      <w:r w:rsidRPr="006A7271">
        <w:rPr>
          <w:rFonts w:ascii="Arial Narrow" w:hAnsi="Arial Narrow"/>
          <w:sz w:val="18"/>
          <w:szCs w:val="18"/>
        </w:rPr>
        <w:fldChar w:fldCharType="end"/>
      </w:r>
      <w:r w:rsidRPr="006A7271">
        <w:rPr>
          <w:rFonts w:ascii="Arial Narrow" w:hAnsi="Arial Narrow"/>
          <w:sz w:val="18"/>
          <w:szCs w:val="18"/>
        </w:rPr>
        <w:t xml:space="preserve"> </w:t>
      </w:r>
    </w:p>
    <w:p w14:paraId="615A9972" w14:textId="77777777" w:rsidR="002F2F6A" w:rsidRDefault="002F2F6A" w:rsidP="002F2F6A">
      <w:pPr>
        <w:spacing w:before="0" w:after="0"/>
        <w:ind w:left="426"/>
        <w:rPr>
          <w:rFonts w:ascii="Arial Narrow" w:hAnsi="Arial Narrow"/>
          <w:sz w:val="18"/>
          <w:szCs w:val="18"/>
        </w:rPr>
      </w:pPr>
      <w:proofErr w:type="gramStart"/>
      <w:r>
        <w:rPr>
          <w:rFonts w:ascii="Arial Narrow" w:hAnsi="Arial Narrow"/>
          <w:sz w:val="18"/>
          <w:szCs w:val="18"/>
          <w:vertAlign w:val="superscript"/>
        </w:rPr>
        <w:t>d</w:t>
      </w:r>
      <w:proofErr w:type="gramEnd"/>
      <w:r>
        <w:rPr>
          <w:rFonts w:ascii="Arial Narrow" w:hAnsi="Arial Narrow"/>
          <w:sz w:val="18"/>
          <w:szCs w:val="18"/>
          <w:vertAlign w:val="superscript"/>
        </w:rPr>
        <w:t xml:space="preserve"> </w:t>
      </w:r>
      <w:r w:rsidRPr="00606EC9">
        <w:rPr>
          <w:rFonts w:ascii="Arial Narrow" w:hAnsi="Arial Narrow"/>
          <w:sz w:val="18"/>
          <w:szCs w:val="18"/>
        </w:rPr>
        <w:t>Estimated from recent publications (</w:t>
      </w:r>
      <w:proofErr w:type="spellStart"/>
      <w:r w:rsidRPr="00606EC9">
        <w:rPr>
          <w:rFonts w:ascii="Arial Narrow" w:hAnsi="Arial Narrow"/>
          <w:sz w:val="18"/>
          <w:szCs w:val="18"/>
        </w:rPr>
        <w:t>Voduc</w:t>
      </w:r>
      <w:proofErr w:type="spellEnd"/>
      <w:r w:rsidRPr="00606EC9">
        <w:rPr>
          <w:rFonts w:ascii="Arial Narrow" w:hAnsi="Arial Narrow"/>
          <w:sz w:val="18"/>
          <w:szCs w:val="18"/>
        </w:rPr>
        <w:t xml:space="preserve"> et al. 2010; Wang-Lopez et al. 2015)</w:t>
      </w:r>
    </w:p>
    <w:p w14:paraId="5C280E53" w14:textId="16E7C5E8" w:rsidR="002F2F6A" w:rsidRDefault="002F2F6A" w:rsidP="002F2F6A">
      <w:pPr>
        <w:spacing w:before="0" w:after="0"/>
        <w:ind w:left="426"/>
        <w:rPr>
          <w:rFonts w:ascii="Arial Narrow" w:hAnsi="Arial Narrow"/>
          <w:sz w:val="18"/>
          <w:szCs w:val="18"/>
        </w:rPr>
      </w:pPr>
      <w:r>
        <w:rPr>
          <w:rFonts w:ascii="Arial Narrow" w:hAnsi="Arial Narrow"/>
          <w:sz w:val="18"/>
          <w:szCs w:val="18"/>
          <w:vertAlign w:val="superscript"/>
        </w:rPr>
        <w:t>e</w:t>
      </w:r>
      <w:r w:rsidRPr="002F2F6A">
        <w:rPr>
          <w:rFonts w:ascii="Arial Narrow" w:hAnsi="Arial Narrow"/>
          <w:sz w:val="18"/>
          <w:szCs w:val="18"/>
        </w:rPr>
        <w:t xml:space="preserve"> </w:t>
      </w:r>
      <w:r>
        <w:rPr>
          <w:rFonts w:ascii="Arial Narrow" w:hAnsi="Arial Narrow"/>
          <w:sz w:val="18"/>
          <w:szCs w:val="18"/>
        </w:rPr>
        <w:t xml:space="preserve">Estimation based on: localised </w:t>
      </w:r>
      <w:r w:rsidR="00923006">
        <w:rPr>
          <w:rFonts w:ascii="Arial Narrow" w:hAnsi="Arial Narrow"/>
          <w:sz w:val="18"/>
          <w:szCs w:val="18"/>
        </w:rPr>
        <w:t xml:space="preserve">or regional </w:t>
      </w:r>
      <w:r>
        <w:rPr>
          <w:rFonts w:ascii="Arial Narrow" w:hAnsi="Arial Narrow"/>
          <w:sz w:val="18"/>
          <w:szCs w:val="18"/>
        </w:rPr>
        <w:t xml:space="preserve">cancer – </w:t>
      </w:r>
      <w:r w:rsidR="005D675B">
        <w:rPr>
          <w:rFonts w:ascii="Arial Narrow" w:hAnsi="Arial Narrow"/>
          <w:sz w:val="18"/>
          <w:szCs w:val="18"/>
        </w:rPr>
        <w:t>75</w:t>
      </w:r>
      <w:r>
        <w:rPr>
          <w:rFonts w:ascii="Arial Narrow" w:hAnsi="Arial Narrow"/>
          <w:sz w:val="18"/>
          <w:szCs w:val="18"/>
        </w:rPr>
        <w:t xml:space="preserve">%; age </w:t>
      </w:r>
      <w:r w:rsidR="00B2405B">
        <w:rPr>
          <w:rFonts w:ascii="Arial Narrow" w:hAnsi="Arial Narrow"/>
          <w:sz w:val="18"/>
          <w:szCs w:val="18"/>
        </w:rPr>
        <w:t xml:space="preserve">&lt; 80 years </w:t>
      </w:r>
      <w:r>
        <w:rPr>
          <w:rFonts w:ascii="Arial Narrow" w:hAnsi="Arial Narrow"/>
          <w:sz w:val="18"/>
          <w:szCs w:val="18"/>
        </w:rPr>
        <w:t xml:space="preserve">– </w:t>
      </w:r>
      <w:r w:rsidR="00B2405B">
        <w:rPr>
          <w:rFonts w:ascii="Arial Narrow" w:hAnsi="Arial Narrow"/>
          <w:sz w:val="18"/>
          <w:szCs w:val="18"/>
        </w:rPr>
        <w:t>91</w:t>
      </w:r>
      <w:r>
        <w:rPr>
          <w:rFonts w:ascii="Arial Narrow" w:hAnsi="Arial Narrow"/>
          <w:sz w:val="18"/>
          <w:szCs w:val="18"/>
        </w:rPr>
        <w:t xml:space="preserve">% </w:t>
      </w:r>
      <w:r w:rsidR="00B2405B">
        <w:t>(</w:t>
      </w:r>
      <w:r w:rsidR="00B2405B" w:rsidRPr="005D675B">
        <w:rPr>
          <w:rFonts w:ascii="Arial Narrow" w:hAnsi="Arial Narrow"/>
          <w:sz w:val="18"/>
          <w:szCs w:val="18"/>
        </w:rPr>
        <w:t xml:space="preserve">Cancer </w:t>
      </w:r>
      <w:r w:rsidR="002F5A6C" w:rsidRPr="005D675B">
        <w:rPr>
          <w:rFonts w:ascii="Arial Narrow" w:hAnsi="Arial Narrow"/>
          <w:sz w:val="18"/>
          <w:szCs w:val="18"/>
        </w:rPr>
        <w:t>Institute</w:t>
      </w:r>
      <w:r w:rsidR="00B2405B" w:rsidRPr="005D675B">
        <w:rPr>
          <w:rFonts w:ascii="Arial Narrow" w:hAnsi="Arial Narrow"/>
          <w:sz w:val="18"/>
          <w:szCs w:val="18"/>
        </w:rPr>
        <w:t xml:space="preserve"> NSW</w:t>
      </w:r>
      <w:r w:rsidR="00B2405B">
        <w:t xml:space="preserve"> </w:t>
      </w:r>
      <w:r w:rsidR="00B2405B" w:rsidRPr="005D675B">
        <w:rPr>
          <w:rFonts w:ascii="Arial Narrow" w:hAnsi="Arial Narrow"/>
          <w:sz w:val="18"/>
          <w:szCs w:val="18"/>
        </w:rPr>
        <w:t>http://www.statistics.cancerinstitute.org.au/</w:t>
      </w:r>
      <w:r w:rsidR="00B2405B">
        <w:rPr>
          <w:rFonts w:ascii="Arial Narrow" w:hAnsi="Arial Narrow"/>
          <w:sz w:val="18"/>
          <w:szCs w:val="18"/>
        </w:rPr>
        <w:t>, accessed 8.11.2016)</w:t>
      </w:r>
    </w:p>
    <w:p w14:paraId="2EB69EE4" w14:textId="77777777" w:rsidR="008F10D1" w:rsidRPr="002F2F6A" w:rsidRDefault="008F10D1" w:rsidP="002F2F6A">
      <w:pPr>
        <w:spacing w:before="0" w:after="0"/>
        <w:ind w:left="426"/>
        <w:rPr>
          <w:rFonts w:ascii="Arial Narrow" w:hAnsi="Arial Narrow"/>
          <w:sz w:val="18"/>
          <w:szCs w:val="18"/>
        </w:rPr>
      </w:pPr>
    </w:p>
    <w:p w14:paraId="29AF58C4"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46ED2B46" w14:textId="0B844DC4" w:rsidR="00B4272C" w:rsidRDefault="00B4272C" w:rsidP="00AE1188">
      <w:pPr>
        <w:ind w:left="426"/>
      </w:pPr>
      <w:r>
        <w:t>A patient would receive the test once per diagnosis of primary breast cancer, which would be once per lifetime in the vast majority of patients.</w:t>
      </w:r>
    </w:p>
    <w:p w14:paraId="46089E9F" w14:textId="77777777" w:rsidR="00E274F3" w:rsidRDefault="00E274F3" w:rsidP="00AE1188">
      <w:pPr>
        <w:ind w:left="426"/>
      </w:pPr>
    </w:p>
    <w:p w14:paraId="464C53EE"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793CA933" w14:textId="77777777" w:rsidR="00B4272C" w:rsidRDefault="00B4272C" w:rsidP="00AE1188">
      <w:pPr>
        <w:ind w:left="426"/>
      </w:pPr>
      <w:r>
        <w:t>NA</w:t>
      </w:r>
    </w:p>
    <w:p w14:paraId="53BA146D" w14:textId="77777777" w:rsidR="00E274F3" w:rsidRDefault="00E274F3" w:rsidP="00AE1188">
      <w:pPr>
        <w:ind w:left="426"/>
      </w:pPr>
    </w:p>
    <w:p w14:paraId="10AE508C"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0A54B62C" w14:textId="46C16875" w:rsidR="00B4272C" w:rsidRDefault="007534EC" w:rsidP="00AE1188">
      <w:pPr>
        <w:ind w:left="426"/>
      </w:pPr>
      <w:r>
        <w:t>For an estimate of the number utilising the proposed service s</w:t>
      </w:r>
      <w:r w:rsidR="006A6590">
        <w:t xml:space="preserve">ee </w:t>
      </w:r>
      <w:r w:rsidR="0017084E">
        <w:fldChar w:fldCharType="begin"/>
      </w:r>
      <w:r w:rsidR="0017084E">
        <w:instrText xml:space="preserve"> REF _Ref465773659 \h </w:instrText>
      </w:r>
      <w:r w:rsidR="0017084E">
        <w:fldChar w:fldCharType="separate"/>
      </w:r>
      <w:r w:rsidR="003E6138" w:rsidRPr="006A6590">
        <w:rPr>
          <w:szCs w:val="20"/>
        </w:rPr>
        <w:t xml:space="preserve">Table </w:t>
      </w:r>
      <w:r w:rsidR="003E6138">
        <w:rPr>
          <w:noProof/>
          <w:szCs w:val="20"/>
        </w:rPr>
        <w:t>9</w:t>
      </w:r>
      <w:r w:rsidR="0017084E">
        <w:fldChar w:fldCharType="end"/>
      </w:r>
      <w:r w:rsidR="0017084E">
        <w:t>.</w:t>
      </w:r>
      <w:r>
        <w:t xml:space="preserve"> The </w:t>
      </w:r>
      <w:r w:rsidR="00080DA5">
        <w:t>first full year of utilisation w</w:t>
      </w:r>
      <w:r>
        <w:t>ould be expected to be 2018.</w:t>
      </w:r>
      <w:r w:rsidR="002F5A6C">
        <w:t xml:space="preserve"> </w:t>
      </w:r>
      <w:r w:rsidR="002F5A6C" w:rsidRPr="002F5A6C">
        <w:t>A gradual increase in uptake of the test is expected – approximately 10% of the eligible population in year 1, 20% in year 2, 30% in year 3, and 60% in year 4.</w:t>
      </w:r>
    </w:p>
    <w:p w14:paraId="24AE6B32" w14:textId="77777777" w:rsidR="00E274F3" w:rsidRDefault="00E274F3" w:rsidP="00AE1188">
      <w:pPr>
        <w:ind w:left="426"/>
      </w:pPr>
    </w:p>
    <w:p w14:paraId="3F126651" w14:textId="77777777" w:rsidR="00974D50" w:rsidRPr="00154B00" w:rsidRDefault="005A58BA" w:rsidP="00530204">
      <w:pPr>
        <w:pStyle w:val="Heading2"/>
        <w:rPr>
          <w:b w:val="0"/>
        </w:rPr>
      </w:pPr>
      <w:r>
        <w:lastRenderedPageBreak/>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3FEBFD2E" w14:textId="11807919" w:rsidR="00B4272C" w:rsidRDefault="00B4272C" w:rsidP="00AE1188">
      <w:pPr>
        <w:ind w:left="426"/>
      </w:pPr>
      <w:r>
        <w:t>It is possible clinicians may use the service in all patients diagnos</w:t>
      </w:r>
      <w:r w:rsidR="00080DA5">
        <w:t>ed with HER2 –</w:t>
      </w:r>
      <w:proofErr w:type="spellStart"/>
      <w:r w:rsidR="00080DA5">
        <w:t>ve</w:t>
      </w:r>
      <w:proofErr w:type="spellEnd"/>
      <w:r w:rsidR="00080DA5">
        <w:t xml:space="preserve">, ER </w:t>
      </w:r>
      <w:r w:rsidR="0060518E">
        <w:t>and/</w:t>
      </w:r>
      <w:r w:rsidR="00080DA5">
        <w:t>or PR +</w:t>
      </w:r>
      <w:proofErr w:type="spellStart"/>
      <w:r w:rsidR="00080DA5">
        <w:t>ve</w:t>
      </w:r>
      <w:proofErr w:type="spellEnd"/>
      <w:r w:rsidR="00080DA5">
        <w:t xml:space="preserve"> breast cancer</w:t>
      </w:r>
      <w:r>
        <w:t>, rather than just those who cannot be clearly assigned treatment without the proposed test. Clinicians may do this if they or the patient require</w:t>
      </w:r>
      <w:r w:rsidR="00080DA5">
        <w:t>s</w:t>
      </w:r>
      <w:r>
        <w:t xml:space="preserve"> reassurance or evidence for their treatment decision</w:t>
      </w:r>
      <w:r w:rsidR="0017084E">
        <w:t xml:space="preserve">, or if they feel there is benefit </w:t>
      </w:r>
      <w:r w:rsidR="00080DA5">
        <w:t>from the additional confirmation of the</w:t>
      </w:r>
      <w:r w:rsidR="0017084E">
        <w:t xml:space="preserve"> prognostic information</w:t>
      </w:r>
      <w:r w:rsidR="00080DA5">
        <w:t xml:space="preserve"> provided. This might occur</w:t>
      </w:r>
      <w:r w:rsidR="0017084E">
        <w:t xml:space="preserve"> for reasons other than </w:t>
      </w:r>
      <w:r w:rsidR="00080DA5">
        <w:t xml:space="preserve">the </w:t>
      </w:r>
      <w:r w:rsidR="0017084E">
        <w:t>decision-making regarding adjuvant chemotherapy</w:t>
      </w:r>
      <w:r>
        <w:t>.</w:t>
      </w:r>
      <w:r w:rsidR="0017084E">
        <w:t xml:space="preserve"> This would result in up to 11 187 </w:t>
      </w:r>
      <w:proofErr w:type="spellStart"/>
      <w:r w:rsidR="0017084E">
        <w:t>Prosigna</w:t>
      </w:r>
      <w:proofErr w:type="spellEnd"/>
      <w:r w:rsidR="0017084E">
        <w:t xml:space="preserve"> tests being performed in 2020 (</w:t>
      </w:r>
      <w:r w:rsidR="0017084E">
        <w:fldChar w:fldCharType="begin"/>
      </w:r>
      <w:r w:rsidR="0017084E">
        <w:instrText xml:space="preserve"> REF _Ref465773659 \h </w:instrText>
      </w:r>
      <w:r w:rsidR="0017084E">
        <w:fldChar w:fldCharType="separate"/>
      </w:r>
      <w:r w:rsidR="00862DF3" w:rsidRPr="006A6590">
        <w:rPr>
          <w:szCs w:val="20"/>
        </w:rPr>
        <w:t xml:space="preserve">Table </w:t>
      </w:r>
      <w:r w:rsidR="00862DF3">
        <w:rPr>
          <w:szCs w:val="20"/>
        </w:rPr>
        <w:t>9</w:t>
      </w:r>
      <w:r w:rsidR="0017084E">
        <w:fldChar w:fldCharType="end"/>
      </w:r>
      <w:r w:rsidR="0017084E">
        <w:t>).</w:t>
      </w:r>
      <w:r w:rsidR="008F10D1">
        <w:t xml:space="preserve"> </w:t>
      </w:r>
    </w:p>
    <w:p w14:paraId="0A80D5D3" w14:textId="77777777" w:rsidR="006A6590" w:rsidRDefault="006A6590" w:rsidP="00AE1188">
      <w:pPr>
        <w:ind w:left="426"/>
      </w:pPr>
    </w:p>
    <w:p w14:paraId="2447308D" w14:textId="77777777" w:rsidR="00951933" w:rsidRPr="00C776B1" w:rsidRDefault="001B5169" w:rsidP="00AE1188">
      <w:pPr>
        <w:pStyle w:val="Heading1"/>
      </w:pPr>
      <w:r>
        <w:t>PART 8</w:t>
      </w:r>
      <w:r w:rsidR="00F93784">
        <w:t xml:space="preserve"> – </w:t>
      </w:r>
      <w:r w:rsidR="005A58BA">
        <w:t>COST</w:t>
      </w:r>
      <w:r w:rsidR="00951933" w:rsidRPr="00C776B1">
        <w:t xml:space="preserve"> INFORMATION</w:t>
      </w:r>
    </w:p>
    <w:p w14:paraId="5A1E44D9"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76278087" w14:textId="1E56F96F" w:rsidR="002F5A6C" w:rsidRDefault="002F5A6C" w:rsidP="00AE1188">
      <w:pPr>
        <w:ind w:left="426"/>
      </w:pPr>
      <w:r w:rsidRPr="002F5A6C">
        <w:t>The market cost of the service in Australia is $2,900.00.</w:t>
      </w:r>
    </w:p>
    <w:p w14:paraId="3DA997FE" w14:textId="77777777" w:rsidR="00FD5CD9" w:rsidRDefault="00FD5CD9" w:rsidP="00AE1188">
      <w:pPr>
        <w:ind w:left="426"/>
      </w:pPr>
    </w:p>
    <w:p w14:paraId="48920B80"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71B22F9E" w14:textId="14280A12" w:rsidR="00707D05" w:rsidRDefault="00E47DAC" w:rsidP="00AE1188">
      <w:pPr>
        <w:ind w:left="426"/>
      </w:pPr>
      <w:r>
        <w:t xml:space="preserve">The process of </w:t>
      </w:r>
      <w:proofErr w:type="spellStart"/>
      <w:r>
        <w:t>macrodissection</w:t>
      </w:r>
      <w:proofErr w:type="spellEnd"/>
      <w:r>
        <w:t xml:space="preserve">, RNA extraction, and testing with the </w:t>
      </w:r>
      <w:proofErr w:type="spellStart"/>
      <w:r>
        <w:t>Prosigna</w:t>
      </w:r>
      <w:proofErr w:type="spellEnd"/>
      <w:r w:rsidR="00FD5CD9">
        <w:t>®</w:t>
      </w:r>
      <w:r>
        <w:t xml:space="preserve"> assay can take 3 days from tissue processing to result</w:t>
      </w:r>
      <w:r w:rsidR="00A634F7">
        <w:t xml:space="preserve"> </w:t>
      </w:r>
      <w:r w:rsidR="00A634F7">
        <w:fldChar w:fldCharType="begin"/>
      </w:r>
      <w:r w:rsidR="00A634F7">
        <w:instrText xml:space="preserve"> ADDIN EN.CITE &lt;EndNote&gt;&lt;Cite&gt;&lt;Author&gt;Nielsen&lt;/Author&gt;&lt;Year&gt;2010&lt;/Year&gt;&lt;RecNum&gt;87&lt;/RecNum&gt;&lt;IDText&gt;5222-5232&lt;/IDText&gt;&lt;DisplayText&gt;(Nielsen et al. 2010)&lt;/DisplayText&gt;&lt;record&gt;&lt;rec-number&gt;87&lt;/rec-number&gt;&lt;foreign-keys&gt;&lt;key app="EN" db-id="d0zpx20a6fxrw3etdtj5tetpa2adf9stz5fr" timestamp="1477958290"&gt;87&lt;/key&gt;&lt;/foreign-keys&gt;&lt;ref-type name="Journal Article"&gt;17&lt;/ref-type&gt;&lt;contributors&gt;&lt;authors&gt;&lt;author&gt;Nielsen, Torsten O.&lt;/author&gt;&lt;author&gt;Parker, Joel S.&lt;/author&gt;&lt;author&gt;Leung, Samuel&lt;/author&gt;&lt;author&gt;Voduc, David&lt;/author&gt;&lt;author&gt;Ebbert, Mark&lt;/author&gt;&lt;author&gt;Vickery, Tammi&lt;/author&gt;&lt;author&gt;Davies, Sherri R.&lt;/author&gt;&lt;author&gt;Snider, Jacqueline&lt;/author&gt;&lt;author&gt;Stijleman, Inge J.&lt;/author&gt;&lt;author&gt;Reed, Jerry&lt;/author&gt;&lt;author&gt;Cheang, Maggie C.U.&lt;/author&gt;&lt;author&gt;Mardis, Elaine R.&lt;/author&gt;&lt;author&gt;Perou, Charles M.&lt;/author&gt;&lt;author&gt;Bernard, Philip S.&lt;/author&gt;&lt;author&gt;Ellis, Matthew J.&lt;/author&gt;&lt;/authors&gt;&lt;/contributors&gt;&lt;titles&gt;&lt;title&gt;A Comparison of PAM50 Intrinsic Subtyping with Immunohistochemistry and Clinical Prognostic Factors in Tamoxifen-Treated Estrogen Receptor–Positive Breast Cancer&lt;/title&gt;&lt;secondary-title&gt;Clinical Cancer Research&lt;/secondary-title&gt;&lt;/titles&gt;&lt;periodical&gt;&lt;full-title&gt;Clinical Cancer Research&lt;/full-title&gt;&lt;/periodical&gt;&lt;pages&gt;5222-5232&lt;/pages&gt;&lt;volume&gt;16&lt;/volume&gt;&lt;number&gt;21&lt;/number&gt;&lt;dates&gt;&lt;year&gt;2010&lt;/year&gt;&lt;/dates&gt;&lt;urls&gt;&lt;related-urls&gt;&lt;url&gt;http://clincancerres.aacrjournals.org/content/clincanres/16/21/5222.full.pdf&lt;/url&gt;&lt;/related-urls&gt;&lt;/urls&gt;&lt;electronic-resource-num&gt;10.1158/1078-0432.ccr-10-1282&lt;/electronic-resource-num&gt;&lt;/record&gt;&lt;/Cite&gt;&lt;/EndNote&gt;</w:instrText>
      </w:r>
      <w:r w:rsidR="00A634F7">
        <w:fldChar w:fldCharType="separate"/>
      </w:r>
      <w:r w:rsidR="00A634F7">
        <w:rPr>
          <w:noProof/>
        </w:rPr>
        <w:t>(</w:t>
      </w:r>
      <w:hyperlink w:anchor="_ENREF_7" w:tooltip="Nielsen, 2010 #87" w:history="1">
        <w:r w:rsidR="00477651">
          <w:rPr>
            <w:noProof/>
          </w:rPr>
          <w:t>Nielsen et al. 2010</w:t>
        </w:r>
      </w:hyperlink>
      <w:r w:rsidR="00A634F7">
        <w:rPr>
          <w:noProof/>
        </w:rPr>
        <w:t>)</w:t>
      </w:r>
      <w:r w:rsidR="00A634F7">
        <w:fldChar w:fldCharType="end"/>
      </w:r>
      <w:r>
        <w:t xml:space="preserve">. </w:t>
      </w:r>
    </w:p>
    <w:p w14:paraId="08EB20C7" w14:textId="66C13A4B" w:rsidR="00E47DAC" w:rsidRDefault="00707D05" w:rsidP="00AE1188">
      <w:pPr>
        <w:ind w:left="426"/>
      </w:pPr>
      <w:r>
        <w:t xml:space="preserve">Sonic Genetics currently perform this service and state their turnaround time from receipt </w:t>
      </w:r>
      <w:r w:rsidR="002F5A6C">
        <w:t xml:space="preserve">of patient sample to </w:t>
      </w:r>
      <w:r w:rsidR="00497E02">
        <w:t>test</w:t>
      </w:r>
      <w:r w:rsidR="002F5A6C">
        <w:t xml:space="preserve"> result </w:t>
      </w:r>
      <w:r w:rsidR="00FD5CD9">
        <w:t>i</w:t>
      </w:r>
      <w:r>
        <w:t xml:space="preserve">s </w:t>
      </w:r>
      <w:r w:rsidR="002F5A6C">
        <w:t xml:space="preserve">approximately </w:t>
      </w:r>
      <w:r>
        <w:t xml:space="preserve">10 days. </w:t>
      </w:r>
    </w:p>
    <w:p w14:paraId="794B8848" w14:textId="77777777" w:rsidR="001B07CB" w:rsidRDefault="001B07CB">
      <w:pPr>
        <w:spacing w:before="0" w:after="200" w:line="276" w:lineRule="auto"/>
        <w:rPr>
          <w:b/>
          <w:szCs w:val="20"/>
        </w:rPr>
      </w:pPr>
      <w:r>
        <w:br w:type="page"/>
      </w:r>
    </w:p>
    <w:p w14:paraId="3B4B8888" w14:textId="5B7A2E35" w:rsidR="00707D4D" w:rsidRDefault="0054192F" w:rsidP="00530204">
      <w:pPr>
        <w:pStyle w:val="Heading2"/>
      </w:pPr>
      <w:r>
        <w:lastRenderedPageBreak/>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5BC1AE09" w14:textId="77777777" w:rsidR="000D7E32" w:rsidRPr="000D7E32" w:rsidRDefault="000D7E32" w:rsidP="000D7E32">
      <w:r>
        <w:t>Proposed MBS item descriptor</w:t>
      </w:r>
    </w:p>
    <w:p w14:paraId="303E66F0" w14:textId="77777777" w:rsidR="00AE1188" w:rsidRPr="00AE1188" w:rsidRDefault="000D7E32" w:rsidP="000D7E3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95"/>
        </w:tabs>
        <w:rPr>
          <w:szCs w:val="20"/>
        </w:rPr>
      </w:pPr>
      <w:r>
        <w:rPr>
          <w:szCs w:val="20"/>
        </w:rPr>
        <w:tab/>
        <w:t>Category – PATHOLOGY SERVICES</w:t>
      </w:r>
    </w:p>
    <w:p w14:paraId="64FFCC98" w14:textId="77777777" w:rsidR="00AE1188" w:rsidRPr="00AE1188" w:rsidRDefault="000D7E32" w:rsidP="000D7E32">
      <w:pPr>
        <w:pBdr>
          <w:top w:val="single" w:sz="4" w:space="1" w:color="auto"/>
          <w:left w:val="single" w:sz="4" w:space="4" w:color="auto"/>
          <w:bottom w:val="single" w:sz="4" w:space="1" w:color="auto"/>
          <w:right w:val="single" w:sz="4" w:space="4" w:color="auto"/>
        </w:pBdr>
        <w:tabs>
          <w:tab w:val="left" w:pos="5970"/>
        </w:tabs>
        <w:rPr>
          <w:szCs w:val="20"/>
        </w:rPr>
      </w:pPr>
      <w:r>
        <w:rPr>
          <w:szCs w:val="20"/>
        </w:rPr>
        <w:t>XXXXX</w:t>
      </w:r>
      <w:r>
        <w:rPr>
          <w:szCs w:val="20"/>
        </w:rPr>
        <w:tab/>
        <w:t>Group P7 – GENETICS</w:t>
      </w:r>
    </w:p>
    <w:p w14:paraId="4458C107" w14:textId="77777777" w:rsidR="000D7E32" w:rsidRPr="000D7E32" w:rsidRDefault="000D7E32" w:rsidP="000D7E32">
      <w:pPr>
        <w:pBdr>
          <w:top w:val="single" w:sz="4" w:space="1" w:color="auto"/>
          <w:left w:val="single" w:sz="4" w:space="4" w:color="auto"/>
          <w:bottom w:val="single" w:sz="4" w:space="1" w:color="auto"/>
          <w:right w:val="single" w:sz="4" w:space="4" w:color="auto"/>
        </w:pBdr>
        <w:rPr>
          <w:szCs w:val="20"/>
        </w:rPr>
      </w:pPr>
      <w:proofErr w:type="gramStart"/>
      <w:r w:rsidRPr="000D7E32">
        <w:rPr>
          <w:szCs w:val="20"/>
        </w:rPr>
        <w:t>RT-</w:t>
      </w:r>
      <w:proofErr w:type="spellStart"/>
      <w:r w:rsidRPr="000D7E32">
        <w:rPr>
          <w:szCs w:val="20"/>
        </w:rPr>
        <w:t>qPCR</w:t>
      </w:r>
      <w:proofErr w:type="spellEnd"/>
      <w:r w:rsidRPr="000D7E32">
        <w:rPr>
          <w:szCs w:val="20"/>
        </w:rPr>
        <w:t xml:space="preserve"> gene expression profiling of FFPE, core needle biopsy or surgical tumour sample in primary breast cancer tissue.</w:t>
      </w:r>
      <w:proofErr w:type="gramEnd"/>
    </w:p>
    <w:p w14:paraId="1BF21345" w14:textId="77777777" w:rsidR="000D7E32" w:rsidRPr="000D7E32" w:rsidRDefault="000D7E32" w:rsidP="000D7E32">
      <w:pPr>
        <w:pBdr>
          <w:top w:val="single" w:sz="4" w:space="1" w:color="auto"/>
          <w:left w:val="single" w:sz="4" w:space="4" w:color="auto"/>
          <w:bottom w:val="single" w:sz="4" w:space="1" w:color="auto"/>
          <w:right w:val="single" w:sz="4" w:space="4" w:color="auto"/>
        </w:pBdr>
        <w:rPr>
          <w:szCs w:val="20"/>
        </w:rPr>
      </w:pPr>
      <w:r w:rsidRPr="000D7E32">
        <w:rPr>
          <w:szCs w:val="20"/>
        </w:rPr>
        <w:t>The test may be used when all of the following criteria are met:</w:t>
      </w:r>
    </w:p>
    <w:p w14:paraId="30D9FCDC" w14:textId="4628F90E" w:rsidR="000D7E32" w:rsidRPr="000D7E32" w:rsidRDefault="000D7E32" w:rsidP="000D7E32">
      <w:pPr>
        <w:pBdr>
          <w:top w:val="single" w:sz="4" w:space="1" w:color="auto"/>
          <w:left w:val="single" w:sz="4" w:space="4" w:color="auto"/>
          <w:bottom w:val="single" w:sz="4" w:space="1" w:color="auto"/>
          <w:right w:val="single" w:sz="4" w:space="4" w:color="auto"/>
        </w:pBdr>
        <w:rPr>
          <w:szCs w:val="20"/>
        </w:rPr>
      </w:pPr>
      <w:r w:rsidRPr="000D7E32">
        <w:rPr>
          <w:szCs w:val="20"/>
        </w:rPr>
        <w:t>- New primary breast cancer, suitable for adjuvant chemotherapy</w:t>
      </w:r>
      <w:r w:rsidR="00FD5CD9">
        <w:rPr>
          <w:szCs w:val="20"/>
        </w:rPr>
        <w:t xml:space="preserve"> but</w:t>
      </w:r>
      <w:r w:rsidRPr="000D7E32">
        <w:rPr>
          <w:szCs w:val="20"/>
        </w:rPr>
        <w:t xml:space="preserve"> not requiring </w:t>
      </w:r>
      <w:proofErr w:type="spellStart"/>
      <w:r w:rsidRPr="000D7E32">
        <w:rPr>
          <w:szCs w:val="20"/>
        </w:rPr>
        <w:t>neoadjuvant</w:t>
      </w:r>
      <w:proofErr w:type="spellEnd"/>
      <w:r w:rsidRPr="000D7E32">
        <w:rPr>
          <w:szCs w:val="20"/>
        </w:rPr>
        <w:t xml:space="preserve"> chemotherapy</w:t>
      </w:r>
    </w:p>
    <w:p w14:paraId="35C63FA4" w14:textId="6DC7316A" w:rsidR="000D7E32" w:rsidRPr="000D7E32" w:rsidRDefault="000D7E32" w:rsidP="000D7E32">
      <w:pPr>
        <w:pBdr>
          <w:top w:val="single" w:sz="4" w:space="1" w:color="auto"/>
          <w:left w:val="single" w:sz="4" w:space="4" w:color="auto"/>
          <w:bottom w:val="single" w:sz="4" w:space="1" w:color="auto"/>
          <w:right w:val="single" w:sz="4" w:space="4" w:color="auto"/>
        </w:pBdr>
        <w:rPr>
          <w:szCs w:val="20"/>
        </w:rPr>
      </w:pPr>
      <w:r w:rsidRPr="000D7E32">
        <w:rPr>
          <w:szCs w:val="20"/>
        </w:rPr>
        <w:t>- Oestrogen</w:t>
      </w:r>
      <w:r>
        <w:rPr>
          <w:szCs w:val="20"/>
        </w:rPr>
        <w:t xml:space="preserve"> </w:t>
      </w:r>
      <w:r w:rsidR="0060518E">
        <w:rPr>
          <w:szCs w:val="20"/>
        </w:rPr>
        <w:t>and/</w:t>
      </w:r>
      <w:r>
        <w:rPr>
          <w:szCs w:val="20"/>
        </w:rPr>
        <w:t xml:space="preserve">or progesterone </w:t>
      </w:r>
      <w:r w:rsidRPr="000D7E32">
        <w:rPr>
          <w:szCs w:val="20"/>
        </w:rPr>
        <w:t xml:space="preserve">positive and HER2 negative as determined by </w:t>
      </w:r>
      <w:r w:rsidR="00A01F53">
        <w:rPr>
          <w:szCs w:val="20"/>
        </w:rPr>
        <w:t>immunohistochemistry</w:t>
      </w:r>
      <w:r w:rsidRPr="000D7E32">
        <w:rPr>
          <w:szCs w:val="20"/>
        </w:rPr>
        <w:t xml:space="preserve"> </w:t>
      </w:r>
      <w:r w:rsidR="00A01F53">
        <w:rPr>
          <w:szCs w:val="20"/>
        </w:rPr>
        <w:t>(IHC) and in situ hybridisation</w:t>
      </w:r>
      <w:r w:rsidRPr="000D7E32">
        <w:rPr>
          <w:szCs w:val="20"/>
        </w:rPr>
        <w:t xml:space="preserve"> </w:t>
      </w:r>
      <w:r w:rsidR="00A01F53">
        <w:rPr>
          <w:szCs w:val="20"/>
        </w:rPr>
        <w:t xml:space="preserve">(ISH) </w:t>
      </w:r>
      <w:r w:rsidRPr="000D7E32">
        <w:rPr>
          <w:szCs w:val="20"/>
        </w:rPr>
        <w:t xml:space="preserve">respectively on </w:t>
      </w:r>
      <w:r w:rsidR="00FD5CD9">
        <w:rPr>
          <w:szCs w:val="20"/>
        </w:rPr>
        <w:t xml:space="preserve">a </w:t>
      </w:r>
      <w:r w:rsidRPr="000D7E32">
        <w:rPr>
          <w:szCs w:val="20"/>
        </w:rPr>
        <w:t>surgically removed tumour</w:t>
      </w:r>
      <w:r w:rsidR="00FD5CD9">
        <w:rPr>
          <w:szCs w:val="20"/>
        </w:rPr>
        <w:t xml:space="preserve"> s</w:t>
      </w:r>
      <w:r w:rsidR="005C1B46">
        <w:rPr>
          <w:szCs w:val="20"/>
        </w:rPr>
        <w:t>ample</w:t>
      </w:r>
    </w:p>
    <w:p w14:paraId="11844781" w14:textId="71CDBFF6" w:rsidR="000D7E32" w:rsidRPr="002F5A6C" w:rsidRDefault="000D7E32" w:rsidP="000D7E32">
      <w:pPr>
        <w:pBdr>
          <w:top w:val="single" w:sz="4" w:space="1" w:color="auto"/>
          <w:left w:val="single" w:sz="4" w:space="4" w:color="auto"/>
          <w:bottom w:val="single" w:sz="4" w:space="1" w:color="auto"/>
          <w:right w:val="single" w:sz="4" w:space="4" w:color="auto"/>
        </w:pBdr>
        <w:rPr>
          <w:szCs w:val="20"/>
        </w:rPr>
      </w:pPr>
      <w:r w:rsidRPr="00054BF4">
        <w:rPr>
          <w:szCs w:val="20"/>
        </w:rPr>
        <w:t xml:space="preserve">- </w:t>
      </w:r>
      <w:r w:rsidRPr="002F5A6C">
        <w:rPr>
          <w:szCs w:val="20"/>
        </w:rPr>
        <w:t>Node negative or positive (up to 3 nodes) and tumour size determined by histopathology on surgically removed tumour</w:t>
      </w:r>
      <w:r w:rsidR="005C1B46" w:rsidRPr="002F5A6C">
        <w:rPr>
          <w:szCs w:val="20"/>
        </w:rPr>
        <w:t xml:space="preserve"> sample</w:t>
      </w:r>
    </w:p>
    <w:p w14:paraId="1AB7D9EF" w14:textId="25D5244C" w:rsidR="000D7E32" w:rsidRPr="000D7E32" w:rsidRDefault="000D7E32" w:rsidP="000D7E32">
      <w:pPr>
        <w:pBdr>
          <w:top w:val="single" w:sz="4" w:space="1" w:color="auto"/>
          <w:left w:val="single" w:sz="4" w:space="4" w:color="auto"/>
          <w:bottom w:val="single" w:sz="4" w:space="1" w:color="auto"/>
          <w:right w:val="single" w:sz="4" w:space="4" w:color="auto"/>
        </w:pBdr>
        <w:rPr>
          <w:szCs w:val="20"/>
        </w:rPr>
      </w:pPr>
      <w:r w:rsidRPr="002F5A6C">
        <w:rPr>
          <w:szCs w:val="20"/>
        </w:rPr>
        <w:t>- Pre-test intermediate risk of distant metastases defined by at least one of the following characteristics:  tumour size ≥ 2cm*; or Grade 2</w:t>
      </w:r>
      <w:r w:rsidR="00A01F53" w:rsidRPr="002F5A6C">
        <w:rPr>
          <w:szCs w:val="20"/>
          <w:vertAlign w:val="superscript"/>
        </w:rPr>
        <w:t>a</w:t>
      </w:r>
      <w:r w:rsidRPr="002F5A6C">
        <w:rPr>
          <w:szCs w:val="20"/>
        </w:rPr>
        <w:t xml:space="preserve">; or one to three lymph nodes involved in metastatic disease (nodes include </w:t>
      </w:r>
      <w:proofErr w:type="spellStart"/>
      <w:r w:rsidRPr="002F5A6C">
        <w:rPr>
          <w:szCs w:val="20"/>
        </w:rPr>
        <w:t>micrometastases</w:t>
      </w:r>
      <w:proofErr w:type="spellEnd"/>
      <w:r w:rsidRPr="002F5A6C">
        <w:rPr>
          <w:szCs w:val="20"/>
        </w:rPr>
        <w:t xml:space="preserve"> but not isolated tumour cells)</w:t>
      </w:r>
    </w:p>
    <w:p w14:paraId="504E1D8F" w14:textId="77777777" w:rsidR="000D7E32" w:rsidRPr="000D7E32" w:rsidRDefault="000D7E32" w:rsidP="000D7E32">
      <w:pPr>
        <w:pBdr>
          <w:top w:val="single" w:sz="4" w:space="1" w:color="auto"/>
          <w:left w:val="single" w:sz="4" w:space="4" w:color="auto"/>
          <w:bottom w:val="single" w:sz="4" w:space="1" w:color="auto"/>
          <w:right w:val="single" w:sz="4" w:space="4" w:color="auto"/>
        </w:pBdr>
        <w:rPr>
          <w:szCs w:val="20"/>
        </w:rPr>
      </w:pPr>
      <w:r w:rsidRPr="000D7E32">
        <w:rPr>
          <w:szCs w:val="20"/>
        </w:rPr>
        <w:t>The test may be used once per new primary breast cancer diagnosis.</w:t>
      </w:r>
    </w:p>
    <w:p w14:paraId="5FD0E624" w14:textId="77777777" w:rsidR="000D7E32" w:rsidRPr="000D7E32" w:rsidRDefault="000D7E32" w:rsidP="000D7E32">
      <w:pPr>
        <w:pBdr>
          <w:top w:val="single" w:sz="4" w:space="1" w:color="auto"/>
          <w:left w:val="single" w:sz="4" w:space="4" w:color="auto"/>
          <w:bottom w:val="single" w:sz="4" w:space="1" w:color="auto"/>
          <w:right w:val="single" w:sz="4" w:space="4" w:color="auto"/>
        </w:pBdr>
        <w:rPr>
          <w:szCs w:val="20"/>
        </w:rPr>
      </w:pPr>
    </w:p>
    <w:p w14:paraId="6C19E232" w14:textId="4882A252" w:rsidR="00AE1188" w:rsidRPr="00AE1188" w:rsidRDefault="000D7E32" w:rsidP="000D7E32">
      <w:pPr>
        <w:pBdr>
          <w:top w:val="single" w:sz="4" w:space="1" w:color="auto"/>
          <w:left w:val="single" w:sz="4" w:space="4" w:color="auto"/>
          <w:bottom w:val="single" w:sz="4" w:space="1" w:color="auto"/>
          <w:right w:val="single" w:sz="4" w:space="4" w:color="auto"/>
        </w:pBdr>
        <w:rPr>
          <w:szCs w:val="20"/>
        </w:rPr>
      </w:pPr>
      <w:r w:rsidRPr="000D7E32">
        <w:rPr>
          <w:szCs w:val="20"/>
        </w:rPr>
        <w:t xml:space="preserve">Fee: </w:t>
      </w:r>
      <w:r w:rsidR="00E47DAC">
        <w:rPr>
          <w:szCs w:val="20"/>
        </w:rPr>
        <w:t>$2,</w:t>
      </w:r>
      <w:r w:rsidR="00E118E9">
        <w:rPr>
          <w:szCs w:val="20"/>
        </w:rPr>
        <w:t>900</w:t>
      </w:r>
      <w:r w:rsidR="00E47DAC" w:rsidRPr="000D7E32">
        <w:rPr>
          <w:szCs w:val="20"/>
        </w:rPr>
        <w:t xml:space="preserve"> </w:t>
      </w:r>
      <w:r w:rsidRPr="000D7E32">
        <w:rPr>
          <w:szCs w:val="20"/>
        </w:rPr>
        <w:t xml:space="preserve">Benefit: 75% = </w:t>
      </w:r>
      <w:r w:rsidR="00E47DAC">
        <w:rPr>
          <w:szCs w:val="20"/>
        </w:rPr>
        <w:t>$</w:t>
      </w:r>
      <w:r w:rsidR="00E118E9">
        <w:rPr>
          <w:szCs w:val="20"/>
        </w:rPr>
        <w:t>2,175</w:t>
      </w:r>
    </w:p>
    <w:p w14:paraId="38078051" w14:textId="307B7657" w:rsidR="00AE1188" w:rsidRPr="00A01F53" w:rsidRDefault="00A01F53" w:rsidP="003B0574">
      <w:pPr>
        <w:spacing w:before="0" w:after="0"/>
        <w:rPr>
          <w:rFonts w:ascii="Arial Narrow" w:hAnsi="Arial Narrow"/>
          <w:sz w:val="18"/>
          <w:szCs w:val="18"/>
        </w:rPr>
      </w:pPr>
      <w:proofErr w:type="spellStart"/>
      <w:r w:rsidRPr="00A01F53">
        <w:rPr>
          <w:rFonts w:ascii="Arial Narrow" w:hAnsi="Arial Narrow"/>
          <w:sz w:val="18"/>
          <w:szCs w:val="18"/>
          <w:vertAlign w:val="superscript"/>
        </w:rPr>
        <w:t>a</w:t>
      </w:r>
      <w:r w:rsidRPr="00A01F53">
        <w:rPr>
          <w:rFonts w:ascii="Arial Narrow" w:hAnsi="Arial Narrow"/>
          <w:sz w:val="18"/>
          <w:szCs w:val="18"/>
        </w:rPr>
        <w:t>The</w:t>
      </w:r>
      <w:proofErr w:type="spellEnd"/>
      <w:r w:rsidRPr="00A01F53">
        <w:rPr>
          <w:rFonts w:ascii="Arial Narrow" w:hAnsi="Arial Narrow"/>
          <w:sz w:val="18"/>
          <w:szCs w:val="18"/>
        </w:rPr>
        <w:t xml:space="preserve"> AJCC recommend that all invasive cancer is graded using the Nottingham combined histologic grade (</w:t>
      </w:r>
      <w:proofErr w:type="spellStart"/>
      <w:r w:rsidRPr="00A01F53">
        <w:rPr>
          <w:rFonts w:ascii="Arial Narrow" w:hAnsi="Arial Narrow"/>
          <w:sz w:val="18"/>
          <w:szCs w:val="18"/>
        </w:rPr>
        <w:t>Elston</w:t>
      </w:r>
      <w:proofErr w:type="spellEnd"/>
      <w:r w:rsidRPr="00A01F53">
        <w:rPr>
          <w:rFonts w:ascii="Arial Narrow" w:hAnsi="Arial Narrow"/>
          <w:sz w:val="18"/>
          <w:szCs w:val="18"/>
        </w:rPr>
        <w:t xml:space="preserve">-Ellis modification of </w:t>
      </w:r>
      <w:proofErr w:type="spellStart"/>
      <w:r w:rsidRPr="00A01F53">
        <w:rPr>
          <w:rFonts w:ascii="Arial Narrow" w:hAnsi="Arial Narrow"/>
          <w:sz w:val="18"/>
          <w:szCs w:val="18"/>
        </w:rPr>
        <w:t>Scarff</w:t>
      </w:r>
      <w:proofErr w:type="spellEnd"/>
      <w:r w:rsidRPr="00A01F53">
        <w:rPr>
          <w:rFonts w:ascii="Arial Narrow" w:hAnsi="Arial Narrow"/>
          <w:sz w:val="18"/>
          <w:szCs w:val="18"/>
        </w:rPr>
        <w:t>-Bloom-Richardson grading system)</w:t>
      </w:r>
      <w:r w:rsidR="00027F4E">
        <w:rPr>
          <w:rFonts w:ascii="Arial Narrow" w:hAnsi="Arial Narrow"/>
          <w:sz w:val="18"/>
          <w:szCs w:val="18"/>
        </w:rPr>
        <w:fldChar w:fldCharType="begin"/>
      </w:r>
      <w:r w:rsidR="002F5A6C">
        <w:rPr>
          <w:rFonts w:ascii="Arial Narrow" w:hAnsi="Arial Narrow"/>
          <w:sz w:val="18"/>
          <w:szCs w:val="18"/>
        </w:rPr>
        <w:instrText xml:space="preserve"> ADDIN EN.CITE &lt;EndNote&gt;&lt;Cite&gt;&lt;Author&gt;AJCC&lt;/Author&gt;&lt;Year&gt;2012&lt;/Year&gt;&lt;RecNum&gt;95&lt;/RecNum&gt;&lt;DisplayText&gt;(AJCC 2012)&lt;/DisplayText&gt;&lt;record&gt;&lt;rec-number&gt;95&lt;/rec-number&gt;&lt;foreign-keys&gt;&lt;key app="EN" db-id="d0zpx20a6fxrw3etdtj5tetpa2adf9stz5fr" timestamp="1478584559"&gt;95&lt;/key&gt;&lt;/foreign-keys&gt;&lt;ref-type name="Report"&gt;27&lt;/ref-type&gt;&lt;contributors&gt;&lt;authors&gt;&lt;author&gt;AJCC&lt;/author&gt;&lt;/authors&gt;&lt;secondary-authors&gt;&lt;author&gt;Compton C, Byrd DR, Garcia-Aguilar J, Kurtzman SH, Olawaiye A, Washington MK, &lt;/author&gt;&lt;/secondary-authors&gt;&lt;tertiary-authors&gt;&lt;author&gt;Springer&lt;/author&gt;&lt;/tertiary-authors&gt;&lt;/contributors&gt;&lt;titles&gt;&lt;title&gt;Cancer Staging Atlas&lt;/title&gt;&lt;/titles&gt;&lt;edition&gt;2&lt;/edition&gt;&lt;dates&gt;&lt;year&gt;2012&lt;/year&gt;&lt;/dates&gt;&lt;urls&gt;&lt;/urls&gt;&lt;/record&gt;&lt;/Cite&gt;&lt;/EndNote&gt;</w:instrText>
      </w:r>
      <w:r w:rsidR="00027F4E">
        <w:rPr>
          <w:rFonts w:ascii="Arial Narrow" w:hAnsi="Arial Narrow"/>
          <w:sz w:val="18"/>
          <w:szCs w:val="18"/>
        </w:rPr>
        <w:fldChar w:fldCharType="separate"/>
      </w:r>
      <w:r w:rsidR="00027F4E">
        <w:rPr>
          <w:rFonts w:ascii="Arial Narrow" w:hAnsi="Arial Narrow"/>
          <w:noProof/>
          <w:sz w:val="18"/>
          <w:szCs w:val="18"/>
        </w:rPr>
        <w:t>(</w:t>
      </w:r>
      <w:hyperlink w:anchor="_ENREF_3" w:tooltip="AJCC, 2012 #95" w:history="1">
        <w:r w:rsidR="00477651">
          <w:rPr>
            <w:rFonts w:ascii="Arial Narrow" w:hAnsi="Arial Narrow"/>
            <w:noProof/>
            <w:sz w:val="18"/>
            <w:szCs w:val="18"/>
          </w:rPr>
          <w:t>AJCC 2012</w:t>
        </w:r>
      </w:hyperlink>
      <w:r w:rsidR="00027F4E">
        <w:rPr>
          <w:rFonts w:ascii="Arial Narrow" w:hAnsi="Arial Narrow"/>
          <w:noProof/>
          <w:sz w:val="18"/>
          <w:szCs w:val="18"/>
        </w:rPr>
        <w:t>)</w:t>
      </w:r>
      <w:r w:rsidR="00027F4E">
        <w:rPr>
          <w:rFonts w:ascii="Arial Narrow" w:hAnsi="Arial Narrow"/>
          <w:sz w:val="18"/>
          <w:szCs w:val="18"/>
        </w:rPr>
        <w:fldChar w:fldCharType="end"/>
      </w:r>
      <w:r w:rsidR="00AE1188" w:rsidRPr="00A01F53">
        <w:rPr>
          <w:rFonts w:ascii="Arial Narrow" w:hAnsi="Arial Narrow"/>
          <w:sz w:val="18"/>
          <w:szCs w:val="18"/>
        </w:rPr>
        <w:br w:type="page"/>
      </w:r>
    </w:p>
    <w:p w14:paraId="12D2697D" w14:textId="77777777" w:rsidR="00E058F2" w:rsidRPr="00C776B1" w:rsidRDefault="001B5169" w:rsidP="00AE1188">
      <w:pPr>
        <w:pStyle w:val="Heading1"/>
      </w:pPr>
      <w:r>
        <w:lastRenderedPageBreak/>
        <w:t>PART 9</w:t>
      </w:r>
      <w:r w:rsidR="00F93784">
        <w:t xml:space="preserve"> – </w:t>
      </w:r>
      <w:r w:rsidR="00E058F2" w:rsidRPr="00C776B1">
        <w:t>FEEDBACK</w:t>
      </w:r>
    </w:p>
    <w:p w14:paraId="2D258D85" w14:textId="77777777" w:rsidR="00E058F2" w:rsidRPr="00154B00" w:rsidRDefault="00E058F2" w:rsidP="00E058F2">
      <w:pPr>
        <w:rPr>
          <w:szCs w:val="20"/>
        </w:rPr>
      </w:pPr>
      <w:r w:rsidRPr="00154B00">
        <w:rPr>
          <w:szCs w:val="20"/>
        </w:rPr>
        <w:t>The Department</w:t>
      </w:r>
      <w:r w:rsidR="005A58BA">
        <w:rPr>
          <w:szCs w:val="20"/>
        </w:rPr>
        <w:t xml:space="preserve"> is interested in your feedback.</w:t>
      </w:r>
    </w:p>
    <w:p w14:paraId="14B2E822" w14:textId="77777777" w:rsidR="00E058F2" w:rsidRPr="00AE1188" w:rsidRDefault="00E058F2" w:rsidP="001B5169">
      <w:pPr>
        <w:pStyle w:val="Heading2"/>
      </w:pPr>
      <w:r w:rsidRPr="00AE1188">
        <w:t>How long did it take to complete the Application Form?</w:t>
      </w:r>
    </w:p>
    <w:p w14:paraId="2E801866" w14:textId="54B7E1E8" w:rsidR="00E058F2" w:rsidRDefault="00BB63E4" w:rsidP="00603D04">
      <w:pPr>
        <w:ind w:left="426"/>
      </w:pPr>
      <w:r>
        <w:t>22</w:t>
      </w:r>
      <w:r w:rsidR="00027F4E">
        <w:t xml:space="preserve"> hours</w:t>
      </w:r>
    </w:p>
    <w:p w14:paraId="5C555FD6" w14:textId="77777777" w:rsidR="00E274F3" w:rsidRPr="00154B00" w:rsidRDefault="00E274F3" w:rsidP="00603D04">
      <w:pPr>
        <w:ind w:left="426"/>
        <w:rPr>
          <w:szCs w:val="20"/>
        </w:rPr>
      </w:pPr>
    </w:p>
    <w:p w14:paraId="0334D5CD" w14:textId="77777777" w:rsidR="001845D9" w:rsidRPr="00154B00"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14:paraId="1CFADDA9" w14:textId="12E92519" w:rsidR="00603D04" w:rsidRPr="001B29A1" w:rsidRDefault="00027F4E"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A615A">
        <w:rPr>
          <w:szCs w:val="20"/>
        </w:rPr>
      </w:r>
      <w:r w:rsidR="00BA615A">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14:paraId="5F165B1C"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BA615A">
        <w:rPr>
          <w:szCs w:val="20"/>
        </w:rPr>
      </w:r>
      <w:r w:rsidR="00BA615A">
        <w:rPr>
          <w:szCs w:val="20"/>
        </w:rPr>
        <w:fldChar w:fldCharType="separate"/>
      </w:r>
      <w:r w:rsidRPr="001B29A1">
        <w:rPr>
          <w:szCs w:val="20"/>
        </w:rPr>
        <w:fldChar w:fldCharType="end"/>
      </w:r>
      <w:r w:rsidRPr="001B29A1">
        <w:rPr>
          <w:szCs w:val="20"/>
        </w:rPr>
        <w:t xml:space="preserve"> </w:t>
      </w:r>
      <w:r>
        <w:rPr>
          <w:szCs w:val="20"/>
        </w:rPr>
        <w:t>No</w:t>
      </w:r>
    </w:p>
    <w:p w14:paraId="77B23349" w14:textId="77777777" w:rsidR="003D6DE1" w:rsidRPr="00154B00" w:rsidRDefault="00603D04" w:rsidP="001B5169">
      <w:pPr>
        <w:pStyle w:val="Heading2"/>
        <w:numPr>
          <w:ilvl w:val="0"/>
          <w:numId w:val="31"/>
        </w:numPr>
      </w:pPr>
      <w:r>
        <w:t>If no, provide areas of concern:</w:t>
      </w:r>
    </w:p>
    <w:p w14:paraId="524A867C" w14:textId="77777777" w:rsidR="00E274F3" w:rsidRPr="00154B00" w:rsidRDefault="00E274F3" w:rsidP="00603D04">
      <w:pPr>
        <w:ind w:left="426"/>
        <w:rPr>
          <w:szCs w:val="20"/>
        </w:rPr>
      </w:pPr>
    </w:p>
    <w:p w14:paraId="15F7FDF5" w14:textId="77777777" w:rsidR="00E058F2" w:rsidRPr="00154B00" w:rsidRDefault="001B5169" w:rsidP="00530204">
      <w:pPr>
        <w:pStyle w:val="Heading2"/>
      </w:pPr>
      <w:r>
        <w:t xml:space="preserve">(a) </w:t>
      </w:r>
      <w:r w:rsidR="00E058F2" w:rsidRPr="00603D04">
        <w:t>Are</w:t>
      </w:r>
      <w:r w:rsidR="00E058F2" w:rsidRPr="00154B00">
        <w:t xml:space="preserve"> the associated Guidelines to the Application Form useful?</w:t>
      </w:r>
    </w:p>
    <w:p w14:paraId="65D65C18" w14:textId="3A4ADE1E" w:rsidR="00603D04" w:rsidRPr="001B29A1" w:rsidRDefault="00027F4E"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A615A">
        <w:rPr>
          <w:szCs w:val="20"/>
        </w:rPr>
      </w:r>
      <w:r w:rsidR="00BA615A">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14:paraId="6B97F87B"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BA615A">
        <w:rPr>
          <w:szCs w:val="20"/>
        </w:rPr>
      </w:r>
      <w:r w:rsidR="00BA615A">
        <w:rPr>
          <w:szCs w:val="20"/>
        </w:rPr>
        <w:fldChar w:fldCharType="separate"/>
      </w:r>
      <w:r w:rsidRPr="001B29A1">
        <w:rPr>
          <w:szCs w:val="20"/>
        </w:rPr>
        <w:fldChar w:fldCharType="end"/>
      </w:r>
      <w:r w:rsidRPr="001B29A1">
        <w:rPr>
          <w:szCs w:val="20"/>
        </w:rPr>
        <w:t xml:space="preserve"> </w:t>
      </w:r>
      <w:r>
        <w:rPr>
          <w:szCs w:val="20"/>
        </w:rPr>
        <w:t>No</w:t>
      </w:r>
    </w:p>
    <w:p w14:paraId="402478E0" w14:textId="77777777" w:rsidR="003D6DE1" w:rsidRPr="00154B00" w:rsidRDefault="003D6DE1" w:rsidP="001B5169">
      <w:pPr>
        <w:pStyle w:val="Heading2"/>
        <w:numPr>
          <w:ilvl w:val="0"/>
          <w:numId w:val="32"/>
        </w:numPr>
      </w:pPr>
      <w:r>
        <w:t>If no, what areas did you find not to be useful?</w:t>
      </w:r>
    </w:p>
    <w:p w14:paraId="1016128D" w14:textId="158B3590" w:rsidR="00E274F3" w:rsidRDefault="003E2B3C" w:rsidP="00603D04">
      <w:pPr>
        <w:ind w:left="426"/>
      </w:pPr>
      <w:r w:rsidRPr="003E2B3C">
        <w:t xml:space="preserve">It would be helpful to have a clear indication of an email address to </w:t>
      </w:r>
      <w:r w:rsidR="00B10693">
        <w:t xml:space="preserve">use to </w:t>
      </w:r>
      <w:r w:rsidRPr="003E2B3C">
        <w:t>submit the application.</w:t>
      </w:r>
    </w:p>
    <w:p w14:paraId="53CCA986" w14:textId="77777777" w:rsidR="003E2B3C" w:rsidRPr="00154B00" w:rsidRDefault="003E2B3C" w:rsidP="00603D04">
      <w:pPr>
        <w:ind w:left="426"/>
        <w:rPr>
          <w:szCs w:val="20"/>
        </w:rPr>
      </w:pPr>
    </w:p>
    <w:p w14:paraId="2F05B28D" w14:textId="77777777" w:rsidR="00E058F2" w:rsidRPr="00154B00"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14:paraId="089FA01F"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BA615A">
        <w:rPr>
          <w:szCs w:val="20"/>
        </w:rPr>
      </w:r>
      <w:r w:rsidR="00BA615A">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6ECE7104" w14:textId="4F986048" w:rsidR="00603D04" w:rsidRPr="001B29A1" w:rsidRDefault="001B07CB"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A615A">
        <w:rPr>
          <w:szCs w:val="20"/>
        </w:rPr>
      </w:r>
      <w:r w:rsidR="00BA615A">
        <w:rPr>
          <w:szCs w:val="20"/>
        </w:rPr>
        <w:fldChar w:fldCharType="separate"/>
      </w:r>
      <w:r>
        <w:rPr>
          <w:szCs w:val="20"/>
        </w:rPr>
        <w:fldChar w:fldCharType="end"/>
      </w:r>
      <w:r w:rsidR="00603D04" w:rsidRPr="001B29A1">
        <w:rPr>
          <w:szCs w:val="20"/>
        </w:rPr>
        <w:t xml:space="preserve"> </w:t>
      </w:r>
      <w:r w:rsidR="00603D04">
        <w:rPr>
          <w:szCs w:val="20"/>
        </w:rPr>
        <w:t>No</w:t>
      </w:r>
    </w:p>
    <w:p w14:paraId="00D2A9A8" w14:textId="77777777" w:rsidR="001845D9" w:rsidRPr="00154B00" w:rsidRDefault="001845D9" w:rsidP="001B5169">
      <w:pPr>
        <w:pStyle w:val="Heading2"/>
        <w:numPr>
          <w:ilvl w:val="0"/>
          <w:numId w:val="33"/>
        </w:numPr>
      </w:pPr>
      <w:r w:rsidRPr="00154B00">
        <w:t xml:space="preserve">If yes, please </w:t>
      </w:r>
      <w:proofErr w:type="gramStart"/>
      <w:r w:rsidRPr="00154B00">
        <w:t>advise</w:t>
      </w:r>
      <w:proofErr w:type="gramEnd"/>
      <w:r w:rsidRPr="00154B00">
        <w:t>:</w:t>
      </w:r>
    </w:p>
    <w:p w14:paraId="2CC3479B" w14:textId="77777777" w:rsidR="00E24D90" w:rsidRDefault="00603D04" w:rsidP="00603D04">
      <w:pPr>
        <w:ind w:left="426"/>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14:paraId="5A9EDA47" w14:textId="77777777" w:rsidR="00E24D90" w:rsidRDefault="00E24D90" w:rsidP="00603D04">
      <w:pPr>
        <w:ind w:left="426"/>
      </w:pPr>
    </w:p>
    <w:p w14:paraId="1B28BA63" w14:textId="77777777" w:rsidR="003D2D57" w:rsidRDefault="003D2D57">
      <w:pPr>
        <w:spacing w:before="0" w:after="200" w:line="276" w:lineRule="auto"/>
        <w:rPr>
          <w:rFonts w:ascii="Calibri" w:hAnsi="Calibri"/>
          <w:noProof/>
          <w:szCs w:val="20"/>
          <w:lang w:val="en-US"/>
        </w:rPr>
      </w:pPr>
      <w:r>
        <w:rPr>
          <w:szCs w:val="20"/>
        </w:rPr>
        <w:br w:type="page"/>
      </w:r>
    </w:p>
    <w:p w14:paraId="04832902" w14:textId="77777777" w:rsidR="003D2D57" w:rsidRDefault="003D2D57" w:rsidP="00A634F7">
      <w:pPr>
        <w:pStyle w:val="Heading3"/>
      </w:pPr>
      <w:r>
        <w:lastRenderedPageBreak/>
        <w:t>References</w:t>
      </w:r>
    </w:p>
    <w:p w14:paraId="6B64F5CB" w14:textId="77777777" w:rsidR="00477651" w:rsidRPr="00477651" w:rsidRDefault="00E24D90" w:rsidP="00477651">
      <w:pPr>
        <w:pStyle w:val="EndNoteBibliography"/>
      </w:pPr>
      <w:r>
        <w:rPr>
          <w:szCs w:val="20"/>
        </w:rPr>
        <w:fldChar w:fldCharType="begin"/>
      </w:r>
      <w:r>
        <w:rPr>
          <w:szCs w:val="20"/>
        </w:rPr>
        <w:instrText xml:space="preserve"> ADDIN EN.REFLIST </w:instrText>
      </w:r>
      <w:r>
        <w:rPr>
          <w:szCs w:val="20"/>
        </w:rPr>
        <w:fldChar w:fldCharType="separate"/>
      </w:r>
      <w:bookmarkStart w:id="9" w:name="_ENREF_1"/>
      <w:r w:rsidR="00477651" w:rsidRPr="00477651">
        <w:t xml:space="preserve">AIHW 2012, </w:t>
      </w:r>
      <w:r w:rsidR="00477651" w:rsidRPr="00477651">
        <w:rPr>
          <w:i/>
        </w:rPr>
        <w:t>Cancer incidence projections, Australia, 2011 to 2020</w:t>
      </w:r>
      <w:r w:rsidR="00477651" w:rsidRPr="00477651">
        <w:t>, Australian Institute of Health and Welfare, Canberra.</w:t>
      </w:r>
    </w:p>
    <w:bookmarkEnd w:id="9"/>
    <w:p w14:paraId="114C400C" w14:textId="77777777" w:rsidR="00477651" w:rsidRPr="00477651" w:rsidRDefault="00477651" w:rsidP="00477651">
      <w:pPr>
        <w:pStyle w:val="EndNoteBibliography"/>
        <w:spacing w:after="0"/>
      </w:pPr>
    </w:p>
    <w:p w14:paraId="05D12D6A" w14:textId="77777777" w:rsidR="00477651" w:rsidRPr="00477651" w:rsidRDefault="00477651" w:rsidP="00477651">
      <w:pPr>
        <w:pStyle w:val="EndNoteBibliography"/>
      </w:pPr>
      <w:bookmarkStart w:id="10" w:name="_ENREF_2"/>
      <w:r w:rsidRPr="00477651">
        <w:t xml:space="preserve">AIHW 2016, </w:t>
      </w:r>
      <w:r w:rsidRPr="00477651">
        <w:rPr>
          <w:i/>
        </w:rPr>
        <w:t>Australian cancer Incidence and Mortality (ACIM) books</w:t>
      </w:r>
      <w:r w:rsidRPr="00477651">
        <w:t>,  Breast Cancer, Australian Insitute of Health and Welfare, Canberra.</w:t>
      </w:r>
    </w:p>
    <w:bookmarkEnd w:id="10"/>
    <w:p w14:paraId="4447D54E" w14:textId="77777777" w:rsidR="00477651" w:rsidRPr="00477651" w:rsidRDefault="00477651" w:rsidP="00477651">
      <w:pPr>
        <w:pStyle w:val="EndNoteBibliography"/>
        <w:spacing w:after="0"/>
      </w:pPr>
    </w:p>
    <w:p w14:paraId="293D56B5" w14:textId="77777777" w:rsidR="00477651" w:rsidRPr="00477651" w:rsidRDefault="00477651" w:rsidP="00477651">
      <w:pPr>
        <w:pStyle w:val="EndNoteBibliography"/>
      </w:pPr>
      <w:bookmarkStart w:id="11" w:name="_ENREF_3"/>
      <w:r w:rsidRPr="00477651">
        <w:t xml:space="preserve">AJCC 2012, </w:t>
      </w:r>
      <w:r w:rsidRPr="00477651">
        <w:rPr>
          <w:i/>
        </w:rPr>
        <w:t>Cancer Staging Atlas</w:t>
      </w:r>
      <w:r w:rsidRPr="00477651">
        <w:t>, Springer.</w:t>
      </w:r>
    </w:p>
    <w:bookmarkEnd w:id="11"/>
    <w:p w14:paraId="3A14E19A" w14:textId="77777777" w:rsidR="00477651" w:rsidRPr="00477651" w:rsidRDefault="00477651" w:rsidP="00477651">
      <w:pPr>
        <w:pStyle w:val="EndNoteBibliography"/>
        <w:spacing w:after="0"/>
      </w:pPr>
    </w:p>
    <w:p w14:paraId="2C4FDC14" w14:textId="77777777" w:rsidR="00477651" w:rsidRPr="00477651" w:rsidRDefault="00477651" w:rsidP="00477651">
      <w:pPr>
        <w:pStyle w:val="EndNoteBibliography"/>
      </w:pPr>
      <w:bookmarkStart w:id="12" w:name="_ENREF_4"/>
      <w:r w:rsidRPr="00477651">
        <w:t xml:space="preserve">Cancer Australia 2016, </w:t>
      </w:r>
      <w:r w:rsidRPr="00477651">
        <w:rPr>
          <w:i/>
        </w:rPr>
        <w:t>Breast cancer statistics</w:t>
      </w:r>
      <w:r w:rsidRPr="00477651">
        <w:t>,  Breast Cancer in Australia, Canberra.</w:t>
      </w:r>
    </w:p>
    <w:bookmarkEnd w:id="12"/>
    <w:p w14:paraId="2A7F58A4" w14:textId="77777777" w:rsidR="00477651" w:rsidRPr="00477651" w:rsidRDefault="00477651" w:rsidP="00477651">
      <w:pPr>
        <w:pStyle w:val="EndNoteBibliography"/>
        <w:spacing w:after="0"/>
      </w:pPr>
    </w:p>
    <w:p w14:paraId="142AD49A" w14:textId="77777777" w:rsidR="00477651" w:rsidRPr="00477651" w:rsidRDefault="00477651" w:rsidP="00477651">
      <w:pPr>
        <w:pStyle w:val="EndNoteBibliography"/>
      </w:pPr>
      <w:bookmarkStart w:id="13" w:name="_ENREF_5"/>
      <w:r w:rsidRPr="00477651">
        <w:t xml:space="preserve">Coates, AS, Winer, EP, Goldhirsch, A, Gelber, RD, Gnant, M, Piccart-Gebhart, M, Thurlimann, B &amp; Senn, HJ 2015, 'Tailoring therapies - improving the management of early breast cancer: St GallenInternational Expert Consensus on the Primary Therapy of Early Breast Cancer 2015', </w:t>
      </w:r>
      <w:r w:rsidRPr="00477651">
        <w:rPr>
          <w:i/>
        </w:rPr>
        <w:t>Ann Oncol</w:t>
      </w:r>
      <w:r w:rsidRPr="00477651">
        <w:t>, May 4.</w:t>
      </w:r>
    </w:p>
    <w:bookmarkEnd w:id="13"/>
    <w:p w14:paraId="675D594F" w14:textId="77777777" w:rsidR="00477651" w:rsidRPr="00477651" w:rsidRDefault="00477651" w:rsidP="00477651">
      <w:pPr>
        <w:pStyle w:val="EndNoteBibliography"/>
        <w:spacing w:after="0"/>
      </w:pPr>
    </w:p>
    <w:p w14:paraId="10250339" w14:textId="77777777" w:rsidR="00477651" w:rsidRPr="00477651" w:rsidRDefault="00477651" w:rsidP="00477651">
      <w:pPr>
        <w:pStyle w:val="EndNoteBibliography"/>
      </w:pPr>
      <w:bookmarkStart w:id="14" w:name="_ENREF_6"/>
      <w:r w:rsidRPr="00477651">
        <w:t xml:space="preserve">Harris, LN, Ismaila, N, McShane, LM, Andre, F, Collyar, DE, Gonzalez-Angulo, AM, Hammond, EH, Kuderer, NM, Liu, MC, Mennel, RG, Van Poznak, C, Bast, RC, Hayes, DF &amp; American Society of Clinical, O 2016, 'Use of Biomarkers to Guide Decisions on Adjuvant Systemic Therapy for Women With Early-Stage Invasive Breast Cancer: American Society of Clinical Oncology Clinical Practice Guideline', </w:t>
      </w:r>
      <w:r w:rsidRPr="00477651">
        <w:rPr>
          <w:i/>
        </w:rPr>
        <w:t>J Clin Oncol</w:t>
      </w:r>
      <w:r w:rsidRPr="00477651">
        <w:t>, vol. 34, no. 10, Apr 1, pp. 1134-1150.</w:t>
      </w:r>
    </w:p>
    <w:bookmarkEnd w:id="14"/>
    <w:p w14:paraId="58C9A0C7" w14:textId="77777777" w:rsidR="00477651" w:rsidRPr="00477651" w:rsidRDefault="00477651" w:rsidP="00477651">
      <w:pPr>
        <w:pStyle w:val="EndNoteBibliography"/>
        <w:spacing w:after="0"/>
      </w:pPr>
    </w:p>
    <w:p w14:paraId="51C380F7" w14:textId="77777777" w:rsidR="00477651" w:rsidRPr="00477651" w:rsidRDefault="00477651" w:rsidP="00477651">
      <w:pPr>
        <w:pStyle w:val="EndNoteBibliography"/>
      </w:pPr>
      <w:bookmarkStart w:id="15" w:name="_ENREF_7"/>
      <w:r w:rsidRPr="00477651">
        <w:t xml:space="preserve">Nielsen, TO, Parker, JS, Leung, S, Voduc, D, Ebbert, M, Vickery, T, Davies, SR, Snider, J, Stijleman, IJ, Reed, J, Cheang, MCU, Mardis, ER, Perou, CM, Bernard, PS &amp; Ellis, MJ 2010, 'A Comparison of PAM50 Intrinsic Subtyping with Immunohistochemistry and Clinical Prognostic Factors in Tamoxifen-Treated Estrogen Receptor–Positive Breast Cancer', </w:t>
      </w:r>
      <w:r w:rsidRPr="00477651">
        <w:rPr>
          <w:i/>
        </w:rPr>
        <w:t>Clinical Cancer Research</w:t>
      </w:r>
      <w:r w:rsidRPr="00477651">
        <w:t>, vol. 16, no. 21, pp. 5222-5232.</w:t>
      </w:r>
    </w:p>
    <w:bookmarkEnd w:id="15"/>
    <w:p w14:paraId="6AB17FD9" w14:textId="77777777" w:rsidR="00477651" w:rsidRPr="00477651" w:rsidRDefault="00477651" w:rsidP="00477651">
      <w:pPr>
        <w:pStyle w:val="EndNoteBibliography"/>
        <w:spacing w:after="0"/>
      </w:pPr>
    </w:p>
    <w:p w14:paraId="7F528515" w14:textId="77777777" w:rsidR="00477651" w:rsidRPr="00477651" w:rsidRDefault="00477651" w:rsidP="00477651">
      <w:pPr>
        <w:pStyle w:val="EndNoteBibliography"/>
      </w:pPr>
      <w:bookmarkStart w:id="16" w:name="_ENREF_8"/>
      <w:r w:rsidRPr="00477651">
        <w:t xml:space="preserve">Senkus, E, Kyriakides, S, Ohno, S, Penault-Llorca, F, Poortmans, P, Rutgers, E, Zackrisson, S &amp; Cardoso, F 2015, 'Primary breast cancer: ESMO Clinical Practice Guidelines for diagnosis, treatment and follow-up', </w:t>
      </w:r>
      <w:r w:rsidRPr="00477651">
        <w:rPr>
          <w:i/>
        </w:rPr>
        <w:t>Annals of Oncology</w:t>
      </w:r>
      <w:r w:rsidRPr="00477651">
        <w:t>, vol. 26, no. suppl 5, September 1, 2015, pp. v8-v30.</w:t>
      </w:r>
    </w:p>
    <w:bookmarkEnd w:id="16"/>
    <w:p w14:paraId="7383C6B5" w14:textId="77777777" w:rsidR="00477651" w:rsidRPr="00477651" w:rsidRDefault="00477651" w:rsidP="00477651">
      <w:pPr>
        <w:pStyle w:val="EndNoteBibliography"/>
        <w:spacing w:after="0"/>
      </w:pPr>
    </w:p>
    <w:p w14:paraId="6CA085E5" w14:textId="77777777" w:rsidR="00477651" w:rsidRPr="00477651" w:rsidRDefault="00477651" w:rsidP="00477651">
      <w:pPr>
        <w:pStyle w:val="EndNoteBibliography"/>
      </w:pPr>
      <w:bookmarkStart w:id="17" w:name="_ENREF_9"/>
      <w:r w:rsidRPr="00477651">
        <w:t xml:space="preserve">Voduc, KD, Cheang, MCU, Tyldesley, S, Gelmon, K, Nielsen, TO &amp; Kennecke, H 2010, 'Breast Cancer Subtypes and the Risk of Local and Regional Relapse', </w:t>
      </w:r>
      <w:r w:rsidRPr="00477651">
        <w:rPr>
          <w:i/>
        </w:rPr>
        <w:t>Journal of Clinical Oncology</w:t>
      </w:r>
      <w:r w:rsidRPr="00477651">
        <w:t>, vol. 28, no. 10, April 1, 2010, pp. 1684-1691.</w:t>
      </w:r>
    </w:p>
    <w:bookmarkEnd w:id="17"/>
    <w:p w14:paraId="08CB0B99" w14:textId="77777777" w:rsidR="00477651" w:rsidRPr="00477651" w:rsidRDefault="00477651" w:rsidP="00477651">
      <w:pPr>
        <w:pStyle w:val="EndNoteBibliography"/>
        <w:spacing w:after="0"/>
      </w:pPr>
    </w:p>
    <w:p w14:paraId="203B588D" w14:textId="77777777" w:rsidR="00477651" w:rsidRPr="00477651" w:rsidRDefault="00477651" w:rsidP="00477651">
      <w:pPr>
        <w:pStyle w:val="EndNoteBibliography"/>
      </w:pPr>
      <w:bookmarkStart w:id="18" w:name="_ENREF_10"/>
      <w:r w:rsidRPr="00477651">
        <w:t xml:space="preserve">Wang-Lopez, Q, Chalabi, N, Abrial, C, Radosevic-Robin, N, Durando, X, Mouret-Reynier, MA, Benmammar, KE, Kullab, S, Bahadoor, M, Chollet, P, Penault-Llorca, F &amp; Nabholtz, JM 2015, 'Can pathologic complete response (pCR) be used as a surrogate marker of survival after neoadjuvant therapy for breast cancer?', </w:t>
      </w:r>
      <w:r w:rsidRPr="00477651">
        <w:rPr>
          <w:i/>
        </w:rPr>
        <w:t>Crit Rev Oncol Hematol</w:t>
      </w:r>
      <w:r w:rsidRPr="00477651">
        <w:t>, Mar 4.</w:t>
      </w:r>
    </w:p>
    <w:bookmarkEnd w:id="18"/>
    <w:p w14:paraId="47B8244E" w14:textId="77777777" w:rsidR="00477651" w:rsidRPr="00477651" w:rsidRDefault="00477651" w:rsidP="00477651">
      <w:pPr>
        <w:pStyle w:val="EndNoteBibliography"/>
        <w:spacing w:after="0"/>
      </w:pPr>
    </w:p>
    <w:p w14:paraId="6E60533A" w14:textId="77777777" w:rsidR="00477651" w:rsidRPr="00477651" w:rsidRDefault="00477651" w:rsidP="00477651">
      <w:pPr>
        <w:pStyle w:val="EndNoteBibliography"/>
      </w:pPr>
      <w:bookmarkStart w:id="19" w:name="_ENREF_11"/>
      <w:r w:rsidRPr="00477651">
        <w:t xml:space="preserve">Wockel, A &amp; Kreienberg, R 2008, 'First Revision of the German S3 Guideline 'Diagnosis, Therapy, and Follow-Up of Breast Cancer'', </w:t>
      </w:r>
      <w:r w:rsidRPr="00477651">
        <w:rPr>
          <w:i/>
        </w:rPr>
        <w:t>Breast Care (Basel)</w:t>
      </w:r>
      <w:r w:rsidRPr="00477651">
        <w:t>, vol. 3, no. 2, pp. 82-86.</w:t>
      </w:r>
    </w:p>
    <w:bookmarkEnd w:id="19"/>
    <w:p w14:paraId="5E1867E6" w14:textId="77777777" w:rsidR="00477651" w:rsidRPr="00477651" w:rsidRDefault="00477651" w:rsidP="00477651">
      <w:pPr>
        <w:pStyle w:val="EndNoteBibliography"/>
      </w:pPr>
    </w:p>
    <w:p w14:paraId="33E181FE" w14:textId="6B76012E" w:rsidR="00451840" w:rsidRDefault="00E24D90" w:rsidP="00603D04">
      <w:pPr>
        <w:ind w:left="426"/>
        <w:rPr>
          <w:szCs w:val="20"/>
        </w:rPr>
      </w:pPr>
      <w:r>
        <w:rPr>
          <w:szCs w:val="20"/>
        </w:rPr>
        <w:fldChar w:fldCharType="end"/>
      </w:r>
    </w:p>
    <w:sectPr w:rsidR="0045184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AFA1C" w14:textId="77777777" w:rsidR="00441E43" w:rsidRDefault="00441E43" w:rsidP="00CF2DFA">
      <w:pPr>
        <w:spacing w:after="0"/>
      </w:pPr>
      <w:r>
        <w:separator/>
      </w:r>
    </w:p>
  </w:endnote>
  <w:endnote w:type="continuationSeparator" w:id="0">
    <w:p w14:paraId="7A52FD53" w14:textId="77777777" w:rsidR="00441E43" w:rsidRDefault="00441E43"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F5A93" w14:textId="77777777" w:rsidR="003A7886" w:rsidRDefault="003A78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50030526" w14:textId="77777777" w:rsidR="006B5515" w:rsidRDefault="006B5515">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BA615A" w:rsidRPr="00BA615A">
          <w:rPr>
            <w:b/>
            <w:bCs/>
            <w:noProof/>
            <w:sz w:val="18"/>
            <w:szCs w:val="18"/>
          </w:rPr>
          <w:t>21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1EE95394" w14:textId="77777777" w:rsidR="006B5515" w:rsidRPr="003F7CB9" w:rsidRDefault="006B5515"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4CB09" w14:textId="77777777" w:rsidR="003A7886" w:rsidRDefault="003A7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5B26E" w14:textId="77777777" w:rsidR="00441E43" w:rsidRDefault="00441E43" w:rsidP="00CF2DFA">
      <w:pPr>
        <w:spacing w:after="0"/>
      </w:pPr>
      <w:r>
        <w:separator/>
      </w:r>
    </w:p>
  </w:footnote>
  <w:footnote w:type="continuationSeparator" w:id="0">
    <w:p w14:paraId="463E885C" w14:textId="77777777" w:rsidR="00441E43" w:rsidRDefault="00441E43" w:rsidP="00CF2D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AD822" w14:textId="77777777" w:rsidR="003A7886" w:rsidRDefault="003A78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3FD53" w14:textId="77777777" w:rsidR="003A7886" w:rsidRDefault="003A78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22F47" w14:textId="77777777" w:rsidR="003A7886" w:rsidRDefault="003A78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F23"/>
    <w:multiLevelType w:val="hybridMultilevel"/>
    <w:tmpl w:val="4C3E35EC"/>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DB96BCB"/>
    <w:multiLevelType w:val="hybridMultilevel"/>
    <w:tmpl w:val="314A5EC4"/>
    <w:lvl w:ilvl="0" w:tplc="B7A6E246">
      <w:start w:val="1"/>
      <w:numFmt w:val="bullet"/>
      <w:lvlText w:val=""/>
      <w:lvlJc w:val="left"/>
      <w:pPr>
        <w:ind w:left="1146" w:hanging="360"/>
      </w:pPr>
      <w:rPr>
        <w:rFonts w:ascii="Symbol" w:hAnsi="Symbol" w:hint="default"/>
        <w:sz w:val="22"/>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nsid w:val="2E8C6053"/>
    <w:multiLevelType w:val="hybridMultilevel"/>
    <w:tmpl w:val="21481096"/>
    <w:lvl w:ilvl="0" w:tplc="31526EFC">
      <w:start w:val="1"/>
      <w:numFmt w:val="bullet"/>
      <w:lvlText w:val=""/>
      <w:lvlJc w:val="left"/>
      <w:pPr>
        <w:ind w:left="1146" w:hanging="360"/>
      </w:pPr>
      <w:rPr>
        <w:rFonts w:ascii="Symbol" w:hAnsi="Symbol" w:hint="default"/>
        <w:sz w:val="18"/>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nsid w:val="510F6FAE"/>
    <w:multiLevelType w:val="multilevel"/>
    <w:tmpl w:val="D5FA7F4A"/>
    <w:lvl w:ilvl="0">
      <w:start w:val="1"/>
      <w:numFmt w:val="decimal"/>
      <w:pStyle w:val="Heading2"/>
      <w:lvlText w:val="%1."/>
      <w:lvlJc w:val="left"/>
      <w:pPr>
        <w:ind w:left="502"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52776022"/>
    <w:multiLevelType w:val="hybridMultilevel"/>
    <w:tmpl w:val="75F602C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D4852FE"/>
    <w:multiLevelType w:val="hybridMultilevel"/>
    <w:tmpl w:val="57C466C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F547ED6"/>
    <w:multiLevelType w:val="hybridMultilevel"/>
    <w:tmpl w:val="49E694EC"/>
    <w:lvl w:ilvl="0" w:tplc="B7A6E246">
      <w:start w:val="1"/>
      <w:numFmt w:val="bullet"/>
      <w:lvlText w:val=""/>
      <w:lvlJc w:val="left"/>
      <w:pPr>
        <w:ind w:left="1146" w:hanging="360"/>
      </w:pPr>
      <w:rPr>
        <w:rFonts w:ascii="Symbol" w:hAnsi="Symbol" w:hint="default"/>
        <w:sz w:val="22"/>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14"/>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11"/>
  </w:num>
  <w:num w:numId="4">
    <w:abstractNumId w:val="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6"/>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
  </w:num>
  <w:num w:numId="25">
    <w:abstractNumId w:val="21"/>
  </w:num>
  <w:num w:numId="26">
    <w:abstractNumId w:val="4"/>
  </w:num>
  <w:num w:numId="27">
    <w:abstractNumId w:val="17"/>
  </w:num>
  <w:num w:numId="28">
    <w:abstractNumId w:val="12"/>
  </w:num>
  <w:num w:numId="29">
    <w:abstractNumId w:val="22"/>
  </w:num>
  <w:num w:numId="30">
    <w:abstractNumId w:val="3"/>
  </w:num>
  <w:num w:numId="31">
    <w:abstractNumId w:val="19"/>
  </w:num>
  <w:num w:numId="32">
    <w:abstractNumId w:val="7"/>
  </w:num>
  <w:num w:numId="33">
    <w:abstractNumId w:val="18"/>
  </w:num>
  <w:num w:numId="34">
    <w:abstractNumId w:val="6"/>
  </w:num>
  <w:num w:numId="35">
    <w:abstractNumId w:val="13"/>
  </w:num>
  <w:num w:numId="36">
    <w:abstractNumId w:val="1"/>
  </w:num>
  <w:num w:numId="37">
    <w:abstractNumId w:val="14"/>
  </w:num>
  <w:num w:numId="38">
    <w:abstractNumId w:val="14"/>
  </w:num>
  <w:num w:numId="39">
    <w:abstractNumId w:val="0"/>
  </w:num>
  <w:num w:numId="40">
    <w:abstractNumId w:val="15"/>
  </w:num>
  <w:num w:numId="41">
    <w:abstractNumId w:val="20"/>
  </w:num>
  <w:num w:numId="42">
    <w:abstractNumId w:val="8"/>
  </w:num>
  <w:num w:numId="43">
    <w:abstractNumId w:val="24"/>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UofA (Style Manual Australia 6th edn)&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0zpx20a6fxrw3etdtj5tetpa2adf9stz5fr&quot;&gt;Prosigna application-Saved&lt;record-ids&gt;&lt;item&gt;76&lt;/item&gt;&lt;item&gt;77&lt;/item&gt;&lt;item&gt;79&lt;/item&gt;&lt;item&gt;80&lt;/item&gt;&lt;item&gt;84&lt;/item&gt;&lt;item&gt;85&lt;/item&gt;&lt;item&gt;87&lt;/item&gt;&lt;item&gt;92&lt;/item&gt;&lt;item&gt;93&lt;/item&gt;&lt;item&gt;94&lt;/item&gt;&lt;item&gt;95&lt;/item&gt;&lt;/record-ids&gt;&lt;/item&gt;&lt;/Libraries&gt;"/>
  </w:docVars>
  <w:rsids>
    <w:rsidRoot w:val="00BF6AC5"/>
    <w:rsid w:val="000110DC"/>
    <w:rsid w:val="000158AA"/>
    <w:rsid w:val="000159B9"/>
    <w:rsid w:val="000160AA"/>
    <w:rsid w:val="000165EF"/>
    <w:rsid w:val="00016B6E"/>
    <w:rsid w:val="000235BB"/>
    <w:rsid w:val="00023E21"/>
    <w:rsid w:val="00025ABC"/>
    <w:rsid w:val="00026412"/>
    <w:rsid w:val="00027F4E"/>
    <w:rsid w:val="00031F6F"/>
    <w:rsid w:val="00032DC1"/>
    <w:rsid w:val="00034D6E"/>
    <w:rsid w:val="0005089D"/>
    <w:rsid w:val="000525BC"/>
    <w:rsid w:val="00054BF4"/>
    <w:rsid w:val="00063CD5"/>
    <w:rsid w:val="00073222"/>
    <w:rsid w:val="000770BA"/>
    <w:rsid w:val="00080DA5"/>
    <w:rsid w:val="000913F4"/>
    <w:rsid w:val="00092580"/>
    <w:rsid w:val="00094A6B"/>
    <w:rsid w:val="000955E7"/>
    <w:rsid w:val="000A02D4"/>
    <w:rsid w:val="000A110D"/>
    <w:rsid w:val="000A478F"/>
    <w:rsid w:val="000A5B32"/>
    <w:rsid w:val="000B2CC9"/>
    <w:rsid w:val="000B3CD0"/>
    <w:rsid w:val="000C4BA1"/>
    <w:rsid w:val="000D066E"/>
    <w:rsid w:val="000D0831"/>
    <w:rsid w:val="000D0EFA"/>
    <w:rsid w:val="000D4538"/>
    <w:rsid w:val="000D7E32"/>
    <w:rsid w:val="000E2B74"/>
    <w:rsid w:val="000E47E7"/>
    <w:rsid w:val="000E5439"/>
    <w:rsid w:val="000F6FDF"/>
    <w:rsid w:val="00102686"/>
    <w:rsid w:val="001046BF"/>
    <w:rsid w:val="0011036E"/>
    <w:rsid w:val="001120B5"/>
    <w:rsid w:val="001130B0"/>
    <w:rsid w:val="0011369B"/>
    <w:rsid w:val="0011742E"/>
    <w:rsid w:val="00123D10"/>
    <w:rsid w:val="00124207"/>
    <w:rsid w:val="00124B00"/>
    <w:rsid w:val="00125891"/>
    <w:rsid w:val="00125A96"/>
    <w:rsid w:val="00126B33"/>
    <w:rsid w:val="001301CC"/>
    <w:rsid w:val="0013111A"/>
    <w:rsid w:val="0013413A"/>
    <w:rsid w:val="0014124D"/>
    <w:rsid w:val="00141A54"/>
    <w:rsid w:val="00143696"/>
    <w:rsid w:val="00147F20"/>
    <w:rsid w:val="001507D0"/>
    <w:rsid w:val="00154B00"/>
    <w:rsid w:val="00160FB7"/>
    <w:rsid w:val="001644E9"/>
    <w:rsid w:val="0017084E"/>
    <w:rsid w:val="001714DC"/>
    <w:rsid w:val="0018058E"/>
    <w:rsid w:val="001845D9"/>
    <w:rsid w:val="0018630F"/>
    <w:rsid w:val="001906CD"/>
    <w:rsid w:val="00191B99"/>
    <w:rsid w:val="00197D29"/>
    <w:rsid w:val="001A02E3"/>
    <w:rsid w:val="001A1ADF"/>
    <w:rsid w:val="001A365C"/>
    <w:rsid w:val="001B07CB"/>
    <w:rsid w:val="001B171D"/>
    <w:rsid w:val="001B29A1"/>
    <w:rsid w:val="001B5169"/>
    <w:rsid w:val="001B6164"/>
    <w:rsid w:val="001B7459"/>
    <w:rsid w:val="001B78DA"/>
    <w:rsid w:val="001C069D"/>
    <w:rsid w:val="001C43B7"/>
    <w:rsid w:val="001D77ED"/>
    <w:rsid w:val="001E1180"/>
    <w:rsid w:val="001E23EA"/>
    <w:rsid w:val="001E6919"/>
    <w:rsid w:val="001E6958"/>
    <w:rsid w:val="001E6994"/>
    <w:rsid w:val="001F4EEC"/>
    <w:rsid w:val="00201924"/>
    <w:rsid w:val="00201C31"/>
    <w:rsid w:val="00202473"/>
    <w:rsid w:val="00204529"/>
    <w:rsid w:val="002053F2"/>
    <w:rsid w:val="00206D63"/>
    <w:rsid w:val="0021185D"/>
    <w:rsid w:val="0021431B"/>
    <w:rsid w:val="00221FC4"/>
    <w:rsid w:val="00226777"/>
    <w:rsid w:val="00227E28"/>
    <w:rsid w:val="002310D1"/>
    <w:rsid w:val="00232DB2"/>
    <w:rsid w:val="00235BD1"/>
    <w:rsid w:val="00237D4E"/>
    <w:rsid w:val="00242B0E"/>
    <w:rsid w:val="002439B0"/>
    <w:rsid w:val="00247DF0"/>
    <w:rsid w:val="00250C6C"/>
    <w:rsid w:val="00254813"/>
    <w:rsid w:val="00257D7F"/>
    <w:rsid w:val="00257FF2"/>
    <w:rsid w:val="002610A3"/>
    <w:rsid w:val="00265822"/>
    <w:rsid w:val="0027105F"/>
    <w:rsid w:val="002711FB"/>
    <w:rsid w:val="00275D11"/>
    <w:rsid w:val="00283318"/>
    <w:rsid w:val="00285186"/>
    <w:rsid w:val="00285525"/>
    <w:rsid w:val="002923EC"/>
    <w:rsid w:val="00294CD8"/>
    <w:rsid w:val="002A270B"/>
    <w:rsid w:val="002A40AE"/>
    <w:rsid w:val="002A50FD"/>
    <w:rsid w:val="002A6753"/>
    <w:rsid w:val="002B13A9"/>
    <w:rsid w:val="002B28D7"/>
    <w:rsid w:val="002B7EB6"/>
    <w:rsid w:val="002C0B61"/>
    <w:rsid w:val="002C15E6"/>
    <w:rsid w:val="002C247D"/>
    <w:rsid w:val="002C2879"/>
    <w:rsid w:val="002C3345"/>
    <w:rsid w:val="002D1287"/>
    <w:rsid w:val="002D2305"/>
    <w:rsid w:val="002D409A"/>
    <w:rsid w:val="002D63F6"/>
    <w:rsid w:val="002E1A6B"/>
    <w:rsid w:val="002E43EC"/>
    <w:rsid w:val="002F1463"/>
    <w:rsid w:val="002F2F6A"/>
    <w:rsid w:val="002F30E7"/>
    <w:rsid w:val="002F55EF"/>
    <w:rsid w:val="002F5A6C"/>
    <w:rsid w:val="00300EEB"/>
    <w:rsid w:val="003013A9"/>
    <w:rsid w:val="003020B5"/>
    <w:rsid w:val="003027BB"/>
    <w:rsid w:val="00310A10"/>
    <w:rsid w:val="00311CA2"/>
    <w:rsid w:val="00317715"/>
    <w:rsid w:val="003234E0"/>
    <w:rsid w:val="003248BF"/>
    <w:rsid w:val="0032699B"/>
    <w:rsid w:val="00327D25"/>
    <w:rsid w:val="003319A7"/>
    <w:rsid w:val="00334FE3"/>
    <w:rsid w:val="0034119C"/>
    <w:rsid w:val="003421AE"/>
    <w:rsid w:val="0034230E"/>
    <w:rsid w:val="003433D1"/>
    <w:rsid w:val="00344B24"/>
    <w:rsid w:val="003456B9"/>
    <w:rsid w:val="00347476"/>
    <w:rsid w:val="0035067D"/>
    <w:rsid w:val="00352047"/>
    <w:rsid w:val="00353A16"/>
    <w:rsid w:val="0035776D"/>
    <w:rsid w:val="00360AAF"/>
    <w:rsid w:val="00364FD9"/>
    <w:rsid w:val="003660F0"/>
    <w:rsid w:val="00367C1B"/>
    <w:rsid w:val="00367CC5"/>
    <w:rsid w:val="003705D8"/>
    <w:rsid w:val="00376B61"/>
    <w:rsid w:val="00377340"/>
    <w:rsid w:val="003804E5"/>
    <w:rsid w:val="00381723"/>
    <w:rsid w:val="00382407"/>
    <w:rsid w:val="00385796"/>
    <w:rsid w:val="00386A64"/>
    <w:rsid w:val="00386FA1"/>
    <w:rsid w:val="00390142"/>
    <w:rsid w:val="00392F00"/>
    <w:rsid w:val="00394FD5"/>
    <w:rsid w:val="00395D1E"/>
    <w:rsid w:val="00397377"/>
    <w:rsid w:val="003A22DE"/>
    <w:rsid w:val="003A2860"/>
    <w:rsid w:val="003A3C35"/>
    <w:rsid w:val="003A7886"/>
    <w:rsid w:val="003A7D30"/>
    <w:rsid w:val="003B0574"/>
    <w:rsid w:val="003B2639"/>
    <w:rsid w:val="003B2EC4"/>
    <w:rsid w:val="003B3C5C"/>
    <w:rsid w:val="003B691F"/>
    <w:rsid w:val="003C3B78"/>
    <w:rsid w:val="003C47CA"/>
    <w:rsid w:val="003C5B82"/>
    <w:rsid w:val="003D2D57"/>
    <w:rsid w:val="003D3C05"/>
    <w:rsid w:val="003D6DE1"/>
    <w:rsid w:val="003D795C"/>
    <w:rsid w:val="003E29D5"/>
    <w:rsid w:val="003E2B3C"/>
    <w:rsid w:val="003E30FB"/>
    <w:rsid w:val="003E5046"/>
    <w:rsid w:val="003E6138"/>
    <w:rsid w:val="003F0D91"/>
    <w:rsid w:val="003F2711"/>
    <w:rsid w:val="003F4845"/>
    <w:rsid w:val="003F6C70"/>
    <w:rsid w:val="003F7CB9"/>
    <w:rsid w:val="00403333"/>
    <w:rsid w:val="0040505B"/>
    <w:rsid w:val="00411735"/>
    <w:rsid w:val="00416DD3"/>
    <w:rsid w:val="00422ABC"/>
    <w:rsid w:val="004346DA"/>
    <w:rsid w:val="00435888"/>
    <w:rsid w:val="0043654D"/>
    <w:rsid w:val="004376B2"/>
    <w:rsid w:val="00441E43"/>
    <w:rsid w:val="00451840"/>
    <w:rsid w:val="00457DE6"/>
    <w:rsid w:val="00460C9A"/>
    <w:rsid w:val="00463C3D"/>
    <w:rsid w:val="00464924"/>
    <w:rsid w:val="00474110"/>
    <w:rsid w:val="0047581D"/>
    <w:rsid w:val="00477651"/>
    <w:rsid w:val="00480289"/>
    <w:rsid w:val="00481279"/>
    <w:rsid w:val="00483368"/>
    <w:rsid w:val="00490AD7"/>
    <w:rsid w:val="00494011"/>
    <w:rsid w:val="00497E02"/>
    <w:rsid w:val="004A0BF4"/>
    <w:rsid w:val="004A263B"/>
    <w:rsid w:val="004A68EF"/>
    <w:rsid w:val="004B68AE"/>
    <w:rsid w:val="004C18FD"/>
    <w:rsid w:val="004C35B0"/>
    <w:rsid w:val="004C49EF"/>
    <w:rsid w:val="004C4A19"/>
    <w:rsid w:val="004C5570"/>
    <w:rsid w:val="004C6CC8"/>
    <w:rsid w:val="004D00C9"/>
    <w:rsid w:val="004D0563"/>
    <w:rsid w:val="004D5CA9"/>
    <w:rsid w:val="004E16F5"/>
    <w:rsid w:val="004E2BDD"/>
    <w:rsid w:val="004E3CC7"/>
    <w:rsid w:val="004E50E4"/>
    <w:rsid w:val="004E5B69"/>
    <w:rsid w:val="004F00E1"/>
    <w:rsid w:val="004F1C8F"/>
    <w:rsid w:val="004F2A87"/>
    <w:rsid w:val="004F521D"/>
    <w:rsid w:val="004F6053"/>
    <w:rsid w:val="0050517E"/>
    <w:rsid w:val="00507C56"/>
    <w:rsid w:val="00515109"/>
    <w:rsid w:val="005229C7"/>
    <w:rsid w:val="0052344E"/>
    <w:rsid w:val="00523CAA"/>
    <w:rsid w:val="00524E15"/>
    <w:rsid w:val="00526478"/>
    <w:rsid w:val="00530204"/>
    <w:rsid w:val="00534C5F"/>
    <w:rsid w:val="00540257"/>
    <w:rsid w:val="0054034E"/>
    <w:rsid w:val="0054192F"/>
    <w:rsid w:val="00544EB3"/>
    <w:rsid w:val="0054594B"/>
    <w:rsid w:val="0054749B"/>
    <w:rsid w:val="00551CC6"/>
    <w:rsid w:val="005540DD"/>
    <w:rsid w:val="00555851"/>
    <w:rsid w:val="005600FC"/>
    <w:rsid w:val="00560541"/>
    <w:rsid w:val="005672D0"/>
    <w:rsid w:val="00572CEB"/>
    <w:rsid w:val="0058100E"/>
    <w:rsid w:val="0058327E"/>
    <w:rsid w:val="005834C9"/>
    <w:rsid w:val="005900B3"/>
    <w:rsid w:val="005A1500"/>
    <w:rsid w:val="005A17FF"/>
    <w:rsid w:val="005A2BDB"/>
    <w:rsid w:val="005A58BA"/>
    <w:rsid w:val="005A5D30"/>
    <w:rsid w:val="005A6AB9"/>
    <w:rsid w:val="005B0084"/>
    <w:rsid w:val="005C1B46"/>
    <w:rsid w:val="005C333E"/>
    <w:rsid w:val="005C3AE7"/>
    <w:rsid w:val="005C4AF7"/>
    <w:rsid w:val="005D0677"/>
    <w:rsid w:val="005D675B"/>
    <w:rsid w:val="005E294C"/>
    <w:rsid w:val="005E2CE3"/>
    <w:rsid w:val="005E63FC"/>
    <w:rsid w:val="005F0242"/>
    <w:rsid w:val="005F3F07"/>
    <w:rsid w:val="0060191B"/>
    <w:rsid w:val="006021B6"/>
    <w:rsid w:val="00603D04"/>
    <w:rsid w:val="0060518E"/>
    <w:rsid w:val="00606857"/>
    <w:rsid w:val="00606EC9"/>
    <w:rsid w:val="00615F42"/>
    <w:rsid w:val="006258C2"/>
    <w:rsid w:val="00626365"/>
    <w:rsid w:val="00630E22"/>
    <w:rsid w:val="00637159"/>
    <w:rsid w:val="0064168C"/>
    <w:rsid w:val="00641FD2"/>
    <w:rsid w:val="00650FA7"/>
    <w:rsid w:val="00651EA4"/>
    <w:rsid w:val="006572F0"/>
    <w:rsid w:val="00657A6E"/>
    <w:rsid w:val="00657B46"/>
    <w:rsid w:val="006609A6"/>
    <w:rsid w:val="0066323D"/>
    <w:rsid w:val="00673DBD"/>
    <w:rsid w:val="006751A9"/>
    <w:rsid w:val="006764EC"/>
    <w:rsid w:val="006811D0"/>
    <w:rsid w:val="006835FE"/>
    <w:rsid w:val="006902F0"/>
    <w:rsid w:val="00691CA6"/>
    <w:rsid w:val="00693BFD"/>
    <w:rsid w:val="0069492A"/>
    <w:rsid w:val="00695065"/>
    <w:rsid w:val="006A1038"/>
    <w:rsid w:val="006A649A"/>
    <w:rsid w:val="006A6590"/>
    <w:rsid w:val="006A7271"/>
    <w:rsid w:val="006B1B49"/>
    <w:rsid w:val="006B5515"/>
    <w:rsid w:val="006B6390"/>
    <w:rsid w:val="006C0356"/>
    <w:rsid w:val="006C0843"/>
    <w:rsid w:val="006C1CEE"/>
    <w:rsid w:val="006C2321"/>
    <w:rsid w:val="006C241E"/>
    <w:rsid w:val="006C4A72"/>
    <w:rsid w:val="006C74B1"/>
    <w:rsid w:val="006E57AA"/>
    <w:rsid w:val="006F1E9A"/>
    <w:rsid w:val="006F20CF"/>
    <w:rsid w:val="006F38ED"/>
    <w:rsid w:val="006F5DB5"/>
    <w:rsid w:val="00705019"/>
    <w:rsid w:val="00705D7B"/>
    <w:rsid w:val="00707D05"/>
    <w:rsid w:val="00707D4D"/>
    <w:rsid w:val="00713379"/>
    <w:rsid w:val="00714FC4"/>
    <w:rsid w:val="00717FF2"/>
    <w:rsid w:val="00723503"/>
    <w:rsid w:val="00730C04"/>
    <w:rsid w:val="0073597B"/>
    <w:rsid w:val="00737205"/>
    <w:rsid w:val="0073769A"/>
    <w:rsid w:val="007378F6"/>
    <w:rsid w:val="0074545D"/>
    <w:rsid w:val="007464C1"/>
    <w:rsid w:val="00746759"/>
    <w:rsid w:val="007522E3"/>
    <w:rsid w:val="0075335B"/>
    <w:rsid w:val="007534EC"/>
    <w:rsid w:val="0075380C"/>
    <w:rsid w:val="00753C44"/>
    <w:rsid w:val="00754383"/>
    <w:rsid w:val="007564D1"/>
    <w:rsid w:val="00756D5E"/>
    <w:rsid w:val="00757232"/>
    <w:rsid w:val="00760679"/>
    <w:rsid w:val="00761094"/>
    <w:rsid w:val="00762E31"/>
    <w:rsid w:val="00763628"/>
    <w:rsid w:val="00767E99"/>
    <w:rsid w:val="00772E62"/>
    <w:rsid w:val="0077789B"/>
    <w:rsid w:val="00780D29"/>
    <w:rsid w:val="00780FA1"/>
    <w:rsid w:val="00791C8D"/>
    <w:rsid w:val="00792B33"/>
    <w:rsid w:val="0079366D"/>
    <w:rsid w:val="00794181"/>
    <w:rsid w:val="0079686E"/>
    <w:rsid w:val="007A33E1"/>
    <w:rsid w:val="007A7F6F"/>
    <w:rsid w:val="007B128E"/>
    <w:rsid w:val="007B4C76"/>
    <w:rsid w:val="007B5B39"/>
    <w:rsid w:val="007C2260"/>
    <w:rsid w:val="007C3366"/>
    <w:rsid w:val="007D1B53"/>
    <w:rsid w:val="007D1E52"/>
    <w:rsid w:val="007D2358"/>
    <w:rsid w:val="007E39E4"/>
    <w:rsid w:val="007E545F"/>
    <w:rsid w:val="007E6FB3"/>
    <w:rsid w:val="007F21B4"/>
    <w:rsid w:val="007F6001"/>
    <w:rsid w:val="00802553"/>
    <w:rsid w:val="00802ABE"/>
    <w:rsid w:val="00803EAB"/>
    <w:rsid w:val="00804098"/>
    <w:rsid w:val="008046B5"/>
    <w:rsid w:val="008127C0"/>
    <w:rsid w:val="00812EDD"/>
    <w:rsid w:val="0081375A"/>
    <w:rsid w:val="008139C5"/>
    <w:rsid w:val="00815BD6"/>
    <w:rsid w:val="00815D84"/>
    <w:rsid w:val="0081650F"/>
    <w:rsid w:val="00823176"/>
    <w:rsid w:val="00832B31"/>
    <w:rsid w:val="008403E0"/>
    <w:rsid w:val="00844967"/>
    <w:rsid w:val="0084657B"/>
    <w:rsid w:val="00853BDC"/>
    <w:rsid w:val="008551A5"/>
    <w:rsid w:val="00855944"/>
    <w:rsid w:val="008628B9"/>
    <w:rsid w:val="00862B01"/>
    <w:rsid w:val="00862DF3"/>
    <w:rsid w:val="00864A18"/>
    <w:rsid w:val="008675D5"/>
    <w:rsid w:val="00870833"/>
    <w:rsid w:val="00874571"/>
    <w:rsid w:val="00881F93"/>
    <w:rsid w:val="00882CB5"/>
    <w:rsid w:val="00883641"/>
    <w:rsid w:val="00884E69"/>
    <w:rsid w:val="00890082"/>
    <w:rsid w:val="00892170"/>
    <w:rsid w:val="008971D9"/>
    <w:rsid w:val="00897514"/>
    <w:rsid w:val="008A096E"/>
    <w:rsid w:val="008A48D2"/>
    <w:rsid w:val="008B2610"/>
    <w:rsid w:val="008B471D"/>
    <w:rsid w:val="008B49E4"/>
    <w:rsid w:val="008B6CBF"/>
    <w:rsid w:val="008B729C"/>
    <w:rsid w:val="008C4A93"/>
    <w:rsid w:val="008E0E49"/>
    <w:rsid w:val="008E35FD"/>
    <w:rsid w:val="008E6227"/>
    <w:rsid w:val="008E6B24"/>
    <w:rsid w:val="008F0644"/>
    <w:rsid w:val="008F10D1"/>
    <w:rsid w:val="008F7972"/>
    <w:rsid w:val="00900647"/>
    <w:rsid w:val="0090543D"/>
    <w:rsid w:val="009056C5"/>
    <w:rsid w:val="009107B3"/>
    <w:rsid w:val="00911E7F"/>
    <w:rsid w:val="00923006"/>
    <w:rsid w:val="0092420F"/>
    <w:rsid w:val="009262F2"/>
    <w:rsid w:val="00935422"/>
    <w:rsid w:val="00936EEB"/>
    <w:rsid w:val="00937791"/>
    <w:rsid w:val="00951933"/>
    <w:rsid w:val="00954343"/>
    <w:rsid w:val="00955271"/>
    <w:rsid w:val="00957E20"/>
    <w:rsid w:val="009624E2"/>
    <w:rsid w:val="00963C9C"/>
    <w:rsid w:val="00965B6B"/>
    <w:rsid w:val="009714BE"/>
    <w:rsid w:val="00971EDB"/>
    <w:rsid w:val="00972E63"/>
    <w:rsid w:val="00974D50"/>
    <w:rsid w:val="00986C08"/>
    <w:rsid w:val="00987ABE"/>
    <w:rsid w:val="00991EE4"/>
    <w:rsid w:val="009939DC"/>
    <w:rsid w:val="00993B9C"/>
    <w:rsid w:val="009A39CA"/>
    <w:rsid w:val="009A759B"/>
    <w:rsid w:val="009B0937"/>
    <w:rsid w:val="009B21F1"/>
    <w:rsid w:val="009B4E1E"/>
    <w:rsid w:val="009B5121"/>
    <w:rsid w:val="009B6572"/>
    <w:rsid w:val="009C03FB"/>
    <w:rsid w:val="009C4085"/>
    <w:rsid w:val="009C4B4F"/>
    <w:rsid w:val="009C4D63"/>
    <w:rsid w:val="009E76E5"/>
    <w:rsid w:val="009F0C02"/>
    <w:rsid w:val="009F0EFC"/>
    <w:rsid w:val="009F5758"/>
    <w:rsid w:val="009F719F"/>
    <w:rsid w:val="00A01F53"/>
    <w:rsid w:val="00A0283F"/>
    <w:rsid w:val="00A0401E"/>
    <w:rsid w:val="00A04F4A"/>
    <w:rsid w:val="00A06495"/>
    <w:rsid w:val="00A06B18"/>
    <w:rsid w:val="00A2369E"/>
    <w:rsid w:val="00A26343"/>
    <w:rsid w:val="00A35486"/>
    <w:rsid w:val="00A408B5"/>
    <w:rsid w:val="00A46BC7"/>
    <w:rsid w:val="00A47F80"/>
    <w:rsid w:val="00A529E2"/>
    <w:rsid w:val="00A539F8"/>
    <w:rsid w:val="00A53B83"/>
    <w:rsid w:val="00A61FDA"/>
    <w:rsid w:val="00A634F7"/>
    <w:rsid w:val="00A6491A"/>
    <w:rsid w:val="00A6594E"/>
    <w:rsid w:val="00A65F2D"/>
    <w:rsid w:val="00A6602A"/>
    <w:rsid w:val="00A727B6"/>
    <w:rsid w:val="00A7440F"/>
    <w:rsid w:val="00A81CC6"/>
    <w:rsid w:val="00A83EC6"/>
    <w:rsid w:val="00A8732C"/>
    <w:rsid w:val="00A9062D"/>
    <w:rsid w:val="00A93C57"/>
    <w:rsid w:val="00A93F58"/>
    <w:rsid w:val="00A96329"/>
    <w:rsid w:val="00AA134B"/>
    <w:rsid w:val="00AA2CFE"/>
    <w:rsid w:val="00AA58CB"/>
    <w:rsid w:val="00AA5FDA"/>
    <w:rsid w:val="00AA6291"/>
    <w:rsid w:val="00AC0C91"/>
    <w:rsid w:val="00AD37D4"/>
    <w:rsid w:val="00AD7986"/>
    <w:rsid w:val="00AE1188"/>
    <w:rsid w:val="00AE36DC"/>
    <w:rsid w:val="00AE5CB1"/>
    <w:rsid w:val="00AE6437"/>
    <w:rsid w:val="00AE738C"/>
    <w:rsid w:val="00AF1046"/>
    <w:rsid w:val="00AF284B"/>
    <w:rsid w:val="00AF4466"/>
    <w:rsid w:val="00AF5D1E"/>
    <w:rsid w:val="00B040A9"/>
    <w:rsid w:val="00B10693"/>
    <w:rsid w:val="00B10A08"/>
    <w:rsid w:val="00B10D0B"/>
    <w:rsid w:val="00B1370D"/>
    <w:rsid w:val="00B1711E"/>
    <w:rsid w:val="00B17CBE"/>
    <w:rsid w:val="00B17E26"/>
    <w:rsid w:val="00B231A4"/>
    <w:rsid w:val="00B2405B"/>
    <w:rsid w:val="00B25D20"/>
    <w:rsid w:val="00B31C99"/>
    <w:rsid w:val="00B35E5F"/>
    <w:rsid w:val="00B42506"/>
    <w:rsid w:val="00B4272C"/>
    <w:rsid w:val="00B53BA6"/>
    <w:rsid w:val="00B5731D"/>
    <w:rsid w:val="00B6378B"/>
    <w:rsid w:val="00B63E3A"/>
    <w:rsid w:val="00B70145"/>
    <w:rsid w:val="00B71C91"/>
    <w:rsid w:val="00B739B5"/>
    <w:rsid w:val="00B75965"/>
    <w:rsid w:val="00B771AD"/>
    <w:rsid w:val="00B814CB"/>
    <w:rsid w:val="00B865B8"/>
    <w:rsid w:val="00B8667C"/>
    <w:rsid w:val="00B962F6"/>
    <w:rsid w:val="00BA0CF8"/>
    <w:rsid w:val="00BA1ADF"/>
    <w:rsid w:val="00BA3453"/>
    <w:rsid w:val="00BA51FC"/>
    <w:rsid w:val="00BA615A"/>
    <w:rsid w:val="00BA74DE"/>
    <w:rsid w:val="00BB003A"/>
    <w:rsid w:val="00BB3358"/>
    <w:rsid w:val="00BB3382"/>
    <w:rsid w:val="00BB3643"/>
    <w:rsid w:val="00BB63E4"/>
    <w:rsid w:val="00BC3DA0"/>
    <w:rsid w:val="00BC424B"/>
    <w:rsid w:val="00BD10A8"/>
    <w:rsid w:val="00BD48A1"/>
    <w:rsid w:val="00BE0FDE"/>
    <w:rsid w:val="00BE0FDF"/>
    <w:rsid w:val="00BE1CC7"/>
    <w:rsid w:val="00BF4BF2"/>
    <w:rsid w:val="00BF6AC5"/>
    <w:rsid w:val="00C01121"/>
    <w:rsid w:val="00C030A5"/>
    <w:rsid w:val="00C047BB"/>
    <w:rsid w:val="00C058DF"/>
    <w:rsid w:val="00C05A45"/>
    <w:rsid w:val="00C0796F"/>
    <w:rsid w:val="00C11B34"/>
    <w:rsid w:val="00C12C5C"/>
    <w:rsid w:val="00C15642"/>
    <w:rsid w:val="00C171FB"/>
    <w:rsid w:val="00C172F4"/>
    <w:rsid w:val="00C209C2"/>
    <w:rsid w:val="00C2267F"/>
    <w:rsid w:val="00C22AD8"/>
    <w:rsid w:val="00C3557E"/>
    <w:rsid w:val="00C3594B"/>
    <w:rsid w:val="00C43102"/>
    <w:rsid w:val="00C43821"/>
    <w:rsid w:val="00C46356"/>
    <w:rsid w:val="00C4696B"/>
    <w:rsid w:val="00C50513"/>
    <w:rsid w:val="00C50A0F"/>
    <w:rsid w:val="00C53EEB"/>
    <w:rsid w:val="00C54503"/>
    <w:rsid w:val="00C548E9"/>
    <w:rsid w:val="00C55881"/>
    <w:rsid w:val="00C55FB3"/>
    <w:rsid w:val="00C63055"/>
    <w:rsid w:val="00C661DA"/>
    <w:rsid w:val="00C71C5D"/>
    <w:rsid w:val="00C73B62"/>
    <w:rsid w:val="00C776B1"/>
    <w:rsid w:val="00C80981"/>
    <w:rsid w:val="00C815FE"/>
    <w:rsid w:val="00C831FC"/>
    <w:rsid w:val="00C847AE"/>
    <w:rsid w:val="00C85074"/>
    <w:rsid w:val="00C92908"/>
    <w:rsid w:val="00C93089"/>
    <w:rsid w:val="00C95A99"/>
    <w:rsid w:val="00CA04C6"/>
    <w:rsid w:val="00CA26DD"/>
    <w:rsid w:val="00CB12EC"/>
    <w:rsid w:val="00CB43E1"/>
    <w:rsid w:val="00CB5611"/>
    <w:rsid w:val="00CC09D7"/>
    <w:rsid w:val="00CC12B8"/>
    <w:rsid w:val="00CC521D"/>
    <w:rsid w:val="00CC56D6"/>
    <w:rsid w:val="00CD0AE1"/>
    <w:rsid w:val="00CD22E3"/>
    <w:rsid w:val="00CD4E44"/>
    <w:rsid w:val="00CD5AE4"/>
    <w:rsid w:val="00CD797D"/>
    <w:rsid w:val="00CD7A7D"/>
    <w:rsid w:val="00CE45F0"/>
    <w:rsid w:val="00CE6AC5"/>
    <w:rsid w:val="00CF11DB"/>
    <w:rsid w:val="00CF2D8E"/>
    <w:rsid w:val="00CF2DFA"/>
    <w:rsid w:val="00CF5AD8"/>
    <w:rsid w:val="00D00122"/>
    <w:rsid w:val="00D01384"/>
    <w:rsid w:val="00D01D2A"/>
    <w:rsid w:val="00D01F46"/>
    <w:rsid w:val="00D10B47"/>
    <w:rsid w:val="00D11EB1"/>
    <w:rsid w:val="00D17F17"/>
    <w:rsid w:val="00D23597"/>
    <w:rsid w:val="00D30BDC"/>
    <w:rsid w:val="00D57DC7"/>
    <w:rsid w:val="00D57F88"/>
    <w:rsid w:val="00D7105C"/>
    <w:rsid w:val="00D722E8"/>
    <w:rsid w:val="00D73646"/>
    <w:rsid w:val="00D7528D"/>
    <w:rsid w:val="00D777B4"/>
    <w:rsid w:val="00D77A90"/>
    <w:rsid w:val="00D8360B"/>
    <w:rsid w:val="00D85676"/>
    <w:rsid w:val="00D85765"/>
    <w:rsid w:val="00D96ADA"/>
    <w:rsid w:val="00DA0F33"/>
    <w:rsid w:val="00DA2886"/>
    <w:rsid w:val="00DA5377"/>
    <w:rsid w:val="00DA5E50"/>
    <w:rsid w:val="00DA7D0C"/>
    <w:rsid w:val="00DB311C"/>
    <w:rsid w:val="00DB432D"/>
    <w:rsid w:val="00DB519B"/>
    <w:rsid w:val="00DB59E7"/>
    <w:rsid w:val="00DC709C"/>
    <w:rsid w:val="00DC7694"/>
    <w:rsid w:val="00DC7FBE"/>
    <w:rsid w:val="00DD130E"/>
    <w:rsid w:val="00DD308E"/>
    <w:rsid w:val="00DD31B5"/>
    <w:rsid w:val="00DE767B"/>
    <w:rsid w:val="00DF0C51"/>
    <w:rsid w:val="00DF0D47"/>
    <w:rsid w:val="00DF1652"/>
    <w:rsid w:val="00DF6D37"/>
    <w:rsid w:val="00E01640"/>
    <w:rsid w:val="00E03C60"/>
    <w:rsid w:val="00E048ED"/>
    <w:rsid w:val="00E04FB3"/>
    <w:rsid w:val="00E058F2"/>
    <w:rsid w:val="00E05D9C"/>
    <w:rsid w:val="00E06102"/>
    <w:rsid w:val="00E118E9"/>
    <w:rsid w:val="00E13F47"/>
    <w:rsid w:val="00E23E71"/>
    <w:rsid w:val="00E24D90"/>
    <w:rsid w:val="00E274F3"/>
    <w:rsid w:val="00E30F19"/>
    <w:rsid w:val="00E31FE8"/>
    <w:rsid w:val="00E33C4A"/>
    <w:rsid w:val="00E357B9"/>
    <w:rsid w:val="00E372CE"/>
    <w:rsid w:val="00E4321E"/>
    <w:rsid w:val="00E43E22"/>
    <w:rsid w:val="00E44B80"/>
    <w:rsid w:val="00E47623"/>
    <w:rsid w:val="00E47DAC"/>
    <w:rsid w:val="00E60529"/>
    <w:rsid w:val="00E60699"/>
    <w:rsid w:val="00E62AD6"/>
    <w:rsid w:val="00E70D86"/>
    <w:rsid w:val="00E72140"/>
    <w:rsid w:val="00E7628E"/>
    <w:rsid w:val="00E774C3"/>
    <w:rsid w:val="00E82F54"/>
    <w:rsid w:val="00E8649B"/>
    <w:rsid w:val="00E871CD"/>
    <w:rsid w:val="00E90990"/>
    <w:rsid w:val="00E914C5"/>
    <w:rsid w:val="00E92FC2"/>
    <w:rsid w:val="00E94FBA"/>
    <w:rsid w:val="00E95D3D"/>
    <w:rsid w:val="00EA0E25"/>
    <w:rsid w:val="00EA173C"/>
    <w:rsid w:val="00EB0182"/>
    <w:rsid w:val="00EC127A"/>
    <w:rsid w:val="00EC1FF9"/>
    <w:rsid w:val="00EC2737"/>
    <w:rsid w:val="00EC350A"/>
    <w:rsid w:val="00ED07A0"/>
    <w:rsid w:val="00ED18CF"/>
    <w:rsid w:val="00ED2AAE"/>
    <w:rsid w:val="00EE2716"/>
    <w:rsid w:val="00EE6450"/>
    <w:rsid w:val="00EE77CE"/>
    <w:rsid w:val="00EF6A9B"/>
    <w:rsid w:val="00F01C2C"/>
    <w:rsid w:val="00F0479B"/>
    <w:rsid w:val="00F05078"/>
    <w:rsid w:val="00F070A1"/>
    <w:rsid w:val="00F10ED8"/>
    <w:rsid w:val="00F222BE"/>
    <w:rsid w:val="00F24179"/>
    <w:rsid w:val="00F301F1"/>
    <w:rsid w:val="00F30C22"/>
    <w:rsid w:val="00F33F1A"/>
    <w:rsid w:val="00F34AEC"/>
    <w:rsid w:val="00F41EEA"/>
    <w:rsid w:val="00F4701F"/>
    <w:rsid w:val="00F5073A"/>
    <w:rsid w:val="00F50B54"/>
    <w:rsid w:val="00F51128"/>
    <w:rsid w:val="00F52DEC"/>
    <w:rsid w:val="00F543A2"/>
    <w:rsid w:val="00F54570"/>
    <w:rsid w:val="00F547F7"/>
    <w:rsid w:val="00F54CCF"/>
    <w:rsid w:val="00F54E0F"/>
    <w:rsid w:val="00F61AF7"/>
    <w:rsid w:val="00F61D7A"/>
    <w:rsid w:val="00F637B3"/>
    <w:rsid w:val="00F63A62"/>
    <w:rsid w:val="00F66CF7"/>
    <w:rsid w:val="00F67BCB"/>
    <w:rsid w:val="00F7127E"/>
    <w:rsid w:val="00F7241F"/>
    <w:rsid w:val="00F75241"/>
    <w:rsid w:val="00F77C57"/>
    <w:rsid w:val="00F813C7"/>
    <w:rsid w:val="00F82D5D"/>
    <w:rsid w:val="00F83566"/>
    <w:rsid w:val="00F83A9D"/>
    <w:rsid w:val="00F906B5"/>
    <w:rsid w:val="00F93784"/>
    <w:rsid w:val="00F95D83"/>
    <w:rsid w:val="00F971CC"/>
    <w:rsid w:val="00FA232F"/>
    <w:rsid w:val="00FA2CAA"/>
    <w:rsid w:val="00FA3DA1"/>
    <w:rsid w:val="00FA6554"/>
    <w:rsid w:val="00FC0A8B"/>
    <w:rsid w:val="00FC2DE4"/>
    <w:rsid w:val="00FC7BDE"/>
    <w:rsid w:val="00FD11B1"/>
    <w:rsid w:val="00FD5CD9"/>
    <w:rsid w:val="00FD7A97"/>
    <w:rsid w:val="00FE16C1"/>
    <w:rsid w:val="00FE19FF"/>
    <w:rsid w:val="00FE33A6"/>
    <w:rsid w:val="00FE5452"/>
    <w:rsid w:val="00FE5E88"/>
    <w:rsid w:val="00FF1A00"/>
    <w:rsid w:val="00FF20D5"/>
    <w:rsid w:val="00FF5293"/>
    <w:rsid w:val="00FF59A8"/>
    <w:rsid w:val="00FF7B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39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B18"/>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3">
    <w:name w:val="heading 3"/>
    <w:basedOn w:val="Normal"/>
    <w:next w:val="Normal"/>
    <w:link w:val="Heading3Char"/>
    <w:uiPriority w:val="9"/>
    <w:unhideWhenUsed/>
    <w:qFormat/>
    <w:rsid w:val="003D2D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table" w:customStyle="1" w:styleId="TableGrid2">
    <w:name w:val="Table Grid2"/>
    <w:basedOn w:val="TableNormal"/>
    <w:next w:val="TableGrid"/>
    <w:rsid w:val="00FC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C0A8B"/>
    <w:pPr>
      <w:spacing w:before="0" w:after="200"/>
    </w:pPr>
    <w:rPr>
      <w:i/>
      <w:iCs/>
      <w:color w:val="1F497D" w:themeColor="text2"/>
      <w:sz w:val="18"/>
      <w:szCs w:val="18"/>
    </w:rPr>
  </w:style>
  <w:style w:type="paragraph" w:customStyle="1" w:styleId="EndNoteBibliographyTitle">
    <w:name w:val="EndNote Bibliography Title"/>
    <w:basedOn w:val="Normal"/>
    <w:link w:val="EndNoteBibliographyTitleChar"/>
    <w:rsid w:val="00E24D90"/>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24D90"/>
    <w:rPr>
      <w:rFonts w:ascii="Calibri" w:hAnsi="Calibri"/>
      <w:noProof/>
      <w:sz w:val="20"/>
      <w:lang w:val="en-US"/>
    </w:rPr>
  </w:style>
  <w:style w:type="paragraph" w:customStyle="1" w:styleId="EndNoteBibliography">
    <w:name w:val="EndNote Bibliography"/>
    <w:basedOn w:val="Normal"/>
    <w:link w:val="EndNoteBibliographyChar"/>
    <w:rsid w:val="00E24D90"/>
    <w:rPr>
      <w:rFonts w:ascii="Calibri" w:hAnsi="Calibri"/>
      <w:noProof/>
      <w:lang w:val="en-US"/>
    </w:rPr>
  </w:style>
  <w:style w:type="character" w:customStyle="1" w:styleId="EndNoteBibliographyChar">
    <w:name w:val="EndNote Bibliography Char"/>
    <w:basedOn w:val="DefaultParagraphFont"/>
    <w:link w:val="EndNoteBibliography"/>
    <w:rsid w:val="00E24D90"/>
    <w:rPr>
      <w:rFonts w:ascii="Calibri" w:hAnsi="Calibri"/>
      <w:noProof/>
      <w:sz w:val="20"/>
      <w:lang w:val="en-US"/>
    </w:rPr>
  </w:style>
  <w:style w:type="table" w:customStyle="1" w:styleId="TableGrid3">
    <w:name w:val="Table Grid3"/>
    <w:basedOn w:val="TableNormal"/>
    <w:next w:val="TableGrid"/>
    <w:rsid w:val="00366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B2CC9"/>
    <w:rPr>
      <w:color w:val="800080" w:themeColor="followedHyperlink"/>
      <w:u w:val="single"/>
    </w:rPr>
  </w:style>
  <w:style w:type="character" w:customStyle="1" w:styleId="Heading3Char">
    <w:name w:val="Heading 3 Char"/>
    <w:basedOn w:val="DefaultParagraphFont"/>
    <w:link w:val="Heading3"/>
    <w:uiPriority w:val="9"/>
    <w:rsid w:val="003D2D57"/>
    <w:rPr>
      <w:rFonts w:asciiTheme="majorHAnsi" w:eastAsiaTheme="majorEastAsia" w:hAnsiTheme="majorHAnsi" w:cstheme="majorBidi"/>
      <w:color w:val="243F60" w:themeColor="accent1" w:themeShade="7F"/>
      <w:sz w:val="24"/>
      <w:szCs w:val="24"/>
    </w:rPr>
  </w:style>
  <w:style w:type="paragraph" w:styleId="z-TopofForm">
    <w:name w:val="HTML Top of Form"/>
    <w:basedOn w:val="Normal"/>
    <w:next w:val="Normal"/>
    <w:link w:val="z-TopofFormChar"/>
    <w:hidden/>
    <w:uiPriority w:val="99"/>
    <w:semiHidden/>
    <w:unhideWhenUsed/>
    <w:rsid w:val="003D3C05"/>
    <w:pPr>
      <w:pBdr>
        <w:bottom w:val="single" w:sz="6" w:space="1" w:color="auto"/>
      </w:pBdr>
      <w:spacing w:before="0" w:after="0"/>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3D3C05"/>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3D3C05"/>
    <w:pPr>
      <w:pBdr>
        <w:top w:val="single" w:sz="6" w:space="1" w:color="auto"/>
      </w:pBdr>
      <w:spacing w:before="0" w:after="0"/>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3D3C05"/>
    <w:rPr>
      <w:rFonts w:ascii="Arial" w:eastAsia="Times New Roman" w:hAnsi="Arial" w:cs="Arial"/>
      <w:vanish/>
      <w:sz w:val="16"/>
      <w:szCs w:val="16"/>
      <w:lang w:eastAsia="en-AU"/>
    </w:rPr>
  </w:style>
  <w:style w:type="character" w:customStyle="1" w:styleId="complextitleprimary">
    <w:name w:val="complextitle_primary"/>
    <w:basedOn w:val="DefaultParagraphFont"/>
    <w:rsid w:val="003D3C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B18"/>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3">
    <w:name w:val="heading 3"/>
    <w:basedOn w:val="Normal"/>
    <w:next w:val="Normal"/>
    <w:link w:val="Heading3Char"/>
    <w:uiPriority w:val="9"/>
    <w:unhideWhenUsed/>
    <w:qFormat/>
    <w:rsid w:val="003D2D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table" w:customStyle="1" w:styleId="TableGrid2">
    <w:name w:val="Table Grid2"/>
    <w:basedOn w:val="TableNormal"/>
    <w:next w:val="TableGrid"/>
    <w:rsid w:val="00FC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C0A8B"/>
    <w:pPr>
      <w:spacing w:before="0" w:after="200"/>
    </w:pPr>
    <w:rPr>
      <w:i/>
      <w:iCs/>
      <w:color w:val="1F497D" w:themeColor="text2"/>
      <w:sz w:val="18"/>
      <w:szCs w:val="18"/>
    </w:rPr>
  </w:style>
  <w:style w:type="paragraph" w:customStyle="1" w:styleId="EndNoteBibliographyTitle">
    <w:name w:val="EndNote Bibliography Title"/>
    <w:basedOn w:val="Normal"/>
    <w:link w:val="EndNoteBibliographyTitleChar"/>
    <w:rsid w:val="00E24D90"/>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24D90"/>
    <w:rPr>
      <w:rFonts w:ascii="Calibri" w:hAnsi="Calibri"/>
      <w:noProof/>
      <w:sz w:val="20"/>
      <w:lang w:val="en-US"/>
    </w:rPr>
  </w:style>
  <w:style w:type="paragraph" w:customStyle="1" w:styleId="EndNoteBibliography">
    <w:name w:val="EndNote Bibliography"/>
    <w:basedOn w:val="Normal"/>
    <w:link w:val="EndNoteBibliographyChar"/>
    <w:rsid w:val="00E24D90"/>
    <w:rPr>
      <w:rFonts w:ascii="Calibri" w:hAnsi="Calibri"/>
      <w:noProof/>
      <w:lang w:val="en-US"/>
    </w:rPr>
  </w:style>
  <w:style w:type="character" w:customStyle="1" w:styleId="EndNoteBibliographyChar">
    <w:name w:val="EndNote Bibliography Char"/>
    <w:basedOn w:val="DefaultParagraphFont"/>
    <w:link w:val="EndNoteBibliography"/>
    <w:rsid w:val="00E24D90"/>
    <w:rPr>
      <w:rFonts w:ascii="Calibri" w:hAnsi="Calibri"/>
      <w:noProof/>
      <w:sz w:val="20"/>
      <w:lang w:val="en-US"/>
    </w:rPr>
  </w:style>
  <w:style w:type="table" w:customStyle="1" w:styleId="TableGrid3">
    <w:name w:val="Table Grid3"/>
    <w:basedOn w:val="TableNormal"/>
    <w:next w:val="TableGrid"/>
    <w:rsid w:val="00366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B2CC9"/>
    <w:rPr>
      <w:color w:val="800080" w:themeColor="followedHyperlink"/>
      <w:u w:val="single"/>
    </w:rPr>
  </w:style>
  <w:style w:type="character" w:customStyle="1" w:styleId="Heading3Char">
    <w:name w:val="Heading 3 Char"/>
    <w:basedOn w:val="DefaultParagraphFont"/>
    <w:link w:val="Heading3"/>
    <w:uiPriority w:val="9"/>
    <w:rsid w:val="003D2D57"/>
    <w:rPr>
      <w:rFonts w:asciiTheme="majorHAnsi" w:eastAsiaTheme="majorEastAsia" w:hAnsiTheme="majorHAnsi" w:cstheme="majorBidi"/>
      <w:color w:val="243F60" w:themeColor="accent1" w:themeShade="7F"/>
      <w:sz w:val="24"/>
      <w:szCs w:val="24"/>
    </w:rPr>
  </w:style>
  <w:style w:type="paragraph" w:styleId="z-TopofForm">
    <w:name w:val="HTML Top of Form"/>
    <w:basedOn w:val="Normal"/>
    <w:next w:val="Normal"/>
    <w:link w:val="z-TopofFormChar"/>
    <w:hidden/>
    <w:uiPriority w:val="99"/>
    <w:semiHidden/>
    <w:unhideWhenUsed/>
    <w:rsid w:val="003D3C05"/>
    <w:pPr>
      <w:pBdr>
        <w:bottom w:val="single" w:sz="6" w:space="1" w:color="auto"/>
      </w:pBdr>
      <w:spacing w:before="0" w:after="0"/>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3D3C05"/>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3D3C05"/>
    <w:pPr>
      <w:pBdr>
        <w:top w:val="single" w:sz="6" w:space="1" w:color="auto"/>
      </w:pBdr>
      <w:spacing w:before="0" w:after="0"/>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3D3C05"/>
    <w:rPr>
      <w:rFonts w:ascii="Arial" w:eastAsia="Times New Roman" w:hAnsi="Arial" w:cs="Arial"/>
      <w:vanish/>
      <w:sz w:val="16"/>
      <w:szCs w:val="16"/>
      <w:lang w:eastAsia="en-AU"/>
    </w:rPr>
  </w:style>
  <w:style w:type="character" w:customStyle="1" w:styleId="complextitleprimary">
    <w:name w:val="complextitle_primary"/>
    <w:basedOn w:val="DefaultParagraphFont"/>
    <w:rsid w:val="003D3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8084">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1670982234">
      <w:bodyDiv w:val="1"/>
      <w:marLeft w:val="0"/>
      <w:marRight w:val="0"/>
      <w:marTop w:val="0"/>
      <w:marBottom w:val="0"/>
      <w:divBdr>
        <w:top w:val="none" w:sz="0" w:space="0" w:color="auto"/>
        <w:left w:val="none" w:sz="0" w:space="0" w:color="auto"/>
        <w:bottom w:val="none" w:sz="0" w:space="0" w:color="auto"/>
        <w:right w:val="none" w:sz="0" w:space="0" w:color="auto"/>
      </w:divBdr>
      <w:divsChild>
        <w:div w:id="217478961">
          <w:marLeft w:val="0"/>
          <w:marRight w:val="0"/>
          <w:marTop w:val="0"/>
          <w:marBottom w:val="0"/>
          <w:divBdr>
            <w:top w:val="none" w:sz="0" w:space="0" w:color="auto"/>
            <w:left w:val="none" w:sz="0" w:space="0" w:color="auto"/>
            <w:bottom w:val="none" w:sz="0" w:space="0" w:color="auto"/>
            <w:right w:val="none" w:sz="0" w:space="0" w:color="auto"/>
          </w:divBdr>
          <w:divsChild>
            <w:div w:id="449595337">
              <w:marLeft w:val="0"/>
              <w:marRight w:val="0"/>
              <w:marTop w:val="0"/>
              <w:marBottom w:val="0"/>
              <w:divBdr>
                <w:top w:val="none" w:sz="0" w:space="0" w:color="auto"/>
                <w:left w:val="none" w:sz="0" w:space="0" w:color="auto"/>
                <w:bottom w:val="none" w:sz="0" w:space="0" w:color="auto"/>
                <w:right w:val="none" w:sz="0" w:space="0" w:color="auto"/>
              </w:divBdr>
            </w:div>
          </w:divsChild>
        </w:div>
        <w:div w:id="1301494183">
          <w:marLeft w:val="0"/>
          <w:marRight w:val="0"/>
          <w:marTop w:val="0"/>
          <w:marBottom w:val="0"/>
          <w:divBdr>
            <w:top w:val="none" w:sz="0" w:space="0" w:color="auto"/>
            <w:left w:val="none" w:sz="0" w:space="0" w:color="auto"/>
            <w:bottom w:val="none" w:sz="0" w:space="0" w:color="auto"/>
            <w:right w:val="none" w:sz="0" w:space="0" w:color="auto"/>
          </w:divBdr>
          <w:divsChild>
            <w:div w:id="191575039">
              <w:marLeft w:val="0"/>
              <w:marRight w:val="0"/>
              <w:marTop w:val="0"/>
              <w:marBottom w:val="0"/>
              <w:divBdr>
                <w:top w:val="none" w:sz="0" w:space="0" w:color="auto"/>
                <w:left w:val="none" w:sz="0" w:space="0" w:color="auto"/>
                <w:bottom w:val="none" w:sz="0" w:space="0" w:color="auto"/>
                <w:right w:val="none" w:sz="0" w:space="0" w:color="auto"/>
              </w:divBdr>
              <w:divsChild>
                <w:div w:id="1458722265">
                  <w:marLeft w:val="0"/>
                  <w:marRight w:val="0"/>
                  <w:marTop w:val="0"/>
                  <w:marBottom w:val="0"/>
                  <w:divBdr>
                    <w:top w:val="none" w:sz="0" w:space="0" w:color="auto"/>
                    <w:left w:val="none" w:sz="0" w:space="0" w:color="auto"/>
                    <w:bottom w:val="none" w:sz="0" w:space="0" w:color="auto"/>
                    <w:right w:val="none" w:sz="0" w:space="0" w:color="auto"/>
                  </w:divBdr>
                  <w:divsChild>
                    <w:div w:id="8740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hta@health.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DD9EF-5CFB-46A8-9610-A3A621D52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11297</Words>
  <Characters>63043</Characters>
  <Application>Microsoft Office Word</Application>
  <DocSecurity>0</DocSecurity>
  <Lines>2173</Lines>
  <Paragraphs>1077</Paragraphs>
  <ScaleCrop>false</ScaleCrop>
  <HeadingPairs>
    <vt:vector size="2" baseType="variant">
      <vt:variant>
        <vt:lpstr>Title</vt:lpstr>
      </vt:variant>
      <vt:variant>
        <vt:i4>1</vt:i4>
      </vt:variant>
    </vt:vector>
  </HeadingPairs>
  <TitlesOfParts>
    <vt:vector size="1" baseType="lpstr">
      <vt:lpstr>1473 Application Form</vt:lpstr>
    </vt:vector>
  </TitlesOfParts>
  <LinksUpToDate>false</LinksUpToDate>
  <CharactersWithSpaces>73263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1473 Application Form</dc:title>
  <dc:creator/>
  <cp:lastModifiedBy/>
  <cp:revision>1</cp:revision>
  <dcterms:created xsi:type="dcterms:W3CDTF">2017-03-21T01:15:00Z</dcterms:created>
  <dcterms:modified xsi:type="dcterms:W3CDTF">2017-03-21T01:15:00Z</dcterms:modified>
</cp:coreProperties>
</file>