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9823D0">
        <w:t>1475</w:t>
      </w:r>
      <w:r w:rsidRPr="00F715D1">
        <w:t xml:space="preserve"> – </w:t>
      </w:r>
      <w:r w:rsidR="009823D0" w:rsidRPr="009823D0">
        <w:t>Ablative fractional laser resurfacing for burn scar treatment</w:t>
      </w:r>
    </w:p>
    <w:p w:rsidR="00BC1364" w:rsidRPr="00F715D1" w:rsidRDefault="00B35595" w:rsidP="003A18CF">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3A18CF" w:rsidRPr="003A18CF">
        <w:rPr>
          <w:rFonts w:ascii="Arial" w:hAnsi="Arial" w:cs="Arial"/>
          <w:b/>
          <w:szCs w:val="24"/>
        </w:rPr>
        <w:t>Burns Unit of Concord Repa</w:t>
      </w:r>
      <w:r w:rsidR="003A18CF">
        <w:rPr>
          <w:rFonts w:ascii="Arial" w:hAnsi="Arial" w:cs="Arial"/>
          <w:b/>
          <w:szCs w:val="24"/>
        </w:rPr>
        <w:t>triation General Hospital</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9823D0">
        <w:rPr>
          <w:rFonts w:ascii="Arial" w:hAnsi="Arial" w:cs="Arial"/>
          <w:b/>
          <w:szCs w:val="24"/>
        </w:rPr>
        <w:t>72</w:t>
      </w:r>
      <w:r w:rsidR="009823D0" w:rsidRPr="009823D0">
        <w:rPr>
          <w:rFonts w:ascii="Arial" w:hAnsi="Arial" w:cs="Arial"/>
          <w:b/>
          <w:szCs w:val="24"/>
          <w:vertAlign w:val="superscript"/>
        </w:rPr>
        <w:t>nd</w:t>
      </w:r>
      <w:r w:rsidR="009823D0">
        <w:rPr>
          <w:rFonts w:ascii="Arial" w:hAnsi="Arial" w:cs="Arial"/>
          <w:b/>
          <w:szCs w:val="24"/>
        </w:rPr>
        <w:t xml:space="preserve"> </w:t>
      </w:r>
      <w:r w:rsidRPr="00F715D1">
        <w:rPr>
          <w:rFonts w:ascii="Arial" w:hAnsi="Arial" w:cs="Arial"/>
          <w:b/>
          <w:szCs w:val="24"/>
        </w:rPr>
        <w:t xml:space="preserve">Meeting, </w:t>
      </w:r>
      <w:r w:rsidR="009823D0">
        <w:rPr>
          <w:rFonts w:ascii="Arial" w:hAnsi="Arial" w:cs="Arial"/>
          <w:b/>
          <w:szCs w:val="24"/>
        </w:rPr>
        <w:t>28-29 March 2018</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1C1C76" w:rsidRPr="008D3067" w:rsidRDefault="001C1C76" w:rsidP="00700664">
      <w:pPr>
        <w:tabs>
          <w:tab w:val="left" w:pos="720"/>
          <w:tab w:val="left" w:pos="1140"/>
        </w:tabs>
        <w:spacing w:after="240"/>
        <w:rPr>
          <w:szCs w:val="24"/>
        </w:rPr>
      </w:pPr>
      <w:r w:rsidRPr="008D3067">
        <w:rPr>
          <w:szCs w:val="24"/>
        </w:rPr>
        <w:t>An application requesting Medicare Benefits Schedule (MBS) listing of carbon dioxide ablative fractional laser (CO</w:t>
      </w:r>
      <w:r w:rsidRPr="008D3067">
        <w:rPr>
          <w:szCs w:val="24"/>
          <w:vertAlign w:val="subscript"/>
        </w:rPr>
        <w:t>2</w:t>
      </w:r>
      <w:r w:rsidRPr="008D3067">
        <w:rPr>
          <w:szCs w:val="24"/>
        </w:rPr>
        <w:t xml:space="preserve"> AFL) resurfacing for burn scar treatment was received from </w:t>
      </w:r>
      <w:r w:rsidR="003A18CF" w:rsidRPr="003A18CF">
        <w:rPr>
          <w:szCs w:val="24"/>
        </w:rPr>
        <w:t>Burns Unit of Concord Repatriation General Hospital (CRGH)</w:t>
      </w:r>
      <w:r w:rsidRPr="008D3067">
        <w:rPr>
          <w:szCs w:val="24"/>
        </w:rPr>
        <w:t xml:space="preserve"> by the Department of Health.</w:t>
      </w:r>
    </w:p>
    <w:p w:rsidR="001C1C76" w:rsidRDefault="001C1C76" w:rsidP="001C1C76">
      <w:pPr>
        <w:tabs>
          <w:tab w:val="left" w:pos="720"/>
          <w:tab w:val="left" w:pos="1140"/>
        </w:tabs>
        <w:rPr>
          <w:szCs w:val="24"/>
        </w:rPr>
      </w:pPr>
      <w:r w:rsidRPr="008D3067">
        <w:rPr>
          <w:szCs w:val="24"/>
        </w:rPr>
        <w:t>Laser scar treatment works on the basis of remodelling skin by creating microscopic photo-thermal injury (‘</w:t>
      </w:r>
      <w:proofErr w:type="spellStart"/>
      <w:r w:rsidRPr="008D3067">
        <w:rPr>
          <w:szCs w:val="24"/>
        </w:rPr>
        <w:t>thermolysis</w:t>
      </w:r>
      <w:proofErr w:type="spellEnd"/>
      <w:r w:rsidRPr="008D3067">
        <w:rPr>
          <w:szCs w:val="24"/>
        </w:rPr>
        <w:t xml:space="preserve">’) to specific target scarred skin areas. Skin remodelling from </w:t>
      </w:r>
      <w:proofErr w:type="spellStart"/>
      <w:r w:rsidRPr="008D3067">
        <w:rPr>
          <w:szCs w:val="24"/>
        </w:rPr>
        <w:t>thermolysis</w:t>
      </w:r>
      <w:proofErr w:type="spellEnd"/>
      <w:r w:rsidRPr="008D3067">
        <w:rPr>
          <w:szCs w:val="24"/>
        </w:rPr>
        <w:t xml:space="preserve"> following laser treatment shares the same features as wound repair and skin morphogenesis.</w:t>
      </w:r>
      <w:r>
        <w:rPr>
          <w:szCs w:val="24"/>
        </w:rPr>
        <w:t xml:space="preserve"> </w:t>
      </w:r>
    </w:p>
    <w:p w:rsidR="00E977EE" w:rsidRPr="00F715D1" w:rsidRDefault="00E977EE" w:rsidP="00F715D1">
      <w:pPr>
        <w:pStyle w:val="Heading1"/>
      </w:pPr>
      <w:r w:rsidRPr="00F715D1">
        <w:t>MSAC’s advice to the Minister</w:t>
      </w:r>
    </w:p>
    <w:p w:rsidR="00E27859" w:rsidRPr="00E27859" w:rsidRDefault="00E27859" w:rsidP="00E27859">
      <w:pPr>
        <w:pStyle w:val="Default"/>
        <w:spacing w:after="240"/>
        <w:rPr>
          <w:color w:val="auto"/>
        </w:rPr>
      </w:pPr>
      <w:r w:rsidRPr="00E27859">
        <w:rPr>
          <w:color w:val="auto"/>
        </w:rPr>
        <w:t>After considering the strength of the available evidence in relation to comparative safety, clinical effectiveness and cost-effectiveness, MSAC did not support MBS funding of CO</w:t>
      </w:r>
      <w:r w:rsidRPr="00E27859">
        <w:rPr>
          <w:color w:val="auto"/>
          <w:vertAlign w:val="subscript"/>
        </w:rPr>
        <w:t>2</w:t>
      </w:r>
      <w:r w:rsidRPr="00E27859">
        <w:rPr>
          <w:color w:val="auto"/>
        </w:rPr>
        <w:t>AFL resurfacing for burn scar treatment</w:t>
      </w:r>
      <w:r>
        <w:rPr>
          <w:color w:val="auto"/>
        </w:rPr>
        <w:t xml:space="preserve"> because the</w:t>
      </w:r>
      <w:r w:rsidRPr="00E27859">
        <w:rPr>
          <w:color w:val="auto"/>
        </w:rPr>
        <w:t xml:space="preserve"> clinical benefit, safety, cost-effectiveness and financial impact </w:t>
      </w:r>
      <w:r>
        <w:rPr>
          <w:color w:val="auto"/>
        </w:rPr>
        <w:t xml:space="preserve">for the proposed listing were highly uncertain </w:t>
      </w:r>
      <w:r w:rsidRPr="00E27859">
        <w:rPr>
          <w:color w:val="auto"/>
        </w:rPr>
        <w:t xml:space="preserve">based on the limited comparative data presented. </w:t>
      </w:r>
    </w:p>
    <w:p w:rsidR="00E27859" w:rsidRPr="00E27859" w:rsidRDefault="00E27859" w:rsidP="00E27859">
      <w:pPr>
        <w:pStyle w:val="Default"/>
        <w:spacing w:after="240"/>
        <w:rPr>
          <w:color w:val="auto"/>
        </w:rPr>
      </w:pPr>
      <w:r w:rsidRPr="00E27859">
        <w:rPr>
          <w:color w:val="auto"/>
        </w:rPr>
        <w:t>MSAC noted that the evidence base was exceedingly low with no direct comparisons, which limited the ability to make an objective comparison of clinical utility of the intervention and the comparator (reconstructive surgery). MSAC also cons</w:t>
      </w:r>
      <w:r>
        <w:rPr>
          <w:color w:val="auto"/>
        </w:rPr>
        <w:t>idered the economic evaluation,</w:t>
      </w:r>
      <w:r w:rsidRPr="00E27859">
        <w:rPr>
          <w:color w:val="auto"/>
        </w:rPr>
        <w:t xml:space="preserve"> a cost comparison</w:t>
      </w:r>
      <w:r>
        <w:rPr>
          <w:color w:val="auto"/>
        </w:rPr>
        <w:t xml:space="preserve"> between the treatment courses,</w:t>
      </w:r>
      <w:r w:rsidRPr="00E27859">
        <w:rPr>
          <w:color w:val="auto"/>
        </w:rPr>
        <w:t xml:space="preserve"> was limited given the lack of clinical evidence.</w:t>
      </w:r>
    </w:p>
    <w:p w:rsidR="00E27859" w:rsidRPr="00E27859" w:rsidRDefault="00E27859" w:rsidP="00E27859">
      <w:pPr>
        <w:pStyle w:val="Default"/>
        <w:spacing w:after="120"/>
        <w:rPr>
          <w:color w:val="auto"/>
        </w:rPr>
      </w:pPr>
      <w:r w:rsidRPr="00E27859">
        <w:rPr>
          <w:color w:val="auto"/>
        </w:rPr>
        <w:t xml:space="preserve">MSAC advised that any resubmission should include: </w:t>
      </w:r>
    </w:p>
    <w:p w:rsidR="00E27859" w:rsidRPr="00E27859" w:rsidRDefault="00E27859" w:rsidP="00E27859">
      <w:pPr>
        <w:pStyle w:val="Default"/>
        <w:numPr>
          <w:ilvl w:val="0"/>
          <w:numId w:val="28"/>
        </w:numPr>
        <w:ind w:left="714" w:hanging="357"/>
        <w:rPr>
          <w:color w:val="auto"/>
        </w:rPr>
      </w:pPr>
      <w:r w:rsidRPr="00E27859">
        <w:rPr>
          <w:color w:val="auto"/>
        </w:rPr>
        <w:t>further data on co-treatments in the clinical treatment algorithm to better inform the economic model;</w:t>
      </w:r>
    </w:p>
    <w:p w:rsidR="00E27859" w:rsidRPr="00E27859" w:rsidRDefault="00E27859" w:rsidP="00E27859">
      <w:pPr>
        <w:pStyle w:val="Default"/>
        <w:numPr>
          <w:ilvl w:val="0"/>
          <w:numId w:val="28"/>
        </w:numPr>
        <w:ind w:left="714" w:hanging="357"/>
        <w:rPr>
          <w:color w:val="auto"/>
        </w:rPr>
      </w:pPr>
      <w:r w:rsidRPr="00E27859">
        <w:rPr>
          <w:color w:val="auto"/>
        </w:rPr>
        <w:t xml:space="preserve">higher quality comparative evidence data; and </w:t>
      </w:r>
    </w:p>
    <w:p w:rsidR="00CF7307" w:rsidRPr="00E27859" w:rsidRDefault="00E27859" w:rsidP="00E27859">
      <w:pPr>
        <w:pStyle w:val="Default"/>
        <w:numPr>
          <w:ilvl w:val="0"/>
          <w:numId w:val="28"/>
        </w:numPr>
        <w:ind w:left="714" w:hanging="357"/>
        <w:rPr>
          <w:b/>
          <w:color w:val="auto"/>
        </w:rPr>
      </w:pPr>
      <w:proofErr w:type="gramStart"/>
      <w:r w:rsidRPr="00E27859">
        <w:rPr>
          <w:color w:val="auto"/>
        </w:rPr>
        <w:lastRenderedPageBreak/>
        <w:t>the</w:t>
      </w:r>
      <w:proofErr w:type="gramEnd"/>
      <w:r w:rsidRPr="00E27859">
        <w:rPr>
          <w:color w:val="auto"/>
        </w:rPr>
        <w:t xml:space="preserve"> amalgamation of efficacy and safety data across burn and non-burn scars if that would help interpret these results.</w:t>
      </w:r>
    </w:p>
    <w:p w:rsidR="00E27859" w:rsidRPr="00E27859" w:rsidRDefault="00E27859" w:rsidP="00E27859">
      <w:pPr>
        <w:pStyle w:val="Default"/>
        <w:spacing w:before="240"/>
        <w:rPr>
          <w:b/>
          <w:color w:val="auto"/>
        </w:rPr>
      </w:pPr>
      <w:r>
        <w:rPr>
          <w:color w:val="auto"/>
        </w:rPr>
        <w:t>MSAC advised that any resubmission would need to be considered by ESC.</w:t>
      </w:r>
    </w:p>
    <w:p w:rsidR="00550354" w:rsidRDefault="00550354" w:rsidP="00F715D1">
      <w:pPr>
        <w:pStyle w:val="Heading1"/>
      </w:pPr>
      <w:r w:rsidRPr="00F715D1">
        <w:t xml:space="preserve">Summary of consideration and rationale for MSAC’s advice </w:t>
      </w:r>
    </w:p>
    <w:p w:rsidR="00EA7BA4" w:rsidRPr="00EA7BA4" w:rsidRDefault="00EA7BA4" w:rsidP="00EA7BA4">
      <w:pPr>
        <w:spacing w:before="240"/>
        <w:rPr>
          <w:szCs w:val="24"/>
        </w:rPr>
      </w:pPr>
      <w:r w:rsidRPr="00EA7BA4">
        <w:rPr>
          <w:szCs w:val="24"/>
        </w:rPr>
        <w:t>MSAC noted that laser scar treatment works on the basis of remodelling skin by creating microscopic photo-thermal injury (</w:t>
      </w:r>
      <w:proofErr w:type="spellStart"/>
      <w:r w:rsidRPr="00EA7BA4">
        <w:rPr>
          <w:szCs w:val="24"/>
        </w:rPr>
        <w:t>thermolysis</w:t>
      </w:r>
      <w:proofErr w:type="spellEnd"/>
      <w:r w:rsidRPr="00EA7BA4">
        <w:rPr>
          <w:szCs w:val="24"/>
        </w:rPr>
        <w:t>) to specific target scarred skin areas. Most patients receive a series of three to six CO</w:t>
      </w:r>
      <w:r w:rsidRPr="00EA7BA4">
        <w:rPr>
          <w:szCs w:val="24"/>
          <w:vertAlign w:val="subscript"/>
        </w:rPr>
        <w:t>2</w:t>
      </w:r>
      <w:r w:rsidR="00126E96">
        <w:rPr>
          <w:szCs w:val="24"/>
          <w:vertAlign w:val="subscript"/>
        </w:rPr>
        <w:t xml:space="preserve"> </w:t>
      </w:r>
      <w:r w:rsidRPr="00EA7BA4">
        <w:rPr>
          <w:szCs w:val="24"/>
        </w:rPr>
        <w:t xml:space="preserve">AFL procedures, at a minimum treatment interval of one to three months between procedures. MSAC </w:t>
      </w:r>
      <w:r>
        <w:rPr>
          <w:szCs w:val="24"/>
        </w:rPr>
        <w:t>noted</w:t>
      </w:r>
      <w:r w:rsidRPr="00EA7BA4">
        <w:rPr>
          <w:szCs w:val="24"/>
        </w:rPr>
        <w:t xml:space="preserve"> that CO</w:t>
      </w:r>
      <w:r w:rsidRPr="00EA7BA4">
        <w:rPr>
          <w:szCs w:val="24"/>
          <w:vertAlign w:val="subscript"/>
        </w:rPr>
        <w:t>2</w:t>
      </w:r>
      <w:r w:rsidR="00126E96">
        <w:rPr>
          <w:szCs w:val="24"/>
          <w:vertAlign w:val="subscript"/>
        </w:rPr>
        <w:t xml:space="preserve"> </w:t>
      </w:r>
      <w:r w:rsidRPr="00EA7BA4">
        <w:rPr>
          <w:szCs w:val="24"/>
        </w:rPr>
        <w:t>AFL procedures are currently used in Australia and are being claimed under MBS items 45506, 45512, 45515 and 45518, which are currently listed for the excision/revision of scars with or without split thickness skin graft.</w:t>
      </w:r>
    </w:p>
    <w:p w:rsidR="00EA7BA4" w:rsidRPr="00EA7BA4" w:rsidRDefault="00EA7BA4" w:rsidP="00EA7BA4">
      <w:pPr>
        <w:spacing w:before="240"/>
        <w:rPr>
          <w:szCs w:val="24"/>
        </w:rPr>
      </w:pPr>
      <w:r w:rsidRPr="00EA7BA4">
        <w:rPr>
          <w:szCs w:val="24"/>
        </w:rPr>
        <w:t>MSAC noted that while the intervention specified in the PASC-ratified PICO criteria was CO</w:t>
      </w:r>
      <w:r w:rsidRPr="00EA7BA4">
        <w:rPr>
          <w:szCs w:val="24"/>
          <w:vertAlign w:val="subscript"/>
        </w:rPr>
        <w:t>2</w:t>
      </w:r>
      <w:r w:rsidR="00126E96">
        <w:rPr>
          <w:szCs w:val="24"/>
          <w:vertAlign w:val="subscript"/>
        </w:rPr>
        <w:t xml:space="preserve">  </w:t>
      </w:r>
      <w:r w:rsidRPr="00EA7BA4">
        <w:rPr>
          <w:szCs w:val="24"/>
        </w:rPr>
        <w:t>AFL in combination with reconstructive surgery, this was changed to CO</w:t>
      </w:r>
      <w:r w:rsidRPr="00EA7BA4">
        <w:rPr>
          <w:szCs w:val="24"/>
          <w:vertAlign w:val="subscript"/>
        </w:rPr>
        <w:t>2</w:t>
      </w:r>
      <w:r w:rsidR="00126E96">
        <w:rPr>
          <w:szCs w:val="24"/>
          <w:vertAlign w:val="subscript"/>
        </w:rPr>
        <w:t xml:space="preserve"> </w:t>
      </w:r>
      <w:r w:rsidRPr="00EA7BA4">
        <w:rPr>
          <w:szCs w:val="24"/>
        </w:rPr>
        <w:t>AFL alone, due to lack of data. MSAC noted that data from a study in one Australian burns unit indicated that the majority of CO</w:t>
      </w:r>
      <w:r w:rsidRPr="00EA7BA4">
        <w:rPr>
          <w:szCs w:val="24"/>
          <w:vertAlign w:val="subscript"/>
        </w:rPr>
        <w:t>2</w:t>
      </w:r>
      <w:r w:rsidR="00126E96">
        <w:rPr>
          <w:szCs w:val="24"/>
          <w:vertAlign w:val="subscript"/>
        </w:rPr>
        <w:t xml:space="preserve"> </w:t>
      </w:r>
      <w:r w:rsidRPr="00EA7BA4">
        <w:rPr>
          <w:szCs w:val="24"/>
        </w:rPr>
        <w:t>AFL procedures were performed alone (</w:t>
      </w:r>
      <w:proofErr w:type="spellStart"/>
      <w:r w:rsidRPr="00EA7BA4">
        <w:rPr>
          <w:szCs w:val="24"/>
        </w:rPr>
        <w:t>Issler</w:t>
      </w:r>
      <w:proofErr w:type="spellEnd"/>
      <w:r w:rsidRPr="00EA7BA4">
        <w:rPr>
          <w:szCs w:val="24"/>
        </w:rPr>
        <w:t>-Fischer AC et al 2017). The comparator is reconstructive surgery alone.</w:t>
      </w:r>
    </w:p>
    <w:p w:rsidR="00EA7BA4" w:rsidRPr="00EA7BA4" w:rsidRDefault="00EA7BA4" w:rsidP="00EA7BA4">
      <w:pPr>
        <w:spacing w:before="240"/>
      </w:pPr>
      <w:r w:rsidRPr="00EA7BA4">
        <w:t>MSAC noted a lack of direct comparative studies of CO</w:t>
      </w:r>
      <w:r w:rsidRPr="00EA7BA4">
        <w:rPr>
          <w:vertAlign w:val="subscript"/>
        </w:rPr>
        <w:t>2</w:t>
      </w:r>
      <w:r w:rsidR="00126E96">
        <w:rPr>
          <w:vertAlign w:val="subscript"/>
        </w:rPr>
        <w:t xml:space="preserve"> </w:t>
      </w:r>
      <w:r w:rsidRPr="00EA7BA4">
        <w:t>AFL versus reconstructive surgery, limiting the conclusions that could be made with respect to relative efficacy and safety. MSAC also noted that the application had provided separate evidence for CO</w:t>
      </w:r>
      <w:r w:rsidRPr="00EA7BA4">
        <w:rPr>
          <w:vertAlign w:val="subscript"/>
        </w:rPr>
        <w:t>2</w:t>
      </w:r>
      <w:r w:rsidRPr="00EA7BA4">
        <w:t>AFL and for reconstructive surgery in an attempt to conduct indirect comparisons, although the lack of a common reference arm between the two data sets precluded formal indirect comparison. MSAC considered that interpreting the results from the naïve comparison was further limited due to heterogeneity in patient populations, differences in timing of assessment post-procedure, and differences in the scoring scales used.</w:t>
      </w:r>
    </w:p>
    <w:p w:rsidR="00EA7BA4" w:rsidRPr="00EA7BA4" w:rsidRDefault="00EA7BA4" w:rsidP="00EA7BA4">
      <w:pPr>
        <w:spacing w:before="240"/>
        <w:rPr>
          <w:szCs w:val="24"/>
        </w:rPr>
      </w:pPr>
      <w:r w:rsidRPr="00EA7BA4">
        <w:rPr>
          <w:szCs w:val="24"/>
        </w:rPr>
        <w:t>MSAC considered that no definitive conclusions could be drawn in terms of safety of either CO</w:t>
      </w:r>
      <w:r w:rsidRPr="00EA7BA4">
        <w:rPr>
          <w:szCs w:val="24"/>
          <w:vertAlign w:val="subscript"/>
        </w:rPr>
        <w:t>2</w:t>
      </w:r>
      <w:r w:rsidRPr="00EA7BA4">
        <w:rPr>
          <w:szCs w:val="24"/>
        </w:rPr>
        <w:t>AFL or reconstructive surgery given the poor evidence base. MSAC noted that safety data were poorly reported across the CO</w:t>
      </w:r>
      <w:r w:rsidRPr="00EA7BA4">
        <w:rPr>
          <w:szCs w:val="24"/>
          <w:vertAlign w:val="subscript"/>
        </w:rPr>
        <w:t>2</w:t>
      </w:r>
      <w:r w:rsidRPr="00EA7BA4">
        <w:rPr>
          <w:szCs w:val="24"/>
        </w:rPr>
        <w:t xml:space="preserve">AFL and reconstructive surgery studies, and that comparative safety data </w:t>
      </w:r>
      <w:r w:rsidR="00126E96">
        <w:rPr>
          <w:szCs w:val="24"/>
        </w:rPr>
        <w:t>were</w:t>
      </w:r>
      <w:r w:rsidR="00126E96" w:rsidRPr="00EA7BA4">
        <w:rPr>
          <w:szCs w:val="24"/>
        </w:rPr>
        <w:t xml:space="preserve"> </w:t>
      </w:r>
      <w:r w:rsidRPr="00EA7BA4">
        <w:rPr>
          <w:szCs w:val="24"/>
        </w:rPr>
        <w:t>lacking.</w:t>
      </w:r>
    </w:p>
    <w:p w:rsidR="00EA7BA4" w:rsidRPr="00EA7BA4" w:rsidRDefault="00EA7BA4" w:rsidP="00EA7BA4">
      <w:pPr>
        <w:spacing w:before="240"/>
        <w:rPr>
          <w:szCs w:val="24"/>
        </w:rPr>
      </w:pPr>
      <w:r w:rsidRPr="00EA7BA4">
        <w:rPr>
          <w:szCs w:val="24"/>
        </w:rPr>
        <w:t>While it is possible that CO</w:t>
      </w:r>
      <w:r w:rsidRPr="00EA7BA4">
        <w:rPr>
          <w:szCs w:val="24"/>
          <w:vertAlign w:val="subscript"/>
        </w:rPr>
        <w:t>2</w:t>
      </w:r>
      <w:r w:rsidR="00126E96">
        <w:rPr>
          <w:szCs w:val="24"/>
          <w:vertAlign w:val="subscript"/>
        </w:rPr>
        <w:t xml:space="preserve"> </w:t>
      </w:r>
      <w:r w:rsidRPr="00EA7BA4">
        <w:rPr>
          <w:szCs w:val="24"/>
        </w:rPr>
        <w:t>AFL may improve symptoms, appearance and function of hypertrophic scars relative to no treatment, MSAC considered that the low level and poor quality of the evidence base made it difficult to draw conclusions about the effectiveness of CO</w:t>
      </w:r>
      <w:r w:rsidRPr="00EA7BA4">
        <w:rPr>
          <w:szCs w:val="24"/>
          <w:vertAlign w:val="subscript"/>
        </w:rPr>
        <w:t>2</w:t>
      </w:r>
      <w:r w:rsidR="00126E96">
        <w:rPr>
          <w:szCs w:val="24"/>
          <w:vertAlign w:val="subscript"/>
        </w:rPr>
        <w:t xml:space="preserve"> </w:t>
      </w:r>
      <w:r w:rsidRPr="00EA7BA4">
        <w:rPr>
          <w:szCs w:val="24"/>
        </w:rPr>
        <w:t>AFL. MSAC noted that in one randomised controlled trial (n = 36) comparing CO</w:t>
      </w:r>
      <w:r w:rsidRPr="00EA7BA4">
        <w:rPr>
          <w:szCs w:val="24"/>
          <w:vertAlign w:val="subscript"/>
        </w:rPr>
        <w:t>2</w:t>
      </w:r>
      <w:r w:rsidR="00126E96">
        <w:rPr>
          <w:szCs w:val="24"/>
          <w:vertAlign w:val="subscript"/>
        </w:rPr>
        <w:t xml:space="preserve"> </w:t>
      </w:r>
      <w:r w:rsidRPr="00EA7BA4">
        <w:rPr>
          <w:szCs w:val="24"/>
        </w:rPr>
        <w:t>AFL with no therapy in patients with hypertrophic scars, there was a trend that favoured no therapy in the Patient and Observer Scar Assessment Scale (POSAS) score (</w:t>
      </w:r>
      <w:proofErr w:type="spellStart"/>
      <w:r w:rsidRPr="00EA7BA4">
        <w:rPr>
          <w:szCs w:val="24"/>
        </w:rPr>
        <w:t>Blome-Eberwein</w:t>
      </w:r>
      <w:proofErr w:type="spellEnd"/>
      <w:r w:rsidRPr="00EA7BA4">
        <w:rPr>
          <w:szCs w:val="24"/>
        </w:rPr>
        <w:t xml:space="preserve"> S et al 2016). MSAC also noted limited data on CO</w:t>
      </w:r>
      <w:r w:rsidRPr="00EA7BA4">
        <w:rPr>
          <w:szCs w:val="24"/>
          <w:vertAlign w:val="subscript"/>
        </w:rPr>
        <w:t>2</w:t>
      </w:r>
      <w:r w:rsidR="00126E96">
        <w:rPr>
          <w:szCs w:val="24"/>
          <w:vertAlign w:val="subscript"/>
        </w:rPr>
        <w:t xml:space="preserve"> </w:t>
      </w:r>
      <w:r w:rsidRPr="00EA7BA4">
        <w:rPr>
          <w:szCs w:val="24"/>
        </w:rPr>
        <w:t>AFL in the management of keloids — a single study including four patients with keloids (El-</w:t>
      </w:r>
      <w:proofErr w:type="spellStart"/>
      <w:r w:rsidRPr="00EA7BA4">
        <w:rPr>
          <w:szCs w:val="24"/>
        </w:rPr>
        <w:t>Zawahry</w:t>
      </w:r>
      <w:proofErr w:type="spellEnd"/>
      <w:r w:rsidRPr="00EA7BA4">
        <w:rPr>
          <w:szCs w:val="24"/>
        </w:rPr>
        <w:t xml:space="preserve"> BM et al 2015).</w:t>
      </w:r>
    </w:p>
    <w:p w:rsidR="00EA7BA4" w:rsidRPr="00EA7BA4" w:rsidRDefault="00EA7BA4" w:rsidP="00EA7BA4">
      <w:pPr>
        <w:spacing w:before="240"/>
        <w:rPr>
          <w:szCs w:val="24"/>
        </w:rPr>
      </w:pPr>
      <w:r w:rsidRPr="00EA7BA4">
        <w:rPr>
          <w:szCs w:val="24"/>
        </w:rPr>
        <w:t>Similarly, while reconstructive surgery appears to improve scars as measured by POSAS and Vancouver Scar Scale (VSS) scores, MSAC considered that the weak evidence base also made it difficult to draw conclusions about the comparative effectiveness of reconstructive surgeries. MSAC noted that the majority of reconstructive surgery trials included patients with burn scar contractures rather than hypertrophic scars or keloids.</w:t>
      </w:r>
    </w:p>
    <w:p w:rsidR="00EA7BA4" w:rsidRPr="00EA7BA4" w:rsidRDefault="00EA7BA4" w:rsidP="00EA7BA4">
      <w:pPr>
        <w:spacing w:before="240"/>
        <w:rPr>
          <w:szCs w:val="24"/>
        </w:rPr>
      </w:pPr>
      <w:r w:rsidRPr="00EA7BA4">
        <w:rPr>
          <w:szCs w:val="24"/>
        </w:rPr>
        <w:t>MSAC noted that the CO</w:t>
      </w:r>
      <w:r w:rsidRPr="00EA7BA4">
        <w:rPr>
          <w:szCs w:val="24"/>
          <w:vertAlign w:val="subscript"/>
        </w:rPr>
        <w:t>2</w:t>
      </w:r>
      <w:r w:rsidR="00126E96">
        <w:rPr>
          <w:szCs w:val="24"/>
          <w:vertAlign w:val="subscript"/>
        </w:rPr>
        <w:t xml:space="preserve"> </w:t>
      </w:r>
      <w:r w:rsidRPr="00EA7BA4">
        <w:rPr>
          <w:szCs w:val="24"/>
        </w:rPr>
        <w:t>AFL trials provided insufficient quality of life data for burn scars to establish usable utility values for an economic evaluation. Further, given the uncertain comparative effectiveness and safety of CO</w:t>
      </w:r>
      <w:r w:rsidRPr="00EA7BA4">
        <w:rPr>
          <w:szCs w:val="24"/>
          <w:vertAlign w:val="subscript"/>
        </w:rPr>
        <w:t>2</w:t>
      </w:r>
      <w:r w:rsidR="00126E96">
        <w:rPr>
          <w:szCs w:val="24"/>
          <w:vertAlign w:val="subscript"/>
        </w:rPr>
        <w:t xml:space="preserve"> </w:t>
      </w:r>
      <w:r w:rsidRPr="00EA7BA4">
        <w:rPr>
          <w:szCs w:val="24"/>
        </w:rPr>
        <w:t xml:space="preserve">AFL, the economic evaluation was limited to a </w:t>
      </w:r>
      <w:r w:rsidRPr="00EA7BA4">
        <w:rPr>
          <w:szCs w:val="24"/>
        </w:rPr>
        <w:lastRenderedPageBreak/>
        <w:t>comparison of the costs to deliver th</w:t>
      </w:r>
      <w:r w:rsidR="002B022C">
        <w:rPr>
          <w:szCs w:val="24"/>
        </w:rPr>
        <w:t>e respective treatment courses -</w:t>
      </w:r>
      <w:r w:rsidRPr="00EA7BA4">
        <w:rPr>
          <w:szCs w:val="24"/>
        </w:rPr>
        <w:t xml:space="preserve"> CO</w:t>
      </w:r>
      <w:r w:rsidRPr="00EA7BA4">
        <w:rPr>
          <w:szCs w:val="24"/>
          <w:vertAlign w:val="subscript"/>
        </w:rPr>
        <w:t>2</w:t>
      </w:r>
      <w:r w:rsidR="00126E96">
        <w:rPr>
          <w:szCs w:val="24"/>
          <w:vertAlign w:val="subscript"/>
        </w:rPr>
        <w:t xml:space="preserve"> </w:t>
      </w:r>
      <w:r w:rsidRPr="00EA7BA4">
        <w:rPr>
          <w:szCs w:val="24"/>
        </w:rPr>
        <w:t xml:space="preserve">AFL and reconstructive surgery. </w:t>
      </w:r>
    </w:p>
    <w:p w:rsidR="00EA7BA4" w:rsidRPr="00EA7BA4" w:rsidRDefault="00EA7BA4" w:rsidP="00EA7BA4">
      <w:pPr>
        <w:spacing w:before="240"/>
        <w:rPr>
          <w:szCs w:val="24"/>
        </w:rPr>
      </w:pPr>
      <w:r w:rsidRPr="00EA7BA4">
        <w:rPr>
          <w:szCs w:val="24"/>
        </w:rPr>
        <w:t>MSAC considered the cost comparison analysis to be highly uncertain. MSAC noted that the cost comparison was based on data (procedure information and length of stay) from a single Australian burns unit. MSAC considered this limited the applicability of results across the entire Australian healthcare setting. MSAC had several additional concerns about the calculation of costs in the economic evaluation including:</w:t>
      </w:r>
    </w:p>
    <w:p w:rsidR="00EA7BA4" w:rsidRPr="00EA7BA4" w:rsidRDefault="00EA7BA4" w:rsidP="00EA7BA4">
      <w:pPr>
        <w:pStyle w:val="ListParagraph"/>
        <w:numPr>
          <w:ilvl w:val="0"/>
          <w:numId w:val="29"/>
        </w:numPr>
        <w:spacing w:after="160"/>
        <w:rPr>
          <w:szCs w:val="24"/>
        </w:rPr>
      </w:pPr>
      <w:r w:rsidRPr="00EA7BA4">
        <w:rPr>
          <w:szCs w:val="24"/>
        </w:rPr>
        <w:t>that the cost of the CO</w:t>
      </w:r>
      <w:r w:rsidRPr="00EA7BA4">
        <w:rPr>
          <w:szCs w:val="24"/>
          <w:vertAlign w:val="subscript"/>
        </w:rPr>
        <w:t>2</w:t>
      </w:r>
      <w:r w:rsidR="00126E96">
        <w:rPr>
          <w:szCs w:val="24"/>
          <w:vertAlign w:val="subscript"/>
        </w:rPr>
        <w:t xml:space="preserve"> </w:t>
      </w:r>
      <w:r w:rsidRPr="00EA7BA4">
        <w:rPr>
          <w:szCs w:val="24"/>
        </w:rPr>
        <w:t>AFL therapy was based on the assumption that a single course of each treatment consists of three CO</w:t>
      </w:r>
      <w:r w:rsidRPr="00EA7BA4">
        <w:rPr>
          <w:szCs w:val="24"/>
          <w:vertAlign w:val="subscript"/>
        </w:rPr>
        <w:t>2</w:t>
      </w:r>
      <w:r w:rsidR="00126E96">
        <w:rPr>
          <w:szCs w:val="24"/>
          <w:vertAlign w:val="subscript"/>
        </w:rPr>
        <w:t xml:space="preserve"> </w:t>
      </w:r>
      <w:r w:rsidRPr="00EA7BA4">
        <w:rPr>
          <w:szCs w:val="24"/>
        </w:rPr>
        <w:t>AFL procedures, despite the proposed MBS item descriptor allowing for up to six CO</w:t>
      </w:r>
      <w:r w:rsidRPr="00EA7BA4">
        <w:rPr>
          <w:szCs w:val="24"/>
          <w:vertAlign w:val="subscript"/>
        </w:rPr>
        <w:t>2</w:t>
      </w:r>
      <w:r w:rsidR="00126E96">
        <w:rPr>
          <w:szCs w:val="24"/>
          <w:vertAlign w:val="subscript"/>
        </w:rPr>
        <w:t xml:space="preserve"> </w:t>
      </w:r>
      <w:r w:rsidRPr="00EA7BA4">
        <w:rPr>
          <w:szCs w:val="24"/>
        </w:rPr>
        <w:t>AFL procedures, which may significantly impact the total cost;</w:t>
      </w:r>
    </w:p>
    <w:p w:rsidR="00EA7BA4" w:rsidRPr="00EA7BA4" w:rsidRDefault="00EA7BA4" w:rsidP="00EA7BA4">
      <w:pPr>
        <w:pStyle w:val="ListParagraph"/>
        <w:numPr>
          <w:ilvl w:val="0"/>
          <w:numId w:val="29"/>
        </w:numPr>
        <w:spacing w:after="160"/>
        <w:rPr>
          <w:szCs w:val="24"/>
        </w:rPr>
      </w:pPr>
      <w:r w:rsidRPr="00EA7BA4">
        <w:rPr>
          <w:szCs w:val="24"/>
        </w:rPr>
        <w:t xml:space="preserve">the exclusion of adverse events; </w:t>
      </w:r>
    </w:p>
    <w:p w:rsidR="00EA7BA4" w:rsidRPr="00EA7BA4" w:rsidRDefault="00EA7BA4" w:rsidP="00EA7BA4">
      <w:pPr>
        <w:pStyle w:val="ListParagraph"/>
        <w:numPr>
          <w:ilvl w:val="0"/>
          <w:numId w:val="29"/>
        </w:numPr>
        <w:spacing w:after="160"/>
        <w:rPr>
          <w:szCs w:val="24"/>
        </w:rPr>
      </w:pPr>
      <w:r w:rsidRPr="00EA7BA4">
        <w:rPr>
          <w:szCs w:val="24"/>
        </w:rPr>
        <w:t>the lack of outcome data;</w:t>
      </w:r>
    </w:p>
    <w:p w:rsidR="00EA7BA4" w:rsidRPr="00EA7BA4" w:rsidRDefault="00EA7BA4" w:rsidP="00EA7BA4">
      <w:pPr>
        <w:pStyle w:val="ListParagraph"/>
        <w:numPr>
          <w:ilvl w:val="0"/>
          <w:numId w:val="29"/>
        </w:numPr>
        <w:spacing w:after="160"/>
        <w:rPr>
          <w:szCs w:val="24"/>
        </w:rPr>
      </w:pPr>
      <w:r w:rsidRPr="00EA7BA4">
        <w:rPr>
          <w:szCs w:val="24"/>
        </w:rPr>
        <w:t>inconsistent use of 100% and 85% MBS rebate fees; and</w:t>
      </w:r>
    </w:p>
    <w:p w:rsidR="00EA7BA4" w:rsidRPr="00EA7BA4" w:rsidRDefault="00EA7BA4" w:rsidP="00EA7BA4">
      <w:pPr>
        <w:pStyle w:val="ListParagraph"/>
        <w:numPr>
          <w:ilvl w:val="0"/>
          <w:numId w:val="29"/>
        </w:numPr>
        <w:spacing w:after="160"/>
        <w:rPr>
          <w:szCs w:val="24"/>
        </w:rPr>
      </w:pPr>
      <w:proofErr w:type="gramStart"/>
      <w:r w:rsidRPr="00EA7BA4">
        <w:rPr>
          <w:szCs w:val="24"/>
        </w:rPr>
        <w:t>the</w:t>
      </w:r>
      <w:proofErr w:type="gramEnd"/>
      <w:r w:rsidRPr="00EA7BA4">
        <w:rPr>
          <w:szCs w:val="24"/>
        </w:rPr>
        <w:t xml:space="preserve"> use of weighted average costs for reconstructive surgery but simple average costs for CO</w:t>
      </w:r>
      <w:r w:rsidRPr="00EA7BA4">
        <w:rPr>
          <w:szCs w:val="24"/>
          <w:vertAlign w:val="subscript"/>
        </w:rPr>
        <w:t>2</w:t>
      </w:r>
      <w:r w:rsidR="00126E96">
        <w:rPr>
          <w:szCs w:val="24"/>
          <w:vertAlign w:val="subscript"/>
        </w:rPr>
        <w:t xml:space="preserve"> </w:t>
      </w:r>
      <w:r w:rsidRPr="00EA7BA4">
        <w:rPr>
          <w:szCs w:val="24"/>
        </w:rPr>
        <w:t>AFL.</w:t>
      </w:r>
    </w:p>
    <w:p w:rsidR="00EA7BA4" w:rsidRPr="00EA7BA4" w:rsidRDefault="00EA7BA4" w:rsidP="00EA7BA4">
      <w:pPr>
        <w:rPr>
          <w:szCs w:val="24"/>
        </w:rPr>
      </w:pPr>
      <w:r w:rsidRPr="00EA7BA4">
        <w:rPr>
          <w:szCs w:val="24"/>
        </w:rPr>
        <w:t>MSAC noted that an epidemiological approach was used to estimate the financial implications of listing CO</w:t>
      </w:r>
      <w:r w:rsidRPr="00EA7BA4">
        <w:rPr>
          <w:szCs w:val="24"/>
          <w:vertAlign w:val="subscript"/>
        </w:rPr>
        <w:t>2</w:t>
      </w:r>
      <w:r w:rsidR="00126E96">
        <w:rPr>
          <w:szCs w:val="24"/>
          <w:vertAlign w:val="subscript"/>
        </w:rPr>
        <w:t xml:space="preserve"> </w:t>
      </w:r>
      <w:r w:rsidRPr="00EA7BA4">
        <w:rPr>
          <w:szCs w:val="24"/>
        </w:rPr>
        <w:t xml:space="preserve">AFL on the MBS. MSAC noted that this relied upon Australian Institute of Health and Welfare data on the number of hospitalised burn injuries in Australia. MSAC noted that in the absence of epidemiological data on reconstruction of burn scars, data from a Dutch study </w:t>
      </w:r>
      <w:r w:rsidR="00126E96">
        <w:rPr>
          <w:szCs w:val="24"/>
        </w:rPr>
        <w:t>were</w:t>
      </w:r>
      <w:r w:rsidR="00126E96" w:rsidRPr="00EA7BA4">
        <w:rPr>
          <w:szCs w:val="24"/>
        </w:rPr>
        <w:t xml:space="preserve"> </w:t>
      </w:r>
      <w:r w:rsidRPr="00EA7BA4">
        <w:rPr>
          <w:szCs w:val="24"/>
        </w:rPr>
        <w:t xml:space="preserve">applied to the financial estimations (Hop MJ et al 2014). MSAC raised concerns about the applicability of this study to the local Australian setting. </w:t>
      </w:r>
    </w:p>
    <w:p w:rsidR="00EA7BA4" w:rsidRPr="00EA7BA4" w:rsidRDefault="00EA7BA4" w:rsidP="00EA7BA4">
      <w:pPr>
        <w:spacing w:before="240"/>
        <w:rPr>
          <w:szCs w:val="24"/>
        </w:rPr>
      </w:pPr>
      <w:r w:rsidRPr="00EA7BA4">
        <w:rPr>
          <w:szCs w:val="24"/>
        </w:rPr>
        <w:t>MSAC noted the estimated CO</w:t>
      </w:r>
      <w:r w:rsidRPr="00EA7BA4">
        <w:rPr>
          <w:szCs w:val="24"/>
          <w:vertAlign w:val="subscript"/>
        </w:rPr>
        <w:t>2</w:t>
      </w:r>
      <w:r w:rsidR="00126E96">
        <w:rPr>
          <w:szCs w:val="24"/>
          <w:vertAlign w:val="subscript"/>
        </w:rPr>
        <w:t xml:space="preserve"> </w:t>
      </w:r>
      <w:r w:rsidRPr="00EA7BA4">
        <w:rPr>
          <w:szCs w:val="24"/>
        </w:rPr>
        <w:t>AFL procedures (stand-alone and combination with surgery) to be 2395 in year 1 increasing to 4265 over 5 years. The estimated cost to the MBS was approximately $1.0 million in year 1 and approximately $1.8 million in year 5. MSAC concluded that the net financial implications for the MBS were uncertain.</w:t>
      </w:r>
    </w:p>
    <w:p w:rsidR="00EA7BA4" w:rsidRPr="00EA7BA4" w:rsidRDefault="00EA7BA4" w:rsidP="00EA7BA4">
      <w:pPr>
        <w:spacing w:before="240"/>
        <w:rPr>
          <w:szCs w:val="24"/>
        </w:rPr>
      </w:pPr>
      <w:r w:rsidRPr="00EA7BA4">
        <w:rPr>
          <w:szCs w:val="24"/>
        </w:rPr>
        <w:t xml:space="preserve">MSAC advised that any resubmission would need to include: </w:t>
      </w:r>
    </w:p>
    <w:p w:rsidR="00EA7BA4" w:rsidRPr="00EA7BA4" w:rsidRDefault="00EA7BA4" w:rsidP="00EA7BA4">
      <w:pPr>
        <w:pStyle w:val="ListParagraph"/>
        <w:numPr>
          <w:ilvl w:val="0"/>
          <w:numId w:val="30"/>
        </w:numPr>
        <w:spacing w:after="160"/>
        <w:rPr>
          <w:szCs w:val="24"/>
        </w:rPr>
      </w:pPr>
      <w:r w:rsidRPr="00EA7BA4">
        <w:rPr>
          <w:szCs w:val="24"/>
        </w:rPr>
        <w:t>further data on co-treatments in the clinical treatment algorithm to better inform the economic model;</w:t>
      </w:r>
    </w:p>
    <w:p w:rsidR="00EA7BA4" w:rsidRPr="00EA7BA4" w:rsidRDefault="00EA7BA4" w:rsidP="00EA7BA4">
      <w:pPr>
        <w:pStyle w:val="ListParagraph"/>
        <w:numPr>
          <w:ilvl w:val="0"/>
          <w:numId w:val="30"/>
        </w:numPr>
        <w:spacing w:after="160"/>
        <w:rPr>
          <w:szCs w:val="24"/>
        </w:rPr>
      </w:pPr>
      <w:r w:rsidRPr="00EA7BA4">
        <w:rPr>
          <w:szCs w:val="24"/>
        </w:rPr>
        <w:t xml:space="preserve">higher quality comparative evidence data; and </w:t>
      </w:r>
    </w:p>
    <w:p w:rsidR="00EA7BA4" w:rsidRPr="00EA7BA4" w:rsidRDefault="00EA7BA4" w:rsidP="00EA7BA4">
      <w:pPr>
        <w:pStyle w:val="ListParagraph"/>
        <w:numPr>
          <w:ilvl w:val="0"/>
          <w:numId w:val="30"/>
        </w:numPr>
        <w:spacing w:after="160"/>
        <w:rPr>
          <w:szCs w:val="24"/>
        </w:rPr>
      </w:pPr>
      <w:proofErr w:type="gramStart"/>
      <w:r w:rsidRPr="00EA7BA4">
        <w:rPr>
          <w:szCs w:val="24"/>
        </w:rPr>
        <w:t>amalgamation</w:t>
      </w:r>
      <w:proofErr w:type="gramEnd"/>
      <w:r w:rsidRPr="00EA7BA4">
        <w:rPr>
          <w:szCs w:val="24"/>
        </w:rPr>
        <w:t xml:space="preserve"> of efficacy and safety data across burn and non-burn scars if that would help interpret these results. </w:t>
      </w:r>
    </w:p>
    <w:p w:rsidR="00EA7BA4" w:rsidRPr="00EA7BA4" w:rsidRDefault="00EA7BA4" w:rsidP="00EA7BA4">
      <w:pPr>
        <w:rPr>
          <w:szCs w:val="24"/>
        </w:rPr>
      </w:pPr>
      <w:r w:rsidRPr="00EA7BA4">
        <w:rPr>
          <w:szCs w:val="24"/>
        </w:rPr>
        <w:t>MSAC advised that any resubmission would need to be considered by ESC.</w:t>
      </w:r>
    </w:p>
    <w:p w:rsidR="00BC1364" w:rsidRPr="00F715D1" w:rsidRDefault="00BC1364" w:rsidP="00F715D1">
      <w:pPr>
        <w:pStyle w:val="Heading1"/>
      </w:pPr>
      <w:r w:rsidRPr="00F715D1">
        <w:t>Background</w:t>
      </w:r>
    </w:p>
    <w:p w:rsidR="001C1C76" w:rsidRDefault="001C1C76" w:rsidP="00700664">
      <w:pPr>
        <w:tabs>
          <w:tab w:val="left" w:pos="720"/>
          <w:tab w:val="left" w:pos="1140"/>
        </w:tabs>
        <w:spacing w:after="240"/>
        <w:rPr>
          <w:szCs w:val="24"/>
        </w:rPr>
      </w:pPr>
      <w:r w:rsidRPr="008D3067">
        <w:rPr>
          <w:szCs w:val="24"/>
        </w:rPr>
        <w:t>MSAC has not previously cons</w:t>
      </w:r>
      <w:r>
        <w:rPr>
          <w:szCs w:val="24"/>
        </w:rPr>
        <w:t xml:space="preserve">idered </w:t>
      </w:r>
      <w:r w:rsidR="003A18CF">
        <w:rPr>
          <w:szCs w:val="24"/>
        </w:rPr>
        <w:t>this application</w:t>
      </w:r>
      <w:r w:rsidRPr="008D3067">
        <w:rPr>
          <w:szCs w:val="24"/>
        </w:rPr>
        <w:t>.</w:t>
      </w:r>
    </w:p>
    <w:p w:rsidR="001C1C76" w:rsidRDefault="00126E96" w:rsidP="001C1C76">
      <w:pPr>
        <w:spacing w:after="240"/>
      </w:pPr>
      <w:r w:rsidRPr="00EA7BA4">
        <w:rPr>
          <w:szCs w:val="24"/>
        </w:rPr>
        <w:t>CO</w:t>
      </w:r>
      <w:r w:rsidRPr="00EA7BA4">
        <w:rPr>
          <w:szCs w:val="24"/>
          <w:vertAlign w:val="subscript"/>
        </w:rPr>
        <w:t>2</w:t>
      </w:r>
      <w:r>
        <w:rPr>
          <w:szCs w:val="24"/>
          <w:vertAlign w:val="subscript"/>
        </w:rPr>
        <w:t xml:space="preserve"> </w:t>
      </w:r>
      <w:r w:rsidRPr="00EA7BA4">
        <w:rPr>
          <w:szCs w:val="24"/>
        </w:rPr>
        <w:t xml:space="preserve">AFL </w:t>
      </w:r>
      <w:r w:rsidR="001C1C76">
        <w:t>procedures are currently used in Australia</w:t>
      </w:r>
      <w:r w:rsidR="001C1C76" w:rsidRPr="008D3067">
        <w:t xml:space="preserve"> and claimed under MBS item numbers </w:t>
      </w:r>
      <w:r w:rsidR="002B022C">
        <w:rPr>
          <w:szCs w:val="24"/>
        </w:rPr>
        <w:t xml:space="preserve">45506, 45512, 45515 and 45518 </w:t>
      </w:r>
      <w:r w:rsidR="002B022C" w:rsidRPr="00EA7BA4">
        <w:rPr>
          <w:szCs w:val="24"/>
        </w:rPr>
        <w:t>for the excision/revision of scars with or without split thickness skin graft</w:t>
      </w:r>
      <w:r w:rsidR="001C1C76" w:rsidRPr="008D3067">
        <w:t>.</w:t>
      </w:r>
    </w:p>
    <w:p w:rsidR="00BC1364" w:rsidRPr="00F715D1" w:rsidRDefault="00BC1364" w:rsidP="00F715D1">
      <w:pPr>
        <w:pStyle w:val="Heading1"/>
      </w:pPr>
      <w:r w:rsidRPr="00F715D1">
        <w:t>Prerequisites to implementation of any funding advice</w:t>
      </w:r>
    </w:p>
    <w:p w:rsidR="00735E21" w:rsidRPr="00183E4D" w:rsidRDefault="004931F6" w:rsidP="00700664">
      <w:pPr>
        <w:spacing w:after="240"/>
        <w:jc w:val="both"/>
      </w:pPr>
      <w:r w:rsidRPr="001551F0">
        <w:t xml:space="preserve">Items </w:t>
      </w:r>
      <w:r>
        <w:t>listed</w:t>
      </w:r>
      <w:r w:rsidRPr="00183E4D">
        <w:t xml:space="preserve"> on the Australian Register of Therapeutic Goods </w:t>
      </w:r>
      <w:r>
        <w:t>(</w:t>
      </w:r>
      <w:r w:rsidRPr="001551F0">
        <w:t>ARTG</w:t>
      </w:r>
      <w:r>
        <w:t>)</w:t>
      </w:r>
      <w:r w:rsidRPr="001551F0">
        <w:t xml:space="preserve"> that are relevant to this application are shown in </w:t>
      </w:r>
      <w:r>
        <w:fldChar w:fldCharType="begin"/>
      </w:r>
      <w:r>
        <w:instrText xml:space="preserve"> REF _Ref508098707 \h </w:instrText>
      </w:r>
      <w:r>
        <w:fldChar w:fldCharType="separate"/>
      </w:r>
      <w:r>
        <w:t xml:space="preserve">Table </w:t>
      </w:r>
      <w:r>
        <w:rPr>
          <w:noProof/>
        </w:rPr>
        <w:t>1</w:t>
      </w:r>
      <w:r>
        <w:fldChar w:fldCharType="end"/>
      </w:r>
      <w:r w:rsidRPr="001551F0">
        <w:t>.</w:t>
      </w:r>
    </w:p>
    <w:p w:rsidR="004931F6" w:rsidRDefault="004931F6" w:rsidP="004931F6">
      <w:pPr>
        <w:pStyle w:val="Caption"/>
        <w:keepNext/>
        <w:jc w:val="both"/>
      </w:pPr>
      <w:bookmarkStart w:id="0" w:name="_Ref508098707"/>
      <w:bookmarkStart w:id="1" w:name="_Ref364240778"/>
      <w:bookmarkStart w:id="2" w:name="_Toc381969859"/>
      <w:bookmarkStart w:id="3" w:name="_Toc496186163"/>
      <w:r>
        <w:lastRenderedPageBreak/>
        <w:t xml:space="preserve">Table </w:t>
      </w:r>
      <w:fldSimple w:instr=" SEQ Table \* ARABIC ">
        <w:r>
          <w:rPr>
            <w:noProof/>
          </w:rPr>
          <w:t>1</w:t>
        </w:r>
      </w:fldSimple>
      <w:bookmarkEnd w:id="0"/>
      <w:r>
        <w:tab/>
      </w:r>
      <w:r w:rsidRPr="001551F0">
        <w:t>Ablative fractional CO</w:t>
      </w:r>
      <w:r w:rsidRPr="001551F0">
        <w:rPr>
          <w:vertAlign w:val="subscript"/>
        </w:rPr>
        <w:t>2</w:t>
      </w:r>
      <w:r w:rsidRPr="001551F0">
        <w:t xml:space="preserve"> laser system listed on the ARTG</w:t>
      </w:r>
    </w:p>
    <w:tbl>
      <w:tblPr>
        <w:tblStyle w:val="TableGrid1"/>
        <w:tblW w:w="0" w:type="auto"/>
        <w:tblLook w:val="04A0" w:firstRow="1" w:lastRow="0" w:firstColumn="1" w:lastColumn="0" w:noHBand="0" w:noVBand="1"/>
        <w:tblDescription w:val="Ablative fractional CO2 laser system listings on the ARTG"/>
      </w:tblPr>
      <w:tblGrid>
        <w:gridCol w:w="815"/>
        <w:gridCol w:w="850"/>
        <w:gridCol w:w="3736"/>
        <w:gridCol w:w="1569"/>
        <w:gridCol w:w="2049"/>
      </w:tblGrid>
      <w:tr w:rsidR="004931F6" w:rsidRPr="00183E4D" w:rsidTr="00A637B6">
        <w:trPr>
          <w:cnfStyle w:val="100000000000" w:firstRow="1" w:lastRow="0" w:firstColumn="0" w:lastColumn="0" w:oddVBand="0" w:evenVBand="0" w:oddHBand="0" w:evenHBand="0" w:firstRowFirstColumn="0" w:firstRowLastColumn="0" w:lastRowFirstColumn="0" w:lastRowLastColumn="0"/>
          <w:tblHeader/>
        </w:trPr>
        <w:tc>
          <w:tcPr>
            <w:tcW w:w="815" w:type="dxa"/>
          </w:tcPr>
          <w:bookmarkEnd w:id="1"/>
          <w:bookmarkEnd w:id="2"/>
          <w:bookmarkEnd w:id="3"/>
          <w:p w:rsidR="004931F6" w:rsidRPr="00183E4D" w:rsidRDefault="004931F6" w:rsidP="001303AF">
            <w:pPr>
              <w:pStyle w:val="TableHeading"/>
              <w:spacing w:before="0" w:after="0"/>
            </w:pPr>
            <w:r w:rsidRPr="00183E4D">
              <w:t>ARTG no.</w:t>
            </w:r>
          </w:p>
        </w:tc>
        <w:tc>
          <w:tcPr>
            <w:tcW w:w="850" w:type="dxa"/>
          </w:tcPr>
          <w:p w:rsidR="004931F6" w:rsidRPr="00183E4D" w:rsidRDefault="004931F6" w:rsidP="001303AF">
            <w:pPr>
              <w:pStyle w:val="TableHeading"/>
              <w:spacing w:before="0" w:after="0"/>
            </w:pPr>
            <w:r w:rsidRPr="00183E4D">
              <w:t>Product no.</w:t>
            </w:r>
          </w:p>
        </w:tc>
        <w:tc>
          <w:tcPr>
            <w:tcW w:w="3736" w:type="dxa"/>
          </w:tcPr>
          <w:p w:rsidR="004931F6" w:rsidRPr="00183E4D" w:rsidRDefault="004931F6" w:rsidP="001303AF">
            <w:pPr>
              <w:pStyle w:val="TableHeading"/>
              <w:spacing w:before="0" w:after="0"/>
            </w:pPr>
            <w:r w:rsidRPr="00183E4D">
              <w:t>Product description</w:t>
            </w:r>
          </w:p>
        </w:tc>
        <w:tc>
          <w:tcPr>
            <w:tcW w:w="1569" w:type="dxa"/>
          </w:tcPr>
          <w:p w:rsidR="004931F6" w:rsidRPr="00183E4D" w:rsidRDefault="004931F6" w:rsidP="001303AF">
            <w:pPr>
              <w:pStyle w:val="TableHeading"/>
              <w:spacing w:before="0" w:after="0"/>
            </w:pPr>
            <w:r w:rsidRPr="00183E4D">
              <w:t>Product category</w:t>
            </w:r>
          </w:p>
        </w:tc>
        <w:tc>
          <w:tcPr>
            <w:tcW w:w="2049" w:type="dxa"/>
          </w:tcPr>
          <w:p w:rsidR="004931F6" w:rsidRPr="00183E4D" w:rsidRDefault="004931F6" w:rsidP="001303AF">
            <w:pPr>
              <w:pStyle w:val="TableHeading"/>
              <w:spacing w:before="0" w:after="0"/>
            </w:pPr>
            <w:r w:rsidRPr="00183E4D">
              <w:t>Sponsor</w:t>
            </w:r>
          </w:p>
        </w:tc>
      </w:tr>
      <w:tr w:rsidR="004931F6" w:rsidRPr="00183E4D" w:rsidTr="00A637B6">
        <w:tc>
          <w:tcPr>
            <w:tcW w:w="815" w:type="dxa"/>
          </w:tcPr>
          <w:p w:rsidR="004931F6" w:rsidRPr="00183E4D" w:rsidRDefault="004931F6" w:rsidP="001303AF">
            <w:pPr>
              <w:pStyle w:val="Tabletext"/>
              <w:spacing w:before="0" w:after="0"/>
            </w:pPr>
            <w:r w:rsidRPr="007F1261">
              <w:t>182239</w:t>
            </w:r>
          </w:p>
        </w:tc>
        <w:tc>
          <w:tcPr>
            <w:tcW w:w="850" w:type="dxa"/>
          </w:tcPr>
          <w:p w:rsidR="004931F6" w:rsidRPr="00183E4D" w:rsidRDefault="004931F6" w:rsidP="001303AF">
            <w:pPr>
              <w:pStyle w:val="Tabletext"/>
              <w:spacing w:before="0" w:after="0"/>
            </w:pPr>
            <w:r w:rsidRPr="007F1261">
              <w:t>35939</w:t>
            </w:r>
          </w:p>
        </w:tc>
        <w:tc>
          <w:tcPr>
            <w:tcW w:w="3736" w:type="dxa"/>
          </w:tcPr>
          <w:p w:rsidR="004931F6" w:rsidRPr="00183E4D" w:rsidRDefault="004931F6" w:rsidP="001303AF">
            <w:pPr>
              <w:pStyle w:val="Tabletext"/>
              <w:spacing w:before="0" w:after="0"/>
            </w:pPr>
            <w:r w:rsidRPr="007F1261">
              <w:t>Surgical/dermatological carbon dioxide laser syst</w:t>
            </w:r>
            <w:r>
              <w:t>em. Laser is used for the coagulation, ablation, vaporization and incision of soft tissue in number of dermatological and surgical procedures</w:t>
            </w:r>
          </w:p>
        </w:tc>
        <w:tc>
          <w:tcPr>
            <w:tcW w:w="1569" w:type="dxa"/>
          </w:tcPr>
          <w:p w:rsidR="004931F6" w:rsidRPr="00183E4D" w:rsidRDefault="004931F6" w:rsidP="001303AF">
            <w:pPr>
              <w:pStyle w:val="Tabletext"/>
              <w:spacing w:before="0" w:after="0"/>
            </w:pPr>
            <w:r w:rsidRPr="007F1261">
              <w:t xml:space="preserve">Medical Device Class </w:t>
            </w:r>
            <w:proofErr w:type="spellStart"/>
            <w:r w:rsidRPr="007F1261">
              <w:t>II</w:t>
            </w:r>
            <w:r>
              <w:t>b</w:t>
            </w:r>
            <w:proofErr w:type="spellEnd"/>
          </w:p>
        </w:tc>
        <w:tc>
          <w:tcPr>
            <w:tcW w:w="2049" w:type="dxa"/>
          </w:tcPr>
          <w:p w:rsidR="004931F6" w:rsidRPr="00183E4D" w:rsidRDefault="004931F6" w:rsidP="001303AF">
            <w:pPr>
              <w:pStyle w:val="Tabletext"/>
              <w:spacing w:before="0" w:after="0"/>
            </w:pPr>
            <w:proofErr w:type="spellStart"/>
            <w:r w:rsidRPr="007F1261">
              <w:t>Lumenis</w:t>
            </w:r>
            <w:proofErr w:type="spellEnd"/>
            <w:r w:rsidRPr="007F1261">
              <w:t xml:space="preserve"> Australia Pty Ltd</w:t>
            </w:r>
          </w:p>
        </w:tc>
      </w:tr>
      <w:tr w:rsidR="004931F6" w:rsidRPr="00183E4D" w:rsidTr="00A637B6">
        <w:tc>
          <w:tcPr>
            <w:tcW w:w="815" w:type="dxa"/>
          </w:tcPr>
          <w:p w:rsidR="004931F6" w:rsidRPr="007F1261" w:rsidRDefault="004931F6" w:rsidP="001303AF">
            <w:pPr>
              <w:pStyle w:val="Tabletext"/>
              <w:spacing w:before="0" w:after="0"/>
            </w:pPr>
            <w:r w:rsidRPr="007F1261">
              <w:t>292015</w:t>
            </w:r>
          </w:p>
        </w:tc>
        <w:tc>
          <w:tcPr>
            <w:tcW w:w="850" w:type="dxa"/>
          </w:tcPr>
          <w:p w:rsidR="004931F6" w:rsidRPr="007F1261" w:rsidRDefault="004931F6" w:rsidP="001303AF">
            <w:pPr>
              <w:pStyle w:val="Tabletext"/>
              <w:spacing w:before="0" w:after="0"/>
            </w:pPr>
            <w:r w:rsidRPr="007F1261">
              <w:t>61473</w:t>
            </w:r>
          </w:p>
        </w:tc>
        <w:tc>
          <w:tcPr>
            <w:tcW w:w="3736" w:type="dxa"/>
          </w:tcPr>
          <w:p w:rsidR="004931F6" w:rsidRPr="007F1261" w:rsidRDefault="004931F6" w:rsidP="001303AF">
            <w:pPr>
              <w:pStyle w:val="Tabletext"/>
              <w:spacing w:before="0" w:after="0"/>
            </w:pPr>
            <w:r>
              <w:t>D</w:t>
            </w:r>
            <w:r w:rsidRPr="007F1261">
              <w:t>ermatological carbon dioxide laser system</w:t>
            </w:r>
            <w:r>
              <w:t>.</w:t>
            </w:r>
            <w:r w:rsidRPr="007F1261">
              <w:t xml:space="preserve"> </w:t>
            </w:r>
            <w:r>
              <w:t>The CO</w:t>
            </w:r>
            <w:r w:rsidRPr="007F1261">
              <w:rPr>
                <w:vertAlign w:val="subscript"/>
              </w:rPr>
              <w:t>2</w:t>
            </w:r>
            <w:r>
              <w:t xml:space="preserve"> Laser Therapy Systems is indicated for use in dermatological procedures requiring ablation, resurfacing and coagulation</w:t>
            </w:r>
          </w:p>
        </w:tc>
        <w:tc>
          <w:tcPr>
            <w:tcW w:w="1569" w:type="dxa"/>
          </w:tcPr>
          <w:p w:rsidR="004931F6" w:rsidRPr="007F1261" w:rsidRDefault="004931F6" w:rsidP="001303AF">
            <w:pPr>
              <w:pStyle w:val="Tabletext"/>
              <w:spacing w:before="0" w:after="0"/>
            </w:pPr>
            <w:r w:rsidRPr="007F1261">
              <w:t xml:space="preserve">Medical Device Class </w:t>
            </w:r>
            <w:proofErr w:type="spellStart"/>
            <w:r w:rsidRPr="007F1261">
              <w:t>II</w:t>
            </w:r>
            <w:r>
              <w:t>b</w:t>
            </w:r>
            <w:proofErr w:type="spellEnd"/>
          </w:p>
        </w:tc>
        <w:tc>
          <w:tcPr>
            <w:tcW w:w="2049" w:type="dxa"/>
          </w:tcPr>
          <w:p w:rsidR="004931F6" w:rsidRPr="007F1261" w:rsidRDefault="004931F6" w:rsidP="001303AF">
            <w:pPr>
              <w:pStyle w:val="Tabletext"/>
              <w:spacing w:before="0" w:after="0"/>
            </w:pPr>
            <w:proofErr w:type="spellStart"/>
            <w:r>
              <w:t>Ausmed</w:t>
            </w:r>
            <w:proofErr w:type="spellEnd"/>
            <w:r>
              <w:t xml:space="preserve"> International Pty Ltd</w:t>
            </w:r>
          </w:p>
        </w:tc>
      </w:tr>
      <w:tr w:rsidR="004931F6" w:rsidRPr="00183E4D" w:rsidTr="00A637B6">
        <w:tc>
          <w:tcPr>
            <w:tcW w:w="815" w:type="dxa"/>
          </w:tcPr>
          <w:p w:rsidR="004931F6" w:rsidRPr="00281CBB" w:rsidRDefault="004931F6" w:rsidP="001303AF">
            <w:pPr>
              <w:pStyle w:val="Tabletext"/>
              <w:spacing w:before="0" w:after="0"/>
            </w:pPr>
            <w:r w:rsidRPr="00281CBB">
              <w:t>273755</w:t>
            </w:r>
          </w:p>
        </w:tc>
        <w:tc>
          <w:tcPr>
            <w:tcW w:w="850" w:type="dxa"/>
          </w:tcPr>
          <w:p w:rsidR="004931F6" w:rsidRPr="00281CBB" w:rsidRDefault="004931F6" w:rsidP="001303AF">
            <w:pPr>
              <w:pStyle w:val="Tabletext"/>
              <w:spacing w:before="0" w:after="0"/>
            </w:pPr>
            <w:r w:rsidRPr="00281CBB">
              <w:t>61473</w:t>
            </w:r>
          </w:p>
        </w:tc>
        <w:tc>
          <w:tcPr>
            <w:tcW w:w="3736" w:type="dxa"/>
          </w:tcPr>
          <w:p w:rsidR="004931F6" w:rsidRDefault="004931F6" w:rsidP="001303AF">
            <w:pPr>
              <w:pStyle w:val="Tabletext"/>
              <w:spacing w:before="0" w:after="0"/>
            </w:pPr>
            <w:r w:rsidRPr="00281CBB">
              <w:t>Dermatological carbon dioxide laser system</w:t>
            </w:r>
            <w:r>
              <w:t xml:space="preserve">. </w:t>
            </w:r>
            <w:r w:rsidRPr="00281CBB">
              <w:t>A CO</w:t>
            </w:r>
            <w:r w:rsidRPr="00281CBB">
              <w:rPr>
                <w:vertAlign w:val="subscript"/>
              </w:rPr>
              <w:t>2</w:t>
            </w:r>
            <w:r w:rsidRPr="00281CBB">
              <w:t xml:space="preserve"> Laser Device intended to incise, excise, ablate, and vaporize soft tissues</w:t>
            </w:r>
          </w:p>
        </w:tc>
        <w:tc>
          <w:tcPr>
            <w:tcW w:w="1569" w:type="dxa"/>
          </w:tcPr>
          <w:p w:rsidR="004931F6" w:rsidRPr="007F1261" w:rsidRDefault="004931F6" w:rsidP="001303AF">
            <w:pPr>
              <w:pStyle w:val="Tabletext"/>
              <w:spacing w:before="0" w:after="0"/>
            </w:pPr>
            <w:r w:rsidRPr="007F1261">
              <w:t xml:space="preserve">Medical Device Class </w:t>
            </w:r>
            <w:proofErr w:type="spellStart"/>
            <w:r w:rsidRPr="007F1261">
              <w:t>II</w:t>
            </w:r>
            <w:r>
              <w:t>b</w:t>
            </w:r>
            <w:proofErr w:type="spellEnd"/>
          </w:p>
        </w:tc>
        <w:tc>
          <w:tcPr>
            <w:tcW w:w="2049" w:type="dxa"/>
          </w:tcPr>
          <w:p w:rsidR="004931F6" w:rsidRPr="00281CBB" w:rsidRDefault="004931F6" w:rsidP="001303AF">
            <w:pPr>
              <w:pStyle w:val="Tabletext"/>
              <w:spacing w:before="0" w:after="0"/>
            </w:pPr>
            <w:r>
              <w:t>Velocity 8 Pty Ltd</w:t>
            </w:r>
          </w:p>
        </w:tc>
      </w:tr>
      <w:tr w:rsidR="004931F6" w:rsidRPr="00183E4D" w:rsidTr="00A637B6">
        <w:tc>
          <w:tcPr>
            <w:tcW w:w="815" w:type="dxa"/>
          </w:tcPr>
          <w:p w:rsidR="004931F6" w:rsidRPr="00281CBB" w:rsidRDefault="004931F6" w:rsidP="001303AF">
            <w:pPr>
              <w:pStyle w:val="Tabletext"/>
              <w:spacing w:before="0" w:after="0"/>
            </w:pPr>
            <w:r w:rsidRPr="00281CBB">
              <w:t>233364</w:t>
            </w:r>
          </w:p>
        </w:tc>
        <w:tc>
          <w:tcPr>
            <w:tcW w:w="850" w:type="dxa"/>
          </w:tcPr>
          <w:p w:rsidR="004931F6" w:rsidRPr="00281CBB" w:rsidRDefault="004931F6" w:rsidP="001303AF">
            <w:pPr>
              <w:pStyle w:val="Tabletext"/>
              <w:spacing w:before="0" w:after="0"/>
            </w:pPr>
            <w:r w:rsidRPr="00281CBB">
              <w:t>35939</w:t>
            </w:r>
          </w:p>
        </w:tc>
        <w:tc>
          <w:tcPr>
            <w:tcW w:w="3736" w:type="dxa"/>
          </w:tcPr>
          <w:p w:rsidR="004931F6" w:rsidRPr="00281CBB" w:rsidRDefault="004931F6" w:rsidP="001303AF">
            <w:pPr>
              <w:pStyle w:val="Tabletext"/>
              <w:spacing w:before="0" w:after="0"/>
            </w:pPr>
            <w:r w:rsidRPr="00281CBB">
              <w:t>Surgical/dermatological carbon dioxide laser syst</w:t>
            </w:r>
            <w:r>
              <w:t>em.</w:t>
            </w:r>
            <w:r w:rsidRPr="00281CBB">
              <w:t xml:space="preserve"> </w:t>
            </w:r>
            <w:r>
              <w:t xml:space="preserve">The </w:t>
            </w:r>
            <w:r w:rsidRPr="00257554">
              <w:t>eCO</w:t>
            </w:r>
            <w:r w:rsidRPr="0011443D">
              <w:rPr>
                <w:vertAlign w:val="subscript"/>
              </w:rPr>
              <w:t>2</w:t>
            </w:r>
            <w:r>
              <w:t xml:space="preserve"> Plus laser system is indicated for a wide range of surgical and dermatological applications. In the dermatological field the device is typically used for the treatment of scars such as acne scars, surgical scars, burn scars, and striae </w:t>
            </w:r>
            <w:proofErr w:type="spellStart"/>
            <w:r>
              <w:t>distensae</w:t>
            </w:r>
            <w:proofErr w:type="spellEnd"/>
            <w:r>
              <w:t>. It is also used for the treatment of pigmented lesions, nevus, warts, and skin rejuvenation</w:t>
            </w:r>
          </w:p>
        </w:tc>
        <w:tc>
          <w:tcPr>
            <w:tcW w:w="1569" w:type="dxa"/>
          </w:tcPr>
          <w:p w:rsidR="004931F6" w:rsidRPr="007F1261" w:rsidRDefault="004931F6" w:rsidP="001303AF">
            <w:pPr>
              <w:pStyle w:val="Tabletext"/>
              <w:spacing w:before="0" w:after="0"/>
            </w:pPr>
            <w:r w:rsidRPr="007F1261">
              <w:t xml:space="preserve">Medical Device Class </w:t>
            </w:r>
            <w:proofErr w:type="spellStart"/>
            <w:r w:rsidRPr="007F1261">
              <w:t>II</w:t>
            </w:r>
            <w:r>
              <w:t>b</w:t>
            </w:r>
            <w:proofErr w:type="spellEnd"/>
          </w:p>
        </w:tc>
        <w:tc>
          <w:tcPr>
            <w:tcW w:w="2049" w:type="dxa"/>
          </w:tcPr>
          <w:p w:rsidR="004931F6" w:rsidRDefault="004931F6" w:rsidP="001303AF">
            <w:pPr>
              <w:pStyle w:val="Tabletext"/>
              <w:spacing w:before="0" w:after="0"/>
            </w:pPr>
            <w:r w:rsidRPr="00281CBB">
              <w:t>Advanced Cosmeceutic</w:t>
            </w:r>
            <w:r>
              <w:t>als</w:t>
            </w:r>
          </w:p>
        </w:tc>
      </w:tr>
      <w:tr w:rsidR="004931F6" w:rsidRPr="00183E4D" w:rsidTr="00A637B6">
        <w:tc>
          <w:tcPr>
            <w:tcW w:w="815" w:type="dxa"/>
          </w:tcPr>
          <w:p w:rsidR="004931F6" w:rsidRPr="00281CBB" w:rsidRDefault="004931F6" w:rsidP="001303AF">
            <w:pPr>
              <w:pStyle w:val="Tabletext"/>
              <w:spacing w:before="0" w:after="0"/>
            </w:pPr>
            <w:r>
              <w:t>229110</w:t>
            </w:r>
          </w:p>
        </w:tc>
        <w:tc>
          <w:tcPr>
            <w:tcW w:w="850" w:type="dxa"/>
          </w:tcPr>
          <w:p w:rsidR="004931F6" w:rsidRPr="00281CBB" w:rsidRDefault="004931F6" w:rsidP="001303AF">
            <w:pPr>
              <w:pStyle w:val="Tabletext"/>
              <w:spacing w:before="0" w:after="0"/>
            </w:pPr>
            <w:r w:rsidRPr="00281CBB">
              <w:t>35939</w:t>
            </w:r>
          </w:p>
        </w:tc>
        <w:tc>
          <w:tcPr>
            <w:tcW w:w="3736" w:type="dxa"/>
          </w:tcPr>
          <w:p w:rsidR="004931F6" w:rsidRPr="00281CBB" w:rsidRDefault="004931F6" w:rsidP="001303AF">
            <w:pPr>
              <w:pStyle w:val="Tabletext"/>
              <w:spacing w:before="0" w:after="0"/>
            </w:pPr>
            <w:r>
              <w:t>S</w:t>
            </w:r>
            <w:r w:rsidRPr="00281CBB">
              <w:t>urgical/derm</w:t>
            </w:r>
            <w:r>
              <w:t xml:space="preserve">atological carbon dioxide laser </w:t>
            </w:r>
            <w:r w:rsidRPr="00281CBB">
              <w:t>system</w:t>
            </w:r>
            <w:r>
              <w:t xml:space="preserve">. Used in dermatology for acne scar removal, lightening pigmentation, </w:t>
            </w:r>
            <w:proofErr w:type="spellStart"/>
            <w:r>
              <w:t>chloasma</w:t>
            </w:r>
            <w:proofErr w:type="spellEnd"/>
            <w:r>
              <w:t>, smoothing burn, surgery scars, traumatic scars etc. wrinkle removal, skin tightening and for vascular or inflammatory conditions of the skin</w:t>
            </w:r>
          </w:p>
        </w:tc>
        <w:tc>
          <w:tcPr>
            <w:tcW w:w="1569" w:type="dxa"/>
          </w:tcPr>
          <w:p w:rsidR="004931F6" w:rsidRPr="007F1261" w:rsidRDefault="004931F6" w:rsidP="001303AF">
            <w:pPr>
              <w:pStyle w:val="Tabletext"/>
              <w:spacing w:before="0" w:after="0"/>
            </w:pPr>
            <w:r w:rsidRPr="007F1261">
              <w:t xml:space="preserve">Medical Device Class </w:t>
            </w:r>
            <w:proofErr w:type="spellStart"/>
            <w:r w:rsidRPr="007F1261">
              <w:t>II</w:t>
            </w:r>
            <w:r>
              <w:t>b</w:t>
            </w:r>
            <w:proofErr w:type="spellEnd"/>
          </w:p>
        </w:tc>
        <w:tc>
          <w:tcPr>
            <w:tcW w:w="2049" w:type="dxa"/>
          </w:tcPr>
          <w:p w:rsidR="004931F6" w:rsidRDefault="004931F6" w:rsidP="001303AF">
            <w:pPr>
              <w:pStyle w:val="Tabletext"/>
              <w:spacing w:before="0" w:after="0"/>
            </w:pPr>
            <w:r w:rsidRPr="00281CBB">
              <w:t>Capricorn Skin Centres</w:t>
            </w:r>
          </w:p>
        </w:tc>
      </w:tr>
      <w:tr w:rsidR="004931F6" w:rsidRPr="00183E4D" w:rsidTr="00A637B6">
        <w:tc>
          <w:tcPr>
            <w:tcW w:w="815" w:type="dxa"/>
          </w:tcPr>
          <w:p w:rsidR="004931F6" w:rsidRDefault="004931F6" w:rsidP="001303AF">
            <w:pPr>
              <w:pStyle w:val="Tabletext"/>
              <w:spacing w:before="0" w:after="0"/>
            </w:pPr>
            <w:r w:rsidRPr="00154C31">
              <w:t>226006</w:t>
            </w:r>
          </w:p>
        </w:tc>
        <w:tc>
          <w:tcPr>
            <w:tcW w:w="850" w:type="dxa"/>
          </w:tcPr>
          <w:p w:rsidR="004931F6" w:rsidRPr="00281CBB" w:rsidRDefault="004931F6" w:rsidP="001303AF">
            <w:pPr>
              <w:pStyle w:val="Tabletext"/>
              <w:spacing w:before="0" w:after="0"/>
            </w:pPr>
            <w:r w:rsidRPr="00154C31">
              <w:t>35939</w:t>
            </w:r>
          </w:p>
        </w:tc>
        <w:tc>
          <w:tcPr>
            <w:tcW w:w="3736" w:type="dxa"/>
          </w:tcPr>
          <w:p w:rsidR="004931F6" w:rsidRDefault="004931F6" w:rsidP="001303AF">
            <w:pPr>
              <w:pStyle w:val="Tabletext"/>
              <w:spacing w:before="0" w:after="0"/>
            </w:pPr>
            <w:r>
              <w:t>S</w:t>
            </w:r>
            <w:r w:rsidRPr="00154C31">
              <w:t>urgical/dermatological carbon dioxide laser system</w:t>
            </w:r>
            <w:r>
              <w:t>. Intended for incision, excision, ablation, vaporization and coagulation of body soft tissues including intraoral tissues, in medical specialties including aesthetic (dermatology and plastic surgery), otolaryngology (ENT), gynaecology and genitourinary surgery. The use with the scanning unit is indicated for ablative skin resurfacing</w:t>
            </w:r>
          </w:p>
        </w:tc>
        <w:tc>
          <w:tcPr>
            <w:tcW w:w="1569" w:type="dxa"/>
          </w:tcPr>
          <w:p w:rsidR="004931F6" w:rsidRPr="007F1261" w:rsidRDefault="004931F6" w:rsidP="001303AF">
            <w:pPr>
              <w:pStyle w:val="Tabletext"/>
              <w:spacing w:before="0" w:after="0"/>
            </w:pPr>
            <w:r w:rsidRPr="007F1261">
              <w:t xml:space="preserve">Medical Device Class </w:t>
            </w:r>
            <w:proofErr w:type="spellStart"/>
            <w:r w:rsidRPr="007F1261">
              <w:t>II</w:t>
            </w:r>
            <w:r>
              <w:t>b</w:t>
            </w:r>
            <w:proofErr w:type="spellEnd"/>
          </w:p>
        </w:tc>
        <w:tc>
          <w:tcPr>
            <w:tcW w:w="2049" w:type="dxa"/>
          </w:tcPr>
          <w:p w:rsidR="004931F6" w:rsidRPr="00281CBB" w:rsidRDefault="004931F6" w:rsidP="001303AF">
            <w:pPr>
              <w:pStyle w:val="Tabletext"/>
              <w:spacing w:before="0" w:after="0"/>
            </w:pPr>
            <w:r w:rsidRPr="00154C31">
              <w:t>Cynosure Pty Ltd</w:t>
            </w:r>
          </w:p>
        </w:tc>
      </w:tr>
      <w:tr w:rsidR="004931F6" w:rsidRPr="00183E4D" w:rsidTr="00A637B6">
        <w:tc>
          <w:tcPr>
            <w:tcW w:w="815" w:type="dxa"/>
          </w:tcPr>
          <w:p w:rsidR="004931F6" w:rsidRDefault="004931F6" w:rsidP="001303AF">
            <w:pPr>
              <w:pStyle w:val="Tabletext"/>
              <w:spacing w:before="0" w:after="0"/>
            </w:pPr>
            <w:r w:rsidRPr="00154C31">
              <w:t>208045</w:t>
            </w:r>
          </w:p>
        </w:tc>
        <w:tc>
          <w:tcPr>
            <w:tcW w:w="850" w:type="dxa"/>
          </w:tcPr>
          <w:p w:rsidR="004931F6" w:rsidRPr="00281CBB" w:rsidRDefault="004931F6" w:rsidP="001303AF">
            <w:pPr>
              <w:pStyle w:val="Tabletext"/>
              <w:spacing w:before="0" w:after="0"/>
            </w:pPr>
            <w:r w:rsidRPr="00154C31">
              <w:t>35939</w:t>
            </w:r>
          </w:p>
        </w:tc>
        <w:tc>
          <w:tcPr>
            <w:tcW w:w="3736" w:type="dxa"/>
          </w:tcPr>
          <w:p w:rsidR="004931F6" w:rsidRDefault="004931F6" w:rsidP="001303AF">
            <w:pPr>
              <w:pStyle w:val="Tabletext"/>
              <w:spacing w:before="0" w:after="0"/>
            </w:pPr>
            <w:r>
              <w:t>Surgical/dermatological carbon dioxide laser system. The CO</w:t>
            </w:r>
            <w:r w:rsidRPr="0011443D">
              <w:rPr>
                <w:vertAlign w:val="subscript"/>
              </w:rPr>
              <w:t xml:space="preserve">2 </w:t>
            </w:r>
            <w:r>
              <w:t>laser is indicated for use in ENT, dentistry, ophthalmology, dermatology, and general surgery</w:t>
            </w:r>
          </w:p>
        </w:tc>
        <w:tc>
          <w:tcPr>
            <w:tcW w:w="1569" w:type="dxa"/>
          </w:tcPr>
          <w:p w:rsidR="004931F6" w:rsidRPr="007F1261" w:rsidRDefault="004931F6" w:rsidP="001303AF">
            <w:pPr>
              <w:pStyle w:val="Tabletext"/>
              <w:spacing w:before="0" w:after="0"/>
            </w:pPr>
            <w:r w:rsidRPr="007F1261">
              <w:t xml:space="preserve">Medical Device Class </w:t>
            </w:r>
            <w:proofErr w:type="spellStart"/>
            <w:r w:rsidRPr="007F1261">
              <w:t>II</w:t>
            </w:r>
            <w:r>
              <w:t>b</w:t>
            </w:r>
            <w:proofErr w:type="spellEnd"/>
          </w:p>
        </w:tc>
        <w:tc>
          <w:tcPr>
            <w:tcW w:w="2049" w:type="dxa"/>
          </w:tcPr>
          <w:p w:rsidR="004931F6" w:rsidRPr="00281CBB" w:rsidRDefault="004931F6" w:rsidP="001303AF">
            <w:pPr>
              <w:pStyle w:val="Tabletext"/>
              <w:spacing w:before="0" w:after="0"/>
            </w:pPr>
            <w:r w:rsidRPr="00154C31">
              <w:t>MD Solutions Australasia Pty Ltd</w:t>
            </w:r>
          </w:p>
        </w:tc>
      </w:tr>
    </w:tbl>
    <w:p w:rsidR="00734AC4" w:rsidRDefault="004931F6" w:rsidP="00734AC4">
      <w:pPr>
        <w:jc w:val="both"/>
        <w:rPr>
          <w:rFonts w:ascii="Arial Narrow" w:hAnsi="Arial Narrow"/>
          <w:sz w:val="18"/>
          <w:szCs w:val="18"/>
        </w:rPr>
      </w:pPr>
      <w:r w:rsidRPr="00183E4D">
        <w:rPr>
          <w:rFonts w:ascii="Arial Narrow" w:hAnsi="Arial Narrow"/>
          <w:sz w:val="20"/>
        </w:rPr>
        <w:t xml:space="preserve">Source: Therapeutic Goods Administration, </w:t>
      </w:r>
      <w:r w:rsidRPr="001551F0">
        <w:rPr>
          <w:rFonts w:ascii="Arial Narrow" w:hAnsi="Arial Narrow"/>
          <w:sz w:val="20"/>
        </w:rPr>
        <w:t>accessed 28 July 2017</w:t>
      </w:r>
      <w:r w:rsidRPr="00764136">
        <w:rPr>
          <w:rFonts w:ascii="Arial Narrow" w:hAnsi="Arial Narrow"/>
          <w:sz w:val="18"/>
          <w:szCs w:val="18"/>
        </w:rPr>
        <w:t xml:space="preserve"> </w:t>
      </w:r>
      <w:r w:rsidRPr="00367C5C">
        <w:rPr>
          <w:rFonts w:ascii="Arial Narrow" w:hAnsi="Arial Narrow"/>
          <w:sz w:val="18"/>
          <w:szCs w:val="18"/>
        </w:rPr>
        <w:t>http://www.tga.gov.au/</w:t>
      </w:r>
      <w:r w:rsidR="00734AC4">
        <w:rPr>
          <w:rFonts w:ascii="Arial Narrow" w:hAnsi="Arial Narrow"/>
          <w:sz w:val="18"/>
          <w:szCs w:val="18"/>
        </w:rPr>
        <w:br w:type="page"/>
      </w:r>
    </w:p>
    <w:p w:rsidR="00BC1364" w:rsidRPr="00F715D1" w:rsidRDefault="00BC1364" w:rsidP="00F715D1">
      <w:pPr>
        <w:pStyle w:val="Heading1"/>
      </w:pPr>
      <w:r w:rsidRPr="00F715D1">
        <w:lastRenderedPageBreak/>
        <w:t>Proposal for public funding</w:t>
      </w:r>
    </w:p>
    <w:p w:rsidR="006E2BCA" w:rsidRPr="008D3067" w:rsidRDefault="006E2BCA" w:rsidP="006E2BCA">
      <w:pPr>
        <w:spacing w:after="240"/>
      </w:pPr>
      <w:r w:rsidRPr="008D3067">
        <w:t xml:space="preserve">The proposed </w:t>
      </w:r>
      <w:r>
        <w:t>MBS item descriptors are shown</w:t>
      </w:r>
      <w:r w:rsidRPr="008D3067">
        <w:t xml:space="preserve"> in </w:t>
      </w:r>
      <w:r>
        <w:fldChar w:fldCharType="begin"/>
      </w:r>
      <w:r>
        <w:instrText xml:space="preserve"> REF _Ref508098738 \h </w:instrText>
      </w:r>
      <w:r>
        <w:fldChar w:fldCharType="separate"/>
      </w:r>
      <w:r>
        <w:t xml:space="preserve">Table </w:t>
      </w:r>
      <w:r>
        <w:rPr>
          <w:noProof/>
        </w:rPr>
        <w:t>2</w:t>
      </w:r>
      <w:r>
        <w:fldChar w:fldCharType="end"/>
      </w:r>
      <w:r w:rsidRPr="008D3067">
        <w:t>.</w:t>
      </w:r>
    </w:p>
    <w:p w:rsidR="006E2BCA" w:rsidRDefault="006E2BCA" w:rsidP="006E2BCA">
      <w:pPr>
        <w:pStyle w:val="Caption"/>
        <w:keepNext/>
        <w:jc w:val="both"/>
      </w:pPr>
      <w:bookmarkStart w:id="4" w:name="_Ref508098738"/>
      <w:bookmarkStart w:id="5" w:name="_Ref493074622"/>
      <w:bookmarkStart w:id="6" w:name="_Toc496186156"/>
      <w:r>
        <w:t xml:space="preserve">Table </w:t>
      </w:r>
      <w:fldSimple w:instr=" SEQ Table \* ARABIC ">
        <w:r>
          <w:rPr>
            <w:noProof/>
          </w:rPr>
          <w:t>2</w:t>
        </w:r>
      </w:fldSimple>
      <w:bookmarkEnd w:id="4"/>
      <w:r>
        <w:tab/>
      </w:r>
      <w:r w:rsidRPr="00D2229A">
        <w:t>Proposed MBS item descriptors for CO</w:t>
      </w:r>
      <w:r w:rsidRPr="001A10F1">
        <w:rPr>
          <w:vertAlign w:val="subscript"/>
        </w:rPr>
        <w:t>2</w:t>
      </w:r>
      <w:r w:rsidRPr="00D2229A">
        <w:t xml:space="preserve"> AFL</w:t>
      </w:r>
    </w:p>
    <w:tbl>
      <w:tblPr>
        <w:tblStyle w:val="TableGrid1"/>
        <w:tblW w:w="0" w:type="auto"/>
        <w:tblLook w:val="04A0" w:firstRow="1" w:lastRow="0" w:firstColumn="1" w:lastColumn="0" w:noHBand="0" w:noVBand="1"/>
        <w:tblCaption w:val="Proposed MBS item descriptors for CO2 AFL"/>
      </w:tblPr>
      <w:tblGrid>
        <w:gridCol w:w="8885"/>
      </w:tblGrid>
      <w:tr w:rsidR="006E2BCA" w:rsidRPr="00183E4D" w:rsidDel="00A134DA" w:rsidTr="00A637B6">
        <w:trPr>
          <w:cnfStyle w:val="100000000000" w:firstRow="1" w:lastRow="0" w:firstColumn="0" w:lastColumn="0" w:oddVBand="0" w:evenVBand="0" w:oddHBand="0" w:evenHBand="0" w:firstRowFirstColumn="0" w:firstRowLastColumn="0" w:lastRowFirstColumn="0" w:lastRowLastColumn="0"/>
          <w:tblHeader/>
        </w:trPr>
        <w:tc>
          <w:tcPr>
            <w:tcW w:w="8885" w:type="dxa"/>
          </w:tcPr>
          <w:bookmarkEnd w:id="5"/>
          <w:bookmarkEnd w:id="6"/>
          <w:p w:rsidR="006E2BCA" w:rsidRDefault="006E2BCA" w:rsidP="001303AF">
            <w:pPr>
              <w:pStyle w:val="Tabletext"/>
            </w:pPr>
            <w:r>
              <w:t>Category 3 – Therapeutic Procedures</w:t>
            </w:r>
          </w:p>
          <w:p w:rsidR="006E2BCA" w:rsidRPr="00183E4D" w:rsidDel="00A134DA" w:rsidRDefault="006E2BCA" w:rsidP="001303AF">
            <w:pPr>
              <w:pStyle w:val="Tabletext"/>
            </w:pPr>
            <w:r>
              <w:t>OPERATIONS | PLASTIC &amp; RECONSTRUCTIVE</w:t>
            </w:r>
          </w:p>
        </w:tc>
      </w:tr>
      <w:tr w:rsidR="006E2BCA" w:rsidRPr="00183E4D" w:rsidDel="00A134DA" w:rsidTr="00A637B6">
        <w:tc>
          <w:tcPr>
            <w:tcW w:w="8885" w:type="dxa"/>
          </w:tcPr>
          <w:p w:rsidR="006E2BCA" w:rsidRDefault="006E2BCA" w:rsidP="001303AF">
            <w:pPr>
              <w:pStyle w:val="Tabletext"/>
            </w:pPr>
            <w:r>
              <w:t>FRACTIONAL ABLATIVE CARBON DIOXIDE LASER resurfacing of the face or neck for hypertrophic and keloid burn scars that are associated with significant functional or psychological impairment - limited to 1 aesthetic area (</w:t>
            </w:r>
            <w:proofErr w:type="spellStart"/>
            <w:r>
              <w:t>Anaes</w:t>
            </w:r>
            <w:proofErr w:type="spellEnd"/>
            <w:r>
              <w:t>.)</w:t>
            </w:r>
          </w:p>
          <w:p w:rsidR="006E2BCA" w:rsidRDefault="006E2BCA" w:rsidP="00700664">
            <w:pPr>
              <w:pStyle w:val="Tabletext"/>
              <w:spacing w:after="240"/>
            </w:pPr>
            <w:r>
              <w:t>MBS Fee: $219.95</w:t>
            </w:r>
          </w:p>
          <w:p w:rsidR="006E2BCA" w:rsidRDefault="006E2BCA" w:rsidP="001303AF">
            <w:pPr>
              <w:pStyle w:val="Tabletext"/>
            </w:pPr>
            <w:r>
              <w:t>FRACTIONAL ABLATIVE CARBON DIOXIDE LASER resurfacing of the face or neck for hypertrophic and keloid burn scars that are associated with significant functional or psychological impairment - more than 1 aesthetic area (</w:t>
            </w:r>
            <w:proofErr w:type="spellStart"/>
            <w:r>
              <w:t>Anaes</w:t>
            </w:r>
            <w:proofErr w:type="spellEnd"/>
            <w:r>
              <w:t>.)</w:t>
            </w:r>
          </w:p>
          <w:p w:rsidR="006E2BCA" w:rsidRDefault="006E2BCA" w:rsidP="00700664">
            <w:pPr>
              <w:pStyle w:val="Tabletext"/>
              <w:spacing w:after="240"/>
            </w:pPr>
            <w:r>
              <w:t>MBS Fee: $295.70</w:t>
            </w:r>
          </w:p>
          <w:p w:rsidR="006E2BCA" w:rsidRDefault="006E2BCA" w:rsidP="001303AF">
            <w:pPr>
              <w:pStyle w:val="Tabletext"/>
            </w:pPr>
            <w:r>
              <w:t>ABLATIVE FRACTIONAL CARBON DIOXIDE LASER resurfacing of the face or neck for hypertrophic and keloid burn scars that are associated with significant functional or psychological impairment – whole of face or whole of neck (</w:t>
            </w:r>
            <w:proofErr w:type="spellStart"/>
            <w:r>
              <w:t>Anaes</w:t>
            </w:r>
            <w:proofErr w:type="spellEnd"/>
            <w:r>
              <w:t>.)</w:t>
            </w:r>
          </w:p>
          <w:p w:rsidR="006E2BCA" w:rsidRDefault="006E2BCA" w:rsidP="00700664">
            <w:pPr>
              <w:pStyle w:val="Tabletext"/>
              <w:spacing w:after="240"/>
            </w:pPr>
            <w:r>
              <w:t>MBS Fee: $700</w:t>
            </w:r>
          </w:p>
          <w:p w:rsidR="006E2BCA" w:rsidRDefault="006E2BCA" w:rsidP="001303AF">
            <w:pPr>
              <w:pStyle w:val="Tabletext"/>
            </w:pPr>
            <w:r>
              <w:t>ABLATIVE FRACTIONAL CARBON DIOXIDE LASER resurfacing of areas other than the face or neck for hypertrophic and keloid burn scars that are associated with significant functional or psychological impairment - area of treatment up to 3% of total body surface (</w:t>
            </w:r>
            <w:proofErr w:type="spellStart"/>
            <w:r>
              <w:t>Anaes</w:t>
            </w:r>
            <w:proofErr w:type="spellEnd"/>
            <w:r>
              <w:t>.)</w:t>
            </w:r>
          </w:p>
          <w:p w:rsidR="006E2BCA" w:rsidRDefault="006E2BCA" w:rsidP="00700664">
            <w:pPr>
              <w:pStyle w:val="Tabletext"/>
              <w:spacing w:after="240"/>
            </w:pPr>
            <w:r>
              <w:t>MBS Fee: $198.25</w:t>
            </w:r>
          </w:p>
          <w:p w:rsidR="006E2BCA" w:rsidRDefault="006E2BCA" w:rsidP="001303AF">
            <w:pPr>
              <w:pStyle w:val="Tabletext"/>
            </w:pPr>
            <w:r>
              <w:t>ABLATIVE FRACTIONAL CARBON DIOXIDE LASER resurfacing of areas other than the face or neck hypertrophic and keloid burn scars that are associated with significant functional or psychological impairment - area of treatment between 3% and up to 6% of total body surface (</w:t>
            </w:r>
            <w:proofErr w:type="spellStart"/>
            <w:r>
              <w:t>Anaes</w:t>
            </w:r>
            <w:proofErr w:type="spellEnd"/>
            <w:r>
              <w:t>.)</w:t>
            </w:r>
          </w:p>
          <w:p w:rsidR="006E2BCA" w:rsidRDefault="006E2BCA" w:rsidP="00700664">
            <w:pPr>
              <w:pStyle w:val="Tabletext"/>
              <w:spacing w:after="240"/>
            </w:pPr>
            <w:r>
              <w:t>MBS Fee: $243.55</w:t>
            </w:r>
          </w:p>
          <w:p w:rsidR="006E2BCA" w:rsidRDefault="006E2BCA" w:rsidP="001303AF">
            <w:pPr>
              <w:pStyle w:val="Tabletext"/>
            </w:pPr>
            <w:r>
              <w:t>ABLATIVE FRACTIONAL CARBON DIOXIDE LASER resurfacing of areas other than the face or neck hypertrophic and keloid burn scars that are associated with significant functional or psychological impairment - area of treatment between 6% and up to 9% of total body surface (</w:t>
            </w:r>
            <w:proofErr w:type="spellStart"/>
            <w:r>
              <w:t>Anaes</w:t>
            </w:r>
            <w:proofErr w:type="spellEnd"/>
            <w:r>
              <w:t>.)</w:t>
            </w:r>
          </w:p>
          <w:p w:rsidR="006E2BCA" w:rsidRDefault="006E2BCA" w:rsidP="00700664">
            <w:pPr>
              <w:pStyle w:val="Tabletext"/>
              <w:spacing w:after="240"/>
            </w:pPr>
            <w:r>
              <w:t>MBS Fee: $288.25</w:t>
            </w:r>
          </w:p>
          <w:p w:rsidR="006E2BCA" w:rsidRDefault="006E2BCA" w:rsidP="001303AF">
            <w:pPr>
              <w:pStyle w:val="Tabletext"/>
            </w:pPr>
            <w:r>
              <w:t>ABLATIVE FRACTIONAL CARBON DIOXIDE LASER resurfacing of areas other than the face or neck hypertrophic and keloid burn scars that are associated with significant functional or psychological impairment - area of treatment between 9% and up to 12% of total body surface (</w:t>
            </w:r>
            <w:proofErr w:type="spellStart"/>
            <w:r>
              <w:t>Anaes</w:t>
            </w:r>
            <w:proofErr w:type="spellEnd"/>
            <w:r>
              <w:t>.)</w:t>
            </w:r>
          </w:p>
          <w:p w:rsidR="006E2BCA" w:rsidRDefault="006E2BCA" w:rsidP="00700664">
            <w:pPr>
              <w:pStyle w:val="Tabletext"/>
              <w:spacing w:after="240"/>
            </w:pPr>
            <w:r>
              <w:t>MBS Fee: $333.45</w:t>
            </w:r>
          </w:p>
          <w:p w:rsidR="006E2BCA" w:rsidRDefault="006E2BCA" w:rsidP="001303AF">
            <w:pPr>
              <w:pStyle w:val="Tabletext"/>
            </w:pPr>
            <w:r>
              <w:t>ABLATIVE FRACTIONAL CARBON DIOXIDE LASER resurfacing of areas other than the face or neck hypertrophic and keloid burn scars that are associated with significant functional or psychological impairment - area of treatment greater than 12% of total body surface (</w:t>
            </w:r>
            <w:proofErr w:type="spellStart"/>
            <w:r>
              <w:t>Anaes</w:t>
            </w:r>
            <w:proofErr w:type="spellEnd"/>
            <w:r>
              <w:t>.)</w:t>
            </w:r>
          </w:p>
          <w:p w:rsidR="006E2BCA" w:rsidRDefault="006E2BCA" w:rsidP="00700664">
            <w:pPr>
              <w:pStyle w:val="Tabletext"/>
              <w:spacing w:after="240"/>
            </w:pPr>
            <w:r>
              <w:t>MBS Fee: $423.50</w:t>
            </w:r>
          </w:p>
          <w:p w:rsidR="006E2BCA" w:rsidRPr="00183E4D" w:rsidDel="00A134DA" w:rsidRDefault="006E2BCA" w:rsidP="001303AF">
            <w:pPr>
              <w:pStyle w:val="Tabletext"/>
            </w:pPr>
            <w:r w:rsidRPr="00220845">
              <w:rPr>
                <w:i/>
              </w:rPr>
              <w:t>Up to a maximum of 6 sessions (including any sessions to which any of the above items apply) in any 12 month period</w:t>
            </w:r>
            <w:r>
              <w:t>.</w:t>
            </w:r>
          </w:p>
        </w:tc>
      </w:tr>
    </w:tbl>
    <w:p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rsidR="006E2BCA" w:rsidRPr="00C73B7E" w:rsidRDefault="006E2BCA" w:rsidP="00700664">
      <w:pPr>
        <w:tabs>
          <w:tab w:val="num" w:pos="426"/>
        </w:tabs>
        <w:spacing w:after="240"/>
      </w:pPr>
      <w:r>
        <w:t>T</w:t>
      </w:r>
      <w:r w:rsidRPr="00C73B7E">
        <w:t>he department received four response</w:t>
      </w:r>
      <w:r>
        <w:t>s to the targeted consultation s</w:t>
      </w:r>
      <w:r w:rsidRPr="00C73B7E">
        <w:t>u</w:t>
      </w:r>
      <w:r>
        <w:t>rvey for this application from specialists.</w:t>
      </w:r>
    </w:p>
    <w:p w:rsidR="006E2BCA" w:rsidRPr="00056CDA" w:rsidRDefault="006E2BCA" w:rsidP="006E2BCA">
      <w:pPr>
        <w:tabs>
          <w:tab w:val="num" w:pos="426"/>
        </w:tabs>
      </w:pPr>
      <w:r w:rsidRPr="00056CDA">
        <w:t>Key issues raised in the targeted consultation feedback</w:t>
      </w:r>
      <w:r>
        <w:t xml:space="preserve"> were</w:t>
      </w:r>
      <w:r w:rsidRPr="00056CDA">
        <w:t>:</w:t>
      </w:r>
    </w:p>
    <w:p w:rsidR="006E2BCA" w:rsidRPr="00C73B7E" w:rsidRDefault="006E2BCA" w:rsidP="006E2BCA">
      <w:pPr>
        <w:pStyle w:val="ListParagraph"/>
        <w:numPr>
          <w:ilvl w:val="0"/>
          <w:numId w:val="27"/>
        </w:numPr>
        <w:tabs>
          <w:tab w:val="num" w:pos="426"/>
        </w:tabs>
      </w:pPr>
      <w:r w:rsidRPr="00C73B7E">
        <w:t>The majority of the responses were in support of the proposed services being publicly funded, and identified benefits of the treatment as:</w:t>
      </w:r>
    </w:p>
    <w:p w:rsidR="006E2BCA" w:rsidRPr="00C73B7E" w:rsidRDefault="006E2BCA" w:rsidP="006E2BCA">
      <w:pPr>
        <w:pStyle w:val="ListParagraph"/>
        <w:numPr>
          <w:ilvl w:val="1"/>
          <w:numId w:val="27"/>
        </w:numPr>
      </w:pPr>
      <w:r w:rsidRPr="00C73B7E">
        <w:t xml:space="preserve">improvement in function and scarring, </w:t>
      </w:r>
    </w:p>
    <w:p w:rsidR="006E2BCA" w:rsidRPr="00C73B7E" w:rsidRDefault="006E2BCA" w:rsidP="006E2BCA">
      <w:pPr>
        <w:pStyle w:val="ListParagraph"/>
        <w:numPr>
          <w:ilvl w:val="1"/>
          <w:numId w:val="27"/>
        </w:numPr>
      </w:pPr>
      <w:r w:rsidRPr="00C73B7E">
        <w:t>minimal adverse reactions, and</w:t>
      </w:r>
    </w:p>
    <w:p w:rsidR="006E2BCA" w:rsidRPr="00C73B7E" w:rsidRDefault="006E2BCA" w:rsidP="006E2BCA">
      <w:pPr>
        <w:pStyle w:val="ListParagraph"/>
        <w:numPr>
          <w:ilvl w:val="1"/>
          <w:numId w:val="27"/>
        </w:numPr>
      </w:pPr>
      <w:proofErr w:type="gramStart"/>
      <w:r w:rsidRPr="00C73B7E">
        <w:lastRenderedPageBreak/>
        <w:t>may</w:t>
      </w:r>
      <w:proofErr w:type="gramEnd"/>
      <w:r w:rsidRPr="00C73B7E">
        <w:t xml:space="preserve"> reduce the number of surgical procedures required for rehabilitation.</w:t>
      </w:r>
    </w:p>
    <w:p w:rsidR="006E2BCA" w:rsidRPr="00C73B7E" w:rsidRDefault="006E2BCA" w:rsidP="006E2BCA">
      <w:pPr>
        <w:pStyle w:val="ListParagraph"/>
        <w:numPr>
          <w:ilvl w:val="0"/>
          <w:numId w:val="27"/>
        </w:numPr>
        <w:tabs>
          <w:tab w:val="num" w:pos="426"/>
        </w:tabs>
      </w:pPr>
      <w:r w:rsidRPr="00C73B7E">
        <w:t>One submission suggested allowing dermatologists and plastic surgeons access to the item.</w:t>
      </w:r>
    </w:p>
    <w:p w:rsidR="006E2BCA" w:rsidRPr="00C73B7E" w:rsidRDefault="006E2BCA" w:rsidP="006E2BCA">
      <w:pPr>
        <w:pStyle w:val="ListParagraph"/>
        <w:numPr>
          <w:ilvl w:val="0"/>
          <w:numId w:val="27"/>
        </w:numPr>
        <w:tabs>
          <w:tab w:val="num" w:pos="426"/>
        </w:tabs>
      </w:pPr>
      <w:r w:rsidRPr="00C73B7E">
        <w:t xml:space="preserve">One submission suggested that the item descriptor should specify that treatment is to be performed in-hospital, while another suggested that the location of treatment should also include inpatient private hospitals, consulting rooms, and day surgery centres.  </w:t>
      </w:r>
    </w:p>
    <w:p w:rsidR="006E2BCA" w:rsidRPr="00C73B7E" w:rsidRDefault="006E2BCA" w:rsidP="006E2BCA">
      <w:pPr>
        <w:pStyle w:val="ListParagraph"/>
        <w:numPr>
          <w:ilvl w:val="0"/>
          <w:numId w:val="27"/>
        </w:numPr>
        <w:tabs>
          <w:tab w:val="num" w:pos="426"/>
        </w:tabs>
      </w:pPr>
      <w:r w:rsidRPr="00C73B7E">
        <w:t>Another commented that the Medical Benefit Schedule (MBS) item for this service should explicitly exclude treatment by other fractional ablative lasers with shallow penetration.</w:t>
      </w:r>
    </w:p>
    <w:p w:rsidR="00BC1364" w:rsidRPr="00F715D1" w:rsidRDefault="00BC1364" w:rsidP="00F715D1">
      <w:pPr>
        <w:pStyle w:val="Heading1"/>
      </w:pPr>
      <w:r w:rsidRPr="00F715D1">
        <w:t>Proposed intervention’s place in clinical management</w:t>
      </w:r>
    </w:p>
    <w:p w:rsidR="006E2BCA" w:rsidRDefault="006E2BCA" w:rsidP="006E2BCA">
      <w:r>
        <w:t xml:space="preserve">According to the clinical management pathway, immature scars (less than 2 years following the burn or last operation) can be treated with </w:t>
      </w:r>
      <w:r w:rsidR="00B829F9" w:rsidRPr="008D3067">
        <w:rPr>
          <w:szCs w:val="24"/>
        </w:rPr>
        <w:t>CO</w:t>
      </w:r>
      <w:r w:rsidR="00B829F9" w:rsidRPr="008D3067">
        <w:rPr>
          <w:szCs w:val="24"/>
          <w:vertAlign w:val="subscript"/>
        </w:rPr>
        <w:t>2</w:t>
      </w:r>
      <w:r>
        <w:t xml:space="preserve"> AFL in the case of contractures over joints or if the patient is developing eyelid and lip </w:t>
      </w:r>
      <w:proofErr w:type="spellStart"/>
      <w:r>
        <w:t>ectropions</w:t>
      </w:r>
      <w:proofErr w:type="spellEnd"/>
      <w:r>
        <w:t xml:space="preserve"> to prevent more complex surgical interventions. Mature hypertrophic or keloid scars (more than 2 years following the burn or last operation) are candidates for treatment with </w:t>
      </w:r>
      <w:r w:rsidR="00B829F9" w:rsidRPr="008D3067">
        <w:rPr>
          <w:szCs w:val="24"/>
        </w:rPr>
        <w:t>CO</w:t>
      </w:r>
      <w:r w:rsidR="00B829F9" w:rsidRPr="008D3067">
        <w:rPr>
          <w:szCs w:val="24"/>
          <w:vertAlign w:val="subscript"/>
        </w:rPr>
        <w:t>2</w:t>
      </w:r>
      <w:r>
        <w:t xml:space="preserve"> AFL therapy. </w:t>
      </w:r>
      <w:r w:rsidR="00B829F9" w:rsidRPr="008D3067">
        <w:rPr>
          <w:szCs w:val="24"/>
        </w:rPr>
        <w:t>CO</w:t>
      </w:r>
      <w:r w:rsidR="00B829F9" w:rsidRPr="008D3067">
        <w:rPr>
          <w:szCs w:val="24"/>
          <w:vertAlign w:val="subscript"/>
        </w:rPr>
        <w:t>2</w:t>
      </w:r>
      <w:r w:rsidR="00B829F9">
        <w:rPr>
          <w:szCs w:val="24"/>
          <w:vertAlign w:val="subscript"/>
        </w:rPr>
        <w:t xml:space="preserve"> </w:t>
      </w:r>
      <w:r>
        <w:t xml:space="preserve">AFL may be performed with or without surgical reconstructive procedures, with or without </w:t>
      </w:r>
      <w:proofErr w:type="spellStart"/>
      <w:r>
        <w:t>intralesional</w:t>
      </w:r>
      <w:proofErr w:type="spellEnd"/>
      <w:r>
        <w:t xml:space="preserve"> pharmacological interventions (including </w:t>
      </w:r>
      <w:proofErr w:type="spellStart"/>
      <w:r>
        <w:t>intralesional</w:t>
      </w:r>
      <w:proofErr w:type="spellEnd"/>
      <w:r>
        <w:t xml:space="preserve"> injections of corticosteroids of 5-fluorouracil, or laser facilitated corticosteroid infiltration). For sever scaring and recurrent keloids, post-operative radiotherapy may also be used together with </w:t>
      </w:r>
      <w:r w:rsidR="00B829F9" w:rsidRPr="008D3067">
        <w:rPr>
          <w:szCs w:val="24"/>
        </w:rPr>
        <w:t>CO</w:t>
      </w:r>
      <w:r w:rsidR="00B829F9" w:rsidRPr="008D3067">
        <w:rPr>
          <w:szCs w:val="24"/>
          <w:vertAlign w:val="subscript"/>
        </w:rPr>
        <w:t>2</w:t>
      </w:r>
      <w:r w:rsidR="00B829F9">
        <w:rPr>
          <w:szCs w:val="24"/>
          <w:vertAlign w:val="subscript"/>
        </w:rPr>
        <w:t xml:space="preserve"> </w:t>
      </w:r>
      <w:r>
        <w:t xml:space="preserve">AFL. In one Australian study, 13% of patients received </w:t>
      </w:r>
      <w:r w:rsidR="00B829F9" w:rsidRPr="008D3067">
        <w:rPr>
          <w:szCs w:val="24"/>
        </w:rPr>
        <w:t>CO</w:t>
      </w:r>
      <w:r w:rsidR="00B829F9" w:rsidRPr="008D3067">
        <w:rPr>
          <w:szCs w:val="24"/>
          <w:vertAlign w:val="subscript"/>
        </w:rPr>
        <w:t>2</w:t>
      </w:r>
      <w:r>
        <w:t xml:space="preserve"> AFL in combination with reconstructive surgery and the remainder received </w:t>
      </w:r>
      <w:r w:rsidR="00B829F9" w:rsidRPr="008D3067">
        <w:rPr>
          <w:szCs w:val="24"/>
        </w:rPr>
        <w:t>CO</w:t>
      </w:r>
      <w:r w:rsidR="00B829F9" w:rsidRPr="008D3067">
        <w:rPr>
          <w:szCs w:val="24"/>
          <w:vertAlign w:val="subscript"/>
        </w:rPr>
        <w:t>2</w:t>
      </w:r>
      <w:r>
        <w:t xml:space="preserve"> AFL alone (</w:t>
      </w:r>
      <w:proofErr w:type="spellStart"/>
      <w:r>
        <w:t>Issler</w:t>
      </w:r>
      <w:proofErr w:type="spellEnd"/>
      <w:r>
        <w:t xml:space="preserve">-Fisher 2017). </w:t>
      </w:r>
    </w:p>
    <w:p w:rsidR="006E2BCA" w:rsidRPr="00B02E35" w:rsidRDefault="006E2BCA" w:rsidP="006E2BCA">
      <w:pPr>
        <w:spacing w:before="240" w:after="240"/>
      </w:pPr>
      <w:r>
        <w:t xml:space="preserve">Currently, the majority of burn scars requiring treatment are referred to burn centres to receive reconstructive procedures. Practitioners performing the </w:t>
      </w:r>
      <w:r w:rsidR="00B829F9" w:rsidRPr="008D3067">
        <w:rPr>
          <w:szCs w:val="24"/>
        </w:rPr>
        <w:t>CO</w:t>
      </w:r>
      <w:r w:rsidR="00B829F9" w:rsidRPr="008D3067">
        <w:rPr>
          <w:szCs w:val="24"/>
          <w:vertAlign w:val="subscript"/>
        </w:rPr>
        <w:t>2</w:t>
      </w:r>
      <w:r>
        <w:t xml:space="preserve"> AFL and reconstructive surgery include qualified burn specialists (medical doctors/surgeons). </w:t>
      </w:r>
      <w:r w:rsidR="00B829F9" w:rsidRPr="008D3067">
        <w:rPr>
          <w:szCs w:val="24"/>
        </w:rPr>
        <w:t>CO</w:t>
      </w:r>
      <w:r w:rsidR="00B829F9" w:rsidRPr="008D3067">
        <w:rPr>
          <w:szCs w:val="24"/>
          <w:vertAlign w:val="subscript"/>
        </w:rPr>
        <w:t>2</w:t>
      </w:r>
      <w:r>
        <w:t xml:space="preserve"> AFL is usually performed in an operating theatre, with approximately 60% of patients requiring general anaesthesia (</w:t>
      </w:r>
      <w:proofErr w:type="spellStart"/>
      <w:r>
        <w:t>Issler</w:t>
      </w:r>
      <w:proofErr w:type="spellEnd"/>
      <w:r>
        <w:t>-Fisher 2017). The remaining patients receive local or regional anaesthesia (with or without sedation), performed by an anaesthetist. Paediatric patients are always treated under general anaesthesia. Reconstructive surgery is generally performed in an operating theatre, and general anaesthesia is received in majority of cases.</w:t>
      </w:r>
    </w:p>
    <w:p w:rsidR="00BC1364" w:rsidRPr="00F715D1" w:rsidRDefault="00BC1364" w:rsidP="00F715D1">
      <w:pPr>
        <w:pStyle w:val="Heading1"/>
      </w:pPr>
      <w:r w:rsidRPr="00F715D1">
        <w:t xml:space="preserve">Comparator </w:t>
      </w:r>
    </w:p>
    <w:p w:rsidR="006E2BCA" w:rsidRPr="00183E4D" w:rsidRDefault="006E2BCA" w:rsidP="006E2BCA">
      <w:r>
        <w:t>The comparator for CO</w:t>
      </w:r>
      <w:r w:rsidRPr="001A10F1">
        <w:rPr>
          <w:vertAlign w:val="subscript"/>
        </w:rPr>
        <w:t>2</w:t>
      </w:r>
      <w:r>
        <w:t xml:space="preserve"> AFL therapy is reconstructive surgical procedures for burn scars alone. Reconstructive procedures include scar excision/release with or without split-thickness skin graft, expanders (insertion and removal) and local flaps and are currently listed on the MBS. </w:t>
      </w:r>
    </w:p>
    <w:p w:rsidR="00BC1364" w:rsidRPr="00F715D1" w:rsidRDefault="00BC1364" w:rsidP="00F715D1">
      <w:pPr>
        <w:pStyle w:val="Heading1"/>
      </w:pPr>
      <w:r w:rsidRPr="00F715D1">
        <w:t>Comparative safety</w:t>
      </w:r>
    </w:p>
    <w:p w:rsidR="00B829F9" w:rsidRDefault="00B829F9" w:rsidP="00B829F9">
      <w:r>
        <w:t>Limited safety data for CO</w:t>
      </w:r>
      <w:r w:rsidRPr="001A10F1">
        <w:rPr>
          <w:rFonts w:asciiTheme="minorHAnsi" w:hAnsiTheme="minorHAnsi"/>
          <w:vertAlign w:val="subscript"/>
        </w:rPr>
        <w:t>2</w:t>
      </w:r>
      <w:r>
        <w:t xml:space="preserve"> AFL and reconstructive surgery </w:t>
      </w:r>
      <w:r w:rsidR="00126E96">
        <w:t xml:space="preserve">were </w:t>
      </w:r>
      <w:r>
        <w:t xml:space="preserve">available across the studies and given lack of overlap in safety events reported, naïve comparison on safety outcomes was not possible. </w:t>
      </w:r>
    </w:p>
    <w:p w:rsidR="00B829F9" w:rsidRPr="00985A4D" w:rsidRDefault="00B829F9" w:rsidP="00B829F9">
      <w:pPr>
        <w:spacing w:before="240"/>
      </w:pPr>
      <w:r>
        <w:t>The adverse events reported in the CO</w:t>
      </w:r>
      <w:r w:rsidRPr="001A10F1">
        <w:rPr>
          <w:rFonts w:asciiTheme="minorHAnsi" w:hAnsiTheme="minorHAnsi"/>
          <w:vertAlign w:val="subscript"/>
        </w:rPr>
        <w:t>2</w:t>
      </w:r>
      <w:r>
        <w:t xml:space="preserve"> AFL studies were not serious, whereas the reconstructive surgery studies reported rare, but serious adverse events (</w:t>
      </w:r>
      <w:proofErr w:type="gramStart"/>
      <w:r>
        <w:t xml:space="preserve">necrosis, wound </w:t>
      </w:r>
      <w:r w:rsidRPr="009159F7">
        <w:t>dehiscence</w:t>
      </w:r>
      <w:r>
        <w:t>, re-graft</w:t>
      </w:r>
      <w:proofErr w:type="gramEnd"/>
      <w:r>
        <w:t>). This may suggest a potential safety advantage with CO</w:t>
      </w:r>
      <w:r w:rsidRPr="00BA09E3">
        <w:rPr>
          <w:vertAlign w:val="subscript"/>
        </w:rPr>
        <w:t>2</w:t>
      </w:r>
      <w:r>
        <w:t xml:space="preserve"> AFL relative to reconstructive surgery, although this could not be confirmed.</w:t>
      </w:r>
    </w:p>
    <w:p w:rsidR="00BC1364" w:rsidRPr="00F715D1" w:rsidRDefault="00BC1364" w:rsidP="00F715D1">
      <w:pPr>
        <w:pStyle w:val="Heading1"/>
      </w:pPr>
      <w:r w:rsidRPr="00F715D1">
        <w:lastRenderedPageBreak/>
        <w:t>Comparative effectiveness</w:t>
      </w:r>
    </w:p>
    <w:p w:rsidR="006E2BCA" w:rsidRDefault="006E2BCA" w:rsidP="006E2BCA">
      <w:r>
        <w:t>The evidence base for CO</w:t>
      </w:r>
      <w:r w:rsidRPr="001A10F1">
        <w:rPr>
          <w:rFonts w:asciiTheme="minorHAnsi" w:hAnsiTheme="minorHAnsi"/>
          <w:vertAlign w:val="subscript"/>
        </w:rPr>
        <w:t>2</w:t>
      </w:r>
      <w:r w:rsidR="00B829F9">
        <w:t xml:space="preserve"> AFL consisted</w:t>
      </w:r>
      <w:r>
        <w:t xml:space="preserve"> of one, single blind randomised controlled trial (RCT) in patients with hypertrophic burn scars, one open-label cohort study in patients with hypertrophic and keloid sca</w:t>
      </w:r>
      <w:r w:rsidR="00B829F9">
        <w:t>rs. Supportive evidence consisted</w:t>
      </w:r>
      <w:r>
        <w:t xml:space="preserve"> of six single arm studies, all of which except two were prospective. No study explicitly investigating CO</w:t>
      </w:r>
      <w:r w:rsidRPr="001A10F1">
        <w:rPr>
          <w:rFonts w:asciiTheme="minorHAnsi" w:hAnsiTheme="minorHAnsi"/>
          <w:vertAlign w:val="subscript"/>
        </w:rPr>
        <w:t>2</w:t>
      </w:r>
      <w:r>
        <w:t xml:space="preserve"> AFL therapy in combination with reconstructive surgery was identified.</w:t>
      </w:r>
    </w:p>
    <w:p w:rsidR="006E2BCA" w:rsidRDefault="006E2BCA" w:rsidP="006E2BCA">
      <w:pPr>
        <w:spacing w:before="240"/>
      </w:pPr>
      <w:r>
        <w:t>The evidence base for</w:t>
      </w:r>
      <w:r w:rsidR="005C6F08">
        <w:t xml:space="preserve"> reconstructive surgery consisted</w:t>
      </w:r>
      <w:r>
        <w:t xml:space="preserve"> of two RCTs comparing treatment with flaps and full-thickness skin grafts (FTSG) (</w:t>
      </w:r>
      <w:proofErr w:type="spellStart"/>
      <w:r>
        <w:t>Stekelenburg</w:t>
      </w:r>
      <w:proofErr w:type="spellEnd"/>
      <w:r>
        <w:t xml:space="preserve"> 2017a) and scar excision alone (SE) versus scar excision with skin stretching (SS) (Verhaegen 2011). Two case series investigating treatment with dermal substitute and split-thickness skin graft (STSG) providing data for outcomes set out in the PICO criteria were included as supportive evidence (</w:t>
      </w:r>
      <w:proofErr w:type="spellStart"/>
      <w:r>
        <w:t>Moiemen</w:t>
      </w:r>
      <w:proofErr w:type="spellEnd"/>
      <w:r>
        <w:t xml:space="preserve"> 2000; Oh 2010). </w:t>
      </w:r>
    </w:p>
    <w:p w:rsidR="006E2BCA" w:rsidRDefault="006E2BCA" w:rsidP="006E2BCA">
      <w:pPr>
        <w:spacing w:before="240" w:after="240"/>
      </w:pPr>
      <w:r>
        <w:t>Given the lack of common reference arm between the two sets of data, formal indirect comparison was not possible. An indicative, naïve comparison on overlapping outcomes of CO</w:t>
      </w:r>
      <w:r w:rsidRPr="001A10F1">
        <w:rPr>
          <w:rFonts w:asciiTheme="minorHAnsi" w:hAnsiTheme="minorHAnsi"/>
          <w:vertAlign w:val="subscript"/>
        </w:rPr>
        <w:t>2</w:t>
      </w:r>
      <w:r>
        <w:t xml:space="preserve"> AFL and reconstructive surgery sets of data is provided.</w:t>
      </w:r>
    </w:p>
    <w:p w:rsidR="006E2BCA" w:rsidRDefault="006E2BCA" w:rsidP="006E2BCA">
      <w:r>
        <w:t>The naïve comparison of effectiveness indicate</w:t>
      </w:r>
      <w:r w:rsidR="005C6F08">
        <w:t>d</w:t>
      </w:r>
      <w:r>
        <w:t xml:space="preserve"> that both CO</w:t>
      </w:r>
      <w:r w:rsidRPr="001A10F1">
        <w:rPr>
          <w:rFonts w:asciiTheme="minorHAnsi" w:hAnsiTheme="minorHAnsi"/>
          <w:vertAlign w:val="subscript"/>
        </w:rPr>
        <w:t>2</w:t>
      </w:r>
      <w:r>
        <w:t xml:space="preserve"> AFL and reconstructive surgery result in improvement </w:t>
      </w:r>
      <w:r w:rsidRPr="002B706F">
        <w:t>with respect to symptoms, appearance and function of the scar</w:t>
      </w:r>
      <w:r>
        <w:t xml:space="preserve"> </w:t>
      </w:r>
    </w:p>
    <w:p w:rsidR="006E2BCA" w:rsidRDefault="006E2BCA" w:rsidP="00700664">
      <w:pPr>
        <w:spacing w:after="240"/>
      </w:pPr>
      <w:proofErr w:type="gramStart"/>
      <w:r>
        <w:t>(</w:t>
      </w:r>
      <w:r>
        <w:fldChar w:fldCharType="begin"/>
      </w:r>
      <w:r>
        <w:instrText xml:space="preserve"> REF _Ref508099313 \h </w:instrText>
      </w:r>
      <w:r>
        <w:fldChar w:fldCharType="separate"/>
      </w:r>
      <w:r>
        <w:t xml:space="preserve">Table </w:t>
      </w:r>
      <w:r>
        <w:rPr>
          <w:noProof/>
        </w:rPr>
        <w:t>3</w:t>
      </w:r>
      <w:r>
        <w:fldChar w:fldCharType="end"/>
      </w:r>
      <w:r w:rsidR="00700664">
        <w:t>).</w:t>
      </w:r>
      <w:proofErr w:type="gramEnd"/>
    </w:p>
    <w:p w:rsidR="006E2BCA" w:rsidRDefault="006E2BCA" w:rsidP="006E2BCA">
      <w:r>
        <w:t>Limited data exist with which to make inferences of comparative effectiveness between CO</w:t>
      </w:r>
      <w:r w:rsidRPr="001A10F1">
        <w:rPr>
          <w:rFonts w:asciiTheme="minorHAnsi" w:hAnsiTheme="minorHAnsi"/>
          <w:vertAlign w:val="subscript"/>
        </w:rPr>
        <w:t>2</w:t>
      </w:r>
      <w:r>
        <w:t xml:space="preserve"> AFL and reconstructive surgery. Some outcomes suggest similarity between the interventions (e.g.: Patient and Observer Scar Assessment Scale [POSAS]; </w:t>
      </w:r>
      <w:r>
        <w:fldChar w:fldCharType="begin"/>
      </w:r>
      <w:r>
        <w:instrText xml:space="preserve"> REF _Ref508100166 \h </w:instrText>
      </w:r>
      <w:r>
        <w:fldChar w:fldCharType="separate"/>
      </w:r>
      <w:r>
        <w:t xml:space="preserve">Figure </w:t>
      </w:r>
      <w:r>
        <w:rPr>
          <w:noProof/>
        </w:rPr>
        <w:t>1</w:t>
      </w:r>
      <w:r>
        <w:fldChar w:fldCharType="end"/>
      </w:r>
      <w:r>
        <w:t xml:space="preserve">) whilst other outcomes point towards an advantage for reconstructive surgery (e.g.: Vancouver Scar Scale [VSS]; </w:t>
      </w:r>
      <w:r>
        <w:fldChar w:fldCharType="begin"/>
      </w:r>
      <w:r>
        <w:instrText xml:space="preserve"> REF _Ref508100206 \h </w:instrText>
      </w:r>
      <w:r>
        <w:fldChar w:fldCharType="separate"/>
      </w:r>
      <w:r>
        <w:t xml:space="preserve">Figure </w:t>
      </w:r>
      <w:r>
        <w:rPr>
          <w:noProof/>
        </w:rPr>
        <w:t>2</w:t>
      </w:r>
      <w:r>
        <w:fldChar w:fldCharType="end"/>
      </w:r>
      <w:r>
        <w:t xml:space="preserve">). </w:t>
      </w:r>
    </w:p>
    <w:p w:rsidR="006E2BCA" w:rsidRPr="0073256B" w:rsidRDefault="006E2BCA" w:rsidP="0073256B">
      <w:pPr>
        <w:spacing w:before="240"/>
      </w:pPr>
      <w:r>
        <w:t xml:space="preserve">As illustrated in </w:t>
      </w:r>
      <w:r>
        <w:fldChar w:fldCharType="begin"/>
      </w:r>
      <w:r>
        <w:instrText xml:space="preserve"> REF _Ref508100166 \h </w:instrText>
      </w:r>
      <w:r>
        <w:fldChar w:fldCharType="separate"/>
      </w:r>
      <w:r>
        <w:t xml:space="preserve">Figure </w:t>
      </w:r>
      <w:r>
        <w:rPr>
          <w:noProof/>
        </w:rPr>
        <w:t>1</w:t>
      </w:r>
      <w:r>
        <w:fldChar w:fldCharType="end"/>
      </w:r>
      <w:r>
        <w:t>, both CO</w:t>
      </w:r>
      <w:r w:rsidRPr="00380819">
        <w:rPr>
          <w:vertAlign w:val="subscript"/>
        </w:rPr>
        <w:t>2</w:t>
      </w:r>
      <w:r>
        <w:t xml:space="preserve"> AFL and reconstructive surgery appear to achieve minimally clinically important differences (MCID; exceeding 6 points) in the combined POSAS assessment (PSAS + OSAS, 0-120), and the difference in treatment effect between procedures is less than the MCID of 6. Caution must be </w:t>
      </w:r>
      <w:r w:rsidRPr="00CC6F77">
        <w:t>exercised when interpreting the r</w:t>
      </w:r>
      <w:r>
        <w:t>esults from the naïve comparison. Data limitations meant variance around treatment effects could not be calculated.</w:t>
      </w:r>
      <w:bookmarkStart w:id="7" w:name="_Ref421184437"/>
      <w:bookmarkStart w:id="8" w:name="_Toc496186157"/>
      <w:r>
        <w:br w:type="page"/>
      </w:r>
    </w:p>
    <w:p w:rsidR="006E2BCA" w:rsidRDefault="006E2BCA" w:rsidP="006E2BCA">
      <w:pPr>
        <w:pStyle w:val="Caption"/>
        <w:keepNext/>
      </w:pPr>
      <w:bookmarkStart w:id="9" w:name="_Ref508099313"/>
      <w:r>
        <w:lastRenderedPageBreak/>
        <w:t xml:space="preserve">Table </w:t>
      </w:r>
      <w:fldSimple w:instr=" SEQ Table \* ARABIC ">
        <w:r>
          <w:rPr>
            <w:noProof/>
          </w:rPr>
          <w:t>3</w:t>
        </w:r>
      </w:fldSimple>
      <w:bookmarkEnd w:id="9"/>
      <w:r>
        <w:tab/>
      </w:r>
      <w:r>
        <w:rPr>
          <w:rFonts w:cs="Arial"/>
          <w:snapToGrid w:val="0"/>
          <w:szCs w:val="16"/>
          <w:lang w:eastAsia="en-US"/>
        </w:rPr>
        <w:t>Balance of clinical benefits and harms of CO</w:t>
      </w:r>
      <w:r w:rsidRPr="001A10F1">
        <w:rPr>
          <w:rFonts w:asciiTheme="minorHAnsi" w:hAnsiTheme="minorHAnsi"/>
          <w:bCs w:val="0"/>
          <w:sz w:val="22"/>
          <w:vertAlign w:val="subscript"/>
          <w:lang w:eastAsia="en-US"/>
        </w:rPr>
        <w:t>2</w:t>
      </w:r>
      <w:r>
        <w:rPr>
          <w:rFonts w:cs="Arial"/>
          <w:snapToGrid w:val="0"/>
          <w:szCs w:val="16"/>
          <w:lang w:eastAsia="en-US"/>
        </w:rPr>
        <w:t xml:space="preserve"> AFL, relative to reconstructive surgery, and as measured by </w:t>
      </w:r>
      <w:r>
        <w:rPr>
          <w:rFonts w:cs="Arial"/>
          <w:snapToGrid w:val="0"/>
          <w:szCs w:val="16"/>
          <w:lang w:eastAsia="en-US"/>
        </w:rPr>
        <w:tab/>
        <w:t xml:space="preserve">the </w:t>
      </w:r>
      <w:r w:rsidRPr="001A31BB">
        <w:rPr>
          <w:rFonts w:cs="Arial"/>
          <w:snapToGrid w:val="0"/>
          <w:szCs w:val="16"/>
          <w:u w:val="single"/>
          <w:lang w:eastAsia="en-US"/>
        </w:rPr>
        <w:t>critical</w:t>
      </w:r>
      <w:r>
        <w:rPr>
          <w:rFonts w:cs="Arial"/>
          <w:snapToGrid w:val="0"/>
          <w:szCs w:val="16"/>
          <w:lang w:eastAsia="en-US"/>
        </w:rPr>
        <w:t xml:space="preserve"> patient relevant outcomes in the key studies</w:t>
      </w:r>
    </w:p>
    <w:tbl>
      <w:tblPr>
        <w:tblStyle w:val="TableGrid1"/>
        <w:tblW w:w="9493" w:type="dxa"/>
        <w:tblLayout w:type="fixed"/>
        <w:tblLook w:val="04A0" w:firstRow="1" w:lastRow="0" w:firstColumn="1" w:lastColumn="0" w:noHBand="0" w:noVBand="1"/>
        <w:tblDescription w:val="Balance of clinical benefits and harms of CO2 AFL, relative to reconstructive surgery, and as measured by the critical patient relevant outcomes in the key studies"/>
      </w:tblPr>
      <w:tblGrid>
        <w:gridCol w:w="1168"/>
        <w:gridCol w:w="1363"/>
        <w:gridCol w:w="1364"/>
        <w:gridCol w:w="1203"/>
        <w:gridCol w:w="1525"/>
        <w:gridCol w:w="1452"/>
        <w:gridCol w:w="1418"/>
      </w:tblGrid>
      <w:tr w:rsidR="006E2BCA" w:rsidTr="00A637B6">
        <w:trPr>
          <w:cnfStyle w:val="100000000000" w:firstRow="1" w:lastRow="0" w:firstColumn="0" w:lastColumn="0" w:oddVBand="0" w:evenVBand="0" w:oddHBand="0" w:evenHBand="0" w:firstRowFirstColumn="0" w:firstRowLastColumn="0" w:lastRowFirstColumn="0" w:lastRowLastColumn="0"/>
          <w:tblHeader/>
        </w:trPr>
        <w:tc>
          <w:tcPr>
            <w:tcW w:w="1168" w:type="dxa"/>
          </w:tcPr>
          <w:bookmarkEnd w:id="7"/>
          <w:bookmarkEnd w:id="8"/>
          <w:p w:rsidR="006E2BCA" w:rsidRDefault="006E2BCA" w:rsidP="001303AF">
            <w:pPr>
              <w:pStyle w:val="TableHeading"/>
              <w:spacing w:before="0" w:after="0"/>
            </w:pPr>
            <w:r w:rsidRPr="000A1599">
              <w:t>Outcomes</w:t>
            </w:r>
            <w:r>
              <w:t xml:space="preserve"> (units)</w:t>
            </w:r>
          </w:p>
          <w:p w:rsidR="006E2BCA" w:rsidRPr="000A1599" w:rsidRDefault="006E2BCA" w:rsidP="001303AF">
            <w:pPr>
              <w:pStyle w:val="TableHeading"/>
              <w:spacing w:before="0" w:after="0"/>
            </w:pPr>
            <w:r>
              <w:t>Follow-up</w:t>
            </w:r>
          </w:p>
        </w:tc>
        <w:tc>
          <w:tcPr>
            <w:tcW w:w="1363" w:type="dxa"/>
          </w:tcPr>
          <w:p w:rsidR="006E2BCA" w:rsidRDefault="006E2BCA" w:rsidP="001303AF">
            <w:pPr>
              <w:pStyle w:val="TableHeading"/>
              <w:spacing w:before="0" w:after="0"/>
            </w:pPr>
            <w:r>
              <w:t>Participants (studies)</w:t>
            </w:r>
          </w:p>
          <w:p w:rsidR="006E2BCA" w:rsidRPr="000A1599" w:rsidRDefault="006E2BCA" w:rsidP="001303AF">
            <w:pPr>
              <w:pStyle w:val="TableHeading"/>
              <w:spacing w:before="0" w:after="0"/>
            </w:pPr>
          </w:p>
        </w:tc>
        <w:tc>
          <w:tcPr>
            <w:tcW w:w="1364" w:type="dxa"/>
          </w:tcPr>
          <w:p w:rsidR="006E2BCA" w:rsidRPr="000A1599" w:rsidRDefault="006E2BCA" w:rsidP="001303AF">
            <w:pPr>
              <w:pStyle w:val="TableHeading"/>
              <w:spacing w:before="0" w:after="0"/>
            </w:pPr>
            <w:r>
              <w:t>Quality of evidence (GRADE)</w:t>
            </w:r>
          </w:p>
        </w:tc>
        <w:tc>
          <w:tcPr>
            <w:tcW w:w="1203" w:type="dxa"/>
          </w:tcPr>
          <w:p w:rsidR="006E2BCA" w:rsidRPr="000A1599" w:rsidRDefault="006E2BCA" w:rsidP="001303AF">
            <w:pPr>
              <w:pStyle w:val="TableHeading"/>
              <w:spacing w:before="0" w:after="0"/>
            </w:pPr>
            <w:r>
              <w:t>Mean change from baseline in CO</w:t>
            </w:r>
            <w:r w:rsidRPr="001A10F1">
              <w:rPr>
                <w:vertAlign w:val="subscript"/>
              </w:rPr>
              <w:t xml:space="preserve">2 </w:t>
            </w:r>
            <w:r>
              <w:t>AFL studies</w:t>
            </w:r>
          </w:p>
        </w:tc>
        <w:tc>
          <w:tcPr>
            <w:tcW w:w="1525" w:type="dxa"/>
          </w:tcPr>
          <w:p w:rsidR="006E2BCA" w:rsidRPr="000A1599" w:rsidRDefault="006E2BCA" w:rsidP="001303AF">
            <w:pPr>
              <w:pStyle w:val="TableHeading"/>
              <w:spacing w:before="0" w:after="0"/>
            </w:pPr>
            <w:r>
              <w:t>Mean change from baseline in reconstructive surgery studies</w:t>
            </w:r>
          </w:p>
        </w:tc>
        <w:tc>
          <w:tcPr>
            <w:tcW w:w="1452" w:type="dxa"/>
          </w:tcPr>
          <w:p w:rsidR="006E2BCA" w:rsidRDefault="006E2BCA" w:rsidP="001303AF">
            <w:pPr>
              <w:pStyle w:val="TableHeading"/>
              <w:spacing w:before="0" w:after="0"/>
            </w:pPr>
            <w:r>
              <w:t>Difference in WM change</w:t>
            </w:r>
          </w:p>
          <w:p w:rsidR="006E2BCA" w:rsidRPr="000A1599" w:rsidRDefault="006E2BCA" w:rsidP="001303AF">
            <w:pPr>
              <w:pStyle w:val="TableHeading"/>
              <w:spacing w:before="0" w:after="0"/>
            </w:pPr>
            <w:r>
              <w:t>(reconstructive – CO</w:t>
            </w:r>
            <w:r w:rsidRPr="001A10F1">
              <w:rPr>
                <w:vertAlign w:val="subscript"/>
              </w:rPr>
              <w:t>2</w:t>
            </w:r>
            <w:r>
              <w:t xml:space="preserve"> AFL)</w:t>
            </w:r>
          </w:p>
        </w:tc>
        <w:tc>
          <w:tcPr>
            <w:tcW w:w="1418" w:type="dxa"/>
          </w:tcPr>
          <w:p w:rsidR="006E2BCA" w:rsidRPr="000A1599" w:rsidRDefault="006E2BCA" w:rsidP="001303AF">
            <w:pPr>
              <w:pStyle w:val="TableHeading"/>
              <w:spacing w:before="0" w:after="0"/>
            </w:pPr>
            <w:r>
              <w:t>Comments</w:t>
            </w:r>
          </w:p>
        </w:tc>
      </w:tr>
      <w:tr w:rsidR="006E2BCA" w:rsidRPr="003B36DF" w:rsidTr="00A637B6">
        <w:trPr>
          <w:trHeight w:val="263"/>
        </w:trPr>
        <w:tc>
          <w:tcPr>
            <w:tcW w:w="1168" w:type="dxa"/>
          </w:tcPr>
          <w:p w:rsidR="006E2BCA" w:rsidRPr="003B36DF" w:rsidRDefault="006E2BCA" w:rsidP="001303AF">
            <w:pPr>
              <w:pStyle w:val="Tabletext"/>
              <w:spacing w:before="0" w:after="0"/>
              <w:rPr>
                <w:rFonts w:cs="Arial"/>
                <w:sz w:val="18"/>
                <w:szCs w:val="18"/>
              </w:rPr>
            </w:pPr>
            <w:r>
              <w:t>PSAS (6-60)</w:t>
            </w:r>
          </w:p>
        </w:tc>
        <w:tc>
          <w:tcPr>
            <w:tcW w:w="1363" w:type="dxa"/>
          </w:tcPr>
          <w:p w:rsidR="006E2BCA" w:rsidRDefault="006E2BCA" w:rsidP="001303AF">
            <w:pPr>
              <w:pStyle w:val="Tabletext"/>
              <w:spacing w:before="0" w:after="0"/>
            </w:pPr>
            <w:r>
              <w:t>Naïve comparison:</w:t>
            </w:r>
          </w:p>
          <w:p w:rsidR="006E2BCA" w:rsidRPr="003B36DF" w:rsidRDefault="006E2BCA" w:rsidP="001303AF">
            <w:pPr>
              <w:pStyle w:val="Tabletext"/>
              <w:spacing w:before="0" w:after="0"/>
              <w:rPr>
                <w:rFonts w:cs="Arial"/>
                <w:sz w:val="18"/>
                <w:szCs w:val="18"/>
              </w:rPr>
            </w:pPr>
            <w:r>
              <w:t>CO</w:t>
            </w:r>
            <w:r w:rsidRPr="001A10F1">
              <w:rPr>
                <w:vertAlign w:val="subscript"/>
              </w:rPr>
              <w:t>2</w:t>
            </w:r>
            <w:r>
              <w:t xml:space="preserve"> AFL k=4 n=114; reconstructive surgery k=1 n=28</w:t>
            </w:r>
          </w:p>
        </w:tc>
        <w:tc>
          <w:tcPr>
            <w:tcW w:w="1364" w:type="dxa"/>
          </w:tcPr>
          <w:p w:rsidR="006E2BCA" w:rsidRDefault="006E2BCA" w:rsidP="001303AF">
            <w:pPr>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rsidR="006E2BCA" w:rsidRPr="003B36DF" w:rsidRDefault="006E2BCA" w:rsidP="001303AF">
            <w:pPr>
              <w:rPr>
                <w:rFonts w:cs="Arial"/>
                <w:sz w:val="18"/>
                <w:szCs w:val="18"/>
              </w:rPr>
            </w:pPr>
            <w:r w:rsidRPr="00F439C5">
              <w:rPr>
                <w:rFonts w:cs="Arial"/>
                <w:sz w:val="18"/>
                <w:szCs w:val="18"/>
              </w:rPr>
              <w:t>Very low quality</w:t>
            </w:r>
            <w:r>
              <w:rPr>
                <w:rFonts w:cs="Arial"/>
                <w:sz w:val="18"/>
                <w:szCs w:val="18"/>
              </w:rPr>
              <w:br/>
              <w:t>(naïve comparison)</w:t>
            </w:r>
          </w:p>
        </w:tc>
        <w:tc>
          <w:tcPr>
            <w:tcW w:w="1203" w:type="dxa"/>
          </w:tcPr>
          <w:p w:rsidR="006E2BCA" w:rsidRDefault="006E2BCA" w:rsidP="001303AF">
            <w:pPr>
              <w:pStyle w:val="Tabletext"/>
              <w:spacing w:before="0" w:after="0"/>
            </w:pPr>
            <w:r>
              <w:t>Range -4.13 to -16.90</w:t>
            </w:r>
          </w:p>
          <w:p w:rsidR="006E2BCA" w:rsidRDefault="006E2BCA" w:rsidP="001303AF">
            <w:pPr>
              <w:pStyle w:val="Tabletext"/>
              <w:spacing w:before="0" w:after="0"/>
            </w:pPr>
            <w:r>
              <w:t>WM=-9.25</w:t>
            </w:r>
          </w:p>
          <w:p w:rsidR="006E2BCA" w:rsidRPr="003B36DF" w:rsidRDefault="006E2BCA" w:rsidP="001303AF">
            <w:pPr>
              <w:pStyle w:val="Tabletext"/>
              <w:spacing w:before="0" w:after="0"/>
              <w:rPr>
                <w:rFonts w:cs="Arial"/>
                <w:sz w:val="18"/>
                <w:szCs w:val="18"/>
              </w:rPr>
            </w:pPr>
            <w:r>
              <w:t>WM (</w:t>
            </w:r>
            <w:proofErr w:type="spellStart"/>
            <w:r>
              <w:t>excl</w:t>
            </w:r>
            <w:proofErr w:type="spellEnd"/>
            <w:r>
              <w:t xml:space="preserve"> </w:t>
            </w:r>
            <w:proofErr w:type="spellStart"/>
            <w:r>
              <w:t>Issler</w:t>
            </w:r>
            <w:proofErr w:type="spellEnd"/>
            <w:r>
              <w:t>)=-6.8</w:t>
            </w:r>
            <w:r w:rsidRPr="005069D3">
              <w:rPr>
                <w:vertAlign w:val="superscript"/>
              </w:rPr>
              <w:t>b</w:t>
            </w:r>
          </w:p>
        </w:tc>
        <w:tc>
          <w:tcPr>
            <w:tcW w:w="1525" w:type="dxa"/>
          </w:tcPr>
          <w:p w:rsidR="006E2BCA" w:rsidRDefault="006E2BCA" w:rsidP="001303AF">
            <w:pPr>
              <w:pStyle w:val="Tabletext"/>
              <w:spacing w:before="0" w:after="0"/>
            </w:pPr>
            <w:r>
              <w:t>Flaps=-13.80</w:t>
            </w:r>
          </w:p>
          <w:p w:rsidR="006E2BCA" w:rsidRDefault="006E2BCA" w:rsidP="001303AF">
            <w:pPr>
              <w:pStyle w:val="Tabletext"/>
              <w:spacing w:before="0" w:after="0"/>
            </w:pPr>
            <w:r>
              <w:t>FTSG=-14.40</w:t>
            </w:r>
          </w:p>
          <w:p w:rsidR="006E2BCA" w:rsidRPr="003B36DF" w:rsidRDefault="006E2BCA" w:rsidP="001303AF">
            <w:pPr>
              <w:pStyle w:val="Tabletext"/>
              <w:spacing w:before="0" w:after="0"/>
              <w:rPr>
                <w:rFonts w:cs="Arial"/>
                <w:sz w:val="18"/>
                <w:szCs w:val="18"/>
              </w:rPr>
            </w:pPr>
            <w:r>
              <w:t>WM=-14.06</w:t>
            </w:r>
          </w:p>
        </w:tc>
        <w:tc>
          <w:tcPr>
            <w:tcW w:w="1452" w:type="dxa"/>
          </w:tcPr>
          <w:p w:rsidR="006E2BCA" w:rsidRPr="003B36DF" w:rsidRDefault="006E2BCA" w:rsidP="001303AF">
            <w:pPr>
              <w:rPr>
                <w:rFonts w:cs="Arial"/>
                <w:sz w:val="18"/>
                <w:szCs w:val="18"/>
              </w:rPr>
            </w:pPr>
            <w:r>
              <w:rPr>
                <w:rFonts w:cs="Arial"/>
                <w:sz w:val="18"/>
                <w:szCs w:val="18"/>
              </w:rPr>
              <w:t>-4.80</w:t>
            </w:r>
          </w:p>
        </w:tc>
        <w:tc>
          <w:tcPr>
            <w:tcW w:w="1418" w:type="dxa"/>
          </w:tcPr>
          <w:p w:rsidR="006E2BCA" w:rsidRPr="003B36DF" w:rsidRDefault="006E2BCA" w:rsidP="001303AF">
            <w:pPr>
              <w:rPr>
                <w:rFonts w:cs="Arial"/>
                <w:sz w:val="18"/>
                <w:szCs w:val="18"/>
              </w:rPr>
            </w:pPr>
          </w:p>
        </w:tc>
      </w:tr>
      <w:tr w:rsidR="006E2BCA" w:rsidRPr="003B36DF" w:rsidTr="00A637B6">
        <w:trPr>
          <w:trHeight w:val="25"/>
        </w:trPr>
        <w:tc>
          <w:tcPr>
            <w:tcW w:w="1168" w:type="dxa"/>
          </w:tcPr>
          <w:p w:rsidR="006E2BCA" w:rsidRPr="003B36DF" w:rsidRDefault="006E2BCA" w:rsidP="001303AF">
            <w:pPr>
              <w:pStyle w:val="Tabletext"/>
              <w:spacing w:before="0" w:after="0"/>
              <w:rPr>
                <w:rFonts w:cs="Arial"/>
                <w:sz w:val="18"/>
                <w:szCs w:val="18"/>
              </w:rPr>
            </w:pPr>
            <w:r>
              <w:t>OSAS (6-60)</w:t>
            </w:r>
          </w:p>
        </w:tc>
        <w:tc>
          <w:tcPr>
            <w:tcW w:w="1363" w:type="dxa"/>
          </w:tcPr>
          <w:p w:rsidR="006E2BCA" w:rsidRDefault="006E2BCA" w:rsidP="001303AF">
            <w:pPr>
              <w:pStyle w:val="Tabletext"/>
              <w:spacing w:before="0" w:after="0"/>
            </w:pPr>
            <w:r>
              <w:t>Naïve comparison:</w:t>
            </w:r>
          </w:p>
          <w:p w:rsidR="006E2BCA" w:rsidRPr="003B36DF" w:rsidRDefault="006E2BCA" w:rsidP="001303AF">
            <w:pPr>
              <w:pStyle w:val="Tabletext"/>
              <w:spacing w:before="0" w:after="0"/>
              <w:rPr>
                <w:rFonts w:cs="Arial"/>
                <w:sz w:val="18"/>
                <w:szCs w:val="18"/>
              </w:rPr>
            </w:pPr>
            <w:r>
              <w:t>CO</w:t>
            </w:r>
            <w:r w:rsidRPr="001A10F1">
              <w:rPr>
                <w:vertAlign w:val="subscript"/>
              </w:rPr>
              <w:t>2</w:t>
            </w:r>
            <w:r>
              <w:t xml:space="preserve"> AFL k=3 n=68; reconstructive surgery k=1n=28</w:t>
            </w:r>
          </w:p>
        </w:tc>
        <w:tc>
          <w:tcPr>
            <w:tcW w:w="1364" w:type="dxa"/>
          </w:tcPr>
          <w:p w:rsidR="006E2BCA" w:rsidRDefault="006E2BCA" w:rsidP="001303AF">
            <w:pPr>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rsidR="006E2BCA" w:rsidRPr="003B36DF" w:rsidRDefault="006E2BCA" w:rsidP="001303AF">
            <w:pPr>
              <w:rPr>
                <w:rFonts w:cs="Arial"/>
                <w:sz w:val="18"/>
                <w:szCs w:val="18"/>
              </w:rPr>
            </w:pPr>
            <w:r w:rsidRPr="00F439C5">
              <w:rPr>
                <w:rFonts w:cs="Arial"/>
                <w:sz w:val="18"/>
                <w:szCs w:val="18"/>
              </w:rPr>
              <w:t>Very low quality</w:t>
            </w:r>
            <w:r>
              <w:rPr>
                <w:rFonts w:cs="Arial"/>
                <w:sz w:val="18"/>
                <w:szCs w:val="18"/>
              </w:rPr>
              <w:br/>
              <w:t>(naïve comparison)</w:t>
            </w:r>
          </w:p>
        </w:tc>
        <w:tc>
          <w:tcPr>
            <w:tcW w:w="1203" w:type="dxa"/>
          </w:tcPr>
          <w:p w:rsidR="006E2BCA" w:rsidRDefault="006E2BCA" w:rsidP="001303AF">
            <w:pPr>
              <w:pStyle w:val="Tabletext"/>
              <w:spacing w:before="0" w:after="0"/>
            </w:pPr>
            <w:r>
              <w:t>Range -6.27 to -13.00</w:t>
            </w:r>
          </w:p>
          <w:p w:rsidR="006E2BCA" w:rsidRDefault="006E2BCA" w:rsidP="001303AF">
            <w:pPr>
              <w:pStyle w:val="Tabletext"/>
              <w:spacing w:before="0" w:after="0"/>
            </w:pPr>
            <w:r>
              <w:t>WM=-8.42</w:t>
            </w:r>
          </w:p>
          <w:p w:rsidR="006E2BCA" w:rsidRPr="003B36DF" w:rsidRDefault="006E2BCA" w:rsidP="001303AF">
            <w:pPr>
              <w:pStyle w:val="Tabletext"/>
              <w:spacing w:before="0" w:after="0"/>
              <w:rPr>
                <w:rFonts w:cs="Arial"/>
                <w:sz w:val="18"/>
                <w:szCs w:val="18"/>
              </w:rPr>
            </w:pPr>
            <w:r>
              <w:t>WM (</w:t>
            </w:r>
            <w:proofErr w:type="spellStart"/>
            <w:r>
              <w:t>excl</w:t>
            </w:r>
            <w:proofErr w:type="spellEnd"/>
            <w:r>
              <w:t xml:space="preserve"> </w:t>
            </w:r>
            <w:proofErr w:type="spellStart"/>
            <w:r>
              <w:t>Issler</w:t>
            </w:r>
            <w:proofErr w:type="spellEnd"/>
            <w:r>
              <w:t>)=-9.36</w:t>
            </w:r>
            <w:r w:rsidRPr="005069D3">
              <w:rPr>
                <w:vertAlign w:val="superscript"/>
              </w:rPr>
              <w:t xml:space="preserve"> b</w:t>
            </w:r>
          </w:p>
        </w:tc>
        <w:tc>
          <w:tcPr>
            <w:tcW w:w="1525" w:type="dxa"/>
          </w:tcPr>
          <w:p w:rsidR="006E2BCA" w:rsidRDefault="006E2BCA" w:rsidP="001303AF">
            <w:pPr>
              <w:pStyle w:val="Tabletext"/>
              <w:spacing w:before="0" w:after="0"/>
            </w:pPr>
            <w:r>
              <w:t>Flaps=-10.8</w:t>
            </w:r>
          </w:p>
          <w:p w:rsidR="006E2BCA" w:rsidRDefault="006E2BCA" w:rsidP="001303AF">
            <w:pPr>
              <w:pStyle w:val="Tabletext"/>
              <w:spacing w:before="0" w:after="0"/>
            </w:pPr>
            <w:r>
              <w:t>FTSG=-7.2</w:t>
            </w:r>
          </w:p>
          <w:p w:rsidR="006E2BCA" w:rsidRPr="003B36DF" w:rsidRDefault="006E2BCA" w:rsidP="001303AF">
            <w:pPr>
              <w:pStyle w:val="Tabletext"/>
              <w:spacing w:before="0" w:after="0"/>
              <w:rPr>
                <w:rFonts w:cs="Arial"/>
                <w:sz w:val="18"/>
                <w:szCs w:val="18"/>
              </w:rPr>
            </w:pPr>
            <w:r>
              <w:t>WM=-9.26</w:t>
            </w:r>
          </w:p>
        </w:tc>
        <w:tc>
          <w:tcPr>
            <w:tcW w:w="1452" w:type="dxa"/>
          </w:tcPr>
          <w:p w:rsidR="006E2BCA" w:rsidRPr="003B36DF" w:rsidRDefault="006E2BCA" w:rsidP="001303AF">
            <w:pPr>
              <w:rPr>
                <w:rFonts w:cs="Arial"/>
                <w:sz w:val="18"/>
                <w:szCs w:val="18"/>
              </w:rPr>
            </w:pPr>
            <w:r>
              <w:rPr>
                <w:rFonts w:cs="Arial"/>
                <w:sz w:val="18"/>
                <w:szCs w:val="18"/>
              </w:rPr>
              <w:t>-0.84</w:t>
            </w:r>
          </w:p>
        </w:tc>
        <w:tc>
          <w:tcPr>
            <w:tcW w:w="1418" w:type="dxa"/>
          </w:tcPr>
          <w:p w:rsidR="006E2BCA" w:rsidRPr="003B36DF" w:rsidRDefault="006E2BCA" w:rsidP="001303AF">
            <w:pPr>
              <w:rPr>
                <w:rFonts w:cs="Arial"/>
                <w:sz w:val="18"/>
                <w:szCs w:val="18"/>
              </w:rPr>
            </w:pPr>
          </w:p>
        </w:tc>
      </w:tr>
      <w:tr w:rsidR="006E2BCA" w:rsidRPr="003B36DF" w:rsidTr="00A637B6">
        <w:tc>
          <w:tcPr>
            <w:tcW w:w="1168" w:type="dxa"/>
          </w:tcPr>
          <w:p w:rsidR="006E2BCA" w:rsidRPr="003B36DF" w:rsidRDefault="006E2BCA" w:rsidP="001303AF">
            <w:pPr>
              <w:pStyle w:val="Tabletext"/>
              <w:spacing w:before="0" w:after="0"/>
              <w:rPr>
                <w:rFonts w:cs="Arial"/>
                <w:sz w:val="18"/>
                <w:szCs w:val="18"/>
              </w:rPr>
            </w:pPr>
            <w:r>
              <w:t>PSAS + OSAS (12-120)</w:t>
            </w:r>
          </w:p>
        </w:tc>
        <w:tc>
          <w:tcPr>
            <w:tcW w:w="1363" w:type="dxa"/>
          </w:tcPr>
          <w:p w:rsidR="006E2BCA" w:rsidRDefault="006E2BCA" w:rsidP="001303AF">
            <w:pPr>
              <w:pStyle w:val="Tabletext"/>
              <w:spacing w:before="0" w:after="0"/>
            </w:pPr>
            <w:r>
              <w:t>Naïve comparison:</w:t>
            </w:r>
          </w:p>
          <w:p w:rsidR="006E2BCA" w:rsidRPr="003B36DF" w:rsidRDefault="006E2BCA" w:rsidP="001303AF">
            <w:pPr>
              <w:pStyle w:val="Tabletext"/>
              <w:spacing w:before="0" w:after="0"/>
              <w:rPr>
                <w:rFonts w:cs="Arial"/>
                <w:sz w:val="18"/>
                <w:szCs w:val="18"/>
              </w:rPr>
            </w:pPr>
            <w:r>
              <w:t>CO</w:t>
            </w:r>
            <w:r w:rsidRPr="001A10F1">
              <w:rPr>
                <w:vertAlign w:val="subscript"/>
              </w:rPr>
              <w:t>2</w:t>
            </w:r>
            <w:r>
              <w:t xml:space="preserve"> AFL k=3 n=68; reconstructive surgery k=1 n=28</w:t>
            </w:r>
          </w:p>
        </w:tc>
        <w:tc>
          <w:tcPr>
            <w:tcW w:w="1364" w:type="dxa"/>
          </w:tcPr>
          <w:p w:rsidR="006E2BCA" w:rsidRDefault="006E2BCA" w:rsidP="001303AF">
            <w:pPr>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rsidR="006E2BCA" w:rsidRPr="003B36DF" w:rsidRDefault="006E2BCA" w:rsidP="001303AF">
            <w:pPr>
              <w:rPr>
                <w:rFonts w:cs="Arial"/>
                <w:sz w:val="18"/>
                <w:szCs w:val="18"/>
              </w:rPr>
            </w:pPr>
            <w:r w:rsidRPr="00F439C5">
              <w:rPr>
                <w:rFonts w:cs="Arial"/>
                <w:sz w:val="18"/>
                <w:szCs w:val="18"/>
              </w:rPr>
              <w:t>Very low quality</w:t>
            </w:r>
            <w:r>
              <w:rPr>
                <w:rFonts w:cs="Arial"/>
                <w:sz w:val="18"/>
                <w:szCs w:val="18"/>
              </w:rPr>
              <w:t xml:space="preserve"> </w:t>
            </w:r>
            <w:r>
              <w:rPr>
                <w:rFonts w:cs="Arial"/>
                <w:sz w:val="18"/>
                <w:szCs w:val="18"/>
              </w:rPr>
              <w:br/>
              <w:t>(naïve comparison)</w:t>
            </w:r>
          </w:p>
        </w:tc>
        <w:tc>
          <w:tcPr>
            <w:tcW w:w="1203" w:type="dxa"/>
          </w:tcPr>
          <w:p w:rsidR="006E2BCA" w:rsidRDefault="006E2BCA" w:rsidP="001303AF">
            <w:pPr>
              <w:pStyle w:val="Tabletext"/>
              <w:spacing w:before="0" w:after="0"/>
            </w:pPr>
            <w:r>
              <w:t>Range –13.30 to -29.90</w:t>
            </w:r>
          </w:p>
          <w:p w:rsidR="006E2BCA" w:rsidRDefault="006E2BCA" w:rsidP="001303AF">
            <w:pPr>
              <w:pStyle w:val="Tabletext"/>
              <w:spacing w:before="0" w:after="0"/>
            </w:pPr>
            <w:r>
              <w:t>WM=-19.26</w:t>
            </w:r>
          </w:p>
          <w:p w:rsidR="006E2BCA" w:rsidRPr="003B36DF" w:rsidRDefault="006E2BCA" w:rsidP="001303AF">
            <w:pPr>
              <w:pStyle w:val="Tabletext"/>
              <w:spacing w:before="0" w:after="0"/>
              <w:rPr>
                <w:rFonts w:cs="Arial"/>
                <w:sz w:val="18"/>
                <w:szCs w:val="18"/>
              </w:rPr>
            </w:pPr>
            <w:r>
              <w:t>WM (</w:t>
            </w:r>
            <w:proofErr w:type="spellStart"/>
            <w:r>
              <w:t>excl</w:t>
            </w:r>
            <w:proofErr w:type="spellEnd"/>
            <w:r>
              <w:t xml:space="preserve"> </w:t>
            </w:r>
            <w:proofErr w:type="spellStart"/>
            <w:r>
              <w:t>Issler</w:t>
            </w:r>
            <w:proofErr w:type="spellEnd"/>
            <w:r>
              <w:t>)=-18.01</w:t>
            </w:r>
            <w:r w:rsidRPr="005069D3">
              <w:rPr>
                <w:vertAlign w:val="superscript"/>
              </w:rPr>
              <w:t xml:space="preserve"> b</w:t>
            </w:r>
          </w:p>
        </w:tc>
        <w:tc>
          <w:tcPr>
            <w:tcW w:w="1525" w:type="dxa"/>
          </w:tcPr>
          <w:p w:rsidR="006E2BCA" w:rsidRDefault="006E2BCA" w:rsidP="001303AF">
            <w:pPr>
              <w:pStyle w:val="Tabletext"/>
              <w:spacing w:before="0" w:after="0"/>
            </w:pPr>
            <w:r>
              <w:t>Flaps=-24.60</w:t>
            </w:r>
          </w:p>
          <w:p w:rsidR="006E2BCA" w:rsidRDefault="006E2BCA" w:rsidP="001303AF">
            <w:pPr>
              <w:pStyle w:val="Tabletext"/>
              <w:spacing w:before="0" w:after="0"/>
            </w:pPr>
            <w:r>
              <w:t>FTSG=-21.60</w:t>
            </w:r>
          </w:p>
          <w:p w:rsidR="006E2BCA" w:rsidRPr="003B36DF" w:rsidRDefault="006E2BCA" w:rsidP="001303AF">
            <w:pPr>
              <w:pStyle w:val="Tabletext"/>
              <w:spacing w:before="0" w:after="0"/>
              <w:rPr>
                <w:rFonts w:cs="Arial"/>
                <w:sz w:val="18"/>
                <w:szCs w:val="18"/>
              </w:rPr>
            </w:pPr>
            <w:r>
              <w:t>WM=-23.31</w:t>
            </w:r>
          </w:p>
        </w:tc>
        <w:tc>
          <w:tcPr>
            <w:tcW w:w="1452" w:type="dxa"/>
          </w:tcPr>
          <w:p w:rsidR="006E2BCA" w:rsidRPr="003B36DF" w:rsidRDefault="006E2BCA" w:rsidP="001303AF">
            <w:pPr>
              <w:rPr>
                <w:rFonts w:cs="Arial"/>
                <w:sz w:val="18"/>
                <w:szCs w:val="18"/>
              </w:rPr>
            </w:pPr>
            <w:r>
              <w:rPr>
                <w:rFonts w:cs="Arial"/>
                <w:sz w:val="18"/>
                <w:szCs w:val="18"/>
              </w:rPr>
              <w:t>-4.06</w:t>
            </w:r>
          </w:p>
        </w:tc>
        <w:tc>
          <w:tcPr>
            <w:tcW w:w="1418" w:type="dxa"/>
          </w:tcPr>
          <w:p w:rsidR="006E2BCA" w:rsidRPr="003B36DF" w:rsidRDefault="006E2BCA" w:rsidP="001303AF">
            <w:pPr>
              <w:rPr>
                <w:rFonts w:cs="Arial"/>
                <w:sz w:val="18"/>
                <w:szCs w:val="18"/>
              </w:rPr>
            </w:pPr>
            <w:r>
              <w:rPr>
                <w:rFonts w:cs="Arial"/>
                <w:sz w:val="18"/>
                <w:szCs w:val="18"/>
              </w:rPr>
              <w:t>On average, the difference between CO</w:t>
            </w:r>
            <w:r w:rsidRPr="00BA09E3">
              <w:rPr>
                <w:rFonts w:cs="Arial"/>
                <w:sz w:val="18"/>
                <w:szCs w:val="18"/>
                <w:vertAlign w:val="subscript"/>
              </w:rPr>
              <w:t>2</w:t>
            </w:r>
            <w:r>
              <w:rPr>
                <w:rFonts w:cs="Arial"/>
                <w:sz w:val="18"/>
                <w:szCs w:val="18"/>
              </w:rPr>
              <w:t xml:space="preserve"> AFL and reconstructive surgery does not exceed the MCID of 6.</w:t>
            </w:r>
          </w:p>
        </w:tc>
      </w:tr>
      <w:tr w:rsidR="006E2BCA" w:rsidRPr="003B36DF" w:rsidTr="00A637B6">
        <w:tc>
          <w:tcPr>
            <w:tcW w:w="1168" w:type="dxa"/>
          </w:tcPr>
          <w:p w:rsidR="006E2BCA" w:rsidRPr="003B36DF" w:rsidRDefault="006E2BCA" w:rsidP="001303AF">
            <w:pPr>
              <w:pStyle w:val="Tabletext"/>
              <w:spacing w:before="0" w:after="0"/>
              <w:rPr>
                <w:rFonts w:cs="Arial"/>
                <w:sz w:val="18"/>
                <w:szCs w:val="18"/>
              </w:rPr>
            </w:pPr>
            <w:r>
              <w:t>Elasticity (</w:t>
            </w:r>
            <w:proofErr w:type="spellStart"/>
            <w:r>
              <w:t>Cutometer</w:t>
            </w:r>
            <w:proofErr w:type="spellEnd"/>
            <w:r>
              <w:t>)</w:t>
            </w:r>
          </w:p>
        </w:tc>
        <w:tc>
          <w:tcPr>
            <w:tcW w:w="1363" w:type="dxa"/>
          </w:tcPr>
          <w:p w:rsidR="006E2BCA" w:rsidRDefault="006E2BCA" w:rsidP="001303AF">
            <w:pPr>
              <w:pStyle w:val="Tabletext"/>
              <w:spacing w:before="0" w:after="0"/>
            </w:pPr>
            <w:r>
              <w:t>Naïve comparison:</w:t>
            </w:r>
          </w:p>
          <w:p w:rsidR="006E2BCA" w:rsidRDefault="006E2BCA" w:rsidP="001303AF">
            <w:pPr>
              <w:pStyle w:val="Tabletext"/>
              <w:spacing w:before="0" w:after="0"/>
            </w:pPr>
            <w:r>
              <w:t>CO</w:t>
            </w:r>
            <w:r w:rsidRPr="001A10F1">
              <w:rPr>
                <w:vertAlign w:val="subscript"/>
              </w:rPr>
              <w:t>2</w:t>
            </w:r>
            <w:r>
              <w:t xml:space="preserve"> AFL k=1 n=48</w:t>
            </w:r>
          </w:p>
          <w:p w:rsidR="006E2BCA" w:rsidRPr="003B36DF" w:rsidRDefault="006E2BCA" w:rsidP="001303AF">
            <w:pPr>
              <w:pStyle w:val="Tabletext"/>
              <w:spacing w:before="0" w:after="0"/>
              <w:rPr>
                <w:rFonts w:cs="Arial"/>
                <w:sz w:val="18"/>
                <w:szCs w:val="18"/>
              </w:rPr>
            </w:pPr>
            <w:r>
              <w:t>reconstructive surgery k=1 n=28</w:t>
            </w:r>
          </w:p>
        </w:tc>
        <w:tc>
          <w:tcPr>
            <w:tcW w:w="1364" w:type="dxa"/>
          </w:tcPr>
          <w:p w:rsidR="006E2BCA" w:rsidRDefault="006E2BCA" w:rsidP="001303AF">
            <w:pPr>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rsidR="006E2BCA" w:rsidRPr="003B36DF" w:rsidRDefault="006E2BCA" w:rsidP="001303AF">
            <w:pPr>
              <w:rPr>
                <w:rFonts w:cs="Arial"/>
                <w:sz w:val="18"/>
                <w:szCs w:val="18"/>
              </w:rPr>
            </w:pPr>
            <w:r w:rsidRPr="00F439C5">
              <w:rPr>
                <w:rFonts w:cs="Arial"/>
                <w:sz w:val="18"/>
                <w:szCs w:val="18"/>
              </w:rPr>
              <w:t>Very low quality</w:t>
            </w:r>
            <w:r>
              <w:rPr>
                <w:rFonts w:cs="Arial"/>
                <w:sz w:val="18"/>
                <w:szCs w:val="18"/>
              </w:rPr>
              <w:t xml:space="preserve"> </w:t>
            </w:r>
            <w:r>
              <w:rPr>
                <w:rFonts w:cs="Arial"/>
                <w:sz w:val="18"/>
                <w:szCs w:val="18"/>
              </w:rPr>
              <w:br/>
              <w:t>(naïve comparison)</w:t>
            </w:r>
          </w:p>
        </w:tc>
        <w:tc>
          <w:tcPr>
            <w:tcW w:w="1203" w:type="dxa"/>
          </w:tcPr>
          <w:p w:rsidR="006E2BCA" w:rsidRPr="003B36DF" w:rsidRDefault="006E2BCA" w:rsidP="001303AF">
            <w:pPr>
              <w:pStyle w:val="Tabletext"/>
              <w:spacing w:before="0" w:after="0"/>
              <w:rPr>
                <w:rFonts w:cs="Arial"/>
                <w:sz w:val="18"/>
                <w:szCs w:val="18"/>
              </w:rPr>
            </w:pPr>
            <w:r>
              <w:t>CO</w:t>
            </w:r>
            <w:r w:rsidRPr="001A10F1">
              <w:rPr>
                <w:vertAlign w:val="subscript"/>
              </w:rPr>
              <w:t xml:space="preserve">2 </w:t>
            </w:r>
            <w:r>
              <w:t>AFL=-0.05</w:t>
            </w:r>
          </w:p>
        </w:tc>
        <w:tc>
          <w:tcPr>
            <w:tcW w:w="1525" w:type="dxa"/>
          </w:tcPr>
          <w:p w:rsidR="006E2BCA" w:rsidRDefault="006E2BCA" w:rsidP="001303AF">
            <w:pPr>
              <w:pStyle w:val="Tabletext"/>
              <w:spacing w:before="0" w:after="0"/>
            </w:pPr>
            <w:r>
              <w:t>Flaps=0.10</w:t>
            </w:r>
          </w:p>
          <w:p w:rsidR="006E2BCA" w:rsidRPr="003B36DF" w:rsidRDefault="006E2BCA" w:rsidP="001303AF">
            <w:pPr>
              <w:pStyle w:val="Tabletext"/>
              <w:spacing w:before="0" w:after="0"/>
              <w:rPr>
                <w:rFonts w:cs="Arial"/>
                <w:sz w:val="18"/>
                <w:szCs w:val="18"/>
              </w:rPr>
            </w:pPr>
            <w:r>
              <w:t>FTSG=0.20</w:t>
            </w:r>
          </w:p>
        </w:tc>
        <w:tc>
          <w:tcPr>
            <w:tcW w:w="1452" w:type="dxa"/>
          </w:tcPr>
          <w:p w:rsidR="006E2BCA" w:rsidRDefault="006E2BCA" w:rsidP="001303AF">
            <w:pPr>
              <w:rPr>
                <w:rFonts w:cs="Arial"/>
                <w:sz w:val="18"/>
                <w:szCs w:val="18"/>
              </w:rPr>
            </w:pPr>
            <w:r>
              <w:rPr>
                <w:rFonts w:cs="Arial"/>
                <w:sz w:val="18"/>
                <w:szCs w:val="18"/>
              </w:rPr>
              <w:t>Flaps – CO</w:t>
            </w:r>
            <w:r w:rsidRPr="001A10F1">
              <w:rPr>
                <w:rFonts w:cs="Arial"/>
                <w:sz w:val="18"/>
                <w:szCs w:val="18"/>
                <w:vertAlign w:val="subscript"/>
              </w:rPr>
              <w:t xml:space="preserve">2 </w:t>
            </w:r>
            <w:r>
              <w:rPr>
                <w:rFonts w:cs="Arial"/>
                <w:sz w:val="18"/>
                <w:szCs w:val="18"/>
              </w:rPr>
              <w:t>AFL=0.05</w:t>
            </w:r>
          </w:p>
          <w:p w:rsidR="006E2BCA" w:rsidRPr="003B36DF" w:rsidRDefault="006E2BCA" w:rsidP="001303AF">
            <w:pPr>
              <w:rPr>
                <w:rFonts w:cs="Arial"/>
                <w:sz w:val="18"/>
                <w:szCs w:val="18"/>
              </w:rPr>
            </w:pPr>
            <w:r>
              <w:rPr>
                <w:rFonts w:cs="Arial"/>
                <w:sz w:val="18"/>
                <w:szCs w:val="18"/>
              </w:rPr>
              <w:t>FTSG=0.15</w:t>
            </w:r>
          </w:p>
        </w:tc>
        <w:tc>
          <w:tcPr>
            <w:tcW w:w="1418" w:type="dxa"/>
          </w:tcPr>
          <w:p w:rsidR="006E2BCA" w:rsidRPr="003B36DF" w:rsidRDefault="006E2BCA" w:rsidP="001303AF">
            <w:pPr>
              <w:rPr>
                <w:rFonts w:cs="Arial"/>
                <w:sz w:val="18"/>
                <w:szCs w:val="18"/>
              </w:rPr>
            </w:pPr>
            <w:r>
              <w:rPr>
                <w:rFonts w:cs="Arial"/>
                <w:sz w:val="18"/>
                <w:szCs w:val="18"/>
              </w:rPr>
              <w:t xml:space="preserve">Clinical relevance of difference unclear. </w:t>
            </w:r>
          </w:p>
        </w:tc>
      </w:tr>
      <w:tr w:rsidR="006E2BCA" w:rsidRPr="003B36DF" w:rsidTr="00A637B6">
        <w:tc>
          <w:tcPr>
            <w:tcW w:w="1168" w:type="dxa"/>
          </w:tcPr>
          <w:p w:rsidR="006E2BCA" w:rsidRDefault="006E2BCA" w:rsidP="001303AF">
            <w:pPr>
              <w:pStyle w:val="Tabletext"/>
              <w:spacing w:before="0" w:after="0"/>
            </w:pPr>
            <w:r>
              <w:t>VSS</w:t>
            </w:r>
          </w:p>
        </w:tc>
        <w:tc>
          <w:tcPr>
            <w:tcW w:w="1363" w:type="dxa"/>
          </w:tcPr>
          <w:p w:rsidR="006E2BCA" w:rsidRDefault="006E2BCA" w:rsidP="001303AF">
            <w:pPr>
              <w:pStyle w:val="Tabletext"/>
              <w:spacing w:before="0" w:after="0"/>
            </w:pPr>
            <w:r>
              <w:t>Naïve comparison:</w:t>
            </w:r>
          </w:p>
          <w:p w:rsidR="006E2BCA" w:rsidRDefault="006E2BCA" w:rsidP="001303AF">
            <w:pPr>
              <w:pStyle w:val="Tabletext"/>
              <w:spacing w:before="0" w:after="0"/>
            </w:pPr>
            <w:r>
              <w:t>CO</w:t>
            </w:r>
            <w:r w:rsidRPr="001A10F1">
              <w:rPr>
                <w:vertAlign w:val="subscript"/>
              </w:rPr>
              <w:t>2</w:t>
            </w:r>
            <w:r>
              <w:t xml:space="preserve"> AFL k=5 n=174; reconstructive surgery k=2 n=257</w:t>
            </w:r>
          </w:p>
        </w:tc>
        <w:tc>
          <w:tcPr>
            <w:tcW w:w="1364" w:type="dxa"/>
          </w:tcPr>
          <w:p w:rsidR="006E2BCA" w:rsidRDefault="006E2BCA" w:rsidP="001303AF">
            <w:pPr>
              <w:rPr>
                <w:rFonts w:ascii="Cambria Math" w:hAnsi="Cambria Math" w:cs="Cambria Math"/>
                <w:color w:val="C00000"/>
              </w:rPr>
            </w:pPr>
            <w:r>
              <w:rPr>
                <w:rFonts w:ascii="Cambria Math" w:hAnsi="Cambria Math"/>
                <w:color w:val="00B050"/>
              </w:rPr>
              <w:t>⨁</w:t>
            </w:r>
            <w:r w:rsidRPr="00D4733A">
              <w:rPr>
                <w:rFonts w:ascii="Cambria Math" w:hAnsi="Cambria Math" w:cs="Cambria Math"/>
                <w:color w:val="C00000"/>
              </w:rPr>
              <w:t>⨀⨀⨀</w:t>
            </w:r>
          </w:p>
          <w:p w:rsidR="006E2BCA" w:rsidRDefault="006E2BCA" w:rsidP="001303AF">
            <w:pPr>
              <w:rPr>
                <w:rFonts w:ascii="Cambria Math" w:hAnsi="Cambria Math"/>
                <w:color w:val="00B050"/>
              </w:rPr>
            </w:pPr>
            <w:r w:rsidRPr="00F439C5">
              <w:rPr>
                <w:rFonts w:cs="Arial"/>
                <w:sz w:val="18"/>
                <w:szCs w:val="18"/>
              </w:rPr>
              <w:t>Very low quality</w:t>
            </w:r>
            <w:r>
              <w:rPr>
                <w:rFonts w:cs="Arial"/>
                <w:sz w:val="18"/>
                <w:szCs w:val="18"/>
              </w:rPr>
              <w:t xml:space="preserve"> </w:t>
            </w:r>
            <w:r>
              <w:rPr>
                <w:rFonts w:cs="Arial"/>
                <w:sz w:val="18"/>
                <w:szCs w:val="18"/>
              </w:rPr>
              <w:br/>
              <w:t>(naïve comparison)</w:t>
            </w:r>
          </w:p>
        </w:tc>
        <w:tc>
          <w:tcPr>
            <w:tcW w:w="1203" w:type="dxa"/>
          </w:tcPr>
          <w:p w:rsidR="006E2BCA" w:rsidRDefault="006E2BCA" w:rsidP="001303AF">
            <w:pPr>
              <w:pStyle w:val="Tabletext"/>
              <w:spacing w:before="0" w:after="0"/>
            </w:pPr>
            <w:r>
              <w:t>Range -0.96 to -4.27</w:t>
            </w:r>
          </w:p>
          <w:p w:rsidR="006E2BCA" w:rsidRDefault="006E2BCA" w:rsidP="001303AF">
            <w:pPr>
              <w:pStyle w:val="Tabletext"/>
              <w:spacing w:before="0" w:after="0"/>
            </w:pPr>
            <w:r>
              <w:t>WM=-1.71</w:t>
            </w:r>
          </w:p>
          <w:p w:rsidR="006E2BCA" w:rsidRDefault="006E2BCA" w:rsidP="001303AF">
            <w:pPr>
              <w:pStyle w:val="Tabletext"/>
              <w:spacing w:before="0" w:after="0"/>
            </w:pPr>
            <w:r>
              <w:t>WM (</w:t>
            </w:r>
            <w:proofErr w:type="spellStart"/>
            <w:r>
              <w:t>excl</w:t>
            </w:r>
            <w:proofErr w:type="spellEnd"/>
            <w:r>
              <w:t xml:space="preserve"> </w:t>
            </w:r>
            <w:proofErr w:type="spellStart"/>
            <w:r>
              <w:t>Issler</w:t>
            </w:r>
            <w:proofErr w:type="spellEnd"/>
            <w:r>
              <w:t>)=-2.0</w:t>
            </w:r>
            <w:r w:rsidRPr="005069D3">
              <w:rPr>
                <w:vertAlign w:val="superscript"/>
              </w:rPr>
              <w:t xml:space="preserve"> b</w:t>
            </w:r>
          </w:p>
        </w:tc>
        <w:tc>
          <w:tcPr>
            <w:tcW w:w="1525" w:type="dxa"/>
          </w:tcPr>
          <w:p w:rsidR="006E2BCA" w:rsidRDefault="006E2BCA" w:rsidP="001303AF">
            <w:pPr>
              <w:pStyle w:val="Tabletext"/>
              <w:spacing w:before="0" w:after="0"/>
            </w:pPr>
            <w:proofErr w:type="spellStart"/>
            <w:r>
              <w:t>AlloDerm+STSG</w:t>
            </w:r>
            <w:proofErr w:type="spellEnd"/>
            <w:r>
              <w:t>=-7.38</w:t>
            </w:r>
          </w:p>
          <w:p w:rsidR="006E2BCA" w:rsidRDefault="006E2BCA" w:rsidP="001303AF">
            <w:pPr>
              <w:pStyle w:val="Tabletext"/>
              <w:spacing w:before="0" w:after="0"/>
            </w:pPr>
            <w:proofErr w:type="spellStart"/>
            <w:r>
              <w:t>Integra+STSG</w:t>
            </w:r>
            <w:proofErr w:type="spellEnd"/>
            <w:r>
              <w:br/>
              <w:t>=-4.30</w:t>
            </w:r>
          </w:p>
          <w:p w:rsidR="006E2BCA" w:rsidRDefault="006E2BCA" w:rsidP="001303AF">
            <w:pPr>
              <w:pStyle w:val="Tabletext"/>
              <w:spacing w:before="0" w:after="0"/>
            </w:pPr>
            <w:r>
              <w:t>WM=-5.76</w:t>
            </w:r>
          </w:p>
        </w:tc>
        <w:tc>
          <w:tcPr>
            <w:tcW w:w="1452" w:type="dxa"/>
          </w:tcPr>
          <w:p w:rsidR="006E2BCA" w:rsidRDefault="006E2BCA" w:rsidP="001303AF">
            <w:pPr>
              <w:rPr>
                <w:rFonts w:cs="Arial"/>
                <w:sz w:val="18"/>
                <w:szCs w:val="18"/>
              </w:rPr>
            </w:pPr>
            <w:r>
              <w:rPr>
                <w:rFonts w:cs="Arial"/>
                <w:sz w:val="18"/>
                <w:szCs w:val="18"/>
              </w:rPr>
              <w:t xml:space="preserve">Dermal </w:t>
            </w:r>
            <w:proofErr w:type="spellStart"/>
            <w:r>
              <w:rPr>
                <w:rFonts w:cs="Arial"/>
                <w:sz w:val="18"/>
                <w:szCs w:val="18"/>
              </w:rPr>
              <w:t>sub+STSG</w:t>
            </w:r>
            <w:proofErr w:type="spellEnd"/>
            <w:r>
              <w:rPr>
                <w:rFonts w:cs="Arial"/>
                <w:sz w:val="18"/>
                <w:szCs w:val="18"/>
              </w:rPr>
              <w:t xml:space="preserve"> – CO</w:t>
            </w:r>
            <w:r w:rsidRPr="001A10F1">
              <w:rPr>
                <w:rFonts w:cs="Arial"/>
                <w:sz w:val="18"/>
                <w:szCs w:val="18"/>
                <w:vertAlign w:val="subscript"/>
              </w:rPr>
              <w:t>2</w:t>
            </w:r>
            <w:r>
              <w:rPr>
                <w:rFonts w:cs="Arial"/>
                <w:sz w:val="18"/>
                <w:szCs w:val="18"/>
              </w:rPr>
              <w:t xml:space="preserve"> AFL=-4.05 </w:t>
            </w:r>
          </w:p>
        </w:tc>
        <w:tc>
          <w:tcPr>
            <w:tcW w:w="1418" w:type="dxa"/>
          </w:tcPr>
          <w:p w:rsidR="006E2BCA" w:rsidRDefault="006E2BCA" w:rsidP="001303AF">
            <w:pPr>
              <w:rPr>
                <w:rFonts w:cs="Arial"/>
                <w:sz w:val="18"/>
                <w:szCs w:val="18"/>
              </w:rPr>
            </w:pPr>
            <w:r>
              <w:rPr>
                <w:rFonts w:cs="Arial"/>
                <w:sz w:val="18"/>
                <w:szCs w:val="18"/>
              </w:rPr>
              <w:t xml:space="preserve">Clinical relevance of difference unclear; Result numerically favours comparator; follow-up much longer in comparator trials. </w:t>
            </w:r>
          </w:p>
        </w:tc>
      </w:tr>
      <w:tr w:rsidR="006E2BCA" w:rsidRPr="003B36DF" w:rsidTr="00A637B6">
        <w:tc>
          <w:tcPr>
            <w:tcW w:w="1168" w:type="dxa"/>
          </w:tcPr>
          <w:p w:rsidR="006E2BCA" w:rsidRPr="003B36DF" w:rsidRDefault="006E2BCA" w:rsidP="001303AF">
            <w:pPr>
              <w:rPr>
                <w:rFonts w:cs="Arial"/>
                <w:sz w:val="18"/>
                <w:szCs w:val="18"/>
              </w:rPr>
            </w:pPr>
            <w:r>
              <w:rPr>
                <w:rFonts w:cs="Arial"/>
                <w:sz w:val="18"/>
                <w:szCs w:val="18"/>
              </w:rPr>
              <w:t>Safety</w:t>
            </w:r>
          </w:p>
        </w:tc>
        <w:tc>
          <w:tcPr>
            <w:tcW w:w="8325" w:type="dxa"/>
            <w:gridSpan w:val="6"/>
          </w:tcPr>
          <w:p w:rsidR="006E2BCA" w:rsidRPr="003B36DF" w:rsidRDefault="006E2BCA" w:rsidP="001303AF">
            <w:pPr>
              <w:rPr>
                <w:rFonts w:cs="Arial"/>
                <w:sz w:val="18"/>
                <w:szCs w:val="18"/>
              </w:rPr>
            </w:pPr>
            <w:r>
              <w:rPr>
                <w:rFonts w:cs="Arial"/>
                <w:sz w:val="18"/>
                <w:szCs w:val="18"/>
              </w:rPr>
              <w:t>No comparison of safety could be performed. No SAE reported with CO</w:t>
            </w:r>
            <w:r w:rsidRPr="001A10F1">
              <w:rPr>
                <w:rFonts w:cs="Arial"/>
                <w:sz w:val="18"/>
                <w:szCs w:val="18"/>
                <w:vertAlign w:val="subscript"/>
              </w:rPr>
              <w:t>2</w:t>
            </w:r>
            <w:r>
              <w:rPr>
                <w:rFonts w:cs="Arial"/>
                <w:sz w:val="18"/>
                <w:szCs w:val="18"/>
              </w:rPr>
              <w:t xml:space="preserve"> AFL versus 2/12 (17%) patients with FTSG and 1/16 (6.0) with FTSG experienced necrosis; w</w:t>
            </w:r>
            <w:r w:rsidRPr="00274EA7">
              <w:rPr>
                <w:rFonts w:cs="Arial"/>
                <w:sz w:val="18"/>
                <w:szCs w:val="18"/>
              </w:rPr>
              <w:t xml:space="preserve">ound dehiscence occurred in 20.0% </w:t>
            </w:r>
            <w:r>
              <w:rPr>
                <w:rFonts w:cs="Arial"/>
                <w:sz w:val="18"/>
                <w:szCs w:val="18"/>
              </w:rPr>
              <w:t>of</w:t>
            </w:r>
            <w:r w:rsidRPr="00274EA7">
              <w:rPr>
                <w:rFonts w:cs="Arial"/>
                <w:sz w:val="18"/>
                <w:szCs w:val="18"/>
              </w:rPr>
              <w:t xml:space="preserve"> patients treated with </w:t>
            </w:r>
            <w:r>
              <w:rPr>
                <w:rFonts w:cs="Arial"/>
                <w:sz w:val="18"/>
                <w:szCs w:val="18"/>
              </w:rPr>
              <w:t>SE</w:t>
            </w:r>
            <w:r w:rsidRPr="00274EA7">
              <w:rPr>
                <w:rFonts w:cs="Arial"/>
                <w:sz w:val="18"/>
                <w:szCs w:val="18"/>
              </w:rPr>
              <w:t xml:space="preserve"> and in 6.7%</w:t>
            </w:r>
            <w:r>
              <w:rPr>
                <w:rFonts w:cs="Arial"/>
                <w:sz w:val="18"/>
                <w:szCs w:val="18"/>
              </w:rPr>
              <w:t xml:space="preserve"> </w:t>
            </w:r>
            <w:r w:rsidRPr="00274EA7">
              <w:rPr>
                <w:rFonts w:cs="Arial"/>
                <w:sz w:val="18"/>
                <w:szCs w:val="18"/>
              </w:rPr>
              <w:t xml:space="preserve">of those treated with </w:t>
            </w:r>
            <w:r>
              <w:rPr>
                <w:rFonts w:cs="Arial"/>
                <w:sz w:val="18"/>
                <w:szCs w:val="18"/>
              </w:rPr>
              <w:t>SE; 6.7% of patients undergoing dermal substitution + STSG</w:t>
            </w:r>
            <w:r w:rsidRPr="00274EA7">
              <w:rPr>
                <w:rFonts w:cs="Arial"/>
                <w:sz w:val="18"/>
                <w:szCs w:val="18"/>
              </w:rPr>
              <w:t xml:space="preserve"> </w:t>
            </w:r>
            <w:r>
              <w:rPr>
                <w:rFonts w:cs="Arial"/>
                <w:sz w:val="18"/>
                <w:szCs w:val="18"/>
              </w:rPr>
              <w:t>required regrafting</w:t>
            </w:r>
          </w:p>
        </w:tc>
      </w:tr>
    </w:tbl>
    <w:p w:rsidR="006E2BCA" w:rsidRDefault="006E2BCA" w:rsidP="006E2BCA">
      <w:pPr>
        <w:spacing w:after="240"/>
        <w:rPr>
          <w:rFonts w:ascii="Arial Narrow" w:hAnsi="Arial Narrow" w:cs="Arial"/>
          <w:sz w:val="18"/>
          <w:szCs w:val="18"/>
        </w:rPr>
      </w:pPr>
      <w:r>
        <w:rPr>
          <w:rFonts w:ascii="Arial Narrow" w:hAnsi="Arial Narrow" w:cs="Arial"/>
          <w:sz w:val="18"/>
          <w:szCs w:val="18"/>
        </w:rPr>
        <w:t>CO</w:t>
      </w:r>
      <w:r w:rsidRPr="00BA09E3">
        <w:rPr>
          <w:rFonts w:ascii="Arial Narrow" w:hAnsi="Arial Narrow" w:cs="Arial"/>
          <w:sz w:val="18"/>
          <w:szCs w:val="18"/>
          <w:vertAlign w:val="subscript"/>
        </w:rPr>
        <w:t>2</w:t>
      </w:r>
      <w:r>
        <w:rPr>
          <w:rFonts w:ascii="Arial Narrow" w:hAnsi="Arial Narrow" w:cs="Arial"/>
          <w:sz w:val="18"/>
          <w:szCs w:val="18"/>
        </w:rPr>
        <w:t xml:space="preserve"> AFL=carbon dioxide ablative fractional laser; WM=weighted mean change; FTSG=full-thickness skin graft; SE=scar excision alone; SS=</w:t>
      </w:r>
      <w:r w:rsidRPr="008C46A0">
        <w:rPr>
          <w:rFonts w:ascii="Arial Narrow" w:hAnsi="Arial Narrow" w:cs="Arial"/>
          <w:sz w:val="18"/>
          <w:szCs w:val="18"/>
        </w:rPr>
        <w:t>scar excision with skin stretching</w:t>
      </w:r>
      <w:r>
        <w:rPr>
          <w:rFonts w:ascii="Arial Narrow" w:hAnsi="Arial Narrow" w:cs="Arial"/>
          <w:sz w:val="18"/>
          <w:szCs w:val="18"/>
        </w:rPr>
        <w:t xml:space="preserve">; STSG=split-thickness skin graft; SAE=serious adverse events; sub=substitute. </w:t>
      </w:r>
      <w:proofErr w:type="gramStart"/>
      <w:r w:rsidRPr="00E10B76">
        <w:rPr>
          <w:rFonts w:ascii="Arial Narrow" w:hAnsi="Arial Narrow" w:cs="Arial"/>
          <w:sz w:val="18"/>
          <w:szCs w:val="18"/>
          <w:vertAlign w:val="superscript"/>
        </w:rPr>
        <w:t>a</w:t>
      </w:r>
      <w:proofErr w:type="gramEnd"/>
      <w:r w:rsidRPr="00E10B76">
        <w:rPr>
          <w:rFonts w:ascii="Arial Narrow" w:hAnsi="Arial Narrow" w:cs="Arial"/>
          <w:sz w:val="18"/>
          <w:szCs w:val="18"/>
          <w:vertAlign w:val="superscript"/>
        </w:rPr>
        <w:t xml:space="preserve"> </w:t>
      </w:r>
      <w:r w:rsidRPr="00E10B76">
        <w:rPr>
          <w:rFonts w:ascii="Arial Narrow" w:hAnsi="Arial Narrow" w:cs="Arial"/>
          <w:sz w:val="18"/>
          <w:szCs w:val="18"/>
        </w:rPr>
        <w:t>GRADE Working Group grades of evidence</w:t>
      </w:r>
      <w:r>
        <w:rPr>
          <w:rFonts w:ascii="Arial Narrow" w:hAnsi="Arial Narrow" w:cs="Arial"/>
          <w:sz w:val="18"/>
          <w:szCs w:val="18"/>
        </w:rPr>
        <w:t xml:space="preserve"> (</w:t>
      </w:r>
      <w:proofErr w:type="spellStart"/>
      <w:r>
        <w:rPr>
          <w:rFonts w:ascii="Arial Narrow" w:hAnsi="Arial Narrow" w:cs="Arial"/>
          <w:sz w:val="18"/>
          <w:szCs w:val="18"/>
        </w:rPr>
        <w:t>Guyatt</w:t>
      </w:r>
      <w:proofErr w:type="spellEnd"/>
      <w:r>
        <w:rPr>
          <w:rFonts w:ascii="Arial Narrow" w:hAnsi="Arial Narrow" w:cs="Arial"/>
          <w:sz w:val="18"/>
          <w:szCs w:val="18"/>
        </w:rPr>
        <w:t xml:space="preserve"> et al., 2013) </w:t>
      </w:r>
      <w:r>
        <w:rPr>
          <w:rFonts w:ascii="Arial Narrow" w:hAnsi="Arial Narrow" w:cs="Arial"/>
          <w:sz w:val="18"/>
          <w:szCs w:val="18"/>
        </w:rPr>
        <w:br/>
      </w:r>
      <w:proofErr w:type="spellStart"/>
      <w:r w:rsidRPr="005069D3">
        <w:rPr>
          <w:rFonts w:ascii="Arial Narrow" w:hAnsi="Arial Narrow" w:cs="Arial"/>
          <w:sz w:val="18"/>
          <w:szCs w:val="18"/>
          <w:vertAlign w:val="superscript"/>
        </w:rPr>
        <w:t>b</w:t>
      </w:r>
      <w:r>
        <w:rPr>
          <w:rFonts w:ascii="Arial Narrow" w:hAnsi="Arial Narrow" w:cs="Arial"/>
          <w:sz w:val="18"/>
          <w:szCs w:val="18"/>
        </w:rPr>
        <w:t>Issler</w:t>
      </w:r>
      <w:proofErr w:type="spellEnd"/>
      <w:r>
        <w:rPr>
          <w:rFonts w:ascii="Arial Narrow" w:hAnsi="Arial Narrow" w:cs="Arial"/>
          <w:sz w:val="18"/>
          <w:szCs w:val="18"/>
        </w:rPr>
        <w:t xml:space="preserve">-Fisher 2017 was excluded as a sensitivity analysis due to: presenting medians (other studies presented means) and only assessing one treatment (other studies assessed three treatments). </w:t>
      </w:r>
      <w:r w:rsidRPr="00E10B76">
        <w:rPr>
          <w:rFonts w:ascii="Arial Narrow" w:hAnsi="Arial Narrow" w:cs="Arial"/>
          <w:sz w:val="18"/>
          <w:szCs w:val="18"/>
        </w:rPr>
        <w:br/>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 xml:space="preserve">Our confidence in the effect estimate is limited: The true effect may be substantially different from the estimate of the effect. </w:t>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rsidR="006E2BCA" w:rsidRDefault="006E2BCA" w:rsidP="006E2BCA">
      <w:pPr>
        <w:rPr>
          <w:lang w:eastAsia="en-US"/>
        </w:rPr>
      </w:pPr>
      <w:r>
        <w:rPr>
          <w:noProof/>
        </w:rPr>
        <w:lastRenderedPageBreak/>
        <w:drawing>
          <wp:inline distT="0" distB="0" distL="0" distR="0" wp14:anchorId="5863A13C" wp14:editId="012D5756">
            <wp:extent cx="3914775" cy="1943100"/>
            <wp:effectExtent l="0" t="0" r="9525" b="0"/>
            <wp:docPr id="3" name="Picture 3" descr="Both CO2 AFL and reconstructive surgery appear to achieve a minimally clinically important difference of more than 6 POSAS poi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ierakowski\AppData\Local\Microsoft\Windows\INetCache\Content.Word\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7691" cy="1949511"/>
                    </a:xfrm>
                    <a:prstGeom prst="rect">
                      <a:avLst/>
                    </a:prstGeom>
                    <a:noFill/>
                    <a:ln>
                      <a:noFill/>
                    </a:ln>
                  </pic:spPr>
                </pic:pic>
              </a:graphicData>
            </a:graphic>
          </wp:inline>
        </w:drawing>
      </w:r>
    </w:p>
    <w:p w:rsidR="006E2BCA" w:rsidRDefault="006E2BCA" w:rsidP="006E2BCA">
      <w:pPr>
        <w:pStyle w:val="Caption"/>
      </w:pPr>
      <w:bookmarkStart w:id="10" w:name="_Ref508100166"/>
      <w:r>
        <w:t xml:space="preserve">Figure </w:t>
      </w:r>
      <w:fldSimple w:instr=" SEQ Figure \* ARABIC ">
        <w:r>
          <w:rPr>
            <w:noProof/>
          </w:rPr>
          <w:t>1</w:t>
        </w:r>
      </w:fldSimple>
      <w:bookmarkEnd w:id="10"/>
      <w:r>
        <w:tab/>
        <w:t>Comparison of mean change from baseline in combined OSAS and PSAS with CO</w:t>
      </w:r>
      <w:r w:rsidRPr="001A10F1">
        <w:rPr>
          <w:vertAlign w:val="subscript"/>
        </w:rPr>
        <w:t>2</w:t>
      </w:r>
      <w:r>
        <w:t xml:space="preserve"> AFL and reconstructive surgery (flap and FTSG)</w:t>
      </w:r>
    </w:p>
    <w:p w:rsidR="006E2BCA" w:rsidRPr="005925DB" w:rsidRDefault="006E2BCA" w:rsidP="00700664">
      <w:pPr>
        <w:pStyle w:val="Tablenotes"/>
        <w:spacing w:after="240"/>
      </w:pPr>
      <w:r>
        <w:t>NB. Red line indicates the minimally clinically important difference (MCID=6) (</w:t>
      </w:r>
      <w:proofErr w:type="spellStart"/>
      <w:r>
        <w:t>Blijard</w:t>
      </w:r>
      <w:proofErr w:type="spellEnd"/>
      <w:r>
        <w:t xml:space="preserve"> 2013)</w:t>
      </w:r>
    </w:p>
    <w:p w:rsidR="006E2BCA" w:rsidRDefault="006E2BCA" w:rsidP="006E2BCA">
      <w:r>
        <w:rPr>
          <w:noProof/>
        </w:rPr>
        <w:drawing>
          <wp:inline distT="0" distB="0" distL="0" distR="0" wp14:anchorId="437C3E3B" wp14:editId="106C3BEC">
            <wp:extent cx="3917037" cy="2209800"/>
            <wp:effectExtent l="0" t="0" r="7620" b="0"/>
            <wp:docPr id="21" name="Picture 21" descr="VSS scores from baseline graph - The estimated change from baseline VSS score for reconstructive surgery is -5.76 and for CO2 AFL is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sierakowski\AppData\Local\Microsoft\Windows\INetCache\Content.Word\2.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697" cy="2214121"/>
                    </a:xfrm>
                    <a:prstGeom prst="rect">
                      <a:avLst/>
                    </a:prstGeom>
                    <a:noFill/>
                    <a:ln>
                      <a:noFill/>
                    </a:ln>
                  </pic:spPr>
                </pic:pic>
              </a:graphicData>
            </a:graphic>
          </wp:inline>
        </w:drawing>
      </w:r>
    </w:p>
    <w:p w:rsidR="006E2BCA" w:rsidRDefault="006E2BCA" w:rsidP="006E2BCA">
      <w:pPr>
        <w:pStyle w:val="Caption"/>
      </w:pPr>
      <w:bookmarkStart w:id="11" w:name="_Ref508100206"/>
      <w:r>
        <w:t xml:space="preserve">Figure </w:t>
      </w:r>
      <w:fldSimple w:instr=" SEQ Figure \* ARABIC ">
        <w:r>
          <w:rPr>
            <w:noProof/>
          </w:rPr>
          <w:t>2</w:t>
        </w:r>
      </w:fldSimple>
      <w:bookmarkEnd w:id="11"/>
      <w:r>
        <w:tab/>
        <w:t>Comparison of mean change from baseline in VSS with CO</w:t>
      </w:r>
      <w:r w:rsidRPr="001A10F1">
        <w:rPr>
          <w:vertAlign w:val="subscript"/>
        </w:rPr>
        <w:t>2</w:t>
      </w:r>
      <w:r>
        <w:t xml:space="preserve"> AFL and reconstructive surgery (dermal substitution + STSG)</w:t>
      </w:r>
    </w:p>
    <w:p w:rsidR="006E2BCA" w:rsidRPr="00B02E35" w:rsidRDefault="006E2BCA" w:rsidP="006E2BCA">
      <w:pPr>
        <w:pStyle w:val="Tablenotes"/>
        <w:spacing w:after="240"/>
      </w:pPr>
      <w:r>
        <w:t>CO</w:t>
      </w:r>
      <w:r w:rsidRPr="001A10F1">
        <w:rPr>
          <w:vertAlign w:val="subscript"/>
        </w:rPr>
        <w:t>2</w:t>
      </w:r>
      <w:r>
        <w:t xml:space="preserve"> AFL=carbon dioxide ablative fractional laser; STSG=split-thickness skin graft; WM=weighted mean; VSS=Vancouver Scar Scale; HT=hypertrophic; K=keloid.</w:t>
      </w:r>
    </w:p>
    <w:p w:rsidR="00F37B9C" w:rsidRDefault="00F37B9C" w:rsidP="005C6F08">
      <w:pPr>
        <w:tabs>
          <w:tab w:val="left" w:pos="720"/>
          <w:tab w:val="left" w:pos="1140"/>
        </w:tabs>
        <w:spacing w:after="120"/>
        <w:rPr>
          <w:b/>
          <w:szCs w:val="24"/>
        </w:rPr>
      </w:pPr>
      <w:r w:rsidRPr="00F37B9C">
        <w:rPr>
          <w:b/>
          <w:szCs w:val="24"/>
        </w:rPr>
        <w:t>Clinical Claim</w:t>
      </w:r>
    </w:p>
    <w:p w:rsidR="001303AF" w:rsidRPr="001303AF" w:rsidRDefault="001303AF" w:rsidP="001303AF">
      <w:pPr>
        <w:rPr>
          <w:szCs w:val="24"/>
        </w:rPr>
      </w:pPr>
      <w:r w:rsidRPr="001303AF">
        <w:rPr>
          <w:szCs w:val="24"/>
        </w:rPr>
        <w:t>The PICO Confirmation provided a claim of superiority of CO</w:t>
      </w:r>
      <w:r w:rsidRPr="001303AF">
        <w:rPr>
          <w:szCs w:val="24"/>
          <w:vertAlign w:val="subscript"/>
        </w:rPr>
        <w:t>2</w:t>
      </w:r>
      <w:r w:rsidRPr="001303AF">
        <w:rPr>
          <w:szCs w:val="24"/>
        </w:rPr>
        <w:t xml:space="preserve"> AFL therapy in terms of clinical effectiveness and safety outcomes in patients with severe scars resulting from burn injuries, compared to usual care. The clinical evaluation found no direct comparative evidence to support this claim. Due to limited evidence, lack of comparative evidence, lack of common reference, limited overlap in outcomes reported between CO</w:t>
      </w:r>
      <w:r w:rsidRPr="001303AF">
        <w:rPr>
          <w:szCs w:val="24"/>
          <w:vertAlign w:val="subscript"/>
        </w:rPr>
        <w:t>2</w:t>
      </w:r>
      <w:r w:rsidRPr="001303AF">
        <w:rPr>
          <w:szCs w:val="24"/>
        </w:rPr>
        <w:t xml:space="preserve"> AFL and reconstructive surgery trials, a conclusion of uncertain effectiveness and uncertain safety of CO</w:t>
      </w:r>
      <w:r w:rsidRPr="001303AF">
        <w:rPr>
          <w:szCs w:val="24"/>
          <w:vertAlign w:val="subscript"/>
        </w:rPr>
        <w:t>2</w:t>
      </w:r>
      <w:r w:rsidRPr="001303AF">
        <w:rPr>
          <w:szCs w:val="24"/>
        </w:rPr>
        <w:t xml:space="preserve"> AFL relative to reconstructive surgery was drawn.</w:t>
      </w:r>
    </w:p>
    <w:p w:rsidR="00BC1364" w:rsidRPr="00F715D1" w:rsidRDefault="00BC1364" w:rsidP="00F715D1">
      <w:pPr>
        <w:pStyle w:val="Heading1"/>
      </w:pPr>
      <w:r w:rsidRPr="00F715D1">
        <w:t>Economic evaluation</w:t>
      </w:r>
    </w:p>
    <w:p w:rsidR="005F0D78" w:rsidRPr="00700664" w:rsidRDefault="006E2BCA" w:rsidP="00700664">
      <w:pPr>
        <w:spacing w:before="240" w:after="240"/>
      </w:pPr>
      <w:r>
        <w:t>Given the effectiveness and safety data of CO</w:t>
      </w:r>
      <w:r w:rsidRPr="00DE38A7">
        <w:rPr>
          <w:vertAlign w:val="subscript"/>
        </w:rPr>
        <w:t>2</w:t>
      </w:r>
      <w:r>
        <w:t xml:space="preserve"> AFL and reconstructive surgery, the economic evaluation presented is limited to a comparison of the costs to deliver the respective treatment courses supplemented by a review of the available quality of life literature. A summary is provided in </w:t>
      </w:r>
      <w:bookmarkStart w:id="12" w:name="_Ref508100268"/>
      <w:bookmarkStart w:id="13" w:name="_Ref379404328"/>
      <w:bookmarkStart w:id="14" w:name="_Ref379483368"/>
      <w:bookmarkStart w:id="15" w:name="_Ref394419656"/>
      <w:bookmarkStart w:id="16" w:name="_Toc496186158"/>
      <w:r w:rsidR="00DA2EAD">
        <w:t>Table 4.</w:t>
      </w:r>
      <w:bookmarkStart w:id="17" w:name="_GoBack"/>
      <w:bookmarkEnd w:id="17"/>
      <w:r w:rsidR="005F0D78">
        <w:br w:type="page"/>
      </w:r>
    </w:p>
    <w:p w:rsidR="006E2BCA" w:rsidRDefault="006E2BCA" w:rsidP="006E2BCA">
      <w:pPr>
        <w:pStyle w:val="Caption"/>
        <w:keepNext/>
        <w:jc w:val="both"/>
      </w:pPr>
      <w:r>
        <w:lastRenderedPageBreak/>
        <w:t xml:space="preserve">Table </w:t>
      </w:r>
      <w:fldSimple w:instr=" SEQ Table \* ARABIC ">
        <w:r>
          <w:rPr>
            <w:noProof/>
          </w:rPr>
          <w:t>4</w:t>
        </w:r>
      </w:fldSimple>
      <w:bookmarkEnd w:id="12"/>
      <w:r>
        <w:tab/>
      </w:r>
      <w:r w:rsidRPr="006C0DC1">
        <w:t>Summary of the economic evaluation</w:t>
      </w:r>
    </w:p>
    <w:tbl>
      <w:tblPr>
        <w:tblStyle w:val="TableGrid1"/>
        <w:tblW w:w="0" w:type="auto"/>
        <w:tblLook w:val="01E0" w:firstRow="1" w:lastRow="1" w:firstColumn="1" w:lastColumn="1" w:noHBand="0" w:noVBand="0"/>
        <w:tblDescription w:val="Summary of the economic evaluation parameters"/>
      </w:tblPr>
      <w:tblGrid>
        <w:gridCol w:w="3070"/>
        <w:gridCol w:w="5838"/>
      </w:tblGrid>
      <w:tr w:rsidR="006E2BCA" w:rsidRPr="00183E4D" w:rsidTr="00A637B6">
        <w:trPr>
          <w:cnfStyle w:val="100000000000" w:firstRow="1" w:lastRow="0" w:firstColumn="0" w:lastColumn="0" w:oddVBand="0" w:evenVBand="0" w:oddHBand="0" w:evenHBand="0" w:firstRowFirstColumn="0" w:firstRowLastColumn="0" w:lastRowFirstColumn="0" w:lastRowLastColumn="0"/>
          <w:trHeight w:val="20"/>
          <w:tblHeader/>
        </w:trPr>
        <w:tc>
          <w:tcPr>
            <w:tcW w:w="3070" w:type="dxa"/>
          </w:tcPr>
          <w:bookmarkEnd w:id="13"/>
          <w:bookmarkEnd w:id="14"/>
          <w:bookmarkEnd w:id="15"/>
          <w:bookmarkEnd w:id="16"/>
          <w:p w:rsidR="006E2BCA" w:rsidRPr="00183E4D" w:rsidRDefault="006E2BCA" w:rsidP="001303AF">
            <w:pPr>
              <w:pStyle w:val="Tabletext"/>
              <w:rPr>
                <w:b/>
              </w:rPr>
            </w:pPr>
            <w:r w:rsidRPr="00183E4D">
              <w:rPr>
                <w:b/>
              </w:rPr>
              <w:t>Comparator</w:t>
            </w:r>
          </w:p>
        </w:tc>
        <w:tc>
          <w:tcPr>
            <w:tcW w:w="5838" w:type="dxa"/>
          </w:tcPr>
          <w:p w:rsidR="006E2BCA" w:rsidRPr="006C0DC1" w:rsidRDefault="006E2BCA" w:rsidP="001303AF">
            <w:pPr>
              <w:pStyle w:val="Tabletext"/>
            </w:pPr>
            <w:r>
              <w:t>Reconstructive surgery</w:t>
            </w:r>
          </w:p>
        </w:tc>
      </w:tr>
      <w:tr w:rsidR="006E2BCA" w:rsidRPr="00183E4D" w:rsidTr="00A637B6">
        <w:trPr>
          <w:trHeight w:val="20"/>
        </w:trPr>
        <w:tc>
          <w:tcPr>
            <w:tcW w:w="3070" w:type="dxa"/>
          </w:tcPr>
          <w:p w:rsidR="006E2BCA" w:rsidRPr="00183E4D" w:rsidRDefault="006E2BCA" w:rsidP="001303AF">
            <w:pPr>
              <w:pStyle w:val="Tabletext"/>
              <w:rPr>
                <w:b/>
              </w:rPr>
            </w:pPr>
            <w:r w:rsidRPr="00183E4D">
              <w:rPr>
                <w:b/>
              </w:rPr>
              <w:t>Type of economic evaluation</w:t>
            </w:r>
          </w:p>
        </w:tc>
        <w:tc>
          <w:tcPr>
            <w:tcW w:w="5838" w:type="dxa"/>
          </w:tcPr>
          <w:p w:rsidR="006E2BCA" w:rsidRPr="006C0DC1" w:rsidRDefault="006E2BCA" w:rsidP="001303AF">
            <w:pPr>
              <w:pStyle w:val="Tabletext"/>
            </w:pPr>
            <w:r>
              <w:t>Cost-comparison</w:t>
            </w:r>
          </w:p>
        </w:tc>
      </w:tr>
      <w:tr w:rsidR="006E2BCA" w:rsidRPr="00183E4D" w:rsidTr="00A637B6">
        <w:trPr>
          <w:trHeight w:val="20"/>
        </w:trPr>
        <w:tc>
          <w:tcPr>
            <w:tcW w:w="3070" w:type="dxa"/>
          </w:tcPr>
          <w:p w:rsidR="006E2BCA" w:rsidRPr="00183E4D" w:rsidRDefault="006E2BCA" w:rsidP="001303AF">
            <w:pPr>
              <w:pStyle w:val="Tabletext"/>
              <w:rPr>
                <w:b/>
              </w:rPr>
            </w:pPr>
            <w:r w:rsidRPr="00183E4D">
              <w:rPr>
                <w:b/>
              </w:rPr>
              <w:t>Sources of evidence</w:t>
            </w:r>
          </w:p>
        </w:tc>
        <w:tc>
          <w:tcPr>
            <w:tcW w:w="5838" w:type="dxa"/>
          </w:tcPr>
          <w:p w:rsidR="006E2BCA" w:rsidRPr="006C0DC1" w:rsidRDefault="006E2BCA" w:rsidP="001303AF">
            <w:pPr>
              <w:pStyle w:val="Tabletext"/>
            </w:pPr>
            <w:r w:rsidRPr="001C7992">
              <w:t>Concord repatriation general hospital</w:t>
            </w:r>
            <w:r>
              <w:t xml:space="preserve"> (CRGH)</w:t>
            </w:r>
          </w:p>
        </w:tc>
      </w:tr>
      <w:tr w:rsidR="006E2BCA" w:rsidRPr="00183E4D" w:rsidTr="00A637B6">
        <w:trPr>
          <w:trHeight w:val="20"/>
        </w:trPr>
        <w:tc>
          <w:tcPr>
            <w:tcW w:w="3070" w:type="dxa"/>
            <w:hideMark/>
          </w:tcPr>
          <w:p w:rsidR="006E2BCA" w:rsidRPr="00183E4D" w:rsidRDefault="006E2BCA" w:rsidP="001303AF">
            <w:pPr>
              <w:pStyle w:val="Tabletext"/>
              <w:rPr>
                <w:b/>
              </w:rPr>
            </w:pPr>
            <w:r w:rsidRPr="00183E4D">
              <w:rPr>
                <w:b/>
              </w:rPr>
              <w:t>Time horizon</w:t>
            </w:r>
          </w:p>
        </w:tc>
        <w:tc>
          <w:tcPr>
            <w:tcW w:w="5838" w:type="dxa"/>
            <w:hideMark/>
          </w:tcPr>
          <w:p w:rsidR="006E2BCA" w:rsidRPr="006C0DC1" w:rsidRDefault="006E2BCA" w:rsidP="001303AF">
            <w:pPr>
              <w:pStyle w:val="Tabletext"/>
            </w:pPr>
            <w:r>
              <w:t>NA</w:t>
            </w:r>
          </w:p>
        </w:tc>
      </w:tr>
      <w:tr w:rsidR="006E2BCA" w:rsidRPr="00183E4D" w:rsidTr="00A637B6">
        <w:trPr>
          <w:trHeight w:val="20"/>
        </w:trPr>
        <w:tc>
          <w:tcPr>
            <w:tcW w:w="3070" w:type="dxa"/>
            <w:hideMark/>
          </w:tcPr>
          <w:p w:rsidR="006E2BCA" w:rsidRPr="00183E4D" w:rsidRDefault="006E2BCA" w:rsidP="001303AF">
            <w:pPr>
              <w:pStyle w:val="Tabletext"/>
              <w:rPr>
                <w:b/>
              </w:rPr>
            </w:pPr>
            <w:r w:rsidRPr="00183E4D">
              <w:rPr>
                <w:b/>
              </w:rPr>
              <w:t>Outcomes</w:t>
            </w:r>
          </w:p>
        </w:tc>
        <w:tc>
          <w:tcPr>
            <w:tcW w:w="5838" w:type="dxa"/>
          </w:tcPr>
          <w:p w:rsidR="006E2BCA" w:rsidRPr="006C0DC1" w:rsidRDefault="006E2BCA" w:rsidP="001303AF">
            <w:pPr>
              <w:pStyle w:val="Tabletext"/>
            </w:pPr>
            <w:r>
              <w:t>Average length of hospital stay, cost per course of treatment</w:t>
            </w:r>
          </w:p>
        </w:tc>
      </w:tr>
    </w:tbl>
    <w:p w:rsidR="006E2BCA" w:rsidRDefault="006E2BCA" w:rsidP="00700664">
      <w:pPr>
        <w:spacing w:before="240"/>
      </w:pPr>
      <w:r>
        <w:t xml:space="preserve">The cost analysis is structured as a comparison of costs between a single </w:t>
      </w:r>
      <w:r w:rsidRPr="00C92334">
        <w:t>CO</w:t>
      </w:r>
      <w:r w:rsidRPr="00C92334">
        <w:rPr>
          <w:vertAlign w:val="subscript"/>
        </w:rPr>
        <w:t>2</w:t>
      </w:r>
      <w:r>
        <w:t xml:space="preserve"> AFL versus surgery treatment course. The analysis assumes that a CO</w:t>
      </w:r>
      <w:r w:rsidRPr="00C92334">
        <w:rPr>
          <w:vertAlign w:val="subscript"/>
        </w:rPr>
        <w:t>2</w:t>
      </w:r>
      <w:r>
        <w:t xml:space="preserve"> AFL treatment course consists of three procedures and a surgery treatment course consists of one procedure. It is assumed that all procedures for both CO</w:t>
      </w:r>
      <w:r w:rsidRPr="00550A3F">
        <w:rPr>
          <w:vertAlign w:val="subscript"/>
        </w:rPr>
        <w:t>2</w:t>
      </w:r>
      <w:r>
        <w:t xml:space="preserve"> AFL and comparator reconstructive surgeries require the administration of anaesthesia by an anaesthetist and all procedures are assumed to be performed in hospital.</w:t>
      </w:r>
    </w:p>
    <w:p w:rsidR="006E2BCA" w:rsidRDefault="006E2BCA" w:rsidP="002016FB">
      <w:pPr>
        <w:spacing w:before="240"/>
      </w:pPr>
      <w:r>
        <w:t xml:space="preserve">Costing data was sourced from the MBS for procedure costs and costs for associated services including; specialist consultations, anaesthesia consultations, and the initiation and management of anaesthesia. Australian refined diagnosis related groups (AR-DRGs) hospitalisation costs were applied to hospital admissions data provided by the applicant. The admissions data was derived from a single centre (Concord repatriation general hospital [CRGH]) and is provided in Attachment “CRGH burn unit elective surgeries_2013-2017”. An AR-DRG hospitalisation cost was applied to all patients admitted over-night in hospital. Admissions data for stand-alone </w:t>
      </w:r>
      <w:r w:rsidRPr="0075312C">
        <w:t>CO</w:t>
      </w:r>
      <w:r w:rsidRPr="0075312C">
        <w:rPr>
          <w:vertAlign w:val="subscript"/>
        </w:rPr>
        <w:t>2</w:t>
      </w:r>
      <w:r w:rsidRPr="0075312C">
        <w:t xml:space="preserve"> AFL</w:t>
      </w:r>
      <w:r>
        <w:t xml:space="preserve"> and comparator surgical procedures is provided in </w:t>
      </w:r>
      <w:r>
        <w:fldChar w:fldCharType="begin"/>
      </w:r>
      <w:r>
        <w:instrText xml:space="preserve"> REF _Ref508100321 \h </w:instrText>
      </w:r>
      <w:r>
        <w:fldChar w:fldCharType="separate"/>
      </w:r>
      <w:r>
        <w:t xml:space="preserve">Table </w:t>
      </w:r>
      <w:r>
        <w:rPr>
          <w:noProof/>
        </w:rPr>
        <w:t>5</w:t>
      </w:r>
      <w:r>
        <w:fldChar w:fldCharType="end"/>
      </w:r>
      <w:r>
        <w:t xml:space="preserve">. Only stand-alone procedures were used in the analysis to reduce uncertainty in the comparison of burn reconstructive procedures. </w:t>
      </w:r>
      <w:bookmarkStart w:id="18" w:name="_Ref494983795"/>
      <w:bookmarkStart w:id="19" w:name="_Toc496186159"/>
    </w:p>
    <w:p w:rsidR="006E2BCA" w:rsidRDefault="006E2BCA" w:rsidP="002016FB">
      <w:pPr>
        <w:pStyle w:val="Caption"/>
        <w:keepNext/>
        <w:spacing w:before="240"/>
      </w:pPr>
      <w:bookmarkStart w:id="20" w:name="_Ref508100321"/>
      <w:r>
        <w:t xml:space="preserve">Table </w:t>
      </w:r>
      <w:fldSimple w:instr=" SEQ Table \* ARABIC ">
        <w:r>
          <w:rPr>
            <w:noProof/>
          </w:rPr>
          <w:t>5</w:t>
        </w:r>
      </w:fldSimple>
      <w:bookmarkEnd w:id="20"/>
      <w:r>
        <w:tab/>
      </w:r>
      <w:r w:rsidRPr="009807D1">
        <w:t>Overnight admission and subsequent length of stay for procedures conducted at the CRGH burn unit</w:t>
      </w:r>
    </w:p>
    <w:p w:rsidR="0032291A" w:rsidRPr="0032291A" w:rsidRDefault="0032291A" w:rsidP="0032291A">
      <w:pPr>
        <w:rPr>
          <w:b/>
        </w:rPr>
      </w:pPr>
      <w:r w:rsidRPr="0032291A">
        <w:rPr>
          <w:b/>
        </w:rPr>
        <w:t>Table redacted</w:t>
      </w:r>
    </w:p>
    <w:bookmarkEnd w:id="18"/>
    <w:bookmarkEnd w:id="19"/>
    <w:p w:rsidR="005F0D78" w:rsidRPr="00700664" w:rsidRDefault="006E2BCA" w:rsidP="00700664">
      <w:pPr>
        <w:spacing w:before="240" w:after="240"/>
      </w:pPr>
      <w:r>
        <w:t xml:space="preserve">The results from the cost analysis </w:t>
      </w:r>
      <w:r w:rsidR="005C6F08">
        <w:t>are</w:t>
      </w:r>
      <w:r>
        <w:t xml:space="preserve"> presented in </w:t>
      </w:r>
      <w:r>
        <w:fldChar w:fldCharType="begin"/>
      </w:r>
      <w:r>
        <w:instrText xml:space="preserve"> REF _Ref508100351 \h </w:instrText>
      </w:r>
      <w:r>
        <w:fldChar w:fldCharType="separate"/>
      </w:r>
      <w:r>
        <w:t xml:space="preserve">Table </w:t>
      </w:r>
      <w:r>
        <w:rPr>
          <w:noProof/>
        </w:rPr>
        <w:t>6</w:t>
      </w:r>
      <w:r>
        <w:fldChar w:fldCharType="end"/>
      </w:r>
      <w:r>
        <w:t>. T</w:t>
      </w:r>
      <w:r w:rsidRPr="00C53576">
        <w:t>he</w:t>
      </w:r>
      <w:r>
        <w:t xml:space="preserve"> total per patient cost per course of treatment with </w:t>
      </w:r>
      <w:r w:rsidRPr="00C53576">
        <w:t>CO</w:t>
      </w:r>
      <w:r w:rsidRPr="00C53576">
        <w:rPr>
          <w:vertAlign w:val="subscript"/>
        </w:rPr>
        <w:t>2</w:t>
      </w:r>
      <w:r w:rsidRPr="00C53576">
        <w:t xml:space="preserve"> AFL</w:t>
      </w:r>
      <w:r>
        <w:t xml:space="preserve"> is estimated at </w:t>
      </w:r>
      <w:r w:rsidRPr="00C53576">
        <w:t>$</w:t>
      </w:r>
      <w:r>
        <w:t>2,175 compared with $1,989 for flaps, $1,529 for skin grafting, $2,473 for tissue expansion and $2,248 for scar revision</w:t>
      </w:r>
      <w:r w:rsidRPr="00C53576">
        <w:t>.</w:t>
      </w:r>
      <w:r>
        <w:t xml:space="preserve"> This cost comparison suggest that </w:t>
      </w:r>
      <w:r w:rsidRPr="0097457D">
        <w:t>CO</w:t>
      </w:r>
      <w:r w:rsidRPr="0097457D">
        <w:rPr>
          <w:vertAlign w:val="subscript"/>
        </w:rPr>
        <w:t>2</w:t>
      </w:r>
      <w:r w:rsidRPr="0097457D">
        <w:t xml:space="preserve"> AFL</w:t>
      </w:r>
      <w:r>
        <w:t xml:space="preserve"> is comparative in terms of cost to other scar reconstruction procedures, with the increased procedure/associated services costs of CO</w:t>
      </w:r>
      <w:r w:rsidRPr="0013549C">
        <w:rPr>
          <w:vertAlign w:val="subscript"/>
        </w:rPr>
        <w:t>2</w:t>
      </w:r>
      <w:r>
        <w:t xml:space="preserve"> AFL, as a result of the 3:1 procedure ratio, offset by reduced length of stay.</w:t>
      </w:r>
      <w:bookmarkStart w:id="21" w:name="_Ref508100351"/>
      <w:bookmarkStart w:id="22" w:name="_Ref493152660"/>
      <w:bookmarkStart w:id="23" w:name="_Toc496186160"/>
    </w:p>
    <w:p w:rsidR="006E2BCA" w:rsidRDefault="006E2BCA" w:rsidP="006E2BCA">
      <w:pPr>
        <w:pStyle w:val="Caption"/>
        <w:keepNext/>
      </w:pPr>
      <w:r>
        <w:t xml:space="preserve">Table </w:t>
      </w:r>
      <w:fldSimple w:instr=" SEQ Table \* ARABIC ">
        <w:r>
          <w:rPr>
            <w:noProof/>
          </w:rPr>
          <w:t>6</w:t>
        </w:r>
      </w:fldSimple>
      <w:bookmarkEnd w:id="21"/>
      <w:r>
        <w:tab/>
        <w:t>Cost analysis</w:t>
      </w:r>
      <w:r w:rsidRPr="00360BB9">
        <w:t xml:space="preserve"> for </w:t>
      </w:r>
      <w:r w:rsidRPr="0075312C">
        <w:t>CO</w:t>
      </w:r>
      <w:r w:rsidRPr="0075312C">
        <w:rPr>
          <w:vertAlign w:val="subscript"/>
        </w:rPr>
        <w:t>2</w:t>
      </w:r>
      <w:r w:rsidRPr="0075312C">
        <w:t xml:space="preserve"> AFL</w:t>
      </w:r>
      <w:r w:rsidRPr="00360BB9">
        <w:t xml:space="preserve"> in the reconstruction of burn scars</w:t>
      </w:r>
    </w:p>
    <w:tbl>
      <w:tblPr>
        <w:tblStyle w:val="TableGrid1"/>
        <w:tblW w:w="5000" w:type="pct"/>
        <w:tblLook w:val="04A0" w:firstRow="1" w:lastRow="0" w:firstColumn="1" w:lastColumn="0" w:noHBand="0" w:noVBand="1"/>
        <w:tblCaption w:val="Cost analysis for CO2 AFL in the reconstruction of burn scars"/>
      </w:tblPr>
      <w:tblGrid>
        <w:gridCol w:w="2811"/>
        <w:gridCol w:w="1379"/>
        <w:gridCol w:w="1257"/>
        <w:gridCol w:w="1257"/>
        <w:gridCol w:w="1281"/>
        <w:gridCol w:w="1257"/>
      </w:tblGrid>
      <w:tr w:rsidR="006E2BCA" w:rsidRPr="00360BB9" w:rsidTr="001303AF">
        <w:trPr>
          <w:cnfStyle w:val="100000000000" w:firstRow="1" w:lastRow="0" w:firstColumn="0" w:lastColumn="0" w:oddVBand="0" w:evenVBand="0" w:oddHBand="0" w:evenHBand="0" w:firstRowFirstColumn="0" w:firstRowLastColumn="0" w:lastRowFirstColumn="0" w:lastRowLastColumn="0"/>
          <w:tblHeader/>
        </w:trPr>
        <w:tc>
          <w:tcPr>
            <w:tcW w:w="1521" w:type="pct"/>
          </w:tcPr>
          <w:bookmarkEnd w:id="22"/>
          <w:bookmarkEnd w:id="23"/>
          <w:p w:rsidR="006E2BCA" w:rsidRPr="001C7992" w:rsidRDefault="006E2BCA" w:rsidP="001303AF">
            <w:pPr>
              <w:pStyle w:val="Tabletext"/>
              <w:rPr>
                <w:b/>
              </w:rPr>
            </w:pPr>
            <w:r w:rsidRPr="001C7992">
              <w:rPr>
                <w:b/>
              </w:rPr>
              <w:t>Parameter</w:t>
            </w:r>
          </w:p>
        </w:tc>
        <w:tc>
          <w:tcPr>
            <w:tcW w:w="746" w:type="pct"/>
          </w:tcPr>
          <w:p w:rsidR="006E2BCA" w:rsidRPr="001C7992" w:rsidRDefault="006E2BCA" w:rsidP="001303AF">
            <w:pPr>
              <w:pStyle w:val="Tabletext"/>
              <w:rPr>
                <w:b/>
              </w:rPr>
            </w:pPr>
            <w:r w:rsidRPr="001C7992">
              <w:rPr>
                <w:b/>
              </w:rPr>
              <w:t>CO</w:t>
            </w:r>
            <w:r w:rsidRPr="001C7992">
              <w:rPr>
                <w:b/>
                <w:vertAlign w:val="subscript"/>
              </w:rPr>
              <w:t>2</w:t>
            </w:r>
            <w:r w:rsidRPr="001C7992">
              <w:rPr>
                <w:b/>
              </w:rPr>
              <w:t xml:space="preserve"> AFL</w:t>
            </w:r>
          </w:p>
        </w:tc>
        <w:tc>
          <w:tcPr>
            <w:tcW w:w="680" w:type="pct"/>
          </w:tcPr>
          <w:p w:rsidR="006E2BCA" w:rsidRPr="001C7992" w:rsidRDefault="006E2BCA" w:rsidP="001303AF">
            <w:pPr>
              <w:pStyle w:val="Tabletext"/>
              <w:rPr>
                <w:b/>
              </w:rPr>
            </w:pPr>
            <w:r w:rsidRPr="001C7992">
              <w:rPr>
                <w:b/>
              </w:rPr>
              <w:t>Flaps</w:t>
            </w:r>
          </w:p>
        </w:tc>
        <w:tc>
          <w:tcPr>
            <w:tcW w:w="680" w:type="pct"/>
          </w:tcPr>
          <w:p w:rsidR="006E2BCA" w:rsidRPr="001C7992" w:rsidRDefault="006E2BCA" w:rsidP="001303AF">
            <w:pPr>
              <w:pStyle w:val="Tabletext"/>
              <w:rPr>
                <w:b/>
              </w:rPr>
            </w:pPr>
            <w:r w:rsidRPr="001C7992">
              <w:rPr>
                <w:b/>
              </w:rPr>
              <w:t>Skin graft</w:t>
            </w:r>
          </w:p>
        </w:tc>
        <w:tc>
          <w:tcPr>
            <w:tcW w:w="693" w:type="pct"/>
          </w:tcPr>
          <w:p w:rsidR="006E2BCA" w:rsidRPr="001C7992" w:rsidRDefault="006E2BCA" w:rsidP="001303AF">
            <w:pPr>
              <w:pStyle w:val="Tabletext"/>
              <w:rPr>
                <w:b/>
              </w:rPr>
            </w:pPr>
            <w:r w:rsidRPr="001C7992">
              <w:rPr>
                <w:b/>
              </w:rPr>
              <w:t>Tissue expansion</w:t>
            </w:r>
          </w:p>
        </w:tc>
        <w:tc>
          <w:tcPr>
            <w:tcW w:w="680" w:type="pct"/>
          </w:tcPr>
          <w:p w:rsidR="006E2BCA" w:rsidRPr="001C7992" w:rsidRDefault="006E2BCA" w:rsidP="001303AF">
            <w:pPr>
              <w:pStyle w:val="Tabletext"/>
              <w:rPr>
                <w:b/>
              </w:rPr>
            </w:pPr>
            <w:r w:rsidRPr="001C7992">
              <w:rPr>
                <w:b/>
              </w:rPr>
              <w:t>Revision</w:t>
            </w:r>
          </w:p>
        </w:tc>
      </w:tr>
      <w:tr w:rsidR="006E2BCA" w:rsidRPr="00360BB9" w:rsidTr="001303AF">
        <w:tc>
          <w:tcPr>
            <w:tcW w:w="1521" w:type="pct"/>
          </w:tcPr>
          <w:p w:rsidR="006E2BCA" w:rsidRPr="00360BB9" w:rsidRDefault="006E2BCA" w:rsidP="001303AF">
            <w:pPr>
              <w:pStyle w:val="Tabletext"/>
            </w:pPr>
            <w:r w:rsidRPr="00360BB9">
              <w:t>Total cost of procedures</w:t>
            </w:r>
          </w:p>
        </w:tc>
        <w:tc>
          <w:tcPr>
            <w:tcW w:w="746" w:type="pct"/>
          </w:tcPr>
          <w:p w:rsidR="006E2BCA" w:rsidRPr="00360BB9" w:rsidRDefault="006E2BCA" w:rsidP="001303AF">
            <w:pPr>
              <w:pStyle w:val="Tabletext"/>
            </w:pPr>
            <w:r w:rsidRPr="00360BB9">
              <w:t>$1,013.50</w:t>
            </w:r>
          </w:p>
        </w:tc>
        <w:tc>
          <w:tcPr>
            <w:tcW w:w="680" w:type="pct"/>
          </w:tcPr>
          <w:p w:rsidR="006E2BCA" w:rsidRPr="00360BB9" w:rsidRDefault="006E2BCA" w:rsidP="001303AF">
            <w:pPr>
              <w:pStyle w:val="Tabletext"/>
            </w:pPr>
            <w:r w:rsidRPr="00360BB9">
              <w:t>$354.62</w:t>
            </w:r>
          </w:p>
        </w:tc>
        <w:tc>
          <w:tcPr>
            <w:tcW w:w="680" w:type="pct"/>
          </w:tcPr>
          <w:p w:rsidR="006E2BCA" w:rsidRPr="00360BB9" w:rsidRDefault="006E2BCA" w:rsidP="001303AF">
            <w:pPr>
              <w:pStyle w:val="Tabletext"/>
            </w:pPr>
            <w:r w:rsidRPr="00360BB9">
              <w:t>$463.33</w:t>
            </w:r>
          </w:p>
        </w:tc>
        <w:tc>
          <w:tcPr>
            <w:tcW w:w="693" w:type="pct"/>
          </w:tcPr>
          <w:p w:rsidR="006E2BCA" w:rsidRPr="00360BB9" w:rsidRDefault="006E2BCA" w:rsidP="001303AF">
            <w:pPr>
              <w:pStyle w:val="Tabletext"/>
            </w:pPr>
            <w:r w:rsidRPr="00360BB9">
              <w:t>$1,003.02</w:t>
            </w:r>
          </w:p>
        </w:tc>
        <w:tc>
          <w:tcPr>
            <w:tcW w:w="680" w:type="pct"/>
          </w:tcPr>
          <w:p w:rsidR="006E2BCA" w:rsidRPr="00360BB9" w:rsidRDefault="006E2BCA" w:rsidP="001303AF">
            <w:pPr>
              <w:pStyle w:val="Tabletext"/>
            </w:pPr>
            <w:r w:rsidRPr="00360BB9">
              <w:t>$229.88</w:t>
            </w:r>
          </w:p>
        </w:tc>
      </w:tr>
      <w:tr w:rsidR="006E2BCA" w:rsidRPr="00360BB9" w:rsidTr="001303AF">
        <w:tc>
          <w:tcPr>
            <w:tcW w:w="1521" w:type="pct"/>
          </w:tcPr>
          <w:p w:rsidR="006E2BCA" w:rsidRPr="00360BB9" w:rsidRDefault="006E2BCA" w:rsidP="001303AF">
            <w:pPr>
              <w:pStyle w:val="Tabletext"/>
            </w:pPr>
            <w:r w:rsidRPr="00360BB9">
              <w:t>Total cost of hospitalisation</w:t>
            </w:r>
          </w:p>
        </w:tc>
        <w:tc>
          <w:tcPr>
            <w:tcW w:w="746" w:type="pct"/>
          </w:tcPr>
          <w:p w:rsidR="006E2BCA" w:rsidRPr="00360BB9" w:rsidRDefault="006E2BCA" w:rsidP="001303AF">
            <w:pPr>
              <w:pStyle w:val="Tabletext"/>
            </w:pPr>
            <w:r w:rsidRPr="001E7470">
              <w:t>$185.40</w:t>
            </w:r>
          </w:p>
        </w:tc>
        <w:tc>
          <w:tcPr>
            <w:tcW w:w="680" w:type="pct"/>
          </w:tcPr>
          <w:p w:rsidR="006E2BCA" w:rsidRPr="00360BB9" w:rsidRDefault="006E2BCA" w:rsidP="001303AF">
            <w:pPr>
              <w:pStyle w:val="Tabletext"/>
            </w:pPr>
            <w:r w:rsidRPr="001E7470">
              <w:t>$1,176.23</w:t>
            </w:r>
          </w:p>
        </w:tc>
        <w:tc>
          <w:tcPr>
            <w:tcW w:w="680" w:type="pct"/>
          </w:tcPr>
          <w:p w:rsidR="006E2BCA" w:rsidRPr="00360BB9" w:rsidRDefault="006E2BCA" w:rsidP="001303AF">
            <w:pPr>
              <w:pStyle w:val="Tabletext"/>
            </w:pPr>
            <w:r w:rsidRPr="001E7470">
              <w:t>$607.65</w:t>
            </w:r>
          </w:p>
        </w:tc>
        <w:tc>
          <w:tcPr>
            <w:tcW w:w="693" w:type="pct"/>
          </w:tcPr>
          <w:p w:rsidR="006E2BCA" w:rsidRPr="00360BB9" w:rsidRDefault="006E2BCA" w:rsidP="001303AF">
            <w:pPr>
              <w:pStyle w:val="Tabletext"/>
            </w:pPr>
            <w:r w:rsidRPr="001E7470">
              <w:t>$952.23</w:t>
            </w:r>
          </w:p>
        </w:tc>
        <w:tc>
          <w:tcPr>
            <w:tcW w:w="680" w:type="pct"/>
          </w:tcPr>
          <w:p w:rsidR="006E2BCA" w:rsidRPr="00360BB9" w:rsidRDefault="006E2BCA" w:rsidP="001303AF">
            <w:pPr>
              <w:pStyle w:val="Tabletext"/>
            </w:pPr>
            <w:r w:rsidRPr="001E7470">
              <w:t>$1,540.11</w:t>
            </w:r>
          </w:p>
        </w:tc>
      </w:tr>
      <w:tr w:rsidR="006E2BCA" w:rsidRPr="00360BB9" w:rsidTr="001303AF">
        <w:tc>
          <w:tcPr>
            <w:tcW w:w="1521" w:type="pct"/>
          </w:tcPr>
          <w:p w:rsidR="006E2BCA" w:rsidRPr="00754ECD" w:rsidRDefault="006E2BCA" w:rsidP="001303AF">
            <w:pPr>
              <w:pStyle w:val="Tabletext"/>
            </w:pPr>
            <w:r w:rsidRPr="00B90D9E">
              <w:t>Total cost of specialist services</w:t>
            </w:r>
          </w:p>
        </w:tc>
        <w:tc>
          <w:tcPr>
            <w:tcW w:w="746" w:type="pct"/>
          </w:tcPr>
          <w:p w:rsidR="006E2BCA" w:rsidRPr="00F02664" w:rsidRDefault="006E2BCA" w:rsidP="001303AF">
            <w:pPr>
              <w:pStyle w:val="Tabletext"/>
            </w:pPr>
            <w:r w:rsidRPr="00440DFA">
              <w:t>$377.40</w:t>
            </w:r>
          </w:p>
        </w:tc>
        <w:tc>
          <w:tcPr>
            <w:tcW w:w="680" w:type="pct"/>
          </w:tcPr>
          <w:p w:rsidR="006E2BCA" w:rsidRPr="00754ECD" w:rsidRDefault="006E2BCA" w:rsidP="001303AF">
            <w:pPr>
              <w:pStyle w:val="Tabletext"/>
            </w:pPr>
            <w:r w:rsidRPr="00440DFA">
              <w:t>$226.40</w:t>
            </w:r>
          </w:p>
        </w:tc>
        <w:tc>
          <w:tcPr>
            <w:tcW w:w="680" w:type="pct"/>
          </w:tcPr>
          <w:p w:rsidR="006E2BCA" w:rsidRPr="00754ECD" w:rsidRDefault="006E2BCA" w:rsidP="001303AF">
            <w:pPr>
              <w:pStyle w:val="Tabletext"/>
            </w:pPr>
            <w:r w:rsidRPr="00440DFA">
              <w:t>$226.40</w:t>
            </w:r>
          </w:p>
        </w:tc>
        <w:tc>
          <w:tcPr>
            <w:tcW w:w="693" w:type="pct"/>
          </w:tcPr>
          <w:p w:rsidR="006E2BCA" w:rsidRPr="00754ECD" w:rsidRDefault="006E2BCA" w:rsidP="001303AF">
            <w:pPr>
              <w:pStyle w:val="Tabletext"/>
            </w:pPr>
            <w:r w:rsidRPr="00440DFA">
              <w:t>$226.40</w:t>
            </w:r>
          </w:p>
        </w:tc>
        <w:tc>
          <w:tcPr>
            <w:tcW w:w="680" w:type="pct"/>
          </w:tcPr>
          <w:p w:rsidR="006E2BCA" w:rsidRPr="00754ECD" w:rsidRDefault="006E2BCA" w:rsidP="001303AF">
            <w:pPr>
              <w:pStyle w:val="Tabletext"/>
            </w:pPr>
            <w:r w:rsidRPr="00B90D9E">
              <w:t>$226.40</w:t>
            </w:r>
          </w:p>
        </w:tc>
      </w:tr>
      <w:tr w:rsidR="006E2BCA" w:rsidRPr="00360BB9" w:rsidTr="001303AF">
        <w:tc>
          <w:tcPr>
            <w:tcW w:w="1521" w:type="pct"/>
          </w:tcPr>
          <w:p w:rsidR="006E2BCA" w:rsidRPr="00754ECD" w:rsidRDefault="006E2BCA" w:rsidP="001303AF">
            <w:pPr>
              <w:pStyle w:val="Tabletext"/>
            </w:pPr>
            <w:r w:rsidRPr="00F309D8">
              <w:t>Total cost of anaesthesia services</w:t>
            </w:r>
          </w:p>
        </w:tc>
        <w:tc>
          <w:tcPr>
            <w:tcW w:w="746" w:type="pct"/>
          </w:tcPr>
          <w:p w:rsidR="006E2BCA" w:rsidRPr="00F02664" w:rsidRDefault="006E2BCA" w:rsidP="001303AF">
            <w:pPr>
              <w:pStyle w:val="Tabletext"/>
            </w:pPr>
            <w:r w:rsidRPr="00A92889">
              <w:t>$598.34</w:t>
            </w:r>
          </w:p>
        </w:tc>
        <w:tc>
          <w:tcPr>
            <w:tcW w:w="680" w:type="pct"/>
          </w:tcPr>
          <w:p w:rsidR="006E2BCA" w:rsidRPr="00754ECD" w:rsidRDefault="006E2BCA" w:rsidP="001303AF">
            <w:pPr>
              <w:pStyle w:val="Tabletext"/>
            </w:pPr>
            <w:r w:rsidRPr="00A92889">
              <w:t>$231.52</w:t>
            </w:r>
          </w:p>
        </w:tc>
        <w:tc>
          <w:tcPr>
            <w:tcW w:w="680" w:type="pct"/>
          </w:tcPr>
          <w:p w:rsidR="006E2BCA" w:rsidRPr="00754ECD" w:rsidRDefault="006E2BCA" w:rsidP="001303AF">
            <w:pPr>
              <w:pStyle w:val="Tabletext"/>
            </w:pPr>
            <w:r w:rsidRPr="00A92889">
              <w:t>$231.52</w:t>
            </w:r>
          </w:p>
        </w:tc>
        <w:tc>
          <w:tcPr>
            <w:tcW w:w="693" w:type="pct"/>
          </w:tcPr>
          <w:p w:rsidR="006E2BCA" w:rsidRPr="00754ECD" w:rsidRDefault="006E2BCA" w:rsidP="001303AF">
            <w:pPr>
              <w:pStyle w:val="Tabletext"/>
            </w:pPr>
            <w:r w:rsidRPr="00A92889">
              <w:t>$290.92</w:t>
            </w:r>
          </w:p>
        </w:tc>
        <w:tc>
          <w:tcPr>
            <w:tcW w:w="680" w:type="pct"/>
          </w:tcPr>
          <w:p w:rsidR="006E2BCA" w:rsidRPr="00754ECD" w:rsidRDefault="006E2BCA" w:rsidP="001303AF">
            <w:pPr>
              <w:pStyle w:val="Tabletext"/>
            </w:pPr>
            <w:r w:rsidRPr="00A92889">
              <w:t>$251.32</w:t>
            </w:r>
          </w:p>
        </w:tc>
      </w:tr>
      <w:tr w:rsidR="006E2BCA" w:rsidRPr="00360BB9" w:rsidTr="001303AF">
        <w:tc>
          <w:tcPr>
            <w:tcW w:w="1521" w:type="pct"/>
          </w:tcPr>
          <w:p w:rsidR="006E2BCA" w:rsidRPr="00FB1BAC" w:rsidRDefault="006E2BCA" w:rsidP="001303AF">
            <w:pPr>
              <w:pStyle w:val="Tabletext"/>
              <w:rPr>
                <w:b/>
              </w:rPr>
            </w:pPr>
            <w:r w:rsidRPr="00FB1BAC">
              <w:rPr>
                <w:b/>
              </w:rPr>
              <w:t xml:space="preserve">Total per patient cost per course of treatment </w:t>
            </w:r>
          </w:p>
        </w:tc>
        <w:tc>
          <w:tcPr>
            <w:tcW w:w="746" w:type="pct"/>
          </w:tcPr>
          <w:p w:rsidR="006E2BCA" w:rsidRPr="008034DF" w:rsidRDefault="006E2BCA" w:rsidP="001303AF">
            <w:pPr>
              <w:pStyle w:val="Tabletext"/>
              <w:rPr>
                <w:b/>
              </w:rPr>
            </w:pPr>
            <w:r w:rsidRPr="008034DF">
              <w:rPr>
                <w:b/>
              </w:rPr>
              <w:t>$2,174.63</w:t>
            </w:r>
          </w:p>
        </w:tc>
        <w:tc>
          <w:tcPr>
            <w:tcW w:w="680" w:type="pct"/>
          </w:tcPr>
          <w:p w:rsidR="006E2BCA" w:rsidRPr="008034DF" w:rsidRDefault="006E2BCA" w:rsidP="001303AF">
            <w:pPr>
              <w:pStyle w:val="Tabletext"/>
              <w:rPr>
                <w:b/>
              </w:rPr>
            </w:pPr>
            <w:r w:rsidRPr="008034DF">
              <w:rPr>
                <w:b/>
              </w:rPr>
              <w:t>$1,988.77</w:t>
            </w:r>
          </w:p>
        </w:tc>
        <w:tc>
          <w:tcPr>
            <w:tcW w:w="680" w:type="pct"/>
          </w:tcPr>
          <w:p w:rsidR="006E2BCA" w:rsidRPr="008034DF" w:rsidRDefault="006E2BCA" w:rsidP="001303AF">
            <w:pPr>
              <w:pStyle w:val="Tabletext"/>
              <w:rPr>
                <w:b/>
              </w:rPr>
            </w:pPr>
            <w:r w:rsidRPr="008034DF">
              <w:rPr>
                <w:b/>
              </w:rPr>
              <w:t>$1,528.90</w:t>
            </w:r>
          </w:p>
        </w:tc>
        <w:tc>
          <w:tcPr>
            <w:tcW w:w="693" w:type="pct"/>
          </w:tcPr>
          <w:p w:rsidR="006E2BCA" w:rsidRPr="008034DF" w:rsidRDefault="006E2BCA" w:rsidP="001303AF">
            <w:pPr>
              <w:pStyle w:val="Tabletext"/>
              <w:rPr>
                <w:b/>
              </w:rPr>
            </w:pPr>
            <w:r w:rsidRPr="008034DF">
              <w:rPr>
                <w:b/>
              </w:rPr>
              <w:t>$2,472.58</w:t>
            </w:r>
          </w:p>
        </w:tc>
        <w:tc>
          <w:tcPr>
            <w:tcW w:w="680" w:type="pct"/>
          </w:tcPr>
          <w:p w:rsidR="006E2BCA" w:rsidRPr="00FB1BAC" w:rsidRDefault="006E2BCA" w:rsidP="001303AF">
            <w:pPr>
              <w:pStyle w:val="Tabletext"/>
              <w:rPr>
                <w:b/>
              </w:rPr>
            </w:pPr>
            <w:r w:rsidRPr="008034DF">
              <w:rPr>
                <w:b/>
              </w:rPr>
              <w:t>$2,247.71</w:t>
            </w:r>
          </w:p>
        </w:tc>
      </w:tr>
      <w:tr w:rsidR="006E2BCA" w:rsidRPr="00DF0056" w:rsidTr="001303AF">
        <w:tc>
          <w:tcPr>
            <w:tcW w:w="1521" w:type="pct"/>
          </w:tcPr>
          <w:p w:rsidR="006E2BCA" w:rsidRPr="00360BB9" w:rsidRDefault="006E2BCA" w:rsidP="001303AF">
            <w:pPr>
              <w:pStyle w:val="Tabletext"/>
              <w:rPr>
                <w:b/>
              </w:rPr>
            </w:pPr>
            <w:r w:rsidRPr="00754ECD">
              <w:t>Cost difference versus CO</w:t>
            </w:r>
            <w:r w:rsidRPr="00F02664">
              <w:rPr>
                <w:vertAlign w:val="subscript"/>
              </w:rPr>
              <w:t>2</w:t>
            </w:r>
            <w:r w:rsidRPr="00754ECD">
              <w:t xml:space="preserve"> AFL</w:t>
            </w:r>
          </w:p>
        </w:tc>
        <w:tc>
          <w:tcPr>
            <w:tcW w:w="746" w:type="pct"/>
          </w:tcPr>
          <w:p w:rsidR="006E2BCA" w:rsidRPr="00F0206B" w:rsidRDefault="006E2BCA" w:rsidP="001303AF">
            <w:pPr>
              <w:pStyle w:val="Tabletext"/>
              <w:rPr>
                <w:b/>
              </w:rPr>
            </w:pPr>
          </w:p>
        </w:tc>
        <w:tc>
          <w:tcPr>
            <w:tcW w:w="680" w:type="pct"/>
          </w:tcPr>
          <w:p w:rsidR="006E2BCA" w:rsidRPr="00F0206B" w:rsidRDefault="006E2BCA" w:rsidP="001303AF">
            <w:pPr>
              <w:pStyle w:val="Tabletext"/>
              <w:rPr>
                <w:b/>
              </w:rPr>
            </w:pPr>
            <w:r w:rsidRPr="008F2037">
              <w:t>-$184.57</w:t>
            </w:r>
          </w:p>
        </w:tc>
        <w:tc>
          <w:tcPr>
            <w:tcW w:w="680" w:type="pct"/>
          </w:tcPr>
          <w:p w:rsidR="006E2BCA" w:rsidRPr="00F0206B" w:rsidRDefault="006E2BCA" w:rsidP="001303AF">
            <w:pPr>
              <w:pStyle w:val="Tabletext"/>
              <w:rPr>
                <w:b/>
              </w:rPr>
            </w:pPr>
            <w:r w:rsidRPr="008F2037">
              <w:t>-$644.45</w:t>
            </w:r>
          </w:p>
        </w:tc>
        <w:tc>
          <w:tcPr>
            <w:tcW w:w="693" w:type="pct"/>
          </w:tcPr>
          <w:p w:rsidR="006E2BCA" w:rsidRPr="00F0206B" w:rsidRDefault="006E2BCA" w:rsidP="001303AF">
            <w:pPr>
              <w:pStyle w:val="Tabletext"/>
              <w:rPr>
                <w:b/>
              </w:rPr>
            </w:pPr>
            <w:r w:rsidRPr="008F2037">
              <w:t>$299.23</w:t>
            </w:r>
          </w:p>
        </w:tc>
        <w:tc>
          <w:tcPr>
            <w:tcW w:w="680" w:type="pct"/>
          </w:tcPr>
          <w:p w:rsidR="006E2BCA" w:rsidRPr="00F0206B" w:rsidRDefault="006E2BCA" w:rsidP="001303AF">
            <w:pPr>
              <w:pStyle w:val="Tabletext"/>
              <w:rPr>
                <w:b/>
              </w:rPr>
            </w:pPr>
            <w:r w:rsidRPr="008F2037">
              <w:t>$74.36</w:t>
            </w:r>
          </w:p>
        </w:tc>
      </w:tr>
    </w:tbl>
    <w:p w:rsidR="002016FB" w:rsidRPr="00A637B6" w:rsidRDefault="002016FB" w:rsidP="00A637B6">
      <w:pPr>
        <w:spacing w:before="240"/>
      </w:pPr>
      <w:r w:rsidRPr="00A637B6">
        <w:t xml:space="preserve">In the pre-MSAC response the applicant noted that in the Hop (2014) study, the mean number of reconstructive procedures per patient is 3.6. This means that the ratio of CO2 AFL to reconstructive procedures could actually be less than 3:1 if the </w:t>
      </w:r>
      <w:proofErr w:type="gramStart"/>
      <w:r w:rsidRPr="00A637B6">
        <w:t>number of elective reconstructive procedures per patient per lifetime are</w:t>
      </w:r>
      <w:proofErr w:type="gramEnd"/>
      <w:r w:rsidRPr="00A637B6">
        <w:t xml:space="preserve"> taken into account. Using the data from </w:t>
      </w:r>
      <w:r w:rsidRPr="00A637B6">
        <w:lastRenderedPageBreak/>
        <w:t>Hop et al. it is more likely that the true lifetime ratio is closer to 1:1, although the applicant acknowledged that long-term follow-up data &gt;5-10 years are lacking for CO2 AFL</w:t>
      </w:r>
      <w:r w:rsidR="007127CF" w:rsidRPr="00A637B6">
        <w:t>.</w:t>
      </w:r>
    </w:p>
    <w:p w:rsidR="00BC1364" w:rsidRPr="00F715D1" w:rsidRDefault="00BC1364" w:rsidP="00F715D1">
      <w:pPr>
        <w:pStyle w:val="Heading1"/>
      </w:pPr>
      <w:r w:rsidRPr="00F715D1">
        <w:t>Financial/budgetary impacts</w:t>
      </w:r>
    </w:p>
    <w:p w:rsidR="006E2BCA" w:rsidRDefault="006E2BCA" w:rsidP="006E2BCA">
      <w:r w:rsidRPr="005C061E">
        <w:t xml:space="preserve">An epidemiological approach </w:t>
      </w:r>
      <w:r>
        <w:t>was</w:t>
      </w:r>
      <w:r w:rsidRPr="005C061E">
        <w:t xml:space="preserve"> used to estimate the financial implications of the introduction of</w:t>
      </w:r>
      <w:r w:rsidRPr="004D3DE0">
        <w:t xml:space="preserve"> </w:t>
      </w:r>
      <w:r>
        <w:t>CO</w:t>
      </w:r>
      <w:r w:rsidRPr="000C2F69">
        <w:rPr>
          <w:vertAlign w:val="subscript"/>
        </w:rPr>
        <w:t>2</w:t>
      </w:r>
      <w:r>
        <w:t xml:space="preserve"> AFL for the treatment of burn scars on the MBS. It is projected that 2,395 CO</w:t>
      </w:r>
      <w:r w:rsidRPr="000C2F69">
        <w:rPr>
          <w:vertAlign w:val="subscript"/>
        </w:rPr>
        <w:t>2</w:t>
      </w:r>
      <w:r>
        <w:t xml:space="preserve"> AFL services will be accessed in the first year of listing, increasing to 4,265 services annually over 5 years. These services along with associated MBS items are estimated to cost the MBS between $1,015,860 (Year 1) and $1,809,071 (Year 5) annually. A 75% MBS rebate was applied across all items as all services were expected to occur in a hospital setting. </w:t>
      </w:r>
    </w:p>
    <w:p w:rsidR="006E2BCA" w:rsidRDefault="006E2BCA" w:rsidP="006E2BCA">
      <w:pPr>
        <w:spacing w:before="240"/>
      </w:pPr>
      <w:r>
        <w:t>Two scenarios were provided for the substitution of current MBS items. Scenario 1 assumes that current CO</w:t>
      </w:r>
      <w:r w:rsidRPr="004D3DE0">
        <w:rPr>
          <w:vertAlign w:val="subscript"/>
        </w:rPr>
        <w:t>2</w:t>
      </w:r>
      <w:r>
        <w:t xml:space="preserve"> AFL procedures are being claimed under revision MBS items (45506-45518), as such every claim of a proposed CO</w:t>
      </w:r>
      <w:r w:rsidRPr="004D3DE0">
        <w:rPr>
          <w:vertAlign w:val="subscript"/>
        </w:rPr>
        <w:t>2</w:t>
      </w:r>
      <w:r>
        <w:t xml:space="preserve"> AFL MBS item would be substituting from a current MBS item for revision. Scenario 2 assumes that CO</w:t>
      </w:r>
      <w:r w:rsidRPr="004D3DE0">
        <w:rPr>
          <w:vertAlign w:val="subscript"/>
        </w:rPr>
        <w:t>2</w:t>
      </w:r>
      <w:r>
        <w:t xml:space="preserve"> AFL procedures were not currently being claimed under revision items, instead applying a 3 to 1 substitution in which 3 proposed CO</w:t>
      </w:r>
      <w:r w:rsidRPr="004D3DE0">
        <w:rPr>
          <w:vertAlign w:val="subscript"/>
        </w:rPr>
        <w:t>2</w:t>
      </w:r>
      <w:r>
        <w:t xml:space="preserve"> AFL MBS items would substitute for the use of 1 surgical MBS item. </w:t>
      </w:r>
    </w:p>
    <w:p w:rsidR="006E2BCA" w:rsidRDefault="006E2BCA" w:rsidP="006E2BCA">
      <w:pPr>
        <w:spacing w:before="240" w:after="240"/>
      </w:pPr>
      <w:r>
        <w:t xml:space="preserve">Scenario 1 projects an annual net cost to the MBS of between $112,460 and $200,272 resulting from the substitution of current revision items. Scenario 2 estimates a net cost of between $679,680 and $1,210,393 annually through the 3:1 substitution of surgical options. </w:t>
      </w:r>
      <w:r>
        <w:fldChar w:fldCharType="begin"/>
      </w:r>
      <w:r>
        <w:instrText xml:space="preserve"> REF _Ref508100380 \h </w:instrText>
      </w:r>
      <w:r>
        <w:fldChar w:fldCharType="separate"/>
      </w:r>
      <w:r>
        <w:t xml:space="preserve">Table </w:t>
      </w:r>
      <w:r>
        <w:rPr>
          <w:noProof/>
        </w:rPr>
        <w:t>7</w:t>
      </w:r>
      <w:r>
        <w:fldChar w:fldCharType="end"/>
      </w:r>
      <w:r>
        <w:t xml:space="preserve"> presents the estimated use and net cost to the MBS of the introduction of CO</w:t>
      </w:r>
      <w:r w:rsidRPr="004D3DE0">
        <w:rPr>
          <w:vertAlign w:val="subscript"/>
        </w:rPr>
        <w:t>2</w:t>
      </w:r>
      <w:r>
        <w:t xml:space="preserve"> AFL f</w:t>
      </w:r>
      <w:r w:rsidR="00700664">
        <w:t>or the treatment of burn scars.</w:t>
      </w:r>
    </w:p>
    <w:p w:rsidR="006E2BCA" w:rsidRDefault="006E2BCA" w:rsidP="006E2BCA">
      <w:pPr>
        <w:pStyle w:val="Caption"/>
        <w:keepNext/>
      </w:pPr>
      <w:bookmarkStart w:id="24" w:name="_Ref508100380"/>
      <w:bookmarkStart w:id="25" w:name="_Ref493151137"/>
      <w:bookmarkStart w:id="26" w:name="_Toc496186161"/>
      <w:r>
        <w:t xml:space="preserve">Table </w:t>
      </w:r>
      <w:fldSimple w:instr=" SEQ Table \* ARABIC ">
        <w:r>
          <w:rPr>
            <w:noProof/>
          </w:rPr>
          <w:t>7</w:t>
        </w:r>
      </w:fldSimple>
      <w:bookmarkEnd w:id="24"/>
      <w:r>
        <w:tab/>
      </w:r>
      <w:r w:rsidRPr="00183E4D">
        <w:t>Total costs to the MBS associated with</w:t>
      </w:r>
      <w:r>
        <w:t xml:space="preserve"> the listing of </w:t>
      </w:r>
      <w:r w:rsidRPr="0075312C">
        <w:t>CO</w:t>
      </w:r>
      <w:r w:rsidRPr="0075312C">
        <w:rPr>
          <w:vertAlign w:val="subscript"/>
        </w:rPr>
        <w:t>2</w:t>
      </w:r>
      <w:r w:rsidRPr="0075312C">
        <w:t xml:space="preserve"> AFL</w:t>
      </w:r>
    </w:p>
    <w:tbl>
      <w:tblPr>
        <w:tblStyle w:val="TableGrid1"/>
        <w:tblW w:w="5000" w:type="pct"/>
        <w:tblLook w:val="04A0" w:firstRow="1" w:lastRow="0" w:firstColumn="1" w:lastColumn="0" w:noHBand="0" w:noVBand="1"/>
        <w:tblCaption w:val="Total costs to the MBS associated with the listing of CO2 AFL"/>
      </w:tblPr>
      <w:tblGrid>
        <w:gridCol w:w="2877"/>
        <w:gridCol w:w="1266"/>
        <w:gridCol w:w="1264"/>
        <w:gridCol w:w="1279"/>
        <w:gridCol w:w="1279"/>
        <w:gridCol w:w="1277"/>
      </w:tblGrid>
      <w:tr w:rsidR="006E2BCA" w:rsidTr="001303AF">
        <w:trPr>
          <w:cnfStyle w:val="100000000000" w:firstRow="1" w:lastRow="0" w:firstColumn="0" w:lastColumn="0" w:oddVBand="0" w:evenVBand="0" w:oddHBand="0" w:evenHBand="0" w:firstRowFirstColumn="0" w:firstRowLastColumn="0" w:lastRowFirstColumn="0" w:lastRowLastColumn="0"/>
          <w:tblHeader/>
        </w:trPr>
        <w:tc>
          <w:tcPr>
            <w:tcW w:w="1556" w:type="pct"/>
            <w:tcBorders>
              <w:bottom w:val="single" w:sz="4" w:space="0" w:color="auto"/>
            </w:tcBorders>
          </w:tcPr>
          <w:bookmarkEnd w:id="25"/>
          <w:bookmarkEnd w:id="26"/>
          <w:p w:rsidR="006E2BCA" w:rsidRPr="001C7992" w:rsidRDefault="006E2BCA" w:rsidP="001303AF">
            <w:pPr>
              <w:pStyle w:val="Tabletext"/>
              <w:rPr>
                <w:b/>
              </w:rPr>
            </w:pPr>
            <w:r w:rsidRPr="001C7992">
              <w:rPr>
                <w:b/>
              </w:rPr>
              <w:t>Parameter</w:t>
            </w:r>
          </w:p>
        </w:tc>
        <w:tc>
          <w:tcPr>
            <w:tcW w:w="685" w:type="pct"/>
            <w:tcBorders>
              <w:bottom w:val="single" w:sz="4" w:space="0" w:color="auto"/>
            </w:tcBorders>
          </w:tcPr>
          <w:p w:rsidR="006E2BCA" w:rsidRPr="001C7992" w:rsidRDefault="006E2BCA" w:rsidP="001303AF">
            <w:pPr>
              <w:pStyle w:val="Tabletext"/>
              <w:rPr>
                <w:b/>
              </w:rPr>
            </w:pPr>
            <w:r w:rsidRPr="001C7992">
              <w:rPr>
                <w:b/>
              </w:rPr>
              <w:t>Year 1</w:t>
            </w:r>
          </w:p>
        </w:tc>
        <w:tc>
          <w:tcPr>
            <w:tcW w:w="684" w:type="pct"/>
            <w:tcBorders>
              <w:bottom w:val="single" w:sz="4" w:space="0" w:color="auto"/>
            </w:tcBorders>
          </w:tcPr>
          <w:p w:rsidR="006E2BCA" w:rsidRPr="001C7992" w:rsidRDefault="006E2BCA" w:rsidP="001303AF">
            <w:pPr>
              <w:pStyle w:val="Tabletext"/>
              <w:rPr>
                <w:b/>
              </w:rPr>
            </w:pPr>
            <w:r w:rsidRPr="001C7992">
              <w:rPr>
                <w:b/>
              </w:rPr>
              <w:t>Year 2</w:t>
            </w:r>
          </w:p>
        </w:tc>
        <w:tc>
          <w:tcPr>
            <w:tcW w:w="692" w:type="pct"/>
            <w:tcBorders>
              <w:bottom w:val="single" w:sz="4" w:space="0" w:color="auto"/>
            </w:tcBorders>
          </w:tcPr>
          <w:p w:rsidR="006E2BCA" w:rsidRPr="001C7992" w:rsidRDefault="006E2BCA" w:rsidP="001303AF">
            <w:pPr>
              <w:pStyle w:val="Tabletext"/>
              <w:rPr>
                <w:b/>
              </w:rPr>
            </w:pPr>
            <w:r w:rsidRPr="001C7992">
              <w:rPr>
                <w:b/>
              </w:rPr>
              <w:t>Year 3</w:t>
            </w:r>
          </w:p>
        </w:tc>
        <w:tc>
          <w:tcPr>
            <w:tcW w:w="692" w:type="pct"/>
            <w:tcBorders>
              <w:bottom w:val="single" w:sz="4" w:space="0" w:color="auto"/>
            </w:tcBorders>
          </w:tcPr>
          <w:p w:rsidR="006E2BCA" w:rsidRPr="001C7992" w:rsidRDefault="006E2BCA" w:rsidP="001303AF">
            <w:pPr>
              <w:pStyle w:val="Tabletext"/>
              <w:rPr>
                <w:b/>
              </w:rPr>
            </w:pPr>
            <w:r w:rsidRPr="001C7992">
              <w:rPr>
                <w:b/>
              </w:rPr>
              <w:t>Year 4</w:t>
            </w:r>
          </w:p>
        </w:tc>
        <w:tc>
          <w:tcPr>
            <w:tcW w:w="691" w:type="pct"/>
            <w:tcBorders>
              <w:bottom w:val="single" w:sz="4" w:space="0" w:color="auto"/>
            </w:tcBorders>
          </w:tcPr>
          <w:p w:rsidR="006E2BCA" w:rsidRPr="001C7992" w:rsidRDefault="006E2BCA" w:rsidP="001303AF">
            <w:pPr>
              <w:pStyle w:val="Tabletext"/>
              <w:rPr>
                <w:b/>
              </w:rPr>
            </w:pPr>
            <w:r w:rsidRPr="001C7992">
              <w:rPr>
                <w:b/>
              </w:rPr>
              <w:t>Year 5</w:t>
            </w:r>
          </w:p>
        </w:tc>
      </w:tr>
      <w:tr w:rsidR="006E2BCA" w:rsidTr="001303AF">
        <w:tc>
          <w:tcPr>
            <w:tcW w:w="1556" w:type="pct"/>
            <w:tcBorders>
              <w:bottom w:val="single" w:sz="4" w:space="0" w:color="auto"/>
              <w:right w:val="nil"/>
            </w:tcBorders>
          </w:tcPr>
          <w:p w:rsidR="006E2BCA" w:rsidRPr="000C2F69" w:rsidRDefault="006E2BCA" w:rsidP="001303AF">
            <w:pPr>
              <w:pStyle w:val="Tabletext"/>
              <w:rPr>
                <w:b/>
              </w:rPr>
            </w:pPr>
            <w:r w:rsidRPr="000C2F69">
              <w:rPr>
                <w:b/>
              </w:rPr>
              <w:t>Estimated use</w:t>
            </w:r>
          </w:p>
        </w:tc>
        <w:tc>
          <w:tcPr>
            <w:tcW w:w="685" w:type="pct"/>
            <w:tcBorders>
              <w:left w:val="nil"/>
              <w:bottom w:val="single" w:sz="4" w:space="0" w:color="auto"/>
              <w:right w:val="nil"/>
            </w:tcBorders>
          </w:tcPr>
          <w:p w:rsidR="006E2BCA" w:rsidRPr="000C2F69" w:rsidRDefault="006E2BCA" w:rsidP="001303AF">
            <w:pPr>
              <w:pStyle w:val="Tabletext"/>
              <w:rPr>
                <w:b/>
              </w:rPr>
            </w:pPr>
          </w:p>
        </w:tc>
        <w:tc>
          <w:tcPr>
            <w:tcW w:w="684" w:type="pct"/>
            <w:tcBorders>
              <w:left w:val="nil"/>
              <w:bottom w:val="single" w:sz="4" w:space="0" w:color="auto"/>
              <w:right w:val="nil"/>
            </w:tcBorders>
          </w:tcPr>
          <w:p w:rsidR="006E2BCA" w:rsidRPr="000C2F69" w:rsidRDefault="006E2BCA" w:rsidP="001303AF">
            <w:pPr>
              <w:pStyle w:val="Tabletext"/>
              <w:rPr>
                <w:b/>
              </w:rPr>
            </w:pPr>
          </w:p>
        </w:tc>
        <w:tc>
          <w:tcPr>
            <w:tcW w:w="692" w:type="pct"/>
            <w:tcBorders>
              <w:left w:val="nil"/>
              <w:bottom w:val="single" w:sz="4" w:space="0" w:color="auto"/>
              <w:right w:val="nil"/>
            </w:tcBorders>
          </w:tcPr>
          <w:p w:rsidR="006E2BCA" w:rsidRPr="000C2F69" w:rsidRDefault="006E2BCA" w:rsidP="001303AF">
            <w:pPr>
              <w:pStyle w:val="Tabletext"/>
              <w:rPr>
                <w:b/>
              </w:rPr>
            </w:pPr>
          </w:p>
        </w:tc>
        <w:tc>
          <w:tcPr>
            <w:tcW w:w="692" w:type="pct"/>
            <w:tcBorders>
              <w:left w:val="nil"/>
              <w:bottom w:val="single" w:sz="4" w:space="0" w:color="auto"/>
              <w:right w:val="nil"/>
            </w:tcBorders>
          </w:tcPr>
          <w:p w:rsidR="006E2BCA" w:rsidRPr="000C2F69" w:rsidRDefault="006E2BCA" w:rsidP="001303AF">
            <w:pPr>
              <w:pStyle w:val="Tabletext"/>
              <w:rPr>
                <w:b/>
              </w:rPr>
            </w:pPr>
          </w:p>
        </w:tc>
        <w:tc>
          <w:tcPr>
            <w:tcW w:w="691" w:type="pct"/>
            <w:tcBorders>
              <w:left w:val="nil"/>
              <w:bottom w:val="single" w:sz="4" w:space="0" w:color="auto"/>
            </w:tcBorders>
          </w:tcPr>
          <w:p w:rsidR="006E2BCA" w:rsidRPr="000C2F69" w:rsidRDefault="006E2BCA" w:rsidP="001303AF">
            <w:pPr>
              <w:pStyle w:val="Tabletext"/>
              <w:rPr>
                <w:b/>
              </w:rPr>
            </w:pPr>
          </w:p>
        </w:tc>
      </w:tr>
      <w:tr w:rsidR="006E2BCA" w:rsidTr="001303AF">
        <w:tc>
          <w:tcPr>
            <w:tcW w:w="1556" w:type="pct"/>
            <w:tcBorders>
              <w:bottom w:val="single" w:sz="4" w:space="0" w:color="auto"/>
            </w:tcBorders>
          </w:tcPr>
          <w:p w:rsidR="006E2BCA" w:rsidRPr="007C69F0" w:rsidRDefault="006E2BCA" w:rsidP="001303AF">
            <w:pPr>
              <w:pStyle w:val="Tabletext"/>
            </w:pPr>
            <w:r>
              <w:t>N</w:t>
            </w:r>
            <w:r w:rsidRPr="00183E4D">
              <w:t xml:space="preserve">umber of </w:t>
            </w:r>
            <w:r>
              <w:t>stand-alone CO</w:t>
            </w:r>
            <w:r w:rsidRPr="000C2F69">
              <w:rPr>
                <w:vertAlign w:val="subscript"/>
              </w:rPr>
              <w:t>2</w:t>
            </w:r>
            <w:r w:rsidRPr="000C2F69">
              <w:t xml:space="preserve"> </w:t>
            </w:r>
            <w:r>
              <w:t xml:space="preserve">AFL procedures </w:t>
            </w:r>
          </w:p>
        </w:tc>
        <w:tc>
          <w:tcPr>
            <w:tcW w:w="685" w:type="pct"/>
            <w:tcBorders>
              <w:bottom w:val="single" w:sz="4" w:space="0" w:color="auto"/>
            </w:tcBorders>
          </w:tcPr>
          <w:p w:rsidR="006E2BCA" w:rsidRPr="006160A4" w:rsidRDefault="006E2BCA" w:rsidP="001303AF">
            <w:pPr>
              <w:pStyle w:val="Tabletext"/>
            </w:pPr>
            <w:r w:rsidRPr="00966287">
              <w:t>2,293</w:t>
            </w:r>
          </w:p>
        </w:tc>
        <w:tc>
          <w:tcPr>
            <w:tcW w:w="684" w:type="pct"/>
            <w:tcBorders>
              <w:bottom w:val="single" w:sz="4" w:space="0" w:color="auto"/>
            </w:tcBorders>
          </w:tcPr>
          <w:p w:rsidR="006E2BCA" w:rsidRPr="006160A4" w:rsidRDefault="006E2BCA" w:rsidP="001303AF">
            <w:pPr>
              <w:pStyle w:val="Tabletext"/>
            </w:pPr>
            <w:r w:rsidRPr="00966287">
              <w:t>3,110</w:t>
            </w:r>
          </w:p>
        </w:tc>
        <w:tc>
          <w:tcPr>
            <w:tcW w:w="692" w:type="pct"/>
            <w:tcBorders>
              <w:bottom w:val="single" w:sz="4" w:space="0" w:color="auto"/>
            </w:tcBorders>
          </w:tcPr>
          <w:p w:rsidR="006E2BCA" w:rsidRPr="006160A4" w:rsidRDefault="006E2BCA" w:rsidP="001303AF">
            <w:pPr>
              <w:pStyle w:val="Tabletext"/>
            </w:pPr>
            <w:r w:rsidRPr="00966287">
              <w:t>3,952</w:t>
            </w:r>
          </w:p>
        </w:tc>
        <w:tc>
          <w:tcPr>
            <w:tcW w:w="692" w:type="pct"/>
            <w:tcBorders>
              <w:bottom w:val="single" w:sz="4" w:space="0" w:color="auto"/>
            </w:tcBorders>
          </w:tcPr>
          <w:p w:rsidR="006E2BCA" w:rsidRPr="006160A4" w:rsidRDefault="006E2BCA" w:rsidP="001303AF">
            <w:pPr>
              <w:pStyle w:val="Tabletext"/>
            </w:pPr>
            <w:r w:rsidRPr="00966287">
              <w:t>4,018</w:t>
            </w:r>
          </w:p>
        </w:tc>
        <w:tc>
          <w:tcPr>
            <w:tcW w:w="691" w:type="pct"/>
            <w:tcBorders>
              <w:bottom w:val="single" w:sz="4" w:space="0" w:color="auto"/>
            </w:tcBorders>
          </w:tcPr>
          <w:p w:rsidR="006E2BCA" w:rsidRPr="006160A4" w:rsidRDefault="006E2BCA" w:rsidP="001303AF">
            <w:pPr>
              <w:pStyle w:val="Tabletext"/>
            </w:pPr>
            <w:r w:rsidRPr="00966287">
              <w:t>4,084</w:t>
            </w:r>
          </w:p>
        </w:tc>
      </w:tr>
      <w:tr w:rsidR="006E2BCA" w:rsidTr="001303AF">
        <w:tc>
          <w:tcPr>
            <w:tcW w:w="1556" w:type="pct"/>
            <w:tcBorders>
              <w:bottom w:val="single" w:sz="4" w:space="0" w:color="auto"/>
            </w:tcBorders>
          </w:tcPr>
          <w:p w:rsidR="006E2BCA" w:rsidRPr="007C69F0" w:rsidRDefault="006E2BCA" w:rsidP="001303AF">
            <w:pPr>
              <w:pStyle w:val="Tabletext"/>
            </w:pPr>
            <w:r>
              <w:t>N</w:t>
            </w:r>
            <w:r w:rsidRPr="00183E4D">
              <w:t xml:space="preserve">umber of </w:t>
            </w:r>
            <w:r>
              <w:t>CO</w:t>
            </w:r>
            <w:r w:rsidRPr="000C2F69">
              <w:rPr>
                <w:vertAlign w:val="subscript"/>
              </w:rPr>
              <w:t>2</w:t>
            </w:r>
            <w:r w:rsidRPr="000C2F69">
              <w:t xml:space="preserve"> </w:t>
            </w:r>
            <w:r>
              <w:t>AFL procedures in combination with surgery</w:t>
            </w:r>
          </w:p>
        </w:tc>
        <w:tc>
          <w:tcPr>
            <w:tcW w:w="685" w:type="pct"/>
            <w:tcBorders>
              <w:bottom w:val="single" w:sz="4" w:space="0" w:color="auto"/>
            </w:tcBorders>
          </w:tcPr>
          <w:p w:rsidR="006E2BCA" w:rsidRPr="006160A4" w:rsidRDefault="006E2BCA" w:rsidP="001303AF">
            <w:pPr>
              <w:pStyle w:val="Tabletext"/>
            </w:pPr>
            <w:r w:rsidRPr="00966287">
              <w:t>102</w:t>
            </w:r>
          </w:p>
        </w:tc>
        <w:tc>
          <w:tcPr>
            <w:tcW w:w="684" w:type="pct"/>
            <w:tcBorders>
              <w:bottom w:val="single" w:sz="4" w:space="0" w:color="auto"/>
            </w:tcBorders>
          </w:tcPr>
          <w:p w:rsidR="006E2BCA" w:rsidRPr="006160A4" w:rsidRDefault="006E2BCA" w:rsidP="001303AF">
            <w:pPr>
              <w:pStyle w:val="Tabletext"/>
            </w:pPr>
            <w:r w:rsidRPr="00966287">
              <w:t>138</w:t>
            </w:r>
          </w:p>
        </w:tc>
        <w:tc>
          <w:tcPr>
            <w:tcW w:w="692" w:type="pct"/>
            <w:tcBorders>
              <w:bottom w:val="single" w:sz="4" w:space="0" w:color="auto"/>
            </w:tcBorders>
          </w:tcPr>
          <w:p w:rsidR="006E2BCA" w:rsidRPr="006160A4" w:rsidRDefault="006E2BCA" w:rsidP="001303AF">
            <w:pPr>
              <w:pStyle w:val="Tabletext"/>
            </w:pPr>
            <w:r w:rsidRPr="00966287">
              <w:t>176</w:t>
            </w:r>
          </w:p>
        </w:tc>
        <w:tc>
          <w:tcPr>
            <w:tcW w:w="692" w:type="pct"/>
            <w:tcBorders>
              <w:bottom w:val="single" w:sz="4" w:space="0" w:color="auto"/>
            </w:tcBorders>
          </w:tcPr>
          <w:p w:rsidR="006E2BCA" w:rsidRPr="006160A4" w:rsidRDefault="006E2BCA" w:rsidP="001303AF">
            <w:pPr>
              <w:pStyle w:val="Tabletext"/>
            </w:pPr>
            <w:r w:rsidRPr="00966287">
              <w:t>179</w:t>
            </w:r>
          </w:p>
        </w:tc>
        <w:tc>
          <w:tcPr>
            <w:tcW w:w="691" w:type="pct"/>
            <w:tcBorders>
              <w:bottom w:val="single" w:sz="4" w:space="0" w:color="auto"/>
            </w:tcBorders>
          </w:tcPr>
          <w:p w:rsidR="006E2BCA" w:rsidRPr="006160A4" w:rsidRDefault="006E2BCA" w:rsidP="001303AF">
            <w:pPr>
              <w:pStyle w:val="Tabletext"/>
            </w:pPr>
            <w:r w:rsidRPr="00966287">
              <w:t>181</w:t>
            </w:r>
          </w:p>
        </w:tc>
      </w:tr>
      <w:tr w:rsidR="006E2BCA" w:rsidTr="001303AF">
        <w:tc>
          <w:tcPr>
            <w:tcW w:w="1556" w:type="pct"/>
            <w:tcBorders>
              <w:bottom w:val="single" w:sz="4" w:space="0" w:color="auto"/>
            </w:tcBorders>
          </w:tcPr>
          <w:p w:rsidR="006E2BCA" w:rsidRPr="007C69F0" w:rsidRDefault="006E2BCA" w:rsidP="001303AF">
            <w:pPr>
              <w:pStyle w:val="Tabletext"/>
            </w:pPr>
            <w:r>
              <w:t>Total n</w:t>
            </w:r>
            <w:r w:rsidRPr="00183E4D">
              <w:t xml:space="preserve">umber of </w:t>
            </w:r>
            <w:r>
              <w:t>CO</w:t>
            </w:r>
            <w:r w:rsidRPr="000C2F69">
              <w:rPr>
                <w:vertAlign w:val="subscript"/>
              </w:rPr>
              <w:t>2</w:t>
            </w:r>
            <w:r w:rsidRPr="000C2F69">
              <w:t xml:space="preserve"> </w:t>
            </w:r>
            <w:r>
              <w:t xml:space="preserve">AFL </w:t>
            </w:r>
            <w:r w:rsidRPr="00183E4D">
              <w:t>services</w:t>
            </w:r>
          </w:p>
        </w:tc>
        <w:tc>
          <w:tcPr>
            <w:tcW w:w="685" w:type="pct"/>
            <w:tcBorders>
              <w:bottom w:val="single" w:sz="4" w:space="0" w:color="auto"/>
            </w:tcBorders>
          </w:tcPr>
          <w:p w:rsidR="006E2BCA" w:rsidRPr="00966287" w:rsidRDefault="006E2BCA" w:rsidP="001303AF">
            <w:pPr>
              <w:pStyle w:val="Tabletext"/>
            </w:pPr>
            <w:r w:rsidRPr="00AF43FA">
              <w:t>2,395</w:t>
            </w:r>
          </w:p>
        </w:tc>
        <w:tc>
          <w:tcPr>
            <w:tcW w:w="684" w:type="pct"/>
            <w:tcBorders>
              <w:bottom w:val="single" w:sz="4" w:space="0" w:color="auto"/>
            </w:tcBorders>
          </w:tcPr>
          <w:p w:rsidR="006E2BCA" w:rsidRPr="00966287" w:rsidRDefault="006E2BCA" w:rsidP="001303AF">
            <w:pPr>
              <w:pStyle w:val="Tabletext"/>
            </w:pPr>
            <w:r w:rsidRPr="00AF43FA">
              <w:t>3,248</w:t>
            </w:r>
          </w:p>
        </w:tc>
        <w:tc>
          <w:tcPr>
            <w:tcW w:w="692" w:type="pct"/>
            <w:tcBorders>
              <w:bottom w:val="single" w:sz="4" w:space="0" w:color="auto"/>
            </w:tcBorders>
          </w:tcPr>
          <w:p w:rsidR="006E2BCA" w:rsidRPr="00966287" w:rsidRDefault="006E2BCA" w:rsidP="001303AF">
            <w:pPr>
              <w:pStyle w:val="Tabletext"/>
            </w:pPr>
            <w:r w:rsidRPr="00AF43FA">
              <w:t>4,128</w:t>
            </w:r>
          </w:p>
        </w:tc>
        <w:tc>
          <w:tcPr>
            <w:tcW w:w="692" w:type="pct"/>
            <w:tcBorders>
              <w:bottom w:val="single" w:sz="4" w:space="0" w:color="auto"/>
            </w:tcBorders>
          </w:tcPr>
          <w:p w:rsidR="006E2BCA" w:rsidRPr="00966287" w:rsidRDefault="006E2BCA" w:rsidP="001303AF">
            <w:pPr>
              <w:pStyle w:val="Tabletext"/>
            </w:pPr>
            <w:r w:rsidRPr="00AF43FA">
              <w:t>4,197</w:t>
            </w:r>
          </w:p>
        </w:tc>
        <w:tc>
          <w:tcPr>
            <w:tcW w:w="691" w:type="pct"/>
            <w:tcBorders>
              <w:bottom w:val="single" w:sz="4" w:space="0" w:color="auto"/>
            </w:tcBorders>
          </w:tcPr>
          <w:p w:rsidR="006E2BCA" w:rsidRPr="00966287" w:rsidRDefault="006E2BCA" w:rsidP="001303AF">
            <w:pPr>
              <w:pStyle w:val="Tabletext"/>
            </w:pPr>
            <w:r w:rsidRPr="00AF43FA">
              <w:t>4,265</w:t>
            </w:r>
          </w:p>
        </w:tc>
      </w:tr>
      <w:tr w:rsidR="006E2BCA" w:rsidTr="001303AF">
        <w:tc>
          <w:tcPr>
            <w:tcW w:w="1556" w:type="pct"/>
            <w:tcBorders>
              <w:bottom w:val="single" w:sz="4" w:space="0" w:color="auto"/>
              <w:right w:val="nil"/>
            </w:tcBorders>
          </w:tcPr>
          <w:p w:rsidR="006E2BCA" w:rsidRPr="000C2F69" w:rsidRDefault="006E2BCA" w:rsidP="001303AF">
            <w:pPr>
              <w:pStyle w:val="Tabletext"/>
              <w:rPr>
                <w:b/>
              </w:rPr>
            </w:pPr>
            <w:r w:rsidRPr="000C2F69">
              <w:rPr>
                <w:b/>
              </w:rPr>
              <w:t>Estimated cost to the MBS</w:t>
            </w:r>
          </w:p>
        </w:tc>
        <w:tc>
          <w:tcPr>
            <w:tcW w:w="685" w:type="pct"/>
            <w:tcBorders>
              <w:left w:val="nil"/>
              <w:bottom w:val="single" w:sz="4" w:space="0" w:color="auto"/>
              <w:right w:val="nil"/>
            </w:tcBorders>
          </w:tcPr>
          <w:p w:rsidR="006E2BCA" w:rsidRPr="000C2F69" w:rsidRDefault="006E2BCA" w:rsidP="001303AF">
            <w:pPr>
              <w:pStyle w:val="Tabletext"/>
              <w:rPr>
                <w:b/>
              </w:rPr>
            </w:pPr>
          </w:p>
        </w:tc>
        <w:tc>
          <w:tcPr>
            <w:tcW w:w="684" w:type="pct"/>
            <w:tcBorders>
              <w:left w:val="nil"/>
              <w:bottom w:val="single" w:sz="4" w:space="0" w:color="auto"/>
              <w:right w:val="nil"/>
            </w:tcBorders>
          </w:tcPr>
          <w:p w:rsidR="006E2BCA" w:rsidRPr="000C2F69" w:rsidRDefault="006E2BCA" w:rsidP="001303AF">
            <w:pPr>
              <w:pStyle w:val="Tabletext"/>
              <w:rPr>
                <w:b/>
              </w:rPr>
            </w:pPr>
          </w:p>
        </w:tc>
        <w:tc>
          <w:tcPr>
            <w:tcW w:w="692" w:type="pct"/>
            <w:tcBorders>
              <w:left w:val="nil"/>
              <w:bottom w:val="single" w:sz="4" w:space="0" w:color="auto"/>
              <w:right w:val="nil"/>
            </w:tcBorders>
          </w:tcPr>
          <w:p w:rsidR="006E2BCA" w:rsidRPr="000C2F69" w:rsidRDefault="006E2BCA" w:rsidP="001303AF">
            <w:pPr>
              <w:pStyle w:val="Tabletext"/>
              <w:rPr>
                <w:b/>
              </w:rPr>
            </w:pPr>
          </w:p>
        </w:tc>
        <w:tc>
          <w:tcPr>
            <w:tcW w:w="692" w:type="pct"/>
            <w:tcBorders>
              <w:left w:val="nil"/>
              <w:bottom w:val="single" w:sz="4" w:space="0" w:color="auto"/>
              <w:right w:val="nil"/>
            </w:tcBorders>
          </w:tcPr>
          <w:p w:rsidR="006E2BCA" w:rsidRPr="000C2F69" w:rsidRDefault="006E2BCA" w:rsidP="001303AF">
            <w:pPr>
              <w:pStyle w:val="Tabletext"/>
              <w:rPr>
                <w:b/>
              </w:rPr>
            </w:pPr>
          </w:p>
        </w:tc>
        <w:tc>
          <w:tcPr>
            <w:tcW w:w="691" w:type="pct"/>
            <w:tcBorders>
              <w:left w:val="nil"/>
              <w:bottom w:val="single" w:sz="4" w:space="0" w:color="auto"/>
            </w:tcBorders>
          </w:tcPr>
          <w:p w:rsidR="006E2BCA" w:rsidRPr="000C2F69" w:rsidRDefault="006E2BCA" w:rsidP="001303AF">
            <w:pPr>
              <w:pStyle w:val="Tabletext"/>
              <w:rPr>
                <w:b/>
              </w:rPr>
            </w:pPr>
          </w:p>
        </w:tc>
      </w:tr>
      <w:tr w:rsidR="006E2BCA" w:rsidTr="001303AF">
        <w:tc>
          <w:tcPr>
            <w:tcW w:w="1556" w:type="pct"/>
            <w:tcBorders>
              <w:bottom w:val="single" w:sz="4" w:space="0" w:color="auto"/>
            </w:tcBorders>
          </w:tcPr>
          <w:p w:rsidR="006E2BCA" w:rsidRDefault="006E2BCA" w:rsidP="001303AF">
            <w:pPr>
              <w:pStyle w:val="Tabletext"/>
            </w:pPr>
            <w:r w:rsidRPr="007C69F0">
              <w:t xml:space="preserve">MBS costs associated with </w:t>
            </w:r>
            <w:r w:rsidRPr="0075312C">
              <w:t>CO</w:t>
            </w:r>
            <w:r w:rsidRPr="0075312C">
              <w:rPr>
                <w:vertAlign w:val="subscript"/>
              </w:rPr>
              <w:t>2</w:t>
            </w:r>
            <w:r w:rsidRPr="0075312C">
              <w:t xml:space="preserve"> AFL</w:t>
            </w:r>
          </w:p>
        </w:tc>
        <w:tc>
          <w:tcPr>
            <w:tcW w:w="685" w:type="pct"/>
            <w:tcBorders>
              <w:bottom w:val="single" w:sz="4" w:space="0" w:color="auto"/>
            </w:tcBorders>
          </w:tcPr>
          <w:p w:rsidR="006E2BCA" w:rsidRDefault="006E2BCA" w:rsidP="001303AF">
            <w:pPr>
              <w:pStyle w:val="Tabletext"/>
            </w:pPr>
            <w:r w:rsidRPr="00F340A0">
              <w:t>$1,204,372</w:t>
            </w:r>
          </w:p>
        </w:tc>
        <w:tc>
          <w:tcPr>
            <w:tcW w:w="684" w:type="pct"/>
            <w:tcBorders>
              <w:bottom w:val="single" w:sz="4" w:space="0" w:color="auto"/>
            </w:tcBorders>
          </w:tcPr>
          <w:p w:rsidR="006E2BCA" w:rsidRDefault="006E2BCA" w:rsidP="001303AF">
            <w:pPr>
              <w:pStyle w:val="Tabletext"/>
            </w:pPr>
            <w:r w:rsidRPr="00F340A0">
              <w:t>$1,633,212</w:t>
            </w:r>
          </w:p>
        </w:tc>
        <w:tc>
          <w:tcPr>
            <w:tcW w:w="692" w:type="pct"/>
            <w:tcBorders>
              <w:bottom w:val="single" w:sz="4" w:space="0" w:color="auto"/>
            </w:tcBorders>
          </w:tcPr>
          <w:p w:rsidR="006E2BCA" w:rsidRDefault="006E2BCA" w:rsidP="001303AF">
            <w:pPr>
              <w:pStyle w:val="Tabletext"/>
            </w:pPr>
            <w:r w:rsidRPr="00F340A0">
              <w:t>$2,075,883</w:t>
            </w:r>
          </w:p>
        </w:tc>
        <w:tc>
          <w:tcPr>
            <w:tcW w:w="692" w:type="pct"/>
            <w:tcBorders>
              <w:bottom w:val="single" w:sz="4" w:space="0" w:color="auto"/>
            </w:tcBorders>
          </w:tcPr>
          <w:p w:rsidR="006E2BCA" w:rsidRDefault="006E2BCA" w:rsidP="001303AF">
            <w:pPr>
              <w:pStyle w:val="Tabletext"/>
            </w:pPr>
            <w:r w:rsidRPr="00F340A0">
              <w:t>$2,110,320</w:t>
            </w:r>
          </w:p>
        </w:tc>
        <w:tc>
          <w:tcPr>
            <w:tcW w:w="691" w:type="pct"/>
            <w:tcBorders>
              <w:bottom w:val="single" w:sz="4" w:space="0" w:color="auto"/>
            </w:tcBorders>
          </w:tcPr>
          <w:p w:rsidR="006E2BCA" w:rsidRDefault="006E2BCA" w:rsidP="001303AF">
            <w:pPr>
              <w:pStyle w:val="Tabletext"/>
            </w:pPr>
            <w:r w:rsidRPr="00F340A0">
              <w:t>$2,144,779</w:t>
            </w:r>
          </w:p>
        </w:tc>
      </w:tr>
      <w:tr w:rsidR="006E2BCA" w:rsidRPr="00053B7B" w:rsidTr="001303AF">
        <w:tc>
          <w:tcPr>
            <w:tcW w:w="1556" w:type="pct"/>
            <w:tcBorders>
              <w:left w:val="single" w:sz="4" w:space="0" w:color="auto"/>
              <w:right w:val="nil"/>
            </w:tcBorders>
          </w:tcPr>
          <w:p w:rsidR="006E2BCA" w:rsidRPr="00053B7B" w:rsidRDefault="006E2BCA" w:rsidP="001303AF">
            <w:pPr>
              <w:pStyle w:val="Tabletext"/>
              <w:rPr>
                <w:u w:val="single"/>
              </w:rPr>
            </w:pPr>
            <w:r w:rsidRPr="00053B7B">
              <w:rPr>
                <w:u w:val="single"/>
              </w:rPr>
              <w:t>Scenario 1</w:t>
            </w:r>
          </w:p>
        </w:tc>
        <w:tc>
          <w:tcPr>
            <w:tcW w:w="685" w:type="pct"/>
            <w:tcBorders>
              <w:left w:val="nil"/>
              <w:right w:val="nil"/>
            </w:tcBorders>
          </w:tcPr>
          <w:p w:rsidR="006E2BCA" w:rsidRPr="00053B7B" w:rsidRDefault="006E2BCA" w:rsidP="001303AF">
            <w:pPr>
              <w:pStyle w:val="Tabletext"/>
              <w:rPr>
                <w:u w:val="single"/>
              </w:rPr>
            </w:pPr>
          </w:p>
        </w:tc>
        <w:tc>
          <w:tcPr>
            <w:tcW w:w="684" w:type="pct"/>
            <w:tcBorders>
              <w:left w:val="nil"/>
              <w:right w:val="nil"/>
            </w:tcBorders>
          </w:tcPr>
          <w:p w:rsidR="006E2BCA" w:rsidRPr="00053B7B" w:rsidRDefault="006E2BCA" w:rsidP="001303AF">
            <w:pPr>
              <w:pStyle w:val="Tabletext"/>
              <w:rPr>
                <w:u w:val="single"/>
              </w:rPr>
            </w:pPr>
          </w:p>
        </w:tc>
        <w:tc>
          <w:tcPr>
            <w:tcW w:w="692" w:type="pct"/>
            <w:tcBorders>
              <w:left w:val="nil"/>
              <w:right w:val="nil"/>
            </w:tcBorders>
          </w:tcPr>
          <w:p w:rsidR="006E2BCA" w:rsidRPr="00053B7B" w:rsidRDefault="006E2BCA" w:rsidP="001303AF">
            <w:pPr>
              <w:pStyle w:val="Tabletext"/>
              <w:rPr>
                <w:u w:val="single"/>
              </w:rPr>
            </w:pPr>
          </w:p>
        </w:tc>
        <w:tc>
          <w:tcPr>
            <w:tcW w:w="692" w:type="pct"/>
            <w:tcBorders>
              <w:left w:val="nil"/>
              <w:right w:val="nil"/>
            </w:tcBorders>
          </w:tcPr>
          <w:p w:rsidR="006E2BCA" w:rsidRPr="00053B7B" w:rsidRDefault="006E2BCA" w:rsidP="001303AF">
            <w:pPr>
              <w:pStyle w:val="Tabletext"/>
              <w:rPr>
                <w:u w:val="single"/>
              </w:rPr>
            </w:pPr>
          </w:p>
        </w:tc>
        <w:tc>
          <w:tcPr>
            <w:tcW w:w="691" w:type="pct"/>
            <w:tcBorders>
              <w:left w:val="nil"/>
              <w:right w:val="single" w:sz="4" w:space="0" w:color="auto"/>
            </w:tcBorders>
          </w:tcPr>
          <w:p w:rsidR="006E2BCA" w:rsidRPr="00053B7B" w:rsidRDefault="006E2BCA" w:rsidP="001303AF">
            <w:pPr>
              <w:pStyle w:val="Tabletext"/>
              <w:rPr>
                <w:u w:val="single"/>
              </w:rPr>
            </w:pPr>
          </w:p>
        </w:tc>
      </w:tr>
      <w:tr w:rsidR="006E2BCA" w:rsidTr="001303AF">
        <w:tc>
          <w:tcPr>
            <w:tcW w:w="1556" w:type="pct"/>
          </w:tcPr>
          <w:p w:rsidR="006E2BCA" w:rsidRDefault="006E2BCA" w:rsidP="001303AF">
            <w:pPr>
              <w:pStyle w:val="Tabletext"/>
            </w:pPr>
            <w:r w:rsidRPr="007C69F0">
              <w:t>MBS costs of substituted services</w:t>
            </w:r>
          </w:p>
        </w:tc>
        <w:tc>
          <w:tcPr>
            <w:tcW w:w="685" w:type="pct"/>
          </w:tcPr>
          <w:p w:rsidR="006E2BCA" w:rsidRDefault="006E2BCA" w:rsidP="001303AF">
            <w:pPr>
              <w:pStyle w:val="Tabletext"/>
            </w:pPr>
            <w:r w:rsidRPr="005A65B1">
              <w:t>$1,091,912</w:t>
            </w:r>
          </w:p>
        </w:tc>
        <w:tc>
          <w:tcPr>
            <w:tcW w:w="684" w:type="pct"/>
          </w:tcPr>
          <w:p w:rsidR="006E2BCA" w:rsidRDefault="006E2BCA" w:rsidP="001303AF">
            <w:pPr>
              <w:pStyle w:val="Tabletext"/>
            </w:pPr>
            <w:r w:rsidRPr="005A65B1">
              <w:t>$1,480,708</w:t>
            </w:r>
          </w:p>
        </w:tc>
        <w:tc>
          <w:tcPr>
            <w:tcW w:w="692" w:type="pct"/>
          </w:tcPr>
          <w:p w:rsidR="006E2BCA" w:rsidRDefault="006E2BCA" w:rsidP="001303AF">
            <w:pPr>
              <w:pStyle w:val="Tabletext"/>
            </w:pPr>
            <w:r w:rsidRPr="005A65B1">
              <w:t>$1,882,044</w:t>
            </w:r>
          </w:p>
        </w:tc>
        <w:tc>
          <w:tcPr>
            <w:tcW w:w="692" w:type="pct"/>
          </w:tcPr>
          <w:p w:rsidR="006E2BCA" w:rsidRDefault="006E2BCA" w:rsidP="001303AF">
            <w:pPr>
              <w:pStyle w:val="Tabletext"/>
            </w:pPr>
            <w:r w:rsidRPr="005A65B1">
              <w:t>$1,913,265</w:t>
            </w:r>
          </w:p>
        </w:tc>
        <w:tc>
          <w:tcPr>
            <w:tcW w:w="691" w:type="pct"/>
          </w:tcPr>
          <w:p w:rsidR="006E2BCA" w:rsidRDefault="006E2BCA" w:rsidP="001303AF">
            <w:pPr>
              <w:pStyle w:val="Tabletext"/>
            </w:pPr>
            <w:r w:rsidRPr="005A65B1">
              <w:t>$1,944,507</w:t>
            </w:r>
          </w:p>
        </w:tc>
      </w:tr>
      <w:tr w:rsidR="006E2BCA" w:rsidTr="001303AF">
        <w:tc>
          <w:tcPr>
            <w:tcW w:w="1556" w:type="pct"/>
            <w:tcBorders>
              <w:bottom w:val="single" w:sz="4" w:space="0" w:color="auto"/>
            </w:tcBorders>
          </w:tcPr>
          <w:p w:rsidR="006E2BCA" w:rsidRDefault="006E2BCA" w:rsidP="001303AF">
            <w:pPr>
              <w:pStyle w:val="Tabletext"/>
            </w:pPr>
            <w:r w:rsidRPr="007C69F0">
              <w:t xml:space="preserve">Net cost of </w:t>
            </w:r>
            <w:r w:rsidRPr="0075312C">
              <w:t>CO</w:t>
            </w:r>
            <w:r w:rsidRPr="0075312C">
              <w:rPr>
                <w:vertAlign w:val="subscript"/>
              </w:rPr>
              <w:t>2</w:t>
            </w:r>
            <w:r w:rsidRPr="0075312C">
              <w:t xml:space="preserve"> AFL</w:t>
            </w:r>
            <w:r w:rsidRPr="007C69F0">
              <w:t xml:space="preserve"> to the MBS</w:t>
            </w:r>
          </w:p>
        </w:tc>
        <w:tc>
          <w:tcPr>
            <w:tcW w:w="685" w:type="pct"/>
            <w:tcBorders>
              <w:bottom w:val="single" w:sz="4" w:space="0" w:color="auto"/>
            </w:tcBorders>
          </w:tcPr>
          <w:p w:rsidR="006E2BCA" w:rsidRDefault="006E2BCA" w:rsidP="001303AF">
            <w:pPr>
              <w:pStyle w:val="Tabletext"/>
            </w:pPr>
            <w:r w:rsidRPr="005A65B1">
              <w:t>$112,460</w:t>
            </w:r>
          </w:p>
        </w:tc>
        <w:tc>
          <w:tcPr>
            <w:tcW w:w="684" w:type="pct"/>
            <w:tcBorders>
              <w:bottom w:val="single" w:sz="4" w:space="0" w:color="auto"/>
            </w:tcBorders>
          </w:tcPr>
          <w:p w:rsidR="006E2BCA" w:rsidRDefault="006E2BCA" w:rsidP="001303AF">
            <w:pPr>
              <w:pStyle w:val="Tabletext"/>
            </w:pPr>
            <w:r w:rsidRPr="005A65B1">
              <w:t>$152,504</w:t>
            </w:r>
          </w:p>
        </w:tc>
        <w:tc>
          <w:tcPr>
            <w:tcW w:w="692" w:type="pct"/>
            <w:tcBorders>
              <w:bottom w:val="single" w:sz="4" w:space="0" w:color="auto"/>
            </w:tcBorders>
          </w:tcPr>
          <w:p w:rsidR="006E2BCA" w:rsidRDefault="006E2BCA" w:rsidP="001303AF">
            <w:pPr>
              <w:pStyle w:val="Tabletext"/>
            </w:pPr>
            <w:r w:rsidRPr="005A65B1">
              <w:t>$193,839</w:t>
            </w:r>
          </w:p>
        </w:tc>
        <w:tc>
          <w:tcPr>
            <w:tcW w:w="692" w:type="pct"/>
            <w:tcBorders>
              <w:bottom w:val="single" w:sz="4" w:space="0" w:color="auto"/>
            </w:tcBorders>
          </w:tcPr>
          <w:p w:rsidR="006E2BCA" w:rsidRDefault="006E2BCA" w:rsidP="001303AF">
            <w:pPr>
              <w:pStyle w:val="Tabletext"/>
            </w:pPr>
            <w:r w:rsidRPr="005A65B1">
              <w:t>$197,055</w:t>
            </w:r>
          </w:p>
        </w:tc>
        <w:tc>
          <w:tcPr>
            <w:tcW w:w="691" w:type="pct"/>
            <w:tcBorders>
              <w:bottom w:val="single" w:sz="4" w:space="0" w:color="auto"/>
            </w:tcBorders>
          </w:tcPr>
          <w:p w:rsidR="006E2BCA" w:rsidRDefault="006E2BCA" w:rsidP="001303AF">
            <w:pPr>
              <w:pStyle w:val="Tabletext"/>
            </w:pPr>
            <w:r w:rsidRPr="005A65B1">
              <w:t>$200,272</w:t>
            </w:r>
          </w:p>
        </w:tc>
      </w:tr>
      <w:tr w:rsidR="006E2BCA" w:rsidTr="001303AF">
        <w:tc>
          <w:tcPr>
            <w:tcW w:w="1556" w:type="pct"/>
            <w:tcBorders>
              <w:left w:val="single" w:sz="4" w:space="0" w:color="auto"/>
              <w:bottom w:val="single" w:sz="4" w:space="0" w:color="auto"/>
              <w:right w:val="nil"/>
            </w:tcBorders>
          </w:tcPr>
          <w:p w:rsidR="006E2BCA" w:rsidRPr="00053B7B" w:rsidRDefault="006E2BCA" w:rsidP="001303AF">
            <w:pPr>
              <w:pStyle w:val="Tabletext"/>
              <w:rPr>
                <w:u w:val="single"/>
              </w:rPr>
            </w:pPr>
            <w:r w:rsidRPr="00053B7B">
              <w:rPr>
                <w:u w:val="single"/>
              </w:rPr>
              <w:t>Scenario 2</w:t>
            </w:r>
          </w:p>
        </w:tc>
        <w:tc>
          <w:tcPr>
            <w:tcW w:w="685" w:type="pct"/>
            <w:tcBorders>
              <w:left w:val="nil"/>
              <w:bottom w:val="single" w:sz="4" w:space="0" w:color="auto"/>
              <w:right w:val="nil"/>
            </w:tcBorders>
          </w:tcPr>
          <w:p w:rsidR="006E2BCA" w:rsidRPr="001F257E" w:rsidRDefault="006E2BCA" w:rsidP="001303AF">
            <w:pPr>
              <w:pStyle w:val="Tabletext"/>
            </w:pPr>
          </w:p>
        </w:tc>
        <w:tc>
          <w:tcPr>
            <w:tcW w:w="684" w:type="pct"/>
            <w:tcBorders>
              <w:left w:val="nil"/>
              <w:bottom w:val="single" w:sz="4" w:space="0" w:color="auto"/>
              <w:right w:val="nil"/>
            </w:tcBorders>
          </w:tcPr>
          <w:p w:rsidR="006E2BCA" w:rsidRPr="001F257E" w:rsidRDefault="006E2BCA" w:rsidP="001303AF">
            <w:pPr>
              <w:pStyle w:val="Tabletext"/>
            </w:pPr>
          </w:p>
        </w:tc>
        <w:tc>
          <w:tcPr>
            <w:tcW w:w="692" w:type="pct"/>
            <w:tcBorders>
              <w:left w:val="nil"/>
              <w:bottom w:val="single" w:sz="4" w:space="0" w:color="auto"/>
              <w:right w:val="nil"/>
            </w:tcBorders>
          </w:tcPr>
          <w:p w:rsidR="006E2BCA" w:rsidRPr="001F257E" w:rsidRDefault="006E2BCA" w:rsidP="001303AF">
            <w:pPr>
              <w:pStyle w:val="Tabletext"/>
            </w:pPr>
          </w:p>
        </w:tc>
        <w:tc>
          <w:tcPr>
            <w:tcW w:w="692" w:type="pct"/>
            <w:tcBorders>
              <w:left w:val="nil"/>
              <w:bottom w:val="single" w:sz="4" w:space="0" w:color="auto"/>
              <w:right w:val="nil"/>
            </w:tcBorders>
          </w:tcPr>
          <w:p w:rsidR="006E2BCA" w:rsidRPr="001F257E" w:rsidRDefault="006E2BCA" w:rsidP="001303AF">
            <w:pPr>
              <w:pStyle w:val="Tabletext"/>
            </w:pPr>
          </w:p>
        </w:tc>
        <w:tc>
          <w:tcPr>
            <w:tcW w:w="691" w:type="pct"/>
            <w:tcBorders>
              <w:left w:val="nil"/>
              <w:bottom w:val="single" w:sz="4" w:space="0" w:color="auto"/>
              <w:right w:val="single" w:sz="4" w:space="0" w:color="auto"/>
            </w:tcBorders>
          </w:tcPr>
          <w:p w:rsidR="006E2BCA" w:rsidRPr="001F257E" w:rsidRDefault="006E2BCA" w:rsidP="001303AF">
            <w:pPr>
              <w:pStyle w:val="Tabletext"/>
            </w:pPr>
          </w:p>
        </w:tc>
      </w:tr>
      <w:tr w:rsidR="006E2BCA" w:rsidTr="001303AF">
        <w:tc>
          <w:tcPr>
            <w:tcW w:w="1556" w:type="pct"/>
            <w:tcBorders>
              <w:left w:val="single" w:sz="4" w:space="0" w:color="auto"/>
              <w:right w:val="single" w:sz="4" w:space="0" w:color="auto"/>
            </w:tcBorders>
          </w:tcPr>
          <w:p w:rsidR="006E2BCA" w:rsidRDefault="006E2BCA" w:rsidP="001303AF">
            <w:pPr>
              <w:pStyle w:val="Tabletext"/>
            </w:pPr>
            <w:r w:rsidRPr="007C69F0">
              <w:t>MBS costs of substituted services</w:t>
            </w:r>
          </w:p>
        </w:tc>
        <w:tc>
          <w:tcPr>
            <w:tcW w:w="685" w:type="pct"/>
            <w:tcBorders>
              <w:left w:val="single" w:sz="4" w:space="0" w:color="auto"/>
              <w:right w:val="single" w:sz="4" w:space="0" w:color="auto"/>
            </w:tcBorders>
          </w:tcPr>
          <w:p w:rsidR="006E2BCA" w:rsidRPr="001F257E" w:rsidRDefault="006E2BCA" w:rsidP="001303AF">
            <w:pPr>
              <w:pStyle w:val="Tabletext"/>
            </w:pPr>
            <w:r w:rsidRPr="00C10AD2">
              <w:t>$524,692</w:t>
            </w:r>
          </w:p>
        </w:tc>
        <w:tc>
          <w:tcPr>
            <w:tcW w:w="684" w:type="pct"/>
            <w:tcBorders>
              <w:left w:val="single" w:sz="4" w:space="0" w:color="auto"/>
              <w:right w:val="single" w:sz="4" w:space="0" w:color="auto"/>
            </w:tcBorders>
          </w:tcPr>
          <w:p w:rsidR="006E2BCA" w:rsidRPr="001F257E" w:rsidRDefault="006E2BCA" w:rsidP="001303AF">
            <w:pPr>
              <w:pStyle w:val="Tabletext"/>
            </w:pPr>
            <w:r w:rsidRPr="00C10AD2">
              <w:t>$711,519</w:t>
            </w:r>
          </w:p>
        </w:tc>
        <w:tc>
          <w:tcPr>
            <w:tcW w:w="692" w:type="pct"/>
            <w:tcBorders>
              <w:left w:val="single" w:sz="4" w:space="0" w:color="auto"/>
              <w:right w:val="single" w:sz="4" w:space="0" w:color="auto"/>
            </w:tcBorders>
          </w:tcPr>
          <w:p w:rsidR="006E2BCA" w:rsidRPr="001F257E" w:rsidRDefault="006E2BCA" w:rsidP="001303AF">
            <w:pPr>
              <w:pStyle w:val="Tabletext"/>
            </w:pPr>
            <w:r w:rsidRPr="00C10AD2">
              <w:t>$904,371</w:t>
            </w:r>
          </w:p>
        </w:tc>
        <w:tc>
          <w:tcPr>
            <w:tcW w:w="692" w:type="pct"/>
            <w:tcBorders>
              <w:left w:val="single" w:sz="4" w:space="0" w:color="auto"/>
              <w:right w:val="single" w:sz="4" w:space="0" w:color="auto"/>
            </w:tcBorders>
          </w:tcPr>
          <w:p w:rsidR="006E2BCA" w:rsidRPr="001F257E" w:rsidRDefault="006E2BCA" w:rsidP="001303AF">
            <w:pPr>
              <w:pStyle w:val="Tabletext"/>
            </w:pPr>
            <w:r w:rsidRPr="00C10AD2">
              <w:t>$919,374</w:t>
            </w:r>
          </w:p>
        </w:tc>
        <w:tc>
          <w:tcPr>
            <w:tcW w:w="691" w:type="pct"/>
            <w:tcBorders>
              <w:left w:val="single" w:sz="4" w:space="0" w:color="auto"/>
              <w:right w:val="single" w:sz="4" w:space="0" w:color="auto"/>
            </w:tcBorders>
          </w:tcPr>
          <w:p w:rsidR="006E2BCA" w:rsidRPr="001F257E" w:rsidRDefault="006E2BCA" w:rsidP="001303AF">
            <w:pPr>
              <w:pStyle w:val="Tabletext"/>
            </w:pPr>
            <w:r w:rsidRPr="00C10AD2">
              <w:t>$934,386</w:t>
            </w:r>
          </w:p>
        </w:tc>
      </w:tr>
      <w:tr w:rsidR="006E2BCA" w:rsidTr="001303AF">
        <w:tc>
          <w:tcPr>
            <w:tcW w:w="1556" w:type="pct"/>
            <w:tcBorders>
              <w:left w:val="single" w:sz="4" w:space="0" w:color="auto"/>
              <w:right w:val="single" w:sz="4" w:space="0" w:color="auto"/>
            </w:tcBorders>
          </w:tcPr>
          <w:p w:rsidR="006E2BCA" w:rsidRDefault="006E2BCA" w:rsidP="001303AF">
            <w:pPr>
              <w:pStyle w:val="Tabletext"/>
            </w:pPr>
            <w:r w:rsidRPr="007C69F0">
              <w:t xml:space="preserve">Net cost of </w:t>
            </w:r>
            <w:r w:rsidRPr="0075312C">
              <w:t>CO</w:t>
            </w:r>
            <w:r w:rsidRPr="0075312C">
              <w:rPr>
                <w:vertAlign w:val="subscript"/>
              </w:rPr>
              <w:t>2</w:t>
            </w:r>
            <w:r w:rsidRPr="0075312C">
              <w:t xml:space="preserve"> AFL</w:t>
            </w:r>
            <w:r w:rsidRPr="007C69F0">
              <w:t xml:space="preserve"> to the MBS</w:t>
            </w:r>
          </w:p>
        </w:tc>
        <w:tc>
          <w:tcPr>
            <w:tcW w:w="685" w:type="pct"/>
            <w:tcBorders>
              <w:left w:val="single" w:sz="4" w:space="0" w:color="auto"/>
              <w:right w:val="single" w:sz="4" w:space="0" w:color="auto"/>
            </w:tcBorders>
          </w:tcPr>
          <w:p w:rsidR="006E2BCA" w:rsidRPr="001F257E" w:rsidRDefault="006E2BCA" w:rsidP="001303AF">
            <w:pPr>
              <w:pStyle w:val="Tabletext"/>
            </w:pPr>
            <w:r w:rsidRPr="00C10AD2">
              <w:t>$679,680</w:t>
            </w:r>
          </w:p>
        </w:tc>
        <w:tc>
          <w:tcPr>
            <w:tcW w:w="684" w:type="pct"/>
            <w:tcBorders>
              <w:left w:val="single" w:sz="4" w:space="0" w:color="auto"/>
              <w:right w:val="single" w:sz="4" w:space="0" w:color="auto"/>
            </w:tcBorders>
          </w:tcPr>
          <w:p w:rsidR="006E2BCA" w:rsidRPr="001F257E" w:rsidRDefault="006E2BCA" w:rsidP="001303AF">
            <w:pPr>
              <w:pStyle w:val="Tabletext"/>
            </w:pPr>
            <w:r w:rsidRPr="00C10AD2">
              <w:t>$921,693</w:t>
            </w:r>
          </w:p>
        </w:tc>
        <w:tc>
          <w:tcPr>
            <w:tcW w:w="692" w:type="pct"/>
            <w:tcBorders>
              <w:left w:val="single" w:sz="4" w:space="0" w:color="auto"/>
              <w:right w:val="single" w:sz="4" w:space="0" w:color="auto"/>
            </w:tcBorders>
          </w:tcPr>
          <w:p w:rsidR="006E2BCA" w:rsidRPr="001F257E" w:rsidRDefault="006E2BCA" w:rsidP="001303AF">
            <w:pPr>
              <w:pStyle w:val="Tabletext"/>
            </w:pPr>
            <w:r w:rsidRPr="00C10AD2">
              <w:t>$1,171,512</w:t>
            </w:r>
          </w:p>
        </w:tc>
        <w:tc>
          <w:tcPr>
            <w:tcW w:w="692" w:type="pct"/>
            <w:tcBorders>
              <w:left w:val="single" w:sz="4" w:space="0" w:color="auto"/>
              <w:right w:val="single" w:sz="4" w:space="0" w:color="auto"/>
            </w:tcBorders>
          </w:tcPr>
          <w:p w:rsidR="006E2BCA" w:rsidRPr="001F257E" w:rsidRDefault="006E2BCA" w:rsidP="001303AF">
            <w:pPr>
              <w:pStyle w:val="Tabletext"/>
            </w:pPr>
            <w:r w:rsidRPr="00C10AD2">
              <w:t>$1,190,946</w:t>
            </w:r>
          </w:p>
        </w:tc>
        <w:tc>
          <w:tcPr>
            <w:tcW w:w="691" w:type="pct"/>
            <w:tcBorders>
              <w:left w:val="single" w:sz="4" w:space="0" w:color="auto"/>
              <w:right w:val="single" w:sz="4" w:space="0" w:color="auto"/>
            </w:tcBorders>
          </w:tcPr>
          <w:p w:rsidR="006E2BCA" w:rsidRPr="001F257E" w:rsidRDefault="006E2BCA" w:rsidP="001303AF">
            <w:pPr>
              <w:pStyle w:val="Tabletext"/>
            </w:pPr>
            <w:r w:rsidRPr="00C10AD2">
              <w:t>$1,210,393</w:t>
            </w:r>
          </w:p>
        </w:tc>
      </w:tr>
    </w:tbl>
    <w:p w:rsidR="006A0D97" w:rsidRPr="00F715D1" w:rsidRDefault="006A0D97" w:rsidP="00F715D1">
      <w:pPr>
        <w:pStyle w:val="Heading1"/>
      </w:pPr>
      <w:r w:rsidRPr="00F715D1">
        <w:t>Key issues from ESC for MSAC</w:t>
      </w:r>
    </w:p>
    <w:p w:rsidR="00926907" w:rsidRPr="00056CDA" w:rsidRDefault="00926907" w:rsidP="00926907">
      <w:pPr>
        <w:rPr>
          <w:szCs w:val="24"/>
        </w:rPr>
      </w:pPr>
      <w:r w:rsidRPr="00056CDA">
        <w:rPr>
          <w:szCs w:val="24"/>
        </w:rPr>
        <w:t xml:space="preserve">This is a new submission for MBS listing of CO2 ablative fractional laser therapy (AFL) to treat patients with hypertrophic and keloid burns scars that are associated with significant functional or psychological impairment. CO2 AFL therapy is a surgical procedure which removes true cores from scar tissue in order to remodel and resurface the scar. ESC noted that the procedure is currently being used in Australia and claimed under MBS items 45506, 45512, 45515 and 45518, which were not the intentions of these items. </w:t>
      </w:r>
    </w:p>
    <w:p w:rsidR="00926907" w:rsidRPr="00056CDA" w:rsidRDefault="00926907" w:rsidP="00926907">
      <w:pPr>
        <w:spacing w:before="240"/>
        <w:rPr>
          <w:szCs w:val="24"/>
        </w:rPr>
      </w:pPr>
      <w:r w:rsidRPr="00056CDA">
        <w:rPr>
          <w:szCs w:val="24"/>
        </w:rPr>
        <w:lastRenderedPageBreak/>
        <w:t xml:space="preserve">ESC considered that there is a clinical need for new developments in the treatment of burns scars. ESC noted that while the PASC-ratified PICO Confirmation comparator was surgical reconstruction and CO2 AFL therapy, this was changed to surgical reconstruction alone due to a lack of evidence. ESC considered that this was appropriate. ESC noted that compared to reconstructive surgery, CO2 AFL therapy is considered to be a day only procedure. </w:t>
      </w:r>
    </w:p>
    <w:p w:rsidR="00926907" w:rsidRPr="00056CDA" w:rsidRDefault="00926907" w:rsidP="00926907">
      <w:pPr>
        <w:spacing w:before="240"/>
        <w:rPr>
          <w:szCs w:val="24"/>
        </w:rPr>
      </w:pPr>
      <w:r w:rsidRPr="00056CDA">
        <w:rPr>
          <w:szCs w:val="24"/>
        </w:rPr>
        <w:t xml:space="preserve">ESC noted that despite the change in comparator, there were no studies that directly compared CO2 AFL therapy to reconstructive surgery. </w:t>
      </w:r>
    </w:p>
    <w:p w:rsidR="00926907" w:rsidRPr="00056CDA" w:rsidRDefault="00926907" w:rsidP="00926907">
      <w:pPr>
        <w:spacing w:before="240"/>
        <w:rPr>
          <w:szCs w:val="24"/>
        </w:rPr>
      </w:pPr>
      <w:r w:rsidRPr="00056CDA">
        <w:rPr>
          <w:szCs w:val="24"/>
        </w:rPr>
        <w:t>While a randomised trial of CO2 AFL therapy against no treatment and two randomised clinical trials (RCTs) of reconstructive surgery (one comparing flap surgery with full thickness skin graft and the other scar excision and skin-stretching with scar excision alone), the lack of a common comparator arm meant that an indirect comparison could not be carried out. Another five single arm studies and a prospective cohort study for CO2 AFL therapy were identified. These studies were considered to be low level evidence, had small sample sizes and were susceptible to bias.</w:t>
      </w:r>
    </w:p>
    <w:p w:rsidR="00926907" w:rsidRPr="00056CDA" w:rsidRDefault="00926907" w:rsidP="00926907">
      <w:pPr>
        <w:spacing w:before="240"/>
        <w:rPr>
          <w:szCs w:val="24"/>
        </w:rPr>
      </w:pPr>
      <w:r w:rsidRPr="00056CDA">
        <w:rPr>
          <w:szCs w:val="24"/>
        </w:rPr>
        <w:t>ESC noted that the identified studies used a variety of scores and scales to measure patient outcomes which lead to heterogeneity in the data, making it difficult to draw any firm conclusions. These outcomes included burns specific health scale-brief (BSHS-B), patient and observer scar assessment scale (POSAS), range of motion (ROM) and Vancouver scar scale (VSS).</w:t>
      </w:r>
    </w:p>
    <w:p w:rsidR="00926907" w:rsidRPr="00056CDA" w:rsidRDefault="00926907" w:rsidP="00926907">
      <w:pPr>
        <w:spacing w:before="240"/>
        <w:rPr>
          <w:szCs w:val="24"/>
        </w:rPr>
      </w:pPr>
      <w:r w:rsidRPr="00056CDA">
        <w:rPr>
          <w:szCs w:val="24"/>
        </w:rPr>
        <w:t xml:space="preserve">ESC considered that there was insufficient information to draw conclusions on the comparative safety between CO2 AFL therapy and reconstructive surgery. ESC noted that safety data on CO2 AFL therapy and reconstructive surgery was poorly reported and that comparative safety data was lacking. ESC noted that pruritus and redness were the most commonly reported adverse events for CO2 AFL, but these could also be indications of wound healing and recovery. </w:t>
      </w:r>
    </w:p>
    <w:p w:rsidR="00926907" w:rsidRPr="00056CDA" w:rsidRDefault="00926907" w:rsidP="00926907">
      <w:pPr>
        <w:spacing w:before="240"/>
        <w:rPr>
          <w:szCs w:val="24"/>
        </w:rPr>
      </w:pPr>
      <w:r w:rsidRPr="00056CDA">
        <w:rPr>
          <w:szCs w:val="24"/>
        </w:rPr>
        <w:t>ESC considered that while it was possible that CO2 AFL therapy may improve symptoms, appearance and function of hypertrophic scars when compared with no treatment, this was undermined by the low quality of its evidence base. ESC noted that one RCT which compared CO2 AFL therapy with no therapy in patients with hypertrophic scars showed a trend that favoured no therapy in the POSAS score (</w:t>
      </w:r>
      <w:proofErr w:type="spellStart"/>
      <w:r w:rsidRPr="00056CDA">
        <w:rPr>
          <w:szCs w:val="24"/>
        </w:rPr>
        <w:t>Blome-Eberwein</w:t>
      </w:r>
      <w:proofErr w:type="spellEnd"/>
      <w:r w:rsidRPr="00056CDA">
        <w:rPr>
          <w:szCs w:val="24"/>
        </w:rPr>
        <w:t xml:space="preserve"> S et al 2016). ESC noted that there was limited available information for CO2 AFL therapy in the management of keloids. </w:t>
      </w:r>
    </w:p>
    <w:p w:rsidR="00926907" w:rsidRPr="00056CDA" w:rsidRDefault="00926907" w:rsidP="00926907">
      <w:pPr>
        <w:spacing w:before="240"/>
        <w:rPr>
          <w:szCs w:val="24"/>
        </w:rPr>
      </w:pPr>
      <w:r w:rsidRPr="00056CDA">
        <w:rPr>
          <w:szCs w:val="24"/>
        </w:rPr>
        <w:t xml:space="preserve">ESC noted that reconstructive surgery seemed to improve outcomes according to POSAS and VSS, but this was undermined by a weak evidence base. ESC also noted that the studies of reconstructive surgery were mainly conducted on burns scar contractures rather than hypertrophic scars or keloids. </w:t>
      </w:r>
    </w:p>
    <w:p w:rsidR="00926907" w:rsidRPr="00056CDA" w:rsidRDefault="00926907" w:rsidP="00926907">
      <w:pPr>
        <w:spacing w:before="240"/>
        <w:rPr>
          <w:szCs w:val="24"/>
        </w:rPr>
      </w:pPr>
      <w:r w:rsidRPr="00056CDA">
        <w:rPr>
          <w:szCs w:val="24"/>
        </w:rPr>
        <w:t>ESC noted that due to the lack of data on adverse events, clinical efficacy and health outcomes, the economic evaluation was restricted to a comparison of costs between CO2 AFL therapy and reconstructive surgeries. ESC noted that there were uncertainties in the composition of costs including:</w:t>
      </w:r>
    </w:p>
    <w:p w:rsidR="00926907" w:rsidRPr="00056CDA" w:rsidRDefault="00926907" w:rsidP="00926907">
      <w:pPr>
        <w:pStyle w:val="ListParagraph"/>
        <w:numPr>
          <w:ilvl w:val="0"/>
          <w:numId w:val="26"/>
        </w:numPr>
        <w:spacing w:after="160"/>
        <w:rPr>
          <w:szCs w:val="24"/>
        </w:rPr>
      </w:pPr>
      <w:proofErr w:type="gramStart"/>
      <w:r w:rsidRPr="00056CDA">
        <w:rPr>
          <w:szCs w:val="24"/>
        </w:rPr>
        <w:t>whether</w:t>
      </w:r>
      <w:proofErr w:type="gramEnd"/>
      <w:r w:rsidRPr="00056CDA">
        <w:rPr>
          <w:szCs w:val="24"/>
        </w:rPr>
        <w:t xml:space="preserve"> the cost of CO2 AFL therapy was overestimated due to the inclusion of a hospital stay of 4.2 nights for some patients, despite CO2 AFL therapy largely being a day-only procedure. ESC noted the applicant’s comment that the admitted patients seen in the Concord Repatriation General Hospital (CRGH) burn unit elective surgeries 2013</w:t>
      </w:r>
      <w:r w:rsidRPr="00056CDA">
        <w:rPr>
          <w:szCs w:val="24"/>
        </w:rPr>
        <w:softHyphen/>
      </w:r>
      <w:r w:rsidRPr="00056CDA">
        <w:rPr>
          <w:b/>
          <w:bCs/>
          <w:color w:val="454545"/>
          <w:szCs w:val="24"/>
          <w:shd w:val="clear" w:color="auto" w:fill="FFFFFF"/>
        </w:rPr>
        <w:t>–</w:t>
      </w:r>
      <w:r w:rsidRPr="00056CDA">
        <w:rPr>
          <w:szCs w:val="24"/>
        </w:rPr>
        <w:t>17 data were outliers in the study sample but significantly contributed to the cost of CO2 AFL therapy;</w:t>
      </w:r>
    </w:p>
    <w:p w:rsidR="00926907" w:rsidRPr="00056CDA" w:rsidRDefault="00926907" w:rsidP="00926907">
      <w:pPr>
        <w:pStyle w:val="ListParagraph"/>
        <w:numPr>
          <w:ilvl w:val="0"/>
          <w:numId w:val="26"/>
        </w:numPr>
        <w:spacing w:after="160"/>
        <w:rPr>
          <w:szCs w:val="24"/>
        </w:rPr>
      </w:pPr>
      <w:r w:rsidRPr="00056CDA">
        <w:rPr>
          <w:szCs w:val="24"/>
        </w:rPr>
        <w:lastRenderedPageBreak/>
        <w:t>that the cost of CO2 AFL therapy was calculated using an assumed average of three session of therapy procedures while the proposed item descriptors covered up to six sessions;</w:t>
      </w:r>
    </w:p>
    <w:p w:rsidR="00926907" w:rsidRPr="00056CDA" w:rsidRDefault="00926907" w:rsidP="00926907">
      <w:pPr>
        <w:pStyle w:val="ListParagraph"/>
        <w:numPr>
          <w:ilvl w:val="0"/>
          <w:numId w:val="26"/>
        </w:numPr>
        <w:spacing w:after="160"/>
        <w:rPr>
          <w:szCs w:val="24"/>
        </w:rPr>
      </w:pPr>
      <w:r w:rsidRPr="00056CDA">
        <w:rPr>
          <w:szCs w:val="24"/>
        </w:rPr>
        <w:t>the use of simple average cost for CO2 AFL but weighted average costs for reconstructive surgery;</w:t>
      </w:r>
    </w:p>
    <w:p w:rsidR="00926907" w:rsidRPr="00056CDA" w:rsidRDefault="00926907" w:rsidP="00926907">
      <w:pPr>
        <w:pStyle w:val="ListParagraph"/>
        <w:numPr>
          <w:ilvl w:val="0"/>
          <w:numId w:val="26"/>
        </w:numPr>
        <w:spacing w:after="160"/>
        <w:rPr>
          <w:szCs w:val="24"/>
        </w:rPr>
      </w:pPr>
      <w:r w:rsidRPr="00056CDA">
        <w:rPr>
          <w:szCs w:val="24"/>
        </w:rPr>
        <w:t>the use of costs for the various procedures from a single centre (CRGH) being applied to the entire of the Australian healthcare setting; and</w:t>
      </w:r>
    </w:p>
    <w:p w:rsidR="00926907" w:rsidRPr="00056CDA" w:rsidRDefault="00926907" w:rsidP="00926907">
      <w:pPr>
        <w:pStyle w:val="ListParagraph"/>
        <w:numPr>
          <w:ilvl w:val="0"/>
          <w:numId w:val="26"/>
        </w:numPr>
        <w:spacing w:after="160"/>
        <w:rPr>
          <w:szCs w:val="24"/>
        </w:rPr>
      </w:pPr>
      <w:proofErr w:type="gramStart"/>
      <w:r w:rsidRPr="00056CDA">
        <w:rPr>
          <w:szCs w:val="24"/>
        </w:rPr>
        <w:t>a</w:t>
      </w:r>
      <w:proofErr w:type="gramEnd"/>
      <w:r w:rsidRPr="00056CDA">
        <w:rPr>
          <w:szCs w:val="24"/>
        </w:rPr>
        <w:t xml:space="preserve"> lack of costing benchmark for existing interventions.</w:t>
      </w:r>
    </w:p>
    <w:p w:rsidR="00926907" w:rsidRPr="00056CDA" w:rsidRDefault="00926907" w:rsidP="00926907">
      <w:pPr>
        <w:rPr>
          <w:szCs w:val="24"/>
        </w:rPr>
      </w:pPr>
      <w:r w:rsidRPr="00056CDA">
        <w:rPr>
          <w:szCs w:val="24"/>
        </w:rPr>
        <w:t>ESC noted that no information on the patient population of 0-4 years was provided despite this age group having the highest rate of hospitalisation due to burns (AIHW 2016).</w:t>
      </w:r>
    </w:p>
    <w:p w:rsidR="00926907" w:rsidRPr="00056CDA" w:rsidRDefault="00926907" w:rsidP="00926907">
      <w:pPr>
        <w:spacing w:before="240"/>
        <w:rPr>
          <w:szCs w:val="24"/>
        </w:rPr>
      </w:pPr>
      <w:r w:rsidRPr="00056CDA">
        <w:rPr>
          <w:szCs w:val="24"/>
        </w:rPr>
        <w:t>ESC noted that despite CO2 AFL being intended to substitute or reduce reconstructive surgery, 13% of CO2 AFL procedures were co-administered with reconstructive surgery. ESC queried why the cost comparison did not include information on the costs of CO2 AFL in combination with other treatments.</w:t>
      </w:r>
      <w:r w:rsidRPr="002773D8">
        <w:rPr>
          <w:szCs w:val="24"/>
        </w:rPr>
        <w:t xml:space="preserve"> </w:t>
      </w:r>
      <w:r w:rsidRPr="00056CDA">
        <w:rPr>
          <w:szCs w:val="24"/>
        </w:rPr>
        <w:t xml:space="preserve">ESC suggested that a sensitivity analysis of average number of procedures and costs associated with average hospital length of stay for CO2 AFL therapy could be conducted in order to provide better clarity on cost comparisons. </w:t>
      </w:r>
    </w:p>
    <w:p w:rsidR="00926907" w:rsidRPr="00056CDA" w:rsidRDefault="00926907" w:rsidP="00926907">
      <w:pPr>
        <w:spacing w:before="240"/>
        <w:rPr>
          <w:szCs w:val="24"/>
        </w:rPr>
      </w:pPr>
      <w:r w:rsidRPr="00056CDA">
        <w:rPr>
          <w:szCs w:val="24"/>
        </w:rPr>
        <w:t xml:space="preserve">ESC noted that with the exception of head and neck areas, the proposed MBS items use body surface area as a measurement of the scar instead of scar length. ESC considered this to be an appropriate method of measuring burns scar tissue. </w:t>
      </w:r>
    </w:p>
    <w:p w:rsidR="00926907" w:rsidRPr="00056CDA" w:rsidRDefault="00926907" w:rsidP="00926907">
      <w:pPr>
        <w:spacing w:before="240"/>
        <w:rPr>
          <w:szCs w:val="24"/>
        </w:rPr>
      </w:pPr>
      <w:r w:rsidRPr="00056CDA">
        <w:rPr>
          <w:szCs w:val="24"/>
        </w:rPr>
        <w:t>ESC noted that most of the proposed fees reflected MBS items (45506 and 45512) for revisions of scars or MBS items 14106–14118 (laser photocoagulation of port wine stains with an additional 30% for training and capital costs added to the MBS fee) and ranged from $198 to $423. However, the proposed fee for treatment of the whole face and neck was $700 and ESC queried the reasoning behind this price. ESC also considered that including costs for training and capital in the fees for CO2 AFL was not appropriate.</w:t>
      </w:r>
    </w:p>
    <w:p w:rsidR="00926907" w:rsidRPr="00056CDA" w:rsidRDefault="00926907" w:rsidP="00926907">
      <w:pPr>
        <w:spacing w:before="240"/>
        <w:rPr>
          <w:szCs w:val="24"/>
        </w:rPr>
      </w:pPr>
      <w:r w:rsidRPr="00056CDA">
        <w:rPr>
          <w:szCs w:val="24"/>
        </w:rPr>
        <w:t>ESC noted that the proposed item descriptor indicated that to be eligible for treatment patients would have to have scarring that was associated with significant psychological impairment but noted that further information on this was lacking.</w:t>
      </w:r>
    </w:p>
    <w:p w:rsidR="00926907" w:rsidRPr="00056CDA" w:rsidRDefault="00926907" w:rsidP="00926907">
      <w:pPr>
        <w:spacing w:before="240"/>
        <w:rPr>
          <w:szCs w:val="24"/>
        </w:rPr>
      </w:pPr>
      <w:r w:rsidRPr="00056CDA">
        <w:rPr>
          <w:szCs w:val="24"/>
        </w:rPr>
        <w:t>ESC considered that if the service was limited to people with severe burns, and considering this is a highly specialised procedure performed in specialised burns units and requiring highly specialised staff, leakage of services are unlikely.</w:t>
      </w:r>
    </w:p>
    <w:p w:rsidR="00926907" w:rsidRPr="00056CDA" w:rsidRDefault="00926907" w:rsidP="00926907">
      <w:pPr>
        <w:spacing w:before="240" w:after="240"/>
        <w:rPr>
          <w:szCs w:val="24"/>
        </w:rPr>
      </w:pPr>
      <w:r w:rsidRPr="00056CDA">
        <w:rPr>
          <w:szCs w:val="24"/>
        </w:rPr>
        <w:t xml:space="preserve">Scars are considered immature scars until two years after injury. ESC advised that there should be no restriction that limits population eligibility by scar maturation. </w:t>
      </w:r>
    </w:p>
    <w:p w:rsidR="00926907" w:rsidRPr="00056CDA" w:rsidRDefault="00926907" w:rsidP="00926907">
      <w:pPr>
        <w:rPr>
          <w:szCs w:val="24"/>
        </w:rPr>
      </w:pPr>
      <w:r w:rsidRPr="00056CDA">
        <w:rPr>
          <w:szCs w:val="24"/>
        </w:rPr>
        <w:t xml:space="preserve">ESC queried whether MBS listing of this service will result in cost shifting. ESC noted that CO2 AFL is already being performed in public hospitals as an outpatient procedure. ESC queried whether this procedure would ever be undertaken in the private setting. </w:t>
      </w:r>
    </w:p>
    <w:p w:rsidR="00926907" w:rsidRPr="00056CDA" w:rsidRDefault="00926907" w:rsidP="00926907">
      <w:pPr>
        <w:spacing w:before="240" w:after="240"/>
        <w:rPr>
          <w:szCs w:val="24"/>
        </w:rPr>
      </w:pPr>
      <w:r w:rsidRPr="00056CDA">
        <w:rPr>
          <w:szCs w:val="24"/>
        </w:rPr>
        <w:t>ESC suggested that an Extended Medicare Safety Net (EMSN) cap should be considered for this service.</w:t>
      </w:r>
    </w:p>
    <w:p w:rsidR="00926907" w:rsidRPr="00700664" w:rsidRDefault="00926907" w:rsidP="00700664">
      <w:pPr>
        <w:spacing w:after="240"/>
        <w:rPr>
          <w:szCs w:val="24"/>
        </w:rPr>
      </w:pPr>
      <w:r w:rsidRPr="00056CDA">
        <w:rPr>
          <w:szCs w:val="24"/>
        </w:rPr>
        <w:t>ESC noted that due to the lack of evidence for both CO2 AFL procedures and reconstructive surgery, a head</w:t>
      </w:r>
      <w:r w:rsidR="00126E96">
        <w:rPr>
          <w:szCs w:val="24"/>
        </w:rPr>
        <w:t>-</w:t>
      </w:r>
      <w:r w:rsidRPr="00056CDA">
        <w:rPr>
          <w:szCs w:val="24"/>
        </w:rPr>
        <w:t>to</w:t>
      </w:r>
      <w:r w:rsidR="00126E96">
        <w:rPr>
          <w:szCs w:val="24"/>
        </w:rPr>
        <w:t>-</w:t>
      </w:r>
      <w:r w:rsidRPr="00056CDA">
        <w:rPr>
          <w:szCs w:val="24"/>
        </w:rPr>
        <w:t>head clinical trial between these two interventions could be considered. ESC noted that there is potential for such a trial to be recommended to the Medical Research Future Fund.</w:t>
      </w:r>
    </w:p>
    <w:tbl>
      <w:tblPr>
        <w:tblW w:w="8740" w:type="dxa"/>
        <w:tblCellMar>
          <w:left w:w="0" w:type="dxa"/>
          <w:right w:w="0" w:type="dxa"/>
        </w:tblCellMar>
        <w:tblLook w:val="04A0" w:firstRow="1" w:lastRow="0" w:firstColumn="1" w:lastColumn="0" w:noHBand="0" w:noVBand="1"/>
      </w:tblPr>
      <w:tblGrid>
        <w:gridCol w:w="3060"/>
        <w:gridCol w:w="5680"/>
      </w:tblGrid>
      <w:tr w:rsidR="00926907" w:rsidRPr="007379F4" w:rsidTr="001303AF">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rsidR="00926907" w:rsidRPr="007379F4" w:rsidRDefault="00926907" w:rsidP="001303AF">
            <w:pPr>
              <w:rPr>
                <w:color w:val="FFFFFF" w:themeColor="background1"/>
              </w:rPr>
            </w:pPr>
            <w:r w:rsidRPr="007379F4">
              <w:rPr>
                <w:b/>
                <w:bCs/>
                <w:color w:val="FFFFFF" w:themeColor="background1"/>
              </w:rPr>
              <w:lastRenderedPageBreak/>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rsidR="00926907" w:rsidRPr="007379F4" w:rsidRDefault="00926907" w:rsidP="001303AF">
            <w:pPr>
              <w:rPr>
                <w:color w:val="FFFFFF" w:themeColor="background1"/>
              </w:rPr>
            </w:pPr>
            <w:r w:rsidRPr="007379F4">
              <w:rPr>
                <w:b/>
                <w:bCs/>
                <w:color w:val="FFFFFF" w:themeColor="background1"/>
              </w:rPr>
              <w:t>ESC ADVICE</w:t>
            </w:r>
          </w:p>
        </w:tc>
      </w:tr>
      <w:tr w:rsidR="00926907" w:rsidRPr="001E73CC" w:rsidTr="001303AF">
        <w:trPr>
          <w:trHeight w:val="937"/>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926907" w:rsidRPr="001E73CC" w:rsidRDefault="00926907" w:rsidP="001303AF">
            <w:r>
              <w:t xml:space="preserve">Evidence base </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926907" w:rsidRPr="00064C11" w:rsidRDefault="00926907" w:rsidP="001303AF">
            <w:pPr>
              <w:rPr>
                <w:lang w:val="en-US"/>
              </w:rPr>
            </w:pPr>
            <w:r>
              <w:t>The evidence base</w:t>
            </w:r>
            <w:r w:rsidRPr="00064C11">
              <w:t xml:space="preserve"> </w:t>
            </w:r>
            <w:r>
              <w:t>is exceedingly low with no direct comparisons, which limits the ability to make an objective comparison of clinical utility of the intervention or the comparator.</w:t>
            </w:r>
          </w:p>
        </w:tc>
      </w:tr>
      <w:tr w:rsidR="00926907" w:rsidRPr="001E73CC" w:rsidTr="001303AF">
        <w:trPr>
          <w:trHeight w:val="962"/>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926907" w:rsidRPr="001E73CC" w:rsidRDefault="00926907" w:rsidP="001303AF">
            <w:r>
              <w:t>Uncertain safety and effectiveness</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rsidR="00926907" w:rsidRPr="00064C11" w:rsidRDefault="00926907" w:rsidP="001303AF">
            <w:pPr>
              <w:rPr>
                <w:lang w:val="en-US"/>
              </w:rPr>
            </w:pPr>
            <w:r>
              <w:rPr>
                <w:lang w:val="en-US"/>
              </w:rPr>
              <w:t>On the basis of the benefits and harms reported in the evidence base relative to reconstructive surgery.</w:t>
            </w:r>
          </w:p>
        </w:tc>
      </w:tr>
      <w:tr w:rsidR="00926907" w:rsidRPr="001E73CC" w:rsidTr="001303AF">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rsidR="00926907" w:rsidRPr="001E73CC" w:rsidRDefault="00926907" w:rsidP="001303AF">
            <w:r>
              <w:t>Costs include reconstructive surgery?</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rsidR="00926907" w:rsidRDefault="00926907" w:rsidP="001303AF">
            <w:r>
              <w:t>Confirm if administered with reconstructive surgery also (13%) – not included in cost analysis – would change costs (critique p13) [translation issue]</w:t>
            </w:r>
          </w:p>
          <w:p w:rsidR="00926907" w:rsidRDefault="00926907" w:rsidP="001303AF">
            <w:r>
              <w:t>Comparator is calculated from average weighted costs and treatment from simple average costs – confirm if this makes any difference. Also cost of treatment is average of all costs, but one outlier $700 (not justified)</w:t>
            </w:r>
          </w:p>
          <w:p w:rsidR="00926907" w:rsidRPr="001E73CC" w:rsidRDefault="00926907" w:rsidP="001303AF">
            <w:r>
              <w:t>Inconsistencies in cost derivation (critique – Table 70)</w:t>
            </w:r>
          </w:p>
        </w:tc>
      </w:tr>
      <w:tr w:rsidR="00926907" w:rsidRPr="001E73CC" w:rsidTr="001303AF">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rsidR="00926907" w:rsidRPr="00064C11" w:rsidRDefault="00926907" w:rsidP="001303AF">
            <w:pPr>
              <w:rPr>
                <w:b/>
                <w:bCs/>
                <w:lang w:val="en-US"/>
              </w:rPr>
            </w:pPr>
            <w:r>
              <w:rPr>
                <w:b/>
                <w:bCs/>
                <w:lang w:val="en-US"/>
              </w:rPr>
              <w:t>No adverse events included into the economic evaluation</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rsidR="00926907" w:rsidRPr="00700664" w:rsidRDefault="00926907" w:rsidP="001303AF">
            <w:r>
              <w:t>This could impact costs but data were not available</w:t>
            </w:r>
          </w:p>
        </w:tc>
      </w:tr>
      <w:tr w:rsidR="00926907" w:rsidRPr="001E73CC" w:rsidTr="001303AF">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rsidR="00926907" w:rsidRPr="00064C11" w:rsidRDefault="00926907" w:rsidP="001303AF">
            <w:pPr>
              <w:rPr>
                <w:b/>
                <w:bCs/>
                <w:lang w:val="en-US"/>
              </w:rPr>
            </w:pPr>
            <w:r>
              <w:rPr>
                <w:b/>
                <w:bCs/>
                <w:lang w:val="en-US"/>
              </w:rPr>
              <w:t>Consider impact on admitted patients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rsidR="00926907" w:rsidRPr="004E57E5" w:rsidRDefault="00926907" w:rsidP="001303AF">
            <w:pPr>
              <w:rPr>
                <w:bCs/>
                <w:lang w:val="en-US"/>
              </w:rPr>
            </w:pPr>
            <w:r>
              <w:rPr>
                <w:bCs/>
                <w:lang w:val="en-US"/>
              </w:rPr>
              <w:t>Very low percent admitted, but they do drive the costs and applicant suggests removing these from the analysis to get average costs; (cost per admittance avoided?)</w:t>
            </w:r>
          </w:p>
        </w:tc>
      </w:tr>
      <w:tr w:rsidR="00926907" w:rsidRPr="001E73CC" w:rsidTr="001303AF">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rsidR="00926907" w:rsidRPr="00064C11" w:rsidRDefault="00926907" w:rsidP="001303AF">
            <w:pPr>
              <w:rPr>
                <w:b/>
                <w:bCs/>
                <w:lang w:val="en-US"/>
              </w:rPr>
            </w:pPr>
            <w:r>
              <w:rPr>
                <w:b/>
                <w:bCs/>
                <w:lang w:val="en-US"/>
              </w:rPr>
              <w:t>No discount rate</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rsidR="00926907" w:rsidRPr="004E57E5" w:rsidRDefault="00926907" w:rsidP="001303AF">
            <w:pPr>
              <w:rPr>
                <w:bCs/>
                <w:lang w:val="en-US"/>
              </w:rPr>
            </w:pPr>
            <w:r>
              <w:rPr>
                <w:bCs/>
                <w:lang w:val="en-US"/>
              </w:rPr>
              <w:t>Evaluation assumes all procedures in one year – unclear if this is appropriate? It is not stated but assumed by critique. Also no time horizon given. Nor outcomes. It is unclear therefore what the cost sequences model would be – critique does not state explicitly, perhaps number of admittances overnight avoided?</w:t>
            </w:r>
          </w:p>
        </w:tc>
      </w:tr>
      <w:tr w:rsidR="00926907" w:rsidRPr="001E73CC" w:rsidTr="001303AF">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tcPr>
          <w:p w:rsidR="00926907" w:rsidRPr="00064C11" w:rsidRDefault="00926907" w:rsidP="001303AF">
            <w:pPr>
              <w:rPr>
                <w:b/>
                <w:bCs/>
                <w:lang w:val="en-US"/>
              </w:rPr>
            </w:pPr>
            <w:r>
              <w:rPr>
                <w:b/>
                <w:bCs/>
                <w:lang w:val="en-US"/>
              </w:rPr>
              <w:t>Other MBS items</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tcPr>
          <w:p w:rsidR="00926907" w:rsidRDefault="00926907" w:rsidP="001303AF">
            <w:pPr>
              <w:rPr>
                <w:bCs/>
                <w:lang w:val="en-US"/>
              </w:rPr>
            </w:pPr>
            <w:r>
              <w:rPr>
                <w:bCs/>
                <w:lang w:val="en-US"/>
              </w:rPr>
              <w:t>If items 45506, 45512, 45515 and 45518 are restricted (recommended), then these should be included in MBS items savings.</w:t>
            </w:r>
          </w:p>
          <w:p w:rsidR="00926907" w:rsidRPr="004E57E5" w:rsidRDefault="00926907" w:rsidP="001303AF">
            <w:pPr>
              <w:rPr>
                <w:bCs/>
                <w:lang w:val="en-US"/>
              </w:rPr>
            </w:pPr>
            <w:r>
              <w:rPr>
                <w:bCs/>
                <w:lang w:val="en-US"/>
              </w:rPr>
              <w:t>Leakage possible with 44445, 45572, 45207 (45506, 45512 are not in PICO but are in CA – this should be clarified?)</w:t>
            </w:r>
          </w:p>
        </w:tc>
      </w:tr>
    </w:tbl>
    <w:p w:rsidR="00D90A38" w:rsidRPr="00F715D1" w:rsidRDefault="00BC1364" w:rsidP="00F715D1">
      <w:pPr>
        <w:pStyle w:val="Heading1"/>
      </w:pPr>
      <w:r w:rsidRPr="00F715D1">
        <w:t>Other significant factors</w:t>
      </w:r>
    </w:p>
    <w:p w:rsidR="00BC1364" w:rsidRPr="005C6F08" w:rsidRDefault="00BC1364" w:rsidP="00F715D1">
      <w:pPr>
        <w:spacing w:after="240"/>
        <w:rPr>
          <w:szCs w:val="24"/>
        </w:rPr>
      </w:pPr>
      <w:r w:rsidRPr="005C6F08">
        <w:rPr>
          <w:szCs w:val="24"/>
        </w:rPr>
        <w:t>Nil</w:t>
      </w:r>
    </w:p>
    <w:p w:rsidR="00BC1364" w:rsidRPr="00F715D1" w:rsidRDefault="00BC1364" w:rsidP="00F715D1">
      <w:pPr>
        <w:pStyle w:val="Heading1"/>
      </w:pPr>
      <w:r w:rsidRPr="00F715D1">
        <w:t xml:space="preserve">Applicant’s comments on MSAC’s </w:t>
      </w:r>
      <w:r w:rsidR="00DA56AA" w:rsidRPr="00F715D1">
        <w:t>Public Summary Document</w:t>
      </w:r>
    </w:p>
    <w:p w:rsidR="00C85137" w:rsidRPr="00C85137" w:rsidRDefault="00C85137" w:rsidP="00C85137">
      <w:pPr>
        <w:tabs>
          <w:tab w:val="left" w:pos="1532"/>
        </w:tabs>
        <w:rPr>
          <w:rFonts w:ascii="Times" w:hAnsi="Times"/>
          <w:color w:val="000000" w:themeColor="text1"/>
          <w:lang w:val="en-US"/>
        </w:rPr>
      </w:pPr>
      <w:r w:rsidRPr="006D2F56">
        <w:rPr>
          <w:rFonts w:ascii="Times" w:hAnsi="Times" w:cs="Arial"/>
          <w:bCs/>
          <w:iCs/>
          <w:color w:val="000000" w:themeColor="text1"/>
          <w:lang w:eastAsia="en-GB"/>
        </w:rPr>
        <w:t xml:space="preserve">Firstly, </w:t>
      </w:r>
      <w:r>
        <w:rPr>
          <w:rFonts w:ascii="Times" w:hAnsi="Times" w:cs="Arial"/>
          <w:bCs/>
          <w:iCs/>
          <w:color w:val="000000" w:themeColor="text1"/>
          <w:lang w:eastAsia="en-GB"/>
        </w:rPr>
        <w:t>w</w:t>
      </w:r>
      <w:r w:rsidRPr="00C30E1D">
        <w:rPr>
          <w:rFonts w:ascii="Times" w:hAnsi="Times" w:cs="Arial"/>
          <w:bCs/>
          <w:iCs/>
          <w:color w:val="000000" w:themeColor="text1"/>
          <w:lang w:eastAsia="en-GB"/>
        </w:rPr>
        <w:t xml:space="preserve">e would like to use this opportunity to emphasize again that the nature, clinical efficacy, and minimal invasiveness of </w:t>
      </w:r>
      <w:r>
        <w:rPr>
          <w:rFonts w:ascii="Times" w:hAnsi="Times" w:cs="Arial"/>
          <w:bCs/>
          <w:iCs/>
          <w:color w:val="000000" w:themeColor="text1"/>
          <w:lang w:eastAsia="en-GB"/>
        </w:rPr>
        <w:t>CO2</w:t>
      </w:r>
      <w:r w:rsidRPr="00C30E1D">
        <w:rPr>
          <w:rFonts w:ascii="Times" w:hAnsi="Times" w:cs="Arial"/>
          <w:bCs/>
          <w:iCs/>
          <w:color w:val="000000" w:themeColor="text1"/>
          <w:lang w:eastAsia="en-GB"/>
        </w:rPr>
        <w:t xml:space="preserve"> </w:t>
      </w:r>
      <w:r>
        <w:rPr>
          <w:rFonts w:ascii="Times" w:hAnsi="Times" w:cs="Arial"/>
          <w:bCs/>
          <w:iCs/>
          <w:color w:val="000000" w:themeColor="text1"/>
          <w:lang w:eastAsia="en-GB"/>
        </w:rPr>
        <w:t xml:space="preserve">AFL </w:t>
      </w:r>
      <w:r w:rsidRPr="00C30E1D">
        <w:rPr>
          <w:rFonts w:ascii="Times" w:hAnsi="Times" w:cs="Arial"/>
          <w:bCs/>
          <w:iCs/>
          <w:color w:val="000000" w:themeColor="text1"/>
          <w:lang w:eastAsia="en-GB"/>
        </w:rPr>
        <w:t xml:space="preserve">make this treatment approach very attractive for patients and surgeons alike. </w:t>
      </w:r>
      <w:r>
        <w:rPr>
          <w:rFonts w:ascii="Times" w:hAnsi="Times" w:cs="Arial"/>
          <w:bCs/>
          <w:iCs/>
          <w:color w:val="000000" w:themeColor="text1"/>
          <w:lang w:eastAsia="en-GB"/>
        </w:rPr>
        <w:t>T</w:t>
      </w:r>
      <w:r w:rsidRPr="00C30E1D">
        <w:rPr>
          <w:rFonts w:ascii="Times" w:hAnsi="Times" w:cs="Arial"/>
          <w:bCs/>
          <w:iCs/>
          <w:color w:val="000000" w:themeColor="text1"/>
          <w:lang w:eastAsia="en-GB"/>
        </w:rPr>
        <w:t xml:space="preserve">he morbidity associated with </w:t>
      </w:r>
      <w:r>
        <w:rPr>
          <w:rFonts w:ascii="Times" w:hAnsi="Times" w:cs="Arial"/>
          <w:bCs/>
          <w:iCs/>
          <w:color w:val="000000" w:themeColor="text1"/>
          <w:lang w:eastAsia="en-GB"/>
        </w:rPr>
        <w:t>CO2 AFL</w:t>
      </w:r>
      <w:r w:rsidRPr="00C30E1D">
        <w:rPr>
          <w:rFonts w:ascii="Times" w:hAnsi="Times" w:cs="Arial"/>
          <w:bCs/>
          <w:iCs/>
          <w:color w:val="000000" w:themeColor="text1"/>
          <w:lang w:eastAsia="en-GB"/>
        </w:rPr>
        <w:t xml:space="preserve"> is minimal compared to other reconstructive procedures. Most conventional reconstructive procedures are associated with admissions to hospital, general anaesthetics, invasive, painful surgical procedures, time off work and a sometimes-prolonged rehabilitative phase. Hence, for patients, the difference between one of the traditional reconstructive procedures and </w:t>
      </w:r>
      <w:r>
        <w:rPr>
          <w:rFonts w:ascii="Times" w:hAnsi="Times" w:cs="Arial"/>
          <w:bCs/>
          <w:iCs/>
          <w:color w:val="000000" w:themeColor="text1"/>
          <w:lang w:eastAsia="en-GB"/>
        </w:rPr>
        <w:t xml:space="preserve">CO2 </w:t>
      </w:r>
      <w:r>
        <w:rPr>
          <w:rFonts w:ascii="Times" w:hAnsi="Times" w:cs="Arial"/>
          <w:bCs/>
          <w:iCs/>
          <w:color w:val="000000" w:themeColor="text1"/>
          <w:lang w:eastAsia="en-GB"/>
        </w:rPr>
        <w:lastRenderedPageBreak/>
        <w:t>AFL</w:t>
      </w:r>
      <w:r w:rsidRPr="00C30E1D">
        <w:rPr>
          <w:rFonts w:ascii="Times" w:hAnsi="Times" w:cs="Arial"/>
          <w:bCs/>
          <w:iCs/>
          <w:color w:val="000000" w:themeColor="text1"/>
          <w:lang w:eastAsia="en-GB"/>
        </w:rPr>
        <w:t xml:space="preserve"> is substantial. Whilst the impact of the treatment on the MBS may thus not be as substantial as expected, the patient and societal benefit of such a procedure cannot be denied – albeit difficult to quantify. </w:t>
      </w:r>
      <w:r>
        <w:rPr>
          <w:rFonts w:ascii="Times" w:hAnsi="Times" w:cs="Arial"/>
          <w:bCs/>
          <w:iCs/>
          <w:color w:val="000000" w:themeColor="text1"/>
          <w:lang w:eastAsia="en-GB"/>
        </w:rPr>
        <w:t>Secondly, b</w:t>
      </w:r>
      <w:r w:rsidRPr="00C30E1D">
        <w:rPr>
          <w:rFonts w:ascii="Times" w:hAnsi="Times" w:cs="Arial"/>
          <w:bCs/>
          <w:iCs/>
          <w:color w:val="000000" w:themeColor="text1"/>
          <w:lang w:eastAsia="en-GB"/>
        </w:rPr>
        <w:t xml:space="preserve">ecause of the highly complex nature of reconstructive burn care, it is not at all surprising that the attempts to identify adequately performed and controlled studies has been met with a void of high-level medical evidence. </w:t>
      </w:r>
      <w:r>
        <w:rPr>
          <w:rFonts w:ascii="Times" w:hAnsi="Times" w:cs="Arial"/>
          <w:bCs/>
          <w:iCs/>
          <w:color w:val="000000" w:themeColor="text1"/>
          <w:lang w:eastAsia="en-GB"/>
        </w:rPr>
        <w:t>Therefore</w:t>
      </w:r>
      <w:r w:rsidRPr="00C30E1D">
        <w:rPr>
          <w:rFonts w:ascii="Times" w:hAnsi="Times" w:cs="Arial"/>
          <w:bCs/>
          <w:iCs/>
          <w:color w:val="000000" w:themeColor="text1"/>
          <w:lang w:eastAsia="en-GB"/>
        </w:rPr>
        <w:t xml:space="preserve">, we feel that basing the decision solely on the currently published evidence base may negate the clear clinical benefits and thus prevent patients accessing this much needed care. </w:t>
      </w:r>
      <w:r>
        <w:rPr>
          <w:rFonts w:ascii="Times" w:hAnsi="Times"/>
          <w:color w:val="000000" w:themeColor="text1"/>
        </w:rPr>
        <w:t xml:space="preserve">Further, it </w:t>
      </w:r>
      <w:r w:rsidRPr="00C30E1D">
        <w:rPr>
          <w:rFonts w:ascii="Times" w:hAnsi="Times"/>
          <w:color w:val="000000" w:themeColor="text1"/>
        </w:rPr>
        <w:t xml:space="preserve">should not be limited to “immature scars with contractures over joints or if the patient is developing eyelid and lip </w:t>
      </w:r>
      <w:proofErr w:type="spellStart"/>
      <w:r w:rsidRPr="00C30E1D">
        <w:rPr>
          <w:rFonts w:ascii="Times" w:hAnsi="Times"/>
          <w:color w:val="000000" w:themeColor="text1"/>
        </w:rPr>
        <w:t>ectropions</w:t>
      </w:r>
      <w:proofErr w:type="spellEnd"/>
      <w:r w:rsidRPr="00C30E1D">
        <w:rPr>
          <w:rFonts w:ascii="Times" w:hAnsi="Times"/>
          <w:color w:val="000000" w:themeColor="text1"/>
        </w:rPr>
        <w:t>”, but to</w:t>
      </w:r>
      <w:r>
        <w:rPr>
          <w:rFonts w:ascii="Times" w:hAnsi="Times"/>
          <w:color w:val="000000" w:themeColor="text1"/>
        </w:rPr>
        <w:t xml:space="preserve"> any hypertrophic immature scar as it has been outlined in</w:t>
      </w:r>
      <w:r w:rsidRPr="00C30E1D">
        <w:rPr>
          <w:rFonts w:ascii="Times" w:hAnsi="Times"/>
          <w:color w:val="000000" w:themeColor="text1"/>
        </w:rPr>
        <w:t xml:space="preserve"> several studies and reports that early intervention </w:t>
      </w:r>
      <w:r>
        <w:rPr>
          <w:rFonts w:ascii="Times" w:hAnsi="Times"/>
          <w:color w:val="000000" w:themeColor="text1"/>
        </w:rPr>
        <w:t xml:space="preserve">(immature scars) </w:t>
      </w:r>
      <w:r w:rsidRPr="00C30E1D">
        <w:rPr>
          <w:rFonts w:ascii="Times" w:hAnsi="Times"/>
          <w:color w:val="000000" w:themeColor="text1"/>
        </w:rPr>
        <w:t>with the CO2 AFL</w:t>
      </w:r>
      <w:r>
        <w:rPr>
          <w:rFonts w:ascii="Times" w:hAnsi="Times"/>
          <w:color w:val="000000" w:themeColor="text1"/>
        </w:rPr>
        <w:t xml:space="preserve"> </w:t>
      </w:r>
      <w:r w:rsidRPr="00C30E1D">
        <w:rPr>
          <w:rFonts w:ascii="Times" w:hAnsi="Times"/>
          <w:color w:val="000000" w:themeColor="text1"/>
        </w:rPr>
        <w:t xml:space="preserve">can positively influence scar rehabilitation, accelerating scar maturation, improving early mobility and enhancing as well as accelerating the entire rehabilitative process. Further of note, radiotherapy is only very rarely used after excision of a recurrent keloid and according to our knowledge never after laser treatment. </w:t>
      </w:r>
      <w:r w:rsidRPr="00C30E1D">
        <w:rPr>
          <w:rFonts w:ascii="Times" w:hAnsi="Times"/>
          <w:color w:val="000000" w:themeColor="text1"/>
          <w:lang w:val="en-US"/>
        </w:rPr>
        <w:t xml:space="preserve">Lastly, the cited trial of </w:t>
      </w:r>
      <w:proofErr w:type="spellStart"/>
      <w:r w:rsidRPr="00C30E1D">
        <w:rPr>
          <w:rFonts w:ascii="Times" w:hAnsi="Times"/>
          <w:color w:val="000000" w:themeColor="text1"/>
          <w:lang w:val="en-US"/>
        </w:rPr>
        <w:t>Blome-Eberwein</w:t>
      </w:r>
      <w:proofErr w:type="spellEnd"/>
      <w:r w:rsidRPr="00C30E1D">
        <w:rPr>
          <w:rFonts w:ascii="Times" w:hAnsi="Times"/>
          <w:color w:val="000000" w:themeColor="text1"/>
          <w:lang w:val="en-US"/>
        </w:rPr>
        <w:t xml:space="preserve"> S et al. 2016 randomized one scar to the laser treatment and one scar to the control group within the same patient. There is evidence of a systemic effect on scars. Clinically, one can often observe an improvement of untreated scars, particularly if large areas are treated. </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A4" w:rsidRDefault="00EA7BA4" w:rsidP="00065623">
      <w:r>
        <w:separator/>
      </w:r>
    </w:p>
  </w:endnote>
  <w:endnote w:type="continuationSeparator" w:id="0">
    <w:p w:rsidR="00EA7BA4" w:rsidRDefault="00EA7BA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28" w:rsidRDefault="00EF1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EA7BA4" w:rsidRDefault="00EA7BA4">
        <w:pPr>
          <w:pStyle w:val="Footer"/>
          <w:jc w:val="right"/>
        </w:pPr>
        <w:r>
          <w:fldChar w:fldCharType="begin"/>
        </w:r>
        <w:r>
          <w:instrText xml:space="preserve"> PAGE   \* MERGEFORMAT </w:instrText>
        </w:r>
        <w:r>
          <w:fldChar w:fldCharType="separate"/>
        </w:r>
        <w:r w:rsidR="00DA2EAD">
          <w:rPr>
            <w:noProof/>
          </w:rPr>
          <w:t>9</w:t>
        </w:r>
        <w:r>
          <w:rPr>
            <w:noProof/>
          </w:rPr>
          <w:fldChar w:fldCharType="end"/>
        </w:r>
      </w:p>
    </w:sdtContent>
  </w:sdt>
  <w:p w:rsidR="00EA7BA4" w:rsidRDefault="00EA7B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28" w:rsidRDefault="00EF1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A4" w:rsidRDefault="00EA7BA4" w:rsidP="00065623">
      <w:r>
        <w:separator/>
      </w:r>
    </w:p>
  </w:footnote>
  <w:footnote w:type="continuationSeparator" w:id="0">
    <w:p w:rsidR="00EA7BA4" w:rsidRDefault="00EA7BA4"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28" w:rsidRDefault="00EF1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28" w:rsidRDefault="00EF1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28" w:rsidRDefault="00EF1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E10"/>
    <w:multiLevelType w:val="hybridMultilevel"/>
    <w:tmpl w:val="7AF0B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9434BF7"/>
    <w:multiLevelType w:val="hybridMultilevel"/>
    <w:tmpl w:val="3452B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024973"/>
    <w:multiLevelType w:val="hybridMultilevel"/>
    <w:tmpl w:val="2DD0E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79153B3"/>
    <w:multiLevelType w:val="hybridMultilevel"/>
    <w:tmpl w:val="0C64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A40944"/>
    <w:multiLevelType w:val="hybridMultilevel"/>
    <w:tmpl w:val="4350B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2"/>
  </w:num>
  <w:num w:numId="4">
    <w:abstractNumId w:val="20"/>
  </w:num>
  <w:num w:numId="5">
    <w:abstractNumId w:val="11"/>
  </w:num>
  <w:num w:numId="6">
    <w:abstractNumId w:val="18"/>
  </w:num>
  <w:num w:numId="7">
    <w:abstractNumId w:val="23"/>
  </w:num>
  <w:num w:numId="8">
    <w:abstractNumId w:val="13"/>
  </w:num>
  <w:num w:numId="9">
    <w:abstractNumId w:val="29"/>
  </w:num>
  <w:num w:numId="10">
    <w:abstractNumId w:val="1"/>
  </w:num>
  <w:num w:numId="11">
    <w:abstractNumId w:val="22"/>
  </w:num>
  <w:num w:numId="12">
    <w:abstractNumId w:val="24"/>
  </w:num>
  <w:num w:numId="13">
    <w:abstractNumId w:val="6"/>
  </w:num>
  <w:num w:numId="14">
    <w:abstractNumId w:val="28"/>
  </w:num>
  <w:num w:numId="15">
    <w:abstractNumId w:val="21"/>
  </w:num>
  <w:num w:numId="16">
    <w:abstractNumId w:val="25"/>
  </w:num>
  <w:num w:numId="17">
    <w:abstractNumId w:val="15"/>
  </w:num>
  <w:num w:numId="18">
    <w:abstractNumId w:val="16"/>
  </w:num>
  <w:num w:numId="19">
    <w:abstractNumId w:val="27"/>
  </w:num>
  <w:num w:numId="20">
    <w:abstractNumId w:val="26"/>
  </w:num>
  <w:num w:numId="21">
    <w:abstractNumId w:val="4"/>
  </w:num>
  <w:num w:numId="22">
    <w:abstractNumId w:val="10"/>
  </w:num>
  <w:num w:numId="23">
    <w:abstractNumId w:val="3"/>
  </w:num>
  <w:num w:numId="24">
    <w:abstractNumId w:val="9"/>
  </w:num>
  <w:num w:numId="25">
    <w:abstractNumId w:val="7"/>
  </w:num>
  <w:num w:numId="26">
    <w:abstractNumId w:val="14"/>
  </w:num>
  <w:num w:numId="27">
    <w:abstractNumId w:val="5"/>
  </w:num>
  <w:num w:numId="28">
    <w:abstractNumId w:val="12"/>
  </w:num>
  <w:num w:numId="29">
    <w:abstractNumId w:val="0"/>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hayaratna, Walter (Health)">
    <w15:presenceInfo w15:providerId="AD" w15:userId="S-1-5-21-815100918-1079928561-1238779560-40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2147"/>
    <w:rsid w:val="00047606"/>
    <w:rsid w:val="00065623"/>
    <w:rsid w:val="000756B9"/>
    <w:rsid w:val="00096B67"/>
    <w:rsid w:val="00096DAF"/>
    <w:rsid w:val="000C2F47"/>
    <w:rsid w:val="000D2B9A"/>
    <w:rsid w:val="000D6C00"/>
    <w:rsid w:val="000E4E04"/>
    <w:rsid w:val="000F14B4"/>
    <w:rsid w:val="000F75DF"/>
    <w:rsid w:val="001023DC"/>
    <w:rsid w:val="00126E96"/>
    <w:rsid w:val="001303AF"/>
    <w:rsid w:val="001328FA"/>
    <w:rsid w:val="00147AAF"/>
    <w:rsid w:val="001552C0"/>
    <w:rsid w:val="001640B1"/>
    <w:rsid w:val="0018435E"/>
    <w:rsid w:val="001C1C76"/>
    <w:rsid w:val="002016FB"/>
    <w:rsid w:val="002041A1"/>
    <w:rsid w:val="002054F0"/>
    <w:rsid w:val="00224A9B"/>
    <w:rsid w:val="00230D6B"/>
    <w:rsid w:val="00232068"/>
    <w:rsid w:val="002330F2"/>
    <w:rsid w:val="00243D9E"/>
    <w:rsid w:val="00253B66"/>
    <w:rsid w:val="00261DF1"/>
    <w:rsid w:val="00271F18"/>
    <w:rsid w:val="00282779"/>
    <w:rsid w:val="0028334D"/>
    <w:rsid w:val="002B022C"/>
    <w:rsid w:val="002B7FFA"/>
    <w:rsid w:val="002C2BCF"/>
    <w:rsid w:val="002F279D"/>
    <w:rsid w:val="002F43B8"/>
    <w:rsid w:val="0032291A"/>
    <w:rsid w:val="00336856"/>
    <w:rsid w:val="0034554D"/>
    <w:rsid w:val="00352224"/>
    <w:rsid w:val="003671E6"/>
    <w:rsid w:val="00384272"/>
    <w:rsid w:val="00386D67"/>
    <w:rsid w:val="003945B8"/>
    <w:rsid w:val="003A18CF"/>
    <w:rsid w:val="003D7F29"/>
    <w:rsid w:val="00405A6B"/>
    <w:rsid w:val="00407B1F"/>
    <w:rsid w:val="0041184F"/>
    <w:rsid w:val="00414C57"/>
    <w:rsid w:val="0041758C"/>
    <w:rsid w:val="004539DE"/>
    <w:rsid w:val="0045674A"/>
    <w:rsid w:val="004931F6"/>
    <w:rsid w:val="004A2CF1"/>
    <w:rsid w:val="004C3035"/>
    <w:rsid w:val="004C307F"/>
    <w:rsid w:val="004E4BA8"/>
    <w:rsid w:val="004F340F"/>
    <w:rsid w:val="004F7B7C"/>
    <w:rsid w:val="0052243D"/>
    <w:rsid w:val="00532435"/>
    <w:rsid w:val="00550354"/>
    <w:rsid w:val="00571236"/>
    <w:rsid w:val="005953A1"/>
    <w:rsid w:val="005A4362"/>
    <w:rsid w:val="005B5434"/>
    <w:rsid w:val="005C6F08"/>
    <w:rsid w:val="005D0332"/>
    <w:rsid w:val="005D0D8C"/>
    <w:rsid w:val="005F0D78"/>
    <w:rsid w:val="006776AE"/>
    <w:rsid w:val="006A0D97"/>
    <w:rsid w:val="006B1F86"/>
    <w:rsid w:val="006C0A91"/>
    <w:rsid w:val="006E2BCA"/>
    <w:rsid w:val="00700664"/>
    <w:rsid w:val="007054BB"/>
    <w:rsid w:val="00707064"/>
    <w:rsid w:val="007127CF"/>
    <w:rsid w:val="00715454"/>
    <w:rsid w:val="00730683"/>
    <w:rsid w:val="0073256B"/>
    <w:rsid w:val="00734AC4"/>
    <w:rsid w:val="00735E21"/>
    <w:rsid w:val="0075261F"/>
    <w:rsid w:val="0075468E"/>
    <w:rsid w:val="007665D8"/>
    <w:rsid w:val="00766E36"/>
    <w:rsid w:val="007765F4"/>
    <w:rsid w:val="00776633"/>
    <w:rsid w:val="00784D53"/>
    <w:rsid w:val="00797797"/>
    <w:rsid w:val="007A63C9"/>
    <w:rsid w:val="007B32D1"/>
    <w:rsid w:val="007B43EE"/>
    <w:rsid w:val="007B7095"/>
    <w:rsid w:val="007D24E1"/>
    <w:rsid w:val="007D6288"/>
    <w:rsid w:val="007F4CE9"/>
    <w:rsid w:val="007F4E20"/>
    <w:rsid w:val="00820128"/>
    <w:rsid w:val="00822C7E"/>
    <w:rsid w:val="00847060"/>
    <w:rsid w:val="00847A36"/>
    <w:rsid w:val="00856A33"/>
    <w:rsid w:val="00892620"/>
    <w:rsid w:val="008C7D37"/>
    <w:rsid w:val="008D5885"/>
    <w:rsid w:val="00923FA2"/>
    <w:rsid w:val="00926907"/>
    <w:rsid w:val="0096060D"/>
    <w:rsid w:val="00973FE2"/>
    <w:rsid w:val="00974A50"/>
    <w:rsid w:val="0097585A"/>
    <w:rsid w:val="009823D0"/>
    <w:rsid w:val="009924B0"/>
    <w:rsid w:val="009942C9"/>
    <w:rsid w:val="009B35C4"/>
    <w:rsid w:val="009C630A"/>
    <w:rsid w:val="009E0D98"/>
    <w:rsid w:val="00A068A1"/>
    <w:rsid w:val="00A1207D"/>
    <w:rsid w:val="00A12FD8"/>
    <w:rsid w:val="00A346FC"/>
    <w:rsid w:val="00A637B6"/>
    <w:rsid w:val="00A824AA"/>
    <w:rsid w:val="00A846F2"/>
    <w:rsid w:val="00A84F93"/>
    <w:rsid w:val="00AB1AC5"/>
    <w:rsid w:val="00AB3BFC"/>
    <w:rsid w:val="00AC4F2E"/>
    <w:rsid w:val="00AD0C37"/>
    <w:rsid w:val="00AD385F"/>
    <w:rsid w:val="00AE6E2A"/>
    <w:rsid w:val="00B03EAB"/>
    <w:rsid w:val="00B31E9C"/>
    <w:rsid w:val="00B35595"/>
    <w:rsid w:val="00B51C6D"/>
    <w:rsid w:val="00B829F9"/>
    <w:rsid w:val="00B83DD2"/>
    <w:rsid w:val="00B86D64"/>
    <w:rsid w:val="00BA4AC5"/>
    <w:rsid w:val="00BC1364"/>
    <w:rsid w:val="00BC2667"/>
    <w:rsid w:val="00BC7DE9"/>
    <w:rsid w:val="00BF479B"/>
    <w:rsid w:val="00C02577"/>
    <w:rsid w:val="00C204FB"/>
    <w:rsid w:val="00C20BEE"/>
    <w:rsid w:val="00C2158D"/>
    <w:rsid w:val="00C67DD2"/>
    <w:rsid w:val="00C725CB"/>
    <w:rsid w:val="00C76F5C"/>
    <w:rsid w:val="00C85137"/>
    <w:rsid w:val="00C96BAD"/>
    <w:rsid w:val="00CA6944"/>
    <w:rsid w:val="00CB0F8E"/>
    <w:rsid w:val="00CB7E7D"/>
    <w:rsid w:val="00CC2911"/>
    <w:rsid w:val="00CF0C6D"/>
    <w:rsid w:val="00CF7307"/>
    <w:rsid w:val="00CF7C68"/>
    <w:rsid w:val="00D124FA"/>
    <w:rsid w:val="00D340DE"/>
    <w:rsid w:val="00D55723"/>
    <w:rsid w:val="00D62FAD"/>
    <w:rsid w:val="00D64355"/>
    <w:rsid w:val="00D70450"/>
    <w:rsid w:val="00D83BFD"/>
    <w:rsid w:val="00D90A38"/>
    <w:rsid w:val="00DA0515"/>
    <w:rsid w:val="00DA171E"/>
    <w:rsid w:val="00DA2EAD"/>
    <w:rsid w:val="00DA56AA"/>
    <w:rsid w:val="00DB5833"/>
    <w:rsid w:val="00DD2858"/>
    <w:rsid w:val="00E03E33"/>
    <w:rsid w:val="00E059E0"/>
    <w:rsid w:val="00E27859"/>
    <w:rsid w:val="00E3642A"/>
    <w:rsid w:val="00E415C4"/>
    <w:rsid w:val="00E50016"/>
    <w:rsid w:val="00E50EAA"/>
    <w:rsid w:val="00E656D6"/>
    <w:rsid w:val="00E977EE"/>
    <w:rsid w:val="00EA2F24"/>
    <w:rsid w:val="00EA67A2"/>
    <w:rsid w:val="00EA7BA4"/>
    <w:rsid w:val="00EB630F"/>
    <w:rsid w:val="00EB6B6F"/>
    <w:rsid w:val="00EC4F98"/>
    <w:rsid w:val="00EF1228"/>
    <w:rsid w:val="00F12F02"/>
    <w:rsid w:val="00F32E0D"/>
    <w:rsid w:val="00F35134"/>
    <w:rsid w:val="00F37B9C"/>
    <w:rsid w:val="00F41812"/>
    <w:rsid w:val="00F715D1"/>
    <w:rsid w:val="00F72715"/>
    <w:rsid w:val="00F73333"/>
    <w:rsid w:val="00F95D8F"/>
    <w:rsid w:val="00FB350A"/>
    <w:rsid w:val="00FB4C5D"/>
    <w:rsid w:val="00FD431F"/>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qFormat/>
    <w:locked/>
    <w:rsid w:val="004931F6"/>
    <w:pPr>
      <w:spacing w:after="120"/>
    </w:pPr>
    <w:rPr>
      <w:rFonts w:ascii="Arial Narrow" w:hAnsi="Arial Narrow" w:cs="Tahoma"/>
      <w:b/>
      <w:bCs/>
      <w:sz w:val="20"/>
      <w:szCs w:val="22"/>
    </w:rPr>
  </w:style>
  <w:style w:type="paragraph" w:customStyle="1" w:styleId="Tabletext">
    <w:name w:val="Table text"/>
    <w:basedOn w:val="Normal"/>
    <w:link w:val="TabletextChar"/>
    <w:qFormat/>
    <w:rsid w:val="004931F6"/>
    <w:pPr>
      <w:spacing w:before="40" w:after="40"/>
    </w:pPr>
    <w:rPr>
      <w:rFonts w:ascii="Arial Narrow" w:hAnsi="Arial Narrow" w:cs="Tahoma"/>
      <w:sz w:val="20"/>
    </w:rPr>
  </w:style>
  <w:style w:type="character" w:customStyle="1" w:styleId="TabletextChar">
    <w:name w:val="Table text Char"/>
    <w:link w:val="Tabletext"/>
    <w:rsid w:val="004931F6"/>
    <w:rPr>
      <w:rFonts w:ascii="Arial Narrow" w:eastAsia="Times New Roman" w:hAnsi="Arial Narrow" w:cs="Tahoma"/>
      <w:sz w:val="20"/>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uiPriority w:val="35"/>
    <w:locked/>
    <w:rsid w:val="004931F6"/>
    <w:rPr>
      <w:rFonts w:ascii="Arial Narrow" w:eastAsia="Times New Roman" w:hAnsi="Arial Narrow" w:cs="Tahoma"/>
      <w:b/>
      <w:bCs/>
      <w:sz w:val="20"/>
    </w:rPr>
  </w:style>
  <w:style w:type="paragraph" w:customStyle="1" w:styleId="TableHeading">
    <w:name w:val="TableHeading"/>
    <w:basedOn w:val="Normal"/>
    <w:link w:val="TableHeadingChar"/>
    <w:qFormat/>
    <w:rsid w:val="004931F6"/>
    <w:pPr>
      <w:keepNext/>
      <w:spacing w:before="40" w:after="40"/>
    </w:pPr>
    <w:rPr>
      <w:rFonts w:ascii="Arial Narrow" w:hAnsi="Arial Narrow" w:cs="Tahoma"/>
      <w:b/>
      <w:sz w:val="20"/>
    </w:rPr>
  </w:style>
  <w:style w:type="character" w:customStyle="1" w:styleId="TableHeadingChar">
    <w:name w:val="TableHeading Char"/>
    <w:link w:val="TableHeading"/>
    <w:rsid w:val="004931F6"/>
    <w:rPr>
      <w:rFonts w:ascii="Arial Narrow" w:eastAsia="Times New Roman" w:hAnsi="Arial Narrow" w:cs="Tahoma"/>
      <w:b/>
      <w:sz w:val="20"/>
      <w:szCs w:val="20"/>
    </w:rPr>
  </w:style>
  <w:style w:type="paragraph" w:customStyle="1" w:styleId="Tablenotes">
    <w:name w:val="Tablenotes"/>
    <w:basedOn w:val="Normal"/>
    <w:link w:val="TablenotesChar"/>
    <w:qFormat/>
    <w:rsid w:val="006E2BC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6E2BCA"/>
    <w:rPr>
      <w:rFonts w:ascii="Arial Narrow" w:eastAsia="Times New Roman" w:hAnsi="Arial Narrow" w:cs="Arial"/>
      <w:snapToGrid w:val="0"/>
      <w:sz w:val="18"/>
      <w:szCs w:val="20"/>
      <w:lang w:eastAsia="en-US"/>
    </w:rPr>
  </w:style>
  <w:style w:type="table" w:customStyle="1" w:styleId="TableGrid1">
    <w:name w:val="Table Grid1"/>
    <w:basedOn w:val="TableNormal"/>
    <w:next w:val="TableGrid"/>
    <w:rsid w:val="006E2BCA"/>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locked/>
    <w:rsid w:val="006E2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uiPriority w:val="35"/>
    <w:qFormat/>
    <w:locked/>
    <w:rsid w:val="004931F6"/>
    <w:pPr>
      <w:spacing w:after="120"/>
    </w:pPr>
    <w:rPr>
      <w:rFonts w:ascii="Arial Narrow" w:hAnsi="Arial Narrow" w:cs="Tahoma"/>
      <w:b/>
      <w:bCs/>
      <w:sz w:val="20"/>
      <w:szCs w:val="22"/>
    </w:rPr>
  </w:style>
  <w:style w:type="paragraph" w:customStyle="1" w:styleId="Tabletext">
    <w:name w:val="Table text"/>
    <w:basedOn w:val="Normal"/>
    <w:link w:val="TabletextChar"/>
    <w:qFormat/>
    <w:rsid w:val="004931F6"/>
    <w:pPr>
      <w:spacing w:before="40" w:after="40"/>
    </w:pPr>
    <w:rPr>
      <w:rFonts w:ascii="Arial Narrow" w:hAnsi="Arial Narrow" w:cs="Tahoma"/>
      <w:sz w:val="20"/>
    </w:rPr>
  </w:style>
  <w:style w:type="character" w:customStyle="1" w:styleId="TabletextChar">
    <w:name w:val="Table text Char"/>
    <w:link w:val="Tabletext"/>
    <w:rsid w:val="004931F6"/>
    <w:rPr>
      <w:rFonts w:ascii="Arial Narrow" w:eastAsia="Times New Roman" w:hAnsi="Arial Narrow" w:cs="Tahoma"/>
      <w:sz w:val="20"/>
      <w:szCs w:val="20"/>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uiPriority w:val="35"/>
    <w:locked/>
    <w:rsid w:val="004931F6"/>
    <w:rPr>
      <w:rFonts w:ascii="Arial Narrow" w:eastAsia="Times New Roman" w:hAnsi="Arial Narrow" w:cs="Tahoma"/>
      <w:b/>
      <w:bCs/>
      <w:sz w:val="20"/>
    </w:rPr>
  </w:style>
  <w:style w:type="paragraph" w:customStyle="1" w:styleId="TableHeading">
    <w:name w:val="TableHeading"/>
    <w:basedOn w:val="Normal"/>
    <w:link w:val="TableHeadingChar"/>
    <w:qFormat/>
    <w:rsid w:val="004931F6"/>
    <w:pPr>
      <w:keepNext/>
      <w:spacing w:before="40" w:after="40"/>
    </w:pPr>
    <w:rPr>
      <w:rFonts w:ascii="Arial Narrow" w:hAnsi="Arial Narrow" w:cs="Tahoma"/>
      <w:b/>
      <w:sz w:val="20"/>
    </w:rPr>
  </w:style>
  <w:style w:type="character" w:customStyle="1" w:styleId="TableHeadingChar">
    <w:name w:val="TableHeading Char"/>
    <w:link w:val="TableHeading"/>
    <w:rsid w:val="004931F6"/>
    <w:rPr>
      <w:rFonts w:ascii="Arial Narrow" w:eastAsia="Times New Roman" w:hAnsi="Arial Narrow" w:cs="Tahoma"/>
      <w:b/>
      <w:sz w:val="20"/>
      <w:szCs w:val="20"/>
    </w:rPr>
  </w:style>
  <w:style w:type="paragraph" w:customStyle="1" w:styleId="Tablenotes">
    <w:name w:val="Tablenotes"/>
    <w:basedOn w:val="Normal"/>
    <w:link w:val="TablenotesChar"/>
    <w:qFormat/>
    <w:rsid w:val="006E2BCA"/>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6E2BCA"/>
    <w:rPr>
      <w:rFonts w:ascii="Arial Narrow" w:eastAsia="Times New Roman" w:hAnsi="Arial Narrow" w:cs="Arial"/>
      <w:snapToGrid w:val="0"/>
      <w:sz w:val="18"/>
      <w:szCs w:val="20"/>
      <w:lang w:eastAsia="en-US"/>
    </w:rPr>
  </w:style>
  <w:style w:type="table" w:customStyle="1" w:styleId="TableGrid1">
    <w:name w:val="Table Grid1"/>
    <w:basedOn w:val="TableNormal"/>
    <w:next w:val="TableGrid"/>
    <w:rsid w:val="006E2BCA"/>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locked/>
    <w:rsid w:val="006E2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497185444">
      <w:bodyDiv w:val="1"/>
      <w:marLeft w:val="0"/>
      <w:marRight w:val="0"/>
      <w:marTop w:val="0"/>
      <w:marBottom w:val="0"/>
      <w:divBdr>
        <w:top w:val="none" w:sz="0" w:space="0" w:color="auto"/>
        <w:left w:val="none" w:sz="0" w:space="0" w:color="auto"/>
        <w:bottom w:val="none" w:sz="0" w:space="0" w:color="auto"/>
        <w:right w:val="none" w:sz="0" w:space="0" w:color="auto"/>
      </w:divBdr>
    </w:div>
    <w:div w:id="15873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6163</Words>
  <Characters>35218</Characters>
  <Application>Microsoft Office Word</Application>
  <DocSecurity>0</DocSecurity>
  <Lines>293</Lines>
  <Paragraphs>82</Paragraphs>
  <ScaleCrop>false</ScaleCrop>
  <Company/>
  <LinksUpToDate>false</LinksUpToDate>
  <CharactersWithSpaces>41299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1475-FinalPSD</dc:title>
  <dc:creator/>
  <cp:lastModifiedBy/>
  <cp:revision>1</cp:revision>
  <dcterms:created xsi:type="dcterms:W3CDTF">2018-06-14T23:31:00Z</dcterms:created>
  <dcterms:modified xsi:type="dcterms:W3CDTF">2018-06-14T23:38:00Z</dcterms:modified>
</cp:coreProperties>
</file>