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E0230"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0B106DBA" wp14:editId="104E356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B26D2D6" w14:textId="77777777" w:rsidR="00BC1364" w:rsidRPr="00F715D1" w:rsidRDefault="00F715D1" w:rsidP="006E74F2">
      <w:pPr>
        <w:pStyle w:val="Title"/>
        <w:tabs>
          <w:tab w:val="left" w:pos="1926"/>
          <w:tab w:val="center" w:pos="4513"/>
        </w:tabs>
        <w:spacing w:before="240"/>
        <w:jc w:val="left"/>
      </w:pPr>
      <w:r>
        <w:tab/>
      </w:r>
      <w:r>
        <w:tab/>
      </w:r>
      <w:r w:rsidR="00BF479B" w:rsidRPr="00F715D1">
        <w:t>Public Summary Document</w:t>
      </w:r>
    </w:p>
    <w:p w14:paraId="4B734F0E" w14:textId="77777777" w:rsidR="00BC1364" w:rsidRPr="00F715D1" w:rsidRDefault="00BC1364" w:rsidP="00F715D1">
      <w:pPr>
        <w:pStyle w:val="Subtitle"/>
      </w:pPr>
      <w:r w:rsidRPr="00F715D1">
        <w:t xml:space="preserve">Application No. </w:t>
      </w:r>
      <w:r w:rsidR="000A678B" w:rsidRPr="000A678B">
        <w:t>1476 – Genetic testing for childhood syndromes</w:t>
      </w:r>
    </w:p>
    <w:p w14:paraId="21ACBAE8" w14:textId="77777777" w:rsidR="00BC1364" w:rsidRPr="00F715D1" w:rsidRDefault="00B35595" w:rsidP="0024002F">
      <w:pPr>
        <w:tabs>
          <w:tab w:val="left" w:pos="3686"/>
        </w:tabs>
        <w:spacing w:before="360"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0A678B" w:rsidRPr="000A678B">
        <w:rPr>
          <w:rFonts w:ascii="Arial" w:hAnsi="Arial" w:cs="Arial"/>
          <w:b/>
          <w:szCs w:val="24"/>
        </w:rPr>
        <w:t>Murdoch Children’s Research Institute</w:t>
      </w:r>
    </w:p>
    <w:p w14:paraId="2A6DED8A" w14:textId="47C17725" w:rsidR="0050327E" w:rsidRDefault="00BC1364" w:rsidP="00D32D5E">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50327E">
        <w:rPr>
          <w:rFonts w:ascii="Arial" w:hAnsi="Arial" w:cs="Arial"/>
          <w:b/>
          <w:szCs w:val="24"/>
        </w:rPr>
        <w:t>MSAC 76</w:t>
      </w:r>
      <w:r w:rsidR="0050327E" w:rsidRPr="0050327E">
        <w:rPr>
          <w:rFonts w:ascii="Arial" w:hAnsi="Arial" w:cs="Arial"/>
          <w:b/>
          <w:szCs w:val="24"/>
          <w:vertAlign w:val="superscript"/>
        </w:rPr>
        <w:t>th</w:t>
      </w:r>
      <w:r w:rsidR="0050327E">
        <w:rPr>
          <w:rFonts w:ascii="Arial" w:hAnsi="Arial" w:cs="Arial"/>
          <w:b/>
          <w:szCs w:val="24"/>
        </w:rPr>
        <w:t xml:space="preserve"> Meeting, 1-2 August 2019</w:t>
      </w:r>
    </w:p>
    <w:p w14:paraId="7A8B228E" w14:textId="6660282F" w:rsidR="00D32D5E" w:rsidRDefault="0050327E" w:rsidP="00D32D5E">
      <w:pPr>
        <w:tabs>
          <w:tab w:val="left" w:pos="3686"/>
        </w:tabs>
        <w:rPr>
          <w:rFonts w:ascii="Arial" w:hAnsi="Arial" w:cs="Arial"/>
          <w:b/>
          <w:szCs w:val="24"/>
        </w:rPr>
      </w:pPr>
      <w:r>
        <w:rPr>
          <w:rFonts w:ascii="Arial" w:hAnsi="Arial" w:cs="Arial"/>
          <w:b/>
          <w:szCs w:val="24"/>
        </w:rPr>
        <w:tab/>
      </w:r>
      <w:r w:rsidR="00D32D5E">
        <w:rPr>
          <w:rFonts w:ascii="Arial" w:hAnsi="Arial" w:cs="Arial"/>
          <w:b/>
          <w:szCs w:val="24"/>
        </w:rPr>
        <w:t>MSAC 74</w:t>
      </w:r>
      <w:r w:rsidR="00D32D5E" w:rsidRPr="00D32D5E">
        <w:rPr>
          <w:rFonts w:ascii="Arial" w:hAnsi="Arial" w:cs="Arial"/>
          <w:b/>
          <w:szCs w:val="24"/>
          <w:vertAlign w:val="superscript"/>
        </w:rPr>
        <w:t>th</w:t>
      </w:r>
      <w:r w:rsidR="00D32D5E">
        <w:rPr>
          <w:rFonts w:ascii="Arial" w:hAnsi="Arial" w:cs="Arial"/>
          <w:b/>
          <w:szCs w:val="24"/>
        </w:rPr>
        <w:t xml:space="preserve"> Meeting, 22-23 November 2018</w:t>
      </w:r>
    </w:p>
    <w:p w14:paraId="46B99E57" w14:textId="77777777" w:rsidR="00BC1364" w:rsidRPr="00F715D1" w:rsidRDefault="00D32D5E" w:rsidP="00D64355">
      <w:pPr>
        <w:tabs>
          <w:tab w:val="left" w:pos="3686"/>
        </w:tabs>
        <w:spacing w:after="240"/>
        <w:rPr>
          <w:rFonts w:ascii="Arial" w:hAnsi="Arial" w:cs="Arial"/>
          <w:b/>
          <w:szCs w:val="24"/>
        </w:rPr>
      </w:pPr>
      <w:r>
        <w:rPr>
          <w:rFonts w:ascii="Arial" w:hAnsi="Arial" w:cs="Arial"/>
          <w:b/>
          <w:szCs w:val="24"/>
        </w:rPr>
        <w:tab/>
      </w:r>
      <w:r w:rsidR="00C67DD2" w:rsidRPr="00F715D1">
        <w:rPr>
          <w:rFonts w:ascii="Arial" w:hAnsi="Arial" w:cs="Arial"/>
          <w:b/>
          <w:szCs w:val="24"/>
        </w:rPr>
        <w:t xml:space="preserve">MSAC </w:t>
      </w:r>
      <w:r w:rsidR="00B11E47">
        <w:rPr>
          <w:rFonts w:ascii="Arial" w:hAnsi="Arial" w:cs="Arial"/>
          <w:b/>
          <w:szCs w:val="24"/>
        </w:rPr>
        <w:t>73</w:t>
      </w:r>
      <w:r w:rsidR="00B11E47" w:rsidRPr="00B11E47">
        <w:rPr>
          <w:rFonts w:ascii="Arial" w:hAnsi="Arial" w:cs="Arial"/>
          <w:b/>
          <w:szCs w:val="24"/>
          <w:vertAlign w:val="superscript"/>
        </w:rPr>
        <w:t>rd</w:t>
      </w:r>
      <w:r w:rsidR="00B11E47">
        <w:rPr>
          <w:rFonts w:ascii="Arial" w:hAnsi="Arial" w:cs="Arial"/>
          <w:b/>
          <w:szCs w:val="24"/>
        </w:rPr>
        <w:t xml:space="preserve"> </w:t>
      </w:r>
      <w:r w:rsidR="00BC1364" w:rsidRPr="00F715D1">
        <w:rPr>
          <w:rFonts w:ascii="Arial" w:hAnsi="Arial" w:cs="Arial"/>
          <w:b/>
          <w:szCs w:val="24"/>
        </w:rPr>
        <w:t xml:space="preserve">Meeting, </w:t>
      </w:r>
      <w:r w:rsidR="00B11E47">
        <w:rPr>
          <w:rFonts w:ascii="Arial" w:hAnsi="Arial" w:cs="Arial"/>
          <w:b/>
          <w:szCs w:val="24"/>
        </w:rPr>
        <w:t>26-27 July 2018</w:t>
      </w:r>
    </w:p>
    <w:p w14:paraId="59FC5A14"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14:paraId="41188F60" w14:textId="77777777" w:rsidR="003D7F29" w:rsidRPr="00F715D1" w:rsidRDefault="003D7F29" w:rsidP="00501ED9">
      <w:pPr>
        <w:pStyle w:val="Heading1"/>
      </w:pPr>
      <w:r w:rsidRPr="00F715D1">
        <w:t>Purpose of application</w:t>
      </w:r>
    </w:p>
    <w:p w14:paraId="6641351B" w14:textId="3FA4C88D" w:rsidR="00B11E47" w:rsidRDefault="00B11E47" w:rsidP="00B11E47">
      <w:pPr>
        <w:tabs>
          <w:tab w:val="left" w:pos="720"/>
          <w:tab w:val="left" w:pos="1140"/>
        </w:tabs>
      </w:pPr>
      <w:r>
        <w:rPr>
          <w:szCs w:val="24"/>
        </w:rPr>
        <w:t>An</w:t>
      </w:r>
      <w:r w:rsidRPr="00F203BC">
        <w:rPr>
          <w:szCs w:val="24"/>
        </w:rPr>
        <w:t xml:space="preserve"> application </w:t>
      </w:r>
      <w:r w:rsidR="00333FD7">
        <w:t>requesting Medicare Benefit Schedule</w:t>
      </w:r>
      <w:r w:rsidRPr="00C34F01">
        <w:t xml:space="preserve"> </w:t>
      </w:r>
      <w:r w:rsidR="00333FD7">
        <w:t>(</w:t>
      </w:r>
      <w:r>
        <w:t>MBS</w:t>
      </w:r>
      <w:r w:rsidR="00333FD7">
        <w:t>) listing</w:t>
      </w:r>
      <w:r w:rsidRPr="00C34F01">
        <w:t xml:space="preserve"> </w:t>
      </w:r>
      <w:r w:rsidR="009B1465">
        <w:t>of</w:t>
      </w:r>
      <w:r w:rsidRPr="00C34F01">
        <w:t xml:space="preserve"> next generation whole exome </w:t>
      </w:r>
      <w:r>
        <w:t>analysis</w:t>
      </w:r>
      <w:r w:rsidRPr="00C34F01">
        <w:t xml:space="preserve"> (WEA) </w:t>
      </w:r>
      <w:r w:rsidR="00F23318">
        <w:t xml:space="preserve">for childhood syndromes </w:t>
      </w:r>
      <w:r w:rsidRPr="00C34F01">
        <w:t xml:space="preserve">in affected individuals, with targeted cascade testing </w:t>
      </w:r>
      <w:r w:rsidR="00F23318">
        <w:t>o</w:t>
      </w:r>
      <w:r w:rsidRPr="00C34F01">
        <w:t>f relatives</w:t>
      </w:r>
      <w:r w:rsidR="00F23318">
        <w:t>,</w:t>
      </w:r>
      <w:r w:rsidR="00333FD7">
        <w:t xml:space="preserve"> was received </w:t>
      </w:r>
      <w:r w:rsidR="00333FD7">
        <w:rPr>
          <w:szCs w:val="24"/>
        </w:rPr>
        <w:t xml:space="preserve">from the </w:t>
      </w:r>
      <w:r w:rsidR="00333FD7" w:rsidRPr="00A06F59">
        <w:rPr>
          <w:szCs w:val="24"/>
          <w:lang w:val="en-US"/>
        </w:rPr>
        <w:t>Murdoch Children’s Research Institute</w:t>
      </w:r>
      <w:r w:rsidR="00333FD7" w:rsidRPr="00F203BC">
        <w:rPr>
          <w:szCs w:val="24"/>
        </w:rPr>
        <w:t xml:space="preserve"> by the Department</w:t>
      </w:r>
      <w:r w:rsidR="00333FD7">
        <w:rPr>
          <w:szCs w:val="24"/>
        </w:rPr>
        <w:t xml:space="preserve"> of Health</w:t>
      </w:r>
      <w:r w:rsidRPr="00C34F01">
        <w:t>.</w:t>
      </w:r>
    </w:p>
    <w:p w14:paraId="46C93DCE" w14:textId="5A39CC41" w:rsidR="00C51AF9" w:rsidRDefault="00C51AF9" w:rsidP="00446B3E">
      <w:pPr>
        <w:pStyle w:val="Heading1"/>
      </w:pPr>
      <w:r>
        <w:t>MSAC’s advice to the Minister – August 2019 consideration</w:t>
      </w:r>
    </w:p>
    <w:p w14:paraId="039225CA" w14:textId="4C6FA03F" w:rsidR="00530BBE" w:rsidRDefault="006E74F2" w:rsidP="006E74F2">
      <w:pPr>
        <w:spacing w:after="240"/>
        <w:rPr>
          <w:szCs w:val="24"/>
        </w:rPr>
      </w:pPr>
      <w:r w:rsidRPr="001342D1">
        <w:t xml:space="preserve">After considering the strength of the available evidence in relation to comparative safety, </w:t>
      </w:r>
      <w:r>
        <w:t>clinical effectiveness and cost-</w:t>
      </w:r>
      <w:r w:rsidRPr="001342D1">
        <w:t xml:space="preserve">effectiveness, </w:t>
      </w:r>
      <w:r>
        <w:rPr>
          <w:szCs w:val="24"/>
        </w:rPr>
        <w:t xml:space="preserve">MSAC supported the proposed new MBS items for singleton testing of affected individuals with childhood syndromes, for re-analysis of previously collected data in certain circumstances, and for cascade testing for certain purposes. MSAC accepted the additional clarification of item descriptors and utilisation forecasts </w:t>
      </w:r>
      <w:r w:rsidR="00117348">
        <w:rPr>
          <w:szCs w:val="24"/>
        </w:rPr>
        <w:t>requested</w:t>
      </w:r>
      <w:r>
        <w:rPr>
          <w:szCs w:val="24"/>
        </w:rPr>
        <w:t xml:space="preserve"> by the MSAC Executive. MSAC also supported the inclusion of an MBS item for trio testing of affected individuals with an upper limit of $2,900 for the fee for this item, accepting that the extra cost involved is justified by an improvement in the diagnostic yield.</w:t>
      </w:r>
    </w:p>
    <w:tbl>
      <w:tblPr>
        <w:tblStyle w:val="TableGrid"/>
        <w:tblW w:w="0" w:type="auto"/>
        <w:tblLook w:val="04A0" w:firstRow="1" w:lastRow="0" w:firstColumn="1" w:lastColumn="0" w:noHBand="0" w:noVBand="1"/>
        <w:tblDescription w:val="Consumer summary of MSAC consideration"/>
      </w:tblPr>
      <w:tblGrid>
        <w:gridCol w:w="9016"/>
      </w:tblGrid>
      <w:tr w:rsidR="00D90EEF" w14:paraId="75E4ECE8" w14:textId="77777777" w:rsidTr="000355B8">
        <w:trPr>
          <w:tblHeader/>
        </w:trPr>
        <w:tc>
          <w:tcPr>
            <w:tcW w:w="9016" w:type="dxa"/>
          </w:tcPr>
          <w:p w14:paraId="122A2548" w14:textId="1D959C4D" w:rsidR="00D90EEF" w:rsidRPr="00D90EEF" w:rsidRDefault="00D90EEF" w:rsidP="00D90EEF">
            <w:pPr>
              <w:pStyle w:val="Heading2"/>
              <w:keepNext w:val="0"/>
              <w:keepLines w:val="0"/>
              <w:spacing w:before="120" w:after="120"/>
              <w:outlineLvl w:val="1"/>
              <w:rPr>
                <w:rFonts w:ascii="Times New Roman" w:hAnsi="Times New Roman" w:cs="Times New Roman"/>
                <w:b w:val="0"/>
                <w:i/>
              </w:rPr>
            </w:pPr>
            <w:r w:rsidRPr="003A48A9">
              <w:rPr>
                <w:rFonts w:ascii="Times New Roman" w:hAnsi="Times New Roman" w:cs="Times New Roman"/>
              </w:rPr>
              <w:t>Consumer summary</w:t>
            </w:r>
          </w:p>
        </w:tc>
      </w:tr>
      <w:tr w:rsidR="00D90EEF" w14:paraId="374C00A9" w14:textId="77777777" w:rsidTr="00D90EEF">
        <w:tc>
          <w:tcPr>
            <w:tcW w:w="9016" w:type="dxa"/>
          </w:tcPr>
          <w:p w14:paraId="7794EFAA" w14:textId="77777777" w:rsidR="00D90EEF" w:rsidRPr="006E74F2" w:rsidRDefault="00D90EEF" w:rsidP="00D90EEF">
            <w:pPr>
              <w:spacing w:before="120" w:after="240"/>
              <w:rPr>
                <w:rFonts w:ascii="Times New Roman" w:hAnsi="Times New Roman" w:cs="Times New Roman"/>
              </w:rPr>
            </w:pPr>
            <w:r w:rsidRPr="006E74F2">
              <w:rPr>
                <w:rFonts w:ascii="Times New Roman" w:hAnsi="Times New Roman" w:cs="Times New Roman"/>
                <w:szCs w:val="24"/>
              </w:rPr>
              <w:t>Murdoch Children’s Research Institute</w:t>
            </w:r>
            <w:r w:rsidRPr="006E74F2">
              <w:rPr>
                <w:rFonts w:ascii="Times New Roman" w:hAnsi="Times New Roman" w:cs="Times New Roman"/>
              </w:rPr>
              <w:t xml:space="preserve"> </w:t>
            </w:r>
            <w:r w:rsidRPr="00AB562F">
              <w:rPr>
                <w:rFonts w:ascii="Times New Roman" w:hAnsi="Times New Roman" w:cs="Times New Roman"/>
                <w:iCs/>
              </w:rPr>
              <w:t>applied for public funding for</w:t>
            </w:r>
            <w:r>
              <w:rPr>
                <w:rFonts w:ascii="Times New Roman" w:hAnsi="Times New Roman" w:cs="Times New Roman"/>
                <w:iCs/>
              </w:rPr>
              <w:t xml:space="preserve"> </w:t>
            </w:r>
            <w:r w:rsidRPr="000F5005">
              <w:rPr>
                <w:rFonts w:ascii="Times New Roman" w:hAnsi="Times New Roman" w:cs="Times New Roman"/>
                <w:iCs/>
              </w:rPr>
              <w:t>genetic testing for childhood syndromes.</w:t>
            </w:r>
          </w:p>
          <w:p w14:paraId="27BB42D9" w14:textId="77777777" w:rsidR="00D90EEF" w:rsidRPr="006E74F2" w:rsidRDefault="00D90EEF" w:rsidP="00D90EEF">
            <w:pPr>
              <w:spacing w:after="240"/>
              <w:rPr>
                <w:rFonts w:ascii="Times New Roman" w:hAnsi="Times New Roman" w:cs="Times New Roman"/>
              </w:rPr>
            </w:pPr>
            <w:r w:rsidRPr="006E74F2">
              <w:rPr>
                <w:rFonts w:ascii="Times New Roman" w:hAnsi="Times New Roman" w:cs="Times New Roman"/>
              </w:rPr>
              <w:t>When children with suspected genetic syndromes</w:t>
            </w:r>
            <w:r>
              <w:rPr>
                <w:rFonts w:ascii="Times New Roman" w:hAnsi="Times New Roman" w:cs="Times New Roman"/>
              </w:rPr>
              <w:t>, due to symptoms/developmental difficulties,</w:t>
            </w:r>
            <w:r w:rsidRPr="006E74F2">
              <w:rPr>
                <w:rFonts w:ascii="Times New Roman" w:hAnsi="Times New Roman" w:cs="Times New Roman"/>
              </w:rPr>
              <w:t xml:space="preserve"> ar</w:t>
            </w:r>
            <w:r>
              <w:rPr>
                <w:rFonts w:ascii="Times New Roman" w:hAnsi="Times New Roman" w:cs="Times New Roman"/>
              </w:rPr>
              <w:t xml:space="preserve">e tested to confirm a diagnosis, </w:t>
            </w:r>
            <w:r w:rsidRPr="006E74F2">
              <w:rPr>
                <w:rFonts w:ascii="Times New Roman" w:hAnsi="Times New Roman" w:cs="Times New Roman"/>
              </w:rPr>
              <w:t xml:space="preserve">one approach is to sequence the child’s genome. This </w:t>
            </w:r>
            <w:r>
              <w:rPr>
                <w:rFonts w:ascii="Times New Roman" w:hAnsi="Times New Roman" w:cs="Times New Roman"/>
              </w:rPr>
              <w:t>determines</w:t>
            </w:r>
            <w:r w:rsidRPr="006E74F2">
              <w:rPr>
                <w:rFonts w:ascii="Times New Roman" w:hAnsi="Times New Roman" w:cs="Times New Roman"/>
              </w:rPr>
              <w:t xml:space="preserve"> the </w:t>
            </w:r>
            <w:r>
              <w:rPr>
                <w:rFonts w:ascii="Times New Roman" w:hAnsi="Times New Roman" w:cs="Times New Roman"/>
              </w:rPr>
              <w:t>exact order</w:t>
            </w:r>
            <w:r w:rsidRPr="006E74F2">
              <w:rPr>
                <w:rFonts w:ascii="Times New Roman" w:hAnsi="Times New Roman" w:cs="Times New Roman"/>
              </w:rPr>
              <w:t xml:space="preserve"> </w:t>
            </w:r>
            <w:r>
              <w:rPr>
                <w:rFonts w:ascii="Times New Roman" w:hAnsi="Times New Roman" w:cs="Times New Roman"/>
              </w:rPr>
              <w:t xml:space="preserve">within the </w:t>
            </w:r>
            <w:r w:rsidRPr="006E74F2">
              <w:rPr>
                <w:rFonts w:ascii="Times New Roman" w:hAnsi="Times New Roman" w:cs="Times New Roman"/>
              </w:rPr>
              <w:t>genes to identify any differences, or genetic variants. Then, if a variant of unknown significance (</w:t>
            </w:r>
            <w:r>
              <w:rPr>
                <w:rFonts w:ascii="Times New Roman" w:hAnsi="Times New Roman" w:cs="Times New Roman"/>
              </w:rPr>
              <w:t xml:space="preserve">a </w:t>
            </w:r>
            <w:r w:rsidRPr="006E74F2">
              <w:rPr>
                <w:rFonts w:ascii="Times New Roman" w:hAnsi="Times New Roman" w:cs="Times New Roman"/>
              </w:rPr>
              <w:t xml:space="preserve">variation in the genetic sequence for which </w:t>
            </w:r>
            <w:r>
              <w:rPr>
                <w:rFonts w:ascii="Times New Roman" w:hAnsi="Times New Roman" w:cs="Times New Roman"/>
              </w:rPr>
              <w:t xml:space="preserve">the risk of developing a </w:t>
            </w:r>
            <w:r w:rsidRPr="006E74F2">
              <w:rPr>
                <w:rFonts w:ascii="Times New Roman" w:hAnsi="Times New Roman" w:cs="Times New Roman"/>
              </w:rPr>
              <w:t xml:space="preserve">disease is unclear) is found, the genes of the parents are sequenced. If the variant is also found in one of the parents, then this helps </w:t>
            </w:r>
            <w:r w:rsidRPr="006E74F2">
              <w:rPr>
                <w:rFonts w:ascii="Times New Roman" w:hAnsi="Times New Roman" w:cs="Times New Roman"/>
              </w:rPr>
              <w:lastRenderedPageBreak/>
              <w:t>exclude a diagnosis if the parent has no symptoms; if this variant is found in neither parent, th</w:t>
            </w:r>
            <w:r>
              <w:rPr>
                <w:rFonts w:ascii="Times New Roman" w:hAnsi="Times New Roman" w:cs="Times New Roman"/>
              </w:rPr>
              <w:t>en this helps make a diagnosis.</w:t>
            </w:r>
          </w:p>
          <w:p w14:paraId="56003C7F" w14:textId="77777777" w:rsidR="00D90EEF" w:rsidRPr="000A0160" w:rsidRDefault="00D90EEF" w:rsidP="00D90EEF">
            <w:pPr>
              <w:spacing w:after="120"/>
              <w:rPr>
                <w:rFonts w:ascii="Times New Roman" w:hAnsi="Times New Roman" w:cs="Times New Roman"/>
                <w:b/>
              </w:rPr>
            </w:pPr>
            <w:r w:rsidRPr="000A0160">
              <w:rPr>
                <w:rFonts w:ascii="Times New Roman" w:hAnsi="Times New Roman" w:cs="Times New Roman"/>
                <w:b/>
              </w:rPr>
              <w:t>MSAC’s recommendation to the Commonwealth Health Minister</w:t>
            </w:r>
          </w:p>
          <w:p w14:paraId="6A61717F" w14:textId="621DC0C8" w:rsidR="00D90EEF" w:rsidRDefault="00D90EEF" w:rsidP="00D90EEF">
            <w:pPr>
              <w:spacing w:after="240"/>
              <w:rPr>
                <w:szCs w:val="24"/>
              </w:rPr>
            </w:pPr>
            <w:r w:rsidRPr="006E74F2">
              <w:rPr>
                <w:rFonts w:ascii="Times New Roman" w:hAnsi="Times New Roman" w:cs="Times New Roman"/>
              </w:rPr>
              <w:t>MSAC supported this application to test the parents at the same time as the child is tested (called trio testing). Although this costs more than testing the child at the start, it saves time overall and it is easier for the laboratory to identify any diagnostic variants. It therefore means that the likelihood o</w:t>
            </w:r>
            <w:r>
              <w:rPr>
                <w:rFonts w:ascii="Times New Roman" w:hAnsi="Times New Roman" w:cs="Times New Roman"/>
              </w:rPr>
              <w:t>f making a diagnosis is higher.</w:t>
            </w:r>
          </w:p>
        </w:tc>
      </w:tr>
    </w:tbl>
    <w:p w14:paraId="5BD86D4F" w14:textId="61DEE581" w:rsidR="00C51AF9" w:rsidRPr="00F715D1" w:rsidRDefault="00C51AF9" w:rsidP="00C51AF9">
      <w:pPr>
        <w:pStyle w:val="Heading1"/>
        <w:numPr>
          <w:ilvl w:val="0"/>
          <w:numId w:val="0"/>
        </w:numPr>
        <w:ind w:left="720" w:hanging="720"/>
      </w:pPr>
      <w:r>
        <w:lastRenderedPageBreak/>
        <w:t xml:space="preserve">Summary </w:t>
      </w:r>
      <w:r w:rsidRPr="00F715D1">
        <w:t xml:space="preserve">of consideration </w:t>
      </w:r>
      <w:r>
        <w:t>and rationale for MSAC’s advice – August 2019</w:t>
      </w:r>
    </w:p>
    <w:p w14:paraId="402660B4" w14:textId="4093DF10" w:rsidR="00C51AF9" w:rsidRDefault="00C51AF9" w:rsidP="00C51AF9">
      <w:r>
        <w:t>MSAC recalled that</w:t>
      </w:r>
      <w:r w:rsidR="009310D8">
        <w:t>,</w:t>
      </w:r>
      <w:r>
        <w:t xml:space="preserve"> at its July 2018 meeting, </w:t>
      </w:r>
      <w:r w:rsidR="009310D8">
        <w:t xml:space="preserve">it had </w:t>
      </w:r>
      <w:r>
        <w:t>considered a proposal to list WEA for monogenic childhood syndromes in affected individuals, with targeted cascade testing of relatives, on the MBS. MSAC did not support the application, but acknowledged that the application had merit, as WEA has potential to benefit children with genetic anomalies. MSAC considered that, given the range of clinical evidence and implementation issues, a stakeholder meeting involving consumers, requesters and providers would help inform its reconsideration of this application. The stakeholder meeting was held in October 2018. A key outcome was the proposal for broader testing criteria than those in the original proposal, resulting in an expansion in the volume of genetic testing compared</w:t>
      </w:r>
      <w:r w:rsidR="009310D8">
        <w:t xml:space="preserve"> with the original application.</w:t>
      </w:r>
    </w:p>
    <w:p w14:paraId="00C68057" w14:textId="77777777" w:rsidR="003C125E" w:rsidRDefault="00C51AF9" w:rsidP="008C7194">
      <w:pPr>
        <w:spacing w:before="240"/>
      </w:pPr>
      <w:r>
        <w:t xml:space="preserve">MSAC </w:t>
      </w:r>
      <w:r w:rsidR="009310D8">
        <w:t xml:space="preserve">further </w:t>
      </w:r>
      <w:r>
        <w:t>recalled that</w:t>
      </w:r>
      <w:r w:rsidR="009310D8">
        <w:t>,</w:t>
      </w:r>
      <w:r>
        <w:t xml:space="preserve"> at its November 2018 meeting, </w:t>
      </w:r>
      <w:r w:rsidR="009310D8">
        <w:t xml:space="preserve">it had </w:t>
      </w:r>
      <w:r w:rsidR="009310D8">
        <w:rPr>
          <w:szCs w:val="24"/>
        </w:rPr>
        <w:t xml:space="preserve">supported </w:t>
      </w:r>
      <w:r w:rsidR="009310D8" w:rsidRPr="006649B1">
        <w:rPr>
          <w:szCs w:val="24"/>
        </w:rPr>
        <w:t>MBS</w:t>
      </w:r>
      <w:r w:rsidR="009310D8">
        <w:rPr>
          <w:szCs w:val="24"/>
        </w:rPr>
        <w:t xml:space="preserve"> listing of next-generation WEA</w:t>
      </w:r>
      <w:r w:rsidR="009310D8" w:rsidRPr="006649B1">
        <w:rPr>
          <w:szCs w:val="24"/>
        </w:rPr>
        <w:t xml:space="preserve"> for childhood syndromes in affe</w:t>
      </w:r>
      <w:r w:rsidR="009310D8">
        <w:rPr>
          <w:szCs w:val="24"/>
        </w:rPr>
        <w:t xml:space="preserve">cted individuals, with limited reanalysis, and targeted </w:t>
      </w:r>
      <w:r w:rsidR="009310D8" w:rsidRPr="006649B1">
        <w:rPr>
          <w:szCs w:val="24"/>
        </w:rPr>
        <w:t>cascade testing of relatives</w:t>
      </w:r>
      <w:r w:rsidR="009310D8">
        <w:rPr>
          <w:szCs w:val="24"/>
        </w:rPr>
        <w:t xml:space="preserve"> of patients with a genetic diagnosis. It had also</w:t>
      </w:r>
      <w:r>
        <w:t xml:space="preserve"> advis</w:t>
      </w:r>
      <w:r w:rsidR="009310D8">
        <w:t>ed</w:t>
      </w:r>
      <w:r>
        <w:t xml:space="preserve"> that the utilisation estimates needed further consolidation and the proposed item descriptors needed further crafting</w:t>
      </w:r>
      <w:r w:rsidR="009310D8">
        <w:t xml:space="preserve">, and had </w:t>
      </w:r>
      <w:r>
        <w:t>requested that these be provided to the MSAC Executive for review.</w:t>
      </w:r>
    </w:p>
    <w:p w14:paraId="1B58A30C" w14:textId="7B2BCB00" w:rsidR="00C51AF9" w:rsidRDefault="00C51AF9" w:rsidP="003C125E">
      <w:pPr>
        <w:spacing w:before="240"/>
      </w:pPr>
      <w:r>
        <w:t xml:space="preserve">At its August 2019 meeting, MSAC </w:t>
      </w:r>
      <w:r w:rsidR="004F62D9">
        <w:t xml:space="preserve">supported as acceptable both </w:t>
      </w:r>
      <w:r>
        <w:t xml:space="preserve">the </w:t>
      </w:r>
      <w:r w:rsidR="003C125E">
        <w:t xml:space="preserve">proposed </w:t>
      </w:r>
      <w:r>
        <w:t xml:space="preserve">utilisation estimates </w:t>
      </w:r>
      <w:r w:rsidR="003C125E">
        <w:t xml:space="preserve">and the proposed item descriptors, noting that both </w:t>
      </w:r>
      <w:r>
        <w:t>had been revised multiple times</w:t>
      </w:r>
      <w:r w:rsidR="003C125E">
        <w:t>. MSAC noted that the residual issue was a request to reconsider an MBS item for trio testing</w:t>
      </w:r>
      <w:r>
        <w:t>.</w:t>
      </w:r>
    </w:p>
    <w:p w14:paraId="3273CC0A" w14:textId="352D5520" w:rsidR="00C51AF9" w:rsidRDefault="00C51AF9" w:rsidP="00C51AF9">
      <w:pPr>
        <w:spacing w:before="240"/>
      </w:pPr>
      <w:r>
        <w:t xml:space="preserve">MSAC recalled that at its November 2018 meeting, </w:t>
      </w:r>
      <w:r w:rsidR="002C21B4">
        <w:t>it had</w:t>
      </w:r>
      <w:r>
        <w:t xml:space="preserve"> excluded trio testing (where </w:t>
      </w:r>
      <w:r w:rsidR="002C21B4">
        <w:t xml:space="preserve">samples from </w:t>
      </w:r>
      <w:r>
        <w:t xml:space="preserve">the affected child and their parents are tested and sequenced </w:t>
      </w:r>
      <w:r w:rsidR="00046B7D">
        <w:t xml:space="preserve">concurrently </w:t>
      </w:r>
      <w:r>
        <w:t xml:space="preserve">rather than sequentially) from </w:t>
      </w:r>
      <w:r w:rsidR="00EE241D">
        <w:t xml:space="preserve">the </w:t>
      </w:r>
      <w:r>
        <w:t xml:space="preserve">item </w:t>
      </w:r>
      <w:r w:rsidR="00EE241D">
        <w:t>that allowed for singleton testing</w:t>
      </w:r>
      <w:r>
        <w:t>. The rationale was that the decision to request trio testing should be made by a sub-specialised clinical geneticist, in consultation with the laboratory, and that these services are typically located in public hospitals. However, the issue of trio testing ha</w:t>
      </w:r>
      <w:r w:rsidR="002C21B4">
        <w:t>d</w:t>
      </w:r>
      <w:r>
        <w:t xml:space="preserve"> been raised </w:t>
      </w:r>
      <w:r w:rsidR="002C21B4">
        <w:t xml:space="preserve">during futher </w:t>
      </w:r>
      <w:r>
        <w:t xml:space="preserve">stakeholder consultation and therefore was the focus of the </w:t>
      </w:r>
      <w:r w:rsidR="009310D8">
        <w:t xml:space="preserve">August 2019 </w:t>
      </w:r>
      <w:r w:rsidR="002C21B4">
        <w:t>discussion of this application</w:t>
      </w:r>
      <w:r w:rsidR="009310D8">
        <w:t>.</w:t>
      </w:r>
    </w:p>
    <w:p w14:paraId="1F677CD1" w14:textId="27278CC3" w:rsidR="00C51AF9" w:rsidRDefault="00C51AF9" w:rsidP="009310D8">
      <w:pPr>
        <w:spacing w:before="240" w:after="120"/>
      </w:pPr>
      <w:r>
        <w:t xml:space="preserve">MSAC noted </w:t>
      </w:r>
      <w:r w:rsidR="009310D8">
        <w:t xml:space="preserve">several </w:t>
      </w:r>
      <w:r>
        <w:t>advantages of trio testing:</w:t>
      </w:r>
    </w:p>
    <w:p w14:paraId="5A148F6E" w14:textId="0122C965" w:rsidR="00991C97" w:rsidRDefault="00991C97" w:rsidP="00991C97">
      <w:pPr>
        <w:pStyle w:val="Bullet"/>
        <w:ind w:left="720"/>
      </w:pPr>
      <w:r>
        <w:t xml:space="preserve">It has better diagnostic yield than singleton testing because </w:t>
      </w:r>
      <w:r w:rsidR="00046B7D">
        <w:t>it</w:t>
      </w:r>
      <w:r w:rsidR="005076BB">
        <w:t xml:space="preserve"> i</w:t>
      </w:r>
      <w:r w:rsidR="00046B7D">
        <w:t xml:space="preserve">s more straightforward to determine </w:t>
      </w:r>
      <w:r>
        <w:t xml:space="preserve">the pathogenic </w:t>
      </w:r>
      <w:r w:rsidRPr="00636926">
        <w:t>signific</w:t>
      </w:r>
      <w:r>
        <w:t>ance</w:t>
      </w:r>
      <w:r w:rsidRPr="00636926">
        <w:t xml:space="preserve"> of </w:t>
      </w:r>
      <w:r>
        <w:t xml:space="preserve">detected </w:t>
      </w:r>
      <w:r w:rsidRPr="00636926">
        <w:t>varian</w:t>
      </w:r>
      <w:r>
        <w:t>ts</w:t>
      </w:r>
      <w:r w:rsidRPr="00636926">
        <w:t xml:space="preserve"> </w:t>
      </w:r>
      <w:r w:rsidR="00046B7D">
        <w:t xml:space="preserve">where three rather than one </w:t>
      </w:r>
      <w:r w:rsidR="005076BB">
        <w:t xml:space="preserve">whole </w:t>
      </w:r>
      <w:r w:rsidR="00046B7D">
        <w:t>exome</w:t>
      </w:r>
      <w:r w:rsidR="005076BB">
        <w:t xml:space="preserve"> analyses</w:t>
      </w:r>
      <w:r w:rsidR="00046B7D">
        <w:t xml:space="preserve"> is available for concurrent analysis.</w:t>
      </w:r>
    </w:p>
    <w:p w14:paraId="602C27F4" w14:textId="1C98159A" w:rsidR="00C51AF9" w:rsidRDefault="00C51AF9" w:rsidP="009310D8">
      <w:pPr>
        <w:pStyle w:val="Bullet"/>
        <w:ind w:left="714" w:hanging="357"/>
      </w:pPr>
      <w:r>
        <w:t xml:space="preserve">The </w:t>
      </w:r>
      <w:r w:rsidR="00547F75">
        <w:t xml:space="preserve">assessment </w:t>
      </w:r>
      <w:r w:rsidR="009310D8">
        <w:t xml:space="preserve">of test results </w:t>
      </w:r>
      <w:r>
        <w:t xml:space="preserve">is easier than </w:t>
      </w:r>
      <w:r w:rsidR="009310D8">
        <w:t xml:space="preserve">those of </w:t>
      </w:r>
      <w:r>
        <w:t xml:space="preserve">singleton testing (the </w:t>
      </w:r>
      <w:r w:rsidR="009310D8">
        <w:t>pathologist</w:t>
      </w:r>
      <w:r w:rsidR="00547F75">
        <w:t xml:space="preserve"> usually</w:t>
      </w:r>
      <w:r>
        <w:t xml:space="preserve"> has approximately 50 variants to review, rather than 200).</w:t>
      </w:r>
    </w:p>
    <w:p w14:paraId="08EAC2D7" w14:textId="6E255479" w:rsidR="00C51AF9" w:rsidRDefault="00C51AF9" w:rsidP="007162EC">
      <w:pPr>
        <w:pStyle w:val="BulletLast"/>
        <w:ind w:left="714" w:hanging="357"/>
      </w:pPr>
      <w:r>
        <w:t xml:space="preserve">It saves </w:t>
      </w:r>
      <w:r w:rsidR="009310D8">
        <w:t xml:space="preserve">pathologist’s </w:t>
      </w:r>
      <w:r>
        <w:t>time.</w:t>
      </w:r>
    </w:p>
    <w:p w14:paraId="314157A5" w14:textId="358D2D7B" w:rsidR="00C51AF9" w:rsidRDefault="00C51AF9" w:rsidP="00C51AF9">
      <w:r>
        <w:lastRenderedPageBreak/>
        <w:t xml:space="preserve">However, MSAC noted that </w:t>
      </w:r>
      <w:r w:rsidR="007162EC">
        <w:t xml:space="preserve">the cost of </w:t>
      </w:r>
      <w:r>
        <w:t xml:space="preserve">reagents </w:t>
      </w:r>
      <w:r w:rsidR="00991C97">
        <w:t xml:space="preserve">would be </w:t>
      </w:r>
      <w:r w:rsidR="007162EC">
        <w:t xml:space="preserve">greater </w:t>
      </w:r>
      <w:r w:rsidR="00046B7D">
        <w:t xml:space="preserve">for trio compared with </w:t>
      </w:r>
      <w:r w:rsidR="007162EC">
        <w:t xml:space="preserve">singleton testing, </w:t>
      </w:r>
      <w:r>
        <w:t xml:space="preserve">because three samples </w:t>
      </w:r>
      <w:r w:rsidR="007162EC">
        <w:t xml:space="preserve">would be </w:t>
      </w:r>
      <w:r w:rsidR="002C21B4">
        <w:t>sequenced instead of just one.</w:t>
      </w:r>
    </w:p>
    <w:p w14:paraId="32CC2EDB" w14:textId="0647D21A" w:rsidR="00C51AF9" w:rsidRDefault="00C51AF9" w:rsidP="00C51AF9">
      <w:pPr>
        <w:spacing w:before="240"/>
      </w:pPr>
      <w:r>
        <w:t>MSAC also noted that trio testing</w:t>
      </w:r>
      <w:r w:rsidRPr="000076DF">
        <w:t xml:space="preserve"> </w:t>
      </w:r>
      <w:r>
        <w:t>r</w:t>
      </w:r>
      <w:r w:rsidRPr="000076DF">
        <w:t xml:space="preserve">equires more effort from the requesting clinician to obtain samples from the three biological relatives rather than just the affected </w:t>
      </w:r>
      <w:r w:rsidR="00991C97">
        <w:t>child</w:t>
      </w:r>
      <w:r w:rsidRPr="000076DF">
        <w:t>.</w:t>
      </w:r>
      <w:r>
        <w:t xml:space="preserve"> However, despite the additional work required, the forecast of relative uptake is </w:t>
      </w:r>
      <w:r w:rsidRPr="000076DF">
        <w:t>75:25 singleton:trio testing in year 1, 50:50 in year 2, 33:67 in year 3 and 25:75 in year 4 (and beyond).</w:t>
      </w:r>
      <w:r>
        <w:t xml:space="preserve"> MSAC noted that these data were from limited laboratories and that singleton testing w</w:t>
      </w:r>
      <w:r w:rsidR="002C21B4">
        <w:t>ould</w:t>
      </w:r>
      <w:r>
        <w:t xml:space="preserve"> continue to be used.</w:t>
      </w:r>
    </w:p>
    <w:p w14:paraId="5E2E6032" w14:textId="3D776A07" w:rsidR="00C51AF9" w:rsidRDefault="00C51AF9" w:rsidP="00C51AF9">
      <w:pPr>
        <w:spacing w:before="240"/>
      </w:pPr>
      <w:r>
        <w:t xml:space="preserve">MSAC </w:t>
      </w:r>
      <w:r w:rsidR="002C21B4">
        <w:t xml:space="preserve">advised that a second item for </w:t>
      </w:r>
      <w:r>
        <w:t xml:space="preserve">trio testing should be </w:t>
      </w:r>
      <w:r w:rsidR="002C21B4">
        <w:t xml:space="preserve">listed alongside </w:t>
      </w:r>
      <w:r w:rsidR="00EE241D">
        <w:t xml:space="preserve">the </w:t>
      </w:r>
      <w:r>
        <w:t>item</w:t>
      </w:r>
      <w:r w:rsidR="00046B7D">
        <w:t xml:space="preserve"> </w:t>
      </w:r>
      <w:r w:rsidR="00EE241D">
        <w:t>for singleton testing</w:t>
      </w:r>
      <w:r w:rsidR="002C21B4">
        <w:t xml:space="preserve">, noting that </w:t>
      </w:r>
      <w:r w:rsidR="00046B7D">
        <w:t xml:space="preserve">the appropriate fee was </w:t>
      </w:r>
      <w:r w:rsidR="002C21B4">
        <w:t>uncertain</w:t>
      </w:r>
      <w:r w:rsidR="00046B7D">
        <w:t xml:space="preserve">. </w:t>
      </w:r>
      <w:r>
        <w:t xml:space="preserve">MSAC </w:t>
      </w:r>
      <w:r w:rsidR="002C21B4">
        <w:t xml:space="preserve">therefore advised that if a fee could not be agreed to, then it would </w:t>
      </w:r>
      <w:r>
        <w:t xml:space="preserve">be better to omit trio testing </w:t>
      </w:r>
      <w:r w:rsidR="00991C97">
        <w:t xml:space="preserve">in implementing its advice </w:t>
      </w:r>
      <w:r>
        <w:t xml:space="preserve">rather than delay the </w:t>
      </w:r>
      <w:r w:rsidR="00991C97">
        <w:t xml:space="preserve">rest of the implementation </w:t>
      </w:r>
      <w:r>
        <w:t>by 6 months or more. MSAC noted that that a small fee increase w</w:t>
      </w:r>
      <w:r w:rsidR="00991C97">
        <w:t>ould</w:t>
      </w:r>
      <w:r>
        <w:t xml:space="preserve"> not significantly impact the budget </w:t>
      </w:r>
      <w:r w:rsidR="00991C97">
        <w:t xml:space="preserve">implications overall </w:t>
      </w:r>
      <w:r>
        <w:t xml:space="preserve">and that sequencing costs are falling, so there could be an argument for a further adjustment at a later date. </w:t>
      </w:r>
      <w:r w:rsidR="00991C97">
        <w:t>However, s</w:t>
      </w:r>
      <w:r>
        <w:t xml:space="preserve">etting a </w:t>
      </w:r>
      <w:r w:rsidR="002C21B4">
        <w:t xml:space="preserve">reasonable fee sooner would </w:t>
      </w:r>
      <w:r>
        <w:t>allow</w:t>
      </w:r>
      <w:r w:rsidR="002C21B4">
        <w:t xml:space="preserve"> trio testing to be funded earlier alongside singleton testing</w:t>
      </w:r>
      <w:r w:rsidR="007162EC">
        <w:t xml:space="preserve"> and would allow data to be collected on the relative uptake of the two approaches</w:t>
      </w:r>
      <w:r w:rsidR="002C21B4">
        <w:t>.</w:t>
      </w:r>
    </w:p>
    <w:p w14:paraId="7F9D1ADB" w14:textId="2419CE4E" w:rsidR="007162EC" w:rsidRDefault="00C51AF9" w:rsidP="007162EC">
      <w:pPr>
        <w:spacing w:before="240"/>
      </w:pPr>
      <w:r>
        <w:t xml:space="preserve">MSAC noted that, if </w:t>
      </w:r>
      <w:r w:rsidR="00991C97">
        <w:t xml:space="preserve">singleton and parental </w:t>
      </w:r>
      <w:r>
        <w:t>testing is done sequentially, then there is a significant amount of set up that is required, and that this set up is not required for trio testing</w:t>
      </w:r>
      <w:r w:rsidR="007162EC">
        <w:t>, and economies of scale would be expected with wider uptake of trio testing</w:t>
      </w:r>
      <w:r>
        <w:t xml:space="preserve">. MSAC noted that currently the fee is $400 when looking </w:t>
      </w:r>
      <w:r w:rsidR="002C21B4">
        <w:t xml:space="preserve">a </w:t>
      </w:r>
      <w:r>
        <w:t xml:space="preserve">variant in </w:t>
      </w:r>
      <w:r w:rsidR="002C21B4">
        <w:t xml:space="preserve">biological </w:t>
      </w:r>
      <w:r>
        <w:t xml:space="preserve">parents, so for two parents that is an additional cost of $800. Based on this figure, </w:t>
      </w:r>
      <w:r w:rsidR="00547F75">
        <w:t xml:space="preserve">and noting that the fee for </w:t>
      </w:r>
      <w:r w:rsidR="005076BB">
        <w:t xml:space="preserve">singleton testing </w:t>
      </w:r>
      <w:r w:rsidR="00547F75">
        <w:t xml:space="preserve">was now expected to be $2,100, </w:t>
      </w:r>
      <w:r>
        <w:t xml:space="preserve">MSAC </w:t>
      </w:r>
      <w:r w:rsidR="002C21B4">
        <w:t xml:space="preserve">advised </w:t>
      </w:r>
      <w:r>
        <w:t xml:space="preserve">an upper </w:t>
      </w:r>
      <w:r w:rsidR="002C21B4">
        <w:t xml:space="preserve">fee </w:t>
      </w:r>
      <w:r>
        <w:t xml:space="preserve">limit of $2,900 for trio testing, </w:t>
      </w:r>
      <w:r w:rsidR="007162EC">
        <w:t>and</w:t>
      </w:r>
      <w:r w:rsidR="002C21B4">
        <w:t xml:space="preserve"> suggested </w:t>
      </w:r>
      <w:r>
        <w:t xml:space="preserve">that this </w:t>
      </w:r>
      <w:r w:rsidR="002C21B4">
        <w:t xml:space="preserve">fee </w:t>
      </w:r>
      <w:r>
        <w:t>be reviewed 2 years</w:t>
      </w:r>
      <w:r w:rsidR="002C21B4">
        <w:t xml:space="preserve"> after listing</w:t>
      </w:r>
      <w:r w:rsidR="007816D4">
        <w:t>, alongside a broader review of the utilisation of the items overall</w:t>
      </w:r>
      <w:r>
        <w:t>.</w:t>
      </w:r>
    </w:p>
    <w:p w14:paraId="385FB967" w14:textId="5D0038BA" w:rsidR="00EE241D" w:rsidRPr="005E6563" w:rsidRDefault="00EE241D" w:rsidP="005E6563">
      <w:pPr>
        <w:rPr>
          <w:i/>
        </w:rPr>
      </w:pPr>
      <w:r w:rsidRPr="005E6563">
        <w:rPr>
          <w:i/>
        </w:rPr>
        <w:t>Item descriptor</w:t>
      </w:r>
    </w:p>
    <w:p w14:paraId="7FB39706" w14:textId="256188BB" w:rsidR="00EE241D" w:rsidRDefault="00EE241D" w:rsidP="00C23A01">
      <w:pPr>
        <w:spacing w:before="240" w:after="120"/>
      </w:pPr>
      <w:r>
        <w:t>MSAC disagreed with the proposal in the papers that would allow a pathologist to initiate trio testing in place of singleton testing, preferring that the definition of the requester for trio testing be the same as for singleton testing.</w:t>
      </w:r>
    </w:p>
    <w:tbl>
      <w:tblPr>
        <w:tblStyle w:val="TableGrid"/>
        <w:tblW w:w="0" w:type="auto"/>
        <w:tblLook w:val="04A0" w:firstRow="1" w:lastRow="0" w:firstColumn="1" w:lastColumn="0" w:noHBand="0" w:noVBand="1"/>
        <w:tblDescription w:val="Proposed MBS item"/>
      </w:tblPr>
      <w:tblGrid>
        <w:gridCol w:w="9016"/>
      </w:tblGrid>
      <w:tr w:rsidR="000355B8" w14:paraId="3B74756C" w14:textId="77777777" w:rsidTr="000355B8">
        <w:trPr>
          <w:tblHeader/>
        </w:trPr>
        <w:tc>
          <w:tcPr>
            <w:tcW w:w="9016" w:type="dxa"/>
          </w:tcPr>
          <w:p w14:paraId="2E422AE6" w14:textId="5534A8CD" w:rsidR="000355B8" w:rsidRDefault="000355B8" w:rsidP="00117348">
            <w:pPr>
              <w:spacing w:before="120" w:after="120"/>
            </w:pPr>
            <w:r>
              <w:rPr>
                <w:szCs w:val="24"/>
              </w:rPr>
              <w:t>Proposed MBS Item</w:t>
            </w:r>
          </w:p>
        </w:tc>
      </w:tr>
      <w:tr w:rsidR="000355B8" w14:paraId="388363E9" w14:textId="77777777" w:rsidTr="000355B8">
        <w:tc>
          <w:tcPr>
            <w:tcW w:w="9016" w:type="dxa"/>
          </w:tcPr>
          <w:p w14:paraId="470B2524" w14:textId="77777777" w:rsidR="000355B8" w:rsidRPr="004F62D9" w:rsidRDefault="000355B8" w:rsidP="000355B8">
            <w:pPr>
              <w:rPr>
                <w:szCs w:val="24"/>
              </w:rPr>
            </w:pPr>
            <w:r w:rsidRPr="004F62D9">
              <w:rPr>
                <w:szCs w:val="24"/>
              </w:rPr>
              <w:t>MBS item number: AAAAA2</w:t>
            </w:r>
          </w:p>
          <w:p w14:paraId="119CBB89" w14:textId="77777777" w:rsidR="000355B8" w:rsidRPr="004F62D9" w:rsidRDefault="000355B8" w:rsidP="000355B8">
            <w:pPr>
              <w:spacing w:before="20" w:after="20"/>
              <w:rPr>
                <w:rFonts w:ascii="Calibri" w:eastAsia="Calibri" w:hAnsi="Calibri" w:cs="Calibri"/>
                <w:szCs w:val="24"/>
                <w:lang w:eastAsia="en-AU"/>
              </w:rPr>
            </w:pPr>
            <w:r w:rsidRPr="004F62D9">
              <w:rPr>
                <w:rFonts w:ascii="Calibri" w:eastAsia="Calibri" w:hAnsi="Calibri" w:cs="Calibri"/>
                <w:szCs w:val="24"/>
                <w:lang w:eastAsia="en-AU"/>
              </w:rPr>
              <w:t xml:space="preserve">Characterisation of germline variants known to cause monogenic disorders via whole exome or genome sequencing and analysis, as requested by a clinical geneticist or a consultant physician practising as a specialist paediatrician in consultation </w:t>
            </w:r>
            <w:r>
              <w:rPr>
                <w:rFonts w:ascii="Calibri" w:eastAsia="Calibri" w:hAnsi="Calibri" w:cs="Calibri"/>
                <w:szCs w:val="24"/>
                <w:lang w:eastAsia="en-AU"/>
              </w:rPr>
              <w:t xml:space="preserve">with </w:t>
            </w:r>
            <w:r w:rsidRPr="004F62D9">
              <w:rPr>
                <w:rFonts w:ascii="Calibri" w:eastAsia="Calibri" w:hAnsi="Calibri" w:cs="Calibri"/>
                <w:szCs w:val="24"/>
                <w:lang w:eastAsia="en-AU"/>
              </w:rPr>
              <w:t>a clinical geneticist in a patient aged ten years or younger with a strong suspicion of a monogenic condition based on the presence of any one of the two following clinical criteria:</w:t>
            </w:r>
          </w:p>
          <w:p w14:paraId="44D327FF" w14:textId="77777777" w:rsidR="000355B8" w:rsidRPr="004F62D9" w:rsidRDefault="000355B8" w:rsidP="000355B8">
            <w:pPr>
              <w:spacing w:before="20" w:after="20"/>
              <w:rPr>
                <w:rFonts w:ascii="Calibri" w:eastAsia="Calibri" w:hAnsi="Calibri" w:cs="Calibri"/>
                <w:szCs w:val="24"/>
                <w:lang w:eastAsia="en-AU"/>
              </w:rPr>
            </w:pPr>
            <w:r w:rsidRPr="004F62D9">
              <w:rPr>
                <w:rFonts w:ascii="Calibri" w:eastAsia="Calibri" w:hAnsi="Calibri" w:cs="Calibri"/>
                <w:szCs w:val="24"/>
                <w:lang w:eastAsia="en-AU"/>
              </w:rPr>
              <w:t>1. dysmorphic facial appearance and one or more major structural congenital anomalies; or</w:t>
            </w:r>
          </w:p>
          <w:p w14:paraId="73B2486F" w14:textId="77777777" w:rsidR="000355B8" w:rsidRPr="004F62D9" w:rsidRDefault="000355B8" w:rsidP="000355B8">
            <w:pPr>
              <w:spacing w:before="20" w:after="20"/>
              <w:rPr>
                <w:rFonts w:ascii="Calibri" w:eastAsia="Calibri" w:hAnsi="Calibri" w:cs="Calibri"/>
                <w:szCs w:val="24"/>
                <w:lang w:eastAsia="en-AU"/>
              </w:rPr>
            </w:pPr>
            <w:r w:rsidRPr="004F62D9">
              <w:rPr>
                <w:rFonts w:ascii="Calibri" w:eastAsia="Calibri" w:hAnsi="Calibri" w:cs="Calibri"/>
                <w:szCs w:val="24"/>
                <w:lang w:eastAsia="en-AU"/>
              </w:rPr>
              <w:t>2. intellectual disability or global developmental delay of at least moderate severity to be determined by a specialist paediatrician.</w:t>
            </w:r>
          </w:p>
          <w:p w14:paraId="1991D29F" w14:textId="77777777" w:rsidR="000355B8" w:rsidRPr="004F62D9" w:rsidRDefault="000355B8" w:rsidP="000355B8">
            <w:pPr>
              <w:spacing w:before="20" w:after="20"/>
              <w:rPr>
                <w:rFonts w:ascii="Calibri" w:eastAsia="Calibri" w:hAnsi="Calibri" w:cs="Calibri"/>
                <w:szCs w:val="24"/>
                <w:lang w:eastAsia="en-AU"/>
              </w:rPr>
            </w:pPr>
            <w:r w:rsidRPr="004F62D9">
              <w:rPr>
                <w:rFonts w:ascii="Calibri" w:eastAsia="Calibri" w:hAnsi="Calibri" w:cs="Calibri"/>
                <w:szCs w:val="24"/>
                <w:lang w:eastAsia="en-AU"/>
              </w:rPr>
              <w:t>Performed only after non-informative micro-array testing (item 73292) of the patient.</w:t>
            </w:r>
          </w:p>
          <w:p w14:paraId="0A49E0D3" w14:textId="77777777" w:rsidR="000355B8" w:rsidRPr="004F62D9" w:rsidRDefault="000355B8" w:rsidP="000355B8">
            <w:pPr>
              <w:spacing w:before="20" w:after="20"/>
              <w:rPr>
                <w:rFonts w:ascii="Calibri" w:eastAsia="Calibri" w:hAnsi="Calibri" w:cs="Calibri"/>
                <w:szCs w:val="24"/>
                <w:lang w:eastAsia="en-AU"/>
              </w:rPr>
            </w:pPr>
            <w:r w:rsidRPr="004F62D9">
              <w:rPr>
                <w:rFonts w:ascii="Calibri" w:eastAsia="Calibri" w:hAnsi="Calibri" w:cs="Calibri"/>
                <w:szCs w:val="24"/>
                <w:lang w:eastAsia="en-AU"/>
              </w:rPr>
              <w:t>Performed on a sample from the patient plus a sample from each of the biological parents.</w:t>
            </w:r>
          </w:p>
          <w:p w14:paraId="4F42C7EE" w14:textId="77777777" w:rsidR="000355B8" w:rsidRDefault="000355B8" w:rsidP="000355B8">
            <w:pPr>
              <w:spacing w:before="20" w:after="20"/>
              <w:rPr>
                <w:rFonts w:ascii="Calibri" w:eastAsia="Calibri" w:hAnsi="Calibri" w:cs="Calibri"/>
                <w:szCs w:val="24"/>
                <w:lang w:eastAsia="en-AU"/>
              </w:rPr>
            </w:pPr>
            <w:r w:rsidRPr="004F62D9">
              <w:rPr>
                <w:rFonts w:ascii="Calibri" w:eastAsia="Calibri" w:hAnsi="Calibri" w:cs="Calibri"/>
                <w:szCs w:val="24"/>
                <w:lang w:eastAsia="en-AU"/>
              </w:rPr>
              <w:t>Performed no more than once per patient per lifetime.</w:t>
            </w:r>
          </w:p>
          <w:p w14:paraId="4FFCE807" w14:textId="77777777" w:rsidR="000355B8" w:rsidRPr="004F62D9" w:rsidRDefault="000355B8" w:rsidP="000355B8">
            <w:pPr>
              <w:spacing w:before="20" w:after="20"/>
              <w:rPr>
                <w:rFonts w:ascii="Calibri" w:eastAsia="Calibri" w:hAnsi="Calibri" w:cs="Calibri"/>
                <w:szCs w:val="24"/>
                <w:lang w:eastAsia="en-AU"/>
              </w:rPr>
            </w:pPr>
            <w:r>
              <w:rPr>
                <w:rFonts w:ascii="Calibri" w:eastAsia="Calibri" w:hAnsi="Calibri" w:cs="Calibri"/>
                <w:szCs w:val="24"/>
                <w:lang w:eastAsia="en-AU"/>
              </w:rPr>
              <w:lastRenderedPageBreak/>
              <w:t>Only to be performed where the referring specialist deems that singleton testing is inappropriate.</w:t>
            </w:r>
          </w:p>
          <w:p w14:paraId="345E23F8" w14:textId="77777777" w:rsidR="000355B8" w:rsidRPr="004F62D9" w:rsidRDefault="000355B8" w:rsidP="000355B8">
            <w:pPr>
              <w:spacing w:before="20" w:after="20"/>
              <w:rPr>
                <w:rFonts w:ascii="Calibri" w:eastAsia="Calibri" w:hAnsi="Calibri" w:cs="Calibri"/>
                <w:szCs w:val="24"/>
                <w:lang w:eastAsia="en-AU"/>
              </w:rPr>
            </w:pPr>
            <w:r w:rsidRPr="004F62D9">
              <w:rPr>
                <w:rFonts w:ascii="Calibri" w:eastAsia="Calibri" w:hAnsi="Calibri" w:cs="Calibri"/>
                <w:szCs w:val="24"/>
                <w:lang w:eastAsia="en-AU"/>
              </w:rPr>
              <w:t>Not performed if AAAAA</w:t>
            </w:r>
            <w:r>
              <w:rPr>
                <w:rFonts w:ascii="Calibri" w:eastAsia="Calibri" w:hAnsi="Calibri" w:cs="Calibri"/>
                <w:szCs w:val="24"/>
                <w:lang w:eastAsia="en-AU"/>
              </w:rPr>
              <w:t>1</w:t>
            </w:r>
            <w:r w:rsidRPr="004F62D9">
              <w:rPr>
                <w:rFonts w:ascii="Calibri" w:eastAsia="Calibri" w:hAnsi="Calibri" w:cs="Calibri"/>
                <w:szCs w:val="24"/>
                <w:lang w:eastAsia="en-AU"/>
              </w:rPr>
              <w:t xml:space="preserve"> has been performed.</w:t>
            </w:r>
          </w:p>
          <w:p w14:paraId="1A96A941" w14:textId="77777777" w:rsidR="000355B8" w:rsidRPr="004F62D9" w:rsidRDefault="000355B8" w:rsidP="000355B8">
            <w:pPr>
              <w:spacing w:before="20" w:after="20"/>
              <w:rPr>
                <w:rFonts w:eastAsia="Calibri"/>
                <w:szCs w:val="24"/>
                <w:lang w:eastAsia="en-AU"/>
              </w:rPr>
            </w:pPr>
            <w:r w:rsidRPr="004F62D9">
              <w:rPr>
                <w:rFonts w:ascii="Calibri" w:eastAsia="Calibri" w:hAnsi="Calibri" w:cs="Calibri"/>
                <w:szCs w:val="24"/>
                <w:lang w:eastAsia="en-AU"/>
              </w:rPr>
              <w:t>MBS Fee: $2,</w:t>
            </w:r>
            <w:r>
              <w:rPr>
                <w:rFonts w:ascii="Calibri" w:eastAsia="Calibri" w:hAnsi="Calibri" w:cs="Calibri"/>
                <w:szCs w:val="24"/>
                <w:lang w:eastAsia="en-AU"/>
              </w:rPr>
              <w:t>9</w:t>
            </w:r>
            <w:r w:rsidRPr="004F62D9">
              <w:rPr>
                <w:rFonts w:ascii="Calibri" w:eastAsia="Calibri" w:hAnsi="Calibri" w:cs="Calibri"/>
                <w:szCs w:val="24"/>
                <w:lang w:eastAsia="en-AU"/>
              </w:rPr>
              <w:t>00.00</w:t>
            </w:r>
          </w:p>
          <w:p w14:paraId="20E7D305" w14:textId="77777777" w:rsidR="000355B8" w:rsidRPr="004F62D9" w:rsidRDefault="000355B8" w:rsidP="000355B8">
            <w:pPr>
              <w:spacing w:before="20" w:after="20"/>
              <w:rPr>
                <w:rFonts w:ascii="Calibri" w:eastAsia="Calibri" w:hAnsi="Calibri" w:cs="Calibri"/>
                <w:szCs w:val="24"/>
                <w:lang w:eastAsia="en-AU"/>
              </w:rPr>
            </w:pPr>
            <w:r w:rsidRPr="004F62D9">
              <w:rPr>
                <w:rFonts w:ascii="Calibri" w:eastAsia="Calibri" w:hAnsi="Calibri" w:cs="Calibri"/>
                <w:szCs w:val="24"/>
                <w:lang w:eastAsia="en-AU"/>
              </w:rPr>
              <w:t>Benefit: 75% = $</w:t>
            </w:r>
            <w:r>
              <w:rPr>
                <w:rFonts w:ascii="Calibri" w:eastAsia="Calibri" w:hAnsi="Calibri" w:cs="Calibri"/>
                <w:szCs w:val="24"/>
                <w:lang w:eastAsia="en-AU"/>
              </w:rPr>
              <w:t>2</w:t>
            </w:r>
            <w:r w:rsidRPr="004F62D9">
              <w:rPr>
                <w:rFonts w:ascii="Calibri" w:eastAsia="Calibri" w:hAnsi="Calibri" w:cs="Calibri"/>
                <w:szCs w:val="24"/>
                <w:lang w:eastAsia="en-AU"/>
              </w:rPr>
              <w:t>,</w:t>
            </w:r>
            <w:r>
              <w:rPr>
                <w:rFonts w:ascii="Calibri" w:eastAsia="Calibri" w:hAnsi="Calibri" w:cs="Calibri"/>
                <w:szCs w:val="24"/>
                <w:lang w:eastAsia="en-AU"/>
              </w:rPr>
              <w:t>175</w:t>
            </w:r>
            <w:r w:rsidRPr="004F62D9">
              <w:rPr>
                <w:rFonts w:ascii="Calibri" w:eastAsia="Calibri" w:hAnsi="Calibri" w:cs="Calibri"/>
                <w:szCs w:val="24"/>
                <w:lang w:eastAsia="en-AU"/>
              </w:rPr>
              <w:t>.00 85% = $2,4</w:t>
            </w:r>
            <w:r>
              <w:rPr>
                <w:rFonts w:ascii="Calibri" w:eastAsia="Calibri" w:hAnsi="Calibri" w:cs="Calibri"/>
                <w:szCs w:val="24"/>
                <w:lang w:eastAsia="en-AU"/>
              </w:rPr>
              <w:t>65</w:t>
            </w:r>
            <w:r w:rsidRPr="004F62D9">
              <w:rPr>
                <w:rFonts w:ascii="Calibri" w:eastAsia="Calibri" w:hAnsi="Calibri" w:cs="Calibri"/>
                <w:szCs w:val="24"/>
                <w:lang w:eastAsia="en-AU"/>
              </w:rPr>
              <w:t>.00</w:t>
            </w:r>
          </w:p>
          <w:p w14:paraId="78972754" w14:textId="77777777" w:rsidR="000355B8" w:rsidRPr="004F62D9" w:rsidRDefault="000355B8" w:rsidP="000355B8">
            <w:pPr>
              <w:spacing w:before="20" w:after="20"/>
              <w:rPr>
                <w:rFonts w:ascii="Calibri" w:eastAsia="Calibri" w:hAnsi="Calibri" w:cs="Calibri"/>
                <w:szCs w:val="24"/>
                <w:lang w:eastAsia="en-AU"/>
              </w:rPr>
            </w:pPr>
            <w:r w:rsidRPr="004F62D9">
              <w:rPr>
                <w:rFonts w:ascii="Calibri" w:eastAsia="Calibri" w:hAnsi="Calibri" w:cs="Calibri"/>
                <w:szCs w:val="24"/>
                <w:lang w:eastAsia="en-AU"/>
              </w:rPr>
              <w:t>Practice Notes X.X.XX</w:t>
            </w:r>
          </w:p>
          <w:p w14:paraId="59CCAA6A" w14:textId="77777777" w:rsidR="000355B8" w:rsidRPr="004F62D9" w:rsidRDefault="000355B8" w:rsidP="000355B8">
            <w:pPr>
              <w:spacing w:before="20" w:after="20"/>
              <w:rPr>
                <w:rFonts w:ascii="Calibri" w:eastAsia="Calibri" w:hAnsi="Calibri" w:cs="Calibri"/>
                <w:szCs w:val="24"/>
                <w:lang w:eastAsia="en-AU"/>
              </w:rPr>
            </w:pPr>
            <w:r w:rsidRPr="004F62D9">
              <w:rPr>
                <w:rFonts w:ascii="Calibri" w:eastAsia="Calibri" w:hAnsi="Calibri" w:cs="Calibri"/>
                <w:szCs w:val="24"/>
                <w:lang w:eastAsia="en-AU"/>
              </w:rPr>
              <w:t>Intellectual disability or global developmental delay of at least moderate severity, to be determined by a specialist paediatrician according to DSM-5 criteria.</w:t>
            </w:r>
          </w:p>
          <w:p w14:paraId="7DC98F17" w14:textId="1BB289BD" w:rsidR="000355B8" w:rsidRDefault="000355B8" w:rsidP="000355B8">
            <w:pPr>
              <w:spacing w:before="120" w:after="120"/>
            </w:pPr>
            <w:r w:rsidRPr="004F62D9">
              <w:rPr>
                <w:rFonts w:ascii="Calibri" w:eastAsia="Calibri" w:hAnsi="Calibri" w:cs="Calibri"/>
                <w:szCs w:val="24"/>
                <w:lang w:eastAsia="en-AU"/>
              </w:rPr>
              <w:t>Appropriate genetic counselling should be provided to the patient either by the specialist treating practitioner, a genetic counselling service or a clinical geneticist on referral</w:t>
            </w:r>
          </w:p>
        </w:tc>
      </w:tr>
    </w:tbl>
    <w:p w14:paraId="4B46D248" w14:textId="4D1AB119" w:rsidR="000F44F9" w:rsidRDefault="000F44F9" w:rsidP="00117348">
      <w:pPr>
        <w:pStyle w:val="Heading2"/>
        <w:keepNext w:val="0"/>
        <w:keepLines w:val="0"/>
        <w:spacing w:after="120"/>
      </w:pPr>
      <w:r>
        <w:lastRenderedPageBreak/>
        <w:t>Other MSAC-supported MBS items</w:t>
      </w:r>
    </w:p>
    <w:tbl>
      <w:tblPr>
        <w:tblStyle w:val="TableGrid"/>
        <w:tblW w:w="0" w:type="auto"/>
        <w:tblLook w:val="04A0" w:firstRow="1" w:lastRow="0" w:firstColumn="1" w:lastColumn="0" w:noHBand="0" w:noVBand="1"/>
        <w:tblDescription w:val="Proposed MBS items"/>
      </w:tblPr>
      <w:tblGrid>
        <w:gridCol w:w="9016"/>
      </w:tblGrid>
      <w:tr w:rsidR="000355B8" w14:paraId="6EBFB261" w14:textId="77777777" w:rsidTr="000355B8">
        <w:trPr>
          <w:tblHeader/>
        </w:trPr>
        <w:tc>
          <w:tcPr>
            <w:tcW w:w="9016" w:type="dxa"/>
          </w:tcPr>
          <w:p w14:paraId="39AE4CA9" w14:textId="28DEF3ED" w:rsidR="000355B8" w:rsidRDefault="000355B8" w:rsidP="000355B8">
            <w:pPr>
              <w:spacing w:before="120" w:after="120"/>
            </w:pPr>
            <w:r>
              <w:t>Proposed MBS Items</w:t>
            </w:r>
          </w:p>
        </w:tc>
      </w:tr>
      <w:tr w:rsidR="000355B8" w14:paraId="4FDAB068" w14:textId="77777777" w:rsidTr="000355B8">
        <w:tc>
          <w:tcPr>
            <w:tcW w:w="9016" w:type="dxa"/>
          </w:tcPr>
          <w:p w14:paraId="2AEA2C93" w14:textId="77777777" w:rsidR="000355B8" w:rsidRPr="000F44F9" w:rsidRDefault="000355B8" w:rsidP="000355B8">
            <w:pPr>
              <w:rPr>
                <w:b/>
                <w:szCs w:val="24"/>
                <w:lang w:val="en-GB"/>
              </w:rPr>
            </w:pPr>
            <w:r w:rsidRPr="000F44F9">
              <w:rPr>
                <w:szCs w:val="24"/>
              </w:rPr>
              <w:t>MBS item number: AAAAA1</w:t>
            </w:r>
          </w:p>
          <w:p w14:paraId="74BCCE8D" w14:textId="77777777" w:rsidR="000355B8" w:rsidRPr="000F44F9" w:rsidRDefault="000355B8" w:rsidP="000355B8">
            <w:pPr>
              <w:rPr>
                <w:szCs w:val="24"/>
              </w:rPr>
            </w:pPr>
            <w:r w:rsidRPr="000F44F9">
              <w:rPr>
                <w:szCs w:val="24"/>
              </w:rPr>
              <w:t>Characterisation of germline variants known to cause monogenic disorders via whole exome or genome sequencing and analysis, as requested by a consultant physician practising as a clinical geneticist or a consultant physician practising as a specialist paediatrician, following consultation with a clinical geneticist, in a patient aged ten years or younger with a strong suspicion of a monogenic condition based on the presence of any one of the two following clinical criteria:</w:t>
            </w:r>
          </w:p>
          <w:p w14:paraId="0A4CFE8C" w14:textId="77777777" w:rsidR="000355B8" w:rsidRPr="000F44F9" w:rsidRDefault="000355B8" w:rsidP="000355B8">
            <w:pPr>
              <w:rPr>
                <w:szCs w:val="24"/>
              </w:rPr>
            </w:pPr>
            <w:r w:rsidRPr="000F44F9">
              <w:rPr>
                <w:szCs w:val="24"/>
              </w:rPr>
              <w:t>1. dysmorphic facial appearance and one or more major structural congenital anomalies; or</w:t>
            </w:r>
          </w:p>
          <w:p w14:paraId="46CDF622" w14:textId="77777777" w:rsidR="000355B8" w:rsidRPr="000F44F9" w:rsidRDefault="000355B8" w:rsidP="000355B8">
            <w:pPr>
              <w:rPr>
                <w:szCs w:val="24"/>
              </w:rPr>
            </w:pPr>
            <w:r w:rsidRPr="000F44F9">
              <w:rPr>
                <w:szCs w:val="24"/>
              </w:rPr>
              <w:t>2. i</w:t>
            </w:r>
            <w:r w:rsidRPr="000F44F9">
              <w:rPr>
                <w:bCs/>
                <w:iCs/>
                <w:szCs w:val="24"/>
              </w:rPr>
              <w:t>ntellectual disability or global developmental delay of at least moderate severity to be determined by a specialist paediatrician.</w:t>
            </w:r>
          </w:p>
          <w:p w14:paraId="666855CF" w14:textId="77777777" w:rsidR="000355B8" w:rsidRPr="000F44F9" w:rsidRDefault="000355B8" w:rsidP="000355B8">
            <w:pPr>
              <w:rPr>
                <w:szCs w:val="24"/>
              </w:rPr>
            </w:pPr>
            <w:r w:rsidRPr="000F44F9">
              <w:rPr>
                <w:szCs w:val="24"/>
              </w:rPr>
              <w:t>Performed only after non-informative micro-array testing (item 73292).</w:t>
            </w:r>
          </w:p>
          <w:p w14:paraId="4BB0CFC6" w14:textId="77777777" w:rsidR="000355B8" w:rsidRPr="000F44F9" w:rsidRDefault="000355B8" w:rsidP="000355B8">
            <w:pPr>
              <w:rPr>
                <w:szCs w:val="24"/>
              </w:rPr>
            </w:pPr>
            <w:r w:rsidRPr="000F44F9">
              <w:rPr>
                <w:szCs w:val="24"/>
              </w:rPr>
              <w:t>Performed no more than once per patient per lifetime.</w:t>
            </w:r>
          </w:p>
          <w:p w14:paraId="591FB625" w14:textId="77777777" w:rsidR="000355B8" w:rsidRPr="000F44F9" w:rsidRDefault="000355B8" w:rsidP="000355B8">
            <w:pPr>
              <w:rPr>
                <w:szCs w:val="24"/>
              </w:rPr>
            </w:pPr>
            <w:r w:rsidRPr="000F44F9">
              <w:rPr>
                <w:szCs w:val="24"/>
              </w:rPr>
              <w:t>Not performed if AAAAA2 has been performed.</w:t>
            </w:r>
          </w:p>
          <w:p w14:paraId="309B93C4" w14:textId="77777777" w:rsidR="000355B8" w:rsidRPr="000F44F9" w:rsidRDefault="000355B8" w:rsidP="000355B8">
            <w:pPr>
              <w:rPr>
                <w:szCs w:val="24"/>
              </w:rPr>
            </w:pPr>
            <w:r w:rsidRPr="000F44F9">
              <w:rPr>
                <w:szCs w:val="24"/>
              </w:rPr>
              <w:t>MBS Fee: $2,100.00</w:t>
            </w:r>
          </w:p>
          <w:p w14:paraId="5B809660" w14:textId="77777777" w:rsidR="000355B8" w:rsidRPr="000F44F9" w:rsidRDefault="000355B8" w:rsidP="000355B8">
            <w:pPr>
              <w:rPr>
                <w:szCs w:val="24"/>
              </w:rPr>
            </w:pPr>
            <w:r w:rsidRPr="000F44F9">
              <w:rPr>
                <w:szCs w:val="24"/>
              </w:rPr>
              <w:t>Benefit: 75% = $1,575.00 85% = $1,785.00</w:t>
            </w:r>
          </w:p>
          <w:p w14:paraId="6F15C859" w14:textId="77777777" w:rsidR="000355B8" w:rsidRPr="004F62D9" w:rsidRDefault="000355B8" w:rsidP="000355B8">
            <w:pPr>
              <w:spacing w:before="20" w:after="20"/>
              <w:rPr>
                <w:rFonts w:ascii="Calibri" w:eastAsia="Calibri" w:hAnsi="Calibri" w:cs="Calibri"/>
                <w:szCs w:val="24"/>
                <w:lang w:eastAsia="en-AU"/>
              </w:rPr>
            </w:pPr>
            <w:r w:rsidRPr="004F62D9">
              <w:rPr>
                <w:rFonts w:ascii="Calibri" w:eastAsia="Calibri" w:hAnsi="Calibri" w:cs="Calibri"/>
                <w:szCs w:val="24"/>
                <w:lang w:eastAsia="en-AU"/>
              </w:rPr>
              <w:t>------------------------------------------------------------------------------------------------------------------</w:t>
            </w:r>
          </w:p>
          <w:p w14:paraId="31B3F89E" w14:textId="77777777" w:rsidR="000355B8" w:rsidRPr="004F62D9" w:rsidRDefault="000355B8" w:rsidP="000355B8">
            <w:pPr>
              <w:spacing w:before="20" w:after="20"/>
              <w:rPr>
                <w:rFonts w:ascii="Calibri" w:eastAsia="Calibri" w:hAnsi="Calibri" w:cs="Calibri"/>
                <w:szCs w:val="24"/>
                <w:lang w:eastAsia="en-AU"/>
              </w:rPr>
            </w:pPr>
            <w:r w:rsidRPr="004F62D9">
              <w:rPr>
                <w:rFonts w:ascii="Calibri" w:eastAsia="Calibri" w:hAnsi="Calibri" w:cs="Calibri"/>
                <w:szCs w:val="24"/>
                <w:lang w:eastAsia="en-AU"/>
              </w:rPr>
              <w:t>Practice Notes X.X.XX</w:t>
            </w:r>
          </w:p>
          <w:p w14:paraId="605589A8" w14:textId="77777777" w:rsidR="000355B8" w:rsidRPr="004F62D9" w:rsidRDefault="000355B8" w:rsidP="000355B8">
            <w:pPr>
              <w:spacing w:before="20" w:after="20"/>
              <w:rPr>
                <w:rFonts w:ascii="Calibri" w:eastAsia="Calibri" w:hAnsi="Calibri" w:cs="Calibri"/>
                <w:szCs w:val="24"/>
                <w:lang w:eastAsia="en-AU"/>
              </w:rPr>
            </w:pPr>
            <w:r w:rsidRPr="004F62D9">
              <w:rPr>
                <w:rFonts w:ascii="Calibri" w:eastAsia="Calibri" w:hAnsi="Calibri" w:cs="Calibri"/>
                <w:szCs w:val="24"/>
                <w:lang w:eastAsia="en-AU"/>
              </w:rPr>
              <w:t>Intellectual disability or global developmental delay of at least moderate severity, to be determined by a specialist paediatrician according to DSM-5 criteria.</w:t>
            </w:r>
          </w:p>
          <w:p w14:paraId="4B2B1BEA" w14:textId="4C8EDE14" w:rsidR="000355B8" w:rsidRDefault="000355B8" w:rsidP="000355B8">
            <w:r w:rsidRPr="004F62D9">
              <w:rPr>
                <w:rFonts w:ascii="Calibri" w:eastAsia="Calibri" w:hAnsi="Calibri" w:cs="Calibri"/>
                <w:szCs w:val="24"/>
                <w:lang w:eastAsia="en-AU"/>
              </w:rPr>
              <w:t>Appropriate genetic counselling should be provided to the patient either by the specialist treating practitioner, a genetic counselling service or a clinical geneticist on referral</w:t>
            </w:r>
          </w:p>
        </w:tc>
      </w:tr>
      <w:tr w:rsidR="000355B8" w14:paraId="23048F08" w14:textId="77777777" w:rsidTr="000355B8">
        <w:tc>
          <w:tcPr>
            <w:tcW w:w="9016" w:type="dxa"/>
          </w:tcPr>
          <w:p w14:paraId="44AA2296" w14:textId="77777777" w:rsidR="000355B8" w:rsidRPr="000F44F9" w:rsidRDefault="000355B8" w:rsidP="000355B8">
            <w:pPr>
              <w:rPr>
                <w:szCs w:val="24"/>
              </w:rPr>
            </w:pPr>
            <w:r w:rsidRPr="000F44F9">
              <w:rPr>
                <w:szCs w:val="24"/>
              </w:rPr>
              <w:t>MBS item number: BBBBB</w:t>
            </w:r>
          </w:p>
          <w:p w14:paraId="4DFDB021" w14:textId="77777777" w:rsidR="000355B8" w:rsidRPr="000F44F9" w:rsidRDefault="000355B8" w:rsidP="000355B8">
            <w:pPr>
              <w:rPr>
                <w:szCs w:val="24"/>
              </w:rPr>
            </w:pPr>
            <w:r w:rsidRPr="000F44F9">
              <w:rPr>
                <w:szCs w:val="24"/>
              </w:rPr>
              <w:t>Re-analysis of whole exome or genome data obtained as described under item AAAAA, for characterisation of previously unreported germline gene variants related to the clinical phenotype, as requested by a consultant physician practising as a clinical geneticist or a consultant physician practising as a specialist paediatrician, following consultation with a clinical geneticist, for a patient aged 15 years or younger with a strong suspicion of a monogenic condition.</w:t>
            </w:r>
          </w:p>
          <w:p w14:paraId="185AC173" w14:textId="77777777" w:rsidR="000355B8" w:rsidRPr="000F44F9" w:rsidRDefault="000355B8" w:rsidP="000355B8">
            <w:pPr>
              <w:rPr>
                <w:szCs w:val="24"/>
              </w:rPr>
            </w:pPr>
            <w:r w:rsidRPr="000F44F9">
              <w:rPr>
                <w:szCs w:val="24"/>
              </w:rPr>
              <w:t>Performed</w:t>
            </w:r>
            <w:r>
              <w:rPr>
                <w:szCs w:val="24"/>
              </w:rPr>
              <w:t xml:space="preserve"> no more than twice per patient.</w:t>
            </w:r>
          </w:p>
          <w:p w14:paraId="6CBC1BFC" w14:textId="77777777" w:rsidR="000355B8" w:rsidRPr="000F44F9" w:rsidRDefault="000355B8" w:rsidP="000355B8">
            <w:pPr>
              <w:rPr>
                <w:szCs w:val="24"/>
              </w:rPr>
            </w:pPr>
            <w:r w:rsidRPr="000F44F9">
              <w:rPr>
                <w:szCs w:val="24"/>
              </w:rPr>
              <w:t>Performed at an interval of not less than 18 months following AAAAA</w:t>
            </w:r>
            <w:r>
              <w:rPr>
                <w:szCs w:val="24"/>
              </w:rPr>
              <w:t>.</w:t>
            </w:r>
          </w:p>
          <w:p w14:paraId="078A9021" w14:textId="77777777" w:rsidR="000355B8" w:rsidRPr="000F44F9" w:rsidRDefault="000355B8" w:rsidP="000355B8">
            <w:pPr>
              <w:rPr>
                <w:szCs w:val="24"/>
              </w:rPr>
            </w:pPr>
            <w:r w:rsidRPr="000F44F9">
              <w:rPr>
                <w:szCs w:val="24"/>
              </w:rPr>
              <w:lastRenderedPageBreak/>
              <w:t>If repeated, must be at an interval of not less than 18 months from previous BBBBB</w:t>
            </w:r>
            <w:r>
              <w:rPr>
                <w:szCs w:val="24"/>
              </w:rPr>
              <w:t>.</w:t>
            </w:r>
          </w:p>
          <w:p w14:paraId="69C805F2" w14:textId="77777777" w:rsidR="000355B8" w:rsidRPr="000F44F9" w:rsidRDefault="000355B8" w:rsidP="000355B8">
            <w:pPr>
              <w:rPr>
                <w:szCs w:val="24"/>
              </w:rPr>
            </w:pPr>
            <w:r w:rsidRPr="000F44F9">
              <w:rPr>
                <w:szCs w:val="24"/>
              </w:rPr>
              <w:t>MBS Fee: $500.00</w:t>
            </w:r>
          </w:p>
          <w:p w14:paraId="13AE5BCD" w14:textId="39990B74" w:rsidR="000355B8" w:rsidRDefault="000355B8" w:rsidP="000355B8">
            <w:r w:rsidRPr="000F44F9">
              <w:rPr>
                <w:szCs w:val="24"/>
              </w:rPr>
              <w:t>Benefit: 75% = $375.00 85% = $425.00</w:t>
            </w:r>
          </w:p>
        </w:tc>
      </w:tr>
      <w:tr w:rsidR="000355B8" w14:paraId="0F22575E" w14:textId="77777777" w:rsidTr="000355B8">
        <w:tc>
          <w:tcPr>
            <w:tcW w:w="9016" w:type="dxa"/>
          </w:tcPr>
          <w:p w14:paraId="0F99D5F8" w14:textId="77777777" w:rsidR="000355B8" w:rsidRPr="000F44F9" w:rsidRDefault="000355B8" w:rsidP="000355B8">
            <w:pPr>
              <w:rPr>
                <w:szCs w:val="24"/>
              </w:rPr>
            </w:pPr>
            <w:r w:rsidRPr="000F44F9">
              <w:rPr>
                <w:szCs w:val="24"/>
              </w:rPr>
              <w:lastRenderedPageBreak/>
              <w:t>MBS item number: CCCCC1</w:t>
            </w:r>
          </w:p>
          <w:p w14:paraId="1BB252A7" w14:textId="77777777" w:rsidR="000355B8" w:rsidRPr="000F44F9" w:rsidRDefault="000355B8" w:rsidP="000355B8">
            <w:pPr>
              <w:rPr>
                <w:szCs w:val="24"/>
              </w:rPr>
            </w:pPr>
            <w:r w:rsidRPr="000F44F9">
              <w:rPr>
                <w:szCs w:val="24"/>
              </w:rPr>
              <w:t>Detection of a single gene variant for diagnostic purposes, requested by a consultant physician practising as a clinical geneticist or a consultant physician practising as a specialist paediatrician, following consultation with a clinical geneticist, for a biological sibling of a patient with a known monogenic condition where previous genetic testing performed in accordance with the conditions specified under item AAAAA or BBBBB has identified the causative variant and where the results of the previous proband testing is ma</w:t>
            </w:r>
            <w:r>
              <w:rPr>
                <w:szCs w:val="24"/>
              </w:rPr>
              <w:t>de available to the laboratory.</w:t>
            </w:r>
          </w:p>
          <w:p w14:paraId="2319A18E" w14:textId="77777777" w:rsidR="000355B8" w:rsidRPr="000F44F9" w:rsidRDefault="000355B8" w:rsidP="000355B8">
            <w:pPr>
              <w:rPr>
                <w:szCs w:val="24"/>
              </w:rPr>
            </w:pPr>
            <w:r w:rsidRPr="000F44F9">
              <w:rPr>
                <w:szCs w:val="24"/>
              </w:rPr>
              <w:t>Not performed in association with item CCCCC2 or CCCCC3</w:t>
            </w:r>
            <w:bookmarkStart w:id="0" w:name="_GoBack"/>
            <w:bookmarkEnd w:id="0"/>
            <w:r>
              <w:rPr>
                <w:szCs w:val="24"/>
              </w:rPr>
              <w:t>.</w:t>
            </w:r>
          </w:p>
          <w:p w14:paraId="29578E5B" w14:textId="77777777" w:rsidR="000355B8" w:rsidRPr="000F44F9" w:rsidRDefault="000355B8" w:rsidP="000355B8">
            <w:pPr>
              <w:rPr>
                <w:szCs w:val="24"/>
              </w:rPr>
            </w:pPr>
            <w:r w:rsidRPr="000F44F9">
              <w:rPr>
                <w:szCs w:val="24"/>
              </w:rPr>
              <w:t>Performed no more than once per variant per patient.</w:t>
            </w:r>
          </w:p>
          <w:p w14:paraId="1EFCF903" w14:textId="77777777" w:rsidR="000355B8" w:rsidRPr="000F44F9" w:rsidRDefault="000355B8" w:rsidP="000355B8">
            <w:pPr>
              <w:rPr>
                <w:szCs w:val="24"/>
              </w:rPr>
            </w:pPr>
            <w:r w:rsidRPr="000F44F9">
              <w:rPr>
                <w:szCs w:val="24"/>
              </w:rPr>
              <w:t>MBS Fee: $400.00</w:t>
            </w:r>
          </w:p>
          <w:p w14:paraId="00EFEB4B" w14:textId="1C631B0C" w:rsidR="000355B8" w:rsidRPr="000355B8" w:rsidRDefault="000355B8" w:rsidP="000355B8">
            <w:pPr>
              <w:rPr>
                <w:szCs w:val="24"/>
              </w:rPr>
            </w:pPr>
            <w:r w:rsidRPr="000F44F9">
              <w:rPr>
                <w:szCs w:val="24"/>
              </w:rPr>
              <w:t>Benefit: 75% = $300.00 85% = $340.00</w:t>
            </w:r>
          </w:p>
        </w:tc>
      </w:tr>
      <w:tr w:rsidR="000355B8" w14:paraId="14B5F67B" w14:textId="77777777" w:rsidTr="000355B8">
        <w:tc>
          <w:tcPr>
            <w:tcW w:w="9016" w:type="dxa"/>
          </w:tcPr>
          <w:p w14:paraId="3E403284" w14:textId="77777777" w:rsidR="000355B8" w:rsidRPr="000F44F9" w:rsidRDefault="000355B8" w:rsidP="000355B8">
            <w:pPr>
              <w:rPr>
                <w:szCs w:val="24"/>
              </w:rPr>
            </w:pPr>
            <w:r w:rsidRPr="000F44F9">
              <w:rPr>
                <w:szCs w:val="24"/>
              </w:rPr>
              <w:t>MBS item number: CCCCC2</w:t>
            </w:r>
          </w:p>
          <w:p w14:paraId="3FDEC2A7" w14:textId="77777777" w:rsidR="000355B8" w:rsidRPr="000F44F9" w:rsidRDefault="000355B8" w:rsidP="000355B8">
            <w:pPr>
              <w:rPr>
                <w:szCs w:val="24"/>
              </w:rPr>
            </w:pPr>
            <w:r w:rsidRPr="000F44F9">
              <w:rPr>
                <w:szCs w:val="24"/>
              </w:rPr>
              <w:t xml:space="preserve">Detection of a single gene variant for the purpose of reproductive decision making, requested by a consultant physician or specialist for a first-degree biological relative of a patient with a known monogenic condition where previous genetic testing performed in accordance with the conditions specified under item AAAAA or BBBBB, has identified the causative variant and where the results of the previous proband testing is made available to the laboratory. </w:t>
            </w:r>
          </w:p>
          <w:p w14:paraId="5FDE4C32" w14:textId="77777777" w:rsidR="000355B8" w:rsidRPr="000F44F9" w:rsidRDefault="000355B8" w:rsidP="000355B8">
            <w:pPr>
              <w:rPr>
                <w:szCs w:val="24"/>
              </w:rPr>
            </w:pPr>
            <w:r w:rsidRPr="000F44F9">
              <w:rPr>
                <w:szCs w:val="24"/>
              </w:rPr>
              <w:t>Not performed in association with item CCCCC1 or CCCCC3</w:t>
            </w:r>
            <w:r>
              <w:rPr>
                <w:szCs w:val="24"/>
              </w:rPr>
              <w:t>.</w:t>
            </w:r>
          </w:p>
          <w:p w14:paraId="6E1DF799" w14:textId="77777777" w:rsidR="000355B8" w:rsidRPr="000F44F9" w:rsidRDefault="000355B8" w:rsidP="000355B8">
            <w:pPr>
              <w:rPr>
                <w:szCs w:val="24"/>
              </w:rPr>
            </w:pPr>
            <w:r w:rsidRPr="000F44F9">
              <w:rPr>
                <w:szCs w:val="24"/>
              </w:rPr>
              <w:t>Performed no more than once per variant per patient.</w:t>
            </w:r>
          </w:p>
          <w:p w14:paraId="0EB095D5" w14:textId="77777777" w:rsidR="000355B8" w:rsidRPr="000F44F9" w:rsidRDefault="000355B8" w:rsidP="000355B8">
            <w:pPr>
              <w:rPr>
                <w:szCs w:val="24"/>
              </w:rPr>
            </w:pPr>
            <w:r w:rsidRPr="000F44F9">
              <w:rPr>
                <w:szCs w:val="24"/>
              </w:rPr>
              <w:t>MBS Fee: $400.00</w:t>
            </w:r>
          </w:p>
          <w:p w14:paraId="337E70B1" w14:textId="2770B990" w:rsidR="000355B8" w:rsidRDefault="000355B8" w:rsidP="000355B8">
            <w:r w:rsidRPr="000F44F9">
              <w:rPr>
                <w:szCs w:val="24"/>
              </w:rPr>
              <w:t>Benefit: 75% = $300.00 85% = $340.00</w:t>
            </w:r>
          </w:p>
        </w:tc>
      </w:tr>
      <w:tr w:rsidR="000355B8" w14:paraId="38592197" w14:textId="77777777" w:rsidTr="000355B8">
        <w:tc>
          <w:tcPr>
            <w:tcW w:w="9016" w:type="dxa"/>
          </w:tcPr>
          <w:p w14:paraId="3706C1EB" w14:textId="77777777" w:rsidR="000355B8" w:rsidRPr="006064AB" w:rsidRDefault="000355B8" w:rsidP="000355B8">
            <w:pPr>
              <w:rPr>
                <w:szCs w:val="24"/>
              </w:rPr>
            </w:pPr>
            <w:r w:rsidRPr="006064AB">
              <w:rPr>
                <w:szCs w:val="24"/>
              </w:rPr>
              <w:t>MBS item number: CCCCC3</w:t>
            </w:r>
          </w:p>
          <w:p w14:paraId="194A248C" w14:textId="77777777" w:rsidR="000355B8" w:rsidRPr="006064AB" w:rsidRDefault="000355B8" w:rsidP="000355B8">
            <w:pPr>
              <w:rPr>
                <w:szCs w:val="24"/>
              </w:rPr>
            </w:pPr>
            <w:r w:rsidRPr="006064AB">
              <w:rPr>
                <w:szCs w:val="24"/>
              </w:rPr>
              <w:t>Detection of a single gene variant for segregation purposes, requested by a consultant physician practising as a clinical geneticist or a consultant physician practising as a specialist paediatrician following consultation with a clinical geneticist, for a biological parent or other biological relative with known phenotype of a patient with a suspected monogenic condition, where previous genetic testing performed in accordance with conditions specified under item AAAAA or BBBBB has identified a potentially causative variant and where the results of the previous proband testing is made available to the laboratory.</w:t>
            </w:r>
          </w:p>
          <w:p w14:paraId="4C68CFF9" w14:textId="77777777" w:rsidR="000355B8" w:rsidRPr="006064AB" w:rsidRDefault="000355B8" w:rsidP="000355B8">
            <w:pPr>
              <w:rPr>
                <w:szCs w:val="24"/>
              </w:rPr>
            </w:pPr>
            <w:r w:rsidRPr="006064AB">
              <w:rPr>
                <w:szCs w:val="24"/>
              </w:rPr>
              <w:t>Not performed in association with item CCCCC1 or CCCCC2</w:t>
            </w:r>
            <w:r>
              <w:rPr>
                <w:szCs w:val="24"/>
              </w:rPr>
              <w:t>.</w:t>
            </w:r>
          </w:p>
          <w:p w14:paraId="6BFF5760" w14:textId="77777777" w:rsidR="000355B8" w:rsidRPr="006064AB" w:rsidRDefault="000355B8" w:rsidP="000355B8">
            <w:pPr>
              <w:rPr>
                <w:szCs w:val="24"/>
              </w:rPr>
            </w:pPr>
            <w:r w:rsidRPr="006064AB">
              <w:rPr>
                <w:szCs w:val="24"/>
              </w:rPr>
              <w:t>Performed no more than once per variant per patient.</w:t>
            </w:r>
          </w:p>
          <w:p w14:paraId="3DC7E880" w14:textId="77777777" w:rsidR="000355B8" w:rsidRPr="006064AB" w:rsidRDefault="000355B8" w:rsidP="000355B8">
            <w:pPr>
              <w:rPr>
                <w:szCs w:val="24"/>
              </w:rPr>
            </w:pPr>
            <w:r w:rsidRPr="006064AB">
              <w:rPr>
                <w:szCs w:val="24"/>
              </w:rPr>
              <w:t>MBS Fee: $400.00</w:t>
            </w:r>
          </w:p>
          <w:p w14:paraId="23BD830C" w14:textId="392F3C42" w:rsidR="000355B8" w:rsidRDefault="000355B8" w:rsidP="000355B8">
            <w:r w:rsidRPr="006064AB">
              <w:rPr>
                <w:szCs w:val="24"/>
              </w:rPr>
              <w:t>Benefit: 75% = $300.00 85% = $340.00</w:t>
            </w:r>
          </w:p>
        </w:tc>
      </w:tr>
    </w:tbl>
    <w:p w14:paraId="76005397" w14:textId="7AF5CE5D" w:rsidR="00115EAA" w:rsidRDefault="00115EAA" w:rsidP="00117348">
      <w:pPr>
        <w:pStyle w:val="Heading2"/>
        <w:keepNext w:val="0"/>
        <w:keepLines w:val="0"/>
        <w:spacing w:after="120"/>
      </w:pPr>
      <w:r>
        <w:t>Revised utilisation estimates</w:t>
      </w:r>
    </w:p>
    <w:p w14:paraId="13995E23" w14:textId="0C82AA64" w:rsidR="00117348" w:rsidRDefault="00115EAA" w:rsidP="00117348">
      <w:pPr>
        <w:autoSpaceDE w:val="0"/>
        <w:autoSpaceDN w:val="0"/>
        <w:adjustRightInd w:val="0"/>
        <w:rPr>
          <w:color w:val="000000"/>
          <w:szCs w:val="24"/>
        </w:rPr>
      </w:pPr>
      <w:r>
        <w:rPr>
          <w:color w:val="000000"/>
          <w:szCs w:val="24"/>
        </w:rPr>
        <w:t>Updated utilisation e</w:t>
      </w:r>
      <w:r w:rsidRPr="00E850DF">
        <w:rPr>
          <w:color w:val="000000"/>
          <w:szCs w:val="24"/>
        </w:rPr>
        <w:t xml:space="preserve">stimates </w:t>
      </w:r>
      <w:r>
        <w:rPr>
          <w:color w:val="000000"/>
          <w:szCs w:val="24"/>
        </w:rPr>
        <w:t xml:space="preserve">were </w:t>
      </w:r>
      <w:r w:rsidR="00117348">
        <w:rPr>
          <w:color w:val="000000"/>
          <w:szCs w:val="24"/>
        </w:rPr>
        <w:t>used</w:t>
      </w:r>
      <w:r>
        <w:rPr>
          <w:color w:val="000000"/>
          <w:szCs w:val="24"/>
        </w:rPr>
        <w:t xml:space="preserve"> </w:t>
      </w:r>
      <w:r w:rsidR="00117348">
        <w:rPr>
          <w:color w:val="000000"/>
          <w:szCs w:val="24"/>
        </w:rPr>
        <w:t>for</w:t>
      </w:r>
      <w:r>
        <w:rPr>
          <w:color w:val="000000"/>
          <w:szCs w:val="24"/>
        </w:rPr>
        <w:t xml:space="preserve"> </w:t>
      </w:r>
      <w:r w:rsidRPr="00E850DF">
        <w:rPr>
          <w:color w:val="000000"/>
          <w:szCs w:val="24"/>
        </w:rPr>
        <w:t xml:space="preserve">the budget impact analysis </w:t>
      </w:r>
      <w:r w:rsidR="00104A57">
        <w:rPr>
          <w:color w:val="000000"/>
          <w:szCs w:val="24"/>
        </w:rPr>
        <w:t xml:space="preserve">presented </w:t>
      </w:r>
      <w:r w:rsidR="00117348">
        <w:rPr>
          <w:color w:val="000000"/>
          <w:szCs w:val="24"/>
        </w:rPr>
        <w:t>to</w:t>
      </w:r>
      <w:r w:rsidRPr="00E850DF">
        <w:rPr>
          <w:color w:val="000000"/>
          <w:szCs w:val="24"/>
        </w:rPr>
        <w:t xml:space="preserve"> the July</w:t>
      </w:r>
      <w:r w:rsidR="00104A57">
        <w:rPr>
          <w:color w:val="000000"/>
          <w:szCs w:val="24"/>
        </w:rPr>
        <w:t> </w:t>
      </w:r>
      <w:r w:rsidRPr="00E850DF">
        <w:rPr>
          <w:color w:val="000000"/>
          <w:szCs w:val="24"/>
        </w:rPr>
        <w:t>2018 MSAC meeting</w:t>
      </w:r>
      <w:r>
        <w:rPr>
          <w:color w:val="000000"/>
          <w:szCs w:val="24"/>
        </w:rPr>
        <w:t xml:space="preserve">. </w:t>
      </w:r>
      <w:r w:rsidRPr="00E850DF">
        <w:rPr>
          <w:color w:val="000000"/>
          <w:szCs w:val="24"/>
        </w:rPr>
        <w:t xml:space="preserve">The net effect </w:t>
      </w:r>
      <w:r>
        <w:rPr>
          <w:color w:val="000000"/>
          <w:szCs w:val="24"/>
        </w:rPr>
        <w:t>of the updated utilisation estimates wa</w:t>
      </w:r>
      <w:r w:rsidRPr="00E850DF">
        <w:rPr>
          <w:color w:val="000000"/>
          <w:szCs w:val="24"/>
        </w:rPr>
        <w:t xml:space="preserve">s to increase the estimated costs to the MBS in the first three years and slightly decrease the costs for the </w:t>
      </w:r>
      <w:r>
        <w:rPr>
          <w:color w:val="000000"/>
          <w:szCs w:val="24"/>
        </w:rPr>
        <w:t>subsequent</w:t>
      </w:r>
      <w:r w:rsidRPr="00E850DF">
        <w:rPr>
          <w:color w:val="000000"/>
          <w:szCs w:val="24"/>
        </w:rPr>
        <w:t xml:space="preserve"> two years. The increase </w:t>
      </w:r>
      <w:r>
        <w:rPr>
          <w:color w:val="000000"/>
          <w:szCs w:val="24"/>
        </w:rPr>
        <w:t>wa</w:t>
      </w:r>
      <w:r w:rsidRPr="00E850DF">
        <w:rPr>
          <w:color w:val="000000"/>
          <w:szCs w:val="24"/>
        </w:rPr>
        <w:t>s mainly due to revising the size of the prevalent pool which contribute</w:t>
      </w:r>
      <w:r>
        <w:rPr>
          <w:color w:val="000000"/>
          <w:szCs w:val="24"/>
        </w:rPr>
        <w:t>d</w:t>
      </w:r>
      <w:r w:rsidRPr="00E850DF">
        <w:rPr>
          <w:color w:val="000000"/>
          <w:szCs w:val="24"/>
        </w:rPr>
        <w:t xml:space="preserve"> to the costs of testing the “backlog”</w:t>
      </w:r>
      <w:r>
        <w:rPr>
          <w:color w:val="000000"/>
          <w:szCs w:val="24"/>
        </w:rPr>
        <w:t xml:space="preserve"> which is</w:t>
      </w:r>
      <w:r w:rsidRPr="00E850DF">
        <w:rPr>
          <w:color w:val="000000"/>
          <w:szCs w:val="24"/>
        </w:rPr>
        <w:t xml:space="preserve"> assumed to occur over the first three years.</w:t>
      </w:r>
      <w:r w:rsidR="00117348">
        <w:rPr>
          <w:color w:val="000000"/>
          <w:szCs w:val="24"/>
        </w:rPr>
        <w:br w:type="page"/>
      </w:r>
    </w:p>
    <w:p w14:paraId="1DFC0DD3" w14:textId="06DAD13A" w:rsidR="00115EAA" w:rsidRPr="00693D97" w:rsidRDefault="00115EAA" w:rsidP="00115EAA">
      <w:pPr>
        <w:pStyle w:val="ListParagraph"/>
        <w:spacing w:after="120"/>
        <w:ind w:left="0"/>
        <w:rPr>
          <w:color w:val="000000"/>
          <w:szCs w:val="24"/>
        </w:rPr>
      </w:pPr>
      <w:r>
        <w:rPr>
          <w:color w:val="000000"/>
          <w:szCs w:val="24"/>
        </w:rPr>
        <w:lastRenderedPageBreak/>
        <w:t>The Applicant’s</w:t>
      </w:r>
      <w:r w:rsidRPr="00693D97">
        <w:rPr>
          <w:color w:val="000000"/>
          <w:szCs w:val="24"/>
        </w:rPr>
        <w:t xml:space="preserve"> inferred prevalence estimate of </w:t>
      </w:r>
      <w:r>
        <w:rPr>
          <w:color w:val="000000"/>
          <w:szCs w:val="24"/>
        </w:rPr>
        <w:t>6% for the backlog population</w:t>
      </w:r>
      <w:r w:rsidRPr="00693D97">
        <w:rPr>
          <w:color w:val="000000"/>
          <w:szCs w:val="24"/>
        </w:rPr>
        <w:t xml:space="preserve"> </w:t>
      </w:r>
      <w:r>
        <w:rPr>
          <w:color w:val="000000"/>
          <w:szCs w:val="24"/>
        </w:rPr>
        <w:t>wa</w:t>
      </w:r>
      <w:r w:rsidRPr="00693D97">
        <w:rPr>
          <w:color w:val="000000"/>
          <w:szCs w:val="24"/>
        </w:rPr>
        <w:t>s greater than the high end of the cited prevalence estimates:</w:t>
      </w:r>
    </w:p>
    <w:p w14:paraId="69AB1E15" w14:textId="77777777" w:rsidR="00115EAA" w:rsidRPr="00693D97" w:rsidRDefault="00115EAA" w:rsidP="00115EAA">
      <w:pPr>
        <w:pStyle w:val="Bullet"/>
        <w:ind w:left="720"/>
        <w:rPr>
          <w:sz w:val="24"/>
          <w:szCs w:val="24"/>
        </w:rPr>
      </w:pPr>
      <w:r w:rsidRPr="00693D97">
        <w:rPr>
          <w:sz w:val="24"/>
          <w:szCs w:val="24"/>
        </w:rPr>
        <w:t> 0.65% AIHW (1997)</w:t>
      </w:r>
    </w:p>
    <w:p w14:paraId="64AE01F0" w14:textId="77777777" w:rsidR="00115EAA" w:rsidRPr="00693D97" w:rsidRDefault="00115EAA" w:rsidP="00115EAA">
      <w:pPr>
        <w:pStyle w:val="Bullet"/>
        <w:ind w:left="720"/>
        <w:rPr>
          <w:sz w:val="24"/>
          <w:szCs w:val="24"/>
        </w:rPr>
      </w:pPr>
      <w:r w:rsidRPr="00693D97">
        <w:rPr>
          <w:sz w:val="24"/>
          <w:szCs w:val="24"/>
        </w:rPr>
        <w:t>~3.5% ABS (2012)</w:t>
      </w:r>
    </w:p>
    <w:p w14:paraId="500783FF" w14:textId="5D8118D7" w:rsidR="00115EAA" w:rsidRPr="00115EAA" w:rsidRDefault="00115EAA" w:rsidP="008C7194">
      <w:pPr>
        <w:spacing w:after="240"/>
        <w:rPr>
          <w:color w:val="000000"/>
          <w:szCs w:val="24"/>
        </w:rPr>
      </w:pPr>
      <w:r w:rsidRPr="00693D97">
        <w:rPr>
          <w:color w:val="000000"/>
          <w:szCs w:val="24"/>
        </w:rPr>
        <w:t>or the cumulative incidence estimates</w:t>
      </w:r>
      <w:r>
        <w:rPr>
          <w:color w:val="000000"/>
          <w:szCs w:val="24"/>
        </w:rPr>
        <w:t xml:space="preserve"> of </w:t>
      </w:r>
      <w:r w:rsidRPr="00693D97">
        <w:rPr>
          <w:color w:val="000000"/>
          <w:szCs w:val="24"/>
        </w:rPr>
        <w:t xml:space="preserve">0.62% up to 1.58% </w:t>
      </w:r>
      <w:r>
        <w:rPr>
          <w:color w:val="000000"/>
          <w:szCs w:val="24"/>
        </w:rPr>
        <w:t xml:space="preserve">in a </w:t>
      </w:r>
      <w:r w:rsidRPr="00693D97">
        <w:rPr>
          <w:color w:val="000000"/>
          <w:szCs w:val="24"/>
        </w:rPr>
        <w:t>literature-based meta-analysis (2016)</w:t>
      </w:r>
      <w:r>
        <w:rPr>
          <w:color w:val="000000"/>
          <w:szCs w:val="24"/>
        </w:rPr>
        <w:t>. The Department suggested that it was likely that the utilisation estimates and thus the budgetary implications for this backlog population were overestimated.</w:t>
      </w:r>
    </w:p>
    <w:p w14:paraId="31AB1FD7" w14:textId="6DD20BDC" w:rsidR="00115EAA" w:rsidRDefault="00115EAA" w:rsidP="008C7194">
      <w:pPr>
        <w:spacing w:after="240"/>
        <w:rPr>
          <w:color w:val="000000"/>
          <w:szCs w:val="24"/>
        </w:rPr>
      </w:pPr>
      <w:r w:rsidRPr="00693D97">
        <w:rPr>
          <w:color w:val="000000"/>
          <w:szCs w:val="24"/>
        </w:rPr>
        <w:t>Consistent with the previous budget impact analysis</w:t>
      </w:r>
      <w:r>
        <w:rPr>
          <w:color w:val="000000"/>
          <w:szCs w:val="24"/>
        </w:rPr>
        <w:t xml:space="preserve"> considered by MSAC</w:t>
      </w:r>
      <w:r w:rsidRPr="00693D97">
        <w:rPr>
          <w:color w:val="000000"/>
          <w:szCs w:val="24"/>
        </w:rPr>
        <w:t xml:space="preserve">, the annual birth numbers </w:t>
      </w:r>
      <w:r>
        <w:rPr>
          <w:color w:val="000000"/>
          <w:szCs w:val="24"/>
        </w:rPr>
        <w:t>were increased in accordance with</w:t>
      </w:r>
      <w:r w:rsidRPr="00693D97">
        <w:rPr>
          <w:color w:val="000000"/>
          <w:szCs w:val="24"/>
        </w:rPr>
        <w:t xml:space="preserve"> the growth rate of the overall population.</w:t>
      </w:r>
    </w:p>
    <w:p w14:paraId="1CEAEC6A" w14:textId="5BE9B46E" w:rsidR="00115EAA" w:rsidRDefault="00115EAA" w:rsidP="008C7194">
      <w:pPr>
        <w:autoSpaceDE w:val="0"/>
        <w:autoSpaceDN w:val="0"/>
        <w:adjustRightInd w:val="0"/>
        <w:spacing w:after="240"/>
        <w:rPr>
          <w:color w:val="000000"/>
          <w:szCs w:val="24"/>
        </w:rPr>
      </w:pPr>
      <w:r>
        <w:rPr>
          <w:color w:val="000000"/>
          <w:szCs w:val="24"/>
        </w:rPr>
        <w:t xml:space="preserve">It was </w:t>
      </w:r>
      <w:r w:rsidRPr="00EC47A8">
        <w:rPr>
          <w:color w:val="000000"/>
          <w:szCs w:val="24"/>
        </w:rPr>
        <w:t>assumed that all clinically diagnosed patients w</w:t>
      </w:r>
      <w:r>
        <w:rPr>
          <w:color w:val="000000"/>
          <w:szCs w:val="24"/>
        </w:rPr>
        <w:t>ould</w:t>
      </w:r>
      <w:r w:rsidRPr="00EC47A8">
        <w:rPr>
          <w:color w:val="000000"/>
          <w:szCs w:val="24"/>
        </w:rPr>
        <w:t xml:space="preserve"> be tested and all tests conducted w</w:t>
      </w:r>
      <w:r>
        <w:rPr>
          <w:color w:val="000000"/>
          <w:szCs w:val="24"/>
        </w:rPr>
        <w:t>ould</w:t>
      </w:r>
      <w:r w:rsidRPr="00EC47A8">
        <w:rPr>
          <w:color w:val="000000"/>
          <w:szCs w:val="24"/>
        </w:rPr>
        <w:t xml:space="preserve"> be billed to the MBS (ie 100% uptake of the eligible population).</w:t>
      </w:r>
    </w:p>
    <w:p w14:paraId="0920E4CB" w14:textId="5E9BDD57" w:rsidR="000F44F9" w:rsidRDefault="00115EAA" w:rsidP="00115EAA">
      <w:pPr>
        <w:autoSpaceDE w:val="0"/>
        <w:autoSpaceDN w:val="0"/>
        <w:adjustRightInd w:val="0"/>
      </w:pPr>
      <w:r>
        <w:rPr>
          <w:color w:val="000000"/>
          <w:szCs w:val="24"/>
        </w:rPr>
        <w:t>T</w:t>
      </w:r>
      <w:r w:rsidRPr="00746248">
        <w:rPr>
          <w:color w:val="000000"/>
          <w:szCs w:val="24"/>
        </w:rPr>
        <w:t xml:space="preserve">he estimate of diagnostic yield for the initial WES analysis </w:t>
      </w:r>
      <w:r>
        <w:rPr>
          <w:color w:val="000000"/>
          <w:szCs w:val="24"/>
        </w:rPr>
        <w:t xml:space="preserve">was decreased </w:t>
      </w:r>
      <w:r w:rsidRPr="00746248">
        <w:rPr>
          <w:color w:val="000000"/>
          <w:szCs w:val="24"/>
        </w:rPr>
        <w:t xml:space="preserve">from 57.5% to 39%. This </w:t>
      </w:r>
      <w:r>
        <w:rPr>
          <w:color w:val="000000"/>
          <w:szCs w:val="24"/>
        </w:rPr>
        <w:t>wa</w:t>
      </w:r>
      <w:r w:rsidRPr="00746248">
        <w:rPr>
          <w:color w:val="000000"/>
          <w:szCs w:val="24"/>
        </w:rPr>
        <w:t xml:space="preserve">s consistent with the expectation of MSAC and the stakeholder meeting, and </w:t>
      </w:r>
      <w:r>
        <w:rPr>
          <w:color w:val="000000"/>
          <w:szCs w:val="24"/>
        </w:rPr>
        <w:t>reflected</w:t>
      </w:r>
      <w:r w:rsidRPr="00746248">
        <w:rPr>
          <w:color w:val="000000"/>
          <w:szCs w:val="24"/>
        </w:rPr>
        <w:t xml:space="preserve"> the wider body of evidence assessed by MSAC in July 2018 rather than the single centre Australian estimates which MSAC</w:t>
      </w:r>
      <w:r>
        <w:rPr>
          <w:color w:val="000000"/>
          <w:szCs w:val="24"/>
        </w:rPr>
        <w:t xml:space="preserve"> considered to be overestimated.</w:t>
      </w:r>
    </w:p>
    <w:p w14:paraId="6E9F47D7" w14:textId="02064D1F" w:rsidR="00446B3E" w:rsidRDefault="00446B3E" w:rsidP="00446B3E">
      <w:pPr>
        <w:pStyle w:val="Heading1"/>
      </w:pPr>
      <w:r w:rsidRPr="00F715D1">
        <w:t>MSAC’s advice to the Minister</w:t>
      </w:r>
      <w:r>
        <w:t xml:space="preserve"> – November 2018 consideration</w:t>
      </w:r>
    </w:p>
    <w:p w14:paraId="1805B0DA" w14:textId="42893A98" w:rsidR="00B03F88" w:rsidRDefault="00446B3E" w:rsidP="003D15F0">
      <w:pPr>
        <w:spacing w:after="240"/>
        <w:rPr>
          <w:szCs w:val="24"/>
        </w:rPr>
      </w:pPr>
      <w:r w:rsidRPr="00083E53">
        <w:t xml:space="preserve">After considering the strength of the available evidence in relation to comparative safety, clinical effectiveness and cost effectiveness, </w:t>
      </w:r>
      <w:r>
        <w:rPr>
          <w:szCs w:val="24"/>
        </w:rPr>
        <w:t xml:space="preserve">MSAC supported </w:t>
      </w:r>
      <w:r w:rsidRPr="006649B1">
        <w:rPr>
          <w:szCs w:val="24"/>
        </w:rPr>
        <w:t>MBS</w:t>
      </w:r>
      <w:r>
        <w:rPr>
          <w:szCs w:val="24"/>
        </w:rPr>
        <w:t xml:space="preserve"> listing of next-generation </w:t>
      </w:r>
      <w:r w:rsidR="00227290">
        <w:rPr>
          <w:szCs w:val="24"/>
        </w:rPr>
        <w:t>WEA</w:t>
      </w:r>
      <w:r w:rsidRPr="006649B1">
        <w:rPr>
          <w:szCs w:val="24"/>
        </w:rPr>
        <w:t xml:space="preserve"> for childhood syndromes in affe</w:t>
      </w:r>
      <w:r>
        <w:rPr>
          <w:szCs w:val="24"/>
        </w:rPr>
        <w:t xml:space="preserve">cted individuals, with limited reanalysis, and targeted </w:t>
      </w:r>
      <w:r w:rsidRPr="006649B1">
        <w:rPr>
          <w:szCs w:val="24"/>
        </w:rPr>
        <w:t>cascade testing of relatives</w:t>
      </w:r>
      <w:r>
        <w:rPr>
          <w:szCs w:val="24"/>
        </w:rPr>
        <w:t xml:space="preserve"> of patients with a genetic diagnosis. MSAC advised in each case that testing should be once in a lifetime and that there should be post-implementation monitoring, particularly looking at the diagnostic yield for laboratories and requesters, who the requesters are, and the out-of-pocket costs for patients.</w:t>
      </w:r>
    </w:p>
    <w:p w14:paraId="2D5E569D" w14:textId="01515DF5" w:rsidR="00446B3E" w:rsidRDefault="00446B3E" w:rsidP="00B03F88">
      <w:pPr>
        <w:pStyle w:val="NormalBeforeBullet"/>
        <w:keepNext w:val="0"/>
        <w:rPr>
          <w:szCs w:val="24"/>
        </w:rPr>
      </w:pPr>
      <w:r>
        <w:rPr>
          <w:szCs w:val="24"/>
        </w:rPr>
        <w:t xml:space="preserve">MSAC </w:t>
      </w:r>
      <w:r w:rsidR="00B03F88">
        <w:rPr>
          <w:szCs w:val="24"/>
        </w:rPr>
        <w:t xml:space="preserve">also </w:t>
      </w:r>
      <w:r>
        <w:rPr>
          <w:szCs w:val="24"/>
        </w:rPr>
        <w:t>advised that the utilisation estimates needed further</w:t>
      </w:r>
      <w:r w:rsidR="006309B2">
        <w:rPr>
          <w:szCs w:val="24"/>
        </w:rPr>
        <w:t xml:space="preserve"> refinement</w:t>
      </w:r>
      <w:r w:rsidR="00E76076">
        <w:rPr>
          <w:szCs w:val="24"/>
        </w:rPr>
        <w:t xml:space="preserve"> </w:t>
      </w:r>
      <w:r>
        <w:rPr>
          <w:szCs w:val="24"/>
        </w:rPr>
        <w:t>and the proposed item descriptors needed further crafting, and requested that these be provided to the MSAC Executive for review.</w:t>
      </w:r>
    </w:p>
    <w:p w14:paraId="172DA073" w14:textId="77777777" w:rsidR="00446B3E" w:rsidRPr="00F715D1" w:rsidRDefault="00446B3E" w:rsidP="00446B3E">
      <w:pPr>
        <w:pStyle w:val="Heading1"/>
        <w:numPr>
          <w:ilvl w:val="0"/>
          <w:numId w:val="0"/>
        </w:numPr>
        <w:ind w:left="720" w:hanging="720"/>
      </w:pPr>
      <w:r>
        <w:t>Summary</w:t>
      </w:r>
      <w:r w:rsidR="00401DEB">
        <w:t xml:space="preserve"> </w:t>
      </w:r>
      <w:r w:rsidRPr="00F715D1">
        <w:t xml:space="preserve">of consideration </w:t>
      </w:r>
      <w:r>
        <w:t>and rationale for MSAC’s advice – November 2018</w:t>
      </w:r>
    </w:p>
    <w:p w14:paraId="4C712655" w14:textId="3F0FB8DB" w:rsidR="00B13648" w:rsidRDefault="00C372C3" w:rsidP="00446B3E">
      <w:pPr>
        <w:spacing w:after="240"/>
      </w:pPr>
      <w:r>
        <w:t>Following its decision not to support Application 1476 at its 73</w:t>
      </w:r>
      <w:r w:rsidRPr="00136B26">
        <w:rPr>
          <w:vertAlign w:val="superscript"/>
        </w:rPr>
        <w:t>rd</w:t>
      </w:r>
      <w:r>
        <w:t xml:space="preserve"> meeting, MSAC proposed that a stakeholder meeting be arranged to attempt to address a number of issues that it had identified with the application. In its re-consideration at its 74</w:t>
      </w:r>
      <w:r w:rsidRPr="00136B26">
        <w:rPr>
          <w:vertAlign w:val="superscript"/>
        </w:rPr>
        <w:t>th</w:t>
      </w:r>
      <w:r>
        <w:t xml:space="preserve"> meeting, MSAC noted the outcomes </w:t>
      </w:r>
      <w:r w:rsidR="00801235">
        <w:t xml:space="preserve">of </w:t>
      </w:r>
      <w:r w:rsidR="00446B3E">
        <w:t>the stakeholder meeting held in October 2018 to discuss issues in the application, and to forge a framework to guide consideration of other similar genetic testing applications in the future.</w:t>
      </w:r>
    </w:p>
    <w:p w14:paraId="2BD85A74" w14:textId="77777777" w:rsidR="00446B3E" w:rsidRDefault="00801235" w:rsidP="00446B3E">
      <w:pPr>
        <w:spacing w:after="240"/>
      </w:pPr>
      <w:r>
        <w:t xml:space="preserve">MSAC </w:t>
      </w:r>
      <w:r w:rsidR="00B13648">
        <w:t xml:space="preserve">also </w:t>
      </w:r>
      <w:r>
        <w:t xml:space="preserve">agreed with the intended thrust </w:t>
      </w:r>
      <w:r w:rsidR="00B13648">
        <w:t xml:space="preserve">of the stakeholder meeting </w:t>
      </w:r>
      <w:r>
        <w:t>to move requesting of these genetic tests beyond the domain of clinical geneticists, noting reliance on the Royal Australasian College of Physicians on addressing issues to do with credentialing and informed consent.</w:t>
      </w:r>
    </w:p>
    <w:p w14:paraId="2612EA3C" w14:textId="5174EA30" w:rsidR="00446B3E" w:rsidRDefault="00C372C3" w:rsidP="00446B3E">
      <w:pPr>
        <w:spacing w:after="240"/>
      </w:pPr>
      <w:r>
        <w:t xml:space="preserve">MSAC acknowledged </w:t>
      </w:r>
      <w:r w:rsidR="00446B3E">
        <w:t xml:space="preserve">the high clinical need for WEA, </w:t>
      </w:r>
      <w:r w:rsidR="00B13648">
        <w:t xml:space="preserve">and the clear </w:t>
      </w:r>
      <w:r w:rsidR="00446B3E" w:rsidRPr="002323A5">
        <w:t xml:space="preserve">potential </w:t>
      </w:r>
      <w:r w:rsidR="00B13648">
        <w:t xml:space="preserve">of WEA </w:t>
      </w:r>
      <w:r w:rsidR="00446B3E" w:rsidRPr="002323A5">
        <w:t xml:space="preserve">to benefit children </w:t>
      </w:r>
      <w:r w:rsidR="00666EE4" w:rsidRPr="00C372C3">
        <w:t xml:space="preserve">by increasing </w:t>
      </w:r>
      <w:r w:rsidR="00B13648" w:rsidRPr="00C372C3">
        <w:t>diagnos</w:t>
      </w:r>
      <w:r w:rsidR="00666EE4" w:rsidRPr="00C372C3">
        <w:t>is of</w:t>
      </w:r>
      <w:r w:rsidR="00B13648" w:rsidRPr="00C372C3">
        <w:t xml:space="preserve"> mon</w:t>
      </w:r>
      <w:r w:rsidRPr="00C372C3">
        <w:t>o</w:t>
      </w:r>
      <w:r w:rsidR="00446B3E" w:rsidRPr="00C372C3">
        <w:t xml:space="preserve">genic </w:t>
      </w:r>
      <w:r w:rsidR="00B13648" w:rsidRPr="00C372C3">
        <w:t>conditions</w:t>
      </w:r>
      <w:r w:rsidR="00666EE4" w:rsidRPr="00C372C3">
        <w:t xml:space="preserve"> and reducing the time to obtain a diagnosis</w:t>
      </w:r>
      <w:r w:rsidR="00446B3E">
        <w:t>. Potential cost-</w:t>
      </w:r>
      <w:r w:rsidR="00B13648">
        <w:t>offsets</w:t>
      </w:r>
      <w:r w:rsidR="00446B3E">
        <w:t xml:space="preserve"> include avoiding a </w:t>
      </w:r>
      <w:r w:rsidR="000A768F">
        <w:t>‘</w:t>
      </w:r>
      <w:r w:rsidR="00446B3E">
        <w:t>diagnostic odyssey</w:t>
      </w:r>
      <w:r w:rsidR="000A768F">
        <w:t>’</w:t>
      </w:r>
      <w:r w:rsidR="00446B3E">
        <w:t xml:space="preserve"> and avoiding unnecessary treatments as a result of a </w:t>
      </w:r>
      <w:r w:rsidR="00B13648">
        <w:t xml:space="preserve">genetic </w:t>
      </w:r>
      <w:r w:rsidR="00446B3E">
        <w:t xml:space="preserve">diagnosis. However, the </w:t>
      </w:r>
      <w:r w:rsidR="00B13648">
        <w:t xml:space="preserve">item </w:t>
      </w:r>
      <w:r w:rsidR="00446B3E">
        <w:t>descriptors require further crafting</w:t>
      </w:r>
      <w:r w:rsidR="00FD0C8D">
        <w:t xml:space="preserve">, and the projected utilisation estimates require further </w:t>
      </w:r>
      <w:r w:rsidR="00FD0C8D">
        <w:lastRenderedPageBreak/>
        <w:t>review</w:t>
      </w:r>
      <w:r w:rsidR="00446B3E">
        <w:t>.</w:t>
      </w:r>
      <w:r w:rsidR="00FD0C8D">
        <w:t xml:space="preserve"> In regards the utilisation estimates, MSAC considered that not all eligible WEA testing would necessarily be billed to the MBS, but more testing by WEA is likely to increase prevalence estimates, and these prevalence estimates need to be multiplied by the number needed to test for each genetic diagnosis.</w:t>
      </w:r>
    </w:p>
    <w:p w14:paraId="3EB0CE52" w14:textId="77777777" w:rsidR="00446B3E" w:rsidRDefault="00446B3E" w:rsidP="00446B3E">
      <w:pPr>
        <w:spacing w:after="240"/>
      </w:pPr>
      <w:r>
        <w:t xml:space="preserve">MSAC was concerned that laboratories would use a lower-cost alternative to WEA for </w:t>
      </w:r>
      <w:r w:rsidR="00B9190E">
        <w:t>support</w:t>
      </w:r>
      <w:r w:rsidR="009223EC">
        <w:t xml:space="preserve">ed </w:t>
      </w:r>
      <w:r>
        <w:t>item AAAAA (see below), but accepted that laboratories have diagnostic yield targets and would thus be unlikely to use inferior technology.</w:t>
      </w:r>
    </w:p>
    <w:p w14:paraId="1FE8076B" w14:textId="719C6CB9" w:rsidR="00446B3E" w:rsidRDefault="00446B3E" w:rsidP="00446B3E">
      <w:pPr>
        <w:spacing w:after="240"/>
      </w:pPr>
      <w:r>
        <w:t xml:space="preserve">MSAC </w:t>
      </w:r>
      <w:r w:rsidR="009223EC">
        <w:t xml:space="preserve">advised </w:t>
      </w:r>
      <w:r>
        <w:t>that</w:t>
      </w:r>
      <w:r w:rsidR="009223EC">
        <w:t xml:space="preserve">, for all </w:t>
      </w:r>
      <w:r w:rsidR="00B9190E">
        <w:t>support</w:t>
      </w:r>
      <w:r w:rsidR="009223EC">
        <w:t>ed items,</w:t>
      </w:r>
      <w:r>
        <w:t xml:space="preserve"> the  the test </w:t>
      </w:r>
      <w:r w:rsidR="003B14A4">
        <w:t xml:space="preserve">requester </w:t>
      </w:r>
      <w:r>
        <w:t xml:space="preserve">should </w:t>
      </w:r>
      <w:r w:rsidR="009223EC">
        <w:t xml:space="preserve">either be </w:t>
      </w:r>
      <w:r>
        <w:t xml:space="preserve">a clinical geneticist </w:t>
      </w:r>
      <w:r w:rsidR="009223EC">
        <w:t>or a specialist paediatrican following consultation with a clinical geneticist</w:t>
      </w:r>
      <w:r>
        <w:t xml:space="preserve">, except for </w:t>
      </w:r>
      <w:r w:rsidR="00B9190E">
        <w:t>support</w:t>
      </w:r>
      <w:r w:rsidR="009223EC">
        <w:t xml:space="preserve">ed </w:t>
      </w:r>
      <w:r>
        <w:t xml:space="preserve">item CCCC2, as this item </w:t>
      </w:r>
      <w:r w:rsidR="009223EC">
        <w:t xml:space="preserve">relates </w:t>
      </w:r>
      <w:r>
        <w:t>to family planning where other specialists would be more likely to request the test.</w:t>
      </w:r>
    </w:p>
    <w:p w14:paraId="23714F5E" w14:textId="50E596CC" w:rsidR="00446B3E" w:rsidRDefault="00446B3E" w:rsidP="00446B3E">
      <w:pPr>
        <w:spacing w:after="240"/>
      </w:pPr>
      <w:r>
        <w:t xml:space="preserve">MSAC discussed the </w:t>
      </w:r>
      <w:r w:rsidR="009223EC">
        <w:t xml:space="preserve">possible </w:t>
      </w:r>
      <w:r>
        <w:t xml:space="preserve">utilisation of trio testing in item AAAAA and its associated costs. MSAC was concerned that the fee of $2400 would not cover the costs of trio testing for all laboratories. MSAC acknowledged that MBS items should not </w:t>
      </w:r>
      <w:r w:rsidR="00401DEB">
        <w:t xml:space="preserve">create a perverse incentive </w:t>
      </w:r>
      <w:r>
        <w:t>for trio testing</w:t>
      </w:r>
      <w:r w:rsidR="00401DEB">
        <w:t xml:space="preserve"> where this w</w:t>
      </w:r>
      <w:r w:rsidR="001C0833">
        <w:t xml:space="preserve">ould not be </w:t>
      </w:r>
      <w:r w:rsidR="00401DEB">
        <w:t>necessary</w:t>
      </w:r>
      <w:r>
        <w:t xml:space="preserve">. MSAC was also concerned that trio costing could result in large out-of-pocket expenses for patients’ families. MSAC accepted that trio testing should be </w:t>
      </w:r>
      <w:r w:rsidR="009223EC">
        <w:t>excluded</w:t>
      </w:r>
      <w:r>
        <w:t xml:space="preserve"> from item AAAAA. The rationale for excluding trio testing </w:t>
      </w:r>
      <w:r w:rsidR="00207E1C">
        <w:t>in th</w:t>
      </w:r>
      <w:r w:rsidR="001C0833">
        <w:t>is</w:t>
      </w:r>
      <w:r w:rsidR="00207E1C">
        <w:t xml:space="preserve"> item </w:t>
      </w:r>
      <w:r w:rsidR="001C0833">
        <w:t xml:space="preserve">AAAAA </w:t>
      </w:r>
      <w:r>
        <w:t xml:space="preserve">is that, at this time, </w:t>
      </w:r>
      <w:r w:rsidRPr="00551075">
        <w:t>MSAC consider</w:t>
      </w:r>
      <w:r>
        <w:t>ed</w:t>
      </w:r>
      <w:r w:rsidRPr="00551075">
        <w:t xml:space="preserve"> that</w:t>
      </w:r>
      <w:r w:rsidR="00401DEB">
        <w:t xml:space="preserve"> the decision to request </w:t>
      </w:r>
      <w:r w:rsidRPr="00551075">
        <w:t xml:space="preserve">trio testing </w:t>
      </w:r>
      <w:r w:rsidR="00401DEB">
        <w:t xml:space="preserve">should be </w:t>
      </w:r>
      <w:r w:rsidR="00207E1C">
        <w:t xml:space="preserve">made by a sub-specialised clinical geneticist, in consultation with the laboratory. These services are typically located in public hospitals. </w:t>
      </w:r>
      <w:r w:rsidRPr="00551075">
        <w:t>T</w:t>
      </w:r>
      <w:r>
        <w:t>his also avoids the potential to claim both item</w:t>
      </w:r>
      <w:r w:rsidRPr="00551075">
        <w:t xml:space="preserve"> AAAAA and item CCCC3</w:t>
      </w:r>
      <w:r w:rsidR="009223EC">
        <w:t>, which is intended when needed for segregation purposes</w:t>
      </w:r>
      <w:r w:rsidRPr="00551075">
        <w:t>.</w:t>
      </w:r>
    </w:p>
    <w:p w14:paraId="4CFE852A" w14:textId="77777777" w:rsidR="00446B3E" w:rsidRDefault="00446B3E" w:rsidP="00446B3E">
      <w:pPr>
        <w:spacing w:after="240"/>
      </w:pPr>
      <w:r>
        <w:t xml:space="preserve">MSAC considered the possibility of automated analysis to keep </w:t>
      </w:r>
      <w:r w:rsidR="009223EC">
        <w:t xml:space="preserve">testing </w:t>
      </w:r>
      <w:r>
        <w:t>costs down, but current trials of automated analysis are for carrier testing for prospective parents for low-risk conditions, which would not be sui</w:t>
      </w:r>
      <w:r w:rsidR="009223EC">
        <w:t>table for high-risk conditions.</w:t>
      </w:r>
    </w:p>
    <w:p w14:paraId="5B47890D" w14:textId="38D66D4A" w:rsidR="00446B3E" w:rsidRDefault="00446B3E" w:rsidP="00446B3E">
      <w:pPr>
        <w:spacing w:after="240"/>
      </w:pPr>
      <w:r>
        <w:t xml:space="preserve">MSAC accepted that the sequencing technology is evolving rapidly, with </w:t>
      </w:r>
      <w:r w:rsidR="00207E1C">
        <w:t xml:space="preserve">substantive changes </w:t>
      </w:r>
      <w:r>
        <w:t xml:space="preserve">estimated to be every five years. MSAC </w:t>
      </w:r>
      <w:r w:rsidR="00AB4F54">
        <w:t>advised</w:t>
      </w:r>
      <w:r>
        <w:t xml:space="preserve"> that testing </w:t>
      </w:r>
      <w:r w:rsidR="009223EC">
        <w:t xml:space="preserve">according to item AAAAA </w:t>
      </w:r>
      <w:r>
        <w:t>be done once per patient in a lifetime, with a review of this decision in five years.</w:t>
      </w:r>
    </w:p>
    <w:p w14:paraId="6261AE08" w14:textId="37EFB5FE" w:rsidR="00446B3E" w:rsidRDefault="00446B3E" w:rsidP="00446B3E">
      <w:pPr>
        <w:spacing w:after="240"/>
      </w:pPr>
      <w:r>
        <w:t xml:space="preserve">MSAC </w:t>
      </w:r>
      <w:r w:rsidR="00AB4F54">
        <w:t xml:space="preserve">considered </w:t>
      </w:r>
      <w:r>
        <w:t xml:space="preserve">that expanding the population </w:t>
      </w:r>
      <w:r w:rsidR="009223EC">
        <w:t xml:space="preserve">as proposed by the stakeholder meeting and the applicant </w:t>
      </w:r>
      <w:r>
        <w:t>would result in more people being test</w:t>
      </w:r>
      <w:r w:rsidR="00C372C3">
        <w:t>ed</w:t>
      </w:r>
      <w:r>
        <w:t xml:space="preserve"> and diagnosed, </w:t>
      </w:r>
      <w:r w:rsidR="009223EC">
        <w:t xml:space="preserve">but with overall reduced diagnostic yield per test conducted, </w:t>
      </w:r>
      <w:r>
        <w:t xml:space="preserve">which changes the value proposition. </w:t>
      </w:r>
      <w:r w:rsidR="00FF57EB">
        <w:t>MSAC</w:t>
      </w:r>
      <w:r w:rsidR="006058F8" w:rsidRPr="006058F8">
        <w:t xml:space="preserve"> </w:t>
      </w:r>
      <w:r w:rsidR="006058F8">
        <w:t xml:space="preserve">acknowledged that avoiding the </w:t>
      </w:r>
      <w:r w:rsidR="000A768F">
        <w:t>‘</w:t>
      </w:r>
      <w:r w:rsidR="006058F8">
        <w:t>diagnostic odyssey</w:t>
      </w:r>
      <w:r w:rsidR="000A768F">
        <w:t>’</w:t>
      </w:r>
      <w:r w:rsidR="006058F8">
        <w:t xml:space="preserve"> is also part of the value proposition</w:t>
      </w:r>
      <w:r w:rsidR="00092CCA">
        <w:t>.</w:t>
      </w:r>
      <w:r w:rsidR="006058F8">
        <w:t xml:space="preserve"> </w:t>
      </w:r>
      <w:r w:rsidR="00FF57EB">
        <w:t>H</w:t>
      </w:r>
      <w:r w:rsidR="009223EC">
        <w:t>owever, m</w:t>
      </w:r>
      <w:r>
        <w:t xml:space="preserve">ore diagnoses could result in cost offsets by avoiding later unnecessary </w:t>
      </w:r>
      <w:r w:rsidR="009223EC">
        <w:t xml:space="preserve">investigations and </w:t>
      </w:r>
      <w:r>
        <w:t xml:space="preserve">treatments, which can be harmful for some patients. MSAC also </w:t>
      </w:r>
      <w:r w:rsidR="00AB4F54">
        <w:t xml:space="preserve">considered </w:t>
      </w:r>
      <w:r>
        <w:t xml:space="preserve">that, currently, it is difficult to quantify other issues, such as </w:t>
      </w:r>
      <w:r w:rsidR="00B611D3">
        <w:t xml:space="preserve">likely improved </w:t>
      </w:r>
      <w:r w:rsidR="00270D7E">
        <w:t xml:space="preserve">and more timely </w:t>
      </w:r>
      <w:r>
        <w:t xml:space="preserve">access to </w:t>
      </w:r>
      <w:r w:rsidR="00B611D3">
        <w:t xml:space="preserve">funding via </w:t>
      </w:r>
      <w:r>
        <w:t xml:space="preserve">the National Disability Insurance Scheme for those who are found to have </w:t>
      </w:r>
      <w:r w:rsidR="00B611D3">
        <w:t xml:space="preserve">a </w:t>
      </w:r>
      <w:r w:rsidR="009223EC">
        <w:t xml:space="preserve">curated </w:t>
      </w:r>
      <w:r>
        <w:t>germline variant</w:t>
      </w:r>
      <w:r w:rsidR="00B611D3">
        <w:t xml:space="preserve"> diagnosing a genetically mediated </w:t>
      </w:r>
      <w:r w:rsidR="007816D4">
        <w:t>condition.</w:t>
      </w:r>
    </w:p>
    <w:p w14:paraId="585E61D7" w14:textId="7EFDB298" w:rsidR="00446B3E" w:rsidRPr="00C566D4" w:rsidRDefault="00446B3E" w:rsidP="00446B3E">
      <w:pPr>
        <w:spacing w:after="240"/>
      </w:pPr>
      <w:r w:rsidRPr="00C566D4">
        <w:t xml:space="preserve">MSAC </w:t>
      </w:r>
      <w:r>
        <w:t xml:space="preserve">noted some issues regarding equity of access, and </w:t>
      </w:r>
      <w:r w:rsidRPr="00C566D4">
        <w:t>acknowledge</w:t>
      </w:r>
      <w:r>
        <w:t>d</w:t>
      </w:r>
      <w:r w:rsidRPr="00C566D4">
        <w:t xml:space="preserve"> that the clinical referral pathway needed to move away from clinical geneticists being the only </w:t>
      </w:r>
      <w:r>
        <w:t>professionals requesting the test</w:t>
      </w:r>
      <w:r w:rsidR="00270D7E">
        <w:t xml:space="preserve"> </w:t>
      </w:r>
      <w:r w:rsidR="00270D7E" w:rsidRPr="00C372C3">
        <w:t>to ensure equitable access for potentially eligible patients</w:t>
      </w:r>
      <w:r w:rsidR="001C0833">
        <w:t>.</w:t>
      </w:r>
    </w:p>
    <w:p w14:paraId="37DC5564" w14:textId="77777777" w:rsidR="00446B3E" w:rsidRDefault="00446B3E" w:rsidP="00446B3E">
      <w:pPr>
        <w:spacing w:after="240"/>
      </w:pPr>
      <w:r w:rsidRPr="00C566D4">
        <w:t>MSAC noted that re</w:t>
      </w:r>
      <w:r>
        <w:t>queste</w:t>
      </w:r>
      <w:r w:rsidRPr="00C566D4">
        <w:t xml:space="preserve">rs and laboratories both contribute to </w:t>
      </w:r>
      <w:r w:rsidR="00B611D3">
        <w:t xml:space="preserve">improving </w:t>
      </w:r>
      <w:r w:rsidRPr="00C566D4">
        <w:t>the diagnostic yield. MSAC</w:t>
      </w:r>
      <w:r w:rsidRPr="0073520F">
        <w:t xml:space="preserve"> </w:t>
      </w:r>
      <w:r>
        <w:t xml:space="preserve">also </w:t>
      </w:r>
      <w:r w:rsidRPr="0073520F">
        <w:t xml:space="preserve">noted that the economic model is </w:t>
      </w:r>
      <w:r w:rsidR="00B611D3">
        <w:t xml:space="preserve">relatively </w:t>
      </w:r>
      <w:r w:rsidRPr="0073520F">
        <w:t xml:space="preserve">insensitive to diagnostic yield (ICERs increase from $5000/QALY for a 50% diagnostic yield </w:t>
      </w:r>
      <w:r>
        <w:t>to</w:t>
      </w:r>
      <w:r w:rsidRPr="0073520F">
        <w:t xml:space="preserve"> $9000/QALY for a 30% diagnostic yield).</w:t>
      </w:r>
    </w:p>
    <w:p w14:paraId="1AC4A077" w14:textId="77777777" w:rsidR="00446B3E" w:rsidRPr="00A00649" w:rsidRDefault="00446B3E" w:rsidP="00115EAA">
      <w:pPr>
        <w:pStyle w:val="NormalBeforeBullet"/>
      </w:pPr>
      <w:r w:rsidRPr="00A00649">
        <w:lastRenderedPageBreak/>
        <w:t>MSAC accepted that more data would become available thro</w:t>
      </w:r>
      <w:r>
        <w:t xml:space="preserve">ugh </w:t>
      </w:r>
      <w:r w:rsidR="00FD0C8D">
        <w:t xml:space="preserve">appropriate data collection of </w:t>
      </w:r>
      <w:r>
        <w:t>post-implementation testing</w:t>
      </w:r>
      <w:r w:rsidRPr="00A00649">
        <w:t>, especially for:</w:t>
      </w:r>
    </w:p>
    <w:p w14:paraId="044CC57C" w14:textId="77777777" w:rsidR="00446B3E" w:rsidRDefault="00446B3E" w:rsidP="00446B3E">
      <w:pPr>
        <w:pStyle w:val="Bullet"/>
        <w:ind w:left="720"/>
      </w:pPr>
      <w:r>
        <w:t xml:space="preserve">cost savings and cost offsets as a result of more </w:t>
      </w:r>
      <w:r w:rsidR="00B611D3">
        <w:t xml:space="preserve">genetic </w:t>
      </w:r>
      <w:r>
        <w:t>diagnoses</w:t>
      </w:r>
    </w:p>
    <w:p w14:paraId="1040C7C5" w14:textId="77777777" w:rsidR="00446B3E" w:rsidRDefault="00446B3E" w:rsidP="00446B3E">
      <w:pPr>
        <w:pStyle w:val="Bullet"/>
        <w:ind w:left="720"/>
      </w:pPr>
      <w:r>
        <w:t>utilisation of trio testing</w:t>
      </w:r>
    </w:p>
    <w:p w14:paraId="203C7A01" w14:textId="77777777" w:rsidR="00446B3E" w:rsidRDefault="00446B3E" w:rsidP="009310D8">
      <w:pPr>
        <w:pStyle w:val="Bullet"/>
        <w:ind w:left="714" w:hanging="357"/>
      </w:pPr>
      <w:r>
        <w:t xml:space="preserve">diagnostic yield </w:t>
      </w:r>
      <w:r w:rsidR="00B611D3">
        <w:t xml:space="preserve">patterns </w:t>
      </w:r>
      <w:r>
        <w:t xml:space="preserve">for </w:t>
      </w:r>
      <w:r w:rsidR="00B611D3">
        <w:t xml:space="preserve">both </w:t>
      </w:r>
      <w:r>
        <w:t>referrers and laboratories</w:t>
      </w:r>
      <w:r w:rsidR="00FD0C8D">
        <w:t>, including by linking AAAAA testing for probands with consequent CCCC2 cascade testing of family members</w:t>
      </w:r>
    </w:p>
    <w:p w14:paraId="4B213CFF" w14:textId="77777777" w:rsidR="00446B3E" w:rsidRPr="00A00649" w:rsidRDefault="00446B3E" w:rsidP="00446B3E">
      <w:pPr>
        <w:pStyle w:val="BulletLast"/>
        <w:ind w:left="714" w:hanging="357"/>
      </w:pPr>
      <w:r>
        <w:t>referral patterns moving away from clinical geneticists only</w:t>
      </w:r>
      <w:r w:rsidR="00FD0C8D">
        <w:t xml:space="preserve"> to include paediatric specialists</w:t>
      </w:r>
      <w:r>
        <w:t>.</w:t>
      </w:r>
    </w:p>
    <w:p w14:paraId="2483DD69" w14:textId="77777777" w:rsidR="00446B3E" w:rsidRPr="005E6563" w:rsidRDefault="00446B3E" w:rsidP="005E6563">
      <w:pPr>
        <w:rPr>
          <w:i/>
        </w:rPr>
      </w:pPr>
      <w:r w:rsidRPr="005E6563">
        <w:rPr>
          <w:i/>
        </w:rPr>
        <w:t>Item descriptors</w:t>
      </w:r>
    </w:p>
    <w:p w14:paraId="71D1C2F5" w14:textId="7D02381F" w:rsidR="00446B3E" w:rsidRDefault="00446B3E" w:rsidP="005E6563">
      <w:pPr>
        <w:spacing w:after="120"/>
      </w:pPr>
      <w:r>
        <w:t xml:space="preserve">MSAC </w:t>
      </w:r>
      <w:r w:rsidR="00980775">
        <w:t xml:space="preserve">advised that </w:t>
      </w:r>
      <w:r>
        <w:t>the following item descriptors</w:t>
      </w:r>
      <w:r w:rsidR="00B611D3">
        <w:t xml:space="preserve"> </w:t>
      </w:r>
      <w:r w:rsidR="00FE3680">
        <w:t xml:space="preserve">for AAAAA, BBBB1 and BBBB2 </w:t>
      </w:r>
      <w:r w:rsidR="00980775">
        <w:t xml:space="preserve">would form </w:t>
      </w:r>
      <w:r w:rsidR="00B611D3">
        <w:t>a suitable basis for further consultation with re-crafted item descriptors to be reviewed by the MSAC Executive</w:t>
      </w:r>
      <w:r w:rsidR="0030727D">
        <w:t xml:space="preserve">. Further policy advice was also sought regarding a time-limited </w:t>
      </w:r>
      <w:r w:rsidR="004C646E">
        <w:t xml:space="preserve">MBS </w:t>
      </w:r>
      <w:r w:rsidR="0030727D">
        <w:t xml:space="preserve">item for WEA of individuals who would be suitable for WEA when AAAAA is </w:t>
      </w:r>
      <w:r w:rsidR="004C646E">
        <w:t xml:space="preserve">first </w:t>
      </w:r>
      <w:r w:rsidR="0030727D">
        <w:t>implemented</w:t>
      </w:r>
      <w:r w:rsidR="004C646E">
        <w:t>,</w:t>
      </w:r>
      <w:r w:rsidR="0030727D">
        <w:t xml:space="preserve"> </w:t>
      </w:r>
      <w:r w:rsidR="004C646E">
        <w:t xml:space="preserve">but who would already be older than </w:t>
      </w:r>
      <w:r w:rsidR="0030727D">
        <w:t xml:space="preserve">the upper age limit. This could be modelled on AAAAA but omitting the upper age limit, and would require an adequate communication plan </w:t>
      </w:r>
      <w:r w:rsidR="004C646E">
        <w:t xml:space="preserve">to the defined requestor population in order </w:t>
      </w:r>
      <w:r w:rsidR="0030727D">
        <w:t>to achieve its objective</w:t>
      </w:r>
      <w:r w:rsidR="00B611D3">
        <w:t>.</w:t>
      </w:r>
    </w:p>
    <w:tbl>
      <w:tblPr>
        <w:tblStyle w:val="TableGrid"/>
        <w:tblW w:w="0" w:type="auto"/>
        <w:tblLook w:val="04A0" w:firstRow="1" w:lastRow="0" w:firstColumn="1" w:lastColumn="0" w:noHBand="0" w:noVBand="1"/>
        <w:tblDescription w:val="Proposed MBS items"/>
      </w:tblPr>
      <w:tblGrid>
        <w:gridCol w:w="9016"/>
      </w:tblGrid>
      <w:tr w:rsidR="000355B8" w14:paraId="02C1E6F7" w14:textId="77777777" w:rsidTr="000355B8">
        <w:trPr>
          <w:tblHeader/>
        </w:trPr>
        <w:tc>
          <w:tcPr>
            <w:tcW w:w="9016" w:type="dxa"/>
          </w:tcPr>
          <w:p w14:paraId="05BB6FEF" w14:textId="22E2F961" w:rsidR="000355B8" w:rsidRDefault="000355B8" w:rsidP="000355B8">
            <w:pPr>
              <w:spacing w:before="120" w:after="120"/>
            </w:pPr>
            <w:r>
              <w:t>Proposed MBS Items</w:t>
            </w:r>
          </w:p>
        </w:tc>
      </w:tr>
      <w:tr w:rsidR="000355B8" w14:paraId="46E9E47B" w14:textId="77777777" w:rsidTr="000355B8">
        <w:tc>
          <w:tcPr>
            <w:tcW w:w="9016" w:type="dxa"/>
          </w:tcPr>
          <w:p w14:paraId="763B5754" w14:textId="77777777" w:rsidR="000355B8" w:rsidRDefault="000355B8" w:rsidP="000355B8">
            <w:r>
              <w:t>MBS item number: AAAAA</w:t>
            </w:r>
          </w:p>
          <w:p w14:paraId="5D922E1F" w14:textId="77777777" w:rsidR="000355B8" w:rsidRDefault="000355B8" w:rsidP="000355B8">
            <w:r w:rsidRPr="00551075">
              <w:t xml:space="preserve">Characterisation of germline variants known to cause monogenic disorders, as requested by </w:t>
            </w:r>
            <w:r w:rsidRPr="00E92296">
              <w:rPr>
                <w:u w:val="single"/>
              </w:rPr>
              <w:t>a clinical geneticist or a consultant physician practising as a specialist paediatrician, following consultation with a clinical geneticist</w:t>
            </w:r>
            <w:r w:rsidRPr="00551075">
              <w:t>, following non-informative microarray testing for copy number alteration, in a patient aged ten years or younger with a strong suspicion of a monogenic condition based on the presence of any one of the two following clinical criteria</w:t>
            </w:r>
            <w:r>
              <w:t>:</w:t>
            </w:r>
          </w:p>
          <w:p w14:paraId="4C0037CC" w14:textId="77777777" w:rsidR="000355B8" w:rsidRDefault="000355B8" w:rsidP="000355B8">
            <w:r>
              <w:t>1. dysmorphic facial appearance and one or more major structural congenital anomalies; or</w:t>
            </w:r>
          </w:p>
          <w:p w14:paraId="3F697376" w14:textId="77777777" w:rsidR="000355B8" w:rsidRDefault="000355B8" w:rsidP="000355B8">
            <w:r>
              <w:t>2. intellectual disability or global developmental delay of at least moderate severity, according to DSM-5 criteria.</w:t>
            </w:r>
          </w:p>
          <w:p w14:paraId="4B7F545A" w14:textId="77777777" w:rsidR="000355B8" w:rsidRPr="00551075" w:rsidRDefault="000355B8" w:rsidP="000355B8">
            <w:pPr>
              <w:rPr>
                <w:strike/>
              </w:rPr>
            </w:pPr>
            <w:r w:rsidRPr="00551075">
              <w:rPr>
                <w:strike/>
              </w:rPr>
              <w:t>Analysis may include trio-based sequencing (patient</w:t>
            </w:r>
            <w:r>
              <w:rPr>
                <w:strike/>
              </w:rPr>
              <w:t xml:space="preserve"> and their biological parents).</w:t>
            </w:r>
          </w:p>
          <w:p w14:paraId="6ED3DC68" w14:textId="77777777" w:rsidR="000355B8" w:rsidRPr="00551075" w:rsidRDefault="000355B8" w:rsidP="000355B8">
            <w:r w:rsidRPr="00551075">
              <w:t>Performed no more than on</w:t>
            </w:r>
            <w:r>
              <w:t>ce per patient.</w:t>
            </w:r>
          </w:p>
          <w:p w14:paraId="50BB6835" w14:textId="77777777" w:rsidR="000355B8" w:rsidRDefault="000355B8" w:rsidP="000355B8">
            <w:r>
              <w:t>MBS Fee: $2,400.00</w:t>
            </w:r>
          </w:p>
          <w:p w14:paraId="40999EC8" w14:textId="77777777" w:rsidR="000355B8" w:rsidRDefault="000355B8" w:rsidP="000355B8">
            <w:r>
              <w:t>Benefit: 75% = $1,800.00 85% = $2,040.00</w:t>
            </w:r>
          </w:p>
          <w:p w14:paraId="606D3D37" w14:textId="77777777" w:rsidR="000355B8" w:rsidRDefault="000355B8" w:rsidP="000355B8">
            <w:r>
              <w:t>Notes:</w:t>
            </w:r>
          </w:p>
          <w:p w14:paraId="63C63B9D" w14:textId="59D249A9" w:rsidR="000355B8" w:rsidRDefault="000355B8" w:rsidP="00C23A01">
            <w:pPr>
              <w:spacing w:after="120"/>
            </w:pPr>
            <w:r w:rsidRPr="00F87A18">
              <w:rPr>
                <w:szCs w:val="24"/>
                <w:u w:val="single"/>
              </w:rPr>
              <w:t>Trio testing is not encompassed within this item.</w:t>
            </w:r>
          </w:p>
        </w:tc>
      </w:tr>
      <w:tr w:rsidR="000355B8" w14:paraId="13175BFB" w14:textId="77777777" w:rsidTr="000355B8">
        <w:tc>
          <w:tcPr>
            <w:tcW w:w="9016" w:type="dxa"/>
          </w:tcPr>
          <w:p w14:paraId="2EB92998" w14:textId="77777777" w:rsidR="000355B8" w:rsidRDefault="000355B8" w:rsidP="000355B8">
            <w:r>
              <w:t>MBS item number: BBBB1</w:t>
            </w:r>
          </w:p>
          <w:p w14:paraId="107D69F7" w14:textId="77777777" w:rsidR="000355B8" w:rsidRPr="00551075" w:rsidRDefault="000355B8" w:rsidP="000355B8">
            <w:r w:rsidRPr="00551075">
              <w:t>Re-analysis of whole exome data obtained as described under item AAAAA, a</w:t>
            </w:r>
            <w:r>
              <w:t>f</w:t>
            </w:r>
            <w:r w:rsidRPr="00551075">
              <w:t>t</w:t>
            </w:r>
            <w:r>
              <w:t>er</w:t>
            </w:r>
            <w:r w:rsidRPr="00551075">
              <w:t xml:space="preserve"> an interval of not less than 18 months, for characterisation of previously unreported germline gene variants related to the clinical phenotype, in a patient </w:t>
            </w:r>
            <w:r>
              <w:t>aged fifteen</w:t>
            </w:r>
            <w:r w:rsidRPr="00551075">
              <w:t xml:space="preserve"> years or younger with a strong suspicion of a monogenic syndrome, where re-analysis identifies new variants requiring curation, as requested by </w:t>
            </w:r>
            <w:r w:rsidRPr="00E92296">
              <w:rPr>
                <w:u w:val="single"/>
              </w:rPr>
              <w:t>a clinical geneticist or a consultant physician practising as a specialist paediatrician, following consultation with a clinical geneticist</w:t>
            </w:r>
            <w:r>
              <w:rPr>
                <w:u w:val="single"/>
              </w:rPr>
              <w:t>.</w:t>
            </w:r>
          </w:p>
          <w:p w14:paraId="3656CF9F" w14:textId="77777777" w:rsidR="000355B8" w:rsidRDefault="000355B8" w:rsidP="000355B8">
            <w:r w:rsidRPr="00551075">
              <w:t>Performed no more than on</w:t>
            </w:r>
            <w:r>
              <w:t>ce per patient.</w:t>
            </w:r>
          </w:p>
          <w:p w14:paraId="3B67C4A7" w14:textId="77777777" w:rsidR="000355B8" w:rsidRPr="00551075" w:rsidRDefault="000355B8" w:rsidP="000355B8">
            <w:r>
              <w:t>Not to be performed in association with BBBB2.</w:t>
            </w:r>
          </w:p>
          <w:p w14:paraId="16F015DC" w14:textId="77777777" w:rsidR="000355B8" w:rsidRPr="00551075" w:rsidRDefault="000355B8" w:rsidP="000355B8">
            <w:r>
              <w:t>MBS Fee: $650.00</w:t>
            </w:r>
          </w:p>
          <w:p w14:paraId="15EF297D" w14:textId="13834E93" w:rsidR="000355B8" w:rsidRDefault="000355B8" w:rsidP="005E6563">
            <w:r w:rsidRPr="00551075">
              <w:t>Benefit: 75% = $487.50 8</w:t>
            </w:r>
            <w:r>
              <w:t>5% = $552.50</w:t>
            </w:r>
          </w:p>
        </w:tc>
      </w:tr>
      <w:tr w:rsidR="000355B8" w14:paraId="1725AD4C" w14:textId="77777777" w:rsidTr="000355B8">
        <w:tc>
          <w:tcPr>
            <w:tcW w:w="9016" w:type="dxa"/>
          </w:tcPr>
          <w:p w14:paraId="7EC92D4A" w14:textId="77777777" w:rsidR="000355B8" w:rsidRPr="00551075" w:rsidRDefault="000355B8" w:rsidP="000355B8">
            <w:r>
              <w:lastRenderedPageBreak/>
              <w:t>MBS item number: BBBB2</w:t>
            </w:r>
          </w:p>
          <w:p w14:paraId="06DB6839" w14:textId="77777777" w:rsidR="000355B8" w:rsidRPr="00551075" w:rsidRDefault="000355B8" w:rsidP="000355B8">
            <w:r w:rsidRPr="00551075">
              <w:t>Re-analysis of whole exome data obtained as described under item AAAAA, a</w:t>
            </w:r>
            <w:r>
              <w:t>f</w:t>
            </w:r>
            <w:r w:rsidRPr="00551075">
              <w:t>t</w:t>
            </w:r>
            <w:r>
              <w:t>er</w:t>
            </w:r>
            <w:r w:rsidRPr="00551075">
              <w:t xml:space="preserve"> an interval of not less than 18 months, for characterisation of previously unreported germline gene variants related to the clinical phenotype, in a patient </w:t>
            </w:r>
            <w:r>
              <w:t xml:space="preserve">aged fifteen </w:t>
            </w:r>
            <w:r w:rsidRPr="00551075">
              <w:t xml:space="preserve">years or younger with a strong suspicion of a monogenic syndrome, where the re-analysis obtained as described under item BBBB1 provides no new information or the re-analysis is limited to one or more previously identified variants of uncertain significance, as requested by </w:t>
            </w:r>
            <w:r w:rsidRPr="00E92296">
              <w:rPr>
                <w:u w:val="single"/>
              </w:rPr>
              <w:t>a clinical geneticist or a consultant physician practising as a specialist paediatrician, following consultation with a clinical geneticist</w:t>
            </w:r>
            <w:r>
              <w:t>.</w:t>
            </w:r>
          </w:p>
          <w:p w14:paraId="2A39FB65" w14:textId="77777777" w:rsidR="000355B8" w:rsidRDefault="000355B8" w:rsidP="000355B8">
            <w:r w:rsidRPr="00551075">
              <w:t>Performed no more than on</w:t>
            </w:r>
            <w:r>
              <w:t>ce per patient.</w:t>
            </w:r>
          </w:p>
          <w:p w14:paraId="0D6E1D5F" w14:textId="77777777" w:rsidR="000355B8" w:rsidRPr="00551075" w:rsidRDefault="000355B8" w:rsidP="000355B8">
            <w:r>
              <w:t>Not to be performed in association with BBBB1.</w:t>
            </w:r>
          </w:p>
          <w:p w14:paraId="54698A85" w14:textId="77777777" w:rsidR="000355B8" w:rsidRPr="00551075" w:rsidRDefault="000355B8" w:rsidP="000355B8">
            <w:r>
              <w:t>MBS Fee: $350.00</w:t>
            </w:r>
          </w:p>
          <w:p w14:paraId="02306F2C" w14:textId="6FF3F551" w:rsidR="000355B8" w:rsidRDefault="000355B8" w:rsidP="005E6563">
            <w:r w:rsidRPr="00551075">
              <w:t>Benefit: 75% = $262.50 85% = $297.50</w:t>
            </w:r>
          </w:p>
        </w:tc>
      </w:tr>
    </w:tbl>
    <w:p w14:paraId="621F5B9F" w14:textId="77777777" w:rsidR="00446B3E" w:rsidRDefault="00446B3E" w:rsidP="002F7E28">
      <w:pPr>
        <w:pStyle w:val="NormalBeforeBullet"/>
        <w:spacing w:before="240"/>
      </w:pPr>
      <w:r>
        <w:t>MSAC was concerned about item CCCCC being a combination of tests. Although they are all ‘cascade testing’, the purpose of the test differs. MSAC considered that there should be three items for cascade testing:</w:t>
      </w:r>
    </w:p>
    <w:p w14:paraId="680AD0FB" w14:textId="77777777" w:rsidR="00446B3E" w:rsidRDefault="00446B3E" w:rsidP="00446B3E">
      <w:pPr>
        <w:pStyle w:val="Bullet"/>
        <w:ind w:left="720"/>
      </w:pPr>
      <w:r>
        <w:t>CCCC1 for sibling testing</w:t>
      </w:r>
      <w:r w:rsidR="00FE3680">
        <w:t xml:space="preserve"> (which should have a narrower definition of suitable requesters consistent with item AAAAA)</w:t>
      </w:r>
    </w:p>
    <w:p w14:paraId="02000E72" w14:textId="77777777" w:rsidR="00446B3E" w:rsidRDefault="00446B3E" w:rsidP="00446B3E">
      <w:pPr>
        <w:pStyle w:val="Bullet"/>
        <w:ind w:left="720"/>
      </w:pPr>
      <w:r>
        <w:t>CCCC2 for reproductive decision-making</w:t>
      </w:r>
      <w:r w:rsidR="00FE3680">
        <w:t xml:space="preserve"> (which should have a broader definition of suitable requesters consistent with MBS item descriptors for cascade testing in other contexts)</w:t>
      </w:r>
    </w:p>
    <w:p w14:paraId="5736D60C" w14:textId="77777777" w:rsidR="00446B3E" w:rsidRDefault="00446B3E" w:rsidP="002F7E28">
      <w:pPr>
        <w:pStyle w:val="BulletLast"/>
        <w:ind w:left="714" w:hanging="357"/>
      </w:pPr>
      <w:r>
        <w:t>CCCC3 for segregation studies</w:t>
      </w:r>
      <w:r w:rsidR="00FE3680">
        <w:t xml:space="preserve"> (which should have a narrower definition of suitable requesters consistent with item AAAAA)</w:t>
      </w:r>
      <w:r>
        <w:t>.</w:t>
      </w:r>
    </w:p>
    <w:p w14:paraId="0FF1A13A" w14:textId="6B58FAB6" w:rsidR="00092CCA" w:rsidRDefault="00446B3E" w:rsidP="003D15F0">
      <w:pPr>
        <w:spacing w:after="240"/>
      </w:pPr>
      <w:r>
        <w:t>For proposed item</w:t>
      </w:r>
      <w:r w:rsidR="00F87A18">
        <w:t>s</w:t>
      </w:r>
      <w:r>
        <w:t xml:space="preserve"> CCCC1, CCCC2 and CCCC3, MSAC a</w:t>
      </w:r>
      <w:r w:rsidR="00FE3680">
        <w:t xml:space="preserve">dvised that </w:t>
      </w:r>
      <w:r>
        <w:t>the following item descriptors</w:t>
      </w:r>
      <w:r w:rsidR="00B9190E">
        <w:t xml:space="preserve"> </w:t>
      </w:r>
      <w:r w:rsidR="00FE3680">
        <w:t xml:space="preserve">would form a </w:t>
      </w:r>
      <w:r w:rsidR="00B9190E">
        <w:t>suitable basis for further consultation with re-crafted item descriptors to be reviewed by the MSAC Executive</w:t>
      </w:r>
      <w:r>
        <w:t>:</w:t>
      </w:r>
    </w:p>
    <w:tbl>
      <w:tblPr>
        <w:tblStyle w:val="TableGrid"/>
        <w:tblW w:w="0" w:type="auto"/>
        <w:tblLook w:val="04A0" w:firstRow="1" w:lastRow="0" w:firstColumn="1" w:lastColumn="0" w:noHBand="0" w:noVBand="1"/>
        <w:tblDescription w:val="Proposed MBS items"/>
      </w:tblPr>
      <w:tblGrid>
        <w:gridCol w:w="9016"/>
      </w:tblGrid>
      <w:tr w:rsidR="000355B8" w14:paraId="6AC8F6CE" w14:textId="77777777" w:rsidTr="005E6563">
        <w:trPr>
          <w:tblHeader/>
        </w:trPr>
        <w:tc>
          <w:tcPr>
            <w:tcW w:w="9016" w:type="dxa"/>
          </w:tcPr>
          <w:p w14:paraId="4219972A" w14:textId="5C06CB55" w:rsidR="000355B8" w:rsidRDefault="000355B8" w:rsidP="000355B8">
            <w:pPr>
              <w:spacing w:before="120" w:after="120"/>
            </w:pPr>
            <w:r>
              <w:t>Proposed MBS Items</w:t>
            </w:r>
          </w:p>
        </w:tc>
      </w:tr>
      <w:tr w:rsidR="000355B8" w14:paraId="3843CB36" w14:textId="77777777" w:rsidTr="000355B8">
        <w:trPr>
          <w:trHeight w:val="3311"/>
        </w:trPr>
        <w:tc>
          <w:tcPr>
            <w:tcW w:w="9016" w:type="dxa"/>
          </w:tcPr>
          <w:p w14:paraId="3A2823E7" w14:textId="77777777" w:rsidR="000355B8" w:rsidRDefault="000355B8" w:rsidP="000355B8">
            <w:r>
              <w:t>MBS item number: CCCC1</w:t>
            </w:r>
          </w:p>
          <w:p w14:paraId="30F63401" w14:textId="77777777" w:rsidR="000355B8" w:rsidRDefault="000355B8" w:rsidP="000355B8">
            <w:r w:rsidRPr="00FD49D1">
              <w:t xml:space="preserve">Detection of a single gene variant for diagnostic purposes, in a sibling of a patient with a known monogenic condition where previous genetic testing performed in accordance with the conditions specified under item AAAAA, BBBB1, or BBBB2 has identified the causative variant and where the results of the previous proband testing is made available to the laboratory, </w:t>
            </w:r>
            <w:r w:rsidRPr="00551075">
              <w:t xml:space="preserve">as requested by </w:t>
            </w:r>
            <w:r w:rsidRPr="00E92296">
              <w:rPr>
                <w:u w:val="single"/>
              </w:rPr>
              <w:t>a clinical geneticist or a consultant physician practising as a specialist paediatrician, following consultation with a clinical geneticist</w:t>
            </w:r>
            <w:r w:rsidRPr="00FD49D1">
              <w:t>.</w:t>
            </w:r>
          </w:p>
          <w:p w14:paraId="7035D118" w14:textId="77777777" w:rsidR="000355B8" w:rsidRDefault="000355B8" w:rsidP="000355B8">
            <w:r w:rsidRPr="00FD49D1">
              <w:t>Not performed in association with item CCCC2</w:t>
            </w:r>
            <w:r>
              <w:t xml:space="preserve"> or CCCC3.</w:t>
            </w:r>
          </w:p>
          <w:p w14:paraId="5BA3718A" w14:textId="77777777" w:rsidR="000355B8" w:rsidRDefault="000355B8" w:rsidP="000355B8">
            <w:r w:rsidRPr="00FD49D1">
              <w:t>Performed no more than once per variant per patient</w:t>
            </w:r>
            <w:r>
              <w:t>.</w:t>
            </w:r>
          </w:p>
          <w:p w14:paraId="2847A3A9" w14:textId="77777777" w:rsidR="000355B8" w:rsidRDefault="000355B8" w:rsidP="000355B8">
            <w:r>
              <w:t>MBS Fee: $400.00</w:t>
            </w:r>
          </w:p>
          <w:p w14:paraId="3AB120CA" w14:textId="5F5E4CC8" w:rsidR="000355B8" w:rsidRDefault="000355B8" w:rsidP="005E6563">
            <w:r>
              <w:t>Benefit: 75% = $300.00 85% = $340.00</w:t>
            </w:r>
          </w:p>
        </w:tc>
      </w:tr>
      <w:tr w:rsidR="000355B8" w14:paraId="3BBBF422" w14:textId="77777777" w:rsidTr="000355B8">
        <w:tc>
          <w:tcPr>
            <w:tcW w:w="9016" w:type="dxa"/>
          </w:tcPr>
          <w:p w14:paraId="3EF79F6D" w14:textId="77777777" w:rsidR="005E6563" w:rsidRDefault="005E6563" w:rsidP="005E6563">
            <w:r>
              <w:t>MBS item number: CCCC2</w:t>
            </w:r>
          </w:p>
          <w:p w14:paraId="3CABF177" w14:textId="77777777" w:rsidR="005E6563" w:rsidRDefault="005E6563" w:rsidP="005E6563">
            <w:r w:rsidRPr="00FD49D1">
              <w:t>Detection of a single gene variant, for the purpose of reproductive decision making, in a first-degree relative of a patient with a known monogenic condition where previous genetic testing performed in accordance with the conditions specified under item AAAAA</w:t>
            </w:r>
            <w:r>
              <w:t>, BBBB1</w:t>
            </w:r>
            <w:r w:rsidRPr="00FD49D1">
              <w:t xml:space="preserve"> or BBBB</w:t>
            </w:r>
            <w:r>
              <w:t>2</w:t>
            </w:r>
            <w:r w:rsidRPr="00FD49D1">
              <w:t xml:space="preserve"> has identified the causative variant and where the results of the previous </w:t>
            </w:r>
            <w:r w:rsidRPr="00FD49D1">
              <w:lastRenderedPageBreak/>
              <w:t>proband testing is made available to the laboratory, requested by a consultant physician or specialist.</w:t>
            </w:r>
          </w:p>
          <w:p w14:paraId="2B5B260B" w14:textId="77777777" w:rsidR="005E6563" w:rsidRDefault="005E6563" w:rsidP="005E6563">
            <w:r w:rsidRPr="00FD49D1">
              <w:t>Not performed in association with item CCCC</w:t>
            </w:r>
            <w:r>
              <w:t>1 or CCCC3.</w:t>
            </w:r>
          </w:p>
          <w:p w14:paraId="62CF363B" w14:textId="77777777" w:rsidR="005E6563" w:rsidRDefault="005E6563" w:rsidP="005E6563">
            <w:r w:rsidRPr="00FD49D1">
              <w:t>Performed no more than once per variant per patient</w:t>
            </w:r>
            <w:r>
              <w:t>.</w:t>
            </w:r>
          </w:p>
          <w:p w14:paraId="42606527" w14:textId="77777777" w:rsidR="005E6563" w:rsidRDefault="005E6563" w:rsidP="005E6563">
            <w:r>
              <w:t>MBS Fee: $400.00</w:t>
            </w:r>
          </w:p>
          <w:p w14:paraId="1BD7AAB0" w14:textId="07155C58" w:rsidR="000355B8" w:rsidRDefault="005E6563" w:rsidP="005E6563">
            <w:r>
              <w:t>Benefit: 75% = $300.00 85% = $340.00</w:t>
            </w:r>
          </w:p>
        </w:tc>
      </w:tr>
      <w:tr w:rsidR="000355B8" w14:paraId="51B9F646" w14:textId="77777777" w:rsidTr="000355B8">
        <w:tc>
          <w:tcPr>
            <w:tcW w:w="9016" w:type="dxa"/>
          </w:tcPr>
          <w:p w14:paraId="4B123A07" w14:textId="77777777" w:rsidR="005E6563" w:rsidRDefault="005E6563" w:rsidP="005E6563">
            <w:r>
              <w:lastRenderedPageBreak/>
              <w:t>MBS item number: CCCC3</w:t>
            </w:r>
          </w:p>
          <w:p w14:paraId="1548F71C" w14:textId="77777777" w:rsidR="005E6563" w:rsidRDefault="005E6563" w:rsidP="005E6563">
            <w:r w:rsidRPr="00FD49D1">
              <w:t xml:space="preserve">Detection of a single gene variant for segregation purposes, in a parent of a patient with a suspected monogenic condition </w:t>
            </w:r>
            <w:r w:rsidRPr="00FD49D1">
              <w:rPr>
                <w:u w:val="single"/>
              </w:rPr>
              <w:t xml:space="preserve">or </w:t>
            </w:r>
            <w:r>
              <w:rPr>
                <w:u w:val="single"/>
              </w:rPr>
              <w:t xml:space="preserve">in </w:t>
            </w:r>
            <w:r w:rsidRPr="00FD49D1">
              <w:rPr>
                <w:u w:val="single"/>
              </w:rPr>
              <w:t>a sibling of a patient with a known phenotype</w:t>
            </w:r>
            <w:r>
              <w:t>,</w:t>
            </w:r>
            <w:r w:rsidRPr="00FD49D1">
              <w:t xml:space="preserve"> where previous genetic testing performed in accordance with conditions specified under item AAAAA</w:t>
            </w:r>
            <w:r>
              <w:t>, BBBB1</w:t>
            </w:r>
            <w:r w:rsidRPr="00FD49D1">
              <w:t xml:space="preserve"> or BBBB</w:t>
            </w:r>
            <w:r>
              <w:t>2</w:t>
            </w:r>
            <w:r w:rsidRPr="00FD49D1">
              <w:t xml:space="preserve"> has identified a potentially causative variant and where the results of the previous proband testing is made available to the laboratory, </w:t>
            </w:r>
            <w:r w:rsidRPr="00551075">
              <w:t xml:space="preserve">as requested by </w:t>
            </w:r>
            <w:r w:rsidRPr="00E92296">
              <w:rPr>
                <w:u w:val="single"/>
              </w:rPr>
              <w:t>a clinical geneticist or a consultant physician practising as a specialist paediatrician, following consultation with a clinical geneticist</w:t>
            </w:r>
            <w:r w:rsidRPr="00FD49D1">
              <w:t>.</w:t>
            </w:r>
          </w:p>
          <w:p w14:paraId="2B3CBB79" w14:textId="77777777" w:rsidR="005E6563" w:rsidRDefault="005E6563" w:rsidP="005E6563">
            <w:r w:rsidRPr="00FD49D1">
              <w:t>Not performed in association with item</w:t>
            </w:r>
            <w:r>
              <w:t>s</w:t>
            </w:r>
            <w:r w:rsidRPr="00FD49D1">
              <w:t xml:space="preserve"> CCCC</w:t>
            </w:r>
            <w:r>
              <w:t>1 or CCCC2.</w:t>
            </w:r>
          </w:p>
          <w:p w14:paraId="53F0E3AD" w14:textId="77777777" w:rsidR="005E6563" w:rsidRDefault="005E6563" w:rsidP="005E6563">
            <w:r w:rsidRPr="00FD49D1">
              <w:t>Performed no more than once per parent per variant</w:t>
            </w:r>
            <w:r>
              <w:t>.</w:t>
            </w:r>
          </w:p>
          <w:p w14:paraId="5B5B5211" w14:textId="77777777" w:rsidR="005E6563" w:rsidRDefault="005E6563" w:rsidP="005E6563">
            <w:r>
              <w:t>MBS Fee: $400.00</w:t>
            </w:r>
          </w:p>
          <w:p w14:paraId="3491A028" w14:textId="5968376E" w:rsidR="000355B8" w:rsidRDefault="005E6563" w:rsidP="005E6563">
            <w:r>
              <w:t>Benefit: 75% = $300.00 85% = $340.00</w:t>
            </w:r>
          </w:p>
        </w:tc>
      </w:tr>
    </w:tbl>
    <w:p w14:paraId="1278D0D7" w14:textId="77777777" w:rsidR="00E977EE" w:rsidRPr="00F715D1" w:rsidRDefault="00E977EE" w:rsidP="00CC05D2">
      <w:pPr>
        <w:pStyle w:val="Heading1"/>
      </w:pPr>
      <w:r w:rsidRPr="00F715D1">
        <w:t>MSAC’s advice to the Minister</w:t>
      </w:r>
      <w:r w:rsidR="00446B3E">
        <w:t xml:space="preserve"> – July 2018 consideration</w:t>
      </w:r>
    </w:p>
    <w:p w14:paraId="3FF090DC" w14:textId="77777777" w:rsidR="00333FD7" w:rsidRDefault="00333FD7" w:rsidP="00333FD7">
      <w:r w:rsidRPr="00CA5587">
        <w:t xml:space="preserve">After considering the strength of the available evidence in relation to comparative safety, clinical effectiveness </w:t>
      </w:r>
      <w:r w:rsidRPr="009B1A8E">
        <w:t>and</w:t>
      </w:r>
      <w:r w:rsidRPr="00CA5587">
        <w:t xml:space="preserve"> cost effectiveness, MSAC did not support</w:t>
      </w:r>
      <w:r>
        <w:t xml:space="preserve"> MBS</w:t>
      </w:r>
      <w:r w:rsidRPr="00CA5587">
        <w:t xml:space="preserve"> funding of</w:t>
      </w:r>
      <w:r>
        <w:t xml:space="preserve"> WEA</w:t>
      </w:r>
      <w:r w:rsidR="00F23318">
        <w:t>-based</w:t>
      </w:r>
      <w:r>
        <w:t xml:space="preserve"> genetic t</w:t>
      </w:r>
      <w:r w:rsidRPr="00840A98">
        <w:t>esting for childhood syndromes</w:t>
      </w:r>
      <w:r>
        <w:rPr>
          <w:color w:val="000000"/>
        </w:rPr>
        <w:t xml:space="preserve"> in affected individuals or </w:t>
      </w:r>
      <w:r w:rsidR="00F23318">
        <w:rPr>
          <w:color w:val="000000"/>
        </w:rPr>
        <w:t>of associated reinterrogation analysis or of cascade testing</w:t>
      </w:r>
      <w:r w:rsidRPr="00295670">
        <w:t>.</w:t>
      </w:r>
    </w:p>
    <w:p w14:paraId="0AF23013" w14:textId="77777777" w:rsidR="00333FD7" w:rsidRPr="00335A16" w:rsidRDefault="00333FD7" w:rsidP="00333FD7">
      <w:pPr>
        <w:spacing w:before="240"/>
      </w:pPr>
      <w:r w:rsidRPr="00295670">
        <w:rPr>
          <w:color w:val="000000"/>
        </w:rPr>
        <w:t xml:space="preserve">MSAC acknowledged the high clinical need for testing to diagnose childhood syndromes and the </w:t>
      </w:r>
      <w:r>
        <w:rPr>
          <w:color w:val="000000"/>
        </w:rPr>
        <w:t xml:space="preserve">potential </w:t>
      </w:r>
      <w:r w:rsidRPr="00295670">
        <w:rPr>
          <w:color w:val="000000"/>
        </w:rPr>
        <w:t xml:space="preserve">benefits this </w:t>
      </w:r>
      <w:r>
        <w:rPr>
          <w:color w:val="000000"/>
        </w:rPr>
        <w:t>could have</w:t>
      </w:r>
      <w:r w:rsidRPr="00295670">
        <w:rPr>
          <w:color w:val="000000"/>
        </w:rPr>
        <w:t xml:space="preserve"> </w:t>
      </w:r>
      <w:r>
        <w:rPr>
          <w:color w:val="000000"/>
        </w:rPr>
        <w:t>for</w:t>
      </w:r>
      <w:r w:rsidRPr="00295670">
        <w:rPr>
          <w:color w:val="000000"/>
        </w:rPr>
        <w:t xml:space="preserve"> patients and their families. </w:t>
      </w:r>
      <w:r>
        <w:rPr>
          <w:color w:val="000000"/>
        </w:rPr>
        <w:t xml:space="preserve">However, </w:t>
      </w:r>
      <w:r w:rsidRPr="00335A16">
        <w:t>MSAC had several major concerns with this application regarding:</w:t>
      </w:r>
    </w:p>
    <w:p w14:paraId="082B0ED0" w14:textId="77777777" w:rsidR="00333FD7" w:rsidRPr="00335A16" w:rsidRDefault="00333FD7" w:rsidP="00333FD7">
      <w:pPr>
        <w:pStyle w:val="ListParagraph"/>
        <w:numPr>
          <w:ilvl w:val="0"/>
          <w:numId w:val="30"/>
        </w:numPr>
        <w:spacing w:after="160"/>
      </w:pPr>
      <w:r w:rsidRPr="00335A16">
        <w:t xml:space="preserve">the breadth and heterogeneity of </w:t>
      </w:r>
      <w:r>
        <w:t>the syndromes</w:t>
      </w:r>
      <w:r w:rsidRPr="00335A16">
        <w:t xml:space="preserve"> included</w:t>
      </w:r>
    </w:p>
    <w:p w14:paraId="76E40718" w14:textId="77777777" w:rsidR="00333FD7" w:rsidRPr="00335A16" w:rsidRDefault="00333FD7" w:rsidP="00333FD7">
      <w:pPr>
        <w:pStyle w:val="ListParagraph"/>
        <w:numPr>
          <w:ilvl w:val="0"/>
          <w:numId w:val="30"/>
        </w:numPr>
        <w:spacing w:after="160"/>
      </w:pPr>
      <w:r>
        <w:t xml:space="preserve">a </w:t>
      </w:r>
      <w:r w:rsidRPr="00335A16">
        <w:t xml:space="preserve">lack of confidence in the </w:t>
      </w:r>
      <w:r>
        <w:t xml:space="preserve">limited </w:t>
      </w:r>
      <w:r w:rsidRPr="00335A16">
        <w:t xml:space="preserve">data provided for effects of changes in </w:t>
      </w:r>
      <w:r>
        <w:t xml:space="preserve">clinical </w:t>
      </w:r>
      <w:r w:rsidRPr="00335A16">
        <w:t xml:space="preserve">management </w:t>
      </w:r>
      <w:r>
        <w:t xml:space="preserve">(including other investigations, treatments and future family planning options) </w:t>
      </w:r>
      <w:r w:rsidRPr="00335A16">
        <w:t xml:space="preserve">and </w:t>
      </w:r>
      <w:r>
        <w:t xml:space="preserve">thus </w:t>
      </w:r>
      <w:r w:rsidRPr="00335A16">
        <w:t>improvement in health outcomes</w:t>
      </w:r>
      <w:r>
        <w:t xml:space="preserve"> overall</w:t>
      </w:r>
    </w:p>
    <w:p w14:paraId="24F11324" w14:textId="77777777" w:rsidR="00333FD7" w:rsidRPr="00335A16" w:rsidRDefault="00333FD7" w:rsidP="00333FD7">
      <w:pPr>
        <w:pStyle w:val="ListParagraph"/>
        <w:numPr>
          <w:ilvl w:val="0"/>
          <w:numId w:val="30"/>
        </w:numPr>
        <w:spacing w:after="160"/>
      </w:pPr>
      <w:r>
        <w:t xml:space="preserve">determining </w:t>
      </w:r>
      <w:r w:rsidRPr="00335A16">
        <w:t>the best type of technology to perform the test</w:t>
      </w:r>
    </w:p>
    <w:p w14:paraId="4F780373" w14:textId="77777777" w:rsidR="00333FD7" w:rsidRPr="00295670" w:rsidRDefault="00333FD7" w:rsidP="00333FD7">
      <w:pPr>
        <w:pStyle w:val="ListParagraph"/>
        <w:numPr>
          <w:ilvl w:val="0"/>
          <w:numId w:val="30"/>
        </w:numPr>
        <w:spacing w:after="160"/>
      </w:pPr>
      <w:r w:rsidRPr="00335A16">
        <w:t>implementation issues such as equity of access</w:t>
      </w:r>
      <w:r>
        <w:t>, ethics of consent,</w:t>
      </w:r>
      <w:r w:rsidRPr="00335A16">
        <w:t xml:space="preserve"> </w:t>
      </w:r>
      <w:r>
        <w:t xml:space="preserve">specialised </w:t>
      </w:r>
      <w:r w:rsidRPr="00335A16">
        <w:t>workforce</w:t>
      </w:r>
      <w:r>
        <w:t xml:space="preserve"> availability, and ability to limit to the proposed target population.</w:t>
      </w:r>
    </w:p>
    <w:p w14:paraId="4A293588" w14:textId="77777777" w:rsidR="00864695" w:rsidRPr="009A3D5C" w:rsidRDefault="00333FD7" w:rsidP="009A3D5C">
      <w:pPr>
        <w:pStyle w:val="Default"/>
        <w:spacing w:after="240"/>
        <w:rPr>
          <w:b/>
          <w:i/>
          <w:color w:val="auto"/>
        </w:rPr>
      </w:pPr>
      <w:r w:rsidRPr="00335A16">
        <w:t>MSAC considered that</w:t>
      </w:r>
      <w:r>
        <w:t>, given the current geographical inequity of access to the test options,</w:t>
      </w:r>
      <w:r w:rsidRPr="00335A16">
        <w:t xml:space="preserve"> a stakeholder meeting </w:t>
      </w:r>
      <w:r>
        <w:t xml:space="preserve">involving consumers, requesters and providers </w:t>
      </w:r>
      <w:r w:rsidRPr="00335A16">
        <w:t xml:space="preserve">to </w:t>
      </w:r>
      <w:r>
        <w:t xml:space="preserve">further </w:t>
      </w:r>
      <w:r w:rsidRPr="00335A16">
        <w:t>discuss the</w:t>
      </w:r>
      <w:r>
        <w:t>se</w:t>
      </w:r>
      <w:r w:rsidRPr="00335A16">
        <w:t xml:space="preserve"> issues would assist to inform </w:t>
      </w:r>
      <w:r>
        <w:t xml:space="preserve">its reconsideration of </w:t>
      </w:r>
      <w:r w:rsidRPr="00335A16">
        <w:t>this application</w:t>
      </w:r>
      <w:r>
        <w:t>.</w:t>
      </w:r>
    </w:p>
    <w:p w14:paraId="29F78BAF" w14:textId="77777777" w:rsidR="00550354" w:rsidRPr="00F715D1" w:rsidRDefault="009A3D5C" w:rsidP="00446B3E">
      <w:pPr>
        <w:pStyle w:val="Heading1"/>
        <w:numPr>
          <w:ilvl w:val="0"/>
          <w:numId w:val="0"/>
        </w:numPr>
        <w:ind w:left="720" w:hanging="720"/>
      </w:pPr>
      <w:r>
        <w:t>Summary</w:t>
      </w:r>
      <w:r w:rsidR="008865CA">
        <w:t xml:space="preserve"> </w:t>
      </w:r>
      <w:r w:rsidR="00550354" w:rsidRPr="00F715D1">
        <w:t xml:space="preserve">of consideration </w:t>
      </w:r>
      <w:r w:rsidR="0008217D">
        <w:t>and rationale for MSAC’s advice</w:t>
      </w:r>
      <w:r w:rsidR="00446B3E">
        <w:t xml:space="preserve"> – July 2018</w:t>
      </w:r>
    </w:p>
    <w:p w14:paraId="18B673EC" w14:textId="77777777" w:rsidR="00852CD0" w:rsidRDefault="00852CD0" w:rsidP="00852CD0">
      <w:r>
        <w:t xml:space="preserve">MSAC noted that this application is </w:t>
      </w:r>
      <w:r w:rsidRPr="00492015">
        <w:t xml:space="preserve">for </w:t>
      </w:r>
      <w:r w:rsidR="00F23318">
        <w:t xml:space="preserve">testing </w:t>
      </w:r>
      <w:r>
        <w:t>for three populations:</w:t>
      </w:r>
    </w:p>
    <w:p w14:paraId="2A89D2D1" w14:textId="77777777" w:rsidR="00852CD0" w:rsidRDefault="00852CD0" w:rsidP="00852CD0">
      <w:pPr>
        <w:pStyle w:val="ListParagraph"/>
        <w:numPr>
          <w:ilvl w:val="0"/>
          <w:numId w:val="31"/>
        </w:numPr>
        <w:spacing w:after="160" w:line="259" w:lineRule="auto"/>
      </w:pPr>
      <w:r>
        <w:t xml:space="preserve">Population 1 – initial testing </w:t>
      </w:r>
      <w:r w:rsidR="00F23318">
        <w:t xml:space="preserve">using </w:t>
      </w:r>
      <w:r w:rsidR="00F23318" w:rsidRPr="00492015">
        <w:t>next</w:t>
      </w:r>
      <w:r w:rsidR="00F23318">
        <w:t>-</w:t>
      </w:r>
      <w:r w:rsidR="00F23318" w:rsidRPr="00492015">
        <w:t xml:space="preserve">generation WEA </w:t>
      </w:r>
      <w:r>
        <w:t xml:space="preserve">for </w:t>
      </w:r>
      <w:r w:rsidR="00F23318">
        <w:t xml:space="preserve">the </w:t>
      </w:r>
      <w:r>
        <w:t>diagnosis of childhood syndromes (</w:t>
      </w:r>
      <w:r w:rsidR="00F23318">
        <w:t xml:space="preserve">to detect </w:t>
      </w:r>
      <w:r>
        <w:t>proband</w:t>
      </w:r>
      <w:r w:rsidR="00F23318">
        <w:t>s in</w:t>
      </w:r>
      <w:r>
        <w:t xml:space="preserve"> children 0–18 years of age)</w:t>
      </w:r>
    </w:p>
    <w:p w14:paraId="04696A9B" w14:textId="77777777" w:rsidR="00852CD0" w:rsidRPr="00A64F0B" w:rsidRDefault="00852CD0" w:rsidP="00852CD0">
      <w:pPr>
        <w:pStyle w:val="ListParagraph"/>
        <w:numPr>
          <w:ilvl w:val="0"/>
          <w:numId w:val="31"/>
        </w:numPr>
        <w:spacing w:after="160" w:line="259" w:lineRule="auto"/>
      </w:pPr>
      <w:r>
        <w:t xml:space="preserve">Population 2 – reinterrogation analysis for patients who did not have a definitive </w:t>
      </w:r>
      <w:r w:rsidR="00610659">
        <w:t xml:space="preserve">molecular </w:t>
      </w:r>
      <w:r>
        <w:t xml:space="preserve">diagnosis at initial </w:t>
      </w:r>
      <w:r w:rsidR="004C5A49">
        <w:t xml:space="preserve">WES </w:t>
      </w:r>
      <w:r w:rsidRPr="00A64F0B">
        <w:t>testing (reanalysing bioinformatics</w:t>
      </w:r>
      <w:r>
        <w:t>,</w:t>
      </w:r>
      <w:r w:rsidRPr="00A64F0B">
        <w:t xml:space="preserve"> not retesting)</w:t>
      </w:r>
    </w:p>
    <w:p w14:paraId="5B2B6525" w14:textId="77777777" w:rsidR="00852CD0" w:rsidRPr="00A64F0B" w:rsidRDefault="00852CD0" w:rsidP="00852CD0">
      <w:pPr>
        <w:pStyle w:val="ListParagraph"/>
        <w:numPr>
          <w:ilvl w:val="0"/>
          <w:numId w:val="31"/>
        </w:numPr>
        <w:spacing w:after="160" w:line="259" w:lineRule="auto"/>
      </w:pPr>
      <w:r>
        <w:lastRenderedPageBreak/>
        <w:t xml:space="preserve">Population 3 – </w:t>
      </w:r>
      <w:r w:rsidRPr="00492015">
        <w:t xml:space="preserve">cascade </w:t>
      </w:r>
      <w:r w:rsidR="00F23318">
        <w:t xml:space="preserve">single gene </w:t>
      </w:r>
      <w:r w:rsidRPr="00492015">
        <w:t xml:space="preserve">testing </w:t>
      </w:r>
      <w:r w:rsidR="00F23318">
        <w:t>o</w:t>
      </w:r>
      <w:r w:rsidRPr="00492015">
        <w:t xml:space="preserve">f </w:t>
      </w:r>
      <w:r>
        <w:t xml:space="preserve">first-degree </w:t>
      </w:r>
      <w:r w:rsidRPr="00492015">
        <w:t>relatives</w:t>
      </w:r>
      <w:r>
        <w:t xml:space="preserve"> of </w:t>
      </w:r>
      <w:r w:rsidR="00F23318">
        <w:t xml:space="preserve">those </w:t>
      </w:r>
      <w:r>
        <w:t xml:space="preserve">affected </w:t>
      </w:r>
      <w:r w:rsidRPr="00A64F0B">
        <w:t>individuals</w:t>
      </w:r>
      <w:r w:rsidR="00F23318">
        <w:t xml:space="preserve"> who are confirmed as having a monogenic childhood syndrome</w:t>
      </w:r>
      <w:r w:rsidRPr="00A64F0B">
        <w:t>.</w:t>
      </w:r>
    </w:p>
    <w:p w14:paraId="2AD4160F" w14:textId="77777777" w:rsidR="00852CD0" w:rsidRDefault="00852CD0" w:rsidP="00852CD0">
      <w:r>
        <w:t>MSAC acknowledged that childhood genetic syndromes include a clinically and genetically heterogeneous group of disorders, many of which have a high clinical need. Patients and their families desire diagnosis to inform clinical management, pro</w:t>
      </w:r>
      <w:r w:rsidR="00F23318">
        <w:t>gnosis and genetic counselling.</w:t>
      </w:r>
    </w:p>
    <w:p w14:paraId="255EFA38" w14:textId="77777777" w:rsidR="00852CD0" w:rsidRDefault="00852CD0" w:rsidP="00852CD0">
      <w:pPr>
        <w:spacing w:before="240"/>
      </w:pPr>
      <w:r>
        <w:t>MSAC noted that this application is limited to monogenic conditions, which typically have their onset in infancy or early childhood. Individual syndromes usually have a constellation of features including dysmorphi</w:t>
      </w:r>
      <w:r w:rsidR="000D08B4">
        <w:t>c facial appearance</w:t>
      </w:r>
      <w:r>
        <w:t>, single or multiple congenital anomalies, and variable degrees of intellectual disability. MSAC noted that children must exhibit at least two of these features to be eligible for WEA</w:t>
      </w:r>
      <w:r w:rsidR="00F23318">
        <w:t xml:space="preserve"> as proposed</w:t>
      </w:r>
      <w:r>
        <w:t xml:space="preserve">. MSAC noted that there is an increasing number of monogenic syndromes that do not satisfy these criteria (e.g. immune </w:t>
      </w:r>
      <w:r w:rsidR="002570D6">
        <w:t>disorders</w:t>
      </w:r>
      <w:r w:rsidR="00F23318">
        <w:t>).</w:t>
      </w:r>
    </w:p>
    <w:p w14:paraId="47B1F5BC" w14:textId="77777777" w:rsidR="008C36FA" w:rsidRDefault="008C36FA" w:rsidP="008C36FA">
      <w:pPr>
        <w:spacing w:before="240"/>
      </w:pPr>
      <w:r>
        <w:t xml:space="preserve">MSAC noted that WEA is a new and </w:t>
      </w:r>
      <w:r w:rsidR="002570D6">
        <w:t xml:space="preserve">rapidly </w:t>
      </w:r>
      <w:r>
        <w:t>evolving technology</w:t>
      </w:r>
      <w:r w:rsidR="002570D6">
        <w:t>.</w:t>
      </w:r>
      <w:r>
        <w:t xml:space="preserve"> There are more than 15,000 entries in </w:t>
      </w:r>
      <w:r w:rsidRPr="00090E4A">
        <w:t xml:space="preserve">OMIM </w:t>
      </w:r>
      <w:r>
        <w:t>(</w:t>
      </w:r>
      <w:r w:rsidRPr="00090E4A">
        <w:t>a full term list of all genetic conditions and phenotypes</w:t>
      </w:r>
      <w:r>
        <w:t>)</w:t>
      </w:r>
      <w:r w:rsidRPr="00090E4A">
        <w:t xml:space="preserve"> </w:t>
      </w:r>
      <w:r>
        <w:t>with a</w:t>
      </w:r>
      <w:r w:rsidRPr="00090E4A">
        <w:t xml:space="preserve">pproximately 50 new entries </w:t>
      </w:r>
      <w:r>
        <w:t xml:space="preserve">being </w:t>
      </w:r>
      <w:r w:rsidRPr="00090E4A">
        <w:t xml:space="preserve">added </w:t>
      </w:r>
      <w:r>
        <w:t>each month</w:t>
      </w:r>
      <w:r w:rsidRPr="00090E4A">
        <w:t>.</w:t>
      </w:r>
      <w:r>
        <w:t xml:space="preserve"> WEA is therefore potentially applicable to many </w:t>
      </w:r>
      <w:r w:rsidR="00730054">
        <w:t xml:space="preserve">other medical </w:t>
      </w:r>
      <w:r>
        <w:t xml:space="preserve">conditions. </w:t>
      </w:r>
      <w:r w:rsidR="006F16A1">
        <w:t xml:space="preserve">MSAC considered that, because WEA technology has uses beyond the </w:t>
      </w:r>
      <w:r w:rsidR="00730054">
        <w:t>proposed</w:t>
      </w:r>
      <w:r w:rsidR="006F16A1">
        <w:t xml:space="preserve"> set of conditions, there </w:t>
      </w:r>
      <w:r w:rsidR="006F16A1" w:rsidRPr="00696E44">
        <w:t xml:space="preserve">is </w:t>
      </w:r>
      <w:r w:rsidR="006F16A1">
        <w:t xml:space="preserve">a high </w:t>
      </w:r>
      <w:r w:rsidR="006F16A1" w:rsidRPr="00696E44">
        <w:t xml:space="preserve">potential for </w:t>
      </w:r>
      <w:r w:rsidR="002570D6">
        <w:t>use outside the intended patient group</w:t>
      </w:r>
      <w:r w:rsidR="006F16A1" w:rsidRPr="00696E44">
        <w:t>.</w:t>
      </w:r>
      <w:r w:rsidR="006F16A1">
        <w:t xml:space="preserve"> MSAC acknowledged that current restrictions on eligibility and referral by a multidisciplinary panel probably limit this risk, but if the scope of testing is broadened, leakage could potentially be extremely large.</w:t>
      </w:r>
    </w:p>
    <w:p w14:paraId="112CFA67" w14:textId="77777777" w:rsidR="00852CD0" w:rsidRDefault="00920EF2" w:rsidP="00852CD0">
      <w:pPr>
        <w:spacing w:before="240"/>
      </w:pPr>
      <w:r>
        <w:t xml:space="preserve">In this context, </w:t>
      </w:r>
      <w:r w:rsidR="00852CD0">
        <w:t xml:space="preserve">MSAC noted potential ethical dilemmas </w:t>
      </w:r>
      <w:r>
        <w:t xml:space="preserve">affecting implementation of MBS funding </w:t>
      </w:r>
      <w:r w:rsidR="00852CD0">
        <w:t xml:space="preserve">arising from whole </w:t>
      </w:r>
      <w:r w:rsidR="00730054">
        <w:t xml:space="preserve">exome or whole </w:t>
      </w:r>
      <w:r w:rsidR="00852CD0">
        <w:t xml:space="preserve">genome sequencing more broadly, including </w:t>
      </w:r>
      <w:r w:rsidR="000D08B4">
        <w:t>the possibility of reporting</w:t>
      </w:r>
      <w:r w:rsidR="00852CD0">
        <w:t xml:space="preserve"> ‘off-target’ mutations </w:t>
      </w:r>
      <w:r w:rsidR="000D08B4">
        <w:t>and variants of unknown significance</w:t>
      </w:r>
      <w:r w:rsidR="00F472F4">
        <w:t xml:space="preserve">, both on initial WES testing and on re-interrogation. These </w:t>
      </w:r>
      <w:r w:rsidR="00852CD0">
        <w:t xml:space="preserve">would require </w:t>
      </w:r>
      <w:r w:rsidR="0012300D">
        <w:t xml:space="preserve">management via informed consent and recourse to subsequent </w:t>
      </w:r>
      <w:r w:rsidR="00852CD0">
        <w:t xml:space="preserve">genetic counselling (with associated cost and </w:t>
      </w:r>
      <w:r w:rsidR="000D08B4">
        <w:t xml:space="preserve">likely </w:t>
      </w:r>
      <w:r w:rsidR="00852CD0">
        <w:t>need for follow-up)</w:t>
      </w:r>
      <w:r w:rsidR="002570D6">
        <w:t>. These analyses may identify</w:t>
      </w:r>
      <w:r w:rsidR="00852CD0">
        <w:t xml:space="preserve"> disorders that have no prevention or treatment, non-paternity, consanguinity or incest. There are also possible forensic uses of </w:t>
      </w:r>
      <w:r w:rsidR="000D08B4">
        <w:t xml:space="preserve">sequencing </w:t>
      </w:r>
      <w:r w:rsidR="00852CD0">
        <w:t>data, and issues around data storage and privacy.</w:t>
      </w:r>
      <w:r w:rsidR="008B22C9">
        <w:t xml:space="preserve"> Consideration should be given to prospectively limiting all WEA reporting to the set of agreed, but evolving, monogenic childhood syndromes clearly curated from the full OMIM to minimise the likelihood of incidental findings that would add to the </w:t>
      </w:r>
      <w:r w:rsidR="002570D6">
        <w:t xml:space="preserve">patient and </w:t>
      </w:r>
      <w:r w:rsidR="008B22C9">
        <w:t>family’s concerns</w:t>
      </w:r>
      <w:r w:rsidR="002570D6">
        <w:t>.</w:t>
      </w:r>
    </w:p>
    <w:p w14:paraId="058EF160" w14:textId="77777777" w:rsidR="00852CD0" w:rsidRDefault="00852CD0" w:rsidP="006F16A1">
      <w:pPr>
        <w:spacing w:before="240"/>
      </w:pPr>
      <w:r>
        <w:t>MSAC noted that four laboratories in Australia are currently authorised to perform WEA (</w:t>
      </w:r>
      <w:r w:rsidR="00730054">
        <w:t xml:space="preserve">including </w:t>
      </w:r>
      <w:r>
        <w:t>initial testing and bioinformatics reanalysis). MSAC noted that limited access to this technology creates equity issues. MSAC noted that testing includes multidisciplinary review of results led by a clinical geneticist attached to the testing laboratory</w:t>
      </w:r>
      <w:r w:rsidR="002570D6">
        <w:t xml:space="preserve">. The </w:t>
      </w:r>
      <w:r w:rsidR="002E3D87">
        <w:t xml:space="preserve">Committee expected </w:t>
      </w:r>
      <w:r w:rsidR="002570D6">
        <w:t xml:space="preserve">that this barrier would serve as a </w:t>
      </w:r>
      <w:r w:rsidR="002E3D87">
        <w:t>system constraint limiting access and equity</w:t>
      </w:r>
      <w:r>
        <w:t xml:space="preserve">. MSAC </w:t>
      </w:r>
      <w:r w:rsidR="002570D6">
        <w:t>noted</w:t>
      </w:r>
      <w:r w:rsidR="00730054">
        <w:t xml:space="preserve"> </w:t>
      </w:r>
      <w:r>
        <w:t xml:space="preserve">that there may be a risk that care of patients would be </w:t>
      </w:r>
      <w:r w:rsidR="002570D6">
        <w:t xml:space="preserve">permanently </w:t>
      </w:r>
      <w:r>
        <w:t xml:space="preserve">transferred from the original referring provider </w:t>
      </w:r>
      <w:r w:rsidR="002570D6">
        <w:t xml:space="preserve">and care setting </w:t>
      </w:r>
      <w:r>
        <w:t xml:space="preserve">to </w:t>
      </w:r>
      <w:r w:rsidR="002570D6">
        <w:t>a</w:t>
      </w:r>
      <w:r w:rsidR="002753C6">
        <w:t xml:space="preserve"> quaternary</w:t>
      </w:r>
      <w:r w:rsidR="002570D6">
        <w:t xml:space="preserve"> </w:t>
      </w:r>
      <w:r>
        <w:t>inst</w:t>
      </w:r>
      <w:r w:rsidR="00730054">
        <w:t xml:space="preserve">itution that </w:t>
      </w:r>
      <w:r w:rsidR="002570D6">
        <w:t xml:space="preserve">provides access to </w:t>
      </w:r>
      <w:r w:rsidR="00730054">
        <w:t>the test.</w:t>
      </w:r>
    </w:p>
    <w:p w14:paraId="57CEACF1" w14:textId="77777777" w:rsidR="00852CD0" w:rsidRDefault="00852CD0" w:rsidP="00E57F95">
      <w:pPr>
        <w:spacing w:before="240"/>
      </w:pPr>
      <w:r>
        <w:t xml:space="preserve">MSAC considered the </w:t>
      </w:r>
      <w:r w:rsidR="00730054">
        <w:t xml:space="preserve">identified </w:t>
      </w:r>
      <w:r>
        <w:t>comparators for each population to be appropriate.</w:t>
      </w:r>
    </w:p>
    <w:p w14:paraId="2ECD74D1" w14:textId="77777777" w:rsidR="00852CD0" w:rsidRPr="00D16868" w:rsidRDefault="00852CD0" w:rsidP="006F16A1">
      <w:pPr>
        <w:spacing w:before="240"/>
      </w:pPr>
      <w:r w:rsidRPr="008063D2">
        <w:t>MSAC noted feedback from the Royal College of Pathologists of Australasia (RCPA)</w:t>
      </w:r>
      <w:r w:rsidRPr="00D16868">
        <w:t xml:space="preserve"> suggesting that gene panels should be included in the comparator. MSAC </w:t>
      </w:r>
      <w:r w:rsidR="00957069">
        <w:t xml:space="preserve">accepted </w:t>
      </w:r>
      <w:r w:rsidRPr="00D16868">
        <w:t>that gene panels should be included in the clinical pathway</w:t>
      </w:r>
      <w:r w:rsidR="00957069">
        <w:t xml:space="preserve"> as a triage test before WES</w:t>
      </w:r>
      <w:r w:rsidRPr="00D16868">
        <w:t xml:space="preserve">. Although </w:t>
      </w:r>
      <w:r w:rsidR="00D14733" w:rsidRPr="00766463">
        <w:t>whole exome sequencing</w:t>
      </w:r>
      <w:r w:rsidR="00D14733" w:rsidRPr="00D16868">
        <w:t xml:space="preserve"> </w:t>
      </w:r>
      <w:r w:rsidR="00D14733">
        <w:t>(</w:t>
      </w:r>
      <w:r w:rsidRPr="00D16868">
        <w:t>WES</w:t>
      </w:r>
      <w:r w:rsidR="00D14733">
        <w:t>)</w:t>
      </w:r>
      <w:r w:rsidRPr="00D16868">
        <w:t xml:space="preserve"> fits into the clinical algorithm, it </w:t>
      </w:r>
      <w:r w:rsidR="000D08B4">
        <w:t>would</w:t>
      </w:r>
      <w:r w:rsidRPr="00D16868">
        <w:t xml:space="preserve"> occur downstream from </w:t>
      </w:r>
      <w:r w:rsidR="00957069">
        <w:t xml:space="preserve">these </w:t>
      </w:r>
      <w:r w:rsidRPr="00D16868">
        <w:t>initial investigations in other centres.</w:t>
      </w:r>
      <w:r w:rsidR="001B6101">
        <w:t xml:space="preserve"> MSAC acknowledged</w:t>
      </w:r>
      <w:r w:rsidR="001B6101" w:rsidRPr="00092106">
        <w:t xml:space="preserve"> </w:t>
      </w:r>
      <w:r w:rsidR="001B6101">
        <w:t xml:space="preserve">advice from the applicant </w:t>
      </w:r>
      <w:r w:rsidR="001B6101" w:rsidRPr="00092106">
        <w:t>that</w:t>
      </w:r>
      <w:r w:rsidR="001B6101">
        <w:t>,</w:t>
      </w:r>
      <w:r w:rsidR="001B6101" w:rsidRPr="00092106">
        <w:t xml:space="preserve"> where a </w:t>
      </w:r>
      <w:r w:rsidR="00610659">
        <w:t xml:space="preserve">molecular </w:t>
      </w:r>
      <w:r w:rsidR="001B6101" w:rsidRPr="00092106">
        <w:t xml:space="preserve">diagnosis is found via </w:t>
      </w:r>
      <w:r w:rsidR="00613E0D">
        <w:t>chromosomal microarray (</w:t>
      </w:r>
      <w:r w:rsidR="001B6101" w:rsidRPr="00092106">
        <w:t>CMA</w:t>
      </w:r>
      <w:r w:rsidR="00613E0D">
        <w:t>)</w:t>
      </w:r>
      <w:r w:rsidR="001B6101" w:rsidRPr="00092106">
        <w:t xml:space="preserve">, </w:t>
      </w:r>
      <w:r w:rsidR="001B6101" w:rsidRPr="00092106">
        <w:lastRenderedPageBreak/>
        <w:t>there is likely to be no further utility in carrying out WEA</w:t>
      </w:r>
      <w:r w:rsidR="001B6101">
        <w:t xml:space="preserve">, and </w:t>
      </w:r>
      <w:r w:rsidR="001B6101" w:rsidRPr="00092106">
        <w:t>that secondary confirmation of WES results is not required.</w:t>
      </w:r>
    </w:p>
    <w:p w14:paraId="1B07328C" w14:textId="77777777" w:rsidR="00852CD0" w:rsidRDefault="00852CD0" w:rsidP="00AC4727">
      <w:pPr>
        <w:spacing w:before="240"/>
      </w:pPr>
      <w:r>
        <w:t xml:space="preserve">MSAC </w:t>
      </w:r>
      <w:r w:rsidRPr="00BA1A3D">
        <w:t xml:space="preserve">noted that the </w:t>
      </w:r>
      <w:r w:rsidR="002D6BC9">
        <w:t xml:space="preserve">primary </w:t>
      </w:r>
      <w:r w:rsidR="00303964">
        <w:t xml:space="preserve">Australian </w:t>
      </w:r>
      <w:r w:rsidRPr="00BA1A3D">
        <w:t>evidence</w:t>
      </w:r>
      <w:r w:rsidR="00FE7B20">
        <w:t xml:space="preserve"> for clinical utility in P</w:t>
      </w:r>
      <w:r>
        <w:t>opulation 1 (initial testing) was derived from two studies</w:t>
      </w:r>
      <w:r w:rsidRPr="00BA1A3D">
        <w:t xml:space="preserve"> </w:t>
      </w:r>
      <w:r w:rsidR="00CA0E31">
        <w:t xml:space="preserve">from a single centre </w:t>
      </w:r>
      <w:r w:rsidRPr="00BA1A3D">
        <w:t>involv</w:t>
      </w:r>
      <w:r>
        <w:t>ing</w:t>
      </w:r>
      <w:r w:rsidRPr="00BA1A3D">
        <w:t xml:space="preserve"> small numbers of patients </w:t>
      </w:r>
      <w:r>
        <w:t xml:space="preserve">(Stark 2016, </w:t>
      </w:r>
      <w:r w:rsidR="00303964">
        <w:t xml:space="preserve">46 patients and </w:t>
      </w:r>
      <w:r>
        <w:t>Tan 2017</w:t>
      </w:r>
      <w:r w:rsidR="00303964">
        <w:t>, 23 patients</w:t>
      </w:r>
      <w:r>
        <w:t>). MSAC noted that, in the Tan study, the popula</w:t>
      </w:r>
      <w:r w:rsidR="00AC4727">
        <w:t>tion was described as 2–18 year</w:t>
      </w:r>
      <w:r>
        <w:t xml:space="preserve">s but the oldest patient was </w:t>
      </w:r>
      <w:r w:rsidR="00AC4727">
        <w:t xml:space="preserve">only </w:t>
      </w:r>
      <w:r>
        <w:t xml:space="preserve">10 years of age. MSAC therefore queried the applicability of </w:t>
      </w:r>
      <w:r w:rsidR="002D6BC9">
        <w:t xml:space="preserve">these </w:t>
      </w:r>
      <w:r>
        <w:t>results to the broader target population (0–18 years), the vast majority of</w:t>
      </w:r>
      <w:r w:rsidR="00957069">
        <w:t xml:space="preserve"> whom are under 2 years of age.</w:t>
      </w:r>
    </w:p>
    <w:p w14:paraId="7E2AD64F" w14:textId="77777777" w:rsidR="00852CD0" w:rsidRDefault="00852CD0" w:rsidP="00AC4727">
      <w:pPr>
        <w:spacing w:before="240"/>
      </w:pPr>
      <w:r>
        <w:t xml:space="preserve">MSAC noted that between </w:t>
      </w:r>
      <w:r w:rsidR="00613E0D">
        <w:t xml:space="preserve">26% and 33% </w:t>
      </w:r>
      <w:r w:rsidR="00B57C9E">
        <w:t xml:space="preserve">of </w:t>
      </w:r>
      <w:r>
        <w:t xml:space="preserve">patients with a </w:t>
      </w:r>
      <w:r w:rsidR="00610659">
        <w:t xml:space="preserve">molecular </w:t>
      </w:r>
      <w:r>
        <w:t xml:space="preserve">diagnosis will have a change in clinical management </w:t>
      </w:r>
      <w:r w:rsidR="006D2CCB">
        <w:t>a</w:t>
      </w:r>
      <w:r w:rsidR="00613E0D">
        <w:t>ccording to</w:t>
      </w:r>
      <w:r w:rsidR="006D2CCB">
        <w:t xml:space="preserve"> the three Australian reports </w:t>
      </w:r>
      <w:r w:rsidR="00613E0D">
        <w:t xml:space="preserve">with sample sizes ranging between 23 and 48. However there was </w:t>
      </w:r>
      <w:r>
        <w:t xml:space="preserve">high heterogeneity </w:t>
      </w:r>
      <w:r w:rsidR="00613E0D">
        <w:t xml:space="preserve">in the proportions of actionable diagnoses in the Clark 2018 meta-analysis for WES (18%; 95% CI: 13% to 24%; </w:t>
      </w:r>
      <w:r w:rsidR="00613E0D" w:rsidRPr="00B355C2">
        <w:rPr>
          <w:i/>
        </w:rPr>
        <w:t>I</w:t>
      </w:r>
      <w:r w:rsidR="00613E0D" w:rsidRPr="00B355C2">
        <w:rPr>
          <w:i/>
          <w:vertAlign w:val="superscript"/>
        </w:rPr>
        <w:t>2</w:t>
      </w:r>
      <w:r w:rsidR="00613E0D">
        <w:t xml:space="preserve">: 77%) compared with CMA (6%; 95% CI: 5% to 7%; </w:t>
      </w:r>
      <w:r w:rsidR="00613E0D" w:rsidRPr="00B355C2">
        <w:rPr>
          <w:i/>
        </w:rPr>
        <w:t>I</w:t>
      </w:r>
      <w:r w:rsidR="00613E0D" w:rsidRPr="00B355C2">
        <w:rPr>
          <w:i/>
          <w:vertAlign w:val="superscript"/>
        </w:rPr>
        <w:t>2</w:t>
      </w:r>
      <w:r w:rsidR="00613E0D">
        <w:t>: 42</w:t>
      </w:r>
      <w:r>
        <w:t xml:space="preserve">). </w:t>
      </w:r>
      <w:r w:rsidR="00613E0D">
        <w:t>Further</w:t>
      </w:r>
      <w:r>
        <w:t xml:space="preserve">, it was not clear whether </w:t>
      </w:r>
      <w:r w:rsidR="00006E82">
        <w:t xml:space="preserve">identification of actionable diagnoses resulted in </w:t>
      </w:r>
      <w:r>
        <w:t xml:space="preserve">changes in management. </w:t>
      </w:r>
      <w:r w:rsidRPr="0052196D">
        <w:t>MSAC noted there was only anecdotal evidence for this</w:t>
      </w:r>
      <w:r w:rsidR="00957069">
        <w:t>.</w:t>
      </w:r>
      <w:r w:rsidR="00006E82">
        <w:t xml:space="preserve"> It was less clear </w:t>
      </w:r>
      <w:r w:rsidR="00FA537E">
        <w:t xml:space="preserve">but critical </w:t>
      </w:r>
      <w:r w:rsidR="00006E82">
        <w:t>whether any changes in management led to improved health outcomes for patients. MSAC noted that there was no evidence for this, and no discussion about any consequences of managing false positive diagnoses.</w:t>
      </w:r>
    </w:p>
    <w:p w14:paraId="4C6C9068" w14:textId="77777777" w:rsidR="00852CD0" w:rsidRDefault="00852CD0" w:rsidP="00AC4727">
      <w:pPr>
        <w:spacing w:before="240"/>
      </w:pPr>
      <w:r>
        <w:t>MSAC noted that time to definitive diagnosis was not an endpoint in the Australian studies. MSAC noted evidence from a randomised control trial (NSIGHT1</w:t>
      </w:r>
      <w:r w:rsidR="000A3BE7">
        <w:t xml:space="preserve">; </w:t>
      </w:r>
      <w:r w:rsidR="000A3BE7">
        <w:rPr>
          <w:rStyle w:val="BodyChar"/>
          <w:rFonts w:ascii="Times New Roman" w:hAnsi="Times New Roman" w:cs="Times New Roman"/>
        </w:rPr>
        <w:t xml:space="preserve">Petrikin </w:t>
      </w:r>
      <w:r w:rsidR="000A3BE7" w:rsidRPr="00981880">
        <w:rPr>
          <w:rStyle w:val="BodyChar"/>
          <w:rFonts w:ascii="Times New Roman" w:hAnsi="Times New Roman" w:cs="Times New Roman"/>
        </w:rPr>
        <w:t>2018</w:t>
      </w:r>
      <w:r>
        <w:t>), in which time to diagnosis was a secondary objective, showing that use of rapid whole genome sequencing (rWGS) in addition to standard testing reduced the median time to diagnosis to 13 days, compared to 107 days for standard testing alone.</w:t>
      </w:r>
      <w:r w:rsidR="000A3BE7">
        <w:t xml:space="preserve"> MSAC considered that the applicability of this result to use of WES in Australia was not clear.</w:t>
      </w:r>
    </w:p>
    <w:p w14:paraId="7BECBB6C" w14:textId="77777777" w:rsidR="00852CD0" w:rsidRDefault="00852CD0" w:rsidP="00AC4727">
      <w:pPr>
        <w:spacing w:before="240"/>
      </w:pPr>
      <w:r>
        <w:t>MSAC noted that</w:t>
      </w:r>
      <w:r w:rsidR="00C93DE1">
        <w:t>, in an Australian study of 73 patients for whom follow-up data were available,</w:t>
      </w:r>
      <w:r>
        <w:t xml:space="preserve"> there were no significant differences in </w:t>
      </w:r>
      <w:r w:rsidR="00C93DE1">
        <w:t xml:space="preserve">mean number of </w:t>
      </w:r>
      <w:r>
        <w:t>hospital admissions</w:t>
      </w:r>
      <w:r w:rsidR="00C93DE1">
        <w:t>, median</w:t>
      </w:r>
      <w:r w:rsidR="00C93DE1" w:rsidRPr="00C93DE1">
        <w:t xml:space="preserve"> </w:t>
      </w:r>
      <w:r w:rsidR="00C93DE1">
        <w:t>days of inpatient care, or mean number of outpatient appointments, either</w:t>
      </w:r>
      <w:r>
        <w:t xml:space="preserve"> before and after </w:t>
      </w:r>
      <w:r w:rsidR="00C93DE1">
        <w:t xml:space="preserve">the introduction of WES, or with or without </w:t>
      </w:r>
      <w:r w:rsidR="00303964">
        <w:t xml:space="preserve">a </w:t>
      </w:r>
      <w:r w:rsidR="00610659">
        <w:t xml:space="preserve">molecular </w:t>
      </w:r>
      <w:r>
        <w:t>diagnosis</w:t>
      </w:r>
      <w:r w:rsidR="00C93DE1">
        <w:t xml:space="preserve"> (Stark, 2018)</w:t>
      </w:r>
      <w:r>
        <w:t>.</w:t>
      </w:r>
    </w:p>
    <w:p w14:paraId="43DF0FAD" w14:textId="77777777" w:rsidR="00852CD0" w:rsidRDefault="00852CD0" w:rsidP="00AC4727">
      <w:pPr>
        <w:spacing w:before="240"/>
      </w:pPr>
      <w:r>
        <w:t xml:space="preserve">MSAC noted that the </w:t>
      </w:r>
      <w:r w:rsidR="00FA537E">
        <w:t xml:space="preserve">proposed </w:t>
      </w:r>
      <w:r>
        <w:t xml:space="preserve">main benefit of </w:t>
      </w:r>
      <w:r w:rsidR="00B7051C">
        <w:t xml:space="preserve">a </w:t>
      </w:r>
      <w:r w:rsidR="00610659">
        <w:t xml:space="preserve">molecular </w:t>
      </w:r>
      <w:r>
        <w:t xml:space="preserve">diagnosis for many patients is the cessation of further diagnostic investigations and </w:t>
      </w:r>
      <w:r w:rsidR="00957069">
        <w:t xml:space="preserve">diagnostic </w:t>
      </w:r>
      <w:r>
        <w:t xml:space="preserve">procedures (the ‘diagnostic odyssey’). This is the main influence </w:t>
      </w:r>
      <w:r w:rsidR="00225E31">
        <w:t xml:space="preserve">of WES </w:t>
      </w:r>
      <w:r>
        <w:t>on quality of life (QoL) for patients and their families. MSAC noted that no QoL data were presented</w:t>
      </w:r>
      <w:r w:rsidR="00C93DE1">
        <w:t xml:space="preserve"> to quantify this influence</w:t>
      </w:r>
      <w:r>
        <w:t>.</w:t>
      </w:r>
    </w:p>
    <w:p w14:paraId="5F6939FC" w14:textId="77777777" w:rsidR="00852CD0" w:rsidRDefault="00B7051C" w:rsidP="00AC4727">
      <w:pPr>
        <w:spacing w:before="240"/>
      </w:pPr>
      <w:r>
        <w:t xml:space="preserve">In this context, MSAC noted the wide heterogeneity </w:t>
      </w:r>
      <w:r w:rsidR="00FB13E1">
        <w:t xml:space="preserve">reported by </w:t>
      </w:r>
      <w:r>
        <w:t>the Clark 2018 meta-analysis of diagnostic yield</w:t>
      </w:r>
      <w:r w:rsidR="00FB13E1">
        <w:t xml:space="preserve"> </w:t>
      </w:r>
      <w:r w:rsidR="00BD4FA9" w:rsidRPr="00766463">
        <w:t>in children (aged 0–18 years)</w:t>
      </w:r>
      <w:r w:rsidR="00BD4FA9">
        <w:t xml:space="preserve">. The </w:t>
      </w:r>
      <w:r w:rsidR="00FB13E1">
        <w:t xml:space="preserve">overall </w:t>
      </w:r>
      <w:r w:rsidR="00BD4FA9">
        <w:t xml:space="preserve">results </w:t>
      </w:r>
      <w:r w:rsidR="00B355C2">
        <w:t xml:space="preserve">for WES across 32 studies </w:t>
      </w:r>
      <w:r w:rsidR="00BD4FA9">
        <w:t>(</w:t>
      </w:r>
      <w:r w:rsidR="00FB13E1">
        <w:t>35%; 95% CI: 31% to 39%</w:t>
      </w:r>
      <w:r w:rsidR="00436662">
        <w:t xml:space="preserve">; </w:t>
      </w:r>
      <w:r w:rsidR="00436662" w:rsidRPr="00B355C2">
        <w:rPr>
          <w:i/>
        </w:rPr>
        <w:t>I</w:t>
      </w:r>
      <w:r w:rsidR="00B355C2" w:rsidRPr="00B355C2">
        <w:rPr>
          <w:i/>
          <w:vertAlign w:val="superscript"/>
        </w:rPr>
        <w:t>2</w:t>
      </w:r>
      <w:r w:rsidR="00B355C2">
        <w:t>: 85%</w:t>
      </w:r>
      <w:r w:rsidR="00FB13E1">
        <w:t>)</w:t>
      </w:r>
      <w:r w:rsidR="00BD4FA9">
        <w:t xml:space="preserve"> were less favourable than</w:t>
      </w:r>
      <w:r>
        <w:t xml:space="preserve"> the </w:t>
      </w:r>
      <w:r w:rsidR="00BD4FA9">
        <w:t>reported yields</w:t>
      </w:r>
      <w:r>
        <w:t xml:space="preserve"> for the two Australian studies </w:t>
      </w:r>
      <w:r w:rsidR="007C320B">
        <w:t>(</w:t>
      </w:r>
      <w:r w:rsidR="005913F7">
        <w:t>57</w:t>
      </w:r>
      <w:r w:rsidR="00FB13E1">
        <w:t xml:space="preserve">%; 95% CI: 46% to 68% for </w:t>
      </w:r>
      <w:r w:rsidR="0012300D">
        <w:t xml:space="preserve">80 patients in </w:t>
      </w:r>
      <w:r w:rsidR="00FB13E1">
        <w:t xml:space="preserve">Stark 2016 and 52%; 95% CI: 37% to 68% for </w:t>
      </w:r>
      <w:r w:rsidR="0012300D">
        <w:t xml:space="preserve">44 patients in </w:t>
      </w:r>
      <w:r w:rsidR="00FB13E1">
        <w:t>Tan 2017)</w:t>
      </w:r>
      <w:r w:rsidR="00B355C2">
        <w:t>.</w:t>
      </w:r>
      <w:r>
        <w:t xml:space="preserve"> </w:t>
      </w:r>
      <w:r w:rsidR="00852CD0" w:rsidRPr="00766463">
        <w:t xml:space="preserve">MSAC noted </w:t>
      </w:r>
      <w:r w:rsidR="00BD4FA9">
        <w:t xml:space="preserve">that this </w:t>
      </w:r>
      <w:r w:rsidR="00852CD0" w:rsidRPr="00766463">
        <w:t xml:space="preserve">meta-analysis </w:t>
      </w:r>
      <w:r w:rsidR="00BD4FA9">
        <w:t xml:space="preserve">also compared WES </w:t>
      </w:r>
      <w:r w:rsidR="00852CD0" w:rsidRPr="00766463">
        <w:t xml:space="preserve">diagnostic </w:t>
      </w:r>
      <w:r>
        <w:t>yield</w:t>
      </w:r>
      <w:r w:rsidR="00083868">
        <w:t xml:space="preserve"> with that </w:t>
      </w:r>
      <w:r w:rsidR="00852CD0" w:rsidRPr="00766463">
        <w:t>for whole genome sequencing (WGS) and CMA. MSAC noted that</w:t>
      </w:r>
      <w:r w:rsidR="00B355C2">
        <w:t>,</w:t>
      </w:r>
      <w:r w:rsidR="00B355C2" w:rsidRPr="00B355C2">
        <w:t xml:space="preserve"> </w:t>
      </w:r>
      <w:r w:rsidR="00B355C2">
        <w:t>across seven studies,</w:t>
      </w:r>
      <w:r w:rsidR="00852CD0" w:rsidRPr="00766463">
        <w:t xml:space="preserve"> WGS </w:t>
      </w:r>
      <w:r w:rsidR="00BD4FA9">
        <w:t>(41%; 95% CI: 34% to 48%</w:t>
      </w:r>
      <w:r w:rsidR="00B355C2">
        <w:t xml:space="preserve">; </w:t>
      </w:r>
      <w:r w:rsidR="00B355C2" w:rsidRPr="00B355C2">
        <w:rPr>
          <w:i/>
        </w:rPr>
        <w:t>I</w:t>
      </w:r>
      <w:r w:rsidR="00B355C2" w:rsidRPr="00B355C2">
        <w:rPr>
          <w:i/>
          <w:vertAlign w:val="superscript"/>
        </w:rPr>
        <w:t>2</w:t>
      </w:r>
      <w:r w:rsidR="00B355C2">
        <w:t>: 44%</w:t>
      </w:r>
      <w:r w:rsidR="00BD4FA9">
        <w:t xml:space="preserve">) </w:t>
      </w:r>
      <w:r w:rsidR="00852CD0">
        <w:t xml:space="preserve">appeared to </w:t>
      </w:r>
      <w:r w:rsidR="00852CD0" w:rsidRPr="00766463">
        <w:t>ha</w:t>
      </w:r>
      <w:r w:rsidR="00852CD0">
        <w:t>ve</w:t>
      </w:r>
      <w:r w:rsidR="00852CD0" w:rsidRPr="00766463">
        <w:t xml:space="preserve"> a higher diagnostic yield than WES, and both were superior to CMA</w:t>
      </w:r>
      <w:r w:rsidR="00BD4FA9">
        <w:t xml:space="preserve"> </w:t>
      </w:r>
      <w:r w:rsidR="00B355C2">
        <w:t xml:space="preserve">across thirteen studies </w:t>
      </w:r>
      <w:r w:rsidR="00BD4FA9">
        <w:t>(10%; 95</w:t>
      </w:r>
      <w:r w:rsidR="00CB6866">
        <w:t>%</w:t>
      </w:r>
      <w:r w:rsidR="00BD4FA9">
        <w:t xml:space="preserve"> </w:t>
      </w:r>
      <w:r w:rsidR="00CB6866">
        <w:t>CI: 8% to 12%</w:t>
      </w:r>
      <w:r w:rsidR="00B355C2">
        <w:t xml:space="preserve">; </w:t>
      </w:r>
      <w:r w:rsidR="00B355C2" w:rsidRPr="00B355C2">
        <w:rPr>
          <w:i/>
        </w:rPr>
        <w:t>I</w:t>
      </w:r>
      <w:r w:rsidR="00B355C2" w:rsidRPr="00B355C2">
        <w:rPr>
          <w:i/>
          <w:vertAlign w:val="superscript"/>
        </w:rPr>
        <w:t>2</w:t>
      </w:r>
      <w:r w:rsidR="00B355C2">
        <w:t>: 81%</w:t>
      </w:r>
      <w:r w:rsidR="00CB6866">
        <w:t>).</w:t>
      </w:r>
      <w:r w:rsidR="00852CD0">
        <w:t xml:space="preserve"> MSAC </w:t>
      </w:r>
      <w:r w:rsidR="00CB6866">
        <w:t xml:space="preserve">also </w:t>
      </w:r>
      <w:r w:rsidR="00852CD0">
        <w:t xml:space="preserve">noted </w:t>
      </w:r>
      <w:r w:rsidR="00CB6866">
        <w:t xml:space="preserve">that, when combining WES and WGS studies, the pooled yields from </w:t>
      </w:r>
      <w:r w:rsidR="00B355C2">
        <w:t xml:space="preserve">nineteen </w:t>
      </w:r>
      <w:r w:rsidR="00CB6866">
        <w:t>hospital-based studies (41%; 95% CI: 38% to 45%</w:t>
      </w:r>
      <w:r w:rsidR="00B355C2">
        <w:t xml:space="preserve">; </w:t>
      </w:r>
      <w:r w:rsidR="00B355C2" w:rsidRPr="00B355C2">
        <w:rPr>
          <w:i/>
        </w:rPr>
        <w:t>I</w:t>
      </w:r>
      <w:r w:rsidR="00B355C2" w:rsidRPr="00B355C2">
        <w:rPr>
          <w:i/>
          <w:vertAlign w:val="superscript"/>
        </w:rPr>
        <w:t>2</w:t>
      </w:r>
      <w:r w:rsidR="00B355C2">
        <w:t>: 50%</w:t>
      </w:r>
      <w:r w:rsidR="00CB6866">
        <w:t xml:space="preserve">), which included the two Australian studies, also mostly generated higher yields than across the </w:t>
      </w:r>
      <w:r w:rsidR="00B355C2">
        <w:t xml:space="preserve">eleven </w:t>
      </w:r>
      <w:r w:rsidR="00CB6866">
        <w:t>studies from reference laboratories (28%; 95% CI: 24% to 32%</w:t>
      </w:r>
      <w:r w:rsidR="00B355C2">
        <w:t xml:space="preserve">; </w:t>
      </w:r>
      <w:r w:rsidR="00B355C2" w:rsidRPr="00B355C2">
        <w:rPr>
          <w:i/>
        </w:rPr>
        <w:t>I</w:t>
      </w:r>
      <w:r w:rsidR="00B355C2" w:rsidRPr="00B355C2">
        <w:rPr>
          <w:i/>
          <w:vertAlign w:val="superscript"/>
        </w:rPr>
        <w:t>2</w:t>
      </w:r>
      <w:r w:rsidR="00B355C2">
        <w:t>: 81%</w:t>
      </w:r>
      <w:r w:rsidR="00CB6866">
        <w:t>)</w:t>
      </w:r>
      <w:r w:rsidR="00852CD0" w:rsidRPr="00766463">
        <w:t>.</w:t>
      </w:r>
      <w:r w:rsidR="00006E82">
        <w:t xml:space="preserve"> MSAC considered there may be publication bias and possible trends in diagnostic yi</w:t>
      </w:r>
      <w:r w:rsidR="009A2BE2">
        <w:t>el</w:t>
      </w:r>
      <w:r w:rsidR="00006E82">
        <w:t>d over time, but substantial unexplained heterogeneity in diagnostic yield overall</w:t>
      </w:r>
      <w:r w:rsidR="00082703">
        <w:t>.</w:t>
      </w:r>
    </w:p>
    <w:p w14:paraId="62E26617" w14:textId="77777777" w:rsidR="00852CD0" w:rsidRDefault="00852CD0" w:rsidP="00D14733">
      <w:pPr>
        <w:spacing w:before="240"/>
      </w:pPr>
      <w:r>
        <w:lastRenderedPageBreak/>
        <w:t xml:space="preserve">MSAC noted that improved diagnostic certainty in </w:t>
      </w:r>
      <w:r w:rsidR="00957069">
        <w:t>a</w:t>
      </w:r>
      <w:r>
        <w:t xml:space="preserve"> proband could serve to restore reproductive confidence for the child’s parents. </w:t>
      </w:r>
      <w:r w:rsidR="00225E31">
        <w:t>The</w:t>
      </w:r>
      <w:r>
        <w:t xml:space="preserve"> study by Stark (2018) </w:t>
      </w:r>
      <w:r w:rsidR="00225E31">
        <w:t xml:space="preserve">reported </w:t>
      </w:r>
      <w:r>
        <w:t xml:space="preserve">that </w:t>
      </w:r>
      <w:r w:rsidR="00225E31">
        <w:t xml:space="preserve">fourteen </w:t>
      </w:r>
      <w:r>
        <w:t xml:space="preserve">couples </w:t>
      </w:r>
      <w:r w:rsidRPr="00F908A6">
        <w:t xml:space="preserve">with diagnosed children </w:t>
      </w:r>
      <w:r w:rsidR="00225E31">
        <w:t xml:space="preserve">and two couples with undiagnosed children sought </w:t>
      </w:r>
      <w:r w:rsidRPr="00F908A6">
        <w:t xml:space="preserve">advice from reproductive genetic services. Early identification of couples at high or low risk </w:t>
      </w:r>
      <w:r w:rsidR="00225E31">
        <w:t xml:space="preserve">would </w:t>
      </w:r>
      <w:r w:rsidRPr="00F908A6">
        <w:t xml:space="preserve">allow them to make decisions about accessing reproductive technologies and testing, including prenatal/preimplantation genetic </w:t>
      </w:r>
      <w:r>
        <w:t>diagnosis.</w:t>
      </w:r>
    </w:p>
    <w:p w14:paraId="22736FA0" w14:textId="77777777" w:rsidR="00852CD0" w:rsidRDefault="00852CD0" w:rsidP="00D14733">
      <w:pPr>
        <w:spacing w:before="240"/>
      </w:pPr>
      <w:r w:rsidRPr="00D04655">
        <w:rPr>
          <w:color w:val="000000"/>
        </w:rPr>
        <w:t>MSAC considered that</w:t>
      </w:r>
      <w:r>
        <w:rPr>
          <w:color w:val="000000"/>
        </w:rPr>
        <w:t>,</w:t>
      </w:r>
      <w:r w:rsidRPr="00D04655">
        <w:rPr>
          <w:color w:val="000000"/>
        </w:rPr>
        <w:t xml:space="preserve"> although reinterrogation analysis </w:t>
      </w:r>
      <w:r w:rsidR="00B57C9E">
        <w:rPr>
          <w:color w:val="000000"/>
        </w:rPr>
        <w:t>in P</w:t>
      </w:r>
      <w:r w:rsidR="00B7051C">
        <w:rPr>
          <w:color w:val="000000"/>
        </w:rPr>
        <w:t xml:space="preserve">opulation 2 </w:t>
      </w:r>
      <w:r>
        <w:rPr>
          <w:color w:val="000000"/>
        </w:rPr>
        <w:t xml:space="preserve">seemed to </w:t>
      </w:r>
      <w:r w:rsidRPr="00D04655">
        <w:rPr>
          <w:color w:val="000000"/>
        </w:rPr>
        <w:t xml:space="preserve">reduce the time to diagnosis, this was based </w:t>
      </w:r>
      <w:r>
        <w:rPr>
          <w:color w:val="000000"/>
        </w:rPr>
        <w:t>on studies with</w:t>
      </w:r>
      <w:r w:rsidRPr="00D04655">
        <w:rPr>
          <w:color w:val="000000"/>
        </w:rPr>
        <w:t xml:space="preserve"> small numbers</w:t>
      </w:r>
      <w:r>
        <w:rPr>
          <w:color w:val="000000"/>
        </w:rPr>
        <w:t>,</w:t>
      </w:r>
      <w:r w:rsidRPr="00D04655">
        <w:rPr>
          <w:color w:val="000000"/>
        </w:rPr>
        <w:t xml:space="preserve"> and no cost or utility information</w:t>
      </w:r>
      <w:r w:rsidR="004C693C">
        <w:rPr>
          <w:color w:val="000000"/>
        </w:rPr>
        <w:t xml:space="preserve"> was provided for this service</w:t>
      </w:r>
      <w:r w:rsidRPr="00D04655">
        <w:rPr>
          <w:color w:val="000000"/>
        </w:rPr>
        <w:t xml:space="preserve">. </w:t>
      </w:r>
      <w:r>
        <w:t xml:space="preserve">MSAC noted that the clinical evidence for this population was derived from two studies (Stark </w:t>
      </w:r>
      <w:r w:rsidRPr="008C62F9">
        <w:t>2018</w:t>
      </w:r>
      <w:r>
        <w:t>,</w:t>
      </w:r>
      <w:r w:rsidRPr="008C62F9">
        <w:t xml:space="preserve"> Nambot 2017). MSAC noted that the diagnostic yield of WES data reanalysis </w:t>
      </w:r>
      <w:r w:rsidR="004C693C">
        <w:t xml:space="preserve">for 29 infants aged 0-2 years </w:t>
      </w:r>
      <w:r w:rsidRPr="008C62F9">
        <w:t xml:space="preserve">was </w:t>
      </w:r>
      <w:r w:rsidR="004C693C">
        <w:t>4 (</w:t>
      </w:r>
      <w:r w:rsidRPr="008C62F9">
        <w:t>1</w:t>
      </w:r>
      <w:r w:rsidR="00486832">
        <w:t>4</w:t>
      </w:r>
      <w:r w:rsidRPr="008C62F9">
        <w:t>%</w:t>
      </w:r>
      <w:r w:rsidR="004C693C">
        <w:t>) further diagnoses</w:t>
      </w:r>
      <w:r w:rsidRPr="008C62F9">
        <w:t xml:space="preserve"> (Stark</w:t>
      </w:r>
      <w:r w:rsidR="004C693C">
        <w:t xml:space="preserve"> 2018</w:t>
      </w:r>
      <w:r w:rsidRPr="008C62F9">
        <w:t xml:space="preserve">). The Nambot </w:t>
      </w:r>
      <w:r w:rsidR="004C693C">
        <w:t xml:space="preserve">2017 </w:t>
      </w:r>
      <w:r w:rsidRPr="008C62F9">
        <w:t xml:space="preserve">study showed a cumulative diagnostic yield </w:t>
      </w:r>
      <w:r w:rsidR="004C693C">
        <w:t xml:space="preserve">across 416 patients </w:t>
      </w:r>
      <w:r w:rsidRPr="008C62F9">
        <w:t xml:space="preserve">of </w:t>
      </w:r>
      <w:r w:rsidR="004C693C">
        <w:t>128 (</w:t>
      </w:r>
      <w:r w:rsidRPr="008C62F9">
        <w:t>3</w:t>
      </w:r>
      <w:r w:rsidR="00486832">
        <w:t>1</w:t>
      </w:r>
      <w:r w:rsidRPr="008C62F9">
        <w:t>%</w:t>
      </w:r>
      <w:r w:rsidR="004C693C">
        <w:t>)</w:t>
      </w:r>
      <w:r w:rsidRPr="008C62F9">
        <w:t xml:space="preserve"> after two reanalyses</w:t>
      </w:r>
      <w:r w:rsidR="004C693C">
        <w:t xml:space="preserve"> over three years</w:t>
      </w:r>
      <w:r w:rsidRPr="008C62F9">
        <w:t>.</w:t>
      </w:r>
      <w:r w:rsidRPr="002A3CF9">
        <w:rPr>
          <w:color w:val="000000"/>
        </w:rPr>
        <w:t xml:space="preserve"> </w:t>
      </w:r>
      <w:r w:rsidRPr="00D04655">
        <w:rPr>
          <w:color w:val="000000"/>
        </w:rPr>
        <w:t xml:space="preserve">MSAC </w:t>
      </w:r>
      <w:r>
        <w:rPr>
          <w:color w:val="000000"/>
        </w:rPr>
        <w:t>queried whether</w:t>
      </w:r>
      <w:r w:rsidRPr="00D04655">
        <w:rPr>
          <w:color w:val="000000"/>
        </w:rPr>
        <w:t xml:space="preserve"> the additional benefit of reanalysis </w:t>
      </w:r>
      <w:r>
        <w:rPr>
          <w:color w:val="000000"/>
        </w:rPr>
        <w:t xml:space="preserve">would </w:t>
      </w:r>
      <w:r w:rsidRPr="00D04655">
        <w:rPr>
          <w:color w:val="000000"/>
        </w:rPr>
        <w:t>narrow over time</w:t>
      </w:r>
      <w:r>
        <w:rPr>
          <w:color w:val="000000"/>
        </w:rPr>
        <w:t xml:space="preserve"> – as initial testing improves, the incremental diagnostic </w:t>
      </w:r>
      <w:r w:rsidR="00B7051C">
        <w:rPr>
          <w:color w:val="000000"/>
        </w:rPr>
        <w:t>yield</w:t>
      </w:r>
      <w:r>
        <w:rPr>
          <w:color w:val="000000"/>
        </w:rPr>
        <w:t xml:space="preserve"> of reinterrogation may plateau or decrease</w:t>
      </w:r>
      <w:r w:rsidRPr="00D04655">
        <w:rPr>
          <w:color w:val="000000"/>
        </w:rPr>
        <w:t xml:space="preserve">. </w:t>
      </w:r>
      <w:r>
        <w:rPr>
          <w:color w:val="000000"/>
        </w:rPr>
        <w:t xml:space="preserve">MSAC </w:t>
      </w:r>
      <w:r w:rsidR="00D14733">
        <w:rPr>
          <w:color w:val="000000"/>
        </w:rPr>
        <w:t xml:space="preserve">also </w:t>
      </w:r>
      <w:r>
        <w:rPr>
          <w:color w:val="000000"/>
        </w:rPr>
        <w:t xml:space="preserve">queried the optimal reanalysis interval and </w:t>
      </w:r>
      <w:r w:rsidR="00303964">
        <w:rPr>
          <w:color w:val="000000"/>
        </w:rPr>
        <w:t xml:space="preserve">overall </w:t>
      </w:r>
      <w:r w:rsidRPr="00D04655">
        <w:rPr>
          <w:color w:val="000000"/>
        </w:rPr>
        <w:t>number of repeats</w:t>
      </w:r>
      <w:r>
        <w:rPr>
          <w:color w:val="000000"/>
        </w:rPr>
        <w:t xml:space="preserve">. </w:t>
      </w:r>
      <w:r>
        <w:t xml:space="preserve">MSAC </w:t>
      </w:r>
      <w:r w:rsidR="00D14733">
        <w:t>noted</w:t>
      </w:r>
      <w:r w:rsidRPr="00092106">
        <w:t xml:space="preserve"> </w:t>
      </w:r>
      <w:r>
        <w:t xml:space="preserve">advice from the applicant that the rate </w:t>
      </w:r>
      <w:r w:rsidRPr="00092106">
        <w:t>of incidental findings during reanalysis of the initial sequence is lower than the initial analysis itself.</w:t>
      </w:r>
    </w:p>
    <w:p w14:paraId="418E1CD9" w14:textId="77777777" w:rsidR="00852CD0" w:rsidRDefault="00852CD0" w:rsidP="00D14733">
      <w:pPr>
        <w:spacing w:before="240"/>
        <w:rPr>
          <w:color w:val="000000"/>
        </w:rPr>
      </w:pPr>
      <w:r w:rsidRPr="00D04655">
        <w:rPr>
          <w:color w:val="000000"/>
        </w:rPr>
        <w:t xml:space="preserve">MSAC noted that cascade testing </w:t>
      </w:r>
      <w:r w:rsidR="00FE7B20">
        <w:rPr>
          <w:color w:val="000000"/>
        </w:rPr>
        <w:t>in P</w:t>
      </w:r>
      <w:r w:rsidR="00B7051C">
        <w:rPr>
          <w:color w:val="000000"/>
        </w:rPr>
        <w:t xml:space="preserve">opulation 3 </w:t>
      </w:r>
      <w:r w:rsidRPr="00D04655">
        <w:rPr>
          <w:color w:val="000000"/>
        </w:rPr>
        <w:t>is directed by detectio</w:t>
      </w:r>
      <w:r w:rsidR="00D14733">
        <w:rPr>
          <w:color w:val="000000"/>
        </w:rPr>
        <w:t xml:space="preserve">n of a mutation in </w:t>
      </w:r>
      <w:r w:rsidR="00852827">
        <w:rPr>
          <w:color w:val="000000"/>
        </w:rPr>
        <w:t>a</w:t>
      </w:r>
      <w:r w:rsidR="00D14733">
        <w:rPr>
          <w:color w:val="000000"/>
        </w:rPr>
        <w:t xml:space="preserve"> proband</w:t>
      </w:r>
      <w:r w:rsidR="00FE7B20">
        <w:rPr>
          <w:color w:val="000000"/>
        </w:rPr>
        <w:t xml:space="preserve"> identified in P</w:t>
      </w:r>
      <w:r w:rsidR="00303964">
        <w:rPr>
          <w:color w:val="000000"/>
        </w:rPr>
        <w:t>opulations 1 or 2</w:t>
      </w:r>
      <w:r w:rsidR="00D14733">
        <w:rPr>
          <w:color w:val="000000"/>
        </w:rPr>
        <w:t xml:space="preserve">. </w:t>
      </w:r>
      <w:r>
        <w:t xml:space="preserve">MSAC noted clinical evidence for this population was derived from </w:t>
      </w:r>
      <w:r w:rsidR="00B7051C">
        <w:t xml:space="preserve">one </w:t>
      </w:r>
      <w:r>
        <w:t>follow-up study</w:t>
      </w:r>
      <w:r w:rsidR="00B7051C">
        <w:t xml:space="preserve"> (Stark 2018)</w:t>
      </w:r>
      <w:r>
        <w:t xml:space="preserve">. </w:t>
      </w:r>
      <w:r w:rsidRPr="00140C63">
        <w:t>Of the 88 eligible first-degree relatives of infants</w:t>
      </w:r>
      <w:r w:rsidR="00303964">
        <w:t xml:space="preserve"> aged 0-2 years</w:t>
      </w:r>
      <w:r w:rsidRPr="00140C63">
        <w:t xml:space="preserve"> diagnosed by WES (infants in </w:t>
      </w:r>
      <w:r w:rsidR="00225E31">
        <w:t xml:space="preserve">the </w:t>
      </w:r>
      <w:r w:rsidRPr="00140C63">
        <w:t>Stark 2016 study), 79 underwent cascade testing</w:t>
      </w:r>
      <w:r>
        <w:t>,</w:t>
      </w:r>
      <w:r w:rsidRPr="00140C63">
        <w:t xml:space="preserve"> </w:t>
      </w:r>
      <w:r>
        <w:t>o</w:t>
      </w:r>
      <w:r w:rsidRPr="00140C63">
        <w:t>f</w:t>
      </w:r>
      <w:r>
        <w:t xml:space="preserve"> whom</w:t>
      </w:r>
      <w:r w:rsidRPr="00140C63">
        <w:t xml:space="preserve"> 12 received a molecular diagnosis (compared </w:t>
      </w:r>
      <w:r>
        <w:t>with</w:t>
      </w:r>
      <w:r w:rsidRPr="00140C63">
        <w:t xml:space="preserve"> 5 diagnosed by standard testing</w:t>
      </w:r>
      <w:r>
        <w:t xml:space="preserve">), a </w:t>
      </w:r>
      <w:r w:rsidRPr="00140C63">
        <w:t xml:space="preserve">diagnostic yield of 15%. </w:t>
      </w:r>
      <w:r>
        <w:t>O</w:t>
      </w:r>
      <w:r w:rsidRPr="00140C63">
        <w:t>f the 12</w:t>
      </w:r>
      <w:r w:rsidR="00D14733">
        <w:t> </w:t>
      </w:r>
      <w:r>
        <w:t xml:space="preserve">diagnosed, 3 </w:t>
      </w:r>
      <w:r w:rsidR="00C93DE1">
        <w:t xml:space="preserve">(25%) </w:t>
      </w:r>
      <w:r>
        <w:t xml:space="preserve">had a change in management. However, MSAC noted the low confidence in this data due to the small numbers in this study. </w:t>
      </w:r>
      <w:r w:rsidRPr="00D04655">
        <w:rPr>
          <w:color w:val="000000"/>
        </w:rPr>
        <w:t xml:space="preserve">MSAC acknowledged that </w:t>
      </w:r>
      <w:r w:rsidR="00DA2BC6">
        <w:rPr>
          <w:color w:val="000000"/>
        </w:rPr>
        <w:t xml:space="preserve">a molecular </w:t>
      </w:r>
      <w:r w:rsidRPr="00D04655">
        <w:rPr>
          <w:color w:val="000000"/>
        </w:rPr>
        <w:t>diagnosis appears to influence genetic counselling in future pregnancies.</w:t>
      </w:r>
    </w:p>
    <w:p w14:paraId="03F594DE" w14:textId="77777777" w:rsidR="00852CD0" w:rsidRDefault="00852CD0" w:rsidP="00D14733">
      <w:pPr>
        <w:spacing w:before="240"/>
      </w:pPr>
      <w:r>
        <w:t>MSAC noted feedback from G</w:t>
      </w:r>
      <w:r w:rsidRPr="009B0100">
        <w:t xml:space="preserve">enetics and </w:t>
      </w:r>
      <w:r>
        <w:t>R</w:t>
      </w:r>
      <w:r w:rsidRPr="009B0100">
        <w:t xml:space="preserve">are </w:t>
      </w:r>
      <w:r>
        <w:t>D</w:t>
      </w:r>
      <w:r w:rsidRPr="009B0100">
        <w:t xml:space="preserve">iseases </w:t>
      </w:r>
      <w:r>
        <w:t>N</w:t>
      </w:r>
      <w:r w:rsidRPr="009B0100">
        <w:t xml:space="preserve">etwork </w:t>
      </w:r>
      <w:r>
        <w:t xml:space="preserve">(GARDN) and </w:t>
      </w:r>
      <w:r w:rsidRPr="00B364D4">
        <w:t xml:space="preserve">Predisposition Genetic Testing Working Group </w:t>
      </w:r>
      <w:r>
        <w:t>(PGTWG) expressing concern about the potential impact of increasing numbers of diagnoses on the clinical genetics workforce capacity.</w:t>
      </w:r>
    </w:p>
    <w:p w14:paraId="7F5CA890" w14:textId="77777777" w:rsidR="00852CD0" w:rsidRDefault="00852CD0" w:rsidP="00D14733">
      <w:pPr>
        <w:spacing w:before="240"/>
      </w:pPr>
      <w:r>
        <w:t xml:space="preserve">MSAC </w:t>
      </w:r>
      <w:r w:rsidR="00D14733">
        <w:t>considered there were</w:t>
      </w:r>
      <w:r>
        <w:t xml:space="preserve"> a number of issues with the economic model:</w:t>
      </w:r>
    </w:p>
    <w:p w14:paraId="20BBAB0E" w14:textId="77777777" w:rsidR="00852CD0" w:rsidRDefault="00852CD0" w:rsidP="00D14733">
      <w:pPr>
        <w:pStyle w:val="ListParagraph"/>
        <w:numPr>
          <w:ilvl w:val="0"/>
          <w:numId w:val="32"/>
        </w:numPr>
        <w:spacing w:after="160"/>
      </w:pPr>
      <w:r>
        <w:t>no patient-reported outcomes were included</w:t>
      </w:r>
    </w:p>
    <w:p w14:paraId="5A9DEC9C" w14:textId="77777777" w:rsidR="00852CD0" w:rsidRDefault="00852CD0" w:rsidP="00D14733">
      <w:pPr>
        <w:pStyle w:val="ListParagraph"/>
        <w:numPr>
          <w:ilvl w:val="0"/>
          <w:numId w:val="32"/>
        </w:numPr>
        <w:spacing w:after="160"/>
      </w:pPr>
      <w:r>
        <w:t xml:space="preserve">the utility gain from SoC </w:t>
      </w:r>
      <w:r w:rsidR="00DF2D4A">
        <w:t xml:space="preserve">diagnoses </w:t>
      </w:r>
      <w:r>
        <w:t>was assumed to be zero</w:t>
      </w:r>
      <w:r w:rsidR="00DF2D4A">
        <w:t xml:space="preserve"> for all patients, whereas a utility gain was assigned to a proportion of patients with WES-based diagnoses</w:t>
      </w:r>
    </w:p>
    <w:p w14:paraId="778B032C" w14:textId="77777777" w:rsidR="00852CD0" w:rsidRDefault="00852CD0" w:rsidP="00D14733">
      <w:pPr>
        <w:pStyle w:val="ListParagraph"/>
        <w:numPr>
          <w:ilvl w:val="0"/>
          <w:numId w:val="32"/>
        </w:numPr>
        <w:spacing w:after="160"/>
      </w:pPr>
      <w:r>
        <w:t>costs of counselling and three-person review of results were not included</w:t>
      </w:r>
    </w:p>
    <w:p w14:paraId="2B059B68" w14:textId="77777777" w:rsidR="00852CD0" w:rsidRDefault="00852CD0" w:rsidP="00D14733">
      <w:pPr>
        <w:pStyle w:val="ListParagraph"/>
        <w:numPr>
          <w:ilvl w:val="0"/>
          <w:numId w:val="32"/>
        </w:numPr>
        <w:spacing w:after="160"/>
      </w:pPr>
      <w:r>
        <w:t xml:space="preserve">disutility associated with these conditions may have been underestimated </w:t>
      </w:r>
    </w:p>
    <w:p w14:paraId="1127B854" w14:textId="77777777" w:rsidR="002B2C74" w:rsidRDefault="00852CD0" w:rsidP="00D14733">
      <w:pPr>
        <w:pStyle w:val="ListParagraph"/>
        <w:numPr>
          <w:ilvl w:val="0"/>
          <w:numId w:val="32"/>
        </w:numPr>
        <w:spacing w:after="160"/>
      </w:pPr>
      <w:r>
        <w:t>costs of extra treatment associated wi</w:t>
      </w:r>
      <w:r w:rsidR="00852827">
        <w:t>th diagnosis were not included</w:t>
      </w:r>
    </w:p>
    <w:p w14:paraId="3BD7364C" w14:textId="77777777" w:rsidR="00852CD0" w:rsidRPr="009B1A8E" w:rsidRDefault="002B2C74" w:rsidP="00864695">
      <w:pPr>
        <w:pStyle w:val="ListParagraph"/>
        <w:numPr>
          <w:ilvl w:val="0"/>
          <w:numId w:val="32"/>
        </w:numPr>
        <w:spacing w:after="160"/>
      </w:pPr>
      <w:r>
        <w:t xml:space="preserve">the costs and timing </w:t>
      </w:r>
      <w:r w:rsidR="00C06487">
        <w:t xml:space="preserve">and proportions of patients requiring </w:t>
      </w:r>
      <w:r>
        <w:t>reinterrogation was not clear</w:t>
      </w:r>
      <w:r w:rsidR="00C06487">
        <w:t xml:space="preserve"> </w:t>
      </w:r>
      <w:r w:rsidR="00986E7B">
        <w:t xml:space="preserve">enough </w:t>
      </w:r>
      <w:r w:rsidR="00C06487">
        <w:t xml:space="preserve">to be assured that Population 1 </w:t>
      </w:r>
      <w:r w:rsidR="00986E7B">
        <w:t>correctly</w:t>
      </w:r>
      <w:r w:rsidR="00C06487">
        <w:t xml:space="preserve"> included Population 2</w:t>
      </w:r>
      <w:r w:rsidR="00852827">
        <w:t>.</w:t>
      </w:r>
    </w:p>
    <w:p w14:paraId="4A4ADBE6" w14:textId="77777777" w:rsidR="00570BB4" w:rsidRDefault="00570BB4" w:rsidP="00D14733">
      <w:pPr>
        <w:spacing w:before="240"/>
      </w:pPr>
      <w:r>
        <w:t>MSAC summarised the following additional issues</w:t>
      </w:r>
      <w:r w:rsidR="00BB6624">
        <w:t xml:space="preserve">, suggesting that the model was biased </w:t>
      </w:r>
      <w:r w:rsidR="002753C6">
        <w:t xml:space="preserve">in </w:t>
      </w:r>
      <w:r w:rsidR="00BB6624">
        <w:t>favour of the requested listings</w:t>
      </w:r>
      <w:r>
        <w:t>:</w:t>
      </w:r>
    </w:p>
    <w:p w14:paraId="34E2DBAD" w14:textId="77777777" w:rsidR="00570BB4" w:rsidRDefault="00570BB4" w:rsidP="00570BB4">
      <w:pPr>
        <w:pStyle w:val="ListParagraph"/>
        <w:numPr>
          <w:ilvl w:val="0"/>
          <w:numId w:val="35"/>
        </w:numPr>
        <w:ind w:left="714" w:hanging="357"/>
      </w:pPr>
      <w:r>
        <w:t>the analysis was based on single-centre Australian data, with 30 of the referred cohort considered ineligible and a further nine who</w:t>
      </w:r>
      <w:r w:rsidR="00B57C9E">
        <w:t>se</w:t>
      </w:r>
      <w:r>
        <w:t xml:space="preserve"> families declined to give consent, leaving an initial sample size of 80</w:t>
      </w:r>
      <w:r w:rsidR="00BB6624">
        <w:t xml:space="preserve"> children, of whom 46 received a WES-based molecular diagnosis, of whom fifteen had a change in clinical management, eleven of whom would not have had a diagnosis with SoC</w:t>
      </w:r>
    </w:p>
    <w:p w14:paraId="7E123C82" w14:textId="77777777" w:rsidR="00BB6624" w:rsidRDefault="00BB6624" w:rsidP="00570BB4">
      <w:pPr>
        <w:pStyle w:val="ListParagraph"/>
        <w:numPr>
          <w:ilvl w:val="0"/>
          <w:numId w:val="35"/>
        </w:numPr>
        <w:ind w:left="714" w:hanging="357"/>
      </w:pPr>
      <w:r>
        <w:lastRenderedPageBreak/>
        <w:t>the risk of bias was high from the non-comparative, non-blinded case series</w:t>
      </w:r>
    </w:p>
    <w:p w14:paraId="1CA83E11" w14:textId="77777777" w:rsidR="00BB6624" w:rsidRDefault="00BB6624" w:rsidP="00570BB4">
      <w:pPr>
        <w:pStyle w:val="ListParagraph"/>
        <w:numPr>
          <w:ilvl w:val="0"/>
          <w:numId w:val="35"/>
        </w:numPr>
        <w:ind w:left="714" w:hanging="357"/>
      </w:pPr>
      <w:r>
        <w:t>the imprecise results relied on were inconsistent with other sources of evidence, which had a risk of publication bias</w:t>
      </w:r>
    </w:p>
    <w:p w14:paraId="7D61C8F2" w14:textId="77777777" w:rsidR="00BB6624" w:rsidRDefault="00BB6624" w:rsidP="00570BB4">
      <w:pPr>
        <w:pStyle w:val="ListParagraph"/>
        <w:numPr>
          <w:ilvl w:val="0"/>
          <w:numId w:val="35"/>
        </w:numPr>
        <w:ind w:left="714" w:hanging="357"/>
      </w:pPr>
      <w:r>
        <w:t>there was limited transferability to older children and to a non-quaternary hospital setting</w:t>
      </w:r>
      <w:r w:rsidR="00112A19">
        <w:t>, noting that the test may be requested most by general paediatricians</w:t>
      </w:r>
    </w:p>
    <w:p w14:paraId="2B66E3A7" w14:textId="77777777" w:rsidR="00BB6624" w:rsidRDefault="00BB6624" w:rsidP="00570BB4">
      <w:pPr>
        <w:pStyle w:val="ListParagraph"/>
        <w:numPr>
          <w:ilvl w:val="0"/>
          <w:numId w:val="35"/>
        </w:numPr>
        <w:ind w:left="714" w:hanging="357"/>
      </w:pPr>
      <w:r>
        <w:t>overall, there was low confidence in the effects of the changes in management to improve health outcomes, noting few of the diagnosed c</w:t>
      </w:r>
      <w:r w:rsidR="00DF2D4A">
        <w:t>hildhood syndromes</w:t>
      </w:r>
      <w:r>
        <w:t xml:space="preserve"> have existing effective treatments.</w:t>
      </w:r>
    </w:p>
    <w:p w14:paraId="25383B56" w14:textId="77777777" w:rsidR="00852CD0" w:rsidRDefault="00852CD0" w:rsidP="00D14733">
      <w:pPr>
        <w:spacing w:before="240"/>
      </w:pPr>
      <w:r>
        <w:t>MSAC noted that cost-effectiveness and cost-utili</w:t>
      </w:r>
      <w:r w:rsidR="00FE7B20">
        <w:t>ty analyses were performed for P</w:t>
      </w:r>
      <w:r>
        <w:t>opulations 1 and 3 combined</w:t>
      </w:r>
      <w:r w:rsidR="00D14733">
        <w:t>,</w:t>
      </w:r>
      <w:r>
        <w:t xml:space="preserve"> </w:t>
      </w:r>
      <w:r w:rsidR="00FE7B20">
        <w:t>rather than P</w:t>
      </w:r>
      <w:r w:rsidR="002B2C74">
        <w:t>opulation 3 being assessed as an in</w:t>
      </w:r>
      <w:r w:rsidR="00FE7B20">
        <w:t>crement over Population 1 (and P</w:t>
      </w:r>
      <w:r w:rsidR="002B2C74">
        <w:t xml:space="preserve">opulation 2), </w:t>
      </w:r>
      <w:r>
        <w:t xml:space="preserve">with an ICER of $7254 per quality adjusted life year (QALY) gained. MSAC noted that the key drivers of the economic model were </w:t>
      </w:r>
      <w:r w:rsidR="00A94CAC">
        <w:t xml:space="preserve">reported to be </w:t>
      </w:r>
      <w:r>
        <w:t>the time ho</w:t>
      </w:r>
      <w:r w:rsidR="00D14733">
        <w:t>rizon, the cost of standard care</w:t>
      </w:r>
      <w:r>
        <w:t>, the cost of WEA, the number of first-degree relatives being tested</w:t>
      </w:r>
      <w:r w:rsidR="00A94CAC">
        <w:t xml:space="preserve"> per proband</w:t>
      </w:r>
      <w:r>
        <w:t>, and the effect of changes in clinical management</w:t>
      </w:r>
      <w:r w:rsidR="00A94CAC">
        <w:t xml:space="preserve"> on health-related quality of life</w:t>
      </w:r>
      <w:r>
        <w:t xml:space="preserve">. MSAC queried the </w:t>
      </w:r>
      <w:r w:rsidR="00DF2D4A">
        <w:t xml:space="preserve">implausible </w:t>
      </w:r>
      <w:r>
        <w:t>insensitivity of the ICER to the major drivers of cost</w:t>
      </w:r>
      <w:r w:rsidR="00E214D0">
        <w:t>,</w:t>
      </w:r>
      <w:r>
        <w:t xml:space="preserve"> change in clinical management</w:t>
      </w:r>
      <w:r w:rsidR="00006E82">
        <w:t>, time to diagnosis with standard care,</w:t>
      </w:r>
      <w:r w:rsidR="00E214D0">
        <w:t xml:space="preserve"> and incremental diagnostic yield</w:t>
      </w:r>
      <w:r>
        <w:t xml:space="preserve">, which suggested that model inputs may have been incorrectly specified or not included. </w:t>
      </w:r>
      <w:r w:rsidRPr="00803DF0">
        <w:t>MSAC noted that the applicant is working on a within-trial ICER including a 20-year prediction</w:t>
      </w:r>
      <w:r>
        <w:t>, but</w:t>
      </w:r>
      <w:r w:rsidRPr="00803DF0">
        <w:t xml:space="preserve"> this was not available at the time of MSAC consideration</w:t>
      </w:r>
      <w:r>
        <w:t>.</w:t>
      </w:r>
    </w:p>
    <w:p w14:paraId="79491886" w14:textId="77777777" w:rsidR="00D14733" w:rsidRDefault="00852827" w:rsidP="00D14733">
      <w:pPr>
        <w:spacing w:before="240"/>
      </w:pPr>
      <w:r w:rsidRPr="009F3918">
        <w:t>MSAC considered that the conservative assumptions re</w:t>
      </w:r>
      <w:r>
        <w:t>garding</w:t>
      </w:r>
      <w:r w:rsidRPr="009F3918">
        <w:t xml:space="preserve"> usage could create substantial financial risk.</w:t>
      </w:r>
      <w:r>
        <w:t xml:space="preserve"> </w:t>
      </w:r>
      <w:r w:rsidR="00D14733">
        <w:t xml:space="preserve">MSAC </w:t>
      </w:r>
      <w:r>
        <w:t xml:space="preserve">further considered </w:t>
      </w:r>
      <w:r w:rsidR="00D14733">
        <w:t xml:space="preserve">that, due to the heterogeneity of </w:t>
      </w:r>
      <w:r w:rsidR="005E1BE3">
        <w:t xml:space="preserve">clinical and </w:t>
      </w:r>
      <w:r w:rsidR="00D14733">
        <w:t xml:space="preserve">genetic conditions, </w:t>
      </w:r>
      <w:r w:rsidR="002E3D87">
        <w:t>including those detectable through WES but outside the intent of the application,</w:t>
      </w:r>
      <w:r w:rsidR="00D14733">
        <w:t xml:space="preserve"> </w:t>
      </w:r>
      <w:r w:rsidR="002E3D87">
        <w:t>patient</w:t>
      </w:r>
      <w:r w:rsidR="00082703">
        <w:t xml:space="preserve"> number</w:t>
      </w:r>
      <w:r w:rsidR="002E3D87">
        <w:t xml:space="preserve">s eligible for testing </w:t>
      </w:r>
      <w:r w:rsidR="00D14733">
        <w:t>are highly uncertain. The population estimates in the application were based on data from a single centre, and it is not clear how patient numbers</w:t>
      </w:r>
      <w:r w:rsidR="003B5330">
        <w:t xml:space="preserve"> will change in the future</w:t>
      </w:r>
      <w:r w:rsidR="00D14733">
        <w:t>. MSAC noted that there may be cost savings resulting from reduced testing in patients who receive a diagnosis with WEA, compared with standard of care</w:t>
      </w:r>
      <w:r w:rsidR="00986E7B">
        <w:t>, but such savings would be outweighed if usage of WES testing extended beyond the intended population</w:t>
      </w:r>
      <w:r w:rsidR="00D14733">
        <w:t>.</w:t>
      </w:r>
    </w:p>
    <w:p w14:paraId="043EB50F" w14:textId="77777777" w:rsidR="00D14733" w:rsidRDefault="00D14733" w:rsidP="00D14733">
      <w:pPr>
        <w:spacing w:before="240"/>
      </w:pPr>
      <w:r>
        <w:t xml:space="preserve">MSAC noted the proposed fees were </w:t>
      </w:r>
      <w:r w:rsidR="00634F9C">
        <w:t xml:space="preserve">high and not clearly justified at </w:t>
      </w:r>
      <w:r>
        <w:t xml:space="preserve">$2400 for initial testing and $400 for cascade testing. MSAC </w:t>
      </w:r>
      <w:r w:rsidR="00803AAC">
        <w:t>considered that the</w:t>
      </w:r>
      <w:r>
        <w:t xml:space="preserve"> out-of-pockets costs </w:t>
      </w:r>
      <w:r w:rsidR="00A94CAC">
        <w:t xml:space="preserve">would still be high </w:t>
      </w:r>
      <w:r w:rsidR="00803AAC">
        <w:t>even with MBS listing</w:t>
      </w:r>
      <w:r w:rsidR="00A94CAC">
        <w:t xml:space="preserve"> assum</w:t>
      </w:r>
      <w:r w:rsidR="00986E7B">
        <w:t>ing</w:t>
      </w:r>
      <w:r w:rsidR="00A94CAC">
        <w:t xml:space="preserve"> that the service would not be bulk billed</w:t>
      </w:r>
      <w:r>
        <w:t xml:space="preserve">. MSAC </w:t>
      </w:r>
      <w:r w:rsidR="00A94CAC">
        <w:t xml:space="preserve">also </w:t>
      </w:r>
      <w:r>
        <w:t xml:space="preserve">noted that </w:t>
      </w:r>
      <w:r w:rsidR="00A94CAC">
        <w:t xml:space="preserve">the </w:t>
      </w:r>
      <w:r>
        <w:t>re</w:t>
      </w:r>
      <w:r w:rsidR="00A94CAC">
        <w:t xml:space="preserve">interrogation </w:t>
      </w:r>
      <w:r>
        <w:t xml:space="preserve">analysis </w:t>
      </w:r>
      <w:r w:rsidR="000C69FB">
        <w:t>was proposed to</w:t>
      </w:r>
      <w:r>
        <w:t xml:space="preserve"> include</w:t>
      </w:r>
      <w:r w:rsidR="000C69FB">
        <w:t xml:space="preserve"> the</w:t>
      </w:r>
      <w:r>
        <w:t xml:space="preserve"> costs for pathology and other services, </w:t>
      </w:r>
      <w:r w:rsidR="000C69FB">
        <w:t>but</w:t>
      </w:r>
      <w:r>
        <w:t xml:space="preserve"> queried what the real </w:t>
      </w:r>
      <w:r w:rsidR="00A94CAC">
        <w:t xml:space="preserve">reinterrogation </w:t>
      </w:r>
      <w:r>
        <w:t xml:space="preserve">analysis costs </w:t>
      </w:r>
      <w:r w:rsidR="00A94CAC">
        <w:t>following an earlier</w:t>
      </w:r>
      <w:r>
        <w:t xml:space="preserve"> negative test would be given automation and likely pre-loaded data.</w:t>
      </w:r>
      <w:r w:rsidR="00852827" w:rsidRPr="00852827">
        <w:t xml:space="preserve"> </w:t>
      </w:r>
      <w:r w:rsidR="00852827">
        <w:t>MSAC noted there was a wide variation in WEA costs between studies</w:t>
      </w:r>
      <w:r w:rsidR="0008731B">
        <w:t>,</w:t>
      </w:r>
      <w:r w:rsidR="00852827">
        <w:t xml:space="preserve"> but no clear drop over time (Schwarze 2018).</w:t>
      </w:r>
    </w:p>
    <w:p w14:paraId="74B4B4F9" w14:textId="77777777" w:rsidR="00AC4727" w:rsidRDefault="004C5A49" w:rsidP="00AC4727">
      <w:pPr>
        <w:spacing w:before="240"/>
        <w:rPr>
          <w:color w:val="000000"/>
        </w:rPr>
      </w:pPr>
      <w:r>
        <w:rPr>
          <w:color w:val="000000"/>
        </w:rPr>
        <w:t xml:space="preserve">In its deliberations, MSAC agreed with the applicant’s approach to combine the childhood syndromes </w:t>
      </w:r>
      <w:r w:rsidR="002753C6">
        <w:rPr>
          <w:color w:val="000000"/>
        </w:rPr>
        <w:t>rather than undertake</w:t>
      </w:r>
      <w:r>
        <w:rPr>
          <w:color w:val="000000"/>
        </w:rPr>
        <w:t xml:space="preserve"> a disease by disease </w:t>
      </w:r>
      <w:r w:rsidR="00F61334">
        <w:rPr>
          <w:color w:val="000000"/>
        </w:rPr>
        <w:t xml:space="preserve">approach. </w:t>
      </w:r>
      <w:r w:rsidR="00AC4727" w:rsidRPr="00D04655">
        <w:rPr>
          <w:color w:val="000000"/>
        </w:rPr>
        <w:t>MSAC acknowledged the high</w:t>
      </w:r>
      <w:r w:rsidR="00920EF2">
        <w:rPr>
          <w:color w:val="000000"/>
        </w:rPr>
        <w:t>, but non-urgent</w:t>
      </w:r>
      <w:r w:rsidR="00AC4727" w:rsidRPr="00D04655">
        <w:rPr>
          <w:color w:val="000000"/>
        </w:rPr>
        <w:t xml:space="preserve"> clinical need for testing to diagnose childhood syndromes</w:t>
      </w:r>
      <w:r w:rsidR="00DB747D">
        <w:rPr>
          <w:color w:val="000000"/>
        </w:rPr>
        <w:t xml:space="preserve">, and the inequity of access to WES-based testing currently across </w:t>
      </w:r>
      <w:r w:rsidR="00920EF2">
        <w:rPr>
          <w:color w:val="000000"/>
        </w:rPr>
        <w:t xml:space="preserve">states in </w:t>
      </w:r>
      <w:r w:rsidR="00DB747D">
        <w:rPr>
          <w:color w:val="000000"/>
        </w:rPr>
        <w:t>Australia</w:t>
      </w:r>
      <w:r w:rsidR="008B22C9">
        <w:rPr>
          <w:color w:val="000000"/>
        </w:rPr>
        <w:t xml:space="preserve"> with varying controls on access</w:t>
      </w:r>
      <w:r w:rsidR="00AC4727" w:rsidRPr="00D04655">
        <w:rPr>
          <w:color w:val="000000"/>
        </w:rPr>
        <w:t>. MSAC also acknowledged that</w:t>
      </w:r>
      <w:r w:rsidR="00112A19">
        <w:rPr>
          <w:color w:val="000000"/>
        </w:rPr>
        <w:t>,</w:t>
      </w:r>
      <w:r w:rsidR="00112A19" w:rsidRPr="00112A19">
        <w:t xml:space="preserve"> </w:t>
      </w:r>
      <w:r w:rsidR="00112A19" w:rsidRPr="00FB695A">
        <w:t xml:space="preserve">compared with </w:t>
      </w:r>
      <w:r w:rsidR="00112A19">
        <w:t>standard of care (</w:t>
      </w:r>
      <w:r w:rsidR="00112A19" w:rsidRPr="00FB695A">
        <w:t>SoC</w:t>
      </w:r>
      <w:r w:rsidR="00112A19">
        <w:t>),</w:t>
      </w:r>
      <w:r w:rsidR="00AC4727" w:rsidRPr="00D04655">
        <w:rPr>
          <w:color w:val="000000"/>
        </w:rPr>
        <w:t xml:space="preserve"> use of WEA </w:t>
      </w:r>
      <w:r w:rsidR="00DF2D4A">
        <w:rPr>
          <w:color w:val="000000"/>
        </w:rPr>
        <w:t xml:space="preserve">improved diagnostic yield, </w:t>
      </w:r>
      <w:r w:rsidR="00AC4727">
        <w:rPr>
          <w:color w:val="000000"/>
        </w:rPr>
        <w:t>appeared to shorten the time to diagnosis</w:t>
      </w:r>
      <w:r w:rsidR="00DF2D4A">
        <w:rPr>
          <w:color w:val="000000"/>
        </w:rPr>
        <w:t xml:space="preserve"> </w:t>
      </w:r>
      <w:r w:rsidR="002753C6">
        <w:rPr>
          <w:color w:val="000000"/>
        </w:rPr>
        <w:t xml:space="preserve">(although </w:t>
      </w:r>
      <w:r w:rsidR="003B5330">
        <w:rPr>
          <w:color w:val="000000"/>
        </w:rPr>
        <w:t xml:space="preserve">the </w:t>
      </w:r>
      <w:r w:rsidR="002753C6">
        <w:rPr>
          <w:color w:val="000000"/>
        </w:rPr>
        <w:t xml:space="preserve">amount was </w:t>
      </w:r>
      <w:r w:rsidR="00DF2D4A">
        <w:rPr>
          <w:color w:val="000000"/>
        </w:rPr>
        <w:t>not quantified</w:t>
      </w:r>
      <w:r w:rsidR="002753C6">
        <w:rPr>
          <w:color w:val="000000"/>
        </w:rPr>
        <w:t>) and</w:t>
      </w:r>
      <w:r w:rsidR="002753C6" w:rsidRPr="00D04655">
        <w:rPr>
          <w:color w:val="000000"/>
        </w:rPr>
        <w:t xml:space="preserve"> </w:t>
      </w:r>
      <w:r w:rsidR="00AC4727" w:rsidRPr="00D04655">
        <w:rPr>
          <w:color w:val="000000"/>
        </w:rPr>
        <w:t>lead to changes in patient management</w:t>
      </w:r>
      <w:r w:rsidR="00DF2D4A">
        <w:rPr>
          <w:color w:val="000000"/>
        </w:rPr>
        <w:t xml:space="preserve"> in perhaps 5% more children in relative terms</w:t>
      </w:r>
      <w:r w:rsidR="002753C6">
        <w:rPr>
          <w:color w:val="000000"/>
        </w:rPr>
        <w:t xml:space="preserve">. As a consequence of these effects the patient may have access to interventions which provide </w:t>
      </w:r>
      <w:r w:rsidR="00DF2D4A">
        <w:rPr>
          <w:color w:val="000000"/>
        </w:rPr>
        <w:t>better care</w:t>
      </w:r>
      <w:r w:rsidR="002753C6">
        <w:rPr>
          <w:color w:val="000000"/>
        </w:rPr>
        <w:t xml:space="preserve"> and this may translate into </w:t>
      </w:r>
      <w:r w:rsidR="00AC4727" w:rsidRPr="00FB695A">
        <w:t>patient and family</w:t>
      </w:r>
      <w:r w:rsidR="00082703">
        <w:t xml:space="preserve"> </w:t>
      </w:r>
      <w:r w:rsidR="00AC4727" w:rsidRPr="00FB695A">
        <w:t>relevant benefits</w:t>
      </w:r>
      <w:r w:rsidR="00AC4727">
        <w:t xml:space="preserve">. </w:t>
      </w:r>
      <w:r w:rsidR="00C5687B">
        <w:t xml:space="preserve">MSAC noted </w:t>
      </w:r>
      <w:r w:rsidR="00112A19">
        <w:t>there may also be psychological harm through the identification of variations of unknown significance and the possibility of overdiagnosis and overtreatment</w:t>
      </w:r>
      <w:r w:rsidR="00AC4727">
        <w:rPr>
          <w:color w:val="000000"/>
        </w:rPr>
        <w:t xml:space="preserve">. </w:t>
      </w:r>
      <w:r w:rsidR="00112A19">
        <w:rPr>
          <w:color w:val="000000"/>
        </w:rPr>
        <w:t>In addition</w:t>
      </w:r>
      <w:r w:rsidR="00AC4727">
        <w:rPr>
          <w:color w:val="000000"/>
        </w:rPr>
        <w:t xml:space="preserve">, </w:t>
      </w:r>
      <w:r w:rsidR="00112A19">
        <w:rPr>
          <w:color w:val="000000"/>
        </w:rPr>
        <w:t xml:space="preserve">the main </w:t>
      </w:r>
      <w:r w:rsidR="00AC4727" w:rsidRPr="00D04655">
        <w:rPr>
          <w:color w:val="000000"/>
        </w:rPr>
        <w:t xml:space="preserve">evidence </w:t>
      </w:r>
      <w:r w:rsidR="00112A19">
        <w:rPr>
          <w:color w:val="000000"/>
        </w:rPr>
        <w:t xml:space="preserve">relied on </w:t>
      </w:r>
      <w:r w:rsidR="00112A19" w:rsidRPr="00D04655">
        <w:rPr>
          <w:color w:val="000000"/>
        </w:rPr>
        <w:t xml:space="preserve">utility and change data </w:t>
      </w:r>
      <w:r w:rsidR="00112A19">
        <w:rPr>
          <w:color w:val="000000"/>
        </w:rPr>
        <w:t>in the context of wide genetic and clinical heterogeneity</w:t>
      </w:r>
      <w:r w:rsidR="00112A19" w:rsidRPr="00D04655">
        <w:rPr>
          <w:color w:val="000000"/>
        </w:rPr>
        <w:t xml:space="preserve"> </w:t>
      </w:r>
      <w:r w:rsidR="00AC4727" w:rsidRPr="00D04655">
        <w:rPr>
          <w:color w:val="000000"/>
        </w:rPr>
        <w:t xml:space="preserve">was derived from limited Australian data from a </w:t>
      </w:r>
      <w:r w:rsidR="00112A19">
        <w:rPr>
          <w:color w:val="000000"/>
        </w:rPr>
        <w:lastRenderedPageBreak/>
        <w:t xml:space="preserve">small </w:t>
      </w:r>
      <w:r w:rsidR="00AC4727" w:rsidRPr="00D04655">
        <w:rPr>
          <w:color w:val="000000"/>
        </w:rPr>
        <w:t>single</w:t>
      </w:r>
      <w:r w:rsidR="00112A19">
        <w:rPr>
          <w:color w:val="000000"/>
        </w:rPr>
        <w:t>-</w:t>
      </w:r>
      <w:r w:rsidR="00AC4727" w:rsidRPr="00D04655">
        <w:rPr>
          <w:color w:val="000000"/>
        </w:rPr>
        <w:t>centre</w:t>
      </w:r>
      <w:r w:rsidR="00112A19">
        <w:rPr>
          <w:color w:val="000000"/>
        </w:rPr>
        <w:t xml:space="preserve"> study</w:t>
      </w:r>
      <w:r w:rsidR="00AC4727" w:rsidRPr="00D04655">
        <w:rPr>
          <w:color w:val="000000"/>
        </w:rPr>
        <w:t xml:space="preserve">, with limited comparisons. MSAC also expressed concern regarding implementation issues due to </w:t>
      </w:r>
      <w:r w:rsidR="00AC4727">
        <w:rPr>
          <w:color w:val="000000"/>
        </w:rPr>
        <w:t>the</w:t>
      </w:r>
      <w:r w:rsidR="00AC4727" w:rsidRPr="00D04655">
        <w:rPr>
          <w:color w:val="000000"/>
        </w:rPr>
        <w:t xml:space="preserve"> high likelihood of leakage.</w:t>
      </w:r>
    </w:p>
    <w:p w14:paraId="538F9AF5" w14:textId="77777777" w:rsidR="00852CD0" w:rsidRDefault="00852CD0" w:rsidP="00AC4727">
      <w:pPr>
        <w:spacing w:before="240"/>
      </w:pPr>
      <w:r>
        <w:t xml:space="preserve">MSAC noted that it is not possible to know whether an effective therapy is available for an individual patient until after </w:t>
      </w:r>
      <w:r w:rsidRPr="00B82EAA">
        <w:t>a diagnosis</w:t>
      </w:r>
      <w:r>
        <w:t xml:space="preserve"> is made</w:t>
      </w:r>
      <w:r w:rsidRPr="00B82EAA">
        <w:t xml:space="preserve">. </w:t>
      </w:r>
      <w:r>
        <w:t xml:space="preserve">MSAC noted that </w:t>
      </w:r>
      <w:r w:rsidR="00920EF2">
        <w:t xml:space="preserve">anecdotal </w:t>
      </w:r>
      <w:r>
        <w:t xml:space="preserve">benefits to patients – such as </w:t>
      </w:r>
      <w:r w:rsidRPr="00B82EAA">
        <w:t>withdrawal of patients from intensive care</w:t>
      </w:r>
      <w:r>
        <w:t>,</w:t>
      </w:r>
      <w:r w:rsidRPr="00B82EAA">
        <w:t xml:space="preserve"> reproductive certainty and planning for families with one affected child</w:t>
      </w:r>
      <w:r>
        <w:t xml:space="preserve"> – are difficult to quantify, which may account for them not being included in the submission.</w:t>
      </w:r>
      <w:r w:rsidRPr="00004D0F">
        <w:t xml:space="preserve"> </w:t>
      </w:r>
      <w:r>
        <w:t>MSAC also acknowledged the ethical difficulty of placing a utility value on a child with a genetic condition not being born.</w:t>
      </w:r>
    </w:p>
    <w:p w14:paraId="4738956D" w14:textId="77777777" w:rsidR="00852CD0" w:rsidRDefault="00852CD0" w:rsidP="00084C54">
      <w:pPr>
        <w:spacing w:before="240"/>
      </w:pPr>
      <w:r>
        <w:t xml:space="preserve">MSAC </w:t>
      </w:r>
      <w:r w:rsidR="00D14733">
        <w:t xml:space="preserve">further </w:t>
      </w:r>
      <w:r>
        <w:t xml:space="preserve">acknowledged the difficulty in quantifying therapeutic consequences and health outcomes arising from diagnosis of genetic </w:t>
      </w:r>
      <w:r w:rsidRPr="000E50EA">
        <w:t xml:space="preserve">syndromes. Because </w:t>
      </w:r>
      <w:r w:rsidR="007F044D">
        <w:t xml:space="preserve">most </w:t>
      </w:r>
      <w:r w:rsidRPr="000E50EA">
        <w:t>genetic syndromes are not treated directly, the health outcomes gained are psychological wellbeing or avoidance of further tests or procedures.</w:t>
      </w:r>
      <w:r>
        <w:t xml:space="preserve"> MSAC considered that it would be desirable for the societal value placed on the ‘value of knowing’ to be captured in the future assessments of genetic testing technologies. MSAC acknowledged that there are also other costs to families of having a child with a genetic condition, such as the expense of early listing on the National Disability Insurance Scheme, and childcare and education expenses, which affect out-of-pocket costs and potenti</w:t>
      </w:r>
      <w:r w:rsidR="00852827">
        <w:t>ally wider health system costs.</w:t>
      </w:r>
    </w:p>
    <w:p w14:paraId="60C94A11" w14:textId="769F2883" w:rsidR="00852CD0" w:rsidRDefault="00852CD0" w:rsidP="00D14733">
      <w:pPr>
        <w:spacing w:before="240"/>
      </w:pPr>
      <w:r>
        <w:t>Overall, MSA</w:t>
      </w:r>
      <w:r w:rsidR="00FE7B20">
        <w:t>C emphasised the importance of P</w:t>
      </w:r>
      <w:r>
        <w:t xml:space="preserve">opulation 1 (proband – for diagnosis and the </w:t>
      </w:r>
      <w:r w:rsidR="000A768F">
        <w:t>‘</w:t>
      </w:r>
      <w:r>
        <w:t>value of knowing</w:t>
      </w:r>
      <w:r w:rsidR="000A768F">
        <w:t>’, and likely reducing the ‘diagnostic odyssey’</w:t>
      </w:r>
      <w:r w:rsidR="00FE7B20">
        <w:t>), then P</w:t>
      </w:r>
      <w:r>
        <w:t>opulation 3 (family members – for informing family planning</w:t>
      </w:r>
      <w:r w:rsidR="00084C54">
        <w:t>, but may need to limit this to first-degree relatives</w:t>
      </w:r>
      <w:r w:rsidR="00FE7B20">
        <w:t>), over P</w:t>
      </w:r>
      <w:r>
        <w:t>opulation 2 (reinterrogation of proband data).</w:t>
      </w:r>
    </w:p>
    <w:p w14:paraId="252B555B" w14:textId="481AA37D" w:rsidR="00084C54" w:rsidRDefault="00084C54" w:rsidP="00084C54">
      <w:pPr>
        <w:pStyle w:val="Default"/>
        <w:spacing w:before="240"/>
      </w:pPr>
      <w:r w:rsidRPr="00335A16">
        <w:t>MSAC considered that</w:t>
      </w:r>
      <w:r>
        <w:t xml:space="preserve">, to ensure momentum is maintained with </w:t>
      </w:r>
      <w:r w:rsidR="00CA2E39">
        <w:t xml:space="preserve">the evidence-based approach of </w:t>
      </w:r>
      <w:r>
        <w:t>this application,</w:t>
      </w:r>
      <w:r w:rsidRPr="00335A16">
        <w:t xml:space="preserve"> a meeting </w:t>
      </w:r>
      <w:r w:rsidR="00CA2E39">
        <w:t xml:space="preserve">should be held </w:t>
      </w:r>
      <w:r>
        <w:t xml:space="preserve">involving </w:t>
      </w:r>
      <w:r w:rsidR="00CA2E39">
        <w:t xml:space="preserve">stakeholders in addition to the applicant, including </w:t>
      </w:r>
      <w:r>
        <w:t xml:space="preserve">consumers, requesters </w:t>
      </w:r>
      <w:r w:rsidR="00CA2E39">
        <w:t xml:space="preserve">(such as the Royal Australian College of Physicians and neurologists) </w:t>
      </w:r>
      <w:r>
        <w:t xml:space="preserve">and </w:t>
      </w:r>
      <w:r w:rsidR="00CA2E39">
        <w:t xml:space="preserve">pathology </w:t>
      </w:r>
      <w:r>
        <w:t xml:space="preserve">providers </w:t>
      </w:r>
      <w:r w:rsidRPr="00335A16">
        <w:t xml:space="preserve">to inform </w:t>
      </w:r>
      <w:r>
        <w:t xml:space="preserve">and assist </w:t>
      </w:r>
      <w:r w:rsidR="00CA2E39">
        <w:t>MSAC’</w:t>
      </w:r>
      <w:r>
        <w:t>s reconsideration of an expected re-</w:t>
      </w:r>
      <w:r w:rsidRPr="00335A16">
        <w:t>application</w:t>
      </w:r>
      <w:r>
        <w:t xml:space="preserve">. The stakeholder meeting should further </w:t>
      </w:r>
      <w:r w:rsidRPr="00335A16">
        <w:t>discuss the</w:t>
      </w:r>
      <w:r>
        <w:t xml:space="preserve"> reasons for not supporting this initial application and examine the basis to provide a broader assessment of the clinical utility value of the requested testing beyond an improvement in health</w:t>
      </w:r>
      <w:r w:rsidR="000A768F">
        <w:t xml:space="preserve"> outcomes, to also include the ‘</w:t>
      </w:r>
      <w:r>
        <w:t>value of knowing</w:t>
      </w:r>
      <w:r w:rsidR="000A768F">
        <w:t>’</w:t>
      </w:r>
      <w:r>
        <w:t xml:space="preserve">, reducing resources provided and time </w:t>
      </w:r>
      <w:r w:rsidR="000A768F">
        <w:t>taken in the ‘</w:t>
      </w:r>
      <w:r>
        <w:t>diagnostic odyssey</w:t>
      </w:r>
      <w:r w:rsidR="000A768F">
        <w:t>’</w:t>
      </w:r>
      <w:r>
        <w:t>, and the value of avoiding future children with monogenic childhood syndromes through improved family planning options.</w:t>
      </w:r>
    </w:p>
    <w:p w14:paraId="0A763C1C" w14:textId="77777777" w:rsidR="00BC1364" w:rsidRPr="00F715D1" w:rsidRDefault="00BC1364" w:rsidP="00084C54">
      <w:pPr>
        <w:pStyle w:val="Heading1"/>
      </w:pPr>
      <w:r w:rsidRPr="00F715D1">
        <w:t>Background</w:t>
      </w:r>
    </w:p>
    <w:p w14:paraId="74ECAC8D" w14:textId="77777777" w:rsidR="001C2E4E" w:rsidRPr="008423CB" w:rsidRDefault="00086CD0" w:rsidP="001C2E4E">
      <w:pPr>
        <w:tabs>
          <w:tab w:val="left" w:pos="720"/>
          <w:tab w:val="left" w:pos="1140"/>
        </w:tabs>
      </w:pPr>
      <w:r>
        <w:t xml:space="preserve">Application 1476 was consider by MSAC at its July 2018 meeting. </w:t>
      </w:r>
      <w:r w:rsidRPr="00CA5587">
        <w:t>MSAC did not support</w:t>
      </w:r>
      <w:r>
        <w:t xml:space="preserve"> MBS</w:t>
      </w:r>
      <w:r w:rsidRPr="00CA5587">
        <w:t xml:space="preserve"> funding of</w:t>
      </w:r>
      <w:r>
        <w:t xml:space="preserve"> WEA-based genetic t</w:t>
      </w:r>
      <w:r w:rsidRPr="00840A98">
        <w:t>esting for childhood syndromes</w:t>
      </w:r>
      <w:r>
        <w:rPr>
          <w:color w:val="000000"/>
        </w:rPr>
        <w:t xml:space="preserve"> in affected individuals or of associated reinterrogation analysis or of cascade testing and considered that a </w:t>
      </w:r>
      <w:r w:rsidRPr="00335A16">
        <w:t xml:space="preserve">stakeholder meeting would assist to inform </w:t>
      </w:r>
      <w:r>
        <w:t xml:space="preserve">its reconsideration of </w:t>
      </w:r>
      <w:r w:rsidRPr="00335A16">
        <w:t>this application</w:t>
      </w:r>
      <w:r w:rsidRPr="00295670">
        <w:t>.</w:t>
      </w:r>
    </w:p>
    <w:p w14:paraId="36A487C6" w14:textId="77777777" w:rsidR="00BC1364" w:rsidRPr="00F715D1" w:rsidRDefault="00BC1364" w:rsidP="00F715D1">
      <w:pPr>
        <w:pStyle w:val="Heading1"/>
      </w:pPr>
      <w:r w:rsidRPr="00F715D1">
        <w:t>Prerequisites to implementation of any funding advice</w:t>
      </w:r>
    </w:p>
    <w:p w14:paraId="60F975CB" w14:textId="77777777" w:rsidR="001C2E4E" w:rsidRDefault="00CE0DF8" w:rsidP="001C2E4E">
      <w:pPr>
        <w:tabs>
          <w:tab w:val="left" w:pos="720"/>
        </w:tabs>
        <w:spacing w:before="120"/>
        <w:rPr>
          <w:szCs w:val="24"/>
        </w:rPr>
      </w:pPr>
      <w:r>
        <w:rPr>
          <w:szCs w:val="24"/>
        </w:rPr>
        <w:t>G</w:t>
      </w:r>
      <w:r w:rsidR="001C2E4E">
        <w:rPr>
          <w:szCs w:val="24"/>
        </w:rPr>
        <w:t>enetic t</w:t>
      </w:r>
      <w:r w:rsidR="001C2E4E" w:rsidRPr="00ED4651">
        <w:rPr>
          <w:szCs w:val="24"/>
        </w:rPr>
        <w:t xml:space="preserve">esting must be performed in laboratories that have received </w:t>
      </w:r>
      <w:r w:rsidR="00730054">
        <w:rPr>
          <w:szCs w:val="24"/>
        </w:rPr>
        <w:t xml:space="preserve">relevant </w:t>
      </w:r>
      <w:r w:rsidR="001C2E4E" w:rsidRPr="00ED4651">
        <w:rPr>
          <w:szCs w:val="24"/>
        </w:rPr>
        <w:t>National Association of Testing Authorities (NATA) accreditation.</w:t>
      </w:r>
    </w:p>
    <w:p w14:paraId="5D28D5CB" w14:textId="77777777" w:rsidR="00BC1364" w:rsidRPr="00F715D1" w:rsidRDefault="00BC1364" w:rsidP="00F715D1">
      <w:pPr>
        <w:pStyle w:val="Heading1"/>
      </w:pPr>
      <w:r w:rsidRPr="00F715D1">
        <w:t>Proposal for public funding</w:t>
      </w:r>
    </w:p>
    <w:p w14:paraId="029EBFEA" w14:textId="77777777" w:rsidR="001C2E4E" w:rsidRPr="00ED4651" w:rsidRDefault="001C2E4E" w:rsidP="001C2E4E">
      <w:pPr>
        <w:pStyle w:val="Body"/>
        <w:rPr>
          <w:rFonts w:ascii="Times New Roman" w:hAnsi="Times New Roman" w:cs="Times New Roman"/>
        </w:rPr>
      </w:pPr>
      <w:r w:rsidRPr="00ED4651">
        <w:rPr>
          <w:rFonts w:ascii="Times New Roman" w:hAnsi="Times New Roman" w:cs="Times New Roman"/>
        </w:rPr>
        <w:t>The proposed item descriptor(s) for public funding is summarised in Table 1.</w:t>
      </w:r>
    </w:p>
    <w:p w14:paraId="1F352E74" w14:textId="77777777" w:rsidR="001C2E4E" w:rsidRPr="001964D2" w:rsidRDefault="001C2E4E" w:rsidP="00CC05D2">
      <w:pPr>
        <w:keepNext/>
        <w:keepLines/>
        <w:rPr>
          <w:rFonts w:ascii="Arial Narrow" w:hAnsi="Arial Narrow"/>
          <w:b/>
          <w:sz w:val="20"/>
        </w:rPr>
      </w:pPr>
      <w:bookmarkStart w:id="1" w:name="_Ref512521412"/>
      <w:bookmarkStart w:id="2" w:name="_Toc513290989"/>
      <w:r w:rsidRPr="001964D2">
        <w:rPr>
          <w:rFonts w:ascii="Arial Narrow" w:hAnsi="Arial Narrow"/>
          <w:b/>
          <w:sz w:val="20"/>
        </w:rPr>
        <w:lastRenderedPageBreak/>
        <w:t xml:space="preserve">Table </w:t>
      </w:r>
      <w:bookmarkEnd w:id="1"/>
      <w:r w:rsidRPr="001964D2">
        <w:rPr>
          <w:rFonts w:ascii="Arial Narrow" w:hAnsi="Arial Narrow"/>
          <w:b/>
          <w:sz w:val="20"/>
        </w:rPr>
        <w:t>1</w:t>
      </w:r>
      <w:r w:rsidRPr="001964D2">
        <w:rPr>
          <w:rFonts w:ascii="Arial Narrow" w:hAnsi="Arial Narrow"/>
          <w:b/>
          <w:sz w:val="20"/>
        </w:rPr>
        <w:tab/>
        <w:t xml:space="preserve">Proposed </w:t>
      </w:r>
      <w:bookmarkStart w:id="3" w:name="_Hlk512941685"/>
      <w:r w:rsidRPr="001964D2">
        <w:rPr>
          <w:rFonts w:ascii="Arial Narrow" w:hAnsi="Arial Narrow"/>
          <w:b/>
          <w:sz w:val="20"/>
        </w:rPr>
        <w:t xml:space="preserve">Medicare Benefit Scheme </w:t>
      </w:r>
      <w:bookmarkEnd w:id="3"/>
      <w:r w:rsidRPr="001964D2">
        <w:rPr>
          <w:rFonts w:ascii="Arial Narrow" w:hAnsi="Arial Narrow"/>
          <w:b/>
          <w:sz w:val="20"/>
        </w:rPr>
        <w:t>(MBS) item descriptors</w:t>
      </w:r>
      <w:bookmarkEnd w:id="2"/>
    </w:p>
    <w:tbl>
      <w:tblPr>
        <w:tblStyle w:val="TableGrid"/>
        <w:tblW w:w="0" w:type="auto"/>
        <w:tblLook w:val="04A0" w:firstRow="1" w:lastRow="0" w:firstColumn="1" w:lastColumn="0" w:noHBand="0" w:noVBand="1"/>
        <w:tblDescription w:val="Proposed MBS item descriptors"/>
      </w:tblPr>
      <w:tblGrid>
        <w:gridCol w:w="9016"/>
      </w:tblGrid>
      <w:tr w:rsidR="001C2E4E" w:rsidRPr="00F96A7F" w14:paraId="05CFA812" w14:textId="77777777" w:rsidTr="005E6563">
        <w:trPr>
          <w:tblHeader/>
        </w:trPr>
        <w:tc>
          <w:tcPr>
            <w:tcW w:w="9016" w:type="dxa"/>
          </w:tcPr>
          <w:p w14:paraId="5643E5B1" w14:textId="77777777" w:rsidR="001C2E4E" w:rsidRPr="00F96A7F" w:rsidRDefault="001C2E4E" w:rsidP="00CC05D2">
            <w:pPr>
              <w:pStyle w:val="Tableheading"/>
              <w:keepLines/>
              <w:rPr>
                <w:lang w:val="en-GB"/>
              </w:rPr>
            </w:pPr>
            <w:r w:rsidRPr="00F96A7F">
              <w:t>Genetics – Pathology Services Table</w:t>
            </w:r>
          </w:p>
        </w:tc>
      </w:tr>
      <w:tr w:rsidR="001C2E4E" w:rsidRPr="00F96A7F" w14:paraId="4F2DDAC9" w14:textId="77777777" w:rsidTr="00CC05D2">
        <w:tc>
          <w:tcPr>
            <w:tcW w:w="9016" w:type="dxa"/>
          </w:tcPr>
          <w:p w14:paraId="0A6F7C2E" w14:textId="77777777" w:rsidR="001C2E4E" w:rsidRPr="009A3D5C" w:rsidRDefault="001C2E4E" w:rsidP="00CC05D2">
            <w:pPr>
              <w:pStyle w:val="Tabletext"/>
              <w:keepNext/>
              <w:keepLines/>
              <w:spacing w:after="240"/>
              <w:rPr>
                <w:b/>
                <w:lang w:val="en-GB"/>
              </w:rPr>
            </w:pPr>
            <w:r w:rsidRPr="00F96A7F">
              <w:t>MBS item number: AAAAA</w:t>
            </w:r>
          </w:p>
          <w:p w14:paraId="71FBA8AE" w14:textId="77777777" w:rsidR="001C2E4E" w:rsidRPr="00F96A7F" w:rsidRDefault="001C2E4E" w:rsidP="00CC05D2">
            <w:pPr>
              <w:pStyle w:val="Tabletext"/>
              <w:keepNext/>
              <w:keepLines/>
            </w:pPr>
            <w:r w:rsidRPr="00F96A7F">
              <w:t>Characterisation of germline variants via whole exome analysis, from a phenotypically driven gene list where analysis is limited to variants in genes currently known to cause monogenic disorders, requested by a clinical geneticist following multidisciplinary review and non-informative microarray testing for copy number alteration, in a patient (&lt;18 years old) with a strong suspicion of a monogenic syndrome based on the following criteria:</w:t>
            </w:r>
          </w:p>
          <w:p w14:paraId="5E830F59" w14:textId="77777777" w:rsidR="001C2E4E" w:rsidRPr="00F96A7F" w:rsidRDefault="001C2E4E" w:rsidP="00CC05D2">
            <w:pPr>
              <w:pStyle w:val="Tabletext"/>
              <w:keepNext/>
              <w:keepLines/>
            </w:pPr>
            <w:r w:rsidRPr="00F96A7F">
              <w:t>Onset of clinical features prenatally, in infancy or childhood, and a minimum of two of the following features:</w:t>
            </w:r>
          </w:p>
          <w:p w14:paraId="64F0B826" w14:textId="77777777" w:rsidR="001C2E4E" w:rsidRPr="00C32AE9" w:rsidRDefault="001C2E4E" w:rsidP="00CC05D2">
            <w:pPr>
              <w:pStyle w:val="Tabletextindent"/>
              <w:keepLines/>
              <w:rPr>
                <w:rFonts w:ascii="Arial Narrow" w:hAnsi="Arial Narrow"/>
                <w:b/>
                <w:sz w:val="20"/>
                <w:szCs w:val="20"/>
                <w:lang w:val="en-GB"/>
              </w:rPr>
            </w:pPr>
            <w:r w:rsidRPr="00C32AE9">
              <w:rPr>
                <w:rFonts w:ascii="Arial Narrow" w:hAnsi="Arial Narrow"/>
                <w:sz w:val="20"/>
                <w:szCs w:val="20"/>
              </w:rPr>
              <w:t>Dysmorphic facial appearance, and/or</w:t>
            </w:r>
          </w:p>
          <w:p w14:paraId="01D57C73" w14:textId="77777777" w:rsidR="001C2E4E" w:rsidRPr="00C32AE9" w:rsidRDefault="001C2E4E" w:rsidP="00CC05D2">
            <w:pPr>
              <w:pStyle w:val="Tabletextindent"/>
              <w:keepLines/>
              <w:rPr>
                <w:rFonts w:ascii="Arial Narrow" w:hAnsi="Arial Narrow"/>
                <w:b/>
                <w:sz w:val="20"/>
                <w:szCs w:val="20"/>
                <w:lang w:val="en-GB"/>
              </w:rPr>
            </w:pPr>
            <w:r w:rsidRPr="00C32AE9">
              <w:rPr>
                <w:rFonts w:ascii="Arial Narrow" w:hAnsi="Arial Narrow"/>
                <w:sz w:val="20"/>
                <w:szCs w:val="20"/>
              </w:rPr>
              <w:t>Single or multiple congenital anomalies, and/or</w:t>
            </w:r>
          </w:p>
          <w:p w14:paraId="7613F7CE" w14:textId="77777777" w:rsidR="001C2E4E" w:rsidRPr="009A3D5C" w:rsidRDefault="001C2E4E" w:rsidP="00CC05D2">
            <w:pPr>
              <w:pStyle w:val="Tabletextindent"/>
              <w:keepLines/>
              <w:spacing w:after="240"/>
              <w:rPr>
                <w:rFonts w:ascii="Arial Narrow" w:hAnsi="Arial Narrow"/>
                <w:b/>
                <w:sz w:val="20"/>
                <w:szCs w:val="20"/>
                <w:lang w:val="en-GB"/>
              </w:rPr>
            </w:pPr>
            <w:r w:rsidRPr="00C32AE9">
              <w:rPr>
                <w:rFonts w:ascii="Arial Narrow" w:hAnsi="Arial Narrow"/>
                <w:sz w:val="20"/>
                <w:szCs w:val="20"/>
              </w:rPr>
              <w:t>Intellectual disability.</w:t>
            </w:r>
          </w:p>
          <w:p w14:paraId="7716843C" w14:textId="77777777" w:rsidR="001C2E4E" w:rsidRPr="00F96A7F" w:rsidRDefault="001C2E4E" w:rsidP="00CC05D2">
            <w:pPr>
              <w:pStyle w:val="Tabletext"/>
              <w:keepNext/>
              <w:keepLines/>
            </w:pPr>
            <w:r w:rsidRPr="00F96A7F">
              <w:t>MBS Fee: $2,400.00</w:t>
            </w:r>
          </w:p>
          <w:p w14:paraId="35DBE004" w14:textId="77777777" w:rsidR="001C2E4E" w:rsidRPr="00F96A7F" w:rsidRDefault="001C2E4E" w:rsidP="00CC05D2">
            <w:pPr>
              <w:pStyle w:val="Tabletext"/>
              <w:keepNext/>
              <w:keepLines/>
            </w:pPr>
            <w:r w:rsidRPr="00F96A7F">
              <w:t>Benefit: 75% = $1,800.00 85% = $2,040.00</w:t>
            </w:r>
          </w:p>
        </w:tc>
      </w:tr>
      <w:tr w:rsidR="001C2E4E" w:rsidRPr="00F96A7F" w14:paraId="05442ED5" w14:textId="77777777" w:rsidTr="00CC05D2">
        <w:tc>
          <w:tcPr>
            <w:tcW w:w="9016" w:type="dxa"/>
          </w:tcPr>
          <w:p w14:paraId="2D2F28FD" w14:textId="77777777" w:rsidR="001C2E4E" w:rsidRPr="00F96A7F" w:rsidRDefault="001C2E4E" w:rsidP="00664DB5">
            <w:pPr>
              <w:pStyle w:val="Tableheading"/>
            </w:pPr>
            <w:r w:rsidRPr="00F96A7F">
              <w:t>Genetics – Pathology Services Table</w:t>
            </w:r>
          </w:p>
        </w:tc>
      </w:tr>
      <w:tr w:rsidR="001C2E4E" w:rsidRPr="00F96A7F" w14:paraId="778633DE" w14:textId="77777777" w:rsidTr="00CC05D2">
        <w:tc>
          <w:tcPr>
            <w:tcW w:w="9016" w:type="dxa"/>
          </w:tcPr>
          <w:p w14:paraId="23C54858" w14:textId="77777777" w:rsidR="001C2E4E" w:rsidRPr="00F96A7F" w:rsidRDefault="009A3D5C" w:rsidP="009A3D5C">
            <w:pPr>
              <w:pStyle w:val="Tabletext"/>
              <w:spacing w:after="240"/>
            </w:pPr>
            <w:r>
              <w:t>MBS item number: BBBB1</w:t>
            </w:r>
          </w:p>
          <w:p w14:paraId="62751CD3" w14:textId="77777777" w:rsidR="001C2E4E" w:rsidRPr="009A3D5C" w:rsidRDefault="001C2E4E" w:rsidP="009A3D5C">
            <w:pPr>
              <w:pStyle w:val="Tabletext"/>
              <w:spacing w:after="240"/>
              <w:rPr>
                <w:b/>
                <w:lang w:val="en-GB"/>
              </w:rPr>
            </w:pPr>
            <w:r w:rsidRPr="00F96A7F">
              <w:t>Re-analysis of whole exome data obtained under item AAAAA, at an interval of not less than 18 months, for characterisation of new germline gene variants related to the clinical phenotype, in a patient (&lt;18 years old) with a strong suspicion of a monogenic syndrome, where re-analysis identifies new variants requiring curation.</w:t>
            </w:r>
          </w:p>
          <w:p w14:paraId="41DFC815" w14:textId="77777777" w:rsidR="001C2E4E" w:rsidRPr="00F96A7F" w:rsidRDefault="001C2E4E" w:rsidP="00664DB5">
            <w:pPr>
              <w:pStyle w:val="Tabletext"/>
            </w:pPr>
            <w:r w:rsidRPr="00F96A7F">
              <w:t>MBS Fee: $650.00</w:t>
            </w:r>
          </w:p>
          <w:p w14:paraId="410BAA04" w14:textId="70F95963" w:rsidR="00D32790" w:rsidRPr="00F96A7F" w:rsidRDefault="001C2E4E" w:rsidP="00664DB5">
            <w:pPr>
              <w:pStyle w:val="Tabletext"/>
            </w:pPr>
            <w:r w:rsidRPr="00F96A7F">
              <w:t>Benefit: 75% = $487.50 85% = $552.50</w:t>
            </w:r>
          </w:p>
        </w:tc>
      </w:tr>
      <w:tr w:rsidR="001C2E4E" w:rsidRPr="00F96A7F" w14:paraId="69B4224F" w14:textId="77777777" w:rsidTr="00CC05D2">
        <w:tc>
          <w:tcPr>
            <w:tcW w:w="9016" w:type="dxa"/>
          </w:tcPr>
          <w:p w14:paraId="7280B25F" w14:textId="77777777" w:rsidR="001C2E4E" w:rsidRPr="00F96A7F" w:rsidRDefault="009A3D5C" w:rsidP="009A3D5C">
            <w:pPr>
              <w:pStyle w:val="Tabletext"/>
              <w:spacing w:after="240"/>
            </w:pPr>
            <w:r>
              <w:t>MBS item number: BBBB2</w:t>
            </w:r>
          </w:p>
          <w:p w14:paraId="4E47E7EA" w14:textId="77777777" w:rsidR="001C2E4E" w:rsidRPr="009A3D5C" w:rsidRDefault="001C2E4E" w:rsidP="009A3D5C">
            <w:pPr>
              <w:pStyle w:val="Tabletext"/>
              <w:spacing w:after="240"/>
              <w:rPr>
                <w:b/>
                <w:lang w:val="en-GB"/>
              </w:rPr>
            </w:pPr>
            <w:r w:rsidRPr="00F96A7F">
              <w:t>Re-analysis of whole exome data obtained under item AAAAA, at an interval of not less than 18 months, for characterisation of new germline gene variants related to the clinical phenotype, in a patient (&lt;18 years old) with a strong suspicion of a monogenic syndrome, where the re-analysis is negative.</w:t>
            </w:r>
          </w:p>
          <w:p w14:paraId="3798CA29" w14:textId="77777777" w:rsidR="001C2E4E" w:rsidRPr="00F96A7F" w:rsidRDefault="001C2E4E" w:rsidP="00664DB5">
            <w:pPr>
              <w:pStyle w:val="Tabletext"/>
            </w:pPr>
            <w:r w:rsidRPr="00F96A7F">
              <w:t>MBS Fee: $350.00</w:t>
            </w:r>
          </w:p>
          <w:p w14:paraId="7B904BAD" w14:textId="77777777" w:rsidR="001C2E4E" w:rsidRPr="00F96A7F" w:rsidRDefault="001C2E4E" w:rsidP="00664DB5">
            <w:pPr>
              <w:pStyle w:val="Tabletext"/>
            </w:pPr>
            <w:r w:rsidRPr="00F96A7F">
              <w:t>Benefit: 75% = $262.50 85% = $297.50</w:t>
            </w:r>
          </w:p>
        </w:tc>
      </w:tr>
      <w:tr w:rsidR="001C2E4E" w:rsidRPr="00F96A7F" w14:paraId="77C4D62A" w14:textId="77777777" w:rsidTr="00CC05D2">
        <w:tc>
          <w:tcPr>
            <w:tcW w:w="9016" w:type="dxa"/>
          </w:tcPr>
          <w:p w14:paraId="3E951148" w14:textId="77777777" w:rsidR="001C2E4E" w:rsidRPr="00F96A7F" w:rsidRDefault="001C2E4E" w:rsidP="00664DB5">
            <w:pPr>
              <w:pStyle w:val="Tableheading"/>
            </w:pPr>
            <w:r w:rsidRPr="00F96A7F">
              <w:t>Genetics – Pathology Services Table</w:t>
            </w:r>
          </w:p>
        </w:tc>
      </w:tr>
      <w:tr w:rsidR="001C2E4E" w:rsidRPr="00F96A7F" w14:paraId="1B3B0DD4" w14:textId="77777777" w:rsidTr="00CC05D2">
        <w:tc>
          <w:tcPr>
            <w:tcW w:w="9016" w:type="dxa"/>
          </w:tcPr>
          <w:p w14:paraId="5558EF62" w14:textId="77777777" w:rsidR="001C2E4E" w:rsidRPr="009A3D5C" w:rsidRDefault="001C2E4E" w:rsidP="009A3D5C">
            <w:pPr>
              <w:pStyle w:val="Tabletext"/>
              <w:spacing w:after="240"/>
              <w:rPr>
                <w:b/>
                <w:lang w:val="en-GB"/>
              </w:rPr>
            </w:pPr>
            <w:r w:rsidRPr="00F96A7F">
              <w:t>MBS item number: CCCCC</w:t>
            </w:r>
          </w:p>
          <w:p w14:paraId="4FE4729E" w14:textId="77777777" w:rsidR="001C2E4E" w:rsidRPr="00F96A7F" w:rsidRDefault="001C2E4E" w:rsidP="009A3D5C">
            <w:pPr>
              <w:pStyle w:val="Tabletext"/>
              <w:spacing w:after="240"/>
              <w:rPr>
                <w:bCs/>
              </w:rPr>
            </w:pPr>
            <w:r w:rsidRPr="00F96A7F">
              <w:rPr>
                <w:bCs/>
              </w:rPr>
              <w:t>Request by a specialist for the detection of a single gene variant, in a first</w:t>
            </w:r>
            <w:r>
              <w:rPr>
                <w:bCs/>
              </w:rPr>
              <w:t>-</w:t>
            </w:r>
            <w:r w:rsidRPr="00F96A7F">
              <w:rPr>
                <w:bCs/>
              </w:rPr>
              <w:t>degree relative of a patient with a known monogenic syndrome where previous genetic testing performed under item AAAAA or BBBB1 has id</w:t>
            </w:r>
            <w:r w:rsidR="009A3D5C">
              <w:rPr>
                <w:bCs/>
              </w:rPr>
              <w:t>entified the causative variant.</w:t>
            </w:r>
          </w:p>
          <w:p w14:paraId="0A0E0672" w14:textId="77777777" w:rsidR="001C2E4E" w:rsidRPr="00F96A7F" w:rsidRDefault="001C2E4E" w:rsidP="00664DB5">
            <w:pPr>
              <w:pStyle w:val="Tabletext"/>
            </w:pPr>
            <w:r w:rsidRPr="00F96A7F">
              <w:t>MBS Fee: $400.00</w:t>
            </w:r>
          </w:p>
          <w:p w14:paraId="5719FE3B" w14:textId="77777777" w:rsidR="001C2E4E" w:rsidRPr="00F96A7F" w:rsidRDefault="001C2E4E" w:rsidP="00664DB5">
            <w:pPr>
              <w:pStyle w:val="Tabletext"/>
              <w:rPr>
                <w:szCs w:val="22"/>
              </w:rPr>
            </w:pPr>
            <w:r w:rsidRPr="00F96A7F">
              <w:t>Benefit: 75% = $300.00 85% = $340.00</w:t>
            </w:r>
          </w:p>
        </w:tc>
      </w:tr>
    </w:tbl>
    <w:p w14:paraId="438E432D"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43B3E1ED" w14:textId="77777777" w:rsidR="001C2E4E" w:rsidRPr="00DF454E" w:rsidRDefault="001C2E4E" w:rsidP="009A3D5C">
      <w:pPr>
        <w:spacing w:after="240"/>
        <w:rPr>
          <w:szCs w:val="24"/>
        </w:rPr>
      </w:pPr>
      <w:r w:rsidRPr="00DF454E">
        <w:rPr>
          <w:szCs w:val="24"/>
        </w:rPr>
        <w:t xml:space="preserve">Targeted consultation was undertaken, with three responses received from </w:t>
      </w:r>
      <w:r w:rsidR="00CE0DF8">
        <w:rPr>
          <w:szCs w:val="24"/>
        </w:rPr>
        <w:t>professional organisations</w:t>
      </w:r>
      <w:r w:rsidRPr="00DF454E">
        <w:rPr>
          <w:szCs w:val="24"/>
        </w:rPr>
        <w:t>.</w:t>
      </w:r>
    </w:p>
    <w:p w14:paraId="66EF0CFF" w14:textId="5813F314" w:rsidR="00730054" w:rsidRDefault="0097564C" w:rsidP="0097564C">
      <w:pPr>
        <w:rPr>
          <w:szCs w:val="24"/>
        </w:rPr>
      </w:pPr>
      <w:r w:rsidRPr="00DF454E">
        <w:rPr>
          <w:szCs w:val="24"/>
        </w:rPr>
        <w:t>Overall</w:t>
      </w:r>
      <w:r w:rsidR="00CE0DF8">
        <w:rPr>
          <w:szCs w:val="24"/>
        </w:rPr>
        <w:t>,</w:t>
      </w:r>
      <w:r w:rsidRPr="00DF454E">
        <w:rPr>
          <w:szCs w:val="24"/>
        </w:rPr>
        <w:t xml:space="preserve"> the responses were supportive of </w:t>
      </w:r>
      <w:r w:rsidR="00730054">
        <w:rPr>
          <w:szCs w:val="24"/>
        </w:rPr>
        <w:t>g</w:t>
      </w:r>
      <w:r w:rsidRPr="00DF454E">
        <w:rPr>
          <w:szCs w:val="24"/>
        </w:rPr>
        <w:t>enetic testing for childhood syndromes</w:t>
      </w:r>
      <w:r w:rsidR="00CE0DF8">
        <w:rPr>
          <w:szCs w:val="24"/>
        </w:rPr>
        <w:t>. H</w:t>
      </w:r>
      <w:r w:rsidRPr="00DF454E">
        <w:rPr>
          <w:szCs w:val="24"/>
        </w:rPr>
        <w:t>owever</w:t>
      </w:r>
      <w:r w:rsidR="00CE0DF8">
        <w:rPr>
          <w:szCs w:val="24"/>
        </w:rPr>
        <w:t>, one respondent</w:t>
      </w:r>
      <w:r w:rsidRPr="00DF454E">
        <w:rPr>
          <w:szCs w:val="24"/>
        </w:rPr>
        <w:t xml:space="preserve"> </w:t>
      </w:r>
      <w:r w:rsidR="00DF454E">
        <w:rPr>
          <w:szCs w:val="24"/>
        </w:rPr>
        <w:t>did not agree</w:t>
      </w:r>
      <w:r w:rsidRPr="00DF454E">
        <w:rPr>
          <w:szCs w:val="24"/>
        </w:rPr>
        <w:t xml:space="preserve"> with the proposed popul</w:t>
      </w:r>
      <w:r w:rsidR="00CE0DF8">
        <w:rPr>
          <w:szCs w:val="24"/>
        </w:rPr>
        <w:t xml:space="preserve">ation and MBS item descriptor. They also </w:t>
      </w:r>
      <w:r w:rsidRPr="00DF454E">
        <w:rPr>
          <w:szCs w:val="24"/>
        </w:rPr>
        <w:t>indicated that</w:t>
      </w:r>
      <w:r w:rsidR="00DF454E" w:rsidRPr="00DF454E">
        <w:rPr>
          <w:szCs w:val="24"/>
        </w:rPr>
        <w:t>,</w:t>
      </w:r>
      <w:r w:rsidRPr="00DF454E">
        <w:rPr>
          <w:szCs w:val="24"/>
        </w:rPr>
        <w:t xml:space="preserve"> </w:t>
      </w:r>
      <w:r w:rsidR="00DF454E">
        <w:rPr>
          <w:szCs w:val="24"/>
        </w:rPr>
        <w:t>t</w:t>
      </w:r>
      <w:r w:rsidRPr="00DF454E">
        <w:rPr>
          <w:szCs w:val="24"/>
        </w:rPr>
        <w:t>argeted gene panels may be more appropriate and cost effective whilst delivering better coverage of included genes, particularly if clinical assessment suggests a phenot</w:t>
      </w:r>
      <w:r w:rsidR="000A768F">
        <w:rPr>
          <w:szCs w:val="24"/>
        </w:rPr>
        <w:t>ype (e.g.”</w:t>
      </w:r>
      <w:r w:rsidR="00730054">
        <w:rPr>
          <w:szCs w:val="24"/>
        </w:rPr>
        <w:t>ciliopathy panel”).</w:t>
      </w:r>
    </w:p>
    <w:p w14:paraId="7BD292E9" w14:textId="77777777" w:rsidR="00BC1364" w:rsidRPr="00F715D1" w:rsidRDefault="00BC1364" w:rsidP="00F715D1">
      <w:pPr>
        <w:pStyle w:val="Heading1"/>
      </w:pPr>
      <w:r w:rsidRPr="00F715D1">
        <w:t>Proposed intervention’s place in clinical management</w:t>
      </w:r>
    </w:p>
    <w:p w14:paraId="585AF3A6" w14:textId="77777777" w:rsidR="00CE0DF8" w:rsidRDefault="00CE0DF8" w:rsidP="00CE0DF8">
      <w:pPr>
        <w:pStyle w:val="Body"/>
        <w:spacing w:after="240" w:line="240" w:lineRule="auto"/>
        <w:rPr>
          <w:rFonts w:ascii="Times New Roman" w:hAnsi="Times New Roman" w:cs="Times New Roman"/>
        </w:rPr>
      </w:pPr>
      <w:r w:rsidRPr="000D5773">
        <w:rPr>
          <w:rFonts w:ascii="Times New Roman" w:hAnsi="Times New Roman" w:cs="Times New Roman"/>
        </w:rPr>
        <w:t>The proposed intervention is genetic testing of all genes known to cause Mendelian diseases in humans.</w:t>
      </w:r>
      <w:r w:rsidRPr="000C3E32">
        <w:t xml:space="preserve"> </w:t>
      </w:r>
      <w:r w:rsidRPr="000C3E32">
        <w:rPr>
          <w:rFonts w:ascii="Times New Roman" w:hAnsi="Times New Roman" w:cs="Times New Roman"/>
        </w:rPr>
        <w:t xml:space="preserve">In practice, for each individual patient, a clinician with appropriate expertise may propose a selection of genes for prioritised analysis based on the patient’s phenotype. If a </w:t>
      </w:r>
      <w:r w:rsidR="006011DB">
        <w:rPr>
          <w:rFonts w:ascii="Times New Roman" w:hAnsi="Times New Roman" w:cs="Times New Roman"/>
        </w:rPr>
        <w:lastRenderedPageBreak/>
        <w:t xml:space="preserve">molecular </w:t>
      </w:r>
      <w:r w:rsidRPr="000C3E32">
        <w:rPr>
          <w:rFonts w:ascii="Times New Roman" w:hAnsi="Times New Roman" w:cs="Times New Roman"/>
        </w:rPr>
        <w:t xml:space="preserve">diagnosis cannot be made from this initial list, investigation expands to all other genes known to cause genetic conditions (often referred to as the ‘mendeliome’), with a </w:t>
      </w:r>
      <w:r w:rsidR="006011DB">
        <w:rPr>
          <w:rFonts w:ascii="Times New Roman" w:hAnsi="Times New Roman" w:cs="Times New Roman"/>
        </w:rPr>
        <w:t xml:space="preserve">molecular </w:t>
      </w:r>
      <w:r w:rsidRPr="000C3E32">
        <w:rPr>
          <w:rFonts w:ascii="Times New Roman" w:hAnsi="Times New Roman" w:cs="Times New Roman"/>
        </w:rPr>
        <w:t>diagnosis only made where there is sufficient evidence that a variant/s is/are linked to the individual’s phenotype.</w:t>
      </w:r>
    </w:p>
    <w:p w14:paraId="3441FCA6" w14:textId="77777777" w:rsidR="00CE0DF8" w:rsidRPr="000C3E32" w:rsidRDefault="00CE0DF8" w:rsidP="009A3D5C">
      <w:pPr>
        <w:tabs>
          <w:tab w:val="left" w:pos="720"/>
          <w:tab w:val="left" w:pos="1140"/>
        </w:tabs>
        <w:spacing w:after="240"/>
        <w:rPr>
          <w:szCs w:val="24"/>
        </w:rPr>
      </w:pPr>
      <w:r w:rsidRPr="000C3E32">
        <w:rPr>
          <w:szCs w:val="24"/>
        </w:rPr>
        <w:t xml:space="preserve">Monogenic </w:t>
      </w:r>
      <w:r w:rsidR="00451033">
        <w:rPr>
          <w:szCs w:val="24"/>
        </w:rPr>
        <w:t xml:space="preserve">childhood </w:t>
      </w:r>
      <w:r w:rsidRPr="000C3E32">
        <w:rPr>
          <w:szCs w:val="24"/>
        </w:rPr>
        <w:t>syndromes are a clinically and genetically heterogeneous group of disorders, typically with onset during infancy or early childhood. Individual syndromes usually have a constellation of features including, but not limited to, facial dysmorphism, congenital malformations, single or multi-organ functional anomalies, and variable degrees of intellectual disability.</w:t>
      </w:r>
    </w:p>
    <w:p w14:paraId="628641DF" w14:textId="77777777" w:rsidR="00CE0DF8" w:rsidRDefault="00CE0DF8" w:rsidP="00CE0DF8">
      <w:pPr>
        <w:tabs>
          <w:tab w:val="left" w:pos="720"/>
          <w:tab w:val="left" w:pos="1140"/>
        </w:tabs>
        <w:rPr>
          <w:szCs w:val="24"/>
        </w:rPr>
      </w:pPr>
      <w:r w:rsidRPr="000C3E32">
        <w:rPr>
          <w:szCs w:val="24"/>
        </w:rPr>
        <w:t>Each genetic syndrome will have specific clinical features, depending on which organ systems are affected by the abnormal genes. The most commonly observed phenotypes are categorised as neurodevelopmental, musculoskeletal, ophthalmologic, and cardiovascular.</w:t>
      </w:r>
    </w:p>
    <w:p w14:paraId="5399F27C" w14:textId="77777777" w:rsidR="000C5D80" w:rsidRPr="009A3D5C" w:rsidRDefault="000C5D80" w:rsidP="00BD5F6D">
      <w:pPr>
        <w:spacing w:before="240" w:after="240"/>
        <w:rPr>
          <w:szCs w:val="24"/>
        </w:rPr>
      </w:pPr>
      <w:r w:rsidRPr="00BF17D0">
        <w:rPr>
          <w:szCs w:val="24"/>
        </w:rPr>
        <w:t>With the introduction of diagnostic whole exome analysis</w:t>
      </w:r>
      <w:r w:rsidR="006011DB">
        <w:rPr>
          <w:szCs w:val="24"/>
        </w:rPr>
        <w:t>,</w:t>
      </w:r>
      <w:r w:rsidRPr="00BF17D0">
        <w:rPr>
          <w:szCs w:val="24"/>
        </w:rPr>
        <w:t xml:space="preserve"> a molecular diagnosis m</w:t>
      </w:r>
      <w:r w:rsidR="00451033">
        <w:rPr>
          <w:szCs w:val="24"/>
        </w:rPr>
        <w:t>ay be made for these patients.</w:t>
      </w:r>
    </w:p>
    <w:p w14:paraId="53F85D28" w14:textId="77777777" w:rsidR="00DB1234" w:rsidRDefault="00DB1234" w:rsidP="00DB1234">
      <w:r>
        <w:rPr>
          <w:noProof/>
        </w:rPr>
        <w:drawing>
          <wp:inline distT="0" distB="0" distL="0" distR="0" wp14:anchorId="2363E9DE" wp14:editId="487201CB">
            <wp:extent cx="5731490" cy="5876925"/>
            <wp:effectExtent l="0" t="0" r="3175" b="0"/>
            <wp:docPr id="1" name="Picture 1" descr="Flow chart of the clinical management pathways showing the traditional pathway and the pathway with WEA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40743" cy="5886413"/>
                    </a:xfrm>
                    <a:prstGeom prst="rect">
                      <a:avLst/>
                    </a:prstGeom>
                  </pic:spPr>
                </pic:pic>
              </a:graphicData>
            </a:graphic>
          </wp:inline>
        </w:drawing>
      </w:r>
    </w:p>
    <w:p w14:paraId="7A1AA6C3" w14:textId="77777777" w:rsidR="00BC1364" w:rsidRPr="00F715D1" w:rsidRDefault="00451033" w:rsidP="00F715D1">
      <w:pPr>
        <w:pStyle w:val="Heading1"/>
      </w:pPr>
      <w:r>
        <w:lastRenderedPageBreak/>
        <w:t>Comparator</w:t>
      </w:r>
    </w:p>
    <w:p w14:paraId="6B7C81DF" w14:textId="77777777" w:rsidR="000C5D80" w:rsidRDefault="000C5D80" w:rsidP="005C192F">
      <w:pPr>
        <w:pStyle w:val="Body"/>
        <w:spacing w:line="240" w:lineRule="auto"/>
        <w:rPr>
          <w:rFonts w:ascii="Times New Roman" w:hAnsi="Times New Roman" w:cs="Times New Roman"/>
        </w:rPr>
      </w:pPr>
      <w:r>
        <w:rPr>
          <w:rFonts w:ascii="Times New Roman" w:hAnsi="Times New Roman" w:cs="Times New Roman"/>
        </w:rPr>
        <w:t>The genetic test targets three different patient populations. The comparators for each population are:</w:t>
      </w:r>
    </w:p>
    <w:p w14:paraId="228F2BBE" w14:textId="6C17E22F" w:rsidR="000C5D80" w:rsidRPr="005C192F" w:rsidRDefault="000C5D80" w:rsidP="005C192F">
      <w:pPr>
        <w:pStyle w:val="Tabletext"/>
        <w:numPr>
          <w:ilvl w:val="0"/>
          <w:numId w:val="33"/>
        </w:numPr>
        <w:ind w:left="567" w:hanging="283"/>
        <w:rPr>
          <w:rFonts w:ascii="Times New Roman" w:hAnsi="Times New Roman"/>
          <w:sz w:val="24"/>
        </w:rPr>
      </w:pPr>
      <w:r w:rsidRPr="005C192F">
        <w:rPr>
          <w:rFonts w:ascii="Times New Roman" w:hAnsi="Times New Roman"/>
          <w:sz w:val="24"/>
        </w:rPr>
        <w:t>Population 1 (≤ 2 years of age with suspected monogenic syndromic genetic disorders):</w:t>
      </w:r>
      <w:r w:rsidR="005C192F">
        <w:rPr>
          <w:rFonts w:ascii="Times New Roman" w:hAnsi="Times New Roman"/>
          <w:sz w:val="24"/>
        </w:rPr>
        <w:t xml:space="preserve"> </w:t>
      </w:r>
      <w:r w:rsidR="00730054" w:rsidRPr="00730054">
        <w:rPr>
          <w:rFonts w:ascii="Times New Roman" w:hAnsi="Times New Roman"/>
          <w:sz w:val="24"/>
        </w:rPr>
        <w:t>standard of care (</w:t>
      </w:r>
      <w:r w:rsidRPr="005C192F">
        <w:rPr>
          <w:rFonts w:ascii="Times New Roman" w:hAnsi="Times New Roman"/>
          <w:sz w:val="24"/>
        </w:rPr>
        <w:t>SoC</w:t>
      </w:r>
      <w:r w:rsidR="00730054">
        <w:rPr>
          <w:rFonts w:ascii="Times New Roman" w:hAnsi="Times New Roman"/>
          <w:sz w:val="24"/>
        </w:rPr>
        <w:t>)</w:t>
      </w:r>
      <w:r w:rsidRPr="005C192F">
        <w:rPr>
          <w:rFonts w:ascii="Times New Roman" w:hAnsi="Times New Roman"/>
          <w:sz w:val="24"/>
        </w:rPr>
        <w:t xml:space="preserve"> </w:t>
      </w:r>
      <w:r w:rsidR="000A768F">
        <w:rPr>
          <w:rFonts w:ascii="Times New Roman" w:hAnsi="Times New Roman"/>
          <w:sz w:val="24"/>
        </w:rPr>
        <w:t>‘</w:t>
      </w:r>
      <w:r w:rsidRPr="005C192F">
        <w:rPr>
          <w:rFonts w:ascii="Times New Roman" w:hAnsi="Times New Roman"/>
          <w:sz w:val="24"/>
        </w:rPr>
        <w:t>diagnostic odyssey</w:t>
      </w:r>
      <w:r w:rsidR="000A768F">
        <w:rPr>
          <w:rFonts w:ascii="Times New Roman" w:hAnsi="Times New Roman"/>
          <w:sz w:val="24"/>
        </w:rPr>
        <w:t>’</w:t>
      </w:r>
    </w:p>
    <w:p w14:paraId="698DE8DE" w14:textId="77777777" w:rsidR="000C5D80" w:rsidRPr="005C192F" w:rsidRDefault="000C5D80" w:rsidP="005C192F">
      <w:pPr>
        <w:pStyle w:val="Tabletext"/>
        <w:numPr>
          <w:ilvl w:val="0"/>
          <w:numId w:val="33"/>
        </w:numPr>
        <w:ind w:left="567" w:hanging="283"/>
        <w:rPr>
          <w:rFonts w:ascii="Times New Roman" w:hAnsi="Times New Roman"/>
          <w:sz w:val="24"/>
        </w:rPr>
      </w:pPr>
      <w:r w:rsidRPr="005C192F">
        <w:rPr>
          <w:rFonts w:ascii="Times New Roman" w:hAnsi="Times New Roman"/>
          <w:sz w:val="24"/>
        </w:rPr>
        <w:t>Population 2 (test</w:t>
      </w:r>
      <w:r w:rsidR="00082703">
        <w:rPr>
          <w:rFonts w:ascii="Times New Roman" w:hAnsi="Times New Roman"/>
          <w:sz w:val="24"/>
        </w:rPr>
        <w:t>-negative</w:t>
      </w:r>
      <w:r w:rsidRPr="005C192F">
        <w:rPr>
          <w:rFonts w:ascii="Times New Roman" w:hAnsi="Times New Roman"/>
          <w:sz w:val="24"/>
        </w:rPr>
        <w:t xml:space="preserve"> patients from Population 1):</w:t>
      </w:r>
      <w:r w:rsidR="005C192F">
        <w:rPr>
          <w:rFonts w:ascii="Times New Roman" w:hAnsi="Times New Roman"/>
          <w:sz w:val="24"/>
        </w:rPr>
        <w:t xml:space="preserve"> </w:t>
      </w:r>
      <w:r w:rsidR="00730054" w:rsidRPr="005C192F">
        <w:rPr>
          <w:rFonts w:ascii="Times New Roman" w:hAnsi="Times New Roman"/>
          <w:sz w:val="24"/>
        </w:rPr>
        <w:t>n</w:t>
      </w:r>
      <w:r w:rsidRPr="005C192F">
        <w:rPr>
          <w:rFonts w:ascii="Times New Roman" w:hAnsi="Times New Roman"/>
          <w:sz w:val="24"/>
        </w:rPr>
        <w:t>o re-analysis and standard care</w:t>
      </w:r>
    </w:p>
    <w:p w14:paraId="042B8C7B" w14:textId="77777777" w:rsidR="000C5D80" w:rsidRPr="005C192F" w:rsidRDefault="000C5D80" w:rsidP="005C192F">
      <w:pPr>
        <w:pStyle w:val="Tabletext"/>
        <w:numPr>
          <w:ilvl w:val="0"/>
          <w:numId w:val="33"/>
        </w:numPr>
        <w:ind w:left="567" w:hanging="283"/>
        <w:rPr>
          <w:rFonts w:ascii="Times New Roman" w:hAnsi="Times New Roman"/>
          <w:sz w:val="24"/>
        </w:rPr>
      </w:pPr>
      <w:r w:rsidRPr="005C192F">
        <w:rPr>
          <w:rFonts w:ascii="Times New Roman" w:hAnsi="Times New Roman"/>
          <w:sz w:val="24"/>
        </w:rPr>
        <w:t>Population 3 (first-degree relatives):</w:t>
      </w:r>
      <w:r w:rsidR="005C192F" w:rsidRPr="005C192F">
        <w:rPr>
          <w:rFonts w:ascii="Times New Roman" w:hAnsi="Times New Roman"/>
          <w:sz w:val="24"/>
        </w:rPr>
        <w:t xml:space="preserve"> </w:t>
      </w:r>
      <w:r w:rsidR="00730054" w:rsidRPr="005C192F">
        <w:rPr>
          <w:rFonts w:ascii="Times New Roman" w:hAnsi="Times New Roman"/>
          <w:sz w:val="24"/>
        </w:rPr>
        <w:t>c</w:t>
      </w:r>
      <w:r w:rsidRPr="005C192F">
        <w:rPr>
          <w:rFonts w:ascii="Times New Roman" w:hAnsi="Times New Roman"/>
          <w:sz w:val="24"/>
        </w:rPr>
        <w:t>ascade testing in families after diagnosis by standard/current methods</w:t>
      </w:r>
      <w:r w:rsidR="000D08B4">
        <w:rPr>
          <w:rFonts w:ascii="Times New Roman" w:hAnsi="Times New Roman"/>
          <w:sz w:val="24"/>
        </w:rPr>
        <w:t>.</w:t>
      </w:r>
    </w:p>
    <w:p w14:paraId="15B8F984" w14:textId="77777777" w:rsidR="00BC1364" w:rsidRPr="00F715D1" w:rsidRDefault="00BC1364" w:rsidP="00F715D1">
      <w:pPr>
        <w:pStyle w:val="Heading1"/>
      </w:pPr>
      <w:r w:rsidRPr="00F715D1">
        <w:t>Comparative safety</w:t>
      </w:r>
    </w:p>
    <w:p w14:paraId="74490495" w14:textId="77777777" w:rsidR="000C5D80" w:rsidRDefault="00846C33" w:rsidP="000C5D80">
      <w:pPr>
        <w:tabs>
          <w:tab w:val="left" w:pos="720"/>
          <w:tab w:val="left" w:pos="1140"/>
        </w:tabs>
      </w:pPr>
      <w:r>
        <w:t>See comparative effectiveness section.</w:t>
      </w:r>
    </w:p>
    <w:p w14:paraId="3041BAD8" w14:textId="77777777" w:rsidR="00BC1364" w:rsidRPr="00F715D1" w:rsidRDefault="00BC1364" w:rsidP="00F715D1">
      <w:pPr>
        <w:pStyle w:val="Heading1"/>
      </w:pPr>
      <w:r w:rsidRPr="00F715D1">
        <w:t>Comparative effectiveness</w:t>
      </w:r>
    </w:p>
    <w:p w14:paraId="64A9CDE7" w14:textId="77777777" w:rsidR="00846C33" w:rsidRDefault="00846C33" w:rsidP="00501ED9">
      <w:pPr>
        <w:pStyle w:val="Heading2"/>
        <w:spacing w:before="0"/>
      </w:pPr>
      <w:r w:rsidRPr="00501ED9">
        <w:t>Key</w:t>
      </w:r>
      <w:r w:rsidR="00645461">
        <w:t xml:space="preserve"> analytical performance results</w:t>
      </w:r>
    </w:p>
    <w:p w14:paraId="614D0429" w14:textId="77777777" w:rsidR="00846C33" w:rsidRPr="00501ED9" w:rsidRDefault="00846C33" w:rsidP="00501ED9">
      <w:pPr>
        <w:pStyle w:val="Body"/>
        <w:spacing w:before="120" w:after="240" w:line="240" w:lineRule="auto"/>
        <w:rPr>
          <w:rFonts w:ascii="Times New Roman" w:hAnsi="Times New Roman" w:cs="Times New Roman"/>
        </w:rPr>
      </w:pPr>
      <w:r w:rsidRPr="00501ED9">
        <w:rPr>
          <w:rFonts w:ascii="Times New Roman" w:hAnsi="Times New Roman" w:cs="Times New Roman"/>
        </w:rPr>
        <w:t>Whole exome analysis (WEA) has a superior diagnostic yield to SoC</w:t>
      </w:r>
      <w:r w:rsidR="00730054">
        <w:rPr>
          <w:rFonts w:ascii="Times New Roman" w:hAnsi="Times New Roman" w:cs="Times New Roman"/>
        </w:rPr>
        <w:t>.</w:t>
      </w:r>
    </w:p>
    <w:p w14:paraId="62A592A7" w14:textId="77777777" w:rsidR="00846C33" w:rsidRPr="00501ED9" w:rsidRDefault="00846C33" w:rsidP="003D15F0">
      <w:pPr>
        <w:pStyle w:val="Heading3"/>
        <w:rPr>
          <w:rStyle w:val="Emphasis"/>
          <w:rFonts w:ascii="Times New Roman" w:eastAsiaTheme="majorEastAsia" w:hAnsi="Times New Roman" w:cstheme="majorBidi"/>
          <w:i/>
          <w:szCs w:val="26"/>
        </w:rPr>
      </w:pPr>
      <w:r w:rsidRPr="00501ED9">
        <w:rPr>
          <w:rStyle w:val="Emphasis"/>
          <w:rFonts w:ascii="Times New Roman" w:eastAsiaTheme="majorEastAsia" w:hAnsi="Times New Roman" w:cstheme="majorBidi"/>
          <w:i/>
          <w:szCs w:val="26"/>
        </w:rPr>
        <w:t>Population 1: Initial testing for the diagnosis of childhood syndromes</w:t>
      </w:r>
    </w:p>
    <w:p w14:paraId="04F7F0E1" w14:textId="77777777" w:rsidR="00846C33" w:rsidRPr="00501ED9" w:rsidRDefault="00846C33" w:rsidP="00501ED9">
      <w:pPr>
        <w:pStyle w:val="Body"/>
        <w:spacing w:after="240" w:line="240" w:lineRule="auto"/>
        <w:rPr>
          <w:rFonts w:ascii="Times New Roman" w:hAnsi="Times New Roman" w:cs="Times New Roman"/>
        </w:rPr>
      </w:pPr>
      <w:r w:rsidRPr="00501ED9">
        <w:rPr>
          <w:rFonts w:ascii="Times New Roman" w:hAnsi="Times New Roman" w:cs="Times New Roman"/>
        </w:rPr>
        <w:t xml:space="preserve">Pooled diagnostic </w:t>
      </w:r>
      <w:r w:rsidR="002D6BC9">
        <w:rPr>
          <w:rFonts w:ascii="Times New Roman" w:hAnsi="Times New Roman" w:cs="Times New Roman"/>
        </w:rPr>
        <w:t>yield</w:t>
      </w:r>
      <w:r w:rsidRPr="00501ED9">
        <w:rPr>
          <w:rFonts w:ascii="Times New Roman" w:hAnsi="Times New Roman" w:cs="Times New Roman"/>
        </w:rPr>
        <w:t xml:space="preserve"> for whole genome sequencing (WGS), whole exome sequencing (WES) and chromosomal microarray (CMA) in children (aged 0–18 years) with any suspected genetic disease (</w:t>
      </w:r>
      <w:r w:rsidR="00981880">
        <w:rPr>
          <w:rFonts w:ascii="Times New Roman" w:hAnsi="Times New Roman" w:cs="Times New Roman"/>
        </w:rPr>
        <w:t>Table 2</w:t>
      </w:r>
      <w:r w:rsidRPr="00501ED9">
        <w:rPr>
          <w:rFonts w:ascii="Times New Roman" w:hAnsi="Times New Roman" w:cs="Times New Roman"/>
        </w:rPr>
        <w:t xml:space="preserve">) were reported in a systematic literature review and meta-analysis (Clark </w:t>
      </w:r>
      <w:r w:rsidRPr="00501ED9">
        <w:rPr>
          <w:rFonts w:ascii="Times New Roman" w:hAnsi="Times New Roman" w:cs="Times New Roman"/>
          <w:i/>
        </w:rPr>
        <w:t>et al</w:t>
      </w:r>
      <w:r w:rsidRPr="00501ED9">
        <w:rPr>
          <w:rFonts w:ascii="Times New Roman" w:hAnsi="Times New Roman" w:cs="Times New Roman"/>
        </w:rPr>
        <w:t xml:space="preserve"> (2018)). WGS has a higher diagnostic yield than WES,</w:t>
      </w:r>
      <w:r w:rsidR="00451033">
        <w:rPr>
          <w:rFonts w:ascii="Times New Roman" w:hAnsi="Times New Roman" w:cs="Times New Roman"/>
        </w:rPr>
        <w:t xml:space="preserve"> and both were superior to CMA.</w:t>
      </w:r>
    </w:p>
    <w:p w14:paraId="36E0A3E8" w14:textId="77777777" w:rsidR="00846C33" w:rsidRPr="001964D2" w:rsidRDefault="00846C33" w:rsidP="001964D2">
      <w:pPr>
        <w:rPr>
          <w:rFonts w:ascii="Arial Narrow" w:hAnsi="Arial Narrow"/>
          <w:b/>
          <w:sz w:val="20"/>
        </w:rPr>
      </w:pPr>
      <w:bookmarkStart w:id="4" w:name="_Ref512581030"/>
      <w:bookmarkStart w:id="5" w:name="_Toc513290985"/>
      <w:r w:rsidRPr="001964D2">
        <w:rPr>
          <w:rFonts w:ascii="Arial Narrow" w:hAnsi="Arial Narrow"/>
          <w:b/>
          <w:sz w:val="20"/>
        </w:rPr>
        <w:t xml:space="preserve">Table </w:t>
      </w:r>
      <w:bookmarkEnd w:id="4"/>
      <w:r w:rsidR="00981880" w:rsidRPr="001964D2">
        <w:rPr>
          <w:rFonts w:ascii="Arial Narrow" w:hAnsi="Arial Narrow"/>
          <w:b/>
          <w:sz w:val="20"/>
        </w:rPr>
        <w:t>2</w:t>
      </w:r>
      <w:r w:rsidRPr="001964D2">
        <w:rPr>
          <w:rFonts w:ascii="Arial Narrow" w:hAnsi="Arial Narrow"/>
          <w:b/>
          <w:sz w:val="20"/>
        </w:rPr>
        <w:tab/>
        <w:t xml:space="preserve">Pooled diagnostic </w:t>
      </w:r>
      <w:r w:rsidR="002D6BC9" w:rsidRPr="001964D2">
        <w:rPr>
          <w:rFonts w:ascii="Arial Narrow" w:hAnsi="Arial Narrow"/>
          <w:b/>
          <w:sz w:val="20"/>
        </w:rPr>
        <w:t>yield</w:t>
      </w:r>
      <w:r w:rsidRPr="001964D2">
        <w:rPr>
          <w:rFonts w:ascii="Arial Narrow" w:hAnsi="Arial Narrow"/>
          <w:b/>
          <w:sz w:val="20"/>
        </w:rPr>
        <w:t xml:space="preserve"> of WGS, WES and CMA</w:t>
      </w:r>
      <w:bookmarkEnd w:id="5"/>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the pooled diagnostic yeield of WGS, WES and CMA"/>
      </w:tblPr>
      <w:tblGrid>
        <w:gridCol w:w="2253"/>
        <w:gridCol w:w="2254"/>
        <w:gridCol w:w="2253"/>
        <w:gridCol w:w="2256"/>
      </w:tblGrid>
      <w:tr w:rsidR="00846C33" w:rsidRPr="00501ED9" w14:paraId="62005C11" w14:textId="77777777" w:rsidTr="007052AA">
        <w:trPr>
          <w:tblHeader/>
        </w:trPr>
        <w:tc>
          <w:tcPr>
            <w:tcW w:w="2259" w:type="dxa"/>
          </w:tcPr>
          <w:p w14:paraId="62FCCFA6" w14:textId="77777777" w:rsidR="00846C33" w:rsidRPr="00501ED9" w:rsidRDefault="00846C33" w:rsidP="0008217D">
            <w:pPr>
              <w:pStyle w:val="Tableheading"/>
              <w:rPr>
                <w:rFonts w:ascii="Arial Narrow" w:hAnsi="Arial Narrow"/>
                <w:szCs w:val="20"/>
              </w:rPr>
            </w:pPr>
            <w:r w:rsidRPr="00501ED9">
              <w:rPr>
                <w:rFonts w:ascii="Arial Narrow" w:hAnsi="Arial Narrow"/>
                <w:szCs w:val="20"/>
              </w:rPr>
              <w:t>Genetic test</w:t>
            </w:r>
          </w:p>
        </w:tc>
        <w:tc>
          <w:tcPr>
            <w:tcW w:w="2259" w:type="dxa"/>
          </w:tcPr>
          <w:p w14:paraId="17B70161" w14:textId="77777777" w:rsidR="00846C33" w:rsidRPr="00501ED9" w:rsidRDefault="00846C33" w:rsidP="002D6BC9">
            <w:pPr>
              <w:pStyle w:val="Tableheading"/>
              <w:jc w:val="center"/>
              <w:rPr>
                <w:rFonts w:ascii="Arial Narrow" w:hAnsi="Arial Narrow"/>
                <w:szCs w:val="20"/>
              </w:rPr>
            </w:pPr>
            <w:r w:rsidRPr="00501ED9">
              <w:rPr>
                <w:rFonts w:ascii="Arial Narrow" w:hAnsi="Arial Narrow"/>
                <w:szCs w:val="20"/>
              </w:rPr>
              <w:t xml:space="preserve">Diagnostic </w:t>
            </w:r>
            <w:r w:rsidR="002D6BC9">
              <w:rPr>
                <w:rFonts w:ascii="Arial Narrow" w:hAnsi="Arial Narrow"/>
                <w:szCs w:val="20"/>
              </w:rPr>
              <w:t>yield</w:t>
            </w:r>
          </w:p>
        </w:tc>
        <w:tc>
          <w:tcPr>
            <w:tcW w:w="2260" w:type="dxa"/>
          </w:tcPr>
          <w:p w14:paraId="62BC9332" w14:textId="77777777" w:rsidR="00846C33" w:rsidRPr="00501ED9" w:rsidRDefault="00846C33" w:rsidP="0008217D">
            <w:pPr>
              <w:pStyle w:val="Tableheading"/>
              <w:jc w:val="center"/>
              <w:rPr>
                <w:rFonts w:ascii="Arial Narrow" w:hAnsi="Arial Narrow"/>
                <w:szCs w:val="20"/>
              </w:rPr>
            </w:pPr>
            <w:r w:rsidRPr="00501ED9">
              <w:rPr>
                <w:rFonts w:ascii="Arial Narrow" w:hAnsi="Arial Narrow"/>
                <w:szCs w:val="20"/>
              </w:rPr>
              <w:t>95% CI</w:t>
            </w:r>
          </w:p>
        </w:tc>
        <w:tc>
          <w:tcPr>
            <w:tcW w:w="2260" w:type="dxa"/>
          </w:tcPr>
          <w:p w14:paraId="7767BE67" w14:textId="77777777" w:rsidR="00846C33" w:rsidRPr="00501ED9" w:rsidRDefault="00846C33" w:rsidP="0008217D">
            <w:pPr>
              <w:pStyle w:val="Tableheading"/>
              <w:jc w:val="center"/>
              <w:rPr>
                <w:rFonts w:ascii="Arial Narrow" w:hAnsi="Arial Narrow"/>
                <w:szCs w:val="20"/>
              </w:rPr>
            </w:pPr>
            <w:r w:rsidRPr="00501ED9">
              <w:rPr>
                <w:rFonts w:ascii="Arial Narrow" w:hAnsi="Arial Narrow"/>
                <w:i/>
                <w:szCs w:val="20"/>
              </w:rPr>
              <w:t>Heterogeneity (I</w:t>
            </w:r>
            <w:r w:rsidRPr="00501ED9">
              <w:rPr>
                <w:rFonts w:ascii="Arial Narrow" w:hAnsi="Arial Narrow"/>
                <w:szCs w:val="20"/>
                <w:vertAlign w:val="superscript"/>
              </w:rPr>
              <w:t>2</w:t>
            </w:r>
            <w:r w:rsidRPr="00501ED9">
              <w:rPr>
                <w:rFonts w:ascii="Arial Narrow" w:hAnsi="Arial Narrow"/>
                <w:szCs w:val="20"/>
              </w:rPr>
              <w:t>)</w:t>
            </w:r>
          </w:p>
        </w:tc>
      </w:tr>
      <w:tr w:rsidR="00846C33" w:rsidRPr="00501ED9" w14:paraId="5C462CD8" w14:textId="77777777" w:rsidTr="0008217D">
        <w:tc>
          <w:tcPr>
            <w:tcW w:w="2259" w:type="dxa"/>
          </w:tcPr>
          <w:p w14:paraId="42D8F2AF" w14:textId="77777777" w:rsidR="00846C33" w:rsidRPr="00501ED9" w:rsidRDefault="00846C33" w:rsidP="0008217D">
            <w:pPr>
              <w:pStyle w:val="Tabletext"/>
              <w:rPr>
                <w:szCs w:val="20"/>
              </w:rPr>
            </w:pPr>
            <w:r w:rsidRPr="00501ED9">
              <w:rPr>
                <w:szCs w:val="20"/>
              </w:rPr>
              <w:t>WGS</w:t>
            </w:r>
          </w:p>
        </w:tc>
        <w:tc>
          <w:tcPr>
            <w:tcW w:w="2259" w:type="dxa"/>
          </w:tcPr>
          <w:p w14:paraId="17E2FCBE" w14:textId="77777777" w:rsidR="00846C33" w:rsidRPr="00501ED9" w:rsidRDefault="00846C33" w:rsidP="0008217D">
            <w:pPr>
              <w:pStyle w:val="Tabletext"/>
              <w:jc w:val="center"/>
              <w:rPr>
                <w:szCs w:val="20"/>
              </w:rPr>
            </w:pPr>
            <w:r w:rsidRPr="00501ED9">
              <w:rPr>
                <w:szCs w:val="20"/>
              </w:rPr>
              <w:t>41%</w:t>
            </w:r>
          </w:p>
        </w:tc>
        <w:tc>
          <w:tcPr>
            <w:tcW w:w="2260" w:type="dxa"/>
          </w:tcPr>
          <w:p w14:paraId="7A06BE57" w14:textId="77777777" w:rsidR="00846C33" w:rsidRPr="00501ED9" w:rsidRDefault="00846C33" w:rsidP="0008217D">
            <w:pPr>
              <w:pStyle w:val="Tabletext"/>
              <w:jc w:val="center"/>
              <w:rPr>
                <w:szCs w:val="20"/>
              </w:rPr>
            </w:pPr>
            <w:r w:rsidRPr="00501ED9">
              <w:rPr>
                <w:szCs w:val="20"/>
              </w:rPr>
              <w:t>34–48%</w:t>
            </w:r>
          </w:p>
        </w:tc>
        <w:tc>
          <w:tcPr>
            <w:tcW w:w="2260" w:type="dxa"/>
          </w:tcPr>
          <w:p w14:paraId="6FC10E15" w14:textId="77777777" w:rsidR="00846C33" w:rsidRPr="00501ED9" w:rsidRDefault="00846C33" w:rsidP="0008217D">
            <w:pPr>
              <w:pStyle w:val="Tabletext"/>
              <w:jc w:val="center"/>
              <w:rPr>
                <w:szCs w:val="20"/>
              </w:rPr>
            </w:pPr>
            <w:r w:rsidRPr="00501ED9">
              <w:rPr>
                <w:szCs w:val="20"/>
              </w:rPr>
              <w:t>44%</w:t>
            </w:r>
          </w:p>
        </w:tc>
      </w:tr>
      <w:tr w:rsidR="00846C33" w:rsidRPr="00501ED9" w14:paraId="14D45748" w14:textId="77777777" w:rsidTr="0008217D">
        <w:tc>
          <w:tcPr>
            <w:tcW w:w="2259" w:type="dxa"/>
          </w:tcPr>
          <w:p w14:paraId="0B3345FF" w14:textId="77777777" w:rsidR="00846C33" w:rsidRPr="00501ED9" w:rsidRDefault="00846C33" w:rsidP="0008217D">
            <w:pPr>
              <w:pStyle w:val="Tabletext"/>
              <w:rPr>
                <w:szCs w:val="20"/>
              </w:rPr>
            </w:pPr>
            <w:r w:rsidRPr="00501ED9">
              <w:rPr>
                <w:szCs w:val="20"/>
              </w:rPr>
              <w:t>WES</w:t>
            </w:r>
          </w:p>
        </w:tc>
        <w:tc>
          <w:tcPr>
            <w:tcW w:w="2259" w:type="dxa"/>
          </w:tcPr>
          <w:p w14:paraId="4910EDDA" w14:textId="77777777" w:rsidR="00846C33" w:rsidRPr="00501ED9" w:rsidRDefault="00846C33" w:rsidP="0008217D">
            <w:pPr>
              <w:pStyle w:val="Tabletext"/>
              <w:jc w:val="center"/>
              <w:rPr>
                <w:szCs w:val="20"/>
              </w:rPr>
            </w:pPr>
            <w:r w:rsidRPr="00501ED9">
              <w:rPr>
                <w:szCs w:val="20"/>
              </w:rPr>
              <w:t>35%</w:t>
            </w:r>
          </w:p>
        </w:tc>
        <w:tc>
          <w:tcPr>
            <w:tcW w:w="2260" w:type="dxa"/>
          </w:tcPr>
          <w:p w14:paraId="29819019" w14:textId="77777777" w:rsidR="00846C33" w:rsidRPr="00501ED9" w:rsidRDefault="00846C33" w:rsidP="0008217D">
            <w:pPr>
              <w:pStyle w:val="Tabletext"/>
              <w:jc w:val="center"/>
              <w:rPr>
                <w:szCs w:val="20"/>
              </w:rPr>
            </w:pPr>
            <w:r w:rsidRPr="00501ED9">
              <w:rPr>
                <w:szCs w:val="20"/>
              </w:rPr>
              <w:t>31–39%</w:t>
            </w:r>
          </w:p>
        </w:tc>
        <w:tc>
          <w:tcPr>
            <w:tcW w:w="2260" w:type="dxa"/>
          </w:tcPr>
          <w:p w14:paraId="6A81E8FE" w14:textId="77777777" w:rsidR="00846C33" w:rsidRPr="00501ED9" w:rsidRDefault="00846C33" w:rsidP="0008217D">
            <w:pPr>
              <w:pStyle w:val="Tabletext"/>
              <w:jc w:val="center"/>
              <w:rPr>
                <w:szCs w:val="20"/>
              </w:rPr>
            </w:pPr>
            <w:r w:rsidRPr="00501ED9">
              <w:rPr>
                <w:szCs w:val="20"/>
              </w:rPr>
              <w:t>85%</w:t>
            </w:r>
          </w:p>
        </w:tc>
      </w:tr>
      <w:tr w:rsidR="00846C33" w:rsidRPr="00501ED9" w14:paraId="2D734773" w14:textId="77777777" w:rsidTr="0008217D">
        <w:tc>
          <w:tcPr>
            <w:tcW w:w="2259" w:type="dxa"/>
          </w:tcPr>
          <w:p w14:paraId="31251410" w14:textId="77777777" w:rsidR="00846C33" w:rsidRPr="00501ED9" w:rsidRDefault="00846C33" w:rsidP="0008217D">
            <w:pPr>
              <w:pStyle w:val="Tabletext"/>
              <w:rPr>
                <w:szCs w:val="20"/>
              </w:rPr>
            </w:pPr>
            <w:r w:rsidRPr="00501ED9">
              <w:rPr>
                <w:szCs w:val="20"/>
              </w:rPr>
              <w:t>CMA</w:t>
            </w:r>
          </w:p>
        </w:tc>
        <w:tc>
          <w:tcPr>
            <w:tcW w:w="2259" w:type="dxa"/>
          </w:tcPr>
          <w:p w14:paraId="767F7869" w14:textId="77777777" w:rsidR="00846C33" w:rsidRPr="00501ED9" w:rsidRDefault="00846C33" w:rsidP="0008217D">
            <w:pPr>
              <w:pStyle w:val="Tabletext"/>
              <w:jc w:val="center"/>
              <w:rPr>
                <w:szCs w:val="20"/>
              </w:rPr>
            </w:pPr>
            <w:r w:rsidRPr="00501ED9">
              <w:rPr>
                <w:szCs w:val="20"/>
              </w:rPr>
              <w:t>10%</w:t>
            </w:r>
          </w:p>
        </w:tc>
        <w:tc>
          <w:tcPr>
            <w:tcW w:w="2260" w:type="dxa"/>
          </w:tcPr>
          <w:p w14:paraId="133B42BE" w14:textId="77777777" w:rsidR="00846C33" w:rsidRPr="00501ED9" w:rsidRDefault="00846C33" w:rsidP="0008217D">
            <w:pPr>
              <w:pStyle w:val="Tabletext"/>
              <w:jc w:val="center"/>
              <w:rPr>
                <w:szCs w:val="20"/>
              </w:rPr>
            </w:pPr>
            <w:r w:rsidRPr="00501ED9">
              <w:rPr>
                <w:szCs w:val="20"/>
              </w:rPr>
              <w:t>8–12%</w:t>
            </w:r>
          </w:p>
        </w:tc>
        <w:tc>
          <w:tcPr>
            <w:tcW w:w="2260" w:type="dxa"/>
          </w:tcPr>
          <w:p w14:paraId="637C2A65" w14:textId="77777777" w:rsidR="00846C33" w:rsidRPr="00501ED9" w:rsidRDefault="00846C33" w:rsidP="0008217D">
            <w:pPr>
              <w:pStyle w:val="Tabletext"/>
              <w:jc w:val="center"/>
              <w:rPr>
                <w:szCs w:val="20"/>
              </w:rPr>
            </w:pPr>
            <w:r w:rsidRPr="00501ED9">
              <w:rPr>
                <w:szCs w:val="20"/>
              </w:rPr>
              <w:t>81%</w:t>
            </w:r>
          </w:p>
        </w:tc>
      </w:tr>
    </w:tbl>
    <w:p w14:paraId="3A88C9B0" w14:textId="77777777" w:rsidR="00846C33" w:rsidRPr="00501ED9" w:rsidRDefault="00846C33" w:rsidP="00645461">
      <w:pPr>
        <w:pStyle w:val="Tablenote"/>
        <w:rPr>
          <w:rFonts w:ascii="Arial Narrow" w:hAnsi="Arial Narrow"/>
          <w:sz w:val="20"/>
          <w:szCs w:val="20"/>
        </w:rPr>
      </w:pPr>
      <w:r w:rsidRPr="00501ED9">
        <w:rPr>
          <w:rFonts w:ascii="Arial Narrow" w:hAnsi="Arial Narrow"/>
          <w:sz w:val="20"/>
          <w:szCs w:val="20"/>
        </w:rPr>
        <w:t>Abbreviations: CI, confidence interval; CMA, chromosomal microarray; WES, whole exome sequencing; WGS, whole genome sequencing</w:t>
      </w:r>
    </w:p>
    <w:p w14:paraId="2CAE46A5" w14:textId="77777777" w:rsidR="00846C33" w:rsidRPr="00501ED9" w:rsidRDefault="00846C33" w:rsidP="00645461">
      <w:pPr>
        <w:pStyle w:val="Tablenote"/>
        <w:spacing w:after="240"/>
        <w:rPr>
          <w:rFonts w:ascii="Arial Narrow" w:hAnsi="Arial Narrow"/>
          <w:sz w:val="20"/>
          <w:szCs w:val="20"/>
        </w:rPr>
      </w:pPr>
      <w:r w:rsidRPr="00501ED9">
        <w:rPr>
          <w:rFonts w:ascii="Arial Narrow" w:hAnsi="Arial Narrow"/>
          <w:sz w:val="20"/>
          <w:szCs w:val="20"/>
        </w:rPr>
        <w:t>Source: Clark et al (2018)</w:t>
      </w:r>
    </w:p>
    <w:p w14:paraId="34D8FC63" w14:textId="77777777" w:rsidR="00846C33" w:rsidRPr="00501ED9" w:rsidRDefault="00846C33" w:rsidP="00501ED9">
      <w:pPr>
        <w:pStyle w:val="Body"/>
        <w:spacing w:after="240" w:line="240" w:lineRule="auto"/>
        <w:rPr>
          <w:rFonts w:ascii="Times New Roman" w:hAnsi="Times New Roman" w:cs="Times New Roman"/>
        </w:rPr>
      </w:pPr>
      <w:r w:rsidRPr="00501ED9">
        <w:rPr>
          <w:rFonts w:ascii="Times New Roman" w:hAnsi="Times New Roman" w:cs="Times New Roman"/>
        </w:rPr>
        <w:t xml:space="preserve">The diagnostic </w:t>
      </w:r>
      <w:r w:rsidR="002D6BC9">
        <w:rPr>
          <w:rFonts w:ascii="Times New Roman" w:hAnsi="Times New Roman" w:cs="Times New Roman"/>
        </w:rPr>
        <w:t>yield</w:t>
      </w:r>
      <w:r w:rsidRPr="00501ED9">
        <w:rPr>
          <w:rFonts w:ascii="Times New Roman" w:hAnsi="Times New Roman" w:cs="Times New Roman"/>
        </w:rPr>
        <w:t xml:space="preserve"> of WES in infants (aged 0–2 years) and children (aged 2–18 years) who are suspected of having a monogenic disorder (</w:t>
      </w:r>
      <w:r w:rsidR="00981880">
        <w:rPr>
          <w:rFonts w:ascii="Times New Roman" w:hAnsi="Times New Roman" w:cs="Times New Roman"/>
        </w:rPr>
        <w:t>Table 3</w:t>
      </w:r>
      <w:r w:rsidRPr="00501ED9">
        <w:rPr>
          <w:rFonts w:ascii="Times New Roman" w:hAnsi="Times New Roman" w:cs="Times New Roman"/>
        </w:rPr>
        <w:t xml:space="preserve">) were reported in two Australian prospective studies (Stark </w:t>
      </w:r>
      <w:r w:rsidRPr="00501ED9">
        <w:rPr>
          <w:rFonts w:ascii="Times New Roman" w:hAnsi="Times New Roman" w:cs="Times New Roman"/>
          <w:i/>
        </w:rPr>
        <w:t>et al</w:t>
      </w:r>
      <w:r w:rsidRPr="00501ED9">
        <w:rPr>
          <w:rFonts w:ascii="Times New Roman" w:hAnsi="Times New Roman" w:cs="Times New Roman"/>
        </w:rPr>
        <w:t xml:space="preserve"> (2016) and Tan </w:t>
      </w:r>
      <w:r w:rsidRPr="00501ED9">
        <w:rPr>
          <w:rFonts w:ascii="Times New Roman" w:hAnsi="Times New Roman" w:cs="Times New Roman"/>
          <w:i/>
        </w:rPr>
        <w:t>et al</w:t>
      </w:r>
      <w:r w:rsidRPr="00501ED9">
        <w:rPr>
          <w:rFonts w:ascii="Times New Roman" w:hAnsi="Times New Roman" w:cs="Times New Roman"/>
        </w:rPr>
        <w:t xml:space="preserve"> (2017)).</w:t>
      </w:r>
    </w:p>
    <w:p w14:paraId="035730A5" w14:textId="77777777" w:rsidR="00846C33" w:rsidRPr="007052AA" w:rsidRDefault="00846C33" w:rsidP="007052AA">
      <w:pPr>
        <w:rPr>
          <w:rFonts w:ascii="Arial Narrow" w:hAnsi="Arial Narrow"/>
          <w:b/>
          <w:sz w:val="20"/>
        </w:rPr>
      </w:pPr>
      <w:bookmarkStart w:id="6" w:name="_Ref512581716"/>
      <w:bookmarkStart w:id="7" w:name="_Toc513290986"/>
      <w:r w:rsidRPr="007052AA">
        <w:rPr>
          <w:rFonts w:ascii="Arial Narrow" w:hAnsi="Arial Narrow"/>
          <w:b/>
          <w:sz w:val="20"/>
        </w:rPr>
        <w:t xml:space="preserve">Table </w:t>
      </w:r>
      <w:bookmarkEnd w:id="6"/>
      <w:r w:rsidR="00981880" w:rsidRPr="007052AA">
        <w:rPr>
          <w:rFonts w:ascii="Arial Narrow" w:hAnsi="Arial Narrow"/>
          <w:b/>
          <w:sz w:val="20"/>
        </w:rPr>
        <w:t>3</w:t>
      </w:r>
      <w:r w:rsidRPr="007052AA">
        <w:rPr>
          <w:rFonts w:ascii="Arial Narrow" w:hAnsi="Arial Narrow"/>
          <w:b/>
          <w:sz w:val="20"/>
        </w:rPr>
        <w:tab/>
        <w:t>Diagnostic yield of WES compared to standard diagnostic pathway in Australian paediatric populations</w:t>
      </w:r>
      <w:bookmarkEnd w:id="7"/>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the results for diagnostic yield of WES compared to standard diagnostic pathway in Australian children population, infants aged 02- years and children aged 2-18 years"/>
      </w:tblPr>
      <w:tblGrid>
        <w:gridCol w:w="1475"/>
        <w:gridCol w:w="2095"/>
        <w:gridCol w:w="1247"/>
        <w:gridCol w:w="1338"/>
        <w:gridCol w:w="1676"/>
        <w:gridCol w:w="951"/>
      </w:tblGrid>
      <w:tr w:rsidR="00846C33" w:rsidRPr="00501ED9" w14:paraId="06A7B54D" w14:textId="77777777" w:rsidTr="007052AA">
        <w:trPr>
          <w:tblHeader/>
        </w:trPr>
        <w:tc>
          <w:tcPr>
            <w:tcW w:w="0" w:type="auto"/>
          </w:tcPr>
          <w:p w14:paraId="42F1D2C7" w14:textId="77777777" w:rsidR="00846C33" w:rsidRPr="00501ED9" w:rsidRDefault="00846C33" w:rsidP="0008217D">
            <w:pPr>
              <w:pStyle w:val="Tableheading"/>
              <w:rPr>
                <w:rFonts w:ascii="Arial Narrow" w:hAnsi="Arial Narrow"/>
                <w:szCs w:val="20"/>
              </w:rPr>
            </w:pPr>
            <w:r w:rsidRPr="00501ED9">
              <w:rPr>
                <w:rFonts w:ascii="Arial Narrow" w:hAnsi="Arial Narrow"/>
                <w:szCs w:val="20"/>
              </w:rPr>
              <w:t>Study</w:t>
            </w:r>
          </w:p>
        </w:tc>
        <w:tc>
          <w:tcPr>
            <w:tcW w:w="0" w:type="auto"/>
          </w:tcPr>
          <w:p w14:paraId="522FF5E8" w14:textId="77777777" w:rsidR="00846C33" w:rsidRPr="00501ED9" w:rsidRDefault="00846C33" w:rsidP="0008217D">
            <w:pPr>
              <w:pStyle w:val="Tableheading"/>
              <w:rPr>
                <w:rFonts w:ascii="Arial Narrow" w:hAnsi="Arial Narrow"/>
                <w:szCs w:val="20"/>
              </w:rPr>
            </w:pPr>
            <w:r w:rsidRPr="00501ED9">
              <w:rPr>
                <w:rFonts w:ascii="Arial Narrow" w:hAnsi="Arial Narrow"/>
                <w:szCs w:val="20"/>
              </w:rPr>
              <w:t>Population</w:t>
            </w:r>
          </w:p>
        </w:tc>
        <w:tc>
          <w:tcPr>
            <w:tcW w:w="0" w:type="auto"/>
          </w:tcPr>
          <w:p w14:paraId="14F9A86A" w14:textId="77777777" w:rsidR="00846C33" w:rsidRPr="00501ED9" w:rsidRDefault="00846C33" w:rsidP="0008217D">
            <w:pPr>
              <w:pStyle w:val="Tableheading"/>
              <w:jc w:val="center"/>
              <w:rPr>
                <w:rFonts w:ascii="Arial Narrow" w:hAnsi="Arial Narrow"/>
                <w:szCs w:val="20"/>
              </w:rPr>
            </w:pPr>
            <w:r w:rsidRPr="00501ED9">
              <w:rPr>
                <w:rFonts w:ascii="Arial Narrow" w:hAnsi="Arial Narrow"/>
                <w:szCs w:val="20"/>
              </w:rPr>
              <w:t>WES</w:t>
            </w:r>
          </w:p>
          <w:p w14:paraId="48BEA9E6" w14:textId="77777777" w:rsidR="00846C33" w:rsidRPr="00501ED9" w:rsidRDefault="00846C33" w:rsidP="0008217D">
            <w:pPr>
              <w:pStyle w:val="Tableheading"/>
              <w:jc w:val="center"/>
              <w:rPr>
                <w:rFonts w:ascii="Arial Narrow" w:hAnsi="Arial Narrow"/>
                <w:szCs w:val="20"/>
              </w:rPr>
            </w:pPr>
            <w:r w:rsidRPr="00501ED9">
              <w:rPr>
                <w:rFonts w:ascii="Arial Narrow" w:hAnsi="Arial Narrow"/>
                <w:szCs w:val="20"/>
              </w:rPr>
              <w:t>n/N (%)</w:t>
            </w:r>
          </w:p>
        </w:tc>
        <w:tc>
          <w:tcPr>
            <w:tcW w:w="0" w:type="auto"/>
          </w:tcPr>
          <w:p w14:paraId="5588A9A8" w14:textId="77777777" w:rsidR="00846C33" w:rsidRPr="00501ED9" w:rsidRDefault="00846C33" w:rsidP="0008217D">
            <w:pPr>
              <w:pStyle w:val="Tableheading"/>
              <w:jc w:val="center"/>
              <w:rPr>
                <w:rFonts w:ascii="Arial Narrow" w:hAnsi="Arial Narrow"/>
                <w:szCs w:val="20"/>
              </w:rPr>
            </w:pPr>
            <w:r w:rsidRPr="00501ED9">
              <w:rPr>
                <w:rFonts w:ascii="Arial Narrow" w:hAnsi="Arial Narrow"/>
                <w:szCs w:val="20"/>
              </w:rPr>
              <w:t>Standard care</w:t>
            </w:r>
          </w:p>
          <w:p w14:paraId="76E16858" w14:textId="77777777" w:rsidR="00846C33" w:rsidRPr="00501ED9" w:rsidRDefault="00846C33" w:rsidP="0008217D">
            <w:pPr>
              <w:pStyle w:val="Tableheading"/>
              <w:jc w:val="center"/>
              <w:rPr>
                <w:rFonts w:ascii="Arial Narrow" w:hAnsi="Arial Narrow"/>
                <w:szCs w:val="20"/>
              </w:rPr>
            </w:pPr>
            <w:r w:rsidRPr="00501ED9">
              <w:rPr>
                <w:rFonts w:ascii="Arial Narrow" w:hAnsi="Arial Narrow"/>
                <w:szCs w:val="20"/>
              </w:rPr>
              <w:t>n/N (%)</w:t>
            </w:r>
          </w:p>
        </w:tc>
        <w:tc>
          <w:tcPr>
            <w:tcW w:w="0" w:type="auto"/>
          </w:tcPr>
          <w:p w14:paraId="406D01C3" w14:textId="77777777" w:rsidR="00846C33" w:rsidRPr="00501ED9" w:rsidRDefault="00846C33" w:rsidP="0008217D">
            <w:pPr>
              <w:pStyle w:val="Tableheading"/>
              <w:jc w:val="center"/>
              <w:rPr>
                <w:rFonts w:ascii="Arial Narrow" w:hAnsi="Arial Narrow"/>
                <w:szCs w:val="20"/>
              </w:rPr>
            </w:pPr>
            <w:r w:rsidRPr="00501ED9">
              <w:rPr>
                <w:rFonts w:ascii="Arial Narrow" w:hAnsi="Arial Narrow"/>
                <w:szCs w:val="20"/>
              </w:rPr>
              <w:t>RR [95% CI]</w:t>
            </w:r>
          </w:p>
        </w:tc>
        <w:tc>
          <w:tcPr>
            <w:tcW w:w="0" w:type="auto"/>
          </w:tcPr>
          <w:p w14:paraId="30E9712E" w14:textId="77777777" w:rsidR="00846C33" w:rsidRPr="00501ED9" w:rsidRDefault="00846C33" w:rsidP="0008217D">
            <w:pPr>
              <w:pStyle w:val="Tableheading"/>
              <w:jc w:val="center"/>
              <w:rPr>
                <w:rFonts w:ascii="Arial Narrow" w:hAnsi="Arial Narrow"/>
                <w:szCs w:val="20"/>
              </w:rPr>
            </w:pPr>
            <w:r w:rsidRPr="00501ED9">
              <w:rPr>
                <w:rFonts w:ascii="Arial Narrow" w:hAnsi="Arial Narrow"/>
                <w:szCs w:val="20"/>
              </w:rPr>
              <w:t>P-value</w:t>
            </w:r>
          </w:p>
        </w:tc>
      </w:tr>
      <w:tr w:rsidR="00846C33" w:rsidRPr="00501ED9" w14:paraId="73D4C4CF" w14:textId="77777777" w:rsidTr="0008217D">
        <w:tc>
          <w:tcPr>
            <w:tcW w:w="0" w:type="auto"/>
          </w:tcPr>
          <w:p w14:paraId="6AE2F84D" w14:textId="77777777" w:rsidR="00846C33" w:rsidRPr="00501ED9" w:rsidRDefault="00846C33" w:rsidP="0008217D">
            <w:pPr>
              <w:pStyle w:val="Tabletext"/>
              <w:rPr>
                <w:szCs w:val="20"/>
              </w:rPr>
            </w:pPr>
            <w:r w:rsidRPr="00501ED9">
              <w:rPr>
                <w:szCs w:val="20"/>
              </w:rPr>
              <w:t xml:space="preserve">Stark </w:t>
            </w:r>
            <w:r w:rsidRPr="00501ED9">
              <w:rPr>
                <w:i/>
                <w:szCs w:val="20"/>
              </w:rPr>
              <w:t>et al</w:t>
            </w:r>
            <w:r w:rsidRPr="00501ED9">
              <w:rPr>
                <w:szCs w:val="20"/>
              </w:rPr>
              <w:t xml:space="preserve"> (2016)</w:t>
            </w:r>
          </w:p>
        </w:tc>
        <w:tc>
          <w:tcPr>
            <w:tcW w:w="0" w:type="auto"/>
          </w:tcPr>
          <w:p w14:paraId="205C9E0E" w14:textId="77777777" w:rsidR="00846C33" w:rsidRPr="00501ED9" w:rsidRDefault="00846C33" w:rsidP="0008217D">
            <w:pPr>
              <w:pStyle w:val="Tabletext"/>
              <w:rPr>
                <w:szCs w:val="20"/>
              </w:rPr>
            </w:pPr>
            <w:r w:rsidRPr="00501ED9">
              <w:rPr>
                <w:szCs w:val="20"/>
              </w:rPr>
              <w:t>Infants aged 0–2 years</w:t>
            </w:r>
          </w:p>
        </w:tc>
        <w:tc>
          <w:tcPr>
            <w:tcW w:w="0" w:type="auto"/>
          </w:tcPr>
          <w:p w14:paraId="1C285123" w14:textId="77777777" w:rsidR="00846C33" w:rsidRPr="00501ED9" w:rsidRDefault="00846C33" w:rsidP="0008217D">
            <w:pPr>
              <w:pStyle w:val="Tabletext"/>
              <w:jc w:val="center"/>
              <w:rPr>
                <w:szCs w:val="20"/>
              </w:rPr>
            </w:pPr>
            <w:r w:rsidRPr="00501ED9">
              <w:rPr>
                <w:szCs w:val="20"/>
              </w:rPr>
              <w:t>46/80 (57.5%)</w:t>
            </w:r>
          </w:p>
        </w:tc>
        <w:tc>
          <w:tcPr>
            <w:tcW w:w="0" w:type="auto"/>
          </w:tcPr>
          <w:p w14:paraId="51BD5B38" w14:textId="77777777" w:rsidR="00846C33" w:rsidRPr="00501ED9" w:rsidRDefault="00846C33" w:rsidP="0008217D">
            <w:pPr>
              <w:pStyle w:val="Tabletext"/>
              <w:jc w:val="center"/>
              <w:rPr>
                <w:szCs w:val="20"/>
              </w:rPr>
            </w:pPr>
            <w:r w:rsidRPr="00501ED9">
              <w:rPr>
                <w:szCs w:val="20"/>
              </w:rPr>
              <w:t>11/80 (13.75%)</w:t>
            </w:r>
          </w:p>
        </w:tc>
        <w:tc>
          <w:tcPr>
            <w:tcW w:w="0" w:type="auto"/>
          </w:tcPr>
          <w:p w14:paraId="68615353" w14:textId="77777777" w:rsidR="00846C33" w:rsidRPr="00501ED9" w:rsidRDefault="00846C33" w:rsidP="0008217D">
            <w:pPr>
              <w:pStyle w:val="Tabletext"/>
              <w:jc w:val="center"/>
              <w:rPr>
                <w:szCs w:val="20"/>
              </w:rPr>
            </w:pPr>
            <w:r w:rsidRPr="00501ED9">
              <w:rPr>
                <w:szCs w:val="20"/>
              </w:rPr>
              <w:t>4.18 [2.34, 7.47]</w:t>
            </w:r>
          </w:p>
        </w:tc>
        <w:tc>
          <w:tcPr>
            <w:tcW w:w="0" w:type="auto"/>
          </w:tcPr>
          <w:p w14:paraId="78C68B23" w14:textId="77777777" w:rsidR="00846C33" w:rsidRPr="00501ED9" w:rsidRDefault="00846C33" w:rsidP="0008217D">
            <w:pPr>
              <w:pStyle w:val="Tabletext"/>
              <w:jc w:val="center"/>
              <w:rPr>
                <w:szCs w:val="20"/>
              </w:rPr>
            </w:pPr>
            <w:r w:rsidRPr="00501ED9">
              <w:rPr>
                <w:szCs w:val="20"/>
              </w:rPr>
              <w:t>&lt; 0.00001</w:t>
            </w:r>
          </w:p>
        </w:tc>
      </w:tr>
      <w:tr w:rsidR="00846C33" w:rsidRPr="00501ED9" w14:paraId="44E2D88F" w14:textId="77777777" w:rsidTr="0008217D">
        <w:tc>
          <w:tcPr>
            <w:tcW w:w="0" w:type="auto"/>
          </w:tcPr>
          <w:p w14:paraId="448F2638" w14:textId="77777777" w:rsidR="00846C33" w:rsidRPr="00501ED9" w:rsidRDefault="00846C33" w:rsidP="0008217D">
            <w:pPr>
              <w:pStyle w:val="Tabletext"/>
              <w:rPr>
                <w:szCs w:val="20"/>
              </w:rPr>
            </w:pPr>
            <w:r w:rsidRPr="00501ED9">
              <w:rPr>
                <w:szCs w:val="20"/>
              </w:rPr>
              <w:t xml:space="preserve">Tan </w:t>
            </w:r>
            <w:r w:rsidRPr="00501ED9">
              <w:rPr>
                <w:i/>
                <w:szCs w:val="20"/>
              </w:rPr>
              <w:t>et al</w:t>
            </w:r>
            <w:r w:rsidRPr="00501ED9">
              <w:rPr>
                <w:szCs w:val="20"/>
              </w:rPr>
              <w:t xml:space="preserve"> (2017)</w:t>
            </w:r>
          </w:p>
        </w:tc>
        <w:tc>
          <w:tcPr>
            <w:tcW w:w="0" w:type="auto"/>
          </w:tcPr>
          <w:p w14:paraId="42BA1746" w14:textId="77777777" w:rsidR="00846C33" w:rsidRPr="00501ED9" w:rsidRDefault="00846C33" w:rsidP="0008217D">
            <w:pPr>
              <w:pStyle w:val="Tabletext"/>
              <w:rPr>
                <w:szCs w:val="20"/>
              </w:rPr>
            </w:pPr>
            <w:r w:rsidRPr="00501ED9">
              <w:rPr>
                <w:szCs w:val="20"/>
              </w:rPr>
              <w:t>Children aged 2–18 years</w:t>
            </w:r>
          </w:p>
        </w:tc>
        <w:tc>
          <w:tcPr>
            <w:tcW w:w="0" w:type="auto"/>
          </w:tcPr>
          <w:p w14:paraId="781BA59A" w14:textId="77777777" w:rsidR="00846C33" w:rsidRPr="00501ED9" w:rsidRDefault="00846C33" w:rsidP="0008217D">
            <w:pPr>
              <w:pStyle w:val="Tabletext"/>
              <w:jc w:val="center"/>
              <w:rPr>
                <w:szCs w:val="20"/>
              </w:rPr>
            </w:pPr>
            <w:r w:rsidRPr="00501ED9">
              <w:rPr>
                <w:szCs w:val="20"/>
              </w:rPr>
              <w:t>23/44 (52%)</w:t>
            </w:r>
          </w:p>
        </w:tc>
        <w:tc>
          <w:tcPr>
            <w:tcW w:w="0" w:type="auto"/>
          </w:tcPr>
          <w:p w14:paraId="57AD0898" w14:textId="77777777" w:rsidR="00846C33" w:rsidRPr="00501ED9" w:rsidRDefault="00846C33" w:rsidP="0008217D">
            <w:pPr>
              <w:pStyle w:val="Tabletext"/>
              <w:jc w:val="center"/>
              <w:rPr>
                <w:szCs w:val="20"/>
              </w:rPr>
            </w:pPr>
            <w:r w:rsidRPr="00501ED9">
              <w:rPr>
                <w:szCs w:val="20"/>
              </w:rPr>
              <w:t>0/44 (0%)</w:t>
            </w:r>
          </w:p>
        </w:tc>
        <w:tc>
          <w:tcPr>
            <w:tcW w:w="0" w:type="auto"/>
          </w:tcPr>
          <w:p w14:paraId="242F8E9B" w14:textId="77777777" w:rsidR="00846C33" w:rsidRPr="00501ED9" w:rsidRDefault="00846C33" w:rsidP="0008217D">
            <w:pPr>
              <w:pStyle w:val="Tabletext"/>
              <w:jc w:val="center"/>
              <w:rPr>
                <w:szCs w:val="20"/>
              </w:rPr>
            </w:pPr>
            <w:r w:rsidRPr="00501ED9">
              <w:rPr>
                <w:szCs w:val="20"/>
              </w:rPr>
              <w:t>47.00 [2.94, 750.43]</w:t>
            </w:r>
          </w:p>
        </w:tc>
        <w:tc>
          <w:tcPr>
            <w:tcW w:w="0" w:type="auto"/>
          </w:tcPr>
          <w:p w14:paraId="4F7E8C8D" w14:textId="77777777" w:rsidR="00846C33" w:rsidRPr="00501ED9" w:rsidRDefault="00846C33" w:rsidP="0008217D">
            <w:pPr>
              <w:pStyle w:val="Tabletext"/>
              <w:jc w:val="center"/>
              <w:rPr>
                <w:szCs w:val="20"/>
              </w:rPr>
            </w:pPr>
            <w:r w:rsidRPr="00501ED9">
              <w:rPr>
                <w:szCs w:val="20"/>
              </w:rPr>
              <w:t>0.006</w:t>
            </w:r>
          </w:p>
        </w:tc>
      </w:tr>
    </w:tbl>
    <w:p w14:paraId="4D9ACFE6" w14:textId="77777777" w:rsidR="00846C33" w:rsidRPr="00501ED9" w:rsidRDefault="00846C33" w:rsidP="00645461">
      <w:pPr>
        <w:pStyle w:val="Tablenote"/>
        <w:rPr>
          <w:rFonts w:ascii="Arial Narrow" w:hAnsi="Arial Narrow"/>
          <w:sz w:val="20"/>
          <w:szCs w:val="20"/>
        </w:rPr>
      </w:pPr>
      <w:r w:rsidRPr="00501ED9">
        <w:rPr>
          <w:rFonts w:ascii="Arial Narrow" w:hAnsi="Arial Narrow"/>
          <w:sz w:val="20"/>
          <w:szCs w:val="20"/>
        </w:rPr>
        <w:t>Abbreviations: NR, not reported; WES, whole exome sequencing</w:t>
      </w:r>
    </w:p>
    <w:p w14:paraId="47267E40" w14:textId="77777777" w:rsidR="00846C33" w:rsidRPr="00501ED9" w:rsidRDefault="00846C33" w:rsidP="00645461">
      <w:pPr>
        <w:pStyle w:val="Tablenote"/>
        <w:spacing w:after="240"/>
        <w:rPr>
          <w:rFonts w:ascii="Arial Narrow" w:hAnsi="Arial Narrow"/>
          <w:sz w:val="20"/>
          <w:szCs w:val="20"/>
          <w:vertAlign w:val="superscript"/>
        </w:rPr>
      </w:pPr>
      <w:r w:rsidRPr="00501ED9">
        <w:rPr>
          <w:rFonts w:ascii="Arial Narrow" w:hAnsi="Arial Narrow"/>
          <w:sz w:val="20"/>
          <w:szCs w:val="20"/>
        </w:rPr>
        <w:t>Source: Stark et al (2016), Tan et al (2017), Stark et al (2017)</w:t>
      </w:r>
    </w:p>
    <w:p w14:paraId="2AC632F8" w14:textId="77777777" w:rsidR="00846C33" w:rsidRPr="007052AA" w:rsidRDefault="00846C33" w:rsidP="007052AA">
      <w:pPr>
        <w:spacing w:after="120"/>
        <w:rPr>
          <w:rFonts w:eastAsiaTheme="majorEastAsia"/>
          <w:i/>
        </w:rPr>
      </w:pPr>
      <w:r w:rsidRPr="007052AA">
        <w:rPr>
          <w:rFonts w:eastAsiaTheme="majorEastAsia"/>
          <w:i/>
        </w:rPr>
        <w:t xml:space="preserve">Population 2: Re-interrogation analysis for patients who did not have a definite </w:t>
      </w:r>
      <w:r w:rsidR="0008731B" w:rsidRPr="007052AA">
        <w:rPr>
          <w:rFonts w:eastAsiaTheme="majorEastAsia"/>
          <w:i/>
        </w:rPr>
        <w:t xml:space="preserve">molecular </w:t>
      </w:r>
      <w:r w:rsidRPr="007052AA">
        <w:rPr>
          <w:rFonts w:eastAsiaTheme="majorEastAsia"/>
          <w:i/>
        </w:rPr>
        <w:t xml:space="preserve">diagnosis at initial </w:t>
      </w:r>
      <w:r w:rsidR="004C5A49" w:rsidRPr="007052AA">
        <w:rPr>
          <w:rFonts w:eastAsiaTheme="majorEastAsia"/>
          <w:i/>
        </w:rPr>
        <w:t xml:space="preserve">WES </w:t>
      </w:r>
      <w:r w:rsidRPr="007052AA">
        <w:rPr>
          <w:rFonts w:eastAsiaTheme="majorEastAsia"/>
          <w:i/>
        </w:rPr>
        <w:t>testing</w:t>
      </w:r>
    </w:p>
    <w:p w14:paraId="109E2625" w14:textId="77777777" w:rsidR="00846C33" w:rsidRPr="00501ED9" w:rsidRDefault="00846C33" w:rsidP="00501ED9">
      <w:pPr>
        <w:pStyle w:val="Body"/>
        <w:spacing w:after="240" w:line="240" w:lineRule="auto"/>
        <w:rPr>
          <w:rFonts w:ascii="Times New Roman" w:hAnsi="Times New Roman" w:cs="Times New Roman"/>
        </w:rPr>
      </w:pPr>
      <w:r w:rsidRPr="00501ED9">
        <w:rPr>
          <w:rFonts w:ascii="Times New Roman" w:hAnsi="Times New Roman" w:cs="Times New Roman"/>
        </w:rPr>
        <w:t>The diagnostic yield of WES data re-analysis was 1</w:t>
      </w:r>
      <w:r w:rsidR="00486832">
        <w:rPr>
          <w:rFonts w:ascii="Times New Roman" w:hAnsi="Times New Roman" w:cs="Times New Roman"/>
        </w:rPr>
        <w:t>4</w:t>
      </w:r>
      <w:r w:rsidRPr="00501ED9">
        <w:rPr>
          <w:rFonts w:ascii="Times New Roman" w:hAnsi="Times New Roman" w:cs="Times New Roman"/>
        </w:rPr>
        <w:t xml:space="preserve">% in a follow-up study (Stark </w:t>
      </w:r>
      <w:r w:rsidRPr="00501ED9">
        <w:rPr>
          <w:rFonts w:ascii="Times New Roman" w:hAnsi="Times New Roman" w:cs="Times New Roman"/>
          <w:i/>
        </w:rPr>
        <w:t>et al</w:t>
      </w:r>
      <w:r w:rsidRPr="00501ED9">
        <w:rPr>
          <w:rFonts w:ascii="Times New Roman" w:hAnsi="Times New Roman" w:cs="Times New Roman"/>
        </w:rPr>
        <w:t xml:space="preserve"> (2018)) investigating the longer-term clinical impacts and cost-effectiveness of WES in infants aged 0–2 years with suspected monogenic disorders.</w:t>
      </w:r>
    </w:p>
    <w:p w14:paraId="1E2A08F3" w14:textId="77777777" w:rsidR="00846C33" w:rsidRPr="00501ED9" w:rsidRDefault="00846C33" w:rsidP="003D15F0">
      <w:pPr>
        <w:pStyle w:val="Heading3"/>
        <w:rPr>
          <w:rStyle w:val="Emphasis"/>
          <w:rFonts w:ascii="Times New Roman" w:eastAsiaTheme="majorEastAsia" w:hAnsi="Times New Roman"/>
          <w:i/>
        </w:rPr>
      </w:pPr>
      <w:r w:rsidRPr="00501ED9">
        <w:rPr>
          <w:rStyle w:val="Emphasis"/>
          <w:rFonts w:ascii="Times New Roman" w:eastAsiaTheme="majorEastAsia" w:hAnsi="Times New Roman"/>
          <w:i/>
        </w:rPr>
        <w:lastRenderedPageBreak/>
        <w:t xml:space="preserve">Population 3: Cascade testing </w:t>
      </w:r>
      <w:r w:rsidR="000569BD">
        <w:rPr>
          <w:rStyle w:val="Emphasis"/>
          <w:rFonts w:ascii="Times New Roman" w:eastAsiaTheme="majorEastAsia" w:hAnsi="Times New Roman"/>
          <w:i/>
        </w:rPr>
        <w:t>o</w:t>
      </w:r>
      <w:r w:rsidRPr="00501ED9">
        <w:rPr>
          <w:rStyle w:val="Emphasis"/>
          <w:rFonts w:ascii="Times New Roman" w:eastAsiaTheme="majorEastAsia" w:hAnsi="Times New Roman"/>
          <w:i/>
        </w:rPr>
        <w:t>f first-degree family members</w:t>
      </w:r>
    </w:p>
    <w:p w14:paraId="4DA60BE6" w14:textId="77777777" w:rsidR="00846C33" w:rsidRPr="00501ED9" w:rsidRDefault="00846C33" w:rsidP="00501ED9">
      <w:pPr>
        <w:pStyle w:val="Body"/>
        <w:spacing w:line="240" w:lineRule="auto"/>
        <w:rPr>
          <w:rFonts w:ascii="Times New Roman" w:hAnsi="Times New Roman" w:cs="Times New Roman"/>
        </w:rPr>
      </w:pPr>
      <w:r w:rsidRPr="00501ED9">
        <w:rPr>
          <w:rFonts w:ascii="Times New Roman" w:hAnsi="Times New Roman" w:cs="Times New Roman"/>
        </w:rPr>
        <w:t xml:space="preserve">The diagnostic yield of cascade testing was 15% in the follow-up study (Stark </w:t>
      </w:r>
      <w:r w:rsidRPr="00501ED9">
        <w:rPr>
          <w:rFonts w:ascii="Times New Roman" w:hAnsi="Times New Roman" w:cs="Times New Roman"/>
          <w:i/>
        </w:rPr>
        <w:t>et al</w:t>
      </w:r>
      <w:r w:rsidRPr="00501ED9">
        <w:rPr>
          <w:rFonts w:ascii="Times New Roman" w:hAnsi="Times New Roman" w:cs="Times New Roman"/>
        </w:rPr>
        <w:t xml:space="preserve"> (2018)). Of the 88 eligible first-degree relatives of infants diagnosed by WES, 79 (9</w:t>
      </w:r>
      <w:r w:rsidR="00486832">
        <w:rPr>
          <w:rFonts w:ascii="Times New Roman" w:hAnsi="Times New Roman" w:cs="Times New Roman"/>
        </w:rPr>
        <w:t>0</w:t>
      </w:r>
      <w:r w:rsidRPr="00501ED9">
        <w:rPr>
          <w:rFonts w:ascii="Times New Roman" w:hAnsi="Times New Roman" w:cs="Times New Roman"/>
        </w:rPr>
        <w:t>%) underwent cascade testing. Of those 79 relatives, twelve received a molecular diagnosis.</w:t>
      </w:r>
    </w:p>
    <w:p w14:paraId="7623442D" w14:textId="77777777" w:rsidR="00846C33" w:rsidRPr="00B95CD4" w:rsidRDefault="00645461" w:rsidP="00501ED9">
      <w:pPr>
        <w:pStyle w:val="Heading2"/>
        <w:spacing w:after="120"/>
      </w:pPr>
      <w:r>
        <w:t>Key clinical validity results</w:t>
      </w:r>
    </w:p>
    <w:p w14:paraId="41FB7972" w14:textId="77777777" w:rsidR="00846C33" w:rsidRPr="00501ED9" w:rsidRDefault="00846C33" w:rsidP="00645461">
      <w:pPr>
        <w:pStyle w:val="Body"/>
        <w:spacing w:line="240" w:lineRule="auto"/>
        <w:rPr>
          <w:rFonts w:ascii="Times New Roman" w:hAnsi="Times New Roman" w:cs="Times New Roman"/>
        </w:rPr>
      </w:pPr>
      <w:r w:rsidRPr="00501ED9">
        <w:rPr>
          <w:rFonts w:ascii="Times New Roman" w:hAnsi="Times New Roman" w:cs="Times New Roman"/>
        </w:rPr>
        <w:t>Clinical validity is difficult to define in this patient group due to the multitude of conditions being tested.</w:t>
      </w:r>
    </w:p>
    <w:p w14:paraId="676ED112" w14:textId="77777777" w:rsidR="00846C33" w:rsidRPr="00501ED9" w:rsidRDefault="00846C33" w:rsidP="00501ED9">
      <w:pPr>
        <w:pStyle w:val="Heading2"/>
        <w:spacing w:before="0" w:after="120"/>
      </w:pPr>
      <w:r w:rsidRPr="00501ED9">
        <w:t>Ke</w:t>
      </w:r>
      <w:r w:rsidR="00645461">
        <w:t>y clinical utility consequences</w:t>
      </w:r>
    </w:p>
    <w:p w14:paraId="21578465" w14:textId="0D2AD07D" w:rsidR="00451033" w:rsidRPr="00501ED9" w:rsidRDefault="00846C33" w:rsidP="00451033">
      <w:pPr>
        <w:pStyle w:val="Body"/>
        <w:spacing w:line="240" w:lineRule="auto"/>
        <w:rPr>
          <w:rFonts w:ascii="Times New Roman" w:hAnsi="Times New Roman" w:cs="Times New Roman"/>
        </w:rPr>
      </w:pPr>
      <w:r w:rsidRPr="00451033">
        <w:rPr>
          <w:rFonts w:ascii="Times New Roman" w:hAnsi="Times New Roman" w:cs="Times New Roman"/>
        </w:rPr>
        <w:t>Overall, WEA appeared to alter clinical management, shorten the time to diagnosis and provide patient and family-relevant benefits compared with SoC.</w:t>
      </w:r>
      <w:r w:rsidR="00451033" w:rsidRPr="00501ED9">
        <w:rPr>
          <w:rFonts w:ascii="Times New Roman" w:hAnsi="Times New Roman" w:cs="Times New Roman"/>
        </w:rPr>
        <w:t xml:space="preserve"> One key benefit for many patients is the cessation of further diagnostic investigations and procedures (i.e., ending the </w:t>
      </w:r>
      <w:r w:rsidR="000A768F">
        <w:rPr>
          <w:rFonts w:ascii="Times New Roman" w:hAnsi="Times New Roman" w:cs="Times New Roman"/>
        </w:rPr>
        <w:t>‘</w:t>
      </w:r>
      <w:r w:rsidR="00451033" w:rsidRPr="00501ED9">
        <w:rPr>
          <w:rFonts w:ascii="Times New Roman" w:hAnsi="Times New Roman" w:cs="Times New Roman"/>
        </w:rPr>
        <w:t>diagnostic odyssey</w:t>
      </w:r>
      <w:r w:rsidR="000A768F">
        <w:rPr>
          <w:rFonts w:ascii="Times New Roman" w:hAnsi="Times New Roman" w:cs="Times New Roman"/>
        </w:rPr>
        <w:t>’</w:t>
      </w:r>
      <w:r w:rsidR="00451033" w:rsidRPr="00501ED9">
        <w:rPr>
          <w:rFonts w:ascii="Times New Roman" w:hAnsi="Times New Roman" w:cs="Times New Roman"/>
        </w:rPr>
        <w:t>). Improved health outcomes as a consequence of diagnosis and changes in clinical management are also important.</w:t>
      </w:r>
    </w:p>
    <w:p w14:paraId="357EDCE6" w14:textId="77777777" w:rsidR="00451033" w:rsidRPr="00501ED9" w:rsidRDefault="00451033" w:rsidP="00451033">
      <w:pPr>
        <w:pStyle w:val="Body"/>
        <w:spacing w:line="240" w:lineRule="auto"/>
        <w:rPr>
          <w:rFonts w:ascii="Times New Roman" w:hAnsi="Times New Roman" w:cs="Times New Roman"/>
        </w:rPr>
      </w:pPr>
      <w:r w:rsidRPr="00501ED9">
        <w:rPr>
          <w:rFonts w:ascii="Times New Roman" w:hAnsi="Times New Roman" w:cs="Times New Roman"/>
        </w:rPr>
        <w:t>In a clinically ascertained cohort of 80 infants aged 0–2 years undergoing genomic testing</w:t>
      </w:r>
      <w:r w:rsidR="0008731B">
        <w:rPr>
          <w:rFonts w:ascii="Times New Roman" w:hAnsi="Times New Roman" w:cs="Times New Roman"/>
        </w:rPr>
        <w:t xml:space="preserve"> (Stark 2016)</w:t>
      </w:r>
      <w:r w:rsidRPr="00501ED9">
        <w:rPr>
          <w:rFonts w:ascii="Times New Roman" w:hAnsi="Times New Roman" w:cs="Times New Roman"/>
        </w:rPr>
        <w:t xml:space="preserve">, the following </w:t>
      </w:r>
      <w:r w:rsidR="000A3BE7">
        <w:rPr>
          <w:rFonts w:ascii="Times New Roman" w:hAnsi="Times New Roman" w:cs="Times New Roman"/>
        </w:rPr>
        <w:t xml:space="preserve">anecdotal </w:t>
      </w:r>
      <w:r w:rsidRPr="00501ED9">
        <w:rPr>
          <w:rFonts w:ascii="Times New Roman" w:hAnsi="Times New Roman" w:cs="Times New Roman"/>
        </w:rPr>
        <w:t>outcomes have been observed:</w:t>
      </w:r>
    </w:p>
    <w:p w14:paraId="5EED44F6" w14:textId="77777777" w:rsidR="00451033" w:rsidRPr="00501ED9" w:rsidRDefault="00451033" w:rsidP="00451033">
      <w:pPr>
        <w:pStyle w:val="Bullet12"/>
        <w:tabs>
          <w:tab w:val="clear" w:pos="360"/>
        </w:tabs>
        <w:spacing w:line="240" w:lineRule="auto"/>
        <w:rPr>
          <w:rFonts w:ascii="Times New Roman" w:hAnsi="Times New Roman" w:cs="Times New Roman"/>
        </w:rPr>
      </w:pPr>
      <w:r w:rsidRPr="00501ED9">
        <w:rPr>
          <w:rStyle w:val="Emphasis"/>
          <w:rFonts w:ascii="Times New Roman" w:eastAsiaTheme="minorHAnsi" w:hAnsi="Times New Roman"/>
        </w:rPr>
        <w:t>preventing further disease progression and worsening disability</w:t>
      </w:r>
      <w:r w:rsidRPr="00501ED9">
        <w:rPr>
          <w:rFonts w:ascii="Times New Roman" w:hAnsi="Times New Roman" w:cs="Times New Roman"/>
        </w:rPr>
        <w:t xml:space="preserve"> in a child with thiamine transporter dysfunction syndrome who was treated because of the correct diagnosis being made, and the patient did not deteriorate further.</w:t>
      </w:r>
    </w:p>
    <w:p w14:paraId="4F7B704D" w14:textId="77777777" w:rsidR="00451033" w:rsidRPr="00501ED9" w:rsidRDefault="00451033" w:rsidP="00451033">
      <w:pPr>
        <w:pStyle w:val="Bullet12"/>
        <w:tabs>
          <w:tab w:val="clear" w:pos="360"/>
        </w:tabs>
        <w:spacing w:line="240" w:lineRule="auto"/>
        <w:rPr>
          <w:rFonts w:ascii="Times New Roman" w:hAnsi="Times New Roman" w:cs="Times New Roman"/>
        </w:rPr>
      </w:pPr>
      <w:r w:rsidRPr="00501ED9">
        <w:rPr>
          <w:rStyle w:val="Emphasis"/>
          <w:rFonts w:ascii="Times New Roman" w:eastAsiaTheme="minorHAnsi" w:hAnsi="Times New Roman"/>
        </w:rPr>
        <w:t>improved management of known disease complications</w:t>
      </w:r>
      <w:r w:rsidRPr="00501ED9">
        <w:rPr>
          <w:rFonts w:ascii="Times New Roman" w:hAnsi="Times New Roman" w:cs="Times New Roman"/>
          <w:b/>
        </w:rPr>
        <w:t xml:space="preserve"> </w:t>
      </w:r>
      <w:r w:rsidRPr="00501ED9">
        <w:rPr>
          <w:rFonts w:ascii="Times New Roman" w:hAnsi="Times New Roman" w:cs="Times New Roman"/>
        </w:rPr>
        <w:t xml:space="preserve">in a child with </w:t>
      </w:r>
      <w:r w:rsidRPr="00501ED9">
        <w:rPr>
          <w:rFonts w:ascii="Times New Roman" w:hAnsi="Times New Roman" w:cs="Times New Roman"/>
          <w:i/>
        </w:rPr>
        <w:t>RMND1</w:t>
      </w:r>
      <w:r w:rsidRPr="00501ED9">
        <w:rPr>
          <w:rFonts w:ascii="Times New Roman" w:hAnsi="Times New Roman" w:cs="Times New Roman"/>
        </w:rPr>
        <w:t>-related mitochondrial disease who was treated for life-threatening hyperkalaemia because of the correct diagnosis being made.</w:t>
      </w:r>
    </w:p>
    <w:p w14:paraId="4D901922" w14:textId="77777777" w:rsidR="00451033" w:rsidRPr="00501ED9" w:rsidRDefault="00451033" w:rsidP="00451033">
      <w:pPr>
        <w:pStyle w:val="Bullet12"/>
        <w:tabs>
          <w:tab w:val="clear" w:pos="360"/>
        </w:tabs>
        <w:spacing w:line="240" w:lineRule="auto"/>
        <w:rPr>
          <w:rFonts w:ascii="Times New Roman" w:hAnsi="Times New Roman" w:cs="Times New Roman"/>
        </w:rPr>
      </w:pPr>
      <w:r w:rsidRPr="00501ED9">
        <w:rPr>
          <w:rStyle w:val="Emphasis"/>
          <w:rFonts w:ascii="Times New Roman" w:eastAsiaTheme="minorHAnsi" w:hAnsi="Times New Roman"/>
        </w:rPr>
        <w:t>reduced number of hospital admissions</w:t>
      </w:r>
      <w:r w:rsidRPr="00501ED9">
        <w:rPr>
          <w:rFonts w:ascii="Times New Roman" w:hAnsi="Times New Roman" w:cs="Times New Roman"/>
        </w:rPr>
        <w:t xml:space="preserve"> in two children who were started on the correct treatment for their condition, one with alternating hemiplegia of childhood and the other with Hz/Hc syndrome.</w:t>
      </w:r>
    </w:p>
    <w:p w14:paraId="2C20FB0E" w14:textId="77777777" w:rsidR="00451033" w:rsidRPr="00501ED9" w:rsidRDefault="00451033" w:rsidP="00451033">
      <w:pPr>
        <w:pStyle w:val="Body"/>
        <w:spacing w:after="240" w:line="240" w:lineRule="auto"/>
        <w:rPr>
          <w:rFonts w:ascii="Times New Roman" w:hAnsi="Times New Roman" w:cs="Times New Roman"/>
        </w:rPr>
      </w:pPr>
      <w:r w:rsidRPr="00501ED9">
        <w:rPr>
          <w:rFonts w:ascii="Times New Roman" w:hAnsi="Times New Roman" w:cs="Times New Roman"/>
        </w:rPr>
        <w:t xml:space="preserve">Given the above, the clinical events to determine clinical </w:t>
      </w:r>
      <w:r>
        <w:rPr>
          <w:rFonts w:ascii="Times New Roman" w:hAnsi="Times New Roman" w:cs="Times New Roman"/>
        </w:rPr>
        <w:t>utility</w:t>
      </w:r>
      <w:r w:rsidRPr="00501ED9">
        <w:rPr>
          <w:rFonts w:ascii="Times New Roman" w:hAnsi="Times New Roman" w:cs="Times New Roman"/>
        </w:rPr>
        <w:t xml:space="preserve"> in an affected individual have been defined as: change in clinical management, time to definitive diagnosis, health resource change, and quality of life.</w:t>
      </w:r>
    </w:p>
    <w:p w14:paraId="084C096D" w14:textId="77777777" w:rsidR="00846C33" w:rsidRPr="003D15F0" w:rsidRDefault="00846C33" w:rsidP="003D15F0">
      <w:pPr>
        <w:pStyle w:val="Heading3"/>
        <w:rPr>
          <w:rStyle w:val="Emphasis"/>
          <w:rFonts w:ascii="Times New Roman" w:eastAsiaTheme="minorHAnsi" w:hAnsi="Times New Roman" w:cstheme="minorBidi"/>
        </w:rPr>
      </w:pPr>
      <w:r w:rsidRPr="003D15F0">
        <w:rPr>
          <w:rStyle w:val="Emphasis"/>
          <w:rFonts w:ascii="Times New Roman" w:eastAsiaTheme="minorHAnsi" w:hAnsi="Times New Roman" w:cstheme="minorBidi"/>
        </w:rPr>
        <w:t>Population 1: Initial testing for the diagnosis of childhood syndromes</w:t>
      </w:r>
    </w:p>
    <w:p w14:paraId="68125D0F" w14:textId="77777777" w:rsidR="00846C33" w:rsidRPr="00981880" w:rsidRDefault="00846C33" w:rsidP="00981880">
      <w:pPr>
        <w:pStyle w:val="Body"/>
        <w:spacing w:after="0" w:line="240" w:lineRule="auto"/>
        <w:rPr>
          <w:rFonts w:ascii="Times New Roman" w:hAnsi="Times New Roman" w:cs="Times New Roman"/>
        </w:rPr>
      </w:pPr>
      <w:r w:rsidRPr="00981880">
        <w:rPr>
          <w:rFonts w:ascii="Times New Roman" w:hAnsi="Times New Roman" w:cs="Times New Roman"/>
          <w:u w:val="single"/>
        </w:rPr>
        <w:t>Change in management</w:t>
      </w:r>
      <w:r w:rsidRPr="00645461">
        <w:rPr>
          <w:rFonts w:ascii="Times New Roman" w:hAnsi="Times New Roman" w:cs="Times New Roman"/>
        </w:rPr>
        <w:t>:</w:t>
      </w:r>
      <w:r w:rsidRPr="00981880">
        <w:rPr>
          <w:rFonts w:ascii="Times New Roman" w:hAnsi="Times New Roman" w:cs="Times New Roman"/>
        </w:rPr>
        <w:t xml:space="preserve"> Studies report that clinical management was changed in 18–33% of patients who received a molecular diagnosis by WEA (</w:t>
      </w:r>
      <w:r w:rsidR="00981880">
        <w:rPr>
          <w:rFonts w:ascii="Times New Roman" w:hAnsi="Times New Roman" w:cs="Times New Roman"/>
        </w:rPr>
        <w:t>Table 4</w:t>
      </w:r>
      <w:r w:rsidRPr="00981880">
        <w:rPr>
          <w:rFonts w:ascii="Times New Roman" w:hAnsi="Times New Roman" w:cs="Times New Roman"/>
        </w:rPr>
        <w:t>). Management changes included initiation of additional treatments or surveillance, cessation of treatment or surveillance, or modification to existing treatment regimens.</w:t>
      </w:r>
    </w:p>
    <w:p w14:paraId="2388E6B6" w14:textId="77777777" w:rsidR="00846C33" w:rsidRPr="001964D2" w:rsidRDefault="00846C33" w:rsidP="001964D2">
      <w:pPr>
        <w:spacing w:before="240"/>
        <w:rPr>
          <w:rFonts w:ascii="Arial Narrow" w:hAnsi="Arial Narrow"/>
          <w:b/>
          <w:sz w:val="20"/>
        </w:rPr>
      </w:pPr>
      <w:bookmarkStart w:id="8" w:name="_Ref512582802"/>
      <w:bookmarkStart w:id="9" w:name="_Toc513290987"/>
      <w:r w:rsidRPr="001964D2">
        <w:rPr>
          <w:rFonts w:ascii="Arial Narrow" w:hAnsi="Arial Narrow"/>
          <w:b/>
          <w:sz w:val="20"/>
        </w:rPr>
        <w:t xml:space="preserve">Table </w:t>
      </w:r>
      <w:bookmarkEnd w:id="8"/>
      <w:r w:rsidR="00981880" w:rsidRPr="001964D2">
        <w:rPr>
          <w:rFonts w:ascii="Arial Narrow" w:hAnsi="Arial Narrow"/>
          <w:b/>
          <w:sz w:val="20"/>
        </w:rPr>
        <w:t>4</w:t>
      </w:r>
      <w:r w:rsidRPr="001964D2">
        <w:rPr>
          <w:rFonts w:ascii="Arial Narrow" w:hAnsi="Arial Narrow"/>
          <w:b/>
          <w:sz w:val="20"/>
        </w:rPr>
        <w:tab/>
        <w:t xml:space="preserve">Summary of change in management after </w:t>
      </w:r>
      <w:r w:rsidR="0008731B" w:rsidRPr="001964D2">
        <w:rPr>
          <w:rFonts w:ascii="Arial Narrow" w:hAnsi="Arial Narrow"/>
          <w:b/>
          <w:sz w:val="20"/>
        </w:rPr>
        <w:t xml:space="preserve">molecular </w:t>
      </w:r>
      <w:r w:rsidRPr="001964D2">
        <w:rPr>
          <w:rFonts w:ascii="Arial Narrow" w:hAnsi="Arial Narrow"/>
          <w:b/>
          <w:sz w:val="20"/>
        </w:rPr>
        <w:t xml:space="preserve">diagnosis by </w:t>
      </w:r>
      <w:r w:rsidR="00645461" w:rsidRPr="001964D2">
        <w:rPr>
          <w:rFonts w:ascii="Arial Narrow" w:hAnsi="Arial Narrow"/>
          <w:b/>
          <w:sz w:val="20"/>
        </w:rPr>
        <w:t>whole exome analysis</w:t>
      </w:r>
      <w:bookmarkEnd w:id="9"/>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the change in managment results after molecular diagnosis by WEA"/>
      </w:tblPr>
      <w:tblGrid>
        <w:gridCol w:w="1692"/>
        <w:gridCol w:w="4100"/>
        <w:gridCol w:w="3224"/>
      </w:tblGrid>
      <w:tr w:rsidR="00846C33" w:rsidRPr="00981880" w14:paraId="112416DE" w14:textId="77777777" w:rsidTr="007052AA">
        <w:trPr>
          <w:tblHeader/>
        </w:trPr>
        <w:tc>
          <w:tcPr>
            <w:tcW w:w="1696" w:type="dxa"/>
          </w:tcPr>
          <w:p w14:paraId="56079AEC" w14:textId="77777777" w:rsidR="00846C33" w:rsidRPr="00981880" w:rsidRDefault="00846C33" w:rsidP="0008217D">
            <w:pPr>
              <w:pStyle w:val="Tableheading"/>
              <w:rPr>
                <w:rFonts w:ascii="Arial Narrow" w:hAnsi="Arial Narrow"/>
                <w:szCs w:val="20"/>
              </w:rPr>
            </w:pPr>
            <w:r w:rsidRPr="00981880">
              <w:rPr>
                <w:rFonts w:ascii="Arial Narrow" w:hAnsi="Arial Narrow"/>
                <w:szCs w:val="20"/>
              </w:rPr>
              <w:t>Study</w:t>
            </w:r>
          </w:p>
        </w:tc>
        <w:tc>
          <w:tcPr>
            <w:tcW w:w="4111" w:type="dxa"/>
          </w:tcPr>
          <w:p w14:paraId="7CCF4285" w14:textId="77777777" w:rsidR="00846C33" w:rsidRPr="00981880" w:rsidRDefault="00846C33" w:rsidP="0008217D">
            <w:pPr>
              <w:pStyle w:val="Tableheading"/>
              <w:rPr>
                <w:rFonts w:ascii="Arial Narrow" w:hAnsi="Arial Narrow"/>
                <w:szCs w:val="20"/>
              </w:rPr>
            </w:pPr>
            <w:r w:rsidRPr="00981880">
              <w:rPr>
                <w:rFonts w:ascii="Arial Narrow" w:hAnsi="Arial Narrow"/>
                <w:szCs w:val="20"/>
              </w:rPr>
              <w:t>Patient population</w:t>
            </w:r>
          </w:p>
        </w:tc>
        <w:tc>
          <w:tcPr>
            <w:tcW w:w="3231" w:type="dxa"/>
          </w:tcPr>
          <w:p w14:paraId="3637F302" w14:textId="77777777" w:rsidR="00846C33" w:rsidRPr="00981880" w:rsidRDefault="00846C33" w:rsidP="0008217D">
            <w:pPr>
              <w:pStyle w:val="Tableheading"/>
              <w:jc w:val="center"/>
              <w:rPr>
                <w:rFonts w:ascii="Arial Narrow" w:hAnsi="Arial Narrow"/>
                <w:szCs w:val="20"/>
              </w:rPr>
            </w:pPr>
            <w:r w:rsidRPr="00981880">
              <w:rPr>
                <w:rFonts w:ascii="Arial Narrow" w:hAnsi="Arial Narrow"/>
                <w:szCs w:val="20"/>
              </w:rPr>
              <w:t>Change in management</w:t>
            </w:r>
          </w:p>
          <w:p w14:paraId="1B7275F6" w14:textId="77777777" w:rsidR="00846C33" w:rsidRPr="00981880" w:rsidRDefault="00846C33" w:rsidP="0008217D">
            <w:pPr>
              <w:pStyle w:val="Tableheading"/>
              <w:jc w:val="center"/>
              <w:rPr>
                <w:rFonts w:ascii="Arial Narrow" w:hAnsi="Arial Narrow"/>
                <w:szCs w:val="20"/>
              </w:rPr>
            </w:pPr>
            <w:r w:rsidRPr="00981880">
              <w:rPr>
                <w:rFonts w:ascii="Arial Narrow" w:hAnsi="Arial Narrow"/>
                <w:szCs w:val="20"/>
              </w:rPr>
              <w:t>n/N (%)</w:t>
            </w:r>
          </w:p>
        </w:tc>
      </w:tr>
      <w:tr w:rsidR="00846C33" w:rsidRPr="00981880" w14:paraId="450D25C4" w14:textId="77777777" w:rsidTr="0008217D">
        <w:tc>
          <w:tcPr>
            <w:tcW w:w="1696" w:type="dxa"/>
          </w:tcPr>
          <w:p w14:paraId="308DF47A" w14:textId="77777777" w:rsidR="00846C33" w:rsidRPr="00981880" w:rsidRDefault="00846C33" w:rsidP="0008217D">
            <w:pPr>
              <w:pStyle w:val="Tabletext"/>
              <w:rPr>
                <w:szCs w:val="20"/>
              </w:rPr>
            </w:pPr>
            <w:r w:rsidRPr="00981880">
              <w:rPr>
                <w:szCs w:val="20"/>
              </w:rPr>
              <w:t xml:space="preserve">Stark </w:t>
            </w:r>
            <w:r w:rsidRPr="00981880">
              <w:rPr>
                <w:i/>
                <w:szCs w:val="20"/>
              </w:rPr>
              <w:t>et al</w:t>
            </w:r>
            <w:r w:rsidRPr="00981880">
              <w:rPr>
                <w:szCs w:val="20"/>
              </w:rPr>
              <w:t xml:space="preserve"> (2016)</w:t>
            </w:r>
          </w:p>
        </w:tc>
        <w:tc>
          <w:tcPr>
            <w:tcW w:w="4111" w:type="dxa"/>
          </w:tcPr>
          <w:p w14:paraId="50E8BE24" w14:textId="77777777" w:rsidR="00846C33" w:rsidRPr="00981880" w:rsidRDefault="00846C33" w:rsidP="0008217D">
            <w:pPr>
              <w:pStyle w:val="Tabletext"/>
              <w:rPr>
                <w:szCs w:val="20"/>
              </w:rPr>
            </w:pPr>
            <w:r w:rsidRPr="00981880">
              <w:rPr>
                <w:szCs w:val="20"/>
              </w:rPr>
              <w:t>Infants aged 0–2 years</w:t>
            </w:r>
          </w:p>
        </w:tc>
        <w:tc>
          <w:tcPr>
            <w:tcW w:w="3231" w:type="dxa"/>
          </w:tcPr>
          <w:p w14:paraId="0BD35268" w14:textId="77777777" w:rsidR="00846C33" w:rsidRPr="00981880" w:rsidRDefault="00846C33" w:rsidP="0008217D">
            <w:pPr>
              <w:pStyle w:val="Tabletext"/>
              <w:jc w:val="center"/>
              <w:rPr>
                <w:szCs w:val="20"/>
              </w:rPr>
            </w:pPr>
            <w:r w:rsidRPr="00981880">
              <w:rPr>
                <w:szCs w:val="20"/>
              </w:rPr>
              <w:t>15/46 (32.6%)</w:t>
            </w:r>
          </w:p>
        </w:tc>
      </w:tr>
      <w:tr w:rsidR="00846C33" w:rsidRPr="00981880" w14:paraId="613061B9" w14:textId="77777777" w:rsidTr="0008217D">
        <w:tc>
          <w:tcPr>
            <w:tcW w:w="1696" w:type="dxa"/>
          </w:tcPr>
          <w:p w14:paraId="246E9CB5" w14:textId="77777777" w:rsidR="00846C33" w:rsidRPr="00981880" w:rsidRDefault="00846C33" w:rsidP="0008217D">
            <w:pPr>
              <w:pStyle w:val="Tabletext"/>
              <w:rPr>
                <w:szCs w:val="20"/>
              </w:rPr>
            </w:pPr>
            <w:r w:rsidRPr="00981880">
              <w:rPr>
                <w:szCs w:val="20"/>
              </w:rPr>
              <w:t xml:space="preserve">Tan </w:t>
            </w:r>
            <w:r w:rsidRPr="00981880">
              <w:rPr>
                <w:i/>
                <w:szCs w:val="20"/>
              </w:rPr>
              <w:t>et al</w:t>
            </w:r>
            <w:r w:rsidRPr="00981880">
              <w:rPr>
                <w:szCs w:val="20"/>
              </w:rPr>
              <w:t xml:space="preserve"> (2017)</w:t>
            </w:r>
          </w:p>
        </w:tc>
        <w:tc>
          <w:tcPr>
            <w:tcW w:w="4111" w:type="dxa"/>
          </w:tcPr>
          <w:p w14:paraId="427E90B0" w14:textId="77777777" w:rsidR="00846C33" w:rsidRPr="00981880" w:rsidRDefault="00846C33" w:rsidP="0008217D">
            <w:pPr>
              <w:pStyle w:val="Tabletext"/>
              <w:rPr>
                <w:szCs w:val="20"/>
              </w:rPr>
            </w:pPr>
            <w:r w:rsidRPr="00981880">
              <w:rPr>
                <w:szCs w:val="20"/>
              </w:rPr>
              <w:t>Children aged 2–18 years</w:t>
            </w:r>
          </w:p>
        </w:tc>
        <w:tc>
          <w:tcPr>
            <w:tcW w:w="3231" w:type="dxa"/>
          </w:tcPr>
          <w:p w14:paraId="0C818DFA" w14:textId="77777777" w:rsidR="00846C33" w:rsidRPr="00981880" w:rsidRDefault="00846C33" w:rsidP="0008217D">
            <w:pPr>
              <w:pStyle w:val="Tabletext"/>
              <w:jc w:val="center"/>
              <w:rPr>
                <w:szCs w:val="20"/>
              </w:rPr>
            </w:pPr>
            <w:r w:rsidRPr="00981880">
              <w:rPr>
                <w:szCs w:val="20"/>
              </w:rPr>
              <w:t>6/23 (26%)</w:t>
            </w:r>
            <w:r w:rsidRPr="00981880">
              <w:rPr>
                <w:szCs w:val="20"/>
                <w:vertAlign w:val="superscript"/>
              </w:rPr>
              <w:t>a</w:t>
            </w:r>
          </w:p>
        </w:tc>
      </w:tr>
      <w:tr w:rsidR="00846C33" w:rsidRPr="00981880" w14:paraId="15174900" w14:textId="77777777" w:rsidTr="0008217D">
        <w:tc>
          <w:tcPr>
            <w:tcW w:w="1696" w:type="dxa"/>
          </w:tcPr>
          <w:p w14:paraId="1821CF00" w14:textId="77777777" w:rsidR="00846C33" w:rsidRPr="00981880" w:rsidRDefault="00846C33" w:rsidP="0008217D">
            <w:pPr>
              <w:pStyle w:val="Tabletext"/>
              <w:rPr>
                <w:szCs w:val="20"/>
              </w:rPr>
            </w:pPr>
            <w:r w:rsidRPr="00981880">
              <w:rPr>
                <w:szCs w:val="20"/>
              </w:rPr>
              <w:t xml:space="preserve">Stark </w:t>
            </w:r>
            <w:r w:rsidRPr="00981880">
              <w:rPr>
                <w:i/>
                <w:szCs w:val="20"/>
              </w:rPr>
              <w:t>et al</w:t>
            </w:r>
            <w:r w:rsidRPr="00981880">
              <w:rPr>
                <w:szCs w:val="20"/>
              </w:rPr>
              <w:t xml:space="preserve"> (2018)</w:t>
            </w:r>
          </w:p>
        </w:tc>
        <w:tc>
          <w:tcPr>
            <w:tcW w:w="4111" w:type="dxa"/>
          </w:tcPr>
          <w:p w14:paraId="640EEFD7" w14:textId="77777777" w:rsidR="00846C33" w:rsidRPr="00981880" w:rsidRDefault="00846C33" w:rsidP="0008217D">
            <w:pPr>
              <w:pStyle w:val="Tabletext"/>
              <w:rPr>
                <w:szCs w:val="20"/>
              </w:rPr>
            </w:pPr>
            <w:r w:rsidRPr="00981880">
              <w:rPr>
                <w:szCs w:val="20"/>
              </w:rPr>
              <w:t xml:space="preserve">Follow-up study with infants from Stark </w:t>
            </w:r>
            <w:r w:rsidRPr="00981880">
              <w:rPr>
                <w:i/>
                <w:szCs w:val="20"/>
              </w:rPr>
              <w:t>et al</w:t>
            </w:r>
            <w:r w:rsidRPr="00981880">
              <w:rPr>
                <w:szCs w:val="20"/>
              </w:rPr>
              <w:t xml:space="preserve"> (2016)</w:t>
            </w:r>
          </w:p>
        </w:tc>
        <w:tc>
          <w:tcPr>
            <w:tcW w:w="3231" w:type="dxa"/>
          </w:tcPr>
          <w:p w14:paraId="2C13F7D4" w14:textId="77777777" w:rsidR="00846C33" w:rsidRPr="00981880" w:rsidRDefault="00846C33" w:rsidP="0008217D">
            <w:pPr>
              <w:pStyle w:val="Tabletext"/>
              <w:jc w:val="center"/>
              <w:rPr>
                <w:szCs w:val="20"/>
                <w:vertAlign w:val="superscript"/>
              </w:rPr>
            </w:pPr>
            <w:r w:rsidRPr="00981880">
              <w:rPr>
                <w:szCs w:val="20"/>
              </w:rPr>
              <w:t>16/48 (33%)</w:t>
            </w:r>
            <w:r w:rsidRPr="00981880">
              <w:rPr>
                <w:szCs w:val="20"/>
                <w:vertAlign w:val="superscript"/>
              </w:rPr>
              <w:t>b</w:t>
            </w:r>
          </w:p>
        </w:tc>
      </w:tr>
      <w:tr w:rsidR="00846C33" w:rsidRPr="00981880" w14:paraId="15F02AF4" w14:textId="77777777" w:rsidTr="0008217D">
        <w:tc>
          <w:tcPr>
            <w:tcW w:w="1696" w:type="dxa"/>
          </w:tcPr>
          <w:p w14:paraId="39583554" w14:textId="77777777" w:rsidR="00846C33" w:rsidRPr="00981880" w:rsidRDefault="00846C33" w:rsidP="0008217D">
            <w:pPr>
              <w:pStyle w:val="Tabletext"/>
              <w:rPr>
                <w:szCs w:val="20"/>
                <w:vertAlign w:val="superscript"/>
              </w:rPr>
            </w:pPr>
            <w:r w:rsidRPr="00981880">
              <w:rPr>
                <w:szCs w:val="20"/>
              </w:rPr>
              <w:t xml:space="preserve">Clark </w:t>
            </w:r>
            <w:r w:rsidRPr="00981880">
              <w:rPr>
                <w:i/>
                <w:szCs w:val="20"/>
              </w:rPr>
              <w:t>et al</w:t>
            </w:r>
            <w:r w:rsidRPr="00981880">
              <w:rPr>
                <w:szCs w:val="20"/>
              </w:rPr>
              <w:t xml:space="preserve"> (2018)</w:t>
            </w:r>
            <w:r w:rsidRPr="00981880">
              <w:rPr>
                <w:rFonts w:cstheme="minorHAnsi"/>
                <w:szCs w:val="20"/>
                <w:vertAlign w:val="superscript"/>
              </w:rPr>
              <w:t>c</w:t>
            </w:r>
          </w:p>
        </w:tc>
        <w:tc>
          <w:tcPr>
            <w:tcW w:w="4111" w:type="dxa"/>
          </w:tcPr>
          <w:p w14:paraId="0802B76D" w14:textId="77777777" w:rsidR="00846C33" w:rsidRPr="00981880" w:rsidRDefault="00846C33" w:rsidP="0008217D">
            <w:pPr>
              <w:pStyle w:val="Tabletext"/>
              <w:rPr>
                <w:szCs w:val="20"/>
              </w:rPr>
            </w:pPr>
            <w:r w:rsidRPr="00981880">
              <w:rPr>
                <w:szCs w:val="20"/>
              </w:rPr>
              <w:t>Children aged &lt;18 years</w:t>
            </w:r>
          </w:p>
        </w:tc>
        <w:tc>
          <w:tcPr>
            <w:tcW w:w="3231" w:type="dxa"/>
          </w:tcPr>
          <w:p w14:paraId="6B439741" w14:textId="77777777" w:rsidR="00846C33" w:rsidRPr="00981880" w:rsidRDefault="00846C33" w:rsidP="0008217D">
            <w:pPr>
              <w:pStyle w:val="Tabletext"/>
              <w:jc w:val="center"/>
              <w:rPr>
                <w:szCs w:val="20"/>
              </w:rPr>
            </w:pPr>
            <w:r w:rsidRPr="00981880">
              <w:rPr>
                <w:szCs w:val="20"/>
              </w:rPr>
              <w:t>WGS</w:t>
            </w:r>
            <w:r w:rsidRPr="00981880">
              <w:rPr>
                <w:rFonts w:cstheme="minorHAnsi"/>
                <w:szCs w:val="20"/>
                <w:vertAlign w:val="superscript"/>
              </w:rPr>
              <w:t>d</w:t>
            </w:r>
            <w:r w:rsidRPr="00981880">
              <w:rPr>
                <w:szCs w:val="20"/>
              </w:rPr>
              <w:t>: 27% (95% CI</w:t>
            </w:r>
            <w:r w:rsidR="00474D22">
              <w:rPr>
                <w:szCs w:val="20"/>
              </w:rPr>
              <w:t>:</w:t>
            </w:r>
            <w:r w:rsidRPr="00981880">
              <w:rPr>
                <w:szCs w:val="20"/>
              </w:rPr>
              <w:t xml:space="preserve"> 17–40%; </w:t>
            </w:r>
            <w:r w:rsidRPr="00981880">
              <w:rPr>
                <w:i/>
                <w:szCs w:val="20"/>
              </w:rPr>
              <w:t>I</w:t>
            </w:r>
            <w:r w:rsidRPr="00981880">
              <w:rPr>
                <w:szCs w:val="20"/>
                <w:vertAlign w:val="superscript"/>
              </w:rPr>
              <w:t>2</w:t>
            </w:r>
            <w:r w:rsidRPr="00981880">
              <w:rPr>
                <w:szCs w:val="20"/>
              </w:rPr>
              <w:t>=54%)</w:t>
            </w:r>
          </w:p>
          <w:p w14:paraId="1B0E7D78" w14:textId="77777777" w:rsidR="00846C33" w:rsidRPr="00981880" w:rsidRDefault="00846C33" w:rsidP="0008217D">
            <w:pPr>
              <w:pStyle w:val="Tabletext"/>
              <w:jc w:val="center"/>
              <w:rPr>
                <w:szCs w:val="20"/>
              </w:rPr>
            </w:pPr>
            <w:r w:rsidRPr="00981880">
              <w:rPr>
                <w:szCs w:val="20"/>
              </w:rPr>
              <w:t>WES</w:t>
            </w:r>
            <w:r w:rsidRPr="00981880">
              <w:rPr>
                <w:rFonts w:cstheme="minorHAnsi"/>
                <w:szCs w:val="20"/>
                <w:vertAlign w:val="superscript"/>
              </w:rPr>
              <w:t>e</w:t>
            </w:r>
            <w:r w:rsidRPr="00981880">
              <w:rPr>
                <w:szCs w:val="20"/>
              </w:rPr>
              <w:t>: 18% (95% CI</w:t>
            </w:r>
            <w:r w:rsidR="00474D22">
              <w:rPr>
                <w:szCs w:val="20"/>
              </w:rPr>
              <w:t>:</w:t>
            </w:r>
            <w:r w:rsidRPr="00981880">
              <w:rPr>
                <w:szCs w:val="20"/>
              </w:rPr>
              <w:t xml:space="preserve"> 13–24%; </w:t>
            </w:r>
            <w:r w:rsidRPr="00981880">
              <w:rPr>
                <w:i/>
                <w:szCs w:val="20"/>
              </w:rPr>
              <w:t>I</w:t>
            </w:r>
            <w:r w:rsidRPr="00981880">
              <w:rPr>
                <w:szCs w:val="20"/>
                <w:vertAlign w:val="superscript"/>
              </w:rPr>
              <w:t>2</w:t>
            </w:r>
            <w:r w:rsidRPr="00981880">
              <w:rPr>
                <w:szCs w:val="20"/>
              </w:rPr>
              <w:t>=77%)</w:t>
            </w:r>
          </w:p>
        </w:tc>
      </w:tr>
    </w:tbl>
    <w:p w14:paraId="39AC9B9F" w14:textId="77777777" w:rsidR="00846C33" w:rsidRPr="00981880" w:rsidRDefault="00846C33" w:rsidP="00846C33">
      <w:pPr>
        <w:pStyle w:val="Tablenote"/>
        <w:rPr>
          <w:rFonts w:ascii="Arial Narrow" w:hAnsi="Arial Narrow"/>
          <w:sz w:val="20"/>
          <w:szCs w:val="20"/>
        </w:rPr>
      </w:pPr>
      <w:r w:rsidRPr="00981880">
        <w:rPr>
          <w:rFonts w:ascii="Arial Narrow" w:hAnsi="Arial Narrow"/>
          <w:sz w:val="20"/>
          <w:szCs w:val="20"/>
        </w:rPr>
        <w:t>Abbreviations: WES, whole exome sequencing; WGS, whole genome sequencing</w:t>
      </w:r>
    </w:p>
    <w:p w14:paraId="2DDAF975" w14:textId="77777777" w:rsidR="00846C33" w:rsidRPr="00981880" w:rsidRDefault="00846C33" w:rsidP="00846C33">
      <w:pPr>
        <w:pStyle w:val="Tablenote"/>
        <w:rPr>
          <w:rFonts w:ascii="Arial Narrow" w:hAnsi="Arial Narrow"/>
          <w:sz w:val="20"/>
          <w:szCs w:val="20"/>
        </w:rPr>
      </w:pPr>
      <w:r w:rsidRPr="00981880">
        <w:rPr>
          <w:rFonts w:ascii="Arial Narrow" w:hAnsi="Arial Narrow"/>
          <w:sz w:val="20"/>
          <w:szCs w:val="20"/>
          <w:vertAlign w:val="superscript"/>
        </w:rPr>
        <w:t xml:space="preserve">a </w:t>
      </w:r>
      <w:r w:rsidRPr="00981880">
        <w:rPr>
          <w:rFonts w:ascii="Arial Narrow" w:hAnsi="Arial Narrow"/>
          <w:sz w:val="20"/>
          <w:szCs w:val="20"/>
        </w:rPr>
        <w:t>One infant also had additional diagnostic investigation cancelled and the parents of another had preimplantation genetics planned.</w:t>
      </w:r>
    </w:p>
    <w:p w14:paraId="44A0B70D" w14:textId="77777777" w:rsidR="00846C33" w:rsidRPr="00981880" w:rsidRDefault="00846C33" w:rsidP="00846C33">
      <w:pPr>
        <w:pStyle w:val="Tablenote"/>
        <w:rPr>
          <w:rFonts w:ascii="Arial Narrow" w:hAnsi="Arial Narrow"/>
          <w:sz w:val="20"/>
          <w:szCs w:val="20"/>
        </w:rPr>
      </w:pPr>
      <w:r w:rsidRPr="00981880">
        <w:rPr>
          <w:rFonts w:ascii="Arial Narrow" w:hAnsi="Arial Narrow"/>
          <w:sz w:val="20"/>
          <w:szCs w:val="20"/>
          <w:vertAlign w:val="superscript"/>
        </w:rPr>
        <w:t>b</w:t>
      </w:r>
      <w:r w:rsidRPr="00981880">
        <w:rPr>
          <w:rFonts w:ascii="Arial Narrow" w:hAnsi="Arial Narrow"/>
          <w:sz w:val="20"/>
          <w:szCs w:val="20"/>
        </w:rPr>
        <w:t xml:space="preserve"> Includes 44 infants who received a </w:t>
      </w:r>
      <w:r w:rsidR="0008731B">
        <w:rPr>
          <w:rFonts w:ascii="Arial Narrow" w:hAnsi="Arial Narrow"/>
          <w:sz w:val="20"/>
          <w:szCs w:val="20"/>
        </w:rPr>
        <w:t xml:space="preserve">molecular </w:t>
      </w:r>
      <w:r w:rsidRPr="00981880">
        <w:rPr>
          <w:rFonts w:ascii="Arial Narrow" w:hAnsi="Arial Narrow"/>
          <w:sz w:val="20"/>
          <w:szCs w:val="20"/>
        </w:rPr>
        <w:t xml:space="preserve">diagnosis after initial WES and 4 infants who received </w:t>
      </w:r>
      <w:r w:rsidR="0008731B">
        <w:rPr>
          <w:rFonts w:ascii="Arial Narrow" w:hAnsi="Arial Narrow"/>
          <w:sz w:val="20"/>
          <w:szCs w:val="20"/>
        </w:rPr>
        <w:t xml:space="preserve">a molecular </w:t>
      </w:r>
      <w:r w:rsidRPr="00981880">
        <w:rPr>
          <w:rFonts w:ascii="Arial Narrow" w:hAnsi="Arial Narrow"/>
          <w:sz w:val="20"/>
          <w:szCs w:val="20"/>
        </w:rPr>
        <w:t>diagnos</w:t>
      </w:r>
      <w:r w:rsidR="0008731B">
        <w:rPr>
          <w:rFonts w:ascii="Arial Narrow" w:hAnsi="Arial Narrow"/>
          <w:sz w:val="20"/>
          <w:szCs w:val="20"/>
        </w:rPr>
        <w:t>i</w:t>
      </w:r>
      <w:r w:rsidRPr="00981880">
        <w:rPr>
          <w:rFonts w:ascii="Arial Narrow" w:hAnsi="Arial Narrow"/>
          <w:sz w:val="20"/>
          <w:szCs w:val="20"/>
        </w:rPr>
        <w:t>s after re-analysis of WES data.</w:t>
      </w:r>
    </w:p>
    <w:p w14:paraId="649B3461" w14:textId="77777777" w:rsidR="00846C33" w:rsidRPr="00981880" w:rsidRDefault="00846C33" w:rsidP="00846C33">
      <w:pPr>
        <w:pStyle w:val="Tablenote"/>
        <w:rPr>
          <w:rFonts w:ascii="Arial Narrow" w:hAnsi="Arial Narrow"/>
          <w:sz w:val="20"/>
          <w:szCs w:val="20"/>
        </w:rPr>
      </w:pPr>
      <w:r w:rsidRPr="00981880">
        <w:rPr>
          <w:rFonts w:ascii="Arial Narrow" w:hAnsi="Arial Narrow" w:cstheme="minorHAnsi"/>
          <w:sz w:val="20"/>
          <w:szCs w:val="20"/>
          <w:vertAlign w:val="superscript"/>
        </w:rPr>
        <w:t>c</w:t>
      </w:r>
      <w:r w:rsidRPr="00981880">
        <w:rPr>
          <w:rFonts w:ascii="Arial Narrow" w:hAnsi="Arial Narrow"/>
          <w:sz w:val="20"/>
          <w:szCs w:val="20"/>
        </w:rPr>
        <w:t xml:space="preserve"> Meta-analysis of 36 studies including 20,068 children (WGS, WES, and CMA).</w:t>
      </w:r>
    </w:p>
    <w:p w14:paraId="31355218" w14:textId="77777777" w:rsidR="00846C33" w:rsidRPr="00981880" w:rsidRDefault="00846C33" w:rsidP="00846C33">
      <w:pPr>
        <w:pStyle w:val="Tablenote"/>
        <w:rPr>
          <w:rFonts w:ascii="Arial Narrow" w:hAnsi="Arial Narrow" w:cstheme="minorHAnsi"/>
          <w:sz w:val="20"/>
          <w:szCs w:val="20"/>
        </w:rPr>
      </w:pPr>
      <w:r w:rsidRPr="00981880">
        <w:rPr>
          <w:rFonts w:ascii="Arial Narrow" w:hAnsi="Arial Narrow" w:cstheme="minorHAnsi"/>
          <w:sz w:val="20"/>
          <w:szCs w:val="20"/>
          <w:vertAlign w:val="superscript"/>
        </w:rPr>
        <w:t>d</w:t>
      </w:r>
      <w:r w:rsidRPr="00981880">
        <w:rPr>
          <w:rFonts w:ascii="Arial Narrow" w:hAnsi="Arial Narrow" w:cstheme="minorHAnsi"/>
          <w:sz w:val="20"/>
          <w:szCs w:val="20"/>
        </w:rPr>
        <w:t xml:space="preserve"> Meta-analysis of 26 studies including 9,014 children (WES only).</w:t>
      </w:r>
    </w:p>
    <w:p w14:paraId="659B28ED" w14:textId="77777777" w:rsidR="00846C33" w:rsidRPr="00981880" w:rsidRDefault="00846C33" w:rsidP="00981880">
      <w:pPr>
        <w:pStyle w:val="Tablenote"/>
        <w:spacing w:before="0" w:after="240"/>
        <w:rPr>
          <w:rFonts w:ascii="Arial Narrow" w:hAnsi="Arial Narrow"/>
          <w:sz w:val="20"/>
          <w:szCs w:val="20"/>
        </w:rPr>
      </w:pPr>
      <w:r w:rsidRPr="00981880">
        <w:rPr>
          <w:rFonts w:ascii="Arial Narrow" w:hAnsi="Arial Narrow" w:cstheme="minorHAnsi"/>
          <w:sz w:val="20"/>
          <w:szCs w:val="20"/>
          <w:vertAlign w:val="superscript"/>
        </w:rPr>
        <w:t>e</w:t>
      </w:r>
      <w:r w:rsidRPr="00981880">
        <w:rPr>
          <w:rFonts w:ascii="Arial Narrow" w:hAnsi="Arial Narrow"/>
          <w:sz w:val="20"/>
          <w:szCs w:val="20"/>
        </w:rPr>
        <w:t xml:space="preserve"> Meta-analysis of 7 studies including 374 children (WGS only).</w:t>
      </w:r>
    </w:p>
    <w:p w14:paraId="0C7DED82" w14:textId="5A5D4F6D" w:rsidR="00083868" w:rsidRPr="009A3D5C" w:rsidRDefault="00846C33" w:rsidP="009A3D5C">
      <w:pPr>
        <w:pStyle w:val="Body"/>
        <w:spacing w:line="240" w:lineRule="auto"/>
        <w:rPr>
          <w:rFonts w:ascii="Times New Roman" w:hAnsi="Times New Roman" w:cs="Times New Roman"/>
        </w:rPr>
      </w:pPr>
      <w:r w:rsidRPr="00981880">
        <w:rPr>
          <w:rStyle w:val="BodyChar"/>
          <w:rFonts w:ascii="Times New Roman" w:hAnsi="Times New Roman" w:cs="Times New Roman"/>
          <w:u w:val="single"/>
        </w:rPr>
        <w:lastRenderedPageBreak/>
        <w:t>Time to definitive diagnosis</w:t>
      </w:r>
      <w:r w:rsidRPr="00645461">
        <w:rPr>
          <w:rStyle w:val="BodyChar"/>
          <w:rFonts w:ascii="Times New Roman" w:hAnsi="Times New Roman" w:cs="Times New Roman"/>
        </w:rPr>
        <w:t>:</w:t>
      </w:r>
      <w:r w:rsidRPr="00981880">
        <w:rPr>
          <w:rStyle w:val="BodyChar"/>
          <w:rFonts w:ascii="Times New Roman" w:hAnsi="Times New Roman" w:cs="Times New Roman"/>
        </w:rPr>
        <w:t xml:space="preserve"> Time to definitive diagnosis was not reported in the </w:t>
      </w:r>
      <w:r w:rsidR="00610659">
        <w:rPr>
          <w:rStyle w:val="BodyChar"/>
          <w:rFonts w:ascii="Times New Roman" w:hAnsi="Times New Roman" w:cs="Times New Roman"/>
        </w:rPr>
        <w:t xml:space="preserve">two </w:t>
      </w:r>
      <w:r w:rsidRPr="00981880">
        <w:rPr>
          <w:rStyle w:val="BodyChar"/>
          <w:rFonts w:ascii="Times New Roman" w:hAnsi="Times New Roman" w:cs="Times New Roman"/>
        </w:rPr>
        <w:t xml:space="preserve">Australian studies identified. </w:t>
      </w:r>
      <w:r w:rsidR="007F044D">
        <w:rPr>
          <w:rStyle w:val="BodyChar"/>
          <w:rFonts w:ascii="Times New Roman" w:hAnsi="Times New Roman" w:cs="Times New Roman"/>
        </w:rPr>
        <w:t>However, t</w:t>
      </w:r>
      <w:r w:rsidRPr="00981880">
        <w:rPr>
          <w:rStyle w:val="BodyChar"/>
          <w:rFonts w:ascii="Times New Roman" w:hAnsi="Times New Roman" w:cs="Times New Roman"/>
        </w:rPr>
        <w:t>he median time to report in these studies ranged from 134</w:t>
      </w:r>
      <w:r w:rsidR="007F044D">
        <w:rPr>
          <w:rStyle w:val="BodyChar"/>
          <w:rFonts w:ascii="Times New Roman" w:hAnsi="Times New Roman" w:cs="Times New Roman"/>
        </w:rPr>
        <w:t xml:space="preserve"> to </w:t>
      </w:r>
      <w:r w:rsidR="00610659">
        <w:rPr>
          <w:rStyle w:val="BodyChar"/>
          <w:rFonts w:ascii="Times New Roman" w:hAnsi="Times New Roman" w:cs="Times New Roman"/>
        </w:rPr>
        <w:t>181</w:t>
      </w:r>
      <w:r w:rsidRPr="00981880">
        <w:rPr>
          <w:rStyle w:val="BodyChar"/>
          <w:rFonts w:ascii="Times New Roman" w:hAnsi="Times New Roman" w:cs="Times New Roman"/>
        </w:rPr>
        <w:t xml:space="preserve"> days (</w:t>
      </w:r>
      <w:r w:rsidR="00981880">
        <w:rPr>
          <w:rStyle w:val="BodyChar"/>
          <w:rFonts w:ascii="Times New Roman" w:hAnsi="Times New Roman" w:cs="Times New Roman"/>
        </w:rPr>
        <w:t>Table 5</w:t>
      </w:r>
      <w:r w:rsidR="003F7A6A">
        <w:rPr>
          <w:rStyle w:val="BodyChar"/>
          <w:rFonts w:ascii="Times New Roman" w:hAnsi="Times New Roman" w:cs="Times New Roman"/>
        </w:rPr>
        <w:t>).</w:t>
      </w:r>
      <w:bookmarkStart w:id="10" w:name="_Ref512583822"/>
      <w:bookmarkStart w:id="11" w:name="_Toc513290988"/>
    </w:p>
    <w:p w14:paraId="560D4CCC" w14:textId="77777777" w:rsidR="00846C33" w:rsidRPr="001964D2" w:rsidRDefault="00846C33" w:rsidP="001964D2">
      <w:pPr>
        <w:rPr>
          <w:rFonts w:ascii="Arial Narrow" w:hAnsi="Arial Narrow"/>
          <w:b/>
          <w:sz w:val="20"/>
        </w:rPr>
      </w:pPr>
      <w:r w:rsidRPr="001964D2">
        <w:rPr>
          <w:rFonts w:ascii="Arial Narrow" w:hAnsi="Arial Narrow"/>
          <w:b/>
          <w:sz w:val="20"/>
        </w:rPr>
        <w:t xml:space="preserve">Table </w:t>
      </w:r>
      <w:bookmarkEnd w:id="10"/>
      <w:r w:rsidR="00981880" w:rsidRPr="001964D2">
        <w:rPr>
          <w:rFonts w:ascii="Arial Narrow" w:hAnsi="Arial Narrow"/>
          <w:b/>
          <w:sz w:val="20"/>
        </w:rPr>
        <w:t>5</w:t>
      </w:r>
      <w:r w:rsidRPr="001964D2">
        <w:rPr>
          <w:rFonts w:ascii="Arial Narrow" w:hAnsi="Arial Narrow"/>
          <w:b/>
          <w:sz w:val="20"/>
        </w:rPr>
        <w:tab/>
        <w:t>Mean duration of follow-up and average age at enrolment in Australian studies</w:t>
      </w:r>
      <w:bookmarkEnd w:id="11"/>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the mean duration of follow-up and average age at enrolment in the Australian studies, Stark et al 2016 and 2018, and Tan et al 2017"/>
      </w:tblPr>
      <w:tblGrid>
        <w:gridCol w:w="1551"/>
        <w:gridCol w:w="2122"/>
        <w:gridCol w:w="2601"/>
        <w:gridCol w:w="2742"/>
      </w:tblGrid>
      <w:tr w:rsidR="00846C33" w:rsidRPr="00981880" w14:paraId="73D16349" w14:textId="77777777" w:rsidTr="007052AA">
        <w:trPr>
          <w:tblHeader/>
        </w:trPr>
        <w:tc>
          <w:tcPr>
            <w:tcW w:w="1555" w:type="dxa"/>
          </w:tcPr>
          <w:p w14:paraId="57480D44" w14:textId="77777777" w:rsidR="00846C33" w:rsidRPr="00981880" w:rsidRDefault="00846C33" w:rsidP="0008217D">
            <w:pPr>
              <w:pStyle w:val="Tableheading"/>
              <w:rPr>
                <w:rFonts w:ascii="Arial Narrow" w:hAnsi="Arial Narrow"/>
                <w:szCs w:val="20"/>
              </w:rPr>
            </w:pPr>
            <w:r w:rsidRPr="00981880">
              <w:rPr>
                <w:rFonts w:ascii="Arial Narrow" w:hAnsi="Arial Narrow"/>
                <w:szCs w:val="20"/>
              </w:rPr>
              <w:t>Study</w:t>
            </w:r>
          </w:p>
        </w:tc>
        <w:tc>
          <w:tcPr>
            <w:tcW w:w="2126" w:type="dxa"/>
          </w:tcPr>
          <w:p w14:paraId="0231DDC5" w14:textId="77777777" w:rsidR="00846C33" w:rsidRPr="00981880" w:rsidRDefault="00846C33" w:rsidP="0008217D">
            <w:pPr>
              <w:pStyle w:val="Tableheading"/>
              <w:rPr>
                <w:rFonts w:ascii="Arial Narrow" w:hAnsi="Arial Narrow"/>
                <w:szCs w:val="20"/>
              </w:rPr>
            </w:pPr>
            <w:r w:rsidRPr="00981880">
              <w:rPr>
                <w:rFonts w:ascii="Arial Narrow" w:hAnsi="Arial Narrow"/>
                <w:szCs w:val="20"/>
              </w:rPr>
              <w:t>Patient population</w:t>
            </w:r>
          </w:p>
        </w:tc>
        <w:tc>
          <w:tcPr>
            <w:tcW w:w="2607" w:type="dxa"/>
          </w:tcPr>
          <w:p w14:paraId="4E158FE7" w14:textId="77777777" w:rsidR="00846C33" w:rsidRPr="00981880" w:rsidRDefault="00846C33" w:rsidP="0008217D">
            <w:pPr>
              <w:pStyle w:val="Tableheading"/>
              <w:rPr>
                <w:rFonts w:ascii="Arial Narrow" w:hAnsi="Arial Narrow"/>
                <w:szCs w:val="20"/>
              </w:rPr>
            </w:pPr>
            <w:r w:rsidRPr="00981880">
              <w:rPr>
                <w:rFonts w:ascii="Arial Narrow" w:hAnsi="Arial Narrow"/>
                <w:szCs w:val="20"/>
              </w:rPr>
              <w:t>Mean age at enrolment (range)</w:t>
            </w:r>
          </w:p>
        </w:tc>
        <w:tc>
          <w:tcPr>
            <w:tcW w:w="2750" w:type="dxa"/>
          </w:tcPr>
          <w:p w14:paraId="2C3E79BF" w14:textId="77777777" w:rsidR="00846C33" w:rsidRPr="00981880" w:rsidRDefault="00846C33" w:rsidP="00474D22">
            <w:pPr>
              <w:pStyle w:val="Tableheading"/>
              <w:jc w:val="center"/>
              <w:rPr>
                <w:rFonts w:ascii="Arial Narrow" w:hAnsi="Arial Narrow"/>
                <w:szCs w:val="20"/>
              </w:rPr>
            </w:pPr>
            <w:r w:rsidRPr="00981880">
              <w:rPr>
                <w:rFonts w:ascii="Arial Narrow" w:hAnsi="Arial Narrow"/>
                <w:szCs w:val="20"/>
              </w:rPr>
              <w:t xml:space="preserve">Median time to report or median </w:t>
            </w:r>
            <w:r w:rsidR="00474D22">
              <w:rPr>
                <w:rFonts w:ascii="Arial Narrow" w:hAnsi="Arial Narrow"/>
                <w:szCs w:val="20"/>
              </w:rPr>
              <w:t xml:space="preserve">post-report </w:t>
            </w:r>
            <w:r w:rsidRPr="00981880">
              <w:rPr>
                <w:rFonts w:ascii="Arial Narrow" w:hAnsi="Arial Narrow"/>
                <w:szCs w:val="20"/>
              </w:rPr>
              <w:t>follow-up (range)</w:t>
            </w:r>
          </w:p>
        </w:tc>
      </w:tr>
      <w:tr w:rsidR="00846C33" w:rsidRPr="00981880" w14:paraId="3E4B705C" w14:textId="77777777" w:rsidTr="0008217D">
        <w:tc>
          <w:tcPr>
            <w:tcW w:w="1555" w:type="dxa"/>
          </w:tcPr>
          <w:p w14:paraId="42DACBA0" w14:textId="77777777" w:rsidR="00846C33" w:rsidRPr="00981880" w:rsidRDefault="00846C33" w:rsidP="0008217D">
            <w:pPr>
              <w:pStyle w:val="Tabletext"/>
              <w:rPr>
                <w:szCs w:val="20"/>
              </w:rPr>
            </w:pPr>
            <w:r w:rsidRPr="00981880">
              <w:rPr>
                <w:szCs w:val="20"/>
              </w:rPr>
              <w:t xml:space="preserve">Stark </w:t>
            </w:r>
            <w:r w:rsidRPr="00981880">
              <w:rPr>
                <w:i/>
                <w:szCs w:val="20"/>
              </w:rPr>
              <w:t>et al</w:t>
            </w:r>
            <w:r w:rsidRPr="00981880">
              <w:rPr>
                <w:szCs w:val="20"/>
              </w:rPr>
              <w:t xml:space="preserve"> (2016)</w:t>
            </w:r>
          </w:p>
        </w:tc>
        <w:tc>
          <w:tcPr>
            <w:tcW w:w="2126" w:type="dxa"/>
          </w:tcPr>
          <w:p w14:paraId="5EC28660" w14:textId="77777777" w:rsidR="00846C33" w:rsidRPr="00981880" w:rsidRDefault="00846C33" w:rsidP="0008217D">
            <w:pPr>
              <w:pStyle w:val="Tabletext"/>
              <w:rPr>
                <w:szCs w:val="20"/>
              </w:rPr>
            </w:pPr>
            <w:r w:rsidRPr="00981880">
              <w:rPr>
                <w:szCs w:val="20"/>
              </w:rPr>
              <w:t>Infants aged 0–2 years</w:t>
            </w:r>
          </w:p>
        </w:tc>
        <w:tc>
          <w:tcPr>
            <w:tcW w:w="2607" w:type="dxa"/>
          </w:tcPr>
          <w:p w14:paraId="67A9F521" w14:textId="77777777" w:rsidR="00846C33" w:rsidRPr="00981880" w:rsidRDefault="00846C33" w:rsidP="0008217D">
            <w:pPr>
              <w:pStyle w:val="Tabletext"/>
              <w:rPr>
                <w:szCs w:val="20"/>
              </w:rPr>
            </w:pPr>
            <w:r w:rsidRPr="00981880">
              <w:rPr>
                <w:szCs w:val="20"/>
              </w:rPr>
              <w:t>8 months (1 week–34 months)</w:t>
            </w:r>
          </w:p>
        </w:tc>
        <w:tc>
          <w:tcPr>
            <w:tcW w:w="2750" w:type="dxa"/>
          </w:tcPr>
          <w:p w14:paraId="7E2DCE2C" w14:textId="77777777" w:rsidR="00846C33" w:rsidRPr="00981880" w:rsidRDefault="00846C33" w:rsidP="00645461">
            <w:pPr>
              <w:pStyle w:val="Tabletext"/>
              <w:jc w:val="center"/>
              <w:rPr>
                <w:szCs w:val="20"/>
              </w:rPr>
            </w:pPr>
            <w:r w:rsidRPr="00981880">
              <w:rPr>
                <w:szCs w:val="20"/>
              </w:rPr>
              <w:t>134 days</w:t>
            </w:r>
            <w:r w:rsidR="00610659">
              <w:rPr>
                <w:szCs w:val="20"/>
              </w:rPr>
              <w:t xml:space="preserve"> to report</w:t>
            </w:r>
            <w:r w:rsidRPr="00981880">
              <w:rPr>
                <w:szCs w:val="20"/>
              </w:rPr>
              <w:t xml:space="preserve"> (83–278 days)</w:t>
            </w:r>
          </w:p>
        </w:tc>
      </w:tr>
      <w:tr w:rsidR="00846C33" w:rsidRPr="00981880" w14:paraId="12DE9FAA" w14:textId="77777777" w:rsidTr="0008217D">
        <w:tc>
          <w:tcPr>
            <w:tcW w:w="1555" w:type="dxa"/>
          </w:tcPr>
          <w:p w14:paraId="6F22555B" w14:textId="77777777" w:rsidR="00846C33" w:rsidRPr="00981880" w:rsidRDefault="00846C33" w:rsidP="0008217D">
            <w:pPr>
              <w:pStyle w:val="Tabletext"/>
              <w:rPr>
                <w:szCs w:val="20"/>
              </w:rPr>
            </w:pPr>
            <w:r w:rsidRPr="00981880">
              <w:rPr>
                <w:szCs w:val="20"/>
              </w:rPr>
              <w:t xml:space="preserve">Tan </w:t>
            </w:r>
            <w:r w:rsidRPr="00981880">
              <w:rPr>
                <w:i/>
                <w:szCs w:val="20"/>
              </w:rPr>
              <w:t>et al</w:t>
            </w:r>
            <w:r w:rsidRPr="00981880">
              <w:rPr>
                <w:szCs w:val="20"/>
              </w:rPr>
              <w:t xml:space="preserve"> (2017)</w:t>
            </w:r>
          </w:p>
        </w:tc>
        <w:tc>
          <w:tcPr>
            <w:tcW w:w="2126" w:type="dxa"/>
          </w:tcPr>
          <w:p w14:paraId="13317F65" w14:textId="77777777" w:rsidR="00846C33" w:rsidRPr="00981880" w:rsidRDefault="00846C33" w:rsidP="0008217D">
            <w:pPr>
              <w:pStyle w:val="Tabletext"/>
              <w:rPr>
                <w:szCs w:val="20"/>
              </w:rPr>
            </w:pPr>
            <w:r w:rsidRPr="00981880">
              <w:rPr>
                <w:szCs w:val="20"/>
              </w:rPr>
              <w:t>Children aged 2–18 years</w:t>
            </w:r>
          </w:p>
        </w:tc>
        <w:tc>
          <w:tcPr>
            <w:tcW w:w="2607" w:type="dxa"/>
          </w:tcPr>
          <w:p w14:paraId="6CF0F891" w14:textId="77777777" w:rsidR="00846C33" w:rsidRPr="00981880" w:rsidRDefault="00846C33" w:rsidP="0008217D">
            <w:pPr>
              <w:pStyle w:val="Tabletext"/>
              <w:rPr>
                <w:szCs w:val="20"/>
              </w:rPr>
            </w:pPr>
            <w:r w:rsidRPr="00981880">
              <w:rPr>
                <w:szCs w:val="20"/>
              </w:rPr>
              <w:t>28 months (0–121 months)</w:t>
            </w:r>
          </w:p>
        </w:tc>
        <w:tc>
          <w:tcPr>
            <w:tcW w:w="2750" w:type="dxa"/>
          </w:tcPr>
          <w:p w14:paraId="737CB953" w14:textId="77777777" w:rsidR="00846C33" w:rsidRPr="00981880" w:rsidRDefault="00846C33" w:rsidP="00645461">
            <w:pPr>
              <w:pStyle w:val="Tabletext"/>
              <w:jc w:val="center"/>
              <w:rPr>
                <w:szCs w:val="20"/>
              </w:rPr>
            </w:pPr>
            <w:r w:rsidRPr="00981880">
              <w:rPr>
                <w:szCs w:val="20"/>
              </w:rPr>
              <w:t xml:space="preserve">181 days </w:t>
            </w:r>
            <w:r w:rsidR="00610659">
              <w:rPr>
                <w:szCs w:val="20"/>
              </w:rPr>
              <w:t xml:space="preserve">to report </w:t>
            </w:r>
            <w:r w:rsidRPr="00981880">
              <w:rPr>
                <w:szCs w:val="20"/>
              </w:rPr>
              <w:t>(40–283 days)</w:t>
            </w:r>
          </w:p>
        </w:tc>
      </w:tr>
      <w:tr w:rsidR="00846C33" w:rsidRPr="00981880" w14:paraId="5FC664AF" w14:textId="77777777" w:rsidTr="0008217D">
        <w:tc>
          <w:tcPr>
            <w:tcW w:w="1555" w:type="dxa"/>
          </w:tcPr>
          <w:p w14:paraId="019FEFA3" w14:textId="77777777" w:rsidR="00846C33" w:rsidRPr="00981880" w:rsidRDefault="00846C33" w:rsidP="0008217D">
            <w:pPr>
              <w:pStyle w:val="Tabletext"/>
              <w:rPr>
                <w:szCs w:val="20"/>
              </w:rPr>
            </w:pPr>
            <w:r w:rsidRPr="00981880">
              <w:rPr>
                <w:szCs w:val="20"/>
              </w:rPr>
              <w:t xml:space="preserve">Stark </w:t>
            </w:r>
            <w:r w:rsidRPr="00981880">
              <w:rPr>
                <w:i/>
                <w:szCs w:val="20"/>
              </w:rPr>
              <w:t>et al</w:t>
            </w:r>
            <w:r w:rsidRPr="00981880">
              <w:rPr>
                <w:szCs w:val="20"/>
              </w:rPr>
              <w:t xml:space="preserve"> (2018)</w:t>
            </w:r>
          </w:p>
        </w:tc>
        <w:tc>
          <w:tcPr>
            <w:tcW w:w="2126" w:type="dxa"/>
          </w:tcPr>
          <w:p w14:paraId="6FB90080" w14:textId="77777777" w:rsidR="00846C33" w:rsidRPr="00981880" w:rsidRDefault="00846C33" w:rsidP="0008217D">
            <w:pPr>
              <w:pStyle w:val="Tabletext"/>
              <w:rPr>
                <w:szCs w:val="20"/>
              </w:rPr>
            </w:pPr>
            <w:r w:rsidRPr="00981880">
              <w:rPr>
                <w:szCs w:val="20"/>
              </w:rPr>
              <w:t>Infants aged 0–2 years</w:t>
            </w:r>
          </w:p>
        </w:tc>
        <w:tc>
          <w:tcPr>
            <w:tcW w:w="2607" w:type="dxa"/>
          </w:tcPr>
          <w:p w14:paraId="275528DC" w14:textId="77777777" w:rsidR="00846C33" w:rsidRPr="00981880" w:rsidRDefault="00846C33" w:rsidP="0008217D">
            <w:pPr>
              <w:pStyle w:val="Tabletext"/>
              <w:rPr>
                <w:szCs w:val="20"/>
              </w:rPr>
            </w:pPr>
            <w:r w:rsidRPr="00981880">
              <w:rPr>
                <w:szCs w:val="20"/>
              </w:rPr>
              <w:t xml:space="preserve">As per Stark </w:t>
            </w:r>
            <w:r w:rsidRPr="00981880">
              <w:rPr>
                <w:i/>
                <w:szCs w:val="20"/>
              </w:rPr>
              <w:t>et al</w:t>
            </w:r>
            <w:r w:rsidRPr="00981880">
              <w:rPr>
                <w:szCs w:val="20"/>
              </w:rPr>
              <w:t xml:space="preserve"> (2016)</w:t>
            </w:r>
          </w:p>
        </w:tc>
        <w:tc>
          <w:tcPr>
            <w:tcW w:w="2750" w:type="dxa"/>
          </w:tcPr>
          <w:p w14:paraId="090D56C4" w14:textId="77777777" w:rsidR="00846C33" w:rsidRPr="00981880" w:rsidRDefault="00846C33" w:rsidP="0008731B">
            <w:pPr>
              <w:pStyle w:val="Tabletext"/>
              <w:jc w:val="center"/>
              <w:rPr>
                <w:szCs w:val="20"/>
              </w:rPr>
            </w:pPr>
            <w:r w:rsidRPr="00981880">
              <w:rPr>
                <w:szCs w:val="20"/>
              </w:rPr>
              <w:t>473 days post-re</w:t>
            </w:r>
            <w:r w:rsidR="0008731B">
              <w:rPr>
                <w:szCs w:val="20"/>
              </w:rPr>
              <w:t>por</w:t>
            </w:r>
            <w:r w:rsidRPr="00981880">
              <w:rPr>
                <w:szCs w:val="20"/>
              </w:rPr>
              <w:t>t follow-up (IQR 411–650 days)</w:t>
            </w:r>
          </w:p>
        </w:tc>
      </w:tr>
    </w:tbl>
    <w:p w14:paraId="5911725A" w14:textId="77777777" w:rsidR="00846C33" w:rsidRPr="00981880" w:rsidRDefault="00846C33" w:rsidP="00981880">
      <w:pPr>
        <w:pStyle w:val="Tablenote"/>
        <w:spacing w:before="0" w:after="240"/>
        <w:rPr>
          <w:rFonts w:ascii="Arial Narrow" w:hAnsi="Arial Narrow"/>
          <w:sz w:val="20"/>
          <w:szCs w:val="20"/>
        </w:rPr>
      </w:pPr>
      <w:r w:rsidRPr="00981880">
        <w:rPr>
          <w:rFonts w:ascii="Arial Narrow" w:hAnsi="Arial Narrow"/>
          <w:sz w:val="20"/>
          <w:szCs w:val="20"/>
        </w:rPr>
        <w:t>Abbreviations: IQR, interquartile range</w:t>
      </w:r>
    </w:p>
    <w:p w14:paraId="0D5CCC4D" w14:textId="77777777" w:rsidR="003F7A6A" w:rsidRPr="00981880" w:rsidRDefault="003F7A6A" w:rsidP="003F7A6A">
      <w:pPr>
        <w:pStyle w:val="Body"/>
        <w:spacing w:after="240" w:line="240" w:lineRule="auto"/>
        <w:rPr>
          <w:rStyle w:val="BodyChar"/>
          <w:rFonts w:ascii="Times New Roman" w:hAnsi="Times New Roman" w:cs="Times New Roman"/>
        </w:rPr>
      </w:pPr>
      <w:r w:rsidRPr="00981880">
        <w:rPr>
          <w:rStyle w:val="BodyChar"/>
          <w:rFonts w:ascii="Times New Roman" w:hAnsi="Times New Roman" w:cs="Times New Roman"/>
        </w:rPr>
        <w:t xml:space="preserve">One randomised controlled trial (RCT) (Petrikin </w:t>
      </w:r>
      <w:r w:rsidRPr="00981880">
        <w:rPr>
          <w:rStyle w:val="BodyChar"/>
          <w:rFonts w:ascii="Times New Roman" w:hAnsi="Times New Roman" w:cs="Times New Roman"/>
          <w:i/>
        </w:rPr>
        <w:t>et al</w:t>
      </w:r>
      <w:r w:rsidRPr="00981880">
        <w:rPr>
          <w:rStyle w:val="BodyChar"/>
          <w:rFonts w:ascii="Times New Roman" w:hAnsi="Times New Roman" w:cs="Times New Roman"/>
        </w:rPr>
        <w:t xml:space="preserve"> (2018)) focussing solely on rapid WGS (rWGS) + standard testing versus standard testing alone showed that the median time to diagnosis in the rWGS + standard testing group was 13 days (range 1–84 days), while the median time to diagnosis in the standard testing alone group was 107 days (range 21–429 days). As expected, the time to diagnosis using rapid sequencing would be </w:t>
      </w:r>
      <w:r w:rsidRPr="00981880">
        <w:rPr>
          <w:rFonts w:ascii="Times New Roman" w:hAnsi="Times New Roman" w:cs="Times New Roman"/>
        </w:rPr>
        <w:t>significantly below that expected by standard WEA or even standard WGS.</w:t>
      </w:r>
    </w:p>
    <w:p w14:paraId="3C166523" w14:textId="77777777" w:rsidR="00846C33" w:rsidRPr="00981880" w:rsidRDefault="00846C33" w:rsidP="00981880">
      <w:pPr>
        <w:pStyle w:val="Body"/>
        <w:spacing w:line="240" w:lineRule="auto"/>
        <w:rPr>
          <w:rStyle w:val="BodyChar"/>
          <w:rFonts w:ascii="Times New Roman" w:hAnsi="Times New Roman" w:cs="Times New Roman"/>
        </w:rPr>
      </w:pPr>
      <w:r w:rsidRPr="00981880">
        <w:rPr>
          <w:rFonts w:ascii="Times New Roman" w:hAnsi="Times New Roman" w:cs="Times New Roman"/>
          <w:u w:val="single"/>
        </w:rPr>
        <w:t>Health resource changes</w:t>
      </w:r>
      <w:r w:rsidRPr="00645461">
        <w:rPr>
          <w:rFonts w:ascii="Times New Roman" w:hAnsi="Times New Roman" w:cs="Times New Roman"/>
        </w:rPr>
        <w:t>:</w:t>
      </w:r>
      <w:r w:rsidRPr="00981880">
        <w:rPr>
          <w:rFonts w:ascii="Times New Roman" w:hAnsi="Times New Roman" w:cs="Times New Roman"/>
        </w:rPr>
        <w:t xml:space="preserve"> An Australian longer-term follow-up study (Stark </w:t>
      </w:r>
      <w:r w:rsidRPr="00981880">
        <w:rPr>
          <w:rFonts w:ascii="Times New Roman" w:hAnsi="Times New Roman" w:cs="Times New Roman"/>
          <w:i/>
        </w:rPr>
        <w:t>et al</w:t>
      </w:r>
      <w:r w:rsidRPr="00981880">
        <w:rPr>
          <w:rFonts w:ascii="Times New Roman" w:hAnsi="Times New Roman" w:cs="Times New Roman"/>
        </w:rPr>
        <w:t xml:space="preserve"> (2018)) showed no difference in utilisation of tertiary paediatr</w:t>
      </w:r>
      <w:r w:rsidR="00645461">
        <w:rPr>
          <w:rFonts w:ascii="Times New Roman" w:hAnsi="Times New Roman" w:cs="Times New Roman"/>
        </w:rPr>
        <w:t>ic</w:t>
      </w:r>
      <w:r w:rsidRPr="00981880">
        <w:rPr>
          <w:rFonts w:ascii="Times New Roman" w:hAnsi="Times New Roman" w:cs="Times New Roman"/>
        </w:rPr>
        <w:t xml:space="preserve"> hospital services pre- or post-result comparing those patients who received a </w:t>
      </w:r>
      <w:r w:rsidR="0008731B">
        <w:rPr>
          <w:rFonts w:ascii="Times New Roman" w:hAnsi="Times New Roman" w:cs="Times New Roman"/>
        </w:rPr>
        <w:t xml:space="preserve">molecular </w:t>
      </w:r>
      <w:r w:rsidRPr="00981880">
        <w:rPr>
          <w:rFonts w:ascii="Times New Roman" w:hAnsi="Times New Roman" w:cs="Times New Roman"/>
        </w:rPr>
        <w:t>diagnosis and those who did not. Further analysis showed that among patients who received a diagnosis, WEA did not result in any significant difference in the utilisation of tertiary paediatric hospital services pre- or post-result. Whereas in</w:t>
      </w:r>
      <w:r w:rsidRPr="00981880">
        <w:rPr>
          <w:rStyle w:val="BodyChar"/>
          <w:rFonts w:ascii="Times New Roman" w:hAnsi="Times New Roman" w:cs="Times New Roman"/>
        </w:rPr>
        <w:t xml:space="preserve"> patients who </w:t>
      </w:r>
      <w:r w:rsidR="00CE729A">
        <w:rPr>
          <w:rStyle w:val="BodyChar"/>
          <w:rFonts w:ascii="Times New Roman" w:hAnsi="Times New Roman" w:cs="Times New Roman"/>
        </w:rPr>
        <w:t xml:space="preserve">remained </w:t>
      </w:r>
      <w:r w:rsidRPr="00981880">
        <w:rPr>
          <w:rStyle w:val="BodyChar"/>
          <w:rFonts w:ascii="Times New Roman" w:hAnsi="Times New Roman" w:cs="Times New Roman"/>
        </w:rPr>
        <w:t xml:space="preserve">undiagnosed, WEA resulted in a significant </w:t>
      </w:r>
      <w:r w:rsidR="00CE729A">
        <w:rPr>
          <w:rStyle w:val="BodyChar"/>
          <w:rFonts w:ascii="Times New Roman" w:hAnsi="Times New Roman" w:cs="Times New Roman"/>
        </w:rPr>
        <w:t>increase</w:t>
      </w:r>
      <w:r w:rsidRPr="00981880">
        <w:rPr>
          <w:rStyle w:val="BodyChar"/>
          <w:rFonts w:ascii="Times New Roman" w:hAnsi="Times New Roman" w:cs="Times New Roman"/>
        </w:rPr>
        <w:t xml:space="preserve"> in the clinical trajectory (</w:t>
      </w:r>
      <w:r w:rsidR="00CE729A">
        <w:rPr>
          <w:rStyle w:val="BodyChar"/>
          <w:rFonts w:ascii="Times New Roman" w:hAnsi="Times New Roman" w:cs="Times New Roman"/>
        </w:rPr>
        <w:t>mean difference of</w:t>
      </w:r>
      <w:r w:rsidRPr="00981880">
        <w:rPr>
          <w:rStyle w:val="BodyChar"/>
          <w:rFonts w:ascii="Times New Roman" w:hAnsi="Times New Roman" w:cs="Times New Roman"/>
        </w:rPr>
        <w:t xml:space="preserve"> 142</w:t>
      </w:r>
      <w:r w:rsidR="00CE729A">
        <w:rPr>
          <w:rStyle w:val="BodyChar"/>
          <w:rFonts w:ascii="Times New Roman" w:hAnsi="Times New Roman" w:cs="Times New Roman"/>
        </w:rPr>
        <w:t xml:space="preserve"> days</w:t>
      </w:r>
      <w:r w:rsidRPr="00981880">
        <w:rPr>
          <w:rStyle w:val="BodyChar"/>
          <w:rFonts w:ascii="Times New Roman" w:hAnsi="Times New Roman" w:cs="Times New Roman"/>
        </w:rPr>
        <w:t>; 95% CI</w:t>
      </w:r>
      <w:r w:rsidR="00474D22">
        <w:rPr>
          <w:rStyle w:val="BodyChar"/>
          <w:rFonts w:ascii="Times New Roman" w:hAnsi="Times New Roman" w:cs="Times New Roman"/>
        </w:rPr>
        <w:t>:</w:t>
      </w:r>
      <w:r w:rsidRPr="00981880">
        <w:rPr>
          <w:rStyle w:val="BodyChar"/>
          <w:rFonts w:ascii="Times New Roman" w:hAnsi="Times New Roman" w:cs="Times New Roman"/>
        </w:rPr>
        <w:t xml:space="preserve"> 57.63</w:t>
      </w:r>
      <w:r w:rsidR="00CE729A">
        <w:rPr>
          <w:rStyle w:val="BodyChar"/>
          <w:rFonts w:ascii="Times New Roman" w:hAnsi="Times New Roman" w:cs="Times New Roman"/>
        </w:rPr>
        <w:t xml:space="preserve"> days to </w:t>
      </w:r>
      <w:r w:rsidRPr="00981880">
        <w:rPr>
          <w:rStyle w:val="BodyChar"/>
          <w:rFonts w:ascii="Times New Roman" w:hAnsi="Times New Roman" w:cs="Times New Roman"/>
        </w:rPr>
        <w:t>226.37</w:t>
      </w:r>
      <w:r w:rsidR="00CE729A">
        <w:rPr>
          <w:rStyle w:val="BodyChar"/>
          <w:rFonts w:ascii="Times New Roman" w:hAnsi="Times New Roman" w:cs="Times New Roman"/>
        </w:rPr>
        <w:t xml:space="preserve"> days</w:t>
      </w:r>
      <w:r w:rsidRPr="00981880">
        <w:rPr>
          <w:rStyle w:val="BodyChar"/>
          <w:rFonts w:ascii="Times New Roman" w:hAnsi="Times New Roman" w:cs="Times New Roman"/>
        </w:rPr>
        <w:t>; p=0.001). Other measures of utilisation of tertiary paediatric hospital services (i.e. hospital admission, days as an inpatient, and outpatient appointments) were not significantly different in undiagnosed patients pre- or post-result.</w:t>
      </w:r>
    </w:p>
    <w:p w14:paraId="4232CE46" w14:textId="77777777" w:rsidR="00846C33" w:rsidRPr="00981880" w:rsidRDefault="00846C33" w:rsidP="00981880">
      <w:pPr>
        <w:pStyle w:val="Body"/>
        <w:spacing w:line="240" w:lineRule="auto"/>
        <w:rPr>
          <w:rFonts w:ascii="Times New Roman" w:hAnsi="Times New Roman" w:cs="Times New Roman"/>
        </w:rPr>
      </w:pPr>
      <w:r w:rsidRPr="00981880">
        <w:rPr>
          <w:rFonts w:ascii="Times New Roman" w:hAnsi="Times New Roman" w:cs="Times New Roman"/>
          <w:u w:val="single"/>
        </w:rPr>
        <w:t>Quality of life</w:t>
      </w:r>
      <w:r w:rsidRPr="00645461">
        <w:rPr>
          <w:rFonts w:ascii="Times New Roman" w:hAnsi="Times New Roman" w:cs="Times New Roman"/>
        </w:rPr>
        <w:t>:</w:t>
      </w:r>
      <w:r w:rsidRPr="00981880">
        <w:rPr>
          <w:rFonts w:ascii="Times New Roman" w:hAnsi="Times New Roman" w:cs="Times New Roman"/>
        </w:rPr>
        <w:t xml:space="preserve"> No data available </w:t>
      </w:r>
      <w:r w:rsidR="00645461">
        <w:rPr>
          <w:rFonts w:ascii="Times New Roman" w:hAnsi="Times New Roman" w:cs="Times New Roman"/>
        </w:rPr>
        <w:t>for this population (0-18 yrs).</w:t>
      </w:r>
    </w:p>
    <w:p w14:paraId="3220361D" w14:textId="77777777" w:rsidR="00846C33" w:rsidRPr="003D15F0" w:rsidRDefault="00846C33" w:rsidP="003D15F0">
      <w:pPr>
        <w:pStyle w:val="Heading3"/>
        <w:rPr>
          <w:rStyle w:val="Emphasis"/>
          <w:rFonts w:ascii="Times New Roman" w:eastAsiaTheme="minorHAnsi" w:hAnsi="Times New Roman"/>
          <w:i/>
        </w:rPr>
      </w:pPr>
      <w:r w:rsidRPr="003D15F0">
        <w:rPr>
          <w:rStyle w:val="Emphasis"/>
          <w:rFonts w:ascii="Times New Roman" w:eastAsiaTheme="minorHAnsi" w:hAnsi="Times New Roman"/>
          <w:i/>
        </w:rPr>
        <w:t xml:space="preserve">Population 2: Re-interrogation analysis for patients who did not have a definite </w:t>
      </w:r>
      <w:r w:rsidR="00CE729A" w:rsidRPr="003D15F0">
        <w:rPr>
          <w:rStyle w:val="Emphasis"/>
          <w:rFonts w:ascii="Times New Roman" w:eastAsiaTheme="minorHAnsi" w:hAnsi="Times New Roman"/>
          <w:i/>
        </w:rPr>
        <w:t xml:space="preserve">molecular </w:t>
      </w:r>
      <w:r w:rsidRPr="003D15F0">
        <w:rPr>
          <w:rStyle w:val="Emphasis"/>
          <w:rFonts w:ascii="Times New Roman" w:eastAsiaTheme="minorHAnsi" w:hAnsi="Times New Roman"/>
          <w:i/>
        </w:rPr>
        <w:t xml:space="preserve">diagnosis at initial </w:t>
      </w:r>
      <w:r w:rsidR="004C5A49" w:rsidRPr="003D15F0">
        <w:rPr>
          <w:rStyle w:val="Emphasis"/>
          <w:rFonts w:ascii="Times New Roman" w:eastAsiaTheme="minorHAnsi" w:hAnsi="Times New Roman"/>
          <w:i/>
        </w:rPr>
        <w:t xml:space="preserve">WES </w:t>
      </w:r>
      <w:r w:rsidRPr="003D15F0">
        <w:rPr>
          <w:rStyle w:val="Emphasis"/>
          <w:rFonts w:ascii="Times New Roman" w:eastAsiaTheme="minorHAnsi" w:hAnsi="Times New Roman"/>
          <w:i/>
        </w:rPr>
        <w:t>testing</w:t>
      </w:r>
    </w:p>
    <w:p w14:paraId="18C8B27B" w14:textId="77777777" w:rsidR="00846C33" w:rsidRPr="00981880" w:rsidRDefault="00846C33" w:rsidP="00981880">
      <w:pPr>
        <w:pStyle w:val="Body"/>
        <w:spacing w:line="240" w:lineRule="auto"/>
        <w:rPr>
          <w:rFonts w:ascii="Times New Roman" w:hAnsi="Times New Roman" w:cs="Times New Roman"/>
        </w:rPr>
      </w:pPr>
      <w:r w:rsidRPr="00981880">
        <w:rPr>
          <w:rFonts w:ascii="Times New Roman" w:hAnsi="Times New Roman" w:cs="Times New Roman"/>
          <w:u w:val="single"/>
        </w:rPr>
        <w:t>Time to diagnosis</w:t>
      </w:r>
      <w:r w:rsidRPr="00645461">
        <w:rPr>
          <w:rFonts w:ascii="Times New Roman" w:hAnsi="Times New Roman" w:cs="Times New Roman"/>
        </w:rPr>
        <w:t>:</w:t>
      </w:r>
      <w:r w:rsidRPr="00981880">
        <w:rPr>
          <w:rFonts w:ascii="Times New Roman" w:hAnsi="Times New Roman" w:cs="Times New Roman"/>
        </w:rPr>
        <w:t xml:space="preserve"> One RCT comparing</w:t>
      </w:r>
      <w:r w:rsidRPr="00981880">
        <w:rPr>
          <w:rStyle w:val="BodyChar"/>
          <w:rFonts w:ascii="Times New Roman" w:hAnsi="Times New Roman" w:cs="Times New Roman"/>
        </w:rPr>
        <w:t xml:space="preserve"> rWGS + standard testing versus standard testing alone</w:t>
      </w:r>
      <w:r w:rsidRPr="00981880">
        <w:rPr>
          <w:rFonts w:ascii="Times New Roman" w:hAnsi="Times New Roman" w:cs="Times New Roman"/>
        </w:rPr>
        <w:t xml:space="preserve"> reported median time to diagnosis as 54.73 months in the first year, which was reduced by 9 months to 46.65 months in the third year (Nambot </w:t>
      </w:r>
      <w:r w:rsidRPr="00981880">
        <w:rPr>
          <w:rFonts w:ascii="Times New Roman" w:hAnsi="Times New Roman" w:cs="Times New Roman"/>
          <w:i/>
        </w:rPr>
        <w:t>et al</w:t>
      </w:r>
      <w:r w:rsidRPr="00981880">
        <w:rPr>
          <w:rFonts w:ascii="Times New Roman" w:hAnsi="Times New Roman" w:cs="Times New Roman"/>
        </w:rPr>
        <w:t xml:space="preserve"> (2017)).</w:t>
      </w:r>
    </w:p>
    <w:p w14:paraId="6673D825" w14:textId="77777777" w:rsidR="00846C33" w:rsidRPr="00981880" w:rsidRDefault="00846C33" w:rsidP="00981880">
      <w:pPr>
        <w:pStyle w:val="Body"/>
        <w:spacing w:line="240" w:lineRule="auto"/>
        <w:rPr>
          <w:rFonts w:ascii="Times New Roman" w:hAnsi="Times New Roman" w:cs="Times New Roman"/>
        </w:rPr>
      </w:pPr>
      <w:r w:rsidRPr="00981880">
        <w:rPr>
          <w:rFonts w:ascii="Times New Roman" w:hAnsi="Times New Roman" w:cs="Times New Roman"/>
        </w:rPr>
        <w:t>Data for change in management, health resource changes, and quality of life were not available for this population. However, there is no reason to consider the outcomes would be sufficiently d</w:t>
      </w:r>
      <w:r w:rsidR="00FE7B20">
        <w:rPr>
          <w:rFonts w:ascii="Times New Roman" w:hAnsi="Times New Roman" w:cs="Times New Roman"/>
        </w:rPr>
        <w:t>ifferent from that observed in P</w:t>
      </w:r>
      <w:r w:rsidR="00645461">
        <w:rPr>
          <w:rFonts w:ascii="Times New Roman" w:hAnsi="Times New Roman" w:cs="Times New Roman"/>
        </w:rPr>
        <w:t>opulation 1 (initial testing).</w:t>
      </w:r>
    </w:p>
    <w:p w14:paraId="0537FDE1" w14:textId="77777777" w:rsidR="00846C33" w:rsidRPr="00981880" w:rsidRDefault="00846C33" w:rsidP="003D15F0">
      <w:pPr>
        <w:pStyle w:val="Heading3"/>
      </w:pPr>
      <w:r w:rsidRPr="00981880">
        <w:t>Population 3: Cascade testing of first-degree family members</w:t>
      </w:r>
    </w:p>
    <w:p w14:paraId="50134C92" w14:textId="77777777" w:rsidR="00846C33" w:rsidRPr="00981880" w:rsidRDefault="00846C33" w:rsidP="00981880">
      <w:pPr>
        <w:pStyle w:val="Body"/>
        <w:spacing w:line="240" w:lineRule="auto"/>
        <w:rPr>
          <w:rFonts w:ascii="Times New Roman" w:hAnsi="Times New Roman" w:cs="Times New Roman"/>
        </w:rPr>
      </w:pPr>
      <w:r w:rsidRPr="00981880">
        <w:rPr>
          <w:rFonts w:ascii="Times New Roman" w:hAnsi="Times New Roman" w:cs="Times New Roman"/>
          <w:u w:val="single"/>
        </w:rPr>
        <w:t>Change in management</w:t>
      </w:r>
      <w:r w:rsidRPr="00645461">
        <w:rPr>
          <w:rFonts w:ascii="Times New Roman" w:hAnsi="Times New Roman" w:cs="Times New Roman"/>
        </w:rPr>
        <w:t>:</w:t>
      </w:r>
      <w:r w:rsidRPr="00981880">
        <w:rPr>
          <w:rFonts w:ascii="Times New Roman" w:hAnsi="Times New Roman" w:cs="Times New Roman"/>
        </w:rPr>
        <w:t xml:space="preserve"> In an Australian study investigating the longer-term impacts of WEA in infants aged 0–2 years (Stark </w:t>
      </w:r>
      <w:r w:rsidRPr="00981880">
        <w:rPr>
          <w:rFonts w:ascii="Times New Roman" w:hAnsi="Times New Roman" w:cs="Times New Roman"/>
          <w:i/>
        </w:rPr>
        <w:t>et al</w:t>
      </w:r>
      <w:r w:rsidRPr="00981880">
        <w:rPr>
          <w:rFonts w:ascii="Times New Roman" w:hAnsi="Times New Roman" w:cs="Times New Roman"/>
        </w:rPr>
        <w:t xml:space="preserve"> (2018)), three out of twelve (25%) first-degree relatives who received a </w:t>
      </w:r>
      <w:r w:rsidR="00CE729A">
        <w:rPr>
          <w:rFonts w:ascii="Times New Roman" w:hAnsi="Times New Roman" w:cs="Times New Roman"/>
        </w:rPr>
        <w:t xml:space="preserve">molecular </w:t>
      </w:r>
      <w:r w:rsidRPr="00981880">
        <w:rPr>
          <w:rFonts w:ascii="Times New Roman" w:hAnsi="Times New Roman" w:cs="Times New Roman"/>
        </w:rPr>
        <w:t>diagnosis had a change in management.</w:t>
      </w:r>
    </w:p>
    <w:p w14:paraId="0F6D60D9" w14:textId="77777777" w:rsidR="00846C33" w:rsidRPr="00981880" w:rsidRDefault="00846C33" w:rsidP="00981880">
      <w:pPr>
        <w:pStyle w:val="Body"/>
        <w:spacing w:line="240" w:lineRule="auto"/>
        <w:rPr>
          <w:rFonts w:ascii="Times New Roman" w:hAnsi="Times New Roman" w:cs="Times New Roman"/>
        </w:rPr>
      </w:pPr>
      <w:r w:rsidRPr="00981880">
        <w:rPr>
          <w:rFonts w:ascii="Times New Roman" w:hAnsi="Times New Roman" w:cs="Times New Roman"/>
          <w:u w:val="single"/>
        </w:rPr>
        <w:t>Restoration of reproductive confidence</w:t>
      </w:r>
      <w:r w:rsidRPr="00645461">
        <w:rPr>
          <w:rFonts w:ascii="Times New Roman" w:hAnsi="Times New Roman" w:cs="Times New Roman"/>
        </w:rPr>
        <w:t>:</w:t>
      </w:r>
      <w:r w:rsidRPr="00981880">
        <w:rPr>
          <w:rFonts w:ascii="Times New Roman" w:hAnsi="Times New Roman" w:cs="Times New Roman"/>
        </w:rPr>
        <w:t xml:space="preserve"> In an Australian study investigating the impacts of WEA in infants aged 0–2 years, 28 couples out of 41 families tested (68.3%) were identified as being at high risk of recurrence in future pregnancies following </w:t>
      </w:r>
      <w:r w:rsidR="00CE729A">
        <w:rPr>
          <w:rFonts w:ascii="Times New Roman" w:hAnsi="Times New Roman" w:cs="Times New Roman"/>
        </w:rPr>
        <w:t xml:space="preserve">molecular </w:t>
      </w:r>
      <w:r w:rsidRPr="00981880">
        <w:rPr>
          <w:rFonts w:ascii="Times New Roman" w:hAnsi="Times New Roman" w:cs="Times New Roman"/>
        </w:rPr>
        <w:t xml:space="preserve">diagnosis of their child (Stark </w:t>
      </w:r>
      <w:r w:rsidRPr="00981880">
        <w:rPr>
          <w:rFonts w:ascii="Times New Roman" w:hAnsi="Times New Roman" w:cs="Times New Roman"/>
          <w:i/>
        </w:rPr>
        <w:t>et al</w:t>
      </w:r>
      <w:r w:rsidRPr="00981880">
        <w:rPr>
          <w:rFonts w:ascii="Times New Roman" w:hAnsi="Times New Roman" w:cs="Times New Roman"/>
        </w:rPr>
        <w:t xml:space="preserve"> (2016)). By comparison, standard diagnostic investigations would have identified 46% (13/28) of these couples (RR 2.15; 95% CI</w:t>
      </w:r>
      <w:r w:rsidR="00474D22">
        <w:rPr>
          <w:rFonts w:ascii="Times New Roman" w:hAnsi="Times New Roman" w:cs="Times New Roman"/>
        </w:rPr>
        <w:t>:</w:t>
      </w:r>
      <w:r w:rsidRPr="00981880">
        <w:rPr>
          <w:rFonts w:ascii="Times New Roman" w:hAnsi="Times New Roman" w:cs="Times New Roman"/>
        </w:rPr>
        <w:t xml:space="preserve"> 1.31, 3.53; p=0.002). In Stark </w:t>
      </w:r>
      <w:r w:rsidRPr="00981880">
        <w:rPr>
          <w:rFonts w:ascii="Times New Roman" w:hAnsi="Times New Roman" w:cs="Times New Roman"/>
          <w:i/>
        </w:rPr>
        <w:t>et al</w:t>
      </w:r>
      <w:r w:rsidRPr="00981880">
        <w:rPr>
          <w:rFonts w:ascii="Times New Roman" w:hAnsi="Times New Roman" w:cs="Times New Roman"/>
        </w:rPr>
        <w:t xml:space="preserve"> (2018), two couples with undiagnosed children and 14 couples with diagnosed children sought advice from reproductive genetic services. Importantly, 9 couples with diagnosed </w:t>
      </w:r>
      <w:r w:rsidRPr="00981880">
        <w:rPr>
          <w:rFonts w:ascii="Times New Roman" w:hAnsi="Times New Roman" w:cs="Times New Roman"/>
        </w:rPr>
        <w:lastRenderedPageBreak/>
        <w:t>children had an ongoing pregnancy compared with just one couple with a child who had remained undiagnosed.</w:t>
      </w:r>
    </w:p>
    <w:p w14:paraId="72291635" w14:textId="77777777" w:rsidR="00846C33" w:rsidRPr="00981880" w:rsidRDefault="00846C33" w:rsidP="00981880">
      <w:pPr>
        <w:pStyle w:val="Body"/>
        <w:spacing w:line="240" w:lineRule="auto"/>
        <w:rPr>
          <w:rFonts w:ascii="Times New Roman" w:hAnsi="Times New Roman" w:cs="Times New Roman"/>
        </w:rPr>
      </w:pPr>
      <w:r w:rsidRPr="00981880">
        <w:rPr>
          <w:rFonts w:ascii="Times New Roman" w:hAnsi="Times New Roman" w:cs="Times New Roman"/>
          <w:u w:val="single"/>
        </w:rPr>
        <w:t>Health resource costs</w:t>
      </w:r>
      <w:r w:rsidRPr="00645461">
        <w:rPr>
          <w:rFonts w:ascii="Times New Roman" w:hAnsi="Times New Roman" w:cs="Times New Roman"/>
        </w:rPr>
        <w:t>:</w:t>
      </w:r>
      <w:r w:rsidRPr="00981880">
        <w:rPr>
          <w:rFonts w:ascii="Times New Roman" w:hAnsi="Times New Roman" w:cs="Times New Roman"/>
        </w:rPr>
        <w:t xml:space="preserve"> The costs associated with change in management of first-degree relatives who received a molecular diagnosis through cascade testing depends on the diagnosis itself.</w:t>
      </w:r>
    </w:p>
    <w:p w14:paraId="2D45E3FE" w14:textId="77777777" w:rsidR="00BC1364" w:rsidRPr="00F715D1" w:rsidRDefault="00BC1364" w:rsidP="00F715D1">
      <w:pPr>
        <w:pStyle w:val="Heading1"/>
      </w:pPr>
      <w:r w:rsidRPr="00F715D1">
        <w:t>Economic evaluation</w:t>
      </w:r>
    </w:p>
    <w:p w14:paraId="6D48611C" w14:textId="77777777" w:rsidR="000C5D80" w:rsidRDefault="00981880" w:rsidP="00E3780D">
      <w:pPr>
        <w:pStyle w:val="Body"/>
        <w:spacing w:after="240" w:line="240" w:lineRule="auto"/>
        <w:rPr>
          <w:rFonts w:ascii="Times New Roman" w:hAnsi="Times New Roman" w:cs="Times New Roman"/>
        </w:rPr>
      </w:pPr>
      <w:r>
        <w:rPr>
          <w:rFonts w:ascii="Times New Roman" w:hAnsi="Times New Roman" w:cs="Times New Roman"/>
        </w:rPr>
        <w:t xml:space="preserve">A </w:t>
      </w:r>
      <w:r w:rsidR="000C5D80" w:rsidRPr="003E54AB">
        <w:rPr>
          <w:rFonts w:ascii="Times New Roman" w:hAnsi="Times New Roman" w:cs="Times New Roman"/>
        </w:rPr>
        <w:t xml:space="preserve">series of cost-utility analyses </w:t>
      </w:r>
      <w:r>
        <w:rPr>
          <w:rFonts w:ascii="Times New Roman" w:hAnsi="Times New Roman" w:cs="Times New Roman"/>
        </w:rPr>
        <w:t xml:space="preserve">was presented </w:t>
      </w:r>
      <w:r w:rsidR="000C5D80" w:rsidRPr="003E54AB">
        <w:rPr>
          <w:rFonts w:ascii="Times New Roman" w:hAnsi="Times New Roman" w:cs="Times New Roman"/>
        </w:rPr>
        <w:t>reporting the cost per additional quality-adjusted life year (QALY) generated by the introduction of WEA testing.</w:t>
      </w:r>
      <w:r w:rsidR="000C5D80">
        <w:rPr>
          <w:rFonts w:ascii="Times New Roman" w:hAnsi="Times New Roman" w:cs="Times New Roman"/>
        </w:rPr>
        <w:t xml:space="preserve"> </w:t>
      </w:r>
      <w:r w:rsidR="000C5D80" w:rsidRPr="003E54AB">
        <w:rPr>
          <w:rFonts w:ascii="Times New Roman" w:hAnsi="Times New Roman" w:cs="Times New Roman"/>
        </w:rPr>
        <w:t xml:space="preserve">The data from Stark </w:t>
      </w:r>
      <w:r w:rsidR="000C5D80" w:rsidRPr="003E54AB">
        <w:rPr>
          <w:rFonts w:ascii="Times New Roman" w:hAnsi="Times New Roman" w:cs="Times New Roman"/>
          <w:i/>
        </w:rPr>
        <w:t xml:space="preserve">et al </w:t>
      </w:r>
      <w:r w:rsidR="000C5D80" w:rsidRPr="003E54AB">
        <w:rPr>
          <w:rFonts w:ascii="Times New Roman" w:hAnsi="Times New Roman" w:cs="Times New Roman"/>
        </w:rPr>
        <w:t xml:space="preserve">(2016), Stark </w:t>
      </w:r>
      <w:r w:rsidR="000C5D80" w:rsidRPr="003E54AB">
        <w:rPr>
          <w:rFonts w:ascii="Times New Roman" w:hAnsi="Times New Roman" w:cs="Times New Roman"/>
          <w:i/>
        </w:rPr>
        <w:t xml:space="preserve">et al </w:t>
      </w:r>
      <w:r w:rsidR="000C5D80" w:rsidRPr="003E54AB">
        <w:rPr>
          <w:rFonts w:ascii="Times New Roman" w:hAnsi="Times New Roman" w:cs="Times New Roman"/>
        </w:rPr>
        <w:t xml:space="preserve">(2017) and Stark </w:t>
      </w:r>
      <w:r w:rsidR="000C5D80" w:rsidRPr="003E54AB">
        <w:rPr>
          <w:rFonts w:ascii="Times New Roman" w:hAnsi="Times New Roman" w:cs="Times New Roman"/>
          <w:i/>
        </w:rPr>
        <w:t>et al</w:t>
      </w:r>
      <w:r w:rsidR="000C5D80" w:rsidRPr="003E54AB">
        <w:rPr>
          <w:rFonts w:ascii="Times New Roman" w:hAnsi="Times New Roman" w:cs="Times New Roman"/>
        </w:rPr>
        <w:t xml:space="preserve"> (2018) publications were used to construct a Markov model that compared WEA with SoC in the proband population and first-degree relatives that may be affected by these results through cascade testi</w:t>
      </w:r>
      <w:r w:rsidR="00645461">
        <w:rPr>
          <w:rFonts w:ascii="Times New Roman" w:hAnsi="Times New Roman" w:cs="Times New Roman"/>
        </w:rPr>
        <w:t>ng (i.e. siblings and parents).</w:t>
      </w:r>
    </w:p>
    <w:p w14:paraId="0CC26736" w14:textId="77777777" w:rsidR="000C5D80" w:rsidRPr="003E54AB" w:rsidRDefault="00E3780D" w:rsidP="00981880">
      <w:pPr>
        <w:pStyle w:val="Body"/>
        <w:spacing w:line="240" w:lineRule="auto"/>
        <w:rPr>
          <w:rFonts w:ascii="Times New Roman" w:hAnsi="Times New Roman" w:cs="Times New Roman"/>
        </w:rPr>
      </w:pPr>
      <w:r>
        <w:rPr>
          <w:rFonts w:ascii="Times New Roman" w:hAnsi="Times New Roman" w:cs="Times New Roman"/>
        </w:rPr>
        <w:t>Table 6</w:t>
      </w:r>
      <w:r w:rsidR="000C5D80" w:rsidRPr="003E54AB">
        <w:rPr>
          <w:rFonts w:ascii="Times New Roman" w:hAnsi="Times New Roman" w:cs="Times New Roman"/>
        </w:rPr>
        <w:t xml:space="preserve"> presents the base case incremental cost-effectiveness ratio (cost per QALY gained) for WEA versus SoC.</w:t>
      </w:r>
    </w:p>
    <w:p w14:paraId="18FE35CC" w14:textId="77777777" w:rsidR="000C5D80" w:rsidRPr="001964D2" w:rsidRDefault="000C5D80" w:rsidP="001964D2">
      <w:pPr>
        <w:rPr>
          <w:rFonts w:ascii="Arial Narrow" w:hAnsi="Arial Narrow"/>
          <w:b/>
          <w:sz w:val="20"/>
        </w:rPr>
      </w:pPr>
      <w:bookmarkStart w:id="12" w:name="_Ref512501448"/>
      <w:bookmarkStart w:id="13" w:name="_Toc513290990"/>
      <w:r w:rsidRPr="001964D2">
        <w:rPr>
          <w:rFonts w:ascii="Arial Narrow" w:hAnsi="Arial Narrow"/>
          <w:b/>
          <w:sz w:val="20"/>
        </w:rPr>
        <w:t xml:space="preserve">Table </w:t>
      </w:r>
      <w:bookmarkEnd w:id="12"/>
      <w:r w:rsidR="00E3780D" w:rsidRPr="001964D2">
        <w:rPr>
          <w:rFonts w:ascii="Arial Narrow" w:hAnsi="Arial Narrow"/>
          <w:b/>
          <w:sz w:val="20"/>
        </w:rPr>
        <w:t>6</w:t>
      </w:r>
      <w:r w:rsidRPr="001964D2">
        <w:rPr>
          <w:rFonts w:ascii="Arial Narrow" w:hAnsi="Arial Narrow"/>
          <w:b/>
          <w:sz w:val="20"/>
        </w:rPr>
        <w:tab/>
        <w:t>Base case incremental cost-utility ratio – with cascade testing (discounted)</w:t>
      </w:r>
      <w:bookmarkEnd w:id="13"/>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ummary of the base case economic analysis results including cascade testing"/>
      </w:tblPr>
      <w:tblGrid>
        <w:gridCol w:w="1129"/>
        <w:gridCol w:w="1520"/>
        <w:gridCol w:w="1520"/>
        <w:gridCol w:w="1623"/>
        <w:gridCol w:w="1623"/>
        <w:gridCol w:w="1623"/>
      </w:tblGrid>
      <w:tr w:rsidR="000C5D80" w14:paraId="17DE290E" w14:textId="77777777" w:rsidTr="007052AA">
        <w:trPr>
          <w:trHeight w:val="300"/>
          <w:tblHeader/>
        </w:trPr>
        <w:tc>
          <w:tcPr>
            <w:tcW w:w="1129" w:type="dxa"/>
            <w:noWrap/>
            <w:hideMark/>
          </w:tcPr>
          <w:p w14:paraId="6B6288E8" w14:textId="77777777" w:rsidR="000C5D80" w:rsidRDefault="000C5D80" w:rsidP="00664DB5">
            <w:pPr>
              <w:pStyle w:val="Tableheading"/>
            </w:pPr>
            <w:r>
              <w:t>Strategy</w:t>
            </w:r>
          </w:p>
        </w:tc>
        <w:tc>
          <w:tcPr>
            <w:tcW w:w="1520" w:type="dxa"/>
            <w:noWrap/>
            <w:hideMark/>
          </w:tcPr>
          <w:p w14:paraId="3E2B1628" w14:textId="77777777" w:rsidR="000C5D80" w:rsidRDefault="000C5D80" w:rsidP="00664DB5">
            <w:pPr>
              <w:pStyle w:val="Tableheading"/>
              <w:jc w:val="center"/>
            </w:pPr>
            <w:r>
              <w:t>Cost</w:t>
            </w:r>
          </w:p>
        </w:tc>
        <w:tc>
          <w:tcPr>
            <w:tcW w:w="1520" w:type="dxa"/>
            <w:noWrap/>
            <w:hideMark/>
          </w:tcPr>
          <w:p w14:paraId="15FDC956" w14:textId="77777777" w:rsidR="000C5D80" w:rsidRDefault="000C5D80" w:rsidP="000569BD">
            <w:pPr>
              <w:pStyle w:val="Tableheading"/>
              <w:jc w:val="center"/>
            </w:pPr>
            <w:r>
              <w:t xml:space="preserve">Incremental </w:t>
            </w:r>
            <w:r w:rsidR="000569BD">
              <w:t>c</w:t>
            </w:r>
            <w:r>
              <w:t>ost</w:t>
            </w:r>
          </w:p>
        </w:tc>
        <w:tc>
          <w:tcPr>
            <w:tcW w:w="1623" w:type="dxa"/>
            <w:noWrap/>
            <w:hideMark/>
          </w:tcPr>
          <w:p w14:paraId="4421A2B0" w14:textId="77777777" w:rsidR="000C5D80" w:rsidRDefault="000C5D80" w:rsidP="00664DB5">
            <w:pPr>
              <w:pStyle w:val="Tableheading"/>
              <w:jc w:val="center"/>
            </w:pPr>
            <w:r>
              <w:t>Effect (QALYs)</w:t>
            </w:r>
          </w:p>
        </w:tc>
        <w:tc>
          <w:tcPr>
            <w:tcW w:w="1623" w:type="dxa"/>
            <w:noWrap/>
            <w:hideMark/>
          </w:tcPr>
          <w:p w14:paraId="596B077D" w14:textId="77777777" w:rsidR="000C5D80" w:rsidRDefault="000C5D80" w:rsidP="00664DB5">
            <w:pPr>
              <w:pStyle w:val="Tableheading"/>
              <w:jc w:val="center"/>
            </w:pPr>
            <w:r>
              <w:t xml:space="preserve">Incremental effect </w:t>
            </w:r>
            <w:r>
              <w:br/>
              <w:t>(QALYs gained)</w:t>
            </w:r>
          </w:p>
        </w:tc>
        <w:tc>
          <w:tcPr>
            <w:tcW w:w="1623" w:type="dxa"/>
            <w:noWrap/>
            <w:hideMark/>
          </w:tcPr>
          <w:p w14:paraId="7A0B202C" w14:textId="77777777" w:rsidR="000C5D80" w:rsidRDefault="000C5D80" w:rsidP="00664DB5">
            <w:pPr>
              <w:pStyle w:val="Tableheading"/>
              <w:jc w:val="center"/>
            </w:pPr>
            <w:r>
              <w:t xml:space="preserve">ICER </w:t>
            </w:r>
            <w:r>
              <w:br/>
              <w:t>(cost per additional QALY)</w:t>
            </w:r>
          </w:p>
        </w:tc>
      </w:tr>
      <w:tr w:rsidR="000C5D80" w14:paraId="6E89F70C" w14:textId="77777777" w:rsidTr="00664DB5">
        <w:trPr>
          <w:trHeight w:val="300"/>
        </w:trPr>
        <w:tc>
          <w:tcPr>
            <w:tcW w:w="1129" w:type="dxa"/>
            <w:noWrap/>
          </w:tcPr>
          <w:p w14:paraId="40D9B54F" w14:textId="77777777" w:rsidR="000C5D80" w:rsidRPr="00D7428F" w:rsidRDefault="000C5D80" w:rsidP="00664DB5">
            <w:pPr>
              <w:pStyle w:val="Tabletext"/>
            </w:pPr>
            <w:r w:rsidRPr="00D7428F">
              <w:t>SoC</w:t>
            </w:r>
          </w:p>
        </w:tc>
        <w:tc>
          <w:tcPr>
            <w:tcW w:w="1520" w:type="dxa"/>
            <w:noWrap/>
          </w:tcPr>
          <w:p w14:paraId="7B0D6C84" w14:textId="77777777" w:rsidR="000C5D80" w:rsidRPr="00D7428F" w:rsidRDefault="000C5D80" w:rsidP="00664DB5">
            <w:pPr>
              <w:pStyle w:val="Tabletext"/>
              <w:jc w:val="center"/>
            </w:pPr>
            <w:r w:rsidRPr="00D7428F">
              <w:t>$11,175.91</w:t>
            </w:r>
          </w:p>
        </w:tc>
        <w:tc>
          <w:tcPr>
            <w:tcW w:w="1520" w:type="dxa"/>
            <w:noWrap/>
          </w:tcPr>
          <w:p w14:paraId="4D08F578" w14:textId="77777777" w:rsidR="000C5D80" w:rsidRPr="00D7428F" w:rsidRDefault="000C5D80" w:rsidP="00664DB5">
            <w:pPr>
              <w:pStyle w:val="Tabletext"/>
              <w:jc w:val="center"/>
            </w:pPr>
            <w:r w:rsidRPr="00D7428F">
              <w:t>-</w:t>
            </w:r>
          </w:p>
        </w:tc>
        <w:tc>
          <w:tcPr>
            <w:tcW w:w="1623" w:type="dxa"/>
            <w:noWrap/>
          </w:tcPr>
          <w:p w14:paraId="6BBDDDA0" w14:textId="77777777" w:rsidR="000C5D80" w:rsidRPr="00D7428F" w:rsidRDefault="000C5D80" w:rsidP="00664DB5">
            <w:pPr>
              <w:pStyle w:val="Tabletext"/>
              <w:jc w:val="center"/>
            </w:pPr>
            <w:r w:rsidRPr="00D7428F">
              <w:t>6.330</w:t>
            </w:r>
          </w:p>
        </w:tc>
        <w:tc>
          <w:tcPr>
            <w:tcW w:w="1623" w:type="dxa"/>
            <w:noWrap/>
          </w:tcPr>
          <w:p w14:paraId="6DEC2594" w14:textId="77777777" w:rsidR="000C5D80" w:rsidRPr="00D7428F" w:rsidRDefault="000C5D80" w:rsidP="00664DB5">
            <w:pPr>
              <w:pStyle w:val="Tabletext"/>
              <w:jc w:val="center"/>
            </w:pPr>
            <w:r w:rsidRPr="00D7428F">
              <w:t>-</w:t>
            </w:r>
          </w:p>
        </w:tc>
        <w:tc>
          <w:tcPr>
            <w:tcW w:w="1623" w:type="dxa"/>
            <w:noWrap/>
          </w:tcPr>
          <w:p w14:paraId="176A92AF" w14:textId="77777777" w:rsidR="000C5D80" w:rsidRPr="00D7428F" w:rsidRDefault="000C5D80" w:rsidP="00664DB5">
            <w:pPr>
              <w:pStyle w:val="Tabletext"/>
              <w:jc w:val="center"/>
            </w:pPr>
            <w:r w:rsidRPr="00D7428F">
              <w:t>-</w:t>
            </w:r>
          </w:p>
        </w:tc>
      </w:tr>
      <w:tr w:rsidR="000C5D80" w14:paraId="2ACAFA49" w14:textId="77777777" w:rsidTr="00664DB5">
        <w:trPr>
          <w:trHeight w:val="300"/>
        </w:trPr>
        <w:tc>
          <w:tcPr>
            <w:tcW w:w="1129" w:type="dxa"/>
            <w:noWrap/>
          </w:tcPr>
          <w:p w14:paraId="3DD77F65" w14:textId="77777777" w:rsidR="000C5D80" w:rsidRPr="00D7428F" w:rsidRDefault="000C5D80" w:rsidP="00664DB5">
            <w:pPr>
              <w:pStyle w:val="Tabletext"/>
            </w:pPr>
            <w:r w:rsidRPr="00D7428F">
              <w:t>WE</w:t>
            </w:r>
            <w:r>
              <w:t>A</w:t>
            </w:r>
          </w:p>
        </w:tc>
        <w:tc>
          <w:tcPr>
            <w:tcW w:w="1520" w:type="dxa"/>
            <w:noWrap/>
          </w:tcPr>
          <w:p w14:paraId="0F3F1F3C" w14:textId="77777777" w:rsidR="000C5D80" w:rsidRPr="00D7428F" w:rsidRDefault="000C5D80" w:rsidP="00664DB5">
            <w:pPr>
              <w:pStyle w:val="Tabletext"/>
              <w:jc w:val="center"/>
            </w:pPr>
            <w:r w:rsidRPr="00D7428F">
              <w:t>$12,495.24</w:t>
            </w:r>
          </w:p>
        </w:tc>
        <w:tc>
          <w:tcPr>
            <w:tcW w:w="1520" w:type="dxa"/>
            <w:noWrap/>
          </w:tcPr>
          <w:p w14:paraId="039DF699" w14:textId="77777777" w:rsidR="000C5D80" w:rsidRPr="00D7428F" w:rsidRDefault="000C5D80" w:rsidP="00664DB5">
            <w:pPr>
              <w:pStyle w:val="Tabletext"/>
              <w:jc w:val="center"/>
            </w:pPr>
            <w:r w:rsidRPr="00D7428F">
              <w:t>$1319.33</w:t>
            </w:r>
          </w:p>
        </w:tc>
        <w:tc>
          <w:tcPr>
            <w:tcW w:w="1623" w:type="dxa"/>
            <w:noWrap/>
          </w:tcPr>
          <w:p w14:paraId="5E0A0F17" w14:textId="77777777" w:rsidR="000C5D80" w:rsidRPr="00D7428F" w:rsidRDefault="000C5D80" w:rsidP="00664DB5">
            <w:pPr>
              <w:pStyle w:val="Tabletext"/>
              <w:jc w:val="center"/>
            </w:pPr>
            <w:r w:rsidRPr="00D7428F">
              <w:t>6.512</w:t>
            </w:r>
          </w:p>
        </w:tc>
        <w:tc>
          <w:tcPr>
            <w:tcW w:w="1623" w:type="dxa"/>
            <w:noWrap/>
          </w:tcPr>
          <w:p w14:paraId="42F1D872" w14:textId="77777777" w:rsidR="000C5D80" w:rsidRPr="00D7428F" w:rsidRDefault="000C5D80" w:rsidP="00664DB5">
            <w:pPr>
              <w:pStyle w:val="Tabletext"/>
              <w:jc w:val="center"/>
            </w:pPr>
            <w:r w:rsidRPr="00D7428F">
              <w:t>0.182</w:t>
            </w:r>
          </w:p>
        </w:tc>
        <w:tc>
          <w:tcPr>
            <w:tcW w:w="1623" w:type="dxa"/>
            <w:noWrap/>
          </w:tcPr>
          <w:p w14:paraId="53096741" w14:textId="77777777" w:rsidR="000C5D80" w:rsidRPr="00D7428F" w:rsidRDefault="000C5D80" w:rsidP="00664DB5">
            <w:pPr>
              <w:pStyle w:val="Tabletext"/>
              <w:jc w:val="center"/>
            </w:pPr>
            <w:r w:rsidRPr="00D7428F">
              <w:t>$7254.62</w:t>
            </w:r>
          </w:p>
        </w:tc>
      </w:tr>
    </w:tbl>
    <w:p w14:paraId="47F09BE9" w14:textId="77777777" w:rsidR="000C5D80" w:rsidRDefault="000C5D80" w:rsidP="000C5D80">
      <w:pPr>
        <w:pStyle w:val="Tablenote"/>
      </w:pPr>
      <w:r>
        <w:t>Abbreviations:</w:t>
      </w:r>
      <w:r w:rsidRPr="00C3075D">
        <w:t xml:space="preserve"> </w:t>
      </w:r>
      <w:r>
        <w:t>ICER, incremental cost-effective ratio; QALY, quality-adjusted life year; SoC, standard of care; WEA, whole exome analysis</w:t>
      </w:r>
    </w:p>
    <w:p w14:paraId="749A07DE" w14:textId="77777777" w:rsidR="000C5D80" w:rsidRDefault="000569BD" w:rsidP="00E3780D">
      <w:pPr>
        <w:pStyle w:val="Body"/>
        <w:spacing w:line="240" w:lineRule="auto"/>
        <w:rPr>
          <w:rFonts w:ascii="Times New Roman" w:hAnsi="Times New Roman" w:cs="Times New Roman"/>
        </w:rPr>
      </w:pPr>
      <w:r>
        <w:rPr>
          <w:rFonts w:ascii="Times New Roman" w:hAnsi="Times New Roman" w:cs="Times New Roman"/>
        </w:rPr>
        <w:t>R</w:t>
      </w:r>
      <w:r w:rsidRPr="003E54AB">
        <w:rPr>
          <w:rFonts w:ascii="Times New Roman" w:hAnsi="Times New Roman" w:cs="Times New Roman"/>
        </w:rPr>
        <w:t xml:space="preserve">anking by order of effect on the ICER, </w:t>
      </w:r>
      <w:r>
        <w:rPr>
          <w:rFonts w:ascii="Times New Roman" w:hAnsi="Times New Roman" w:cs="Times New Roman"/>
        </w:rPr>
        <w:t>the model is most sensitive to</w:t>
      </w:r>
      <w:r w:rsidR="000C5D80" w:rsidRPr="003E54AB">
        <w:rPr>
          <w:rFonts w:ascii="Times New Roman" w:hAnsi="Times New Roman" w:cs="Times New Roman"/>
        </w:rPr>
        <w:t xml:space="preserve"> halving the modelled time horizon, decreasing the cost of SoC by 20%, increasing the cost of WEA by 20%, increasing the number of first-degree relatives per test positive </w:t>
      </w:r>
      <w:r>
        <w:rPr>
          <w:rFonts w:ascii="Times New Roman" w:hAnsi="Times New Roman" w:cs="Times New Roman"/>
        </w:rPr>
        <w:t>affected individual (p</w:t>
      </w:r>
      <w:r w:rsidR="000C5D80" w:rsidRPr="003E54AB">
        <w:rPr>
          <w:rFonts w:ascii="Times New Roman" w:hAnsi="Times New Roman" w:cs="Times New Roman"/>
        </w:rPr>
        <w:t>roband</w:t>
      </w:r>
      <w:r>
        <w:rPr>
          <w:rFonts w:ascii="Times New Roman" w:hAnsi="Times New Roman" w:cs="Times New Roman"/>
        </w:rPr>
        <w:t>)</w:t>
      </w:r>
      <w:r w:rsidR="000C5D80" w:rsidRPr="003E54AB">
        <w:rPr>
          <w:rFonts w:ascii="Times New Roman" w:hAnsi="Times New Roman" w:cs="Times New Roman"/>
        </w:rPr>
        <w:t xml:space="preserve"> by 1.0 and decreasing the change in clinical management effect on</w:t>
      </w:r>
      <w:r>
        <w:rPr>
          <w:rFonts w:ascii="Times New Roman" w:hAnsi="Times New Roman" w:cs="Times New Roman"/>
        </w:rPr>
        <w:t xml:space="preserve"> preference-based health-related quality of life by 20%</w:t>
      </w:r>
      <w:r w:rsidR="000C5D80">
        <w:rPr>
          <w:rFonts w:ascii="Times New Roman" w:hAnsi="Times New Roman" w:cs="Times New Roman"/>
        </w:rPr>
        <w:t>.</w:t>
      </w:r>
    </w:p>
    <w:p w14:paraId="542CC1C3" w14:textId="77777777" w:rsidR="00BC1364" w:rsidRPr="00F715D1" w:rsidRDefault="00BC1364" w:rsidP="00F715D1">
      <w:pPr>
        <w:pStyle w:val="Heading1"/>
      </w:pPr>
      <w:r w:rsidRPr="00F715D1">
        <w:t>Financial/budgetary impacts</w:t>
      </w:r>
    </w:p>
    <w:p w14:paraId="54124841" w14:textId="3A0ABD3F" w:rsidR="000C5D80" w:rsidRDefault="000C5D80" w:rsidP="009A3D5C">
      <w:pPr>
        <w:tabs>
          <w:tab w:val="left" w:pos="720"/>
          <w:tab w:val="left" w:pos="1140"/>
        </w:tabs>
        <w:spacing w:after="240"/>
      </w:pPr>
      <w:r>
        <w:t xml:space="preserve">Implementing WEA early in the diagnostic pathway is expected to result in cost savings to the MBS due to the reduction in the </w:t>
      </w:r>
      <w:r w:rsidR="000A768F">
        <w:t>‘</w:t>
      </w:r>
      <w:r>
        <w:t>diagnostic odyssey</w:t>
      </w:r>
      <w:r w:rsidR="000A768F">
        <w:t>’</w:t>
      </w:r>
      <w:r>
        <w:t xml:space="preserve">; however, the exact value of cost savings is difficult to quantify. Therefore, the costs to the MBS associated with the proposed listings are the upper limits expected for initial WEA for diagnosis (Population 1), re-analyses of whole exome data (Population 2), and cascade testing </w:t>
      </w:r>
      <w:r w:rsidR="000569BD">
        <w:t>o</w:t>
      </w:r>
      <w:r>
        <w:t>f first-degree</w:t>
      </w:r>
      <w:r w:rsidR="009A3D5C">
        <w:t xml:space="preserve"> family members (Population 3).</w:t>
      </w:r>
    </w:p>
    <w:p w14:paraId="5C6ACD76" w14:textId="00846022" w:rsidR="000C5D80" w:rsidRDefault="000C5D80" w:rsidP="009A3D5C">
      <w:pPr>
        <w:tabs>
          <w:tab w:val="left" w:pos="720"/>
          <w:tab w:val="left" w:pos="1140"/>
        </w:tabs>
        <w:spacing w:after="240"/>
      </w:pPr>
      <w:r w:rsidRPr="00E6099A">
        <w:t>The upper limit of the total costs to the MBS for the three proposed populations projected during 2019–2023 are presented in</w:t>
      </w:r>
      <w:r w:rsidR="00D930D3">
        <w:t xml:space="preserve"> Table 7</w:t>
      </w:r>
      <w:r w:rsidRPr="00E6099A">
        <w:t xml:space="preserve">, </w:t>
      </w:r>
      <w:r w:rsidR="00882D23">
        <w:t>Table 8 and Table 9</w:t>
      </w:r>
      <w:r w:rsidRPr="00E6099A">
        <w:t>, respectively</w:t>
      </w:r>
      <w:r w:rsidR="00864695">
        <w:t>.</w:t>
      </w:r>
    </w:p>
    <w:p w14:paraId="08591EA2" w14:textId="77777777" w:rsidR="000C5D80" w:rsidRPr="001964D2" w:rsidRDefault="000C5D80" w:rsidP="001964D2">
      <w:pPr>
        <w:rPr>
          <w:rFonts w:ascii="Arial Narrow" w:hAnsi="Arial Narrow"/>
          <w:b/>
          <w:sz w:val="20"/>
        </w:rPr>
      </w:pPr>
      <w:bookmarkStart w:id="14" w:name="_Ref512521042"/>
      <w:bookmarkStart w:id="15" w:name="_Toc513290993"/>
      <w:r w:rsidRPr="001964D2">
        <w:rPr>
          <w:rFonts w:ascii="Arial Narrow" w:hAnsi="Arial Narrow"/>
          <w:b/>
          <w:sz w:val="20"/>
        </w:rPr>
        <w:t xml:space="preserve">Table </w:t>
      </w:r>
      <w:bookmarkEnd w:id="14"/>
      <w:r w:rsidR="00E3780D" w:rsidRPr="001964D2">
        <w:rPr>
          <w:rFonts w:ascii="Arial Narrow" w:hAnsi="Arial Narrow"/>
          <w:b/>
          <w:sz w:val="20"/>
        </w:rPr>
        <w:t>7</w:t>
      </w:r>
      <w:r w:rsidRPr="001964D2">
        <w:rPr>
          <w:rFonts w:ascii="Arial Narrow" w:hAnsi="Arial Narrow"/>
          <w:b/>
          <w:sz w:val="20"/>
        </w:rPr>
        <w:tab/>
        <w:t>Projected cost of initial WEA (Population 1), 2019–2023</w:t>
      </w:r>
      <w:bookmarkEnd w:id="15"/>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the estimated cost of initial WEA for Population 1 from 2019 to 2023"/>
      </w:tblPr>
      <w:tblGrid>
        <w:gridCol w:w="2935"/>
        <w:gridCol w:w="1217"/>
        <w:gridCol w:w="1216"/>
        <w:gridCol w:w="1216"/>
        <w:gridCol w:w="1216"/>
        <w:gridCol w:w="1216"/>
      </w:tblGrid>
      <w:tr w:rsidR="000C5D80" w14:paraId="05E6E893" w14:textId="77777777" w:rsidTr="007052AA">
        <w:trPr>
          <w:tblHeader/>
        </w:trPr>
        <w:tc>
          <w:tcPr>
            <w:tcW w:w="2935" w:type="dxa"/>
          </w:tcPr>
          <w:p w14:paraId="5DF8DC81" w14:textId="77777777" w:rsidR="000C5D80" w:rsidRDefault="000C5D80" w:rsidP="00664DB5">
            <w:pPr>
              <w:pStyle w:val="Tableheading"/>
            </w:pPr>
          </w:p>
        </w:tc>
        <w:tc>
          <w:tcPr>
            <w:tcW w:w="1217" w:type="dxa"/>
            <w:tcBorders>
              <w:bottom w:val="single" w:sz="4" w:space="0" w:color="auto"/>
            </w:tcBorders>
          </w:tcPr>
          <w:p w14:paraId="2F302EC9" w14:textId="77777777" w:rsidR="000C5D80" w:rsidRDefault="000C5D80" w:rsidP="00664DB5">
            <w:pPr>
              <w:pStyle w:val="Tableheading"/>
              <w:jc w:val="center"/>
            </w:pPr>
            <w:r>
              <w:t>2019</w:t>
            </w:r>
          </w:p>
        </w:tc>
        <w:tc>
          <w:tcPr>
            <w:tcW w:w="1216" w:type="dxa"/>
            <w:tcBorders>
              <w:bottom w:val="single" w:sz="4" w:space="0" w:color="auto"/>
            </w:tcBorders>
          </w:tcPr>
          <w:p w14:paraId="667F9A67" w14:textId="77777777" w:rsidR="000C5D80" w:rsidRDefault="000C5D80" w:rsidP="00664DB5">
            <w:pPr>
              <w:pStyle w:val="Tableheading"/>
              <w:jc w:val="center"/>
            </w:pPr>
            <w:r>
              <w:t>2020</w:t>
            </w:r>
          </w:p>
        </w:tc>
        <w:tc>
          <w:tcPr>
            <w:tcW w:w="1216" w:type="dxa"/>
            <w:tcBorders>
              <w:bottom w:val="single" w:sz="4" w:space="0" w:color="auto"/>
            </w:tcBorders>
          </w:tcPr>
          <w:p w14:paraId="485342E6" w14:textId="77777777" w:rsidR="000C5D80" w:rsidRDefault="000C5D80" w:rsidP="00664DB5">
            <w:pPr>
              <w:pStyle w:val="Tableheading"/>
              <w:jc w:val="center"/>
            </w:pPr>
            <w:r>
              <w:t>2021</w:t>
            </w:r>
          </w:p>
        </w:tc>
        <w:tc>
          <w:tcPr>
            <w:tcW w:w="1216" w:type="dxa"/>
            <w:tcBorders>
              <w:bottom w:val="single" w:sz="4" w:space="0" w:color="auto"/>
            </w:tcBorders>
          </w:tcPr>
          <w:p w14:paraId="3D3A5775" w14:textId="77777777" w:rsidR="000C5D80" w:rsidRDefault="000C5D80" w:rsidP="00664DB5">
            <w:pPr>
              <w:pStyle w:val="Tableheading"/>
              <w:jc w:val="center"/>
            </w:pPr>
            <w:r>
              <w:t>2022</w:t>
            </w:r>
          </w:p>
        </w:tc>
        <w:tc>
          <w:tcPr>
            <w:tcW w:w="1216" w:type="dxa"/>
            <w:tcBorders>
              <w:bottom w:val="single" w:sz="4" w:space="0" w:color="auto"/>
            </w:tcBorders>
          </w:tcPr>
          <w:p w14:paraId="0239FE8C" w14:textId="77777777" w:rsidR="000C5D80" w:rsidRDefault="000C5D80" w:rsidP="00664DB5">
            <w:pPr>
              <w:pStyle w:val="Tableheading"/>
              <w:jc w:val="center"/>
            </w:pPr>
            <w:r>
              <w:t>2023</w:t>
            </w:r>
          </w:p>
        </w:tc>
      </w:tr>
      <w:tr w:rsidR="000C5D80" w14:paraId="7DAAB378" w14:textId="77777777" w:rsidTr="00664DB5">
        <w:tc>
          <w:tcPr>
            <w:tcW w:w="2935" w:type="dxa"/>
          </w:tcPr>
          <w:p w14:paraId="06750D39" w14:textId="77777777" w:rsidR="000C5D80" w:rsidRDefault="000C5D80" w:rsidP="00664DB5">
            <w:pPr>
              <w:pStyle w:val="Tabletext"/>
            </w:pPr>
            <w:r w:rsidRPr="000B2C00">
              <w:t>Number of patients</w:t>
            </w:r>
          </w:p>
        </w:tc>
        <w:tc>
          <w:tcPr>
            <w:tcW w:w="1217" w:type="dxa"/>
          </w:tcPr>
          <w:p w14:paraId="5389088E" w14:textId="77777777" w:rsidR="000C5D80" w:rsidRDefault="000C5D80" w:rsidP="00664DB5">
            <w:pPr>
              <w:pStyle w:val="Tabletext"/>
              <w:jc w:val="center"/>
            </w:pPr>
            <w:r w:rsidRPr="00015474">
              <w:t xml:space="preserve"> 3,406 </w:t>
            </w:r>
          </w:p>
        </w:tc>
        <w:tc>
          <w:tcPr>
            <w:tcW w:w="1216" w:type="dxa"/>
          </w:tcPr>
          <w:p w14:paraId="4B1A1DC2" w14:textId="77777777" w:rsidR="000C5D80" w:rsidRDefault="000C5D80" w:rsidP="00664DB5">
            <w:pPr>
              <w:pStyle w:val="Tabletext"/>
              <w:jc w:val="center"/>
            </w:pPr>
            <w:r w:rsidRPr="00015474">
              <w:t xml:space="preserve"> 3,454 </w:t>
            </w:r>
          </w:p>
        </w:tc>
        <w:tc>
          <w:tcPr>
            <w:tcW w:w="1216" w:type="dxa"/>
          </w:tcPr>
          <w:p w14:paraId="43F47D2F" w14:textId="77777777" w:rsidR="000C5D80" w:rsidRDefault="000C5D80" w:rsidP="00664DB5">
            <w:pPr>
              <w:pStyle w:val="Tabletext"/>
              <w:jc w:val="center"/>
            </w:pPr>
            <w:r w:rsidRPr="00015474">
              <w:t xml:space="preserve"> 3,503 </w:t>
            </w:r>
          </w:p>
        </w:tc>
        <w:tc>
          <w:tcPr>
            <w:tcW w:w="1216" w:type="dxa"/>
          </w:tcPr>
          <w:p w14:paraId="15734885" w14:textId="77777777" w:rsidR="000C5D80" w:rsidRDefault="000C5D80" w:rsidP="00664DB5">
            <w:pPr>
              <w:pStyle w:val="Tabletext"/>
              <w:jc w:val="center"/>
            </w:pPr>
            <w:r w:rsidRPr="00015474">
              <w:t xml:space="preserve"> 2,753 </w:t>
            </w:r>
          </w:p>
        </w:tc>
        <w:tc>
          <w:tcPr>
            <w:tcW w:w="1216" w:type="dxa"/>
          </w:tcPr>
          <w:p w14:paraId="02B1E4FF" w14:textId="77777777" w:rsidR="000C5D80" w:rsidRDefault="000C5D80" w:rsidP="00664DB5">
            <w:pPr>
              <w:pStyle w:val="Tabletext"/>
              <w:jc w:val="center"/>
            </w:pPr>
            <w:r w:rsidRPr="00015474">
              <w:t xml:space="preserve"> 2,803 </w:t>
            </w:r>
          </w:p>
        </w:tc>
      </w:tr>
      <w:tr w:rsidR="000C5D80" w14:paraId="73BC96B9" w14:textId="77777777" w:rsidTr="00664DB5">
        <w:tc>
          <w:tcPr>
            <w:tcW w:w="2935" w:type="dxa"/>
          </w:tcPr>
          <w:p w14:paraId="18B40294" w14:textId="77777777" w:rsidR="000C5D80" w:rsidRDefault="000C5D80" w:rsidP="00664DB5">
            <w:pPr>
              <w:pStyle w:val="Tabletext"/>
            </w:pPr>
            <w:r w:rsidRPr="000B2C00">
              <w:t>Cost of WEA per patient</w:t>
            </w:r>
          </w:p>
        </w:tc>
        <w:tc>
          <w:tcPr>
            <w:tcW w:w="1217" w:type="dxa"/>
          </w:tcPr>
          <w:p w14:paraId="4CD3953F" w14:textId="77777777" w:rsidR="000C5D80" w:rsidRDefault="000C5D80" w:rsidP="00664DB5">
            <w:pPr>
              <w:pStyle w:val="Tabletext"/>
              <w:jc w:val="center"/>
            </w:pPr>
            <w:r w:rsidRPr="00015474">
              <w:t xml:space="preserve"> $2,400 </w:t>
            </w:r>
          </w:p>
        </w:tc>
        <w:tc>
          <w:tcPr>
            <w:tcW w:w="1216" w:type="dxa"/>
          </w:tcPr>
          <w:p w14:paraId="6C11758A" w14:textId="77777777" w:rsidR="000C5D80" w:rsidRDefault="000C5D80" w:rsidP="00664DB5">
            <w:pPr>
              <w:pStyle w:val="Tabletext"/>
              <w:jc w:val="center"/>
            </w:pPr>
            <w:r w:rsidRPr="00015474">
              <w:t xml:space="preserve"> $2,400 </w:t>
            </w:r>
          </w:p>
        </w:tc>
        <w:tc>
          <w:tcPr>
            <w:tcW w:w="1216" w:type="dxa"/>
          </w:tcPr>
          <w:p w14:paraId="74D71F4C" w14:textId="77777777" w:rsidR="000C5D80" w:rsidRDefault="000C5D80" w:rsidP="00664DB5">
            <w:pPr>
              <w:pStyle w:val="Tabletext"/>
              <w:jc w:val="center"/>
            </w:pPr>
            <w:r w:rsidRPr="00015474">
              <w:t xml:space="preserve"> $2,400 </w:t>
            </w:r>
          </w:p>
        </w:tc>
        <w:tc>
          <w:tcPr>
            <w:tcW w:w="1216" w:type="dxa"/>
          </w:tcPr>
          <w:p w14:paraId="7BD8A3A9" w14:textId="77777777" w:rsidR="000C5D80" w:rsidRDefault="000C5D80" w:rsidP="00664DB5">
            <w:pPr>
              <w:pStyle w:val="Tabletext"/>
              <w:jc w:val="center"/>
            </w:pPr>
            <w:r w:rsidRPr="00015474">
              <w:t xml:space="preserve"> $2,400 </w:t>
            </w:r>
          </w:p>
        </w:tc>
        <w:tc>
          <w:tcPr>
            <w:tcW w:w="1216" w:type="dxa"/>
          </w:tcPr>
          <w:p w14:paraId="410B90BE" w14:textId="77777777" w:rsidR="000C5D80" w:rsidRDefault="000C5D80" w:rsidP="00664DB5">
            <w:pPr>
              <w:pStyle w:val="Tabletext"/>
              <w:jc w:val="center"/>
            </w:pPr>
            <w:r w:rsidRPr="00015474">
              <w:t xml:space="preserve"> $2,400 </w:t>
            </w:r>
          </w:p>
        </w:tc>
      </w:tr>
      <w:tr w:rsidR="000C5D80" w14:paraId="5086B8E2" w14:textId="77777777" w:rsidTr="00664DB5">
        <w:tc>
          <w:tcPr>
            <w:tcW w:w="2935" w:type="dxa"/>
          </w:tcPr>
          <w:p w14:paraId="24EF1EE9" w14:textId="77777777" w:rsidR="000C5D80" w:rsidRPr="00FD60AE" w:rsidRDefault="000C5D80" w:rsidP="00664DB5">
            <w:pPr>
              <w:pStyle w:val="Tabletext"/>
            </w:pPr>
            <w:r w:rsidRPr="00FD60AE">
              <w:t>Total cost</w:t>
            </w:r>
          </w:p>
        </w:tc>
        <w:tc>
          <w:tcPr>
            <w:tcW w:w="1217" w:type="dxa"/>
          </w:tcPr>
          <w:p w14:paraId="0481931C" w14:textId="77777777" w:rsidR="000C5D80" w:rsidRDefault="000C5D80" w:rsidP="00664DB5">
            <w:pPr>
              <w:pStyle w:val="Tabletext"/>
              <w:jc w:val="center"/>
            </w:pPr>
            <w:r w:rsidRPr="00015474">
              <w:t xml:space="preserve"> $8,173,856 </w:t>
            </w:r>
          </w:p>
        </w:tc>
        <w:tc>
          <w:tcPr>
            <w:tcW w:w="1216" w:type="dxa"/>
          </w:tcPr>
          <w:p w14:paraId="79F55111" w14:textId="77777777" w:rsidR="000C5D80" w:rsidRDefault="000C5D80" w:rsidP="00664DB5">
            <w:pPr>
              <w:pStyle w:val="Tabletext"/>
              <w:jc w:val="center"/>
            </w:pPr>
            <w:r w:rsidRPr="00015474">
              <w:t xml:space="preserve"> $8,290,368 </w:t>
            </w:r>
          </w:p>
        </w:tc>
        <w:tc>
          <w:tcPr>
            <w:tcW w:w="1216" w:type="dxa"/>
          </w:tcPr>
          <w:p w14:paraId="5333E658" w14:textId="77777777" w:rsidR="000C5D80" w:rsidRDefault="000C5D80" w:rsidP="00664DB5">
            <w:pPr>
              <w:pStyle w:val="Tabletext"/>
              <w:jc w:val="center"/>
            </w:pPr>
            <w:r w:rsidRPr="00015474">
              <w:t xml:space="preserve"> $8,408,246 </w:t>
            </w:r>
          </w:p>
        </w:tc>
        <w:tc>
          <w:tcPr>
            <w:tcW w:w="1216" w:type="dxa"/>
          </w:tcPr>
          <w:p w14:paraId="0918B0D6" w14:textId="77777777" w:rsidR="000C5D80" w:rsidRDefault="000C5D80" w:rsidP="00664DB5">
            <w:pPr>
              <w:pStyle w:val="Tabletext"/>
              <w:jc w:val="center"/>
            </w:pPr>
            <w:r w:rsidRPr="00015474">
              <w:t xml:space="preserve"> $6,607,205 </w:t>
            </w:r>
          </w:p>
        </w:tc>
        <w:tc>
          <w:tcPr>
            <w:tcW w:w="1216" w:type="dxa"/>
          </w:tcPr>
          <w:p w14:paraId="1344C6AE" w14:textId="77777777" w:rsidR="000C5D80" w:rsidRDefault="000C5D80" w:rsidP="00664DB5">
            <w:pPr>
              <w:pStyle w:val="Tabletext"/>
              <w:jc w:val="center"/>
            </w:pPr>
            <w:r w:rsidRPr="00015474">
              <w:t xml:space="preserve"> $6,727,129 </w:t>
            </w:r>
          </w:p>
        </w:tc>
      </w:tr>
      <w:tr w:rsidR="000C5D80" w14:paraId="7A32E346" w14:textId="77777777" w:rsidTr="00664DB5">
        <w:tc>
          <w:tcPr>
            <w:tcW w:w="2935" w:type="dxa"/>
          </w:tcPr>
          <w:p w14:paraId="5B6F8E5E" w14:textId="77777777" w:rsidR="000C5D80" w:rsidRPr="00FD60AE" w:rsidRDefault="000C5D80" w:rsidP="00664DB5">
            <w:pPr>
              <w:pStyle w:val="Tabletext"/>
            </w:pPr>
            <w:r w:rsidRPr="00FD60AE">
              <w:t>MBS rebate (85%)</w:t>
            </w:r>
          </w:p>
        </w:tc>
        <w:tc>
          <w:tcPr>
            <w:tcW w:w="1217" w:type="dxa"/>
          </w:tcPr>
          <w:p w14:paraId="61B584F0" w14:textId="77777777" w:rsidR="000C5D80" w:rsidRDefault="000C5D80" w:rsidP="00664DB5">
            <w:pPr>
              <w:pStyle w:val="Tabletext"/>
              <w:jc w:val="center"/>
            </w:pPr>
            <w:r w:rsidRPr="00015474">
              <w:t xml:space="preserve"> $6,947,777 </w:t>
            </w:r>
          </w:p>
        </w:tc>
        <w:tc>
          <w:tcPr>
            <w:tcW w:w="1216" w:type="dxa"/>
          </w:tcPr>
          <w:p w14:paraId="0BB9CE65" w14:textId="77777777" w:rsidR="000C5D80" w:rsidRDefault="000C5D80" w:rsidP="00664DB5">
            <w:pPr>
              <w:pStyle w:val="Tabletext"/>
              <w:jc w:val="center"/>
            </w:pPr>
            <w:r w:rsidRPr="00015474">
              <w:t xml:space="preserve"> $7,046,812 </w:t>
            </w:r>
          </w:p>
        </w:tc>
        <w:tc>
          <w:tcPr>
            <w:tcW w:w="1216" w:type="dxa"/>
          </w:tcPr>
          <w:p w14:paraId="722FBF0C" w14:textId="77777777" w:rsidR="000C5D80" w:rsidRDefault="000C5D80" w:rsidP="00664DB5">
            <w:pPr>
              <w:pStyle w:val="Tabletext"/>
              <w:jc w:val="center"/>
            </w:pPr>
            <w:r w:rsidRPr="00015474">
              <w:t xml:space="preserve"> $7,147,009 </w:t>
            </w:r>
          </w:p>
        </w:tc>
        <w:tc>
          <w:tcPr>
            <w:tcW w:w="1216" w:type="dxa"/>
          </w:tcPr>
          <w:p w14:paraId="2CC11EB4" w14:textId="77777777" w:rsidR="000C5D80" w:rsidRDefault="000C5D80" w:rsidP="00664DB5">
            <w:pPr>
              <w:pStyle w:val="Tabletext"/>
              <w:jc w:val="center"/>
            </w:pPr>
            <w:r w:rsidRPr="00015474">
              <w:t xml:space="preserve"> $5,616,125 </w:t>
            </w:r>
          </w:p>
        </w:tc>
        <w:tc>
          <w:tcPr>
            <w:tcW w:w="1216" w:type="dxa"/>
          </w:tcPr>
          <w:p w14:paraId="07C3B63C" w14:textId="77777777" w:rsidR="000C5D80" w:rsidRDefault="000C5D80" w:rsidP="00664DB5">
            <w:pPr>
              <w:pStyle w:val="Tabletext"/>
              <w:jc w:val="center"/>
            </w:pPr>
            <w:r w:rsidRPr="00015474">
              <w:t xml:space="preserve"> $5,718,060 </w:t>
            </w:r>
          </w:p>
        </w:tc>
      </w:tr>
      <w:tr w:rsidR="000C5D80" w14:paraId="6717CF90" w14:textId="77777777" w:rsidTr="00664DB5">
        <w:tc>
          <w:tcPr>
            <w:tcW w:w="2935" w:type="dxa"/>
          </w:tcPr>
          <w:p w14:paraId="0D45FF93" w14:textId="77777777" w:rsidR="000C5D80" w:rsidRPr="00FD60AE" w:rsidRDefault="000C5D80" w:rsidP="00664DB5">
            <w:pPr>
              <w:pStyle w:val="Tabletext"/>
            </w:pPr>
            <w:r w:rsidRPr="00FD60AE">
              <w:t>Patient contributions</w:t>
            </w:r>
          </w:p>
        </w:tc>
        <w:tc>
          <w:tcPr>
            <w:tcW w:w="1217" w:type="dxa"/>
          </w:tcPr>
          <w:p w14:paraId="516A69B7" w14:textId="77777777" w:rsidR="000C5D80" w:rsidRDefault="000C5D80" w:rsidP="00664DB5">
            <w:pPr>
              <w:pStyle w:val="Tabletext"/>
              <w:jc w:val="center"/>
            </w:pPr>
            <w:r w:rsidRPr="00015474">
              <w:t xml:space="preserve"> $1,226,078 </w:t>
            </w:r>
          </w:p>
        </w:tc>
        <w:tc>
          <w:tcPr>
            <w:tcW w:w="1216" w:type="dxa"/>
          </w:tcPr>
          <w:p w14:paraId="7A667DF9" w14:textId="77777777" w:rsidR="000C5D80" w:rsidRDefault="000C5D80" w:rsidP="00664DB5">
            <w:pPr>
              <w:pStyle w:val="Tabletext"/>
              <w:jc w:val="center"/>
            </w:pPr>
            <w:r w:rsidRPr="00015474">
              <w:t xml:space="preserve"> $1,243,555 </w:t>
            </w:r>
          </w:p>
        </w:tc>
        <w:tc>
          <w:tcPr>
            <w:tcW w:w="1216" w:type="dxa"/>
          </w:tcPr>
          <w:p w14:paraId="48FBBA42" w14:textId="77777777" w:rsidR="000C5D80" w:rsidRDefault="000C5D80" w:rsidP="00664DB5">
            <w:pPr>
              <w:pStyle w:val="Tabletext"/>
              <w:jc w:val="center"/>
            </w:pPr>
            <w:r w:rsidRPr="00015474">
              <w:t xml:space="preserve"> $1,261,237 </w:t>
            </w:r>
          </w:p>
        </w:tc>
        <w:tc>
          <w:tcPr>
            <w:tcW w:w="1216" w:type="dxa"/>
          </w:tcPr>
          <w:p w14:paraId="7C25591A" w14:textId="77777777" w:rsidR="000C5D80" w:rsidRDefault="000C5D80" w:rsidP="00664DB5">
            <w:pPr>
              <w:pStyle w:val="Tabletext"/>
              <w:jc w:val="center"/>
            </w:pPr>
            <w:r w:rsidRPr="00015474">
              <w:t xml:space="preserve"> $991,081 </w:t>
            </w:r>
          </w:p>
        </w:tc>
        <w:tc>
          <w:tcPr>
            <w:tcW w:w="1216" w:type="dxa"/>
          </w:tcPr>
          <w:p w14:paraId="3FD84690" w14:textId="77777777" w:rsidR="000C5D80" w:rsidRDefault="000C5D80" w:rsidP="00664DB5">
            <w:pPr>
              <w:pStyle w:val="Tabletext"/>
              <w:jc w:val="center"/>
            </w:pPr>
            <w:r w:rsidRPr="00015474">
              <w:t xml:space="preserve"> $1,009,069 </w:t>
            </w:r>
          </w:p>
        </w:tc>
      </w:tr>
    </w:tbl>
    <w:p w14:paraId="1782AB92" w14:textId="77777777" w:rsidR="00083868" w:rsidRDefault="00083868">
      <w:pPr>
        <w:rPr>
          <w:rFonts w:ascii="Arial Narrow" w:hAnsi="Arial Narrow" w:cs="Arial"/>
          <w:b/>
          <w:bCs/>
          <w:iCs/>
          <w:sz w:val="20"/>
          <w:lang w:eastAsia="en-US"/>
        </w:rPr>
      </w:pPr>
      <w:bookmarkStart w:id="16" w:name="_Ref512521043"/>
      <w:bookmarkStart w:id="17" w:name="_Toc513290994"/>
      <w:r>
        <w:br w:type="page"/>
      </w:r>
    </w:p>
    <w:p w14:paraId="0AFCB4DE" w14:textId="77777777" w:rsidR="000C5D80" w:rsidRPr="00DB1234" w:rsidRDefault="000C5D80" w:rsidP="00DB1234">
      <w:pPr>
        <w:rPr>
          <w:rFonts w:ascii="Arial Narrow" w:hAnsi="Arial Narrow"/>
          <w:b/>
          <w:sz w:val="20"/>
        </w:rPr>
      </w:pPr>
      <w:r w:rsidRPr="00DB1234">
        <w:rPr>
          <w:rFonts w:ascii="Arial Narrow" w:hAnsi="Arial Narrow"/>
          <w:b/>
          <w:sz w:val="20"/>
        </w:rPr>
        <w:lastRenderedPageBreak/>
        <w:t>Table</w:t>
      </w:r>
      <w:bookmarkEnd w:id="16"/>
      <w:r w:rsidR="00E3780D" w:rsidRPr="00DB1234">
        <w:rPr>
          <w:rFonts w:ascii="Arial Narrow" w:hAnsi="Arial Narrow"/>
          <w:b/>
          <w:sz w:val="20"/>
        </w:rPr>
        <w:t xml:space="preserve"> 8</w:t>
      </w:r>
      <w:r w:rsidRPr="00DB1234">
        <w:rPr>
          <w:rFonts w:ascii="Arial Narrow" w:hAnsi="Arial Narrow"/>
          <w:b/>
          <w:sz w:val="20"/>
        </w:rPr>
        <w:tab/>
        <w:t>Projected cost of whole exome re-analyses (Population 2), 2019–2023</w:t>
      </w:r>
      <w:bookmarkEnd w:id="17"/>
    </w:p>
    <w:tbl>
      <w:tblPr>
        <w:tblStyle w:val="TableGridLight1"/>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ummary of the estimated costs for whole exome re-analyses for Population 2 from 2019 to 2023"/>
      </w:tblPr>
      <w:tblGrid>
        <w:gridCol w:w="2830"/>
        <w:gridCol w:w="1241"/>
        <w:gridCol w:w="1242"/>
        <w:gridCol w:w="1241"/>
        <w:gridCol w:w="1242"/>
        <w:gridCol w:w="1242"/>
      </w:tblGrid>
      <w:tr w:rsidR="000C5D80" w14:paraId="692ACBD9" w14:textId="77777777" w:rsidTr="007052AA">
        <w:trPr>
          <w:tblHeader/>
        </w:trPr>
        <w:tc>
          <w:tcPr>
            <w:tcW w:w="2830" w:type="dxa"/>
          </w:tcPr>
          <w:p w14:paraId="1BB35E4D" w14:textId="77777777" w:rsidR="000C5D80" w:rsidRDefault="000C5D80" w:rsidP="00664DB5">
            <w:pPr>
              <w:pStyle w:val="Tableheading"/>
            </w:pPr>
          </w:p>
        </w:tc>
        <w:tc>
          <w:tcPr>
            <w:tcW w:w="1241" w:type="dxa"/>
            <w:tcBorders>
              <w:bottom w:val="single" w:sz="4" w:space="0" w:color="auto"/>
            </w:tcBorders>
          </w:tcPr>
          <w:p w14:paraId="4B35658C" w14:textId="77777777" w:rsidR="000C5D80" w:rsidRDefault="000C5D80" w:rsidP="00664DB5">
            <w:pPr>
              <w:pStyle w:val="Tableheading"/>
              <w:jc w:val="center"/>
            </w:pPr>
            <w:r>
              <w:t>2019</w:t>
            </w:r>
          </w:p>
        </w:tc>
        <w:tc>
          <w:tcPr>
            <w:tcW w:w="1242" w:type="dxa"/>
            <w:tcBorders>
              <w:bottom w:val="single" w:sz="4" w:space="0" w:color="auto"/>
            </w:tcBorders>
          </w:tcPr>
          <w:p w14:paraId="5A8580D4" w14:textId="77777777" w:rsidR="000C5D80" w:rsidRDefault="000C5D80" w:rsidP="00664DB5">
            <w:pPr>
              <w:pStyle w:val="Tableheading"/>
              <w:jc w:val="center"/>
            </w:pPr>
            <w:r>
              <w:t>2020</w:t>
            </w:r>
          </w:p>
        </w:tc>
        <w:tc>
          <w:tcPr>
            <w:tcW w:w="1241" w:type="dxa"/>
            <w:tcBorders>
              <w:bottom w:val="single" w:sz="4" w:space="0" w:color="auto"/>
            </w:tcBorders>
          </w:tcPr>
          <w:p w14:paraId="4EAC1E1B" w14:textId="77777777" w:rsidR="000C5D80" w:rsidRDefault="000C5D80" w:rsidP="00664DB5">
            <w:pPr>
              <w:pStyle w:val="Tableheading"/>
              <w:jc w:val="center"/>
            </w:pPr>
            <w:r>
              <w:t>2021</w:t>
            </w:r>
          </w:p>
        </w:tc>
        <w:tc>
          <w:tcPr>
            <w:tcW w:w="1242" w:type="dxa"/>
            <w:tcBorders>
              <w:bottom w:val="single" w:sz="4" w:space="0" w:color="auto"/>
            </w:tcBorders>
          </w:tcPr>
          <w:p w14:paraId="3C0BCA86" w14:textId="77777777" w:rsidR="000C5D80" w:rsidRDefault="000C5D80" w:rsidP="00664DB5">
            <w:pPr>
              <w:pStyle w:val="Tableheading"/>
              <w:jc w:val="center"/>
            </w:pPr>
            <w:r>
              <w:t>2022</w:t>
            </w:r>
          </w:p>
        </w:tc>
        <w:tc>
          <w:tcPr>
            <w:tcW w:w="1242" w:type="dxa"/>
            <w:tcBorders>
              <w:bottom w:val="single" w:sz="4" w:space="0" w:color="auto"/>
            </w:tcBorders>
          </w:tcPr>
          <w:p w14:paraId="2B6552EB" w14:textId="77777777" w:rsidR="000C5D80" w:rsidRDefault="000C5D80" w:rsidP="00664DB5">
            <w:pPr>
              <w:pStyle w:val="Tableheading"/>
              <w:jc w:val="center"/>
            </w:pPr>
            <w:r>
              <w:t>2023</w:t>
            </w:r>
          </w:p>
        </w:tc>
      </w:tr>
      <w:tr w:rsidR="000C5D80" w14:paraId="5938BCAF" w14:textId="77777777" w:rsidTr="00664DB5">
        <w:tc>
          <w:tcPr>
            <w:tcW w:w="9038" w:type="dxa"/>
            <w:gridSpan w:val="6"/>
          </w:tcPr>
          <w:p w14:paraId="29DB32CD" w14:textId="77777777" w:rsidR="000C5D80" w:rsidRPr="00F45296" w:rsidRDefault="000C5D80" w:rsidP="00664DB5">
            <w:pPr>
              <w:pStyle w:val="Tableheading"/>
              <w:rPr>
                <w:i/>
              </w:rPr>
            </w:pPr>
            <w:r w:rsidRPr="00F45296">
              <w:rPr>
                <w:i/>
              </w:rPr>
              <w:t>Costs associated with first re-analysis</w:t>
            </w:r>
          </w:p>
        </w:tc>
      </w:tr>
      <w:tr w:rsidR="000C5D80" w14:paraId="1BD7196B" w14:textId="77777777" w:rsidTr="00664DB5">
        <w:tc>
          <w:tcPr>
            <w:tcW w:w="2830" w:type="dxa"/>
          </w:tcPr>
          <w:p w14:paraId="70AB7A16" w14:textId="77777777" w:rsidR="000C5D80" w:rsidRPr="00851101" w:rsidRDefault="000C5D80" w:rsidP="00664DB5">
            <w:pPr>
              <w:pStyle w:val="Tabletext"/>
              <w:rPr>
                <w:i/>
              </w:rPr>
            </w:pPr>
            <w:r w:rsidRPr="00851101">
              <w:rPr>
                <w:i/>
              </w:rPr>
              <w:t>Positive findings</w:t>
            </w:r>
          </w:p>
        </w:tc>
        <w:tc>
          <w:tcPr>
            <w:tcW w:w="1241" w:type="dxa"/>
          </w:tcPr>
          <w:p w14:paraId="7D778923" w14:textId="77777777" w:rsidR="000C5D80" w:rsidRDefault="000C5D80" w:rsidP="00664DB5">
            <w:pPr>
              <w:pStyle w:val="Tableheading"/>
              <w:jc w:val="center"/>
            </w:pPr>
          </w:p>
        </w:tc>
        <w:tc>
          <w:tcPr>
            <w:tcW w:w="1242" w:type="dxa"/>
          </w:tcPr>
          <w:p w14:paraId="6DD4FA53" w14:textId="77777777" w:rsidR="000C5D80" w:rsidRDefault="000C5D80" w:rsidP="00664DB5">
            <w:pPr>
              <w:pStyle w:val="Tableheading"/>
              <w:jc w:val="center"/>
            </w:pPr>
          </w:p>
        </w:tc>
        <w:tc>
          <w:tcPr>
            <w:tcW w:w="1241" w:type="dxa"/>
          </w:tcPr>
          <w:p w14:paraId="1E9430AD" w14:textId="77777777" w:rsidR="000C5D80" w:rsidRDefault="000C5D80" w:rsidP="00664DB5">
            <w:pPr>
              <w:pStyle w:val="Tableheading"/>
              <w:jc w:val="center"/>
            </w:pPr>
          </w:p>
        </w:tc>
        <w:tc>
          <w:tcPr>
            <w:tcW w:w="1242" w:type="dxa"/>
          </w:tcPr>
          <w:p w14:paraId="361C0D54" w14:textId="77777777" w:rsidR="000C5D80" w:rsidRDefault="000C5D80" w:rsidP="00664DB5">
            <w:pPr>
              <w:pStyle w:val="Tableheading"/>
              <w:jc w:val="center"/>
            </w:pPr>
          </w:p>
        </w:tc>
        <w:tc>
          <w:tcPr>
            <w:tcW w:w="1242" w:type="dxa"/>
          </w:tcPr>
          <w:p w14:paraId="6D3816FF" w14:textId="77777777" w:rsidR="000C5D80" w:rsidRDefault="000C5D80" w:rsidP="00664DB5">
            <w:pPr>
              <w:pStyle w:val="Tableheading"/>
              <w:jc w:val="center"/>
            </w:pPr>
          </w:p>
        </w:tc>
      </w:tr>
      <w:tr w:rsidR="000C5D80" w14:paraId="11116258" w14:textId="77777777" w:rsidTr="00664DB5">
        <w:tc>
          <w:tcPr>
            <w:tcW w:w="2830" w:type="dxa"/>
          </w:tcPr>
          <w:p w14:paraId="25F6DD30" w14:textId="77777777" w:rsidR="000C5D80" w:rsidRDefault="000C5D80" w:rsidP="00664DB5">
            <w:pPr>
              <w:pStyle w:val="Tabletext"/>
            </w:pPr>
            <w:r w:rsidRPr="009A791F">
              <w:t xml:space="preserve">Number of patients </w:t>
            </w:r>
          </w:p>
        </w:tc>
        <w:tc>
          <w:tcPr>
            <w:tcW w:w="1241" w:type="dxa"/>
          </w:tcPr>
          <w:p w14:paraId="0A904093" w14:textId="77777777" w:rsidR="000C5D80" w:rsidRDefault="000C5D80" w:rsidP="00664DB5">
            <w:pPr>
              <w:pStyle w:val="Tabletext"/>
              <w:jc w:val="center"/>
            </w:pPr>
            <w:r w:rsidRPr="00C12E99">
              <w:t xml:space="preserve"> - </w:t>
            </w:r>
          </w:p>
        </w:tc>
        <w:tc>
          <w:tcPr>
            <w:tcW w:w="1242" w:type="dxa"/>
          </w:tcPr>
          <w:p w14:paraId="5B09FB7A" w14:textId="77777777" w:rsidR="000C5D80" w:rsidRDefault="000C5D80" w:rsidP="00664DB5">
            <w:pPr>
              <w:pStyle w:val="Tabletext"/>
              <w:jc w:val="center"/>
            </w:pPr>
            <w:r w:rsidRPr="00C12E99">
              <w:t xml:space="preserve"> - </w:t>
            </w:r>
          </w:p>
        </w:tc>
        <w:tc>
          <w:tcPr>
            <w:tcW w:w="1241" w:type="dxa"/>
          </w:tcPr>
          <w:p w14:paraId="29015A61" w14:textId="77777777" w:rsidR="000C5D80" w:rsidRDefault="000C5D80" w:rsidP="00664DB5">
            <w:pPr>
              <w:pStyle w:val="Tabletext"/>
              <w:jc w:val="center"/>
            </w:pPr>
            <w:r w:rsidRPr="00C12E99">
              <w:t xml:space="preserve"> 200 </w:t>
            </w:r>
          </w:p>
        </w:tc>
        <w:tc>
          <w:tcPr>
            <w:tcW w:w="1242" w:type="dxa"/>
          </w:tcPr>
          <w:p w14:paraId="33F4F3A9" w14:textId="77777777" w:rsidR="000C5D80" w:rsidRDefault="000C5D80" w:rsidP="00664DB5">
            <w:pPr>
              <w:pStyle w:val="Tabletext"/>
              <w:jc w:val="center"/>
            </w:pPr>
            <w:r w:rsidRPr="00C12E99">
              <w:t xml:space="preserve"> 203 </w:t>
            </w:r>
          </w:p>
        </w:tc>
        <w:tc>
          <w:tcPr>
            <w:tcW w:w="1242" w:type="dxa"/>
          </w:tcPr>
          <w:p w14:paraId="57346B9E" w14:textId="77777777" w:rsidR="000C5D80" w:rsidRDefault="000C5D80" w:rsidP="00664DB5">
            <w:pPr>
              <w:pStyle w:val="Tabletext"/>
              <w:jc w:val="center"/>
            </w:pPr>
            <w:r w:rsidRPr="00C12E99">
              <w:t xml:space="preserve"> 205 </w:t>
            </w:r>
          </w:p>
        </w:tc>
      </w:tr>
      <w:tr w:rsidR="000C5D80" w14:paraId="433B4369" w14:textId="77777777" w:rsidTr="00664DB5">
        <w:tc>
          <w:tcPr>
            <w:tcW w:w="2830" w:type="dxa"/>
          </w:tcPr>
          <w:p w14:paraId="62F68A8E" w14:textId="77777777" w:rsidR="000C5D80" w:rsidRDefault="000C5D80" w:rsidP="00664DB5">
            <w:pPr>
              <w:pStyle w:val="Tabletext"/>
            </w:pPr>
            <w:r w:rsidRPr="009A791F">
              <w:t>Cost of re-analysis per patient</w:t>
            </w:r>
          </w:p>
        </w:tc>
        <w:tc>
          <w:tcPr>
            <w:tcW w:w="1241" w:type="dxa"/>
          </w:tcPr>
          <w:p w14:paraId="272E5975" w14:textId="77777777" w:rsidR="000C5D80" w:rsidRDefault="000C5D80" w:rsidP="00664DB5">
            <w:pPr>
              <w:pStyle w:val="Tabletext"/>
              <w:jc w:val="center"/>
            </w:pPr>
            <w:r w:rsidRPr="00C12E99">
              <w:t xml:space="preserve"> $650 </w:t>
            </w:r>
          </w:p>
        </w:tc>
        <w:tc>
          <w:tcPr>
            <w:tcW w:w="1242" w:type="dxa"/>
          </w:tcPr>
          <w:p w14:paraId="382A9840" w14:textId="77777777" w:rsidR="000C5D80" w:rsidRDefault="000C5D80" w:rsidP="00664DB5">
            <w:pPr>
              <w:pStyle w:val="Tabletext"/>
              <w:jc w:val="center"/>
            </w:pPr>
            <w:r w:rsidRPr="00C12E99">
              <w:t xml:space="preserve"> $650 </w:t>
            </w:r>
          </w:p>
        </w:tc>
        <w:tc>
          <w:tcPr>
            <w:tcW w:w="1241" w:type="dxa"/>
          </w:tcPr>
          <w:p w14:paraId="551F924F" w14:textId="77777777" w:rsidR="000C5D80" w:rsidRDefault="000C5D80" w:rsidP="00664DB5">
            <w:pPr>
              <w:pStyle w:val="Tabletext"/>
              <w:jc w:val="center"/>
            </w:pPr>
            <w:r w:rsidRPr="00C12E99">
              <w:t xml:space="preserve"> $650 </w:t>
            </w:r>
          </w:p>
        </w:tc>
        <w:tc>
          <w:tcPr>
            <w:tcW w:w="1242" w:type="dxa"/>
          </w:tcPr>
          <w:p w14:paraId="373CD058" w14:textId="77777777" w:rsidR="000C5D80" w:rsidRDefault="000C5D80" w:rsidP="00664DB5">
            <w:pPr>
              <w:pStyle w:val="Tabletext"/>
              <w:jc w:val="center"/>
            </w:pPr>
            <w:r w:rsidRPr="00C12E99">
              <w:t xml:space="preserve"> $650 </w:t>
            </w:r>
          </w:p>
        </w:tc>
        <w:tc>
          <w:tcPr>
            <w:tcW w:w="1242" w:type="dxa"/>
          </w:tcPr>
          <w:p w14:paraId="33118C2C" w14:textId="77777777" w:rsidR="000C5D80" w:rsidRDefault="000C5D80" w:rsidP="00664DB5">
            <w:pPr>
              <w:pStyle w:val="Tabletext"/>
              <w:jc w:val="center"/>
            </w:pPr>
            <w:r w:rsidRPr="00C12E99">
              <w:t xml:space="preserve"> $650 </w:t>
            </w:r>
          </w:p>
        </w:tc>
      </w:tr>
      <w:tr w:rsidR="000C5D80" w14:paraId="1DCEC868" w14:textId="77777777" w:rsidTr="00664DB5">
        <w:tc>
          <w:tcPr>
            <w:tcW w:w="2830" w:type="dxa"/>
          </w:tcPr>
          <w:p w14:paraId="5395DB4D" w14:textId="77777777" w:rsidR="000C5D80" w:rsidRDefault="000C5D80" w:rsidP="00664DB5">
            <w:pPr>
              <w:pStyle w:val="Tabletext"/>
            </w:pPr>
            <w:r w:rsidRPr="009A791F">
              <w:t>Total cost</w:t>
            </w:r>
          </w:p>
        </w:tc>
        <w:tc>
          <w:tcPr>
            <w:tcW w:w="1241" w:type="dxa"/>
          </w:tcPr>
          <w:p w14:paraId="370AEFBE" w14:textId="77777777" w:rsidR="000C5D80" w:rsidRDefault="000C5D80" w:rsidP="00664DB5">
            <w:pPr>
              <w:pStyle w:val="Tabletext"/>
              <w:jc w:val="center"/>
            </w:pPr>
            <w:r w:rsidRPr="00C12E99">
              <w:t xml:space="preserve"> $- </w:t>
            </w:r>
          </w:p>
        </w:tc>
        <w:tc>
          <w:tcPr>
            <w:tcW w:w="1242" w:type="dxa"/>
          </w:tcPr>
          <w:p w14:paraId="399C0C8A" w14:textId="77777777" w:rsidR="000C5D80" w:rsidRDefault="000C5D80" w:rsidP="00664DB5">
            <w:pPr>
              <w:pStyle w:val="Tabletext"/>
              <w:jc w:val="center"/>
            </w:pPr>
            <w:r w:rsidRPr="00C12E99">
              <w:t xml:space="preserve"> $- </w:t>
            </w:r>
          </w:p>
        </w:tc>
        <w:tc>
          <w:tcPr>
            <w:tcW w:w="1241" w:type="dxa"/>
          </w:tcPr>
          <w:p w14:paraId="3299CCAC" w14:textId="77777777" w:rsidR="000C5D80" w:rsidRDefault="000C5D80" w:rsidP="00664DB5">
            <w:pPr>
              <w:pStyle w:val="Tabletext"/>
              <w:jc w:val="center"/>
            </w:pPr>
            <w:r w:rsidRPr="00C12E99">
              <w:t xml:space="preserve"> $129,837 </w:t>
            </w:r>
          </w:p>
        </w:tc>
        <w:tc>
          <w:tcPr>
            <w:tcW w:w="1242" w:type="dxa"/>
          </w:tcPr>
          <w:p w14:paraId="514DA159" w14:textId="77777777" w:rsidR="000C5D80" w:rsidRDefault="000C5D80" w:rsidP="00664DB5">
            <w:pPr>
              <w:pStyle w:val="Tabletext"/>
              <w:jc w:val="center"/>
            </w:pPr>
            <w:r w:rsidRPr="00C12E99">
              <w:t xml:space="preserve"> $131,687 </w:t>
            </w:r>
          </w:p>
        </w:tc>
        <w:tc>
          <w:tcPr>
            <w:tcW w:w="1242" w:type="dxa"/>
          </w:tcPr>
          <w:p w14:paraId="2A33BC62" w14:textId="77777777" w:rsidR="000C5D80" w:rsidRDefault="000C5D80" w:rsidP="00664DB5">
            <w:pPr>
              <w:pStyle w:val="Tabletext"/>
              <w:jc w:val="center"/>
            </w:pPr>
            <w:r w:rsidRPr="00C12E99">
              <w:t xml:space="preserve"> $133,560 </w:t>
            </w:r>
          </w:p>
        </w:tc>
      </w:tr>
      <w:tr w:rsidR="000C5D80" w14:paraId="617D105A" w14:textId="77777777" w:rsidTr="00664DB5">
        <w:tc>
          <w:tcPr>
            <w:tcW w:w="2830" w:type="dxa"/>
          </w:tcPr>
          <w:p w14:paraId="20EAF83A" w14:textId="77777777" w:rsidR="000C5D80" w:rsidRDefault="000C5D80" w:rsidP="00664DB5">
            <w:pPr>
              <w:pStyle w:val="Tabletext"/>
            </w:pPr>
            <w:r w:rsidRPr="009A791F">
              <w:t>MBS rebate (85%)</w:t>
            </w:r>
          </w:p>
        </w:tc>
        <w:tc>
          <w:tcPr>
            <w:tcW w:w="1241" w:type="dxa"/>
          </w:tcPr>
          <w:p w14:paraId="7141969E" w14:textId="77777777" w:rsidR="000C5D80" w:rsidRDefault="000C5D80" w:rsidP="00664DB5">
            <w:pPr>
              <w:pStyle w:val="Tabletext"/>
              <w:jc w:val="center"/>
            </w:pPr>
            <w:r w:rsidRPr="00C12E99">
              <w:t xml:space="preserve"> $- </w:t>
            </w:r>
          </w:p>
        </w:tc>
        <w:tc>
          <w:tcPr>
            <w:tcW w:w="1242" w:type="dxa"/>
          </w:tcPr>
          <w:p w14:paraId="7C3C2B86" w14:textId="77777777" w:rsidR="000C5D80" w:rsidRDefault="000C5D80" w:rsidP="00664DB5">
            <w:pPr>
              <w:pStyle w:val="Tabletext"/>
              <w:jc w:val="center"/>
            </w:pPr>
            <w:r w:rsidRPr="00C12E99">
              <w:t xml:space="preserve"> $- </w:t>
            </w:r>
          </w:p>
        </w:tc>
        <w:tc>
          <w:tcPr>
            <w:tcW w:w="1241" w:type="dxa"/>
          </w:tcPr>
          <w:p w14:paraId="2B5EA4E6" w14:textId="77777777" w:rsidR="000C5D80" w:rsidRDefault="000C5D80" w:rsidP="00664DB5">
            <w:pPr>
              <w:pStyle w:val="Tabletext"/>
              <w:jc w:val="center"/>
            </w:pPr>
            <w:r w:rsidRPr="00C12E99">
              <w:t xml:space="preserve"> $110,361 </w:t>
            </w:r>
          </w:p>
        </w:tc>
        <w:tc>
          <w:tcPr>
            <w:tcW w:w="1242" w:type="dxa"/>
          </w:tcPr>
          <w:p w14:paraId="68E8D0B6" w14:textId="77777777" w:rsidR="000C5D80" w:rsidRDefault="000C5D80" w:rsidP="00664DB5">
            <w:pPr>
              <w:pStyle w:val="Tabletext"/>
              <w:jc w:val="center"/>
            </w:pPr>
            <w:r w:rsidRPr="00C12E99">
              <w:t xml:space="preserve"> $111,934 </w:t>
            </w:r>
          </w:p>
        </w:tc>
        <w:tc>
          <w:tcPr>
            <w:tcW w:w="1242" w:type="dxa"/>
          </w:tcPr>
          <w:p w14:paraId="469BC90F" w14:textId="77777777" w:rsidR="000C5D80" w:rsidRDefault="000C5D80" w:rsidP="00664DB5">
            <w:pPr>
              <w:pStyle w:val="Tabletext"/>
              <w:jc w:val="center"/>
            </w:pPr>
            <w:r w:rsidRPr="00C12E99">
              <w:t xml:space="preserve"> $113,526 </w:t>
            </w:r>
          </w:p>
        </w:tc>
      </w:tr>
      <w:tr w:rsidR="000C5D80" w14:paraId="6B28DBC7" w14:textId="77777777" w:rsidTr="00664DB5">
        <w:tc>
          <w:tcPr>
            <w:tcW w:w="2830" w:type="dxa"/>
          </w:tcPr>
          <w:p w14:paraId="15E9269D" w14:textId="77777777" w:rsidR="000C5D80" w:rsidRDefault="000C5D80" w:rsidP="00664DB5">
            <w:pPr>
              <w:pStyle w:val="Tabletext"/>
            </w:pPr>
            <w:r w:rsidRPr="009A791F">
              <w:t>Patient contributions</w:t>
            </w:r>
          </w:p>
        </w:tc>
        <w:tc>
          <w:tcPr>
            <w:tcW w:w="1241" w:type="dxa"/>
          </w:tcPr>
          <w:p w14:paraId="2C7B0750" w14:textId="77777777" w:rsidR="000C5D80" w:rsidRDefault="000C5D80" w:rsidP="00664DB5">
            <w:pPr>
              <w:pStyle w:val="Tabletext"/>
              <w:jc w:val="center"/>
            </w:pPr>
            <w:r w:rsidRPr="00C12E99">
              <w:t xml:space="preserve"> $- </w:t>
            </w:r>
          </w:p>
        </w:tc>
        <w:tc>
          <w:tcPr>
            <w:tcW w:w="1242" w:type="dxa"/>
          </w:tcPr>
          <w:p w14:paraId="06D45D56" w14:textId="77777777" w:rsidR="000C5D80" w:rsidRDefault="000C5D80" w:rsidP="00664DB5">
            <w:pPr>
              <w:pStyle w:val="Tabletext"/>
              <w:jc w:val="center"/>
            </w:pPr>
            <w:r w:rsidRPr="00C12E99">
              <w:t xml:space="preserve"> $- </w:t>
            </w:r>
          </w:p>
        </w:tc>
        <w:tc>
          <w:tcPr>
            <w:tcW w:w="1241" w:type="dxa"/>
          </w:tcPr>
          <w:p w14:paraId="1C0D547B" w14:textId="77777777" w:rsidR="000C5D80" w:rsidRDefault="000C5D80" w:rsidP="00664DB5">
            <w:pPr>
              <w:pStyle w:val="Tabletext"/>
              <w:jc w:val="center"/>
            </w:pPr>
            <w:r w:rsidRPr="00C12E99">
              <w:t xml:space="preserve"> $19,475 </w:t>
            </w:r>
          </w:p>
        </w:tc>
        <w:tc>
          <w:tcPr>
            <w:tcW w:w="1242" w:type="dxa"/>
          </w:tcPr>
          <w:p w14:paraId="466EBAEA" w14:textId="77777777" w:rsidR="000C5D80" w:rsidRDefault="000C5D80" w:rsidP="00664DB5">
            <w:pPr>
              <w:pStyle w:val="Tabletext"/>
              <w:jc w:val="center"/>
            </w:pPr>
            <w:r w:rsidRPr="00C12E99">
              <w:t xml:space="preserve"> $19,753 </w:t>
            </w:r>
          </w:p>
        </w:tc>
        <w:tc>
          <w:tcPr>
            <w:tcW w:w="1242" w:type="dxa"/>
          </w:tcPr>
          <w:p w14:paraId="210580BF" w14:textId="77777777" w:rsidR="000C5D80" w:rsidRDefault="000C5D80" w:rsidP="00664DB5">
            <w:pPr>
              <w:pStyle w:val="Tabletext"/>
              <w:jc w:val="center"/>
            </w:pPr>
            <w:r w:rsidRPr="00C12E99">
              <w:t xml:space="preserve"> $20,034 </w:t>
            </w:r>
          </w:p>
        </w:tc>
      </w:tr>
      <w:tr w:rsidR="000C5D80" w14:paraId="6E33DC78" w14:textId="77777777" w:rsidTr="00664DB5">
        <w:tc>
          <w:tcPr>
            <w:tcW w:w="2830" w:type="dxa"/>
          </w:tcPr>
          <w:p w14:paraId="19844A92" w14:textId="77777777" w:rsidR="000C5D80" w:rsidRPr="009A791F" w:rsidRDefault="000C5D80" w:rsidP="00664DB5">
            <w:pPr>
              <w:pStyle w:val="Tabletext"/>
            </w:pPr>
            <w:r>
              <w:rPr>
                <w:i/>
              </w:rPr>
              <w:t>Negative findings</w:t>
            </w:r>
          </w:p>
        </w:tc>
        <w:tc>
          <w:tcPr>
            <w:tcW w:w="1241" w:type="dxa"/>
          </w:tcPr>
          <w:p w14:paraId="032D7E76" w14:textId="77777777" w:rsidR="000C5D80" w:rsidRPr="009A791F" w:rsidRDefault="000C5D80" w:rsidP="00664DB5">
            <w:pPr>
              <w:pStyle w:val="Tabletext"/>
              <w:jc w:val="center"/>
            </w:pPr>
          </w:p>
        </w:tc>
        <w:tc>
          <w:tcPr>
            <w:tcW w:w="1242" w:type="dxa"/>
          </w:tcPr>
          <w:p w14:paraId="035929EC" w14:textId="77777777" w:rsidR="000C5D80" w:rsidRPr="009A791F" w:rsidRDefault="000C5D80" w:rsidP="00664DB5">
            <w:pPr>
              <w:pStyle w:val="Tabletext"/>
              <w:jc w:val="center"/>
            </w:pPr>
          </w:p>
        </w:tc>
        <w:tc>
          <w:tcPr>
            <w:tcW w:w="1241" w:type="dxa"/>
          </w:tcPr>
          <w:p w14:paraId="0EA9E6EE" w14:textId="77777777" w:rsidR="000C5D80" w:rsidRPr="009A791F" w:rsidRDefault="000C5D80" w:rsidP="00664DB5">
            <w:pPr>
              <w:pStyle w:val="Tabletext"/>
              <w:jc w:val="center"/>
            </w:pPr>
          </w:p>
        </w:tc>
        <w:tc>
          <w:tcPr>
            <w:tcW w:w="1242" w:type="dxa"/>
          </w:tcPr>
          <w:p w14:paraId="270CF8AB" w14:textId="77777777" w:rsidR="000C5D80" w:rsidRPr="009A791F" w:rsidRDefault="000C5D80" w:rsidP="00664DB5">
            <w:pPr>
              <w:pStyle w:val="Tabletext"/>
              <w:jc w:val="center"/>
            </w:pPr>
          </w:p>
        </w:tc>
        <w:tc>
          <w:tcPr>
            <w:tcW w:w="1242" w:type="dxa"/>
          </w:tcPr>
          <w:p w14:paraId="37AC75E6" w14:textId="77777777" w:rsidR="000C5D80" w:rsidRPr="009A791F" w:rsidRDefault="000C5D80" w:rsidP="00664DB5">
            <w:pPr>
              <w:pStyle w:val="Tabletext"/>
              <w:jc w:val="center"/>
            </w:pPr>
          </w:p>
        </w:tc>
      </w:tr>
      <w:tr w:rsidR="000C5D80" w14:paraId="2CB443BA" w14:textId="77777777" w:rsidTr="00664DB5">
        <w:tc>
          <w:tcPr>
            <w:tcW w:w="2830" w:type="dxa"/>
          </w:tcPr>
          <w:p w14:paraId="569DDCEE" w14:textId="77777777" w:rsidR="000C5D80" w:rsidRDefault="000C5D80" w:rsidP="00664DB5">
            <w:pPr>
              <w:pStyle w:val="Tabletext"/>
            </w:pPr>
            <w:r w:rsidRPr="003872EF">
              <w:t>Number of patients</w:t>
            </w:r>
          </w:p>
        </w:tc>
        <w:tc>
          <w:tcPr>
            <w:tcW w:w="1241" w:type="dxa"/>
          </w:tcPr>
          <w:p w14:paraId="013181B0" w14:textId="77777777" w:rsidR="000C5D80" w:rsidRDefault="000C5D80" w:rsidP="00664DB5">
            <w:pPr>
              <w:pStyle w:val="Tabletext"/>
              <w:jc w:val="center"/>
            </w:pPr>
            <w:r w:rsidRPr="009B370C">
              <w:t xml:space="preserve"> - </w:t>
            </w:r>
          </w:p>
        </w:tc>
        <w:tc>
          <w:tcPr>
            <w:tcW w:w="1242" w:type="dxa"/>
          </w:tcPr>
          <w:p w14:paraId="6348EDA4" w14:textId="77777777" w:rsidR="000C5D80" w:rsidRDefault="000C5D80" w:rsidP="00664DB5">
            <w:pPr>
              <w:pStyle w:val="Tabletext"/>
              <w:jc w:val="center"/>
            </w:pPr>
            <w:r w:rsidRPr="009B370C">
              <w:t xml:space="preserve"> - </w:t>
            </w:r>
          </w:p>
        </w:tc>
        <w:tc>
          <w:tcPr>
            <w:tcW w:w="1241" w:type="dxa"/>
          </w:tcPr>
          <w:p w14:paraId="7FD188F6" w14:textId="77777777" w:rsidR="000C5D80" w:rsidRDefault="000C5D80" w:rsidP="00664DB5">
            <w:pPr>
              <w:pStyle w:val="Tabletext"/>
              <w:jc w:val="center"/>
            </w:pPr>
            <w:r w:rsidRPr="009B370C">
              <w:t xml:space="preserve"> 1,248 </w:t>
            </w:r>
          </w:p>
        </w:tc>
        <w:tc>
          <w:tcPr>
            <w:tcW w:w="1242" w:type="dxa"/>
          </w:tcPr>
          <w:p w14:paraId="24804F9D" w14:textId="77777777" w:rsidR="000C5D80" w:rsidRDefault="000C5D80" w:rsidP="00664DB5">
            <w:pPr>
              <w:pStyle w:val="Tabletext"/>
              <w:jc w:val="center"/>
            </w:pPr>
            <w:r w:rsidRPr="009B370C">
              <w:t xml:space="preserve"> 1,265 </w:t>
            </w:r>
          </w:p>
        </w:tc>
        <w:tc>
          <w:tcPr>
            <w:tcW w:w="1242" w:type="dxa"/>
          </w:tcPr>
          <w:p w14:paraId="697AF274" w14:textId="77777777" w:rsidR="000C5D80" w:rsidRDefault="000C5D80" w:rsidP="00664DB5">
            <w:pPr>
              <w:pStyle w:val="Tabletext"/>
              <w:jc w:val="center"/>
            </w:pPr>
            <w:r w:rsidRPr="009B370C">
              <w:t xml:space="preserve"> 1,283 </w:t>
            </w:r>
          </w:p>
        </w:tc>
      </w:tr>
      <w:tr w:rsidR="000C5D80" w14:paraId="343EEA78" w14:textId="77777777" w:rsidTr="00664DB5">
        <w:trPr>
          <w:trHeight w:val="70"/>
        </w:trPr>
        <w:tc>
          <w:tcPr>
            <w:tcW w:w="2830" w:type="dxa"/>
          </w:tcPr>
          <w:p w14:paraId="1A970C84" w14:textId="77777777" w:rsidR="000C5D80" w:rsidRDefault="000C5D80" w:rsidP="00664DB5">
            <w:pPr>
              <w:pStyle w:val="Tabletext"/>
            </w:pPr>
            <w:r w:rsidRPr="003872EF">
              <w:t>Cost of re-analysis per patient</w:t>
            </w:r>
          </w:p>
        </w:tc>
        <w:tc>
          <w:tcPr>
            <w:tcW w:w="1241" w:type="dxa"/>
          </w:tcPr>
          <w:p w14:paraId="2FC7E48B" w14:textId="77777777" w:rsidR="000C5D80" w:rsidRDefault="000C5D80" w:rsidP="00664DB5">
            <w:pPr>
              <w:pStyle w:val="Tabletext"/>
              <w:jc w:val="center"/>
            </w:pPr>
            <w:r w:rsidRPr="009B370C">
              <w:t xml:space="preserve"> $350 </w:t>
            </w:r>
          </w:p>
        </w:tc>
        <w:tc>
          <w:tcPr>
            <w:tcW w:w="1242" w:type="dxa"/>
          </w:tcPr>
          <w:p w14:paraId="22977201" w14:textId="77777777" w:rsidR="000C5D80" w:rsidRDefault="000C5D80" w:rsidP="00664DB5">
            <w:pPr>
              <w:pStyle w:val="Tabletext"/>
              <w:jc w:val="center"/>
            </w:pPr>
            <w:r w:rsidRPr="009B370C">
              <w:t xml:space="preserve"> $350 </w:t>
            </w:r>
          </w:p>
        </w:tc>
        <w:tc>
          <w:tcPr>
            <w:tcW w:w="1241" w:type="dxa"/>
          </w:tcPr>
          <w:p w14:paraId="26FD4B1C" w14:textId="77777777" w:rsidR="000C5D80" w:rsidRDefault="000C5D80" w:rsidP="00664DB5">
            <w:pPr>
              <w:pStyle w:val="Tabletext"/>
              <w:jc w:val="center"/>
            </w:pPr>
            <w:r w:rsidRPr="009B370C">
              <w:t xml:space="preserve"> $350 </w:t>
            </w:r>
          </w:p>
        </w:tc>
        <w:tc>
          <w:tcPr>
            <w:tcW w:w="1242" w:type="dxa"/>
          </w:tcPr>
          <w:p w14:paraId="5E37343B" w14:textId="77777777" w:rsidR="000C5D80" w:rsidRDefault="000C5D80" w:rsidP="00664DB5">
            <w:pPr>
              <w:pStyle w:val="Tabletext"/>
              <w:jc w:val="center"/>
            </w:pPr>
            <w:r w:rsidRPr="009B370C">
              <w:t xml:space="preserve"> $350 </w:t>
            </w:r>
          </w:p>
        </w:tc>
        <w:tc>
          <w:tcPr>
            <w:tcW w:w="1242" w:type="dxa"/>
          </w:tcPr>
          <w:p w14:paraId="06DBAB15" w14:textId="77777777" w:rsidR="000C5D80" w:rsidRDefault="000C5D80" w:rsidP="00664DB5">
            <w:pPr>
              <w:pStyle w:val="Tabletext"/>
              <w:jc w:val="center"/>
            </w:pPr>
            <w:r w:rsidRPr="009B370C">
              <w:t xml:space="preserve"> $350 </w:t>
            </w:r>
          </w:p>
        </w:tc>
      </w:tr>
      <w:tr w:rsidR="000C5D80" w14:paraId="7833A58D" w14:textId="77777777" w:rsidTr="00664DB5">
        <w:tc>
          <w:tcPr>
            <w:tcW w:w="2830" w:type="dxa"/>
          </w:tcPr>
          <w:p w14:paraId="6CB5CD04" w14:textId="77777777" w:rsidR="000C5D80" w:rsidRPr="00C149DC" w:rsidRDefault="000C5D80" w:rsidP="00664DB5">
            <w:pPr>
              <w:pStyle w:val="Tabletext"/>
              <w:rPr>
                <w:b/>
              </w:rPr>
            </w:pPr>
            <w:r w:rsidRPr="003872EF">
              <w:t>Total cost</w:t>
            </w:r>
          </w:p>
        </w:tc>
        <w:tc>
          <w:tcPr>
            <w:tcW w:w="1241" w:type="dxa"/>
          </w:tcPr>
          <w:p w14:paraId="158700FA" w14:textId="77777777" w:rsidR="000C5D80" w:rsidRPr="00C149DC" w:rsidRDefault="000C5D80" w:rsidP="00664DB5">
            <w:pPr>
              <w:pStyle w:val="Tabletext"/>
              <w:jc w:val="center"/>
              <w:rPr>
                <w:b/>
              </w:rPr>
            </w:pPr>
            <w:r w:rsidRPr="009B370C">
              <w:t xml:space="preserve"> $- </w:t>
            </w:r>
          </w:p>
        </w:tc>
        <w:tc>
          <w:tcPr>
            <w:tcW w:w="1242" w:type="dxa"/>
          </w:tcPr>
          <w:p w14:paraId="773D274C" w14:textId="77777777" w:rsidR="000C5D80" w:rsidRPr="00C149DC" w:rsidRDefault="000C5D80" w:rsidP="00664DB5">
            <w:pPr>
              <w:pStyle w:val="Tabletext"/>
              <w:jc w:val="center"/>
              <w:rPr>
                <w:b/>
              </w:rPr>
            </w:pPr>
            <w:r w:rsidRPr="009B370C">
              <w:t xml:space="preserve"> $- </w:t>
            </w:r>
          </w:p>
        </w:tc>
        <w:tc>
          <w:tcPr>
            <w:tcW w:w="1241" w:type="dxa"/>
          </w:tcPr>
          <w:p w14:paraId="00197C75" w14:textId="77777777" w:rsidR="000C5D80" w:rsidRPr="00C149DC" w:rsidRDefault="000C5D80" w:rsidP="00664DB5">
            <w:pPr>
              <w:pStyle w:val="Tabletext"/>
              <w:jc w:val="center"/>
              <w:rPr>
                <w:b/>
              </w:rPr>
            </w:pPr>
            <w:r w:rsidRPr="009B370C">
              <w:t xml:space="preserve"> $436,697 </w:t>
            </w:r>
          </w:p>
        </w:tc>
        <w:tc>
          <w:tcPr>
            <w:tcW w:w="1242" w:type="dxa"/>
          </w:tcPr>
          <w:p w14:paraId="6CC85311" w14:textId="77777777" w:rsidR="000C5D80" w:rsidRPr="00C149DC" w:rsidRDefault="000C5D80" w:rsidP="00664DB5">
            <w:pPr>
              <w:pStyle w:val="Tabletext"/>
              <w:jc w:val="center"/>
              <w:rPr>
                <w:b/>
              </w:rPr>
            </w:pPr>
            <w:r w:rsidRPr="009B370C">
              <w:t xml:space="preserve"> $442,922 </w:t>
            </w:r>
          </w:p>
        </w:tc>
        <w:tc>
          <w:tcPr>
            <w:tcW w:w="1242" w:type="dxa"/>
          </w:tcPr>
          <w:p w14:paraId="5C27A6B7" w14:textId="77777777" w:rsidR="000C5D80" w:rsidRPr="00C149DC" w:rsidRDefault="000C5D80" w:rsidP="00664DB5">
            <w:pPr>
              <w:pStyle w:val="Tabletext"/>
              <w:jc w:val="center"/>
              <w:rPr>
                <w:b/>
              </w:rPr>
            </w:pPr>
            <w:r w:rsidRPr="009B370C">
              <w:t xml:space="preserve"> $449,219 </w:t>
            </w:r>
          </w:p>
        </w:tc>
      </w:tr>
      <w:tr w:rsidR="000C5D80" w14:paraId="62A6D9D0" w14:textId="77777777" w:rsidTr="00664DB5">
        <w:tc>
          <w:tcPr>
            <w:tcW w:w="2830" w:type="dxa"/>
          </w:tcPr>
          <w:p w14:paraId="706301B7" w14:textId="77777777" w:rsidR="000C5D80" w:rsidRPr="00C149DC" w:rsidRDefault="000C5D80" w:rsidP="00664DB5">
            <w:pPr>
              <w:pStyle w:val="Tabletext"/>
              <w:rPr>
                <w:b/>
              </w:rPr>
            </w:pPr>
            <w:r w:rsidRPr="003872EF">
              <w:t>MBS rebate (85%)</w:t>
            </w:r>
          </w:p>
        </w:tc>
        <w:tc>
          <w:tcPr>
            <w:tcW w:w="1241" w:type="dxa"/>
          </w:tcPr>
          <w:p w14:paraId="2145AE1D" w14:textId="77777777" w:rsidR="000C5D80" w:rsidRPr="00C149DC" w:rsidRDefault="000C5D80" w:rsidP="00664DB5">
            <w:pPr>
              <w:pStyle w:val="Tabletext"/>
              <w:jc w:val="center"/>
              <w:rPr>
                <w:b/>
              </w:rPr>
            </w:pPr>
            <w:r w:rsidRPr="009B370C">
              <w:t xml:space="preserve"> $- </w:t>
            </w:r>
          </w:p>
        </w:tc>
        <w:tc>
          <w:tcPr>
            <w:tcW w:w="1242" w:type="dxa"/>
          </w:tcPr>
          <w:p w14:paraId="09353FEB" w14:textId="77777777" w:rsidR="000C5D80" w:rsidRPr="00C149DC" w:rsidRDefault="000C5D80" w:rsidP="00664DB5">
            <w:pPr>
              <w:pStyle w:val="Tabletext"/>
              <w:jc w:val="center"/>
              <w:rPr>
                <w:b/>
              </w:rPr>
            </w:pPr>
            <w:r w:rsidRPr="009B370C">
              <w:t xml:space="preserve"> $- </w:t>
            </w:r>
          </w:p>
        </w:tc>
        <w:tc>
          <w:tcPr>
            <w:tcW w:w="1241" w:type="dxa"/>
          </w:tcPr>
          <w:p w14:paraId="5AE1C262" w14:textId="77777777" w:rsidR="000C5D80" w:rsidRPr="00C149DC" w:rsidRDefault="000C5D80" w:rsidP="00664DB5">
            <w:pPr>
              <w:pStyle w:val="Tabletext"/>
              <w:jc w:val="center"/>
              <w:rPr>
                <w:b/>
              </w:rPr>
            </w:pPr>
            <w:r w:rsidRPr="009B370C">
              <w:t xml:space="preserve"> $371,192 </w:t>
            </w:r>
          </w:p>
        </w:tc>
        <w:tc>
          <w:tcPr>
            <w:tcW w:w="1242" w:type="dxa"/>
          </w:tcPr>
          <w:p w14:paraId="21EB034B" w14:textId="77777777" w:rsidR="000C5D80" w:rsidRPr="00C149DC" w:rsidRDefault="000C5D80" w:rsidP="00664DB5">
            <w:pPr>
              <w:pStyle w:val="Tabletext"/>
              <w:jc w:val="center"/>
              <w:rPr>
                <w:b/>
              </w:rPr>
            </w:pPr>
            <w:r w:rsidRPr="009B370C">
              <w:t xml:space="preserve"> $376,483 </w:t>
            </w:r>
          </w:p>
        </w:tc>
        <w:tc>
          <w:tcPr>
            <w:tcW w:w="1242" w:type="dxa"/>
          </w:tcPr>
          <w:p w14:paraId="4FEA17FB" w14:textId="77777777" w:rsidR="000C5D80" w:rsidRPr="00C149DC" w:rsidRDefault="000C5D80" w:rsidP="00664DB5">
            <w:pPr>
              <w:pStyle w:val="Tabletext"/>
              <w:jc w:val="center"/>
              <w:rPr>
                <w:b/>
              </w:rPr>
            </w:pPr>
            <w:r w:rsidRPr="009B370C">
              <w:t xml:space="preserve"> $381,836 </w:t>
            </w:r>
          </w:p>
        </w:tc>
      </w:tr>
      <w:tr w:rsidR="000C5D80" w14:paraId="63CD81E6" w14:textId="77777777" w:rsidTr="00664DB5">
        <w:tc>
          <w:tcPr>
            <w:tcW w:w="2830" w:type="dxa"/>
          </w:tcPr>
          <w:p w14:paraId="35FEF467" w14:textId="77777777" w:rsidR="000C5D80" w:rsidRPr="00C149DC" w:rsidRDefault="000C5D80" w:rsidP="00664DB5">
            <w:pPr>
              <w:pStyle w:val="Tabletext"/>
              <w:rPr>
                <w:b/>
              </w:rPr>
            </w:pPr>
            <w:r w:rsidRPr="003872EF">
              <w:t>Patient contributions</w:t>
            </w:r>
          </w:p>
        </w:tc>
        <w:tc>
          <w:tcPr>
            <w:tcW w:w="1241" w:type="dxa"/>
            <w:tcBorders>
              <w:bottom w:val="single" w:sz="4" w:space="0" w:color="auto"/>
            </w:tcBorders>
          </w:tcPr>
          <w:p w14:paraId="10F2E638" w14:textId="77777777" w:rsidR="000C5D80" w:rsidRPr="00C149DC" w:rsidRDefault="000C5D80" w:rsidP="00664DB5">
            <w:pPr>
              <w:pStyle w:val="Tabletext"/>
              <w:jc w:val="center"/>
              <w:rPr>
                <w:b/>
              </w:rPr>
            </w:pPr>
            <w:r w:rsidRPr="009B370C">
              <w:t xml:space="preserve"> $- </w:t>
            </w:r>
          </w:p>
        </w:tc>
        <w:tc>
          <w:tcPr>
            <w:tcW w:w="1242" w:type="dxa"/>
            <w:tcBorders>
              <w:bottom w:val="single" w:sz="4" w:space="0" w:color="auto"/>
            </w:tcBorders>
          </w:tcPr>
          <w:p w14:paraId="51769ACE" w14:textId="77777777" w:rsidR="000C5D80" w:rsidRPr="00C149DC" w:rsidRDefault="000C5D80" w:rsidP="00664DB5">
            <w:pPr>
              <w:pStyle w:val="Tabletext"/>
              <w:jc w:val="center"/>
              <w:rPr>
                <w:b/>
              </w:rPr>
            </w:pPr>
            <w:r w:rsidRPr="009B370C">
              <w:t xml:space="preserve"> $- </w:t>
            </w:r>
          </w:p>
        </w:tc>
        <w:tc>
          <w:tcPr>
            <w:tcW w:w="1241" w:type="dxa"/>
            <w:tcBorders>
              <w:bottom w:val="single" w:sz="4" w:space="0" w:color="auto"/>
            </w:tcBorders>
          </w:tcPr>
          <w:p w14:paraId="4E1DADF9" w14:textId="77777777" w:rsidR="000C5D80" w:rsidRPr="00C149DC" w:rsidRDefault="000C5D80" w:rsidP="00664DB5">
            <w:pPr>
              <w:pStyle w:val="Tabletext"/>
              <w:jc w:val="center"/>
              <w:rPr>
                <w:b/>
              </w:rPr>
            </w:pPr>
            <w:r w:rsidRPr="009B370C">
              <w:t xml:space="preserve"> $65,505 </w:t>
            </w:r>
          </w:p>
        </w:tc>
        <w:tc>
          <w:tcPr>
            <w:tcW w:w="1242" w:type="dxa"/>
            <w:tcBorders>
              <w:bottom w:val="single" w:sz="4" w:space="0" w:color="auto"/>
            </w:tcBorders>
          </w:tcPr>
          <w:p w14:paraId="63A7FAD4" w14:textId="77777777" w:rsidR="000C5D80" w:rsidRPr="00C149DC" w:rsidRDefault="000C5D80" w:rsidP="00664DB5">
            <w:pPr>
              <w:pStyle w:val="Tabletext"/>
              <w:jc w:val="center"/>
              <w:rPr>
                <w:b/>
              </w:rPr>
            </w:pPr>
            <w:r w:rsidRPr="009B370C">
              <w:t xml:space="preserve"> $66,438 </w:t>
            </w:r>
          </w:p>
        </w:tc>
        <w:tc>
          <w:tcPr>
            <w:tcW w:w="1242" w:type="dxa"/>
            <w:tcBorders>
              <w:bottom w:val="single" w:sz="4" w:space="0" w:color="auto"/>
            </w:tcBorders>
          </w:tcPr>
          <w:p w14:paraId="3E4E7AE5" w14:textId="77777777" w:rsidR="000C5D80" w:rsidRPr="00C149DC" w:rsidRDefault="000C5D80" w:rsidP="00664DB5">
            <w:pPr>
              <w:pStyle w:val="Tabletext"/>
              <w:jc w:val="center"/>
              <w:rPr>
                <w:b/>
              </w:rPr>
            </w:pPr>
            <w:r w:rsidRPr="009B370C">
              <w:t xml:space="preserve"> $67,383 </w:t>
            </w:r>
          </w:p>
        </w:tc>
      </w:tr>
      <w:tr w:rsidR="000C5D80" w14:paraId="5853830C" w14:textId="77777777" w:rsidTr="00664DB5">
        <w:tc>
          <w:tcPr>
            <w:tcW w:w="9038" w:type="dxa"/>
            <w:gridSpan w:val="6"/>
          </w:tcPr>
          <w:p w14:paraId="5DFD452C" w14:textId="77777777" w:rsidR="000C5D80" w:rsidRPr="00F45296" w:rsidRDefault="000C5D80" w:rsidP="00664DB5">
            <w:pPr>
              <w:pStyle w:val="Tableheading"/>
              <w:rPr>
                <w:b w:val="0"/>
                <w:i/>
              </w:rPr>
            </w:pPr>
            <w:r w:rsidRPr="00F45296">
              <w:rPr>
                <w:i/>
              </w:rPr>
              <w:t>Costs associated with second re-analysis</w:t>
            </w:r>
          </w:p>
        </w:tc>
      </w:tr>
      <w:tr w:rsidR="000C5D80" w14:paraId="73DAEC5A" w14:textId="77777777" w:rsidTr="00664DB5">
        <w:tc>
          <w:tcPr>
            <w:tcW w:w="2830" w:type="dxa"/>
          </w:tcPr>
          <w:p w14:paraId="16D749F0" w14:textId="77777777" w:rsidR="000C5D80" w:rsidRPr="00D870EA" w:rsidRDefault="000C5D80" w:rsidP="00664DB5">
            <w:pPr>
              <w:pStyle w:val="Tabletext"/>
              <w:rPr>
                <w:b/>
                <w:i/>
              </w:rPr>
            </w:pPr>
            <w:r w:rsidRPr="00D870EA">
              <w:rPr>
                <w:i/>
              </w:rPr>
              <w:t>Positive findings</w:t>
            </w:r>
          </w:p>
        </w:tc>
        <w:tc>
          <w:tcPr>
            <w:tcW w:w="1241" w:type="dxa"/>
          </w:tcPr>
          <w:p w14:paraId="5C3C4936" w14:textId="77777777" w:rsidR="000C5D80" w:rsidRPr="003872EF" w:rsidRDefault="000C5D80" w:rsidP="00664DB5">
            <w:pPr>
              <w:pStyle w:val="Tabletext"/>
            </w:pPr>
          </w:p>
        </w:tc>
        <w:tc>
          <w:tcPr>
            <w:tcW w:w="1242" w:type="dxa"/>
          </w:tcPr>
          <w:p w14:paraId="0FD19255" w14:textId="77777777" w:rsidR="000C5D80" w:rsidRPr="003872EF" w:rsidRDefault="000C5D80" w:rsidP="00664DB5">
            <w:pPr>
              <w:pStyle w:val="Tabletext"/>
            </w:pPr>
          </w:p>
        </w:tc>
        <w:tc>
          <w:tcPr>
            <w:tcW w:w="1241" w:type="dxa"/>
          </w:tcPr>
          <w:p w14:paraId="75E78810" w14:textId="77777777" w:rsidR="000C5D80" w:rsidRPr="003872EF" w:rsidRDefault="000C5D80" w:rsidP="00664DB5">
            <w:pPr>
              <w:pStyle w:val="Tabletext"/>
            </w:pPr>
          </w:p>
        </w:tc>
        <w:tc>
          <w:tcPr>
            <w:tcW w:w="1242" w:type="dxa"/>
          </w:tcPr>
          <w:p w14:paraId="4E5BCF10" w14:textId="77777777" w:rsidR="000C5D80" w:rsidRPr="003872EF" w:rsidRDefault="000C5D80" w:rsidP="00664DB5">
            <w:pPr>
              <w:pStyle w:val="Tabletext"/>
            </w:pPr>
          </w:p>
        </w:tc>
        <w:tc>
          <w:tcPr>
            <w:tcW w:w="1242" w:type="dxa"/>
          </w:tcPr>
          <w:p w14:paraId="33237F64" w14:textId="77777777" w:rsidR="000C5D80" w:rsidRPr="003872EF" w:rsidRDefault="000C5D80" w:rsidP="00664DB5">
            <w:pPr>
              <w:pStyle w:val="Tabletext"/>
            </w:pPr>
          </w:p>
        </w:tc>
      </w:tr>
      <w:tr w:rsidR="000C5D80" w14:paraId="0B38A3FE" w14:textId="77777777" w:rsidTr="00664DB5">
        <w:tc>
          <w:tcPr>
            <w:tcW w:w="2830" w:type="dxa"/>
          </w:tcPr>
          <w:p w14:paraId="30AA2E69" w14:textId="77777777" w:rsidR="000C5D80" w:rsidRDefault="000C5D80" w:rsidP="00664DB5">
            <w:pPr>
              <w:pStyle w:val="Tabletext"/>
            </w:pPr>
            <w:r w:rsidRPr="0068620F">
              <w:t xml:space="preserve">Number of patients </w:t>
            </w:r>
          </w:p>
        </w:tc>
        <w:tc>
          <w:tcPr>
            <w:tcW w:w="1241" w:type="dxa"/>
          </w:tcPr>
          <w:p w14:paraId="0BC33369" w14:textId="77777777" w:rsidR="000C5D80" w:rsidRDefault="000C5D80" w:rsidP="00664DB5">
            <w:pPr>
              <w:pStyle w:val="Tabletext"/>
              <w:jc w:val="center"/>
            </w:pPr>
            <w:r w:rsidRPr="00DE621E">
              <w:t xml:space="preserve"> - </w:t>
            </w:r>
          </w:p>
        </w:tc>
        <w:tc>
          <w:tcPr>
            <w:tcW w:w="1242" w:type="dxa"/>
          </w:tcPr>
          <w:p w14:paraId="5A97FEA3" w14:textId="77777777" w:rsidR="000C5D80" w:rsidRDefault="000C5D80" w:rsidP="00664DB5">
            <w:pPr>
              <w:pStyle w:val="Tabletext"/>
              <w:jc w:val="center"/>
            </w:pPr>
            <w:r w:rsidRPr="00DE621E">
              <w:t xml:space="preserve"> - </w:t>
            </w:r>
          </w:p>
        </w:tc>
        <w:tc>
          <w:tcPr>
            <w:tcW w:w="1241" w:type="dxa"/>
          </w:tcPr>
          <w:p w14:paraId="14109599" w14:textId="77777777" w:rsidR="000C5D80" w:rsidRDefault="000C5D80" w:rsidP="00664DB5">
            <w:pPr>
              <w:pStyle w:val="Tabletext"/>
              <w:jc w:val="center"/>
            </w:pPr>
            <w:r w:rsidRPr="00DE621E">
              <w:t xml:space="preserve"> - </w:t>
            </w:r>
          </w:p>
        </w:tc>
        <w:tc>
          <w:tcPr>
            <w:tcW w:w="1242" w:type="dxa"/>
          </w:tcPr>
          <w:p w14:paraId="5B47D503" w14:textId="77777777" w:rsidR="000C5D80" w:rsidRDefault="000C5D80" w:rsidP="00664DB5">
            <w:pPr>
              <w:pStyle w:val="Tabletext"/>
              <w:jc w:val="center"/>
            </w:pPr>
            <w:r w:rsidRPr="00DE621E">
              <w:t xml:space="preserve"> - </w:t>
            </w:r>
          </w:p>
        </w:tc>
        <w:tc>
          <w:tcPr>
            <w:tcW w:w="1242" w:type="dxa"/>
          </w:tcPr>
          <w:p w14:paraId="6DC3CA66" w14:textId="77777777" w:rsidR="000C5D80" w:rsidRDefault="000C5D80" w:rsidP="00664DB5">
            <w:pPr>
              <w:pStyle w:val="Tabletext"/>
              <w:jc w:val="center"/>
            </w:pPr>
            <w:r w:rsidRPr="00DE621E">
              <w:t xml:space="preserve"> 172 </w:t>
            </w:r>
          </w:p>
        </w:tc>
      </w:tr>
      <w:tr w:rsidR="000C5D80" w14:paraId="7AA89296" w14:textId="77777777" w:rsidTr="00664DB5">
        <w:tc>
          <w:tcPr>
            <w:tcW w:w="2830" w:type="dxa"/>
          </w:tcPr>
          <w:p w14:paraId="16F80158" w14:textId="77777777" w:rsidR="000C5D80" w:rsidRDefault="000C5D80" w:rsidP="00664DB5">
            <w:pPr>
              <w:pStyle w:val="Tabletext"/>
            </w:pPr>
            <w:r w:rsidRPr="0068620F">
              <w:t>Cost of re-analysis per patient</w:t>
            </w:r>
          </w:p>
        </w:tc>
        <w:tc>
          <w:tcPr>
            <w:tcW w:w="1241" w:type="dxa"/>
          </w:tcPr>
          <w:p w14:paraId="43585E0B" w14:textId="77777777" w:rsidR="000C5D80" w:rsidRDefault="000C5D80" w:rsidP="00664DB5">
            <w:pPr>
              <w:pStyle w:val="Tabletext"/>
              <w:jc w:val="center"/>
            </w:pPr>
            <w:r w:rsidRPr="00DE621E">
              <w:t xml:space="preserve"> $650 </w:t>
            </w:r>
          </w:p>
        </w:tc>
        <w:tc>
          <w:tcPr>
            <w:tcW w:w="1242" w:type="dxa"/>
          </w:tcPr>
          <w:p w14:paraId="301C9401" w14:textId="77777777" w:rsidR="000C5D80" w:rsidRDefault="000C5D80" w:rsidP="00664DB5">
            <w:pPr>
              <w:pStyle w:val="Tabletext"/>
              <w:jc w:val="center"/>
            </w:pPr>
            <w:r w:rsidRPr="00DE621E">
              <w:t xml:space="preserve"> $650 </w:t>
            </w:r>
          </w:p>
        </w:tc>
        <w:tc>
          <w:tcPr>
            <w:tcW w:w="1241" w:type="dxa"/>
          </w:tcPr>
          <w:p w14:paraId="5366B331" w14:textId="77777777" w:rsidR="000C5D80" w:rsidRDefault="000C5D80" w:rsidP="00664DB5">
            <w:pPr>
              <w:pStyle w:val="Tabletext"/>
              <w:jc w:val="center"/>
            </w:pPr>
            <w:r w:rsidRPr="00DE621E">
              <w:t xml:space="preserve"> $650 </w:t>
            </w:r>
          </w:p>
        </w:tc>
        <w:tc>
          <w:tcPr>
            <w:tcW w:w="1242" w:type="dxa"/>
          </w:tcPr>
          <w:p w14:paraId="25F54DEC" w14:textId="77777777" w:rsidR="000C5D80" w:rsidRDefault="000C5D80" w:rsidP="00664DB5">
            <w:pPr>
              <w:pStyle w:val="Tabletext"/>
              <w:jc w:val="center"/>
            </w:pPr>
            <w:r w:rsidRPr="00DE621E">
              <w:t xml:space="preserve"> $650 </w:t>
            </w:r>
          </w:p>
        </w:tc>
        <w:tc>
          <w:tcPr>
            <w:tcW w:w="1242" w:type="dxa"/>
          </w:tcPr>
          <w:p w14:paraId="4EBB1885" w14:textId="77777777" w:rsidR="000C5D80" w:rsidRDefault="000C5D80" w:rsidP="00664DB5">
            <w:pPr>
              <w:pStyle w:val="Tabletext"/>
              <w:jc w:val="center"/>
            </w:pPr>
            <w:r w:rsidRPr="00DE621E">
              <w:t xml:space="preserve"> $650 </w:t>
            </w:r>
          </w:p>
        </w:tc>
      </w:tr>
      <w:tr w:rsidR="000C5D80" w14:paraId="065F33D9" w14:textId="77777777" w:rsidTr="00664DB5">
        <w:tc>
          <w:tcPr>
            <w:tcW w:w="2830" w:type="dxa"/>
          </w:tcPr>
          <w:p w14:paraId="300C7064" w14:textId="77777777" w:rsidR="000C5D80" w:rsidRDefault="000C5D80" w:rsidP="00664DB5">
            <w:pPr>
              <w:pStyle w:val="Tabletext"/>
            </w:pPr>
            <w:r w:rsidRPr="0068620F">
              <w:t>Total cost</w:t>
            </w:r>
          </w:p>
        </w:tc>
        <w:tc>
          <w:tcPr>
            <w:tcW w:w="1241" w:type="dxa"/>
          </w:tcPr>
          <w:p w14:paraId="68407562" w14:textId="77777777" w:rsidR="000C5D80" w:rsidRDefault="000C5D80" w:rsidP="00664DB5">
            <w:pPr>
              <w:pStyle w:val="Tabletext"/>
              <w:jc w:val="center"/>
            </w:pPr>
            <w:r w:rsidRPr="00DE621E">
              <w:t xml:space="preserve"> $- </w:t>
            </w:r>
          </w:p>
        </w:tc>
        <w:tc>
          <w:tcPr>
            <w:tcW w:w="1242" w:type="dxa"/>
          </w:tcPr>
          <w:p w14:paraId="0BE40E44" w14:textId="77777777" w:rsidR="000C5D80" w:rsidRDefault="000C5D80" w:rsidP="00664DB5">
            <w:pPr>
              <w:pStyle w:val="Tabletext"/>
              <w:jc w:val="center"/>
            </w:pPr>
            <w:r w:rsidRPr="00DE621E">
              <w:t xml:space="preserve"> $- </w:t>
            </w:r>
          </w:p>
        </w:tc>
        <w:tc>
          <w:tcPr>
            <w:tcW w:w="1241" w:type="dxa"/>
          </w:tcPr>
          <w:p w14:paraId="4703FC20" w14:textId="77777777" w:rsidR="000C5D80" w:rsidRDefault="000C5D80" w:rsidP="00664DB5">
            <w:pPr>
              <w:pStyle w:val="Tabletext"/>
              <w:jc w:val="center"/>
            </w:pPr>
            <w:r w:rsidRPr="00DE621E">
              <w:t xml:space="preserve"> $- </w:t>
            </w:r>
          </w:p>
        </w:tc>
        <w:tc>
          <w:tcPr>
            <w:tcW w:w="1242" w:type="dxa"/>
          </w:tcPr>
          <w:p w14:paraId="7EEC4504" w14:textId="77777777" w:rsidR="000C5D80" w:rsidRDefault="000C5D80" w:rsidP="00664DB5">
            <w:pPr>
              <w:pStyle w:val="Tabletext"/>
              <w:jc w:val="center"/>
            </w:pPr>
            <w:r w:rsidRPr="00DE621E">
              <w:t xml:space="preserve"> $- </w:t>
            </w:r>
          </w:p>
        </w:tc>
        <w:tc>
          <w:tcPr>
            <w:tcW w:w="1242" w:type="dxa"/>
          </w:tcPr>
          <w:p w14:paraId="4920B226" w14:textId="77777777" w:rsidR="000C5D80" w:rsidRDefault="000C5D80" w:rsidP="00664DB5">
            <w:pPr>
              <w:pStyle w:val="Tabletext"/>
              <w:jc w:val="center"/>
            </w:pPr>
            <w:r w:rsidRPr="00DE621E">
              <w:t xml:space="preserve"> $111,919 </w:t>
            </w:r>
          </w:p>
        </w:tc>
      </w:tr>
      <w:tr w:rsidR="000C5D80" w14:paraId="659BC9AE" w14:textId="77777777" w:rsidTr="00664DB5">
        <w:tc>
          <w:tcPr>
            <w:tcW w:w="2830" w:type="dxa"/>
          </w:tcPr>
          <w:p w14:paraId="0D54CFB8" w14:textId="77777777" w:rsidR="000C5D80" w:rsidRDefault="000C5D80" w:rsidP="00664DB5">
            <w:pPr>
              <w:pStyle w:val="Tabletext"/>
            </w:pPr>
            <w:r w:rsidRPr="0068620F">
              <w:t>MBS rebate (85%)</w:t>
            </w:r>
          </w:p>
        </w:tc>
        <w:tc>
          <w:tcPr>
            <w:tcW w:w="1241" w:type="dxa"/>
          </w:tcPr>
          <w:p w14:paraId="09B18F0D" w14:textId="77777777" w:rsidR="000C5D80" w:rsidRDefault="000C5D80" w:rsidP="00664DB5">
            <w:pPr>
              <w:pStyle w:val="Tabletext"/>
              <w:jc w:val="center"/>
            </w:pPr>
            <w:r w:rsidRPr="00DE621E">
              <w:t xml:space="preserve"> $- </w:t>
            </w:r>
          </w:p>
        </w:tc>
        <w:tc>
          <w:tcPr>
            <w:tcW w:w="1242" w:type="dxa"/>
          </w:tcPr>
          <w:p w14:paraId="7BC9AAF4" w14:textId="77777777" w:rsidR="000C5D80" w:rsidRDefault="000C5D80" w:rsidP="00664DB5">
            <w:pPr>
              <w:pStyle w:val="Tabletext"/>
              <w:jc w:val="center"/>
            </w:pPr>
            <w:r w:rsidRPr="00DE621E">
              <w:t xml:space="preserve"> $- </w:t>
            </w:r>
          </w:p>
        </w:tc>
        <w:tc>
          <w:tcPr>
            <w:tcW w:w="1241" w:type="dxa"/>
          </w:tcPr>
          <w:p w14:paraId="02B04C8E" w14:textId="77777777" w:rsidR="000C5D80" w:rsidRDefault="000C5D80" w:rsidP="00664DB5">
            <w:pPr>
              <w:pStyle w:val="Tabletext"/>
              <w:jc w:val="center"/>
            </w:pPr>
            <w:r w:rsidRPr="00DE621E">
              <w:t xml:space="preserve"> $- </w:t>
            </w:r>
          </w:p>
        </w:tc>
        <w:tc>
          <w:tcPr>
            <w:tcW w:w="1242" w:type="dxa"/>
          </w:tcPr>
          <w:p w14:paraId="40758514" w14:textId="77777777" w:rsidR="000C5D80" w:rsidRDefault="000C5D80" w:rsidP="00664DB5">
            <w:pPr>
              <w:pStyle w:val="Tabletext"/>
              <w:jc w:val="center"/>
            </w:pPr>
            <w:r w:rsidRPr="00DE621E">
              <w:t xml:space="preserve"> $- </w:t>
            </w:r>
          </w:p>
        </w:tc>
        <w:tc>
          <w:tcPr>
            <w:tcW w:w="1242" w:type="dxa"/>
          </w:tcPr>
          <w:p w14:paraId="777F3186" w14:textId="77777777" w:rsidR="000C5D80" w:rsidRDefault="000C5D80" w:rsidP="00664DB5">
            <w:pPr>
              <w:pStyle w:val="Tabletext"/>
              <w:jc w:val="center"/>
            </w:pPr>
            <w:r w:rsidRPr="00DE621E">
              <w:t xml:space="preserve"> $95,131 </w:t>
            </w:r>
          </w:p>
        </w:tc>
      </w:tr>
      <w:tr w:rsidR="000C5D80" w14:paraId="7718414A" w14:textId="77777777" w:rsidTr="00664DB5">
        <w:tc>
          <w:tcPr>
            <w:tcW w:w="2830" w:type="dxa"/>
          </w:tcPr>
          <w:p w14:paraId="2494F68C" w14:textId="77777777" w:rsidR="000C5D80" w:rsidRDefault="000C5D80" w:rsidP="00664DB5">
            <w:pPr>
              <w:pStyle w:val="Tabletext"/>
            </w:pPr>
            <w:r w:rsidRPr="0068620F">
              <w:t>Patient contributions</w:t>
            </w:r>
          </w:p>
        </w:tc>
        <w:tc>
          <w:tcPr>
            <w:tcW w:w="1241" w:type="dxa"/>
          </w:tcPr>
          <w:p w14:paraId="01C326A4" w14:textId="77777777" w:rsidR="000C5D80" w:rsidRDefault="000C5D80" w:rsidP="00664DB5">
            <w:pPr>
              <w:pStyle w:val="Tabletext"/>
              <w:jc w:val="center"/>
            </w:pPr>
            <w:r w:rsidRPr="00DE621E">
              <w:t xml:space="preserve"> $- </w:t>
            </w:r>
          </w:p>
        </w:tc>
        <w:tc>
          <w:tcPr>
            <w:tcW w:w="1242" w:type="dxa"/>
          </w:tcPr>
          <w:p w14:paraId="36AE0386" w14:textId="77777777" w:rsidR="000C5D80" w:rsidRDefault="000C5D80" w:rsidP="00664DB5">
            <w:pPr>
              <w:pStyle w:val="Tabletext"/>
              <w:jc w:val="center"/>
            </w:pPr>
            <w:r w:rsidRPr="00DE621E">
              <w:t xml:space="preserve"> $- </w:t>
            </w:r>
          </w:p>
        </w:tc>
        <w:tc>
          <w:tcPr>
            <w:tcW w:w="1241" w:type="dxa"/>
          </w:tcPr>
          <w:p w14:paraId="4CC9EA06" w14:textId="77777777" w:rsidR="000C5D80" w:rsidRDefault="000C5D80" w:rsidP="00664DB5">
            <w:pPr>
              <w:pStyle w:val="Tabletext"/>
              <w:jc w:val="center"/>
            </w:pPr>
            <w:r w:rsidRPr="00DE621E">
              <w:t xml:space="preserve"> $- </w:t>
            </w:r>
          </w:p>
        </w:tc>
        <w:tc>
          <w:tcPr>
            <w:tcW w:w="1242" w:type="dxa"/>
          </w:tcPr>
          <w:p w14:paraId="7923B773" w14:textId="77777777" w:rsidR="000C5D80" w:rsidRDefault="000C5D80" w:rsidP="00664DB5">
            <w:pPr>
              <w:pStyle w:val="Tabletext"/>
              <w:jc w:val="center"/>
            </w:pPr>
            <w:r w:rsidRPr="00DE621E">
              <w:t xml:space="preserve"> $- </w:t>
            </w:r>
          </w:p>
        </w:tc>
        <w:tc>
          <w:tcPr>
            <w:tcW w:w="1242" w:type="dxa"/>
          </w:tcPr>
          <w:p w14:paraId="6A41BDB9" w14:textId="77777777" w:rsidR="000C5D80" w:rsidRDefault="000C5D80" w:rsidP="00664DB5">
            <w:pPr>
              <w:pStyle w:val="Tabletext"/>
              <w:jc w:val="center"/>
            </w:pPr>
            <w:r w:rsidRPr="00DE621E">
              <w:t xml:space="preserve"> $16,788 </w:t>
            </w:r>
          </w:p>
        </w:tc>
      </w:tr>
      <w:tr w:rsidR="000C5D80" w:rsidRPr="009A791F" w14:paraId="1BAB3E95" w14:textId="77777777" w:rsidTr="00664DB5">
        <w:tc>
          <w:tcPr>
            <w:tcW w:w="2830" w:type="dxa"/>
          </w:tcPr>
          <w:p w14:paraId="788DA0FA" w14:textId="77777777" w:rsidR="000C5D80" w:rsidRPr="00D870EA" w:rsidRDefault="000C5D80" w:rsidP="00664DB5">
            <w:pPr>
              <w:pStyle w:val="Tabletext"/>
              <w:rPr>
                <w:i/>
              </w:rPr>
            </w:pPr>
            <w:r w:rsidRPr="00D870EA">
              <w:rPr>
                <w:i/>
              </w:rPr>
              <w:t>Negative findings</w:t>
            </w:r>
          </w:p>
        </w:tc>
        <w:tc>
          <w:tcPr>
            <w:tcW w:w="1241" w:type="dxa"/>
          </w:tcPr>
          <w:p w14:paraId="6C6582A4" w14:textId="77777777" w:rsidR="000C5D80" w:rsidRPr="009A791F" w:rsidRDefault="000C5D80" w:rsidP="00664DB5">
            <w:pPr>
              <w:pStyle w:val="Tabletext"/>
              <w:jc w:val="center"/>
            </w:pPr>
          </w:p>
        </w:tc>
        <w:tc>
          <w:tcPr>
            <w:tcW w:w="1242" w:type="dxa"/>
          </w:tcPr>
          <w:p w14:paraId="0D51B61B" w14:textId="77777777" w:rsidR="000C5D80" w:rsidRPr="009A791F" w:rsidRDefault="000C5D80" w:rsidP="00664DB5">
            <w:pPr>
              <w:pStyle w:val="Tabletext"/>
              <w:jc w:val="center"/>
            </w:pPr>
          </w:p>
        </w:tc>
        <w:tc>
          <w:tcPr>
            <w:tcW w:w="1241" w:type="dxa"/>
          </w:tcPr>
          <w:p w14:paraId="12C3EC46" w14:textId="77777777" w:rsidR="000C5D80" w:rsidRPr="009A791F" w:rsidRDefault="000C5D80" w:rsidP="00664DB5">
            <w:pPr>
              <w:pStyle w:val="Tabletext"/>
              <w:jc w:val="center"/>
            </w:pPr>
          </w:p>
        </w:tc>
        <w:tc>
          <w:tcPr>
            <w:tcW w:w="1242" w:type="dxa"/>
          </w:tcPr>
          <w:p w14:paraId="014BF155" w14:textId="77777777" w:rsidR="000C5D80" w:rsidRPr="009A791F" w:rsidRDefault="000C5D80" w:rsidP="00664DB5">
            <w:pPr>
              <w:pStyle w:val="Tabletext"/>
              <w:jc w:val="center"/>
            </w:pPr>
          </w:p>
        </w:tc>
        <w:tc>
          <w:tcPr>
            <w:tcW w:w="1242" w:type="dxa"/>
          </w:tcPr>
          <w:p w14:paraId="5975EA52" w14:textId="77777777" w:rsidR="000C5D80" w:rsidRPr="009A791F" w:rsidRDefault="000C5D80" w:rsidP="00664DB5">
            <w:pPr>
              <w:pStyle w:val="Tabletext"/>
              <w:jc w:val="center"/>
            </w:pPr>
          </w:p>
        </w:tc>
      </w:tr>
      <w:tr w:rsidR="000C5D80" w14:paraId="3BE1B9A4" w14:textId="77777777" w:rsidTr="00664DB5">
        <w:tc>
          <w:tcPr>
            <w:tcW w:w="2830" w:type="dxa"/>
          </w:tcPr>
          <w:p w14:paraId="138CA390" w14:textId="77777777" w:rsidR="000C5D80" w:rsidRDefault="000C5D80" w:rsidP="00664DB5">
            <w:pPr>
              <w:pStyle w:val="Tabletext"/>
            </w:pPr>
            <w:r w:rsidRPr="00F04476">
              <w:t>Number of patients</w:t>
            </w:r>
          </w:p>
        </w:tc>
        <w:tc>
          <w:tcPr>
            <w:tcW w:w="1241" w:type="dxa"/>
          </w:tcPr>
          <w:p w14:paraId="156B7F17" w14:textId="77777777" w:rsidR="000C5D80" w:rsidRDefault="000C5D80" w:rsidP="00664DB5">
            <w:pPr>
              <w:pStyle w:val="Tabletext"/>
              <w:jc w:val="center"/>
            </w:pPr>
            <w:r w:rsidRPr="00542D42">
              <w:t xml:space="preserve"> - </w:t>
            </w:r>
          </w:p>
        </w:tc>
        <w:tc>
          <w:tcPr>
            <w:tcW w:w="1242" w:type="dxa"/>
          </w:tcPr>
          <w:p w14:paraId="57F75C89" w14:textId="77777777" w:rsidR="000C5D80" w:rsidRDefault="000C5D80" w:rsidP="00664DB5">
            <w:pPr>
              <w:pStyle w:val="Tabletext"/>
              <w:jc w:val="center"/>
            </w:pPr>
            <w:r w:rsidRPr="00542D42">
              <w:t xml:space="preserve"> - </w:t>
            </w:r>
          </w:p>
        </w:tc>
        <w:tc>
          <w:tcPr>
            <w:tcW w:w="1241" w:type="dxa"/>
          </w:tcPr>
          <w:p w14:paraId="47A5E30A" w14:textId="77777777" w:rsidR="000C5D80" w:rsidRDefault="000C5D80" w:rsidP="00664DB5">
            <w:pPr>
              <w:pStyle w:val="Tabletext"/>
              <w:jc w:val="center"/>
            </w:pPr>
            <w:r w:rsidRPr="00542D42">
              <w:t xml:space="preserve"> - </w:t>
            </w:r>
          </w:p>
        </w:tc>
        <w:tc>
          <w:tcPr>
            <w:tcW w:w="1242" w:type="dxa"/>
          </w:tcPr>
          <w:p w14:paraId="4203C65B" w14:textId="77777777" w:rsidR="000C5D80" w:rsidRDefault="000C5D80" w:rsidP="00664DB5">
            <w:pPr>
              <w:pStyle w:val="Tabletext"/>
              <w:jc w:val="center"/>
            </w:pPr>
            <w:r w:rsidRPr="00542D42">
              <w:t xml:space="preserve"> - </w:t>
            </w:r>
          </w:p>
        </w:tc>
        <w:tc>
          <w:tcPr>
            <w:tcW w:w="1242" w:type="dxa"/>
          </w:tcPr>
          <w:p w14:paraId="25DD7517" w14:textId="77777777" w:rsidR="000C5D80" w:rsidRDefault="000C5D80" w:rsidP="00664DB5">
            <w:pPr>
              <w:pStyle w:val="Tabletext"/>
              <w:jc w:val="center"/>
            </w:pPr>
            <w:r w:rsidRPr="00542D42">
              <w:t xml:space="preserve"> 1,076 </w:t>
            </w:r>
          </w:p>
        </w:tc>
      </w:tr>
      <w:tr w:rsidR="000C5D80" w14:paraId="05CD2395" w14:textId="77777777" w:rsidTr="00664DB5">
        <w:tc>
          <w:tcPr>
            <w:tcW w:w="2830" w:type="dxa"/>
          </w:tcPr>
          <w:p w14:paraId="5D9B8A97" w14:textId="77777777" w:rsidR="000C5D80" w:rsidRDefault="000C5D80" w:rsidP="00664DB5">
            <w:pPr>
              <w:pStyle w:val="Tabletext"/>
            </w:pPr>
            <w:r w:rsidRPr="00F04476">
              <w:t>Cost of re-analysis per patient</w:t>
            </w:r>
          </w:p>
        </w:tc>
        <w:tc>
          <w:tcPr>
            <w:tcW w:w="1241" w:type="dxa"/>
          </w:tcPr>
          <w:p w14:paraId="33209DAB" w14:textId="77777777" w:rsidR="000C5D80" w:rsidRDefault="000C5D80" w:rsidP="00664DB5">
            <w:pPr>
              <w:pStyle w:val="Tabletext"/>
              <w:jc w:val="center"/>
            </w:pPr>
            <w:r w:rsidRPr="00542D42">
              <w:t xml:space="preserve"> $350 </w:t>
            </w:r>
          </w:p>
        </w:tc>
        <w:tc>
          <w:tcPr>
            <w:tcW w:w="1242" w:type="dxa"/>
          </w:tcPr>
          <w:p w14:paraId="054D88A9" w14:textId="77777777" w:rsidR="000C5D80" w:rsidRDefault="000C5D80" w:rsidP="00664DB5">
            <w:pPr>
              <w:pStyle w:val="Tabletext"/>
              <w:jc w:val="center"/>
            </w:pPr>
            <w:r w:rsidRPr="00542D42">
              <w:t xml:space="preserve"> $350 </w:t>
            </w:r>
          </w:p>
        </w:tc>
        <w:tc>
          <w:tcPr>
            <w:tcW w:w="1241" w:type="dxa"/>
          </w:tcPr>
          <w:p w14:paraId="0A805F37" w14:textId="77777777" w:rsidR="000C5D80" w:rsidRDefault="000C5D80" w:rsidP="00664DB5">
            <w:pPr>
              <w:pStyle w:val="Tabletext"/>
              <w:jc w:val="center"/>
            </w:pPr>
            <w:r w:rsidRPr="00542D42">
              <w:t xml:space="preserve"> $350 </w:t>
            </w:r>
          </w:p>
        </w:tc>
        <w:tc>
          <w:tcPr>
            <w:tcW w:w="1242" w:type="dxa"/>
          </w:tcPr>
          <w:p w14:paraId="79D16DB6" w14:textId="77777777" w:rsidR="000C5D80" w:rsidRDefault="000C5D80" w:rsidP="00664DB5">
            <w:pPr>
              <w:pStyle w:val="Tabletext"/>
              <w:jc w:val="center"/>
            </w:pPr>
            <w:r w:rsidRPr="00542D42">
              <w:t xml:space="preserve"> $350 </w:t>
            </w:r>
          </w:p>
        </w:tc>
        <w:tc>
          <w:tcPr>
            <w:tcW w:w="1242" w:type="dxa"/>
          </w:tcPr>
          <w:p w14:paraId="726AC9D0" w14:textId="77777777" w:rsidR="000C5D80" w:rsidRDefault="000C5D80" w:rsidP="00664DB5">
            <w:pPr>
              <w:pStyle w:val="Tabletext"/>
              <w:jc w:val="center"/>
            </w:pPr>
            <w:r w:rsidRPr="00542D42">
              <w:t xml:space="preserve"> $350 </w:t>
            </w:r>
          </w:p>
        </w:tc>
      </w:tr>
      <w:tr w:rsidR="000C5D80" w14:paraId="4C1F872C" w14:textId="77777777" w:rsidTr="00664DB5">
        <w:tc>
          <w:tcPr>
            <w:tcW w:w="2830" w:type="dxa"/>
          </w:tcPr>
          <w:p w14:paraId="29DAB7B7" w14:textId="77777777" w:rsidR="000C5D80" w:rsidRDefault="000C5D80" w:rsidP="00664DB5">
            <w:pPr>
              <w:pStyle w:val="Tabletext"/>
            </w:pPr>
            <w:r w:rsidRPr="00F04476">
              <w:t>Total cost</w:t>
            </w:r>
          </w:p>
        </w:tc>
        <w:tc>
          <w:tcPr>
            <w:tcW w:w="1241" w:type="dxa"/>
          </w:tcPr>
          <w:p w14:paraId="46C69DE1" w14:textId="77777777" w:rsidR="000C5D80" w:rsidRDefault="000C5D80" w:rsidP="00664DB5">
            <w:pPr>
              <w:pStyle w:val="Tabletext"/>
              <w:jc w:val="center"/>
            </w:pPr>
            <w:r w:rsidRPr="00542D42">
              <w:t xml:space="preserve"> $- </w:t>
            </w:r>
          </w:p>
        </w:tc>
        <w:tc>
          <w:tcPr>
            <w:tcW w:w="1242" w:type="dxa"/>
          </w:tcPr>
          <w:p w14:paraId="4CA395A2" w14:textId="77777777" w:rsidR="000C5D80" w:rsidRDefault="000C5D80" w:rsidP="00664DB5">
            <w:pPr>
              <w:pStyle w:val="Tabletext"/>
              <w:jc w:val="center"/>
            </w:pPr>
            <w:r w:rsidRPr="00542D42">
              <w:t xml:space="preserve"> $- </w:t>
            </w:r>
          </w:p>
        </w:tc>
        <w:tc>
          <w:tcPr>
            <w:tcW w:w="1241" w:type="dxa"/>
          </w:tcPr>
          <w:p w14:paraId="3AB039F9" w14:textId="77777777" w:rsidR="000C5D80" w:rsidRDefault="000C5D80" w:rsidP="00664DB5">
            <w:pPr>
              <w:pStyle w:val="Tabletext"/>
              <w:jc w:val="center"/>
            </w:pPr>
            <w:r w:rsidRPr="00542D42">
              <w:t xml:space="preserve"> $- </w:t>
            </w:r>
          </w:p>
        </w:tc>
        <w:tc>
          <w:tcPr>
            <w:tcW w:w="1242" w:type="dxa"/>
          </w:tcPr>
          <w:p w14:paraId="15ACE24C" w14:textId="77777777" w:rsidR="000C5D80" w:rsidRDefault="000C5D80" w:rsidP="00664DB5">
            <w:pPr>
              <w:pStyle w:val="Tabletext"/>
              <w:jc w:val="center"/>
            </w:pPr>
            <w:r w:rsidRPr="00542D42">
              <w:t xml:space="preserve"> $- </w:t>
            </w:r>
          </w:p>
        </w:tc>
        <w:tc>
          <w:tcPr>
            <w:tcW w:w="1242" w:type="dxa"/>
          </w:tcPr>
          <w:p w14:paraId="2472331C" w14:textId="77777777" w:rsidR="000C5D80" w:rsidRDefault="000C5D80" w:rsidP="00664DB5">
            <w:pPr>
              <w:pStyle w:val="Tabletext"/>
              <w:jc w:val="center"/>
            </w:pPr>
            <w:r w:rsidRPr="00542D42">
              <w:t xml:space="preserve"> $376,433 </w:t>
            </w:r>
          </w:p>
        </w:tc>
      </w:tr>
      <w:tr w:rsidR="000C5D80" w14:paraId="0659472D" w14:textId="77777777" w:rsidTr="00664DB5">
        <w:tc>
          <w:tcPr>
            <w:tcW w:w="2830" w:type="dxa"/>
          </w:tcPr>
          <w:p w14:paraId="70918031" w14:textId="77777777" w:rsidR="000C5D80" w:rsidRPr="00352F2D" w:rsidRDefault="000C5D80" w:rsidP="00664DB5">
            <w:pPr>
              <w:pStyle w:val="Tabletext"/>
              <w:rPr>
                <w:b/>
              </w:rPr>
            </w:pPr>
            <w:r w:rsidRPr="00F04476">
              <w:t>MBS rebate (85%)</w:t>
            </w:r>
          </w:p>
        </w:tc>
        <w:tc>
          <w:tcPr>
            <w:tcW w:w="1241" w:type="dxa"/>
          </w:tcPr>
          <w:p w14:paraId="18EFD682" w14:textId="77777777" w:rsidR="000C5D80" w:rsidRPr="00352F2D" w:rsidRDefault="000C5D80" w:rsidP="00664DB5">
            <w:pPr>
              <w:pStyle w:val="Tabletext"/>
              <w:jc w:val="center"/>
              <w:rPr>
                <w:b/>
              </w:rPr>
            </w:pPr>
            <w:r w:rsidRPr="00542D42">
              <w:t xml:space="preserve"> $- </w:t>
            </w:r>
          </w:p>
        </w:tc>
        <w:tc>
          <w:tcPr>
            <w:tcW w:w="1242" w:type="dxa"/>
          </w:tcPr>
          <w:p w14:paraId="4404F2B2" w14:textId="77777777" w:rsidR="000C5D80" w:rsidRPr="00352F2D" w:rsidRDefault="000C5D80" w:rsidP="00664DB5">
            <w:pPr>
              <w:pStyle w:val="Tabletext"/>
              <w:jc w:val="center"/>
              <w:rPr>
                <w:b/>
              </w:rPr>
            </w:pPr>
            <w:r w:rsidRPr="00542D42">
              <w:t xml:space="preserve"> $- </w:t>
            </w:r>
          </w:p>
        </w:tc>
        <w:tc>
          <w:tcPr>
            <w:tcW w:w="1241" w:type="dxa"/>
          </w:tcPr>
          <w:p w14:paraId="0CDF7CB8" w14:textId="77777777" w:rsidR="000C5D80" w:rsidRPr="00352F2D" w:rsidRDefault="000C5D80" w:rsidP="00664DB5">
            <w:pPr>
              <w:pStyle w:val="Tabletext"/>
              <w:jc w:val="center"/>
              <w:rPr>
                <w:b/>
              </w:rPr>
            </w:pPr>
            <w:r w:rsidRPr="00542D42">
              <w:t xml:space="preserve"> $- </w:t>
            </w:r>
          </w:p>
        </w:tc>
        <w:tc>
          <w:tcPr>
            <w:tcW w:w="1242" w:type="dxa"/>
          </w:tcPr>
          <w:p w14:paraId="74C06174" w14:textId="77777777" w:rsidR="000C5D80" w:rsidRPr="00352F2D" w:rsidRDefault="000C5D80" w:rsidP="00664DB5">
            <w:pPr>
              <w:pStyle w:val="Tabletext"/>
              <w:jc w:val="center"/>
              <w:rPr>
                <w:b/>
              </w:rPr>
            </w:pPr>
            <w:r w:rsidRPr="00542D42">
              <w:t xml:space="preserve"> $- </w:t>
            </w:r>
          </w:p>
        </w:tc>
        <w:tc>
          <w:tcPr>
            <w:tcW w:w="1242" w:type="dxa"/>
          </w:tcPr>
          <w:p w14:paraId="13678B57" w14:textId="77777777" w:rsidR="000C5D80" w:rsidRPr="00352F2D" w:rsidRDefault="000C5D80" w:rsidP="00664DB5">
            <w:pPr>
              <w:pStyle w:val="Tabletext"/>
              <w:jc w:val="center"/>
              <w:rPr>
                <w:b/>
              </w:rPr>
            </w:pPr>
            <w:r w:rsidRPr="00542D42">
              <w:t xml:space="preserve"> $319,968 </w:t>
            </w:r>
          </w:p>
        </w:tc>
      </w:tr>
      <w:tr w:rsidR="000C5D80" w14:paraId="355C8EC0" w14:textId="77777777" w:rsidTr="00664DB5">
        <w:tc>
          <w:tcPr>
            <w:tcW w:w="2830" w:type="dxa"/>
          </w:tcPr>
          <w:p w14:paraId="2A0C302A" w14:textId="77777777" w:rsidR="000C5D80" w:rsidRPr="00352F2D" w:rsidRDefault="000C5D80" w:rsidP="00664DB5">
            <w:pPr>
              <w:pStyle w:val="Tabletext"/>
              <w:rPr>
                <w:b/>
              </w:rPr>
            </w:pPr>
            <w:r w:rsidRPr="00F04476">
              <w:t>Patient contributions</w:t>
            </w:r>
          </w:p>
        </w:tc>
        <w:tc>
          <w:tcPr>
            <w:tcW w:w="1241" w:type="dxa"/>
            <w:tcBorders>
              <w:bottom w:val="single" w:sz="4" w:space="0" w:color="auto"/>
            </w:tcBorders>
          </w:tcPr>
          <w:p w14:paraId="30A0722E" w14:textId="77777777" w:rsidR="000C5D80" w:rsidRPr="00352F2D" w:rsidRDefault="000C5D80" w:rsidP="00664DB5">
            <w:pPr>
              <w:pStyle w:val="Tabletext"/>
              <w:jc w:val="center"/>
              <w:rPr>
                <w:b/>
              </w:rPr>
            </w:pPr>
            <w:r w:rsidRPr="00542D42">
              <w:t xml:space="preserve"> $- </w:t>
            </w:r>
          </w:p>
        </w:tc>
        <w:tc>
          <w:tcPr>
            <w:tcW w:w="1242" w:type="dxa"/>
            <w:tcBorders>
              <w:bottom w:val="single" w:sz="4" w:space="0" w:color="auto"/>
            </w:tcBorders>
          </w:tcPr>
          <w:p w14:paraId="16492E06" w14:textId="77777777" w:rsidR="000C5D80" w:rsidRPr="00352F2D" w:rsidRDefault="000C5D80" w:rsidP="00664DB5">
            <w:pPr>
              <w:pStyle w:val="Tabletext"/>
              <w:jc w:val="center"/>
              <w:rPr>
                <w:b/>
              </w:rPr>
            </w:pPr>
            <w:r w:rsidRPr="00542D42">
              <w:t xml:space="preserve"> $- </w:t>
            </w:r>
          </w:p>
        </w:tc>
        <w:tc>
          <w:tcPr>
            <w:tcW w:w="1241" w:type="dxa"/>
            <w:tcBorders>
              <w:bottom w:val="single" w:sz="4" w:space="0" w:color="auto"/>
            </w:tcBorders>
          </w:tcPr>
          <w:p w14:paraId="10775175" w14:textId="77777777" w:rsidR="000C5D80" w:rsidRPr="00352F2D" w:rsidRDefault="000C5D80" w:rsidP="00664DB5">
            <w:pPr>
              <w:pStyle w:val="Tabletext"/>
              <w:jc w:val="center"/>
              <w:rPr>
                <w:b/>
              </w:rPr>
            </w:pPr>
            <w:r w:rsidRPr="00542D42">
              <w:t xml:space="preserve"> $- </w:t>
            </w:r>
          </w:p>
        </w:tc>
        <w:tc>
          <w:tcPr>
            <w:tcW w:w="1242" w:type="dxa"/>
            <w:tcBorders>
              <w:bottom w:val="single" w:sz="4" w:space="0" w:color="auto"/>
            </w:tcBorders>
          </w:tcPr>
          <w:p w14:paraId="4C7CAE99" w14:textId="77777777" w:rsidR="000C5D80" w:rsidRPr="00352F2D" w:rsidRDefault="000C5D80" w:rsidP="00664DB5">
            <w:pPr>
              <w:pStyle w:val="Tabletext"/>
              <w:jc w:val="center"/>
              <w:rPr>
                <w:b/>
              </w:rPr>
            </w:pPr>
            <w:r w:rsidRPr="00542D42">
              <w:t xml:space="preserve"> $- </w:t>
            </w:r>
          </w:p>
        </w:tc>
        <w:tc>
          <w:tcPr>
            <w:tcW w:w="1242" w:type="dxa"/>
            <w:tcBorders>
              <w:bottom w:val="single" w:sz="4" w:space="0" w:color="auto"/>
            </w:tcBorders>
          </w:tcPr>
          <w:p w14:paraId="66430D27" w14:textId="77777777" w:rsidR="000C5D80" w:rsidRPr="00352F2D" w:rsidRDefault="000C5D80" w:rsidP="00664DB5">
            <w:pPr>
              <w:pStyle w:val="Tabletext"/>
              <w:jc w:val="center"/>
              <w:rPr>
                <w:b/>
              </w:rPr>
            </w:pPr>
            <w:r w:rsidRPr="00542D42">
              <w:t xml:space="preserve"> $56,465 </w:t>
            </w:r>
          </w:p>
        </w:tc>
      </w:tr>
      <w:tr w:rsidR="000C5D80" w14:paraId="6EBFC6E3" w14:textId="77777777" w:rsidTr="00664DB5">
        <w:tc>
          <w:tcPr>
            <w:tcW w:w="2830" w:type="dxa"/>
            <w:tcBorders>
              <w:right w:val="nil"/>
            </w:tcBorders>
          </w:tcPr>
          <w:p w14:paraId="3ADD1FB6" w14:textId="77777777" w:rsidR="000C5D80" w:rsidRPr="00F04476" w:rsidRDefault="000C5D80" w:rsidP="00582AC5">
            <w:pPr>
              <w:pStyle w:val="Heading1"/>
              <w:numPr>
                <w:ilvl w:val="0"/>
                <w:numId w:val="0"/>
              </w:numPr>
              <w:spacing w:before="0" w:after="0"/>
              <w:ind w:left="720" w:hanging="720"/>
              <w:outlineLvl w:val="0"/>
            </w:pPr>
            <w:r w:rsidRPr="00582AC5">
              <w:rPr>
                <w:rFonts w:asciiTheme="minorHAnsi" w:eastAsiaTheme="minorHAnsi" w:hAnsiTheme="minorHAnsi"/>
                <w:bCs w:val="0"/>
                <w:i/>
                <w:sz w:val="20"/>
                <w:szCs w:val="24"/>
              </w:rPr>
              <w:t>Total population (re-analyses)</w:t>
            </w:r>
          </w:p>
        </w:tc>
        <w:tc>
          <w:tcPr>
            <w:tcW w:w="1241" w:type="dxa"/>
            <w:tcBorders>
              <w:left w:val="nil"/>
              <w:right w:val="nil"/>
            </w:tcBorders>
          </w:tcPr>
          <w:p w14:paraId="5016594A" w14:textId="77777777" w:rsidR="000C5D80" w:rsidRPr="00F04476" w:rsidRDefault="000C5D80" w:rsidP="00664DB5">
            <w:pPr>
              <w:pStyle w:val="Tabletext"/>
              <w:jc w:val="center"/>
            </w:pPr>
          </w:p>
        </w:tc>
        <w:tc>
          <w:tcPr>
            <w:tcW w:w="1242" w:type="dxa"/>
            <w:tcBorders>
              <w:left w:val="nil"/>
              <w:right w:val="nil"/>
            </w:tcBorders>
          </w:tcPr>
          <w:p w14:paraId="046C535D" w14:textId="77777777" w:rsidR="000C5D80" w:rsidRPr="00F04476" w:rsidRDefault="000C5D80" w:rsidP="00664DB5">
            <w:pPr>
              <w:pStyle w:val="Tabletext"/>
              <w:jc w:val="center"/>
            </w:pPr>
          </w:p>
        </w:tc>
        <w:tc>
          <w:tcPr>
            <w:tcW w:w="1241" w:type="dxa"/>
            <w:tcBorders>
              <w:left w:val="nil"/>
              <w:right w:val="nil"/>
            </w:tcBorders>
          </w:tcPr>
          <w:p w14:paraId="4AC6C457" w14:textId="77777777" w:rsidR="000C5D80" w:rsidRPr="00F04476" w:rsidRDefault="000C5D80" w:rsidP="00664DB5">
            <w:pPr>
              <w:pStyle w:val="Tabletext"/>
              <w:jc w:val="center"/>
            </w:pPr>
          </w:p>
        </w:tc>
        <w:tc>
          <w:tcPr>
            <w:tcW w:w="1242" w:type="dxa"/>
            <w:tcBorders>
              <w:left w:val="nil"/>
              <w:right w:val="nil"/>
            </w:tcBorders>
          </w:tcPr>
          <w:p w14:paraId="4667283A" w14:textId="77777777" w:rsidR="000C5D80" w:rsidRPr="00F04476" w:rsidRDefault="000C5D80" w:rsidP="00664DB5">
            <w:pPr>
              <w:pStyle w:val="Tabletext"/>
              <w:jc w:val="center"/>
            </w:pPr>
          </w:p>
        </w:tc>
        <w:tc>
          <w:tcPr>
            <w:tcW w:w="1242" w:type="dxa"/>
            <w:tcBorders>
              <w:left w:val="nil"/>
            </w:tcBorders>
          </w:tcPr>
          <w:p w14:paraId="7E7F251D" w14:textId="77777777" w:rsidR="000C5D80" w:rsidRPr="00F04476" w:rsidRDefault="000C5D80" w:rsidP="00664DB5">
            <w:pPr>
              <w:pStyle w:val="Tabletext"/>
              <w:jc w:val="center"/>
            </w:pPr>
          </w:p>
        </w:tc>
      </w:tr>
      <w:tr w:rsidR="000C5D80" w14:paraId="619A24A2" w14:textId="77777777" w:rsidTr="00664DB5">
        <w:tc>
          <w:tcPr>
            <w:tcW w:w="2830" w:type="dxa"/>
          </w:tcPr>
          <w:p w14:paraId="4E3DEE52" w14:textId="77777777" w:rsidR="000C5D80" w:rsidRPr="00F04476" w:rsidRDefault="000C5D80" w:rsidP="00664DB5">
            <w:pPr>
              <w:pStyle w:val="Tabletext"/>
            </w:pPr>
            <w:r w:rsidRPr="00670130">
              <w:t>Total cost</w:t>
            </w:r>
          </w:p>
        </w:tc>
        <w:tc>
          <w:tcPr>
            <w:tcW w:w="1241" w:type="dxa"/>
          </w:tcPr>
          <w:p w14:paraId="38ECA35F" w14:textId="77777777" w:rsidR="000C5D80" w:rsidRPr="00F04476" w:rsidRDefault="000C5D80" w:rsidP="00664DB5">
            <w:pPr>
              <w:pStyle w:val="Tabletext"/>
              <w:jc w:val="center"/>
            </w:pPr>
            <w:r w:rsidRPr="00A203B4">
              <w:t xml:space="preserve"> $- </w:t>
            </w:r>
          </w:p>
        </w:tc>
        <w:tc>
          <w:tcPr>
            <w:tcW w:w="1242" w:type="dxa"/>
          </w:tcPr>
          <w:p w14:paraId="69443658" w14:textId="77777777" w:rsidR="000C5D80" w:rsidRPr="00F04476" w:rsidRDefault="000C5D80" w:rsidP="00664DB5">
            <w:pPr>
              <w:pStyle w:val="Tabletext"/>
              <w:jc w:val="center"/>
            </w:pPr>
            <w:r w:rsidRPr="00A203B4">
              <w:t xml:space="preserve"> $- </w:t>
            </w:r>
          </w:p>
        </w:tc>
        <w:tc>
          <w:tcPr>
            <w:tcW w:w="1241" w:type="dxa"/>
          </w:tcPr>
          <w:p w14:paraId="78E5CF11" w14:textId="77777777" w:rsidR="000C5D80" w:rsidRPr="00F04476" w:rsidRDefault="000C5D80" w:rsidP="00664DB5">
            <w:pPr>
              <w:pStyle w:val="Tabletext"/>
              <w:jc w:val="center"/>
            </w:pPr>
            <w:r w:rsidRPr="00A203B4">
              <w:t xml:space="preserve"> $566,533 </w:t>
            </w:r>
          </w:p>
        </w:tc>
        <w:tc>
          <w:tcPr>
            <w:tcW w:w="1242" w:type="dxa"/>
          </w:tcPr>
          <w:p w14:paraId="2345BE1B" w14:textId="77777777" w:rsidR="000C5D80" w:rsidRPr="00F04476" w:rsidRDefault="000C5D80" w:rsidP="00664DB5">
            <w:pPr>
              <w:pStyle w:val="Tabletext"/>
              <w:jc w:val="center"/>
            </w:pPr>
            <w:r w:rsidRPr="00A203B4">
              <w:t xml:space="preserve"> $574,609 </w:t>
            </w:r>
          </w:p>
        </w:tc>
        <w:tc>
          <w:tcPr>
            <w:tcW w:w="1242" w:type="dxa"/>
          </w:tcPr>
          <w:p w14:paraId="459AE042" w14:textId="77777777" w:rsidR="000C5D80" w:rsidRPr="00F04476" w:rsidRDefault="000C5D80" w:rsidP="00664DB5">
            <w:pPr>
              <w:pStyle w:val="Tabletext"/>
              <w:jc w:val="center"/>
            </w:pPr>
            <w:r w:rsidRPr="00A203B4">
              <w:t xml:space="preserve"> $1,071,131 </w:t>
            </w:r>
          </w:p>
        </w:tc>
      </w:tr>
      <w:tr w:rsidR="000C5D80" w14:paraId="7ADA968D" w14:textId="77777777" w:rsidTr="00664DB5">
        <w:trPr>
          <w:trHeight w:val="189"/>
        </w:trPr>
        <w:tc>
          <w:tcPr>
            <w:tcW w:w="2830" w:type="dxa"/>
          </w:tcPr>
          <w:p w14:paraId="717C40D4" w14:textId="77777777" w:rsidR="000C5D80" w:rsidRPr="00F04476" w:rsidRDefault="000C5D80" w:rsidP="00664DB5">
            <w:pPr>
              <w:pStyle w:val="Tabletext"/>
            </w:pPr>
            <w:r w:rsidRPr="00670130">
              <w:t>MBS rebate (85%)</w:t>
            </w:r>
          </w:p>
        </w:tc>
        <w:tc>
          <w:tcPr>
            <w:tcW w:w="1241" w:type="dxa"/>
          </w:tcPr>
          <w:p w14:paraId="46CFE706" w14:textId="77777777" w:rsidR="000C5D80" w:rsidRPr="00F04476" w:rsidRDefault="000C5D80" w:rsidP="00664DB5">
            <w:pPr>
              <w:pStyle w:val="Tabletext"/>
              <w:jc w:val="center"/>
            </w:pPr>
            <w:r w:rsidRPr="00A203B4">
              <w:t xml:space="preserve"> $- </w:t>
            </w:r>
          </w:p>
        </w:tc>
        <w:tc>
          <w:tcPr>
            <w:tcW w:w="1242" w:type="dxa"/>
          </w:tcPr>
          <w:p w14:paraId="30DE9B23" w14:textId="77777777" w:rsidR="000C5D80" w:rsidRPr="00F04476" w:rsidRDefault="000C5D80" w:rsidP="00664DB5">
            <w:pPr>
              <w:pStyle w:val="Tabletext"/>
              <w:jc w:val="center"/>
            </w:pPr>
            <w:r w:rsidRPr="00A203B4">
              <w:t xml:space="preserve"> $- </w:t>
            </w:r>
          </w:p>
        </w:tc>
        <w:tc>
          <w:tcPr>
            <w:tcW w:w="1241" w:type="dxa"/>
          </w:tcPr>
          <w:p w14:paraId="66F24BE7" w14:textId="77777777" w:rsidR="000C5D80" w:rsidRPr="00F04476" w:rsidRDefault="000C5D80" w:rsidP="00664DB5">
            <w:pPr>
              <w:pStyle w:val="Tabletext"/>
              <w:jc w:val="center"/>
            </w:pPr>
            <w:r w:rsidRPr="00A203B4">
              <w:t xml:space="preserve"> $481,553 </w:t>
            </w:r>
          </w:p>
        </w:tc>
        <w:tc>
          <w:tcPr>
            <w:tcW w:w="1242" w:type="dxa"/>
          </w:tcPr>
          <w:p w14:paraId="7856D3FA" w14:textId="77777777" w:rsidR="000C5D80" w:rsidRPr="00F04476" w:rsidRDefault="000C5D80" w:rsidP="00664DB5">
            <w:pPr>
              <w:pStyle w:val="Tabletext"/>
              <w:jc w:val="center"/>
            </w:pPr>
            <w:r w:rsidRPr="00A203B4">
              <w:t xml:space="preserve"> $488,418 </w:t>
            </w:r>
          </w:p>
        </w:tc>
        <w:tc>
          <w:tcPr>
            <w:tcW w:w="1242" w:type="dxa"/>
          </w:tcPr>
          <w:p w14:paraId="360F0FB6" w14:textId="77777777" w:rsidR="000C5D80" w:rsidRPr="00F04476" w:rsidRDefault="000C5D80" w:rsidP="00664DB5">
            <w:pPr>
              <w:pStyle w:val="Tabletext"/>
              <w:jc w:val="center"/>
            </w:pPr>
            <w:r w:rsidRPr="00A203B4">
              <w:t xml:space="preserve"> $910,461 </w:t>
            </w:r>
          </w:p>
        </w:tc>
      </w:tr>
      <w:tr w:rsidR="000C5D80" w14:paraId="3C74C8A0" w14:textId="77777777" w:rsidTr="00664DB5">
        <w:tc>
          <w:tcPr>
            <w:tcW w:w="2830" w:type="dxa"/>
          </w:tcPr>
          <w:p w14:paraId="2ECE8C78" w14:textId="77777777" w:rsidR="000C5D80" w:rsidRPr="00F04476" w:rsidRDefault="000C5D80" w:rsidP="00664DB5">
            <w:pPr>
              <w:pStyle w:val="Tabletext"/>
            </w:pPr>
            <w:r w:rsidRPr="00670130">
              <w:t>Patient contributions</w:t>
            </w:r>
          </w:p>
        </w:tc>
        <w:tc>
          <w:tcPr>
            <w:tcW w:w="1241" w:type="dxa"/>
          </w:tcPr>
          <w:p w14:paraId="44EFAB24" w14:textId="77777777" w:rsidR="000C5D80" w:rsidRPr="00F04476" w:rsidRDefault="000C5D80" w:rsidP="00664DB5">
            <w:pPr>
              <w:pStyle w:val="Tabletext"/>
              <w:jc w:val="center"/>
            </w:pPr>
            <w:r w:rsidRPr="00A203B4">
              <w:t xml:space="preserve"> $- </w:t>
            </w:r>
          </w:p>
        </w:tc>
        <w:tc>
          <w:tcPr>
            <w:tcW w:w="1242" w:type="dxa"/>
          </w:tcPr>
          <w:p w14:paraId="39854BDC" w14:textId="77777777" w:rsidR="000C5D80" w:rsidRPr="00F04476" w:rsidRDefault="000C5D80" w:rsidP="00664DB5">
            <w:pPr>
              <w:pStyle w:val="Tabletext"/>
              <w:jc w:val="center"/>
            </w:pPr>
            <w:r w:rsidRPr="00A203B4">
              <w:t xml:space="preserve"> $- </w:t>
            </w:r>
          </w:p>
        </w:tc>
        <w:tc>
          <w:tcPr>
            <w:tcW w:w="1241" w:type="dxa"/>
          </w:tcPr>
          <w:p w14:paraId="49BC1136" w14:textId="77777777" w:rsidR="000C5D80" w:rsidRPr="00F04476" w:rsidRDefault="000C5D80" w:rsidP="00664DB5">
            <w:pPr>
              <w:pStyle w:val="Tabletext"/>
              <w:jc w:val="center"/>
            </w:pPr>
            <w:r w:rsidRPr="00A203B4">
              <w:t xml:space="preserve"> $84,980 </w:t>
            </w:r>
          </w:p>
        </w:tc>
        <w:tc>
          <w:tcPr>
            <w:tcW w:w="1242" w:type="dxa"/>
          </w:tcPr>
          <w:p w14:paraId="4EED19BC" w14:textId="77777777" w:rsidR="000C5D80" w:rsidRPr="00F04476" w:rsidRDefault="000C5D80" w:rsidP="00664DB5">
            <w:pPr>
              <w:pStyle w:val="Tabletext"/>
              <w:jc w:val="center"/>
            </w:pPr>
            <w:r w:rsidRPr="00A203B4">
              <w:t xml:space="preserve"> $86,191 </w:t>
            </w:r>
          </w:p>
        </w:tc>
        <w:tc>
          <w:tcPr>
            <w:tcW w:w="1242" w:type="dxa"/>
          </w:tcPr>
          <w:p w14:paraId="79012852" w14:textId="77777777" w:rsidR="000C5D80" w:rsidRPr="00F04476" w:rsidRDefault="000C5D80" w:rsidP="00664DB5">
            <w:pPr>
              <w:pStyle w:val="Tabletext"/>
              <w:jc w:val="center"/>
            </w:pPr>
            <w:r w:rsidRPr="00A203B4">
              <w:t xml:space="preserve"> $160,670 </w:t>
            </w:r>
          </w:p>
        </w:tc>
      </w:tr>
    </w:tbl>
    <w:p w14:paraId="67417F42" w14:textId="77777777" w:rsidR="000C5D80" w:rsidRPr="007052AA" w:rsidRDefault="000C5D80" w:rsidP="007052AA">
      <w:pPr>
        <w:spacing w:before="240"/>
        <w:rPr>
          <w:rFonts w:ascii="Arial Narrow" w:hAnsi="Arial Narrow"/>
          <w:b/>
          <w:sz w:val="20"/>
        </w:rPr>
      </w:pPr>
      <w:bookmarkStart w:id="18" w:name="_Ref512521044"/>
      <w:bookmarkStart w:id="19" w:name="_Toc513290995"/>
      <w:r w:rsidRPr="007052AA">
        <w:rPr>
          <w:rFonts w:ascii="Arial Narrow" w:hAnsi="Arial Narrow"/>
          <w:b/>
          <w:sz w:val="20"/>
        </w:rPr>
        <w:t xml:space="preserve">Table </w:t>
      </w:r>
      <w:bookmarkEnd w:id="18"/>
      <w:r w:rsidR="00E3780D" w:rsidRPr="007052AA">
        <w:rPr>
          <w:rFonts w:ascii="Arial Narrow" w:hAnsi="Arial Narrow"/>
          <w:b/>
          <w:sz w:val="20"/>
        </w:rPr>
        <w:t>9</w:t>
      </w:r>
      <w:r w:rsidRPr="007052AA">
        <w:rPr>
          <w:rFonts w:ascii="Arial Narrow" w:hAnsi="Arial Narrow"/>
          <w:b/>
          <w:sz w:val="20"/>
        </w:rPr>
        <w:tab/>
        <w:t xml:space="preserve">Projected </w:t>
      </w:r>
      <w:r w:rsidR="00486832" w:rsidRPr="007052AA">
        <w:rPr>
          <w:rFonts w:ascii="Arial Narrow" w:hAnsi="Arial Narrow"/>
          <w:b/>
          <w:sz w:val="20"/>
        </w:rPr>
        <w:t>cost</w:t>
      </w:r>
      <w:r w:rsidRPr="007052AA">
        <w:rPr>
          <w:rFonts w:ascii="Arial Narrow" w:hAnsi="Arial Narrow"/>
          <w:b/>
          <w:sz w:val="20"/>
        </w:rPr>
        <w:t xml:space="preserve"> of single variant cascade tests </w:t>
      </w:r>
      <w:r w:rsidR="000569BD" w:rsidRPr="007052AA">
        <w:rPr>
          <w:rFonts w:ascii="Arial Narrow" w:hAnsi="Arial Narrow"/>
          <w:b/>
          <w:sz w:val="20"/>
        </w:rPr>
        <w:t>o</w:t>
      </w:r>
      <w:r w:rsidRPr="007052AA">
        <w:rPr>
          <w:rFonts w:ascii="Arial Narrow" w:hAnsi="Arial Narrow"/>
          <w:b/>
          <w:sz w:val="20"/>
        </w:rPr>
        <w:t>f first-degree family members</w:t>
      </w:r>
      <w:r w:rsidR="00486832" w:rsidRPr="007052AA">
        <w:rPr>
          <w:rFonts w:ascii="Arial Narrow" w:hAnsi="Arial Narrow"/>
          <w:b/>
          <w:sz w:val="20"/>
        </w:rPr>
        <w:t xml:space="preserve"> (Population 3)</w:t>
      </w:r>
      <w:r w:rsidRPr="007052AA">
        <w:rPr>
          <w:rFonts w:ascii="Arial Narrow" w:hAnsi="Arial Narrow"/>
          <w:b/>
          <w:sz w:val="20"/>
        </w:rPr>
        <w:t>, 2019–2023</w:t>
      </w:r>
      <w:bookmarkEnd w:id="19"/>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of the estimated costs of single variant cascaed tests of first degree family members for Population 3 from 2019 to 2023"/>
      </w:tblPr>
      <w:tblGrid>
        <w:gridCol w:w="2957"/>
        <w:gridCol w:w="1211"/>
        <w:gridCol w:w="1211"/>
        <w:gridCol w:w="1212"/>
        <w:gridCol w:w="1212"/>
        <w:gridCol w:w="1213"/>
      </w:tblGrid>
      <w:tr w:rsidR="00486832" w14:paraId="78C24A5B" w14:textId="77777777" w:rsidTr="007052AA">
        <w:trPr>
          <w:tblHeader/>
        </w:trPr>
        <w:tc>
          <w:tcPr>
            <w:tcW w:w="2957" w:type="dxa"/>
          </w:tcPr>
          <w:p w14:paraId="56BBFEB6" w14:textId="77777777" w:rsidR="00486832" w:rsidRDefault="00486832" w:rsidP="005E1BE3">
            <w:pPr>
              <w:pStyle w:val="Tableheading"/>
            </w:pPr>
          </w:p>
        </w:tc>
        <w:tc>
          <w:tcPr>
            <w:tcW w:w="1211" w:type="dxa"/>
          </w:tcPr>
          <w:p w14:paraId="05277000" w14:textId="77777777" w:rsidR="00486832" w:rsidRDefault="00486832" w:rsidP="005E1BE3">
            <w:pPr>
              <w:pStyle w:val="Tableheading"/>
              <w:jc w:val="center"/>
            </w:pPr>
            <w:r>
              <w:t>2019</w:t>
            </w:r>
          </w:p>
        </w:tc>
        <w:tc>
          <w:tcPr>
            <w:tcW w:w="1211" w:type="dxa"/>
          </w:tcPr>
          <w:p w14:paraId="55006858" w14:textId="77777777" w:rsidR="00486832" w:rsidRDefault="00486832" w:rsidP="005E1BE3">
            <w:pPr>
              <w:pStyle w:val="Tableheading"/>
              <w:jc w:val="center"/>
            </w:pPr>
            <w:r>
              <w:t>2020</w:t>
            </w:r>
          </w:p>
        </w:tc>
        <w:tc>
          <w:tcPr>
            <w:tcW w:w="1212" w:type="dxa"/>
          </w:tcPr>
          <w:p w14:paraId="0BAFE897" w14:textId="77777777" w:rsidR="00486832" w:rsidRDefault="00486832" w:rsidP="005E1BE3">
            <w:pPr>
              <w:pStyle w:val="Tableheading"/>
              <w:jc w:val="center"/>
            </w:pPr>
            <w:r>
              <w:t>2021</w:t>
            </w:r>
          </w:p>
        </w:tc>
        <w:tc>
          <w:tcPr>
            <w:tcW w:w="1212" w:type="dxa"/>
          </w:tcPr>
          <w:p w14:paraId="767A9C8E" w14:textId="77777777" w:rsidR="00486832" w:rsidRDefault="00486832" w:rsidP="005E1BE3">
            <w:pPr>
              <w:pStyle w:val="Tableheading"/>
              <w:jc w:val="center"/>
            </w:pPr>
            <w:r>
              <w:t>2022</w:t>
            </w:r>
          </w:p>
        </w:tc>
        <w:tc>
          <w:tcPr>
            <w:tcW w:w="1213" w:type="dxa"/>
          </w:tcPr>
          <w:p w14:paraId="58D4DA29" w14:textId="77777777" w:rsidR="00486832" w:rsidRDefault="00486832" w:rsidP="005E1BE3">
            <w:pPr>
              <w:pStyle w:val="Tableheading"/>
              <w:jc w:val="center"/>
            </w:pPr>
            <w:r>
              <w:t>2023</w:t>
            </w:r>
          </w:p>
        </w:tc>
      </w:tr>
      <w:tr w:rsidR="00486832" w14:paraId="6FD93487" w14:textId="77777777" w:rsidTr="005E1BE3">
        <w:tc>
          <w:tcPr>
            <w:tcW w:w="2957" w:type="dxa"/>
          </w:tcPr>
          <w:p w14:paraId="50AB81BD" w14:textId="77777777" w:rsidR="00486832" w:rsidRDefault="00486832" w:rsidP="005E1BE3">
            <w:pPr>
              <w:pStyle w:val="Tabletext"/>
            </w:pPr>
            <w:r w:rsidRPr="00D900E0">
              <w:t>Number of patients</w:t>
            </w:r>
          </w:p>
        </w:tc>
        <w:tc>
          <w:tcPr>
            <w:tcW w:w="1211" w:type="dxa"/>
          </w:tcPr>
          <w:p w14:paraId="5E9D1317" w14:textId="77777777" w:rsidR="00486832" w:rsidRDefault="00486832" w:rsidP="005E1BE3">
            <w:pPr>
              <w:pStyle w:val="Tabletext"/>
              <w:jc w:val="center"/>
            </w:pPr>
            <w:r w:rsidRPr="003F73A7">
              <w:t xml:space="preserve"> 5,235 </w:t>
            </w:r>
          </w:p>
        </w:tc>
        <w:tc>
          <w:tcPr>
            <w:tcW w:w="1211" w:type="dxa"/>
          </w:tcPr>
          <w:p w14:paraId="4AF2349E" w14:textId="77777777" w:rsidR="00486832" w:rsidRDefault="00486832" w:rsidP="005E1BE3">
            <w:pPr>
              <w:pStyle w:val="Tabletext"/>
              <w:jc w:val="center"/>
            </w:pPr>
            <w:r w:rsidRPr="003F73A7">
              <w:t xml:space="preserve"> 5,309 </w:t>
            </w:r>
          </w:p>
        </w:tc>
        <w:tc>
          <w:tcPr>
            <w:tcW w:w="1212" w:type="dxa"/>
          </w:tcPr>
          <w:p w14:paraId="48D97461" w14:textId="77777777" w:rsidR="00486832" w:rsidRDefault="00486832" w:rsidP="005E1BE3">
            <w:pPr>
              <w:pStyle w:val="Tabletext"/>
              <w:jc w:val="center"/>
            </w:pPr>
            <w:r w:rsidRPr="003F73A7">
              <w:t xml:space="preserve"> 5,385 </w:t>
            </w:r>
          </w:p>
        </w:tc>
        <w:tc>
          <w:tcPr>
            <w:tcW w:w="1212" w:type="dxa"/>
          </w:tcPr>
          <w:p w14:paraId="5952850E" w14:textId="77777777" w:rsidR="00486832" w:rsidRDefault="00486832" w:rsidP="005E1BE3">
            <w:pPr>
              <w:pStyle w:val="Tabletext"/>
              <w:jc w:val="center"/>
            </w:pPr>
            <w:r w:rsidRPr="003F73A7">
              <w:t xml:space="preserve"> 4,231 </w:t>
            </w:r>
          </w:p>
        </w:tc>
        <w:tc>
          <w:tcPr>
            <w:tcW w:w="1213" w:type="dxa"/>
          </w:tcPr>
          <w:p w14:paraId="4DC73F6E" w14:textId="77777777" w:rsidR="00486832" w:rsidRDefault="00486832" w:rsidP="005E1BE3">
            <w:pPr>
              <w:pStyle w:val="Tabletext"/>
              <w:jc w:val="center"/>
            </w:pPr>
            <w:r w:rsidRPr="003F73A7">
              <w:t xml:space="preserve"> 4,308 </w:t>
            </w:r>
          </w:p>
        </w:tc>
      </w:tr>
      <w:tr w:rsidR="00486832" w14:paraId="6352C9E2" w14:textId="77777777" w:rsidTr="005E1BE3">
        <w:tc>
          <w:tcPr>
            <w:tcW w:w="2957" w:type="dxa"/>
          </w:tcPr>
          <w:p w14:paraId="7AC10983" w14:textId="77777777" w:rsidR="00486832" w:rsidRDefault="00486832" w:rsidP="005E1BE3">
            <w:pPr>
              <w:pStyle w:val="Tabletext"/>
            </w:pPr>
            <w:r w:rsidRPr="00D900E0">
              <w:t>Cost of cascade testing per patient</w:t>
            </w:r>
          </w:p>
        </w:tc>
        <w:tc>
          <w:tcPr>
            <w:tcW w:w="1211" w:type="dxa"/>
          </w:tcPr>
          <w:p w14:paraId="5A96EB23" w14:textId="77777777" w:rsidR="00486832" w:rsidRDefault="00486832" w:rsidP="005E1BE3">
            <w:pPr>
              <w:pStyle w:val="Tabletext"/>
              <w:jc w:val="center"/>
            </w:pPr>
            <w:r w:rsidRPr="003F73A7">
              <w:t xml:space="preserve"> $400.00 </w:t>
            </w:r>
          </w:p>
        </w:tc>
        <w:tc>
          <w:tcPr>
            <w:tcW w:w="1211" w:type="dxa"/>
          </w:tcPr>
          <w:p w14:paraId="6AC783FD" w14:textId="77777777" w:rsidR="00486832" w:rsidRDefault="00486832" w:rsidP="005E1BE3">
            <w:pPr>
              <w:pStyle w:val="Tabletext"/>
              <w:jc w:val="center"/>
            </w:pPr>
            <w:r w:rsidRPr="003F73A7">
              <w:t xml:space="preserve"> $400.00 </w:t>
            </w:r>
          </w:p>
        </w:tc>
        <w:tc>
          <w:tcPr>
            <w:tcW w:w="1212" w:type="dxa"/>
          </w:tcPr>
          <w:p w14:paraId="031F7ECB" w14:textId="77777777" w:rsidR="00486832" w:rsidRDefault="00486832" w:rsidP="005E1BE3">
            <w:pPr>
              <w:pStyle w:val="Tabletext"/>
              <w:jc w:val="center"/>
            </w:pPr>
            <w:r w:rsidRPr="003F73A7">
              <w:t xml:space="preserve"> $400.00 </w:t>
            </w:r>
          </w:p>
        </w:tc>
        <w:tc>
          <w:tcPr>
            <w:tcW w:w="1212" w:type="dxa"/>
          </w:tcPr>
          <w:p w14:paraId="6A4FEB37" w14:textId="77777777" w:rsidR="00486832" w:rsidRDefault="00486832" w:rsidP="005E1BE3">
            <w:pPr>
              <w:pStyle w:val="Tabletext"/>
              <w:jc w:val="center"/>
            </w:pPr>
            <w:r w:rsidRPr="003F73A7">
              <w:t xml:space="preserve"> $400.00 </w:t>
            </w:r>
          </w:p>
        </w:tc>
        <w:tc>
          <w:tcPr>
            <w:tcW w:w="1213" w:type="dxa"/>
          </w:tcPr>
          <w:p w14:paraId="16FF830A" w14:textId="77777777" w:rsidR="00486832" w:rsidRDefault="00486832" w:rsidP="005E1BE3">
            <w:pPr>
              <w:pStyle w:val="Tabletext"/>
              <w:jc w:val="center"/>
            </w:pPr>
            <w:r w:rsidRPr="003F73A7">
              <w:t xml:space="preserve"> $400.00 </w:t>
            </w:r>
          </w:p>
        </w:tc>
      </w:tr>
      <w:tr w:rsidR="00486832" w14:paraId="45785DE0" w14:textId="77777777" w:rsidTr="005E1BE3">
        <w:tc>
          <w:tcPr>
            <w:tcW w:w="2957" w:type="dxa"/>
          </w:tcPr>
          <w:p w14:paraId="7A17C63A" w14:textId="77777777" w:rsidR="00486832" w:rsidRDefault="00486832" w:rsidP="005E1BE3">
            <w:pPr>
              <w:pStyle w:val="Tabletext"/>
            </w:pPr>
            <w:r w:rsidRPr="00D900E0">
              <w:t>Total cost</w:t>
            </w:r>
          </w:p>
        </w:tc>
        <w:tc>
          <w:tcPr>
            <w:tcW w:w="1211" w:type="dxa"/>
          </w:tcPr>
          <w:p w14:paraId="7D1CAB2F" w14:textId="77777777" w:rsidR="00486832" w:rsidRDefault="00486832" w:rsidP="005E1BE3">
            <w:pPr>
              <w:pStyle w:val="Tabletext"/>
              <w:jc w:val="center"/>
            </w:pPr>
            <w:r w:rsidRPr="003F73A7">
              <w:t xml:space="preserve"> $2,093,835 </w:t>
            </w:r>
          </w:p>
        </w:tc>
        <w:tc>
          <w:tcPr>
            <w:tcW w:w="1211" w:type="dxa"/>
          </w:tcPr>
          <w:p w14:paraId="4FE01DB0" w14:textId="77777777" w:rsidR="00486832" w:rsidRDefault="00486832" w:rsidP="005E1BE3">
            <w:pPr>
              <w:pStyle w:val="Tabletext"/>
              <w:jc w:val="center"/>
            </w:pPr>
            <w:r w:rsidRPr="003F73A7">
              <w:t xml:space="preserve"> $2,123,681 </w:t>
            </w:r>
          </w:p>
        </w:tc>
        <w:tc>
          <w:tcPr>
            <w:tcW w:w="1212" w:type="dxa"/>
          </w:tcPr>
          <w:p w14:paraId="63DFCD44" w14:textId="77777777" w:rsidR="00486832" w:rsidRDefault="00486832" w:rsidP="005E1BE3">
            <w:pPr>
              <w:pStyle w:val="Tabletext"/>
              <w:jc w:val="center"/>
            </w:pPr>
            <w:r w:rsidRPr="003F73A7">
              <w:t xml:space="preserve"> $2,153,877 </w:t>
            </w:r>
          </w:p>
        </w:tc>
        <w:tc>
          <w:tcPr>
            <w:tcW w:w="1212" w:type="dxa"/>
          </w:tcPr>
          <w:p w14:paraId="1BD28BDD" w14:textId="77777777" w:rsidR="00486832" w:rsidRDefault="00486832" w:rsidP="005E1BE3">
            <w:pPr>
              <w:pStyle w:val="Tabletext"/>
              <w:jc w:val="center"/>
            </w:pPr>
            <w:r w:rsidRPr="003F73A7">
              <w:t xml:space="preserve"> $1,692,518 </w:t>
            </w:r>
          </w:p>
        </w:tc>
        <w:tc>
          <w:tcPr>
            <w:tcW w:w="1213" w:type="dxa"/>
          </w:tcPr>
          <w:p w14:paraId="774C4ECF" w14:textId="77777777" w:rsidR="00486832" w:rsidRDefault="00486832" w:rsidP="005E1BE3">
            <w:pPr>
              <w:pStyle w:val="Tabletext"/>
              <w:jc w:val="center"/>
            </w:pPr>
            <w:r w:rsidRPr="003F73A7">
              <w:t xml:space="preserve"> $1,723,238 </w:t>
            </w:r>
          </w:p>
        </w:tc>
      </w:tr>
      <w:tr w:rsidR="00486832" w14:paraId="1089C052" w14:textId="77777777" w:rsidTr="005E1BE3">
        <w:tc>
          <w:tcPr>
            <w:tcW w:w="2957" w:type="dxa"/>
          </w:tcPr>
          <w:p w14:paraId="35B62BD3" w14:textId="77777777" w:rsidR="00486832" w:rsidRDefault="00486832" w:rsidP="005E1BE3">
            <w:pPr>
              <w:pStyle w:val="Tabletext"/>
            </w:pPr>
            <w:r w:rsidRPr="00D900E0">
              <w:t>MBS rebate (85%)</w:t>
            </w:r>
          </w:p>
        </w:tc>
        <w:tc>
          <w:tcPr>
            <w:tcW w:w="1211" w:type="dxa"/>
          </w:tcPr>
          <w:p w14:paraId="28BC0223" w14:textId="77777777" w:rsidR="00486832" w:rsidRDefault="00486832" w:rsidP="005E1BE3">
            <w:pPr>
              <w:pStyle w:val="Tabletext"/>
              <w:jc w:val="center"/>
            </w:pPr>
            <w:r w:rsidRPr="003F73A7">
              <w:t xml:space="preserve"> $1,779,760 </w:t>
            </w:r>
          </w:p>
        </w:tc>
        <w:tc>
          <w:tcPr>
            <w:tcW w:w="1211" w:type="dxa"/>
          </w:tcPr>
          <w:p w14:paraId="4FAAD34D" w14:textId="77777777" w:rsidR="00486832" w:rsidRDefault="00486832" w:rsidP="005E1BE3">
            <w:pPr>
              <w:pStyle w:val="Tabletext"/>
              <w:jc w:val="center"/>
            </w:pPr>
            <w:r w:rsidRPr="003F73A7">
              <w:t xml:space="preserve"> $1,805,129 </w:t>
            </w:r>
          </w:p>
        </w:tc>
        <w:tc>
          <w:tcPr>
            <w:tcW w:w="1212" w:type="dxa"/>
          </w:tcPr>
          <w:p w14:paraId="677921F6" w14:textId="77777777" w:rsidR="00486832" w:rsidRDefault="00486832" w:rsidP="005E1BE3">
            <w:pPr>
              <w:pStyle w:val="Tabletext"/>
              <w:jc w:val="center"/>
            </w:pPr>
            <w:r w:rsidRPr="003F73A7">
              <w:t xml:space="preserve"> $1,830,796 </w:t>
            </w:r>
          </w:p>
        </w:tc>
        <w:tc>
          <w:tcPr>
            <w:tcW w:w="1212" w:type="dxa"/>
          </w:tcPr>
          <w:p w14:paraId="2D18D746" w14:textId="77777777" w:rsidR="00486832" w:rsidRDefault="00486832" w:rsidP="005E1BE3">
            <w:pPr>
              <w:pStyle w:val="Tabletext"/>
              <w:jc w:val="center"/>
            </w:pPr>
            <w:r w:rsidRPr="003F73A7">
              <w:t xml:space="preserve"> $1,438,640 </w:t>
            </w:r>
          </w:p>
        </w:tc>
        <w:tc>
          <w:tcPr>
            <w:tcW w:w="1213" w:type="dxa"/>
          </w:tcPr>
          <w:p w14:paraId="2D076A67" w14:textId="77777777" w:rsidR="00486832" w:rsidRDefault="00486832" w:rsidP="005E1BE3">
            <w:pPr>
              <w:pStyle w:val="Tabletext"/>
              <w:jc w:val="center"/>
            </w:pPr>
            <w:r w:rsidRPr="003F73A7">
              <w:t xml:space="preserve"> $1,464,752 </w:t>
            </w:r>
          </w:p>
        </w:tc>
      </w:tr>
      <w:tr w:rsidR="00486832" w14:paraId="1F06B00D" w14:textId="77777777" w:rsidTr="005E1BE3">
        <w:tc>
          <w:tcPr>
            <w:tcW w:w="2957" w:type="dxa"/>
          </w:tcPr>
          <w:p w14:paraId="0FA3C789" w14:textId="77777777" w:rsidR="00486832" w:rsidRDefault="00486832" w:rsidP="005E1BE3">
            <w:pPr>
              <w:pStyle w:val="Tabletext"/>
            </w:pPr>
            <w:r w:rsidRPr="00D900E0">
              <w:t>Patient contributions</w:t>
            </w:r>
          </w:p>
        </w:tc>
        <w:tc>
          <w:tcPr>
            <w:tcW w:w="1211" w:type="dxa"/>
          </w:tcPr>
          <w:p w14:paraId="192A79A9" w14:textId="77777777" w:rsidR="00486832" w:rsidRDefault="00486832" w:rsidP="005E1BE3">
            <w:pPr>
              <w:pStyle w:val="Tabletext"/>
              <w:jc w:val="center"/>
            </w:pPr>
            <w:r w:rsidRPr="003F73A7">
              <w:t xml:space="preserve"> $314,075 </w:t>
            </w:r>
          </w:p>
        </w:tc>
        <w:tc>
          <w:tcPr>
            <w:tcW w:w="1211" w:type="dxa"/>
          </w:tcPr>
          <w:p w14:paraId="0D8A064A" w14:textId="77777777" w:rsidR="00486832" w:rsidRDefault="00486832" w:rsidP="005E1BE3">
            <w:pPr>
              <w:pStyle w:val="Tabletext"/>
              <w:jc w:val="center"/>
            </w:pPr>
            <w:r w:rsidRPr="003F73A7">
              <w:t xml:space="preserve"> $318,552 </w:t>
            </w:r>
          </w:p>
        </w:tc>
        <w:tc>
          <w:tcPr>
            <w:tcW w:w="1212" w:type="dxa"/>
          </w:tcPr>
          <w:p w14:paraId="031FF9B6" w14:textId="77777777" w:rsidR="00486832" w:rsidRDefault="00486832" w:rsidP="005E1BE3">
            <w:pPr>
              <w:pStyle w:val="Tabletext"/>
              <w:jc w:val="center"/>
            </w:pPr>
            <w:r w:rsidRPr="003F73A7">
              <w:t xml:space="preserve"> $323,082 </w:t>
            </w:r>
          </w:p>
        </w:tc>
        <w:tc>
          <w:tcPr>
            <w:tcW w:w="1212" w:type="dxa"/>
          </w:tcPr>
          <w:p w14:paraId="7CBB70C3" w14:textId="77777777" w:rsidR="00486832" w:rsidRDefault="00486832" w:rsidP="005E1BE3">
            <w:pPr>
              <w:pStyle w:val="Tabletext"/>
              <w:jc w:val="center"/>
            </w:pPr>
            <w:r w:rsidRPr="003F73A7">
              <w:t xml:space="preserve"> $253,878 </w:t>
            </w:r>
          </w:p>
        </w:tc>
        <w:tc>
          <w:tcPr>
            <w:tcW w:w="1213" w:type="dxa"/>
          </w:tcPr>
          <w:p w14:paraId="3DE1EB25" w14:textId="77777777" w:rsidR="00486832" w:rsidRDefault="00486832" w:rsidP="005E1BE3">
            <w:pPr>
              <w:pStyle w:val="Tabletext"/>
              <w:jc w:val="center"/>
            </w:pPr>
            <w:r w:rsidRPr="003F73A7">
              <w:t xml:space="preserve"> $258,486 </w:t>
            </w:r>
          </w:p>
        </w:tc>
      </w:tr>
    </w:tbl>
    <w:p w14:paraId="5E9CB2BF" w14:textId="77777777" w:rsidR="00083868" w:rsidRDefault="00083868">
      <w:pPr>
        <w:rPr>
          <w:rFonts w:ascii="Arial" w:hAnsi="Arial"/>
          <w:b/>
          <w:bCs/>
          <w:szCs w:val="28"/>
        </w:rPr>
      </w:pPr>
      <w:r>
        <w:br w:type="page"/>
      </w:r>
    </w:p>
    <w:p w14:paraId="3C8222ED" w14:textId="77777777" w:rsidR="006A0D97" w:rsidRPr="00F715D1" w:rsidRDefault="006A0D97" w:rsidP="00F715D1">
      <w:pPr>
        <w:pStyle w:val="Heading1"/>
      </w:pPr>
      <w:r w:rsidRPr="00F715D1">
        <w:lastRenderedPageBreak/>
        <w:t>Key issues from ESC for MSAC</w:t>
      </w:r>
    </w:p>
    <w:p w14:paraId="6782BA42" w14:textId="77777777" w:rsidR="00B11E47" w:rsidRPr="003B03E0" w:rsidRDefault="00B11E47" w:rsidP="00B11E47">
      <w:pPr>
        <w:tabs>
          <w:tab w:val="left" w:pos="2265"/>
          <w:tab w:val="left" w:pos="3420"/>
          <w:tab w:val="left" w:pos="4320"/>
        </w:tabs>
        <w:rPr>
          <w:b/>
          <w:szCs w:val="24"/>
        </w:rPr>
      </w:pPr>
      <w:r w:rsidRPr="003B03E0">
        <w:rPr>
          <w:b/>
          <w:szCs w:val="24"/>
        </w:rPr>
        <w:t xml:space="preserve">Key </w:t>
      </w:r>
      <w:r w:rsidR="00F15624">
        <w:rPr>
          <w:b/>
          <w:szCs w:val="24"/>
        </w:rPr>
        <w:t>i</w:t>
      </w:r>
      <w:r w:rsidRPr="003B03E0">
        <w:rPr>
          <w:b/>
          <w:szCs w:val="24"/>
        </w:rPr>
        <w:t>ssues from ESC to MSAC</w:t>
      </w:r>
    </w:p>
    <w:tbl>
      <w:tblPr>
        <w:tblW w:w="9024" w:type="dxa"/>
        <w:tblBorders>
          <w:top w:val="single" w:sz="8" w:space="0" w:color="FFFFFF"/>
          <w:left w:val="single" w:sz="8" w:space="0" w:color="FFFFFF"/>
          <w:bottom w:val="single" w:sz="8" w:space="0" w:color="FFFFFF"/>
          <w:right w:val="single" w:sz="8" w:space="0" w:color="FFFFFF"/>
          <w:insideH w:val="single" w:sz="24" w:space="0" w:color="FFFFFF"/>
          <w:insideV w:val="single" w:sz="8" w:space="0" w:color="FFFFFF"/>
        </w:tblBorders>
        <w:tblCellMar>
          <w:left w:w="0" w:type="dxa"/>
          <w:right w:w="0" w:type="dxa"/>
        </w:tblCellMar>
        <w:tblLook w:val="04A0" w:firstRow="1" w:lastRow="0" w:firstColumn="1" w:lastColumn="0" w:noHBand="0" w:noVBand="1"/>
      </w:tblPr>
      <w:tblGrid>
        <w:gridCol w:w="3637"/>
        <w:gridCol w:w="5387"/>
      </w:tblGrid>
      <w:tr w:rsidR="00B11E47" w:rsidRPr="00A769D5" w14:paraId="3C7C0993" w14:textId="77777777" w:rsidTr="000569BD">
        <w:trPr>
          <w:trHeight w:val="610"/>
        </w:trPr>
        <w:tc>
          <w:tcPr>
            <w:tcW w:w="3637" w:type="dxa"/>
            <w:shd w:val="clear" w:color="auto" w:fill="95B3D7" w:themeFill="accent1" w:themeFillTint="99"/>
            <w:tcMar>
              <w:top w:w="15" w:type="dxa"/>
              <w:left w:w="93" w:type="dxa"/>
              <w:bottom w:w="0" w:type="dxa"/>
              <w:right w:w="93" w:type="dxa"/>
            </w:tcMar>
            <w:vAlign w:val="center"/>
            <w:hideMark/>
          </w:tcPr>
          <w:p w14:paraId="1D305FDA" w14:textId="77777777" w:rsidR="00B11E47" w:rsidRPr="00A769D5" w:rsidRDefault="00B11E47" w:rsidP="000569BD">
            <w:pPr>
              <w:rPr>
                <w:szCs w:val="24"/>
              </w:rPr>
            </w:pPr>
            <w:r w:rsidRPr="00A769D5">
              <w:rPr>
                <w:b/>
                <w:bCs/>
                <w:szCs w:val="24"/>
              </w:rPr>
              <w:t>ESC K</w:t>
            </w:r>
            <w:r w:rsidR="000569BD">
              <w:rPr>
                <w:b/>
                <w:bCs/>
                <w:szCs w:val="24"/>
              </w:rPr>
              <w:t>EY</w:t>
            </w:r>
            <w:r w:rsidRPr="00A769D5">
              <w:rPr>
                <w:b/>
                <w:bCs/>
                <w:szCs w:val="24"/>
              </w:rPr>
              <w:t xml:space="preserve"> ISSUES</w:t>
            </w:r>
          </w:p>
        </w:tc>
        <w:tc>
          <w:tcPr>
            <w:tcW w:w="5387" w:type="dxa"/>
            <w:shd w:val="clear" w:color="auto" w:fill="95B3D7" w:themeFill="accent1" w:themeFillTint="99"/>
            <w:tcMar>
              <w:top w:w="15" w:type="dxa"/>
              <w:left w:w="93" w:type="dxa"/>
              <w:bottom w:w="0" w:type="dxa"/>
              <w:right w:w="93" w:type="dxa"/>
            </w:tcMar>
            <w:vAlign w:val="center"/>
            <w:hideMark/>
          </w:tcPr>
          <w:p w14:paraId="63D9FAEC" w14:textId="77777777" w:rsidR="00B11E47" w:rsidRPr="00A769D5" w:rsidRDefault="00B11E47" w:rsidP="00664DB5">
            <w:pPr>
              <w:rPr>
                <w:szCs w:val="24"/>
              </w:rPr>
            </w:pPr>
            <w:r w:rsidRPr="00A769D5">
              <w:rPr>
                <w:b/>
                <w:bCs/>
                <w:szCs w:val="24"/>
              </w:rPr>
              <w:t>ESC ADVICE</w:t>
            </w:r>
          </w:p>
        </w:tc>
      </w:tr>
      <w:tr w:rsidR="00B11E47" w:rsidRPr="003B03E0" w14:paraId="343D438C" w14:textId="77777777" w:rsidTr="000569BD">
        <w:trPr>
          <w:trHeight w:val="607"/>
        </w:trPr>
        <w:tc>
          <w:tcPr>
            <w:tcW w:w="3637" w:type="dxa"/>
            <w:shd w:val="clear" w:color="auto" w:fill="95B3D7" w:themeFill="accent1" w:themeFillTint="99"/>
            <w:tcMar>
              <w:top w:w="15" w:type="dxa"/>
              <w:left w:w="93" w:type="dxa"/>
              <w:bottom w:w="0" w:type="dxa"/>
              <w:right w:w="93" w:type="dxa"/>
            </w:tcMar>
            <w:vAlign w:val="center"/>
          </w:tcPr>
          <w:p w14:paraId="7D881E12" w14:textId="77777777" w:rsidR="00B11E47" w:rsidRPr="003B03E0" w:rsidRDefault="00B11E47" w:rsidP="000569BD">
            <w:pPr>
              <w:rPr>
                <w:bCs/>
                <w:szCs w:val="24"/>
              </w:rPr>
            </w:pPr>
            <w:r w:rsidRPr="003B03E0">
              <w:rPr>
                <w:bCs/>
                <w:kern w:val="24"/>
                <w:szCs w:val="24"/>
              </w:rPr>
              <w:t>Large n</w:t>
            </w:r>
            <w:r w:rsidR="000569BD">
              <w:rPr>
                <w:bCs/>
                <w:kern w:val="24"/>
                <w:szCs w:val="24"/>
              </w:rPr>
              <w:t>umber</w:t>
            </w:r>
            <w:r w:rsidRPr="003B03E0">
              <w:rPr>
                <w:bCs/>
                <w:kern w:val="24"/>
                <w:szCs w:val="24"/>
              </w:rPr>
              <w:t xml:space="preserve"> of disorders, emerging data</w:t>
            </w:r>
          </w:p>
        </w:tc>
        <w:tc>
          <w:tcPr>
            <w:tcW w:w="5387" w:type="dxa"/>
            <w:shd w:val="clear" w:color="auto" w:fill="B8CCE4" w:themeFill="accent1" w:themeFillTint="66"/>
            <w:tcMar>
              <w:top w:w="15" w:type="dxa"/>
              <w:left w:w="93" w:type="dxa"/>
              <w:bottom w:w="0" w:type="dxa"/>
              <w:right w:w="93" w:type="dxa"/>
            </w:tcMar>
            <w:vAlign w:val="center"/>
          </w:tcPr>
          <w:p w14:paraId="69F6984A" w14:textId="77777777" w:rsidR="00B11E47" w:rsidRPr="003B03E0" w:rsidRDefault="00B11E47" w:rsidP="000569BD">
            <w:pPr>
              <w:rPr>
                <w:bCs/>
                <w:szCs w:val="24"/>
              </w:rPr>
            </w:pPr>
            <w:r w:rsidRPr="003B03E0">
              <w:rPr>
                <w:kern w:val="24"/>
                <w:szCs w:val="24"/>
              </w:rPr>
              <w:t xml:space="preserve">Note breadth of diseases </w:t>
            </w:r>
            <w:r>
              <w:rPr>
                <w:kern w:val="24"/>
                <w:szCs w:val="24"/>
              </w:rPr>
              <w:t>categorised together for this</w:t>
            </w:r>
            <w:r w:rsidRPr="003B03E0">
              <w:rPr>
                <w:kern w:val="24"/>
                <w:szCs w:val="24"/>
              </w:rPr>
              <w:t xml:space="preserve"> HTA consideration</w:t>
            </w:r>
          </w:p>
        </w:tc>
      </w:tr>
      <w:tr w:rsidR="00B11E47" w:rsidRPr="003B03E0" w14:paraId="7C62B7CD" w14:textId="77777777" w:rsidTr="000569BD">
        <w:trPr>
          <w:trHeight w:val="607"/>
        </w:trPr>
        <w:tc>
          <w:tcPr>
            <w:tcW w:w="3637" w:type="dxa"/>
            <w:shd w:val="clear" w:color="auto" w:fill="95B3D7" w:themeFill="accent1" w:themeFillTint="99"/>
            <w:tcMar>
              <w:top w:w="15" w:type="dxa"/>
              <w:left w:w="93" w:type="dxa"/>
              <w:bottom w:w="0" w:type="dxa"/>
              <w:right w:w="93" w:type="dxa"/>
            </w:tcMar>
          </w:tcPr>
          <w:p w14:paraId="2D552495" w14:textId="77777777" w:rsidR="00B11E47" w:rsidRPr="003B03E0" w:rsidRDefault="00B11E47" w:rsidP="00664DB5">
            <w:pPr>
              <w:rPr>
                <w:szCs w:val="24"/>
              </w:rPr>
            </w:pPr>
            <w:r w:rsidRPr="003B03E0">
              <w:rPr>
                <w:bCs/>
                <w:kern w:val="24"/>
                <w:szCs w:val="24"/>
              </w:rPr>
              <w:t xml:space="preserve">Australian data </w:t>
            </w:r>
            <w:r>
              <w:rPr>
                <w:bCs/>
                <w:kern w:val="24"/>
                <w:szCs w:val="24"/>
              </w:rPr>
              <w:t>with</w:t>
            </w:r>
            <w:r w:rsidRPr="003B03E0">
              <w:rPr>
                <w:bCs/>
                <w:kern w:val="24"/>
                <w:szCs w:val="24"/>
              </w:rPr>
              <w:t xml:space="preserve"> 1 centre/study</w:t>
            </w:r>
          </w:p>
        </w:tc>
        <w:tc>
          <w:tcPr>
            <w:tcW w:w="5387" w:type="dxa"/>
            <w:shd w:val="clear" w:color="auto" w:fill="B8CCE4" w:themeFill="accent1" w:themeFillTint="66"/>
            <w:tcMar>
              <w:top w:w="15" w:type="dxa"/>
              <w:left w:w="93" w:type="dxa"/>
              <w:bottom w:w="0" w:type="dxa"/>
              <w:right w:w="93" w:type="dxa"/>
            </w:tcMar>
          </w:tcPr>
          <w:p w14:paraId="36692FFC" w14:textId="77777777" w:rsidR="00B11E47" w:rsidRPr="003B03E0" w:rsidRDefault="00B11E47" w:rsidP="000569BD">
            <w:pPr>
              <w:rPr>
                <w:szCs w:val="24"/>
              </w:rPr>
            </w:pPr>
            <w:r w:rsidRPr="00C32AE9">
              <w:rPr>
                <w:kern w:val="24"/>
                <w:szCs w:val="24"/>
              </w:rPr>
              <w:t>Consider the applicability of Australian data that comes from only one study/centre</w:t>
            </w:r>
          </w:p>
        </w:tc>
      </w:tr>
      <w:tr w:rsidR="00B11E47" w:rsidRPr="003B03E0" w14:paraId="663AB7D0" w14:textId="77777777" w:rsidTr="000569BD">
        <w:trPr>
          <w:trHeight w:val="607"/>
        </w:trPr>
        <w:tc>
          <w:tcPr>
            <w:tcW w:w="3637" w:type="dxa"/>
            <w:shd w:val="clear" w:color="auto" w:fill="95B3D7" w:themeFill="accent1" w:themeFillTint="99"/>
            <w:tcMar>
              <w:top w:w="15" w:type="dxa"/>
              <w:left w:w="93" w:type="dxa"/>
              <w:bottom w:w="0" w:type="dxa"/>
              <w:right w:w="93" w:type="dxa"/>
            </w:tcMar>
          </w:tcPr>
          <w:p w14:paraId="72322AD5" w14:textId="77777777" w:rsidR="00B11E47" w:rsidRPr="003B03E0" w:rsidRDefault="00B11E47" w:rsidP="00664DB5">
            <w:pPr>
              <w:rPr>
                <w:bCs/>
                <w:kern w:val="24"/>
                <w:szCs w:val="24"/>
              </w:rPr>
            </w:pPr>
            <w:r w:rsidRPr="003B03E0">
              <w:rPr>
                <w:bCs/>
                <w:kern w:val="24"/>
                <w:szCs w:val="24"/>
                <w:lang w:val="en-US"/>
              </w:rPr>
              <w:t>Strength of evidence</w:t>
            </w:r>
          </w:p>
        </w:tc>
        <w:tc>
          <w:tcPr>
            <w:tcW w:w="5387" w:type="dxa"/>
            <w:shd w:val="clear" w:color="auto" w:fill="B8CCE4" w:themeFill="accent1" w:themeFillTint="66"/>
            <w:tcMar>
              <w:top w:w="15" w:type="dxa"/>
              <w:left w:w="93" w:type="dxa"/>
              <w:bottom w:w="0" w:type="dxa"/>
              <w:right w:w="93" w:type="dxa"/>
            </w:tcMar>
          </w:tcPr>
          <w:p w14:paraId="09A214DC" w14:textId="77777777" w:rsidR="00B11E47" w:rsidRPr="003B03E0" w:rsidRDefault="00B11E47" w:rsidP="00664DB5">
            <w:pPr>
              <w:pStyle w:val="Bullet"/>
              <w:numPr>
                <w:ilvl w:val="0"/>
                <w:numId w:val="0"/>
              </w:numPr>
              <w:rPr>
                <w:color w:val="auto"/>
                <w:sz w:val="24"/>
                <w:szCs w:val="24"/>
              </w:rPr>
            </w:pPr>
            <w:r w:rsidRPr="003B03E0">
              <w:rPr>
                <w:bCs/>
                <w:color w:val="auto"/>
                <w:kern w:val="24"/>
                <w:sz w:val="24"/>
                <w:szCs w:val="24"/>
              </w:rPr>
              <w:t>C</w:t>
            </w:r>
            <w:r w:rsidRPr="003B03E0">
              <w:rPr>
                <w:color w:val="auto"/>
                <w:sz w:val="24"/>
                <w:szCs w:val="24"/>
                <w:lang w:val="en-US"/>
              </w:rPr>
              <w:t>consider whether the evidence base is robust enough to support a clinical claim of superiority – data</w:t>
            </w:r>
            <w:r w:rsidRPr="003B03E0">
              <w:rPr>
                <w:color w:val="auto"/>
                <w:sz w:val="24"/>
                <w:szCs w:val="24"/>
              </w:rPr>
              <w:t xml:space="preserve"> rest</w:t>
            </w:r>
            <w:r>
              <w:rPr>
                <w:color w:val="auto"/>
                <w:sz w:val="24"/>
                <w:szCs w:val="24"/>
              </w:rPr>
              <w:t>s</w:t>
            </w:r>
            <w:r w:rsidRPr="003B03E0">
              <w:rPr>
                <w:color w:val="auto"/>
                <w:sz w:val="24"/>
                <w:szCs w:val="24"/>
              </w:rPr>
              <w:t xml:space="preserve"> on one prospective clinical study with small sample sizes and treatment in parallel</w:t>
            </w:r>
          </w:p>
          <w:p w14:paraId="2A06E98E" w14:textId="77777777" w:rsidR="00B11E47" w:rsidRPr="003B03E0" w:rsidRDefault="00B11E47" w:rsidP="000569BD">
            <w:pPr>
              <w:rPr>
                <w:szCs w:val="24"/>
              </w:rPr>
            </w:pPr>
            <w:r w:rsidRPr="003B03E0">
              <w:rPr>
                <w:szCs w:val="24"/>
              </w:rPr>
              <w:t xml:space="preserve">Consider including the cap of 2 reanalyses in the MBS </w:t>
            </w:r>
            <w:r w:rsidR="000569BD">
              <w:rPr>
                <w:szCs w:val="24"/>
              </w:rPr>
              <w:t>i</w:t>
            </w:r>
            <w:r w:rsidRPr="003B03E0">
              <w:rPr>
                <w:szCs w:val="24"/>
              </w:rPr>
              <w:t xml:space="preserve">tem </w:t>
            </w:r>
            <w:r w:rsidR="000569BD">
              <w:rPr>
                <w:szCs w:val="24"/>
              </w:rPr>
              <w:t>d</w:t>
            </w:r>
            <w:r w:rsidRPr="003B03E0">
              <w:rPr>
                <w:szCs w:val="24"/>
              </w:rPr>
              <w:t>escriptor – costs will be higher if there is no cap</w:t>
            </w:r>
          </w:p>
        </w:tc>
      </w:tr>
      <w:tr w:rsidR="00B11E47" w:rsidRPr="003B03E0" w14:paraId="6BC7DB79" w14:textId="77777777" w:rsidTr="000569BD">
        <w:trPr>
          <w:trHeight w:val="1865"/>
        </w:trPr>
        <w:tc>
          <w:tcPr>
            <w:tcW w:w="3637" w:type="dxa"/>
            <w:shd w:val="clear" w:color="auto" w:fill="95B3D7" w:themeFill="accent1" w:themeFillTint="99"/>
            <w:tcMar>
              <w:top w:w="15" w:type="dxa"/>
              <w:left w:w="93" w:type="dxa"/>
              <w:bottom w:w="0" w:type="dxa"/>
              <w:right w:w="93" w:type="dxa"/>
            </w:tcMar>
          </w:tcPr>
          <w:p w14:paraId="75AA8E7C" w14:textId="77777777" w:rsidR="00B11E47" w:rsidRPr="003B03E0" w:rsidRDefault="00B11E47" w:rsidP="000569BD">
            <w:pPr>
              <w:rPr>
                <w:bCs/>
                <w:szCs w:val="24"/>
              </w:rPr>
            </w:pPr>
            <w:r w:rsidRPr="003B03E0">
              <w:rPr>
                <w:bCs/>
                <w:szCs w:val="24"/>
              </w:rPr>
              <w:t xml:space="preserve">MBS </w:t>
            </w:r>
            <w:r w:rsidR="000569BD">
              <w:rPr>
                <w:bCs/>
                <w:szCs w:val="24"/>
              </w:rPr>
              <w:t>listing</w:t>
            </w:r>
          </w:p>
        </w:tc>
        <w:tc>
          <w:tcPr>
            <w:tcW w:w="5387" w:type="dxa"/>
            <w:shd w:val="clear" w:color="auto" w:fill="B8CCE4" w:themeFill="accent1" w:themeFillTint="66"/>
            <w:tcMar>
              <w:top w:w="15" w:type="dxa"/>
              <w:left w:w="93" w:type="dxa"/>
              <w:bottom w:w="0" w:type="dxa"/>
              <w:right w:w="93" w:type="dxa"/>
            </w:tcMar>
            <w:vAlign w:val="center"/>
          </w:tcPr>
          <w:p w14:paraId="2B2928C7" w14:textId="77777777" w:rsidR="00B11E47" w:rsidRPr="003B03E0" w:rsidRDefault="00B11E47" w:rsidP="00664DB5">
            <w:pPr>
              <w:pStyle w:val="Bullet"/>
              <w:numPr>
                <w:ilvl w:val="0"/>
                <w:numId w:val="0"/>
              </w:numPr>
              <w:rPr>
                <w:color w:val="auto"/>
                <w:sz w:val="24"/>
                <w:szCs w:val="24"/>
              </w:rPr>
            </w:pPr>
            <w:r w:rsidRPr="003B03E0">
              <w:rPr>
                <w:color w:val="auto"/>
                <w:sz w:val="24"/>
                <w:szCs w:val="24"/>
              </w:rPr>
              <w:t>Consider whether MBS listing would lead to leakage (lower threshold for testing, more children being tested), which would increase costs</w:t>
            </w:r>
          </w:p>
          <w:p w14:paraId="650E2C56" w14:textId="77777777" w:rsidR="00B11E47" w:rsidRPr="003B03E0" w:rsidRDefault="00B11E47" w:rsidP="000569BD">
            <w:pPr>
              <w:pStyle w:val="BulletLast"/>
              <w:numPr>
                <w:ilvl w:val="0"/>
                <w:numId w:val="0"/>
              </w:numPr>
              <w:spacing w:after="0"/>
              <w:rPr>
                <w:color w:val="auto"/>
                <w:sz w:val="24"/>
                <w:szCs w:val="24"/>
              </w:rPr>
            </w:pPr>
            <w:r w:rsidRPr="003B03E0">
              <w:rPr>
                <w:color w:val="auto"/>
                <w:sz w:val="24"/>
                <w:szCs w:val="24"/>
              </w:rPr>
              <w:t xml:space="preserve">Consider whether MBS listing would lead to increased capacity for testing, which </w:t>
            </w:r>
            <w:r w:rsidR="000569BD">
              <w:rPr>
                <w:color w:val="auto"/>
                <w:sz w:val="24"/>
                <w:szCs w:val="24"/>
              </w:rPr>
              <w:t>would increase costs</w:t>
            </w:r>
          </w:p>
        </w:tc>
      </w:tr>
      <w:tr w:rsidR="00B11E47" w:rsidRPr="003B03E0" w14:paraId="7E6E54C8" w14:textId="77777777" w:rsidTr="000569BD">
        <w:trPr>
          <w:trHeight w:val="534"/>
        </w:trPr>
        <w:tc>
          <w:tcPr>
            <w:tcW w:w="3637" w:type="dxa"/>
            <w:shd w:val="clear" w:color="auto" w:fill="95B3D7" w:themeFill="accent1" w:themeFillTint="99"/>
            <w:tcMar>
              <w:top w:w="15" w:type="dxa"/>
              <w:left w:w="93" w:type="dxa"/>
              <w:bottom w:w="0" w:type="dxa"/>
              <w:right w:w="93" w:type="dxa"/>
            </w:tcMar>
            <w:hideMark/>
          </w:tcPr>
          <w:p w14:paraId="6D3B90F0" w14:textId="77777777" w:rsidR="00B11E47" w:rsidRPr="003B03E0" w:rsidRDefault="00B11E47" w:rsidP="00664DB5">
            <w:pPr>
              <w:rPr>
                <w:szCs w:val="24"/>
              </w:rPr>
            </w:pPr>
            <w:r>
              <w:rPr>
                <w:bCs/>
                <w:szCs w:val="24"/>
              </w:rPr>
              <w:t>Note i</w:t>
            </w:r>
            <w:r w:rsidRPr="003B03E0">
              <w:rPr>
                <w:bCs/>
                <w:szCs w:val="24"/>
              </w:rPr>
              <w:t>ssues raised by PGTWG</w:t>
            </w:r>
          </w:p>
        </w:tc>
        <w:tc>
          <w:tcPr>
            <w:tcW w:w="5387" w:type="dxa"/>
            <w:shd w:val="clear" w:color="auto" w:fill="B8CCE4" w:themeFill="accent1" w:themeFillTint="66"/>
            <w:tcMar>
              <w:top w:w="15" w:type="dxa"/>
              <w:left w:w="93" w:type="dxa"/>
              <w:bottom w:w="0" w:type="dxa"/>
              <w:right w:w="93" w:type="dxa"/>
            </w:tcMar>
            <w:hideMark/>
          </w:tcPr>
          <w:p w14:paraId="21343B41" w14:textId="77777777" w:rsidR="00B11E47" w:rsidRPr="00712560" w:rsidRDefault="00B11E47" w:rsidP="00B11E47">
            <w:pPr>
              <w:pStyle w:val="ListParagraph"/>
              <w:numPr>
                <w:ilvl w:val="0"/>
                <w:numId w:val="28"/>
              </w:numPr>
              <w:rPr>
                <w:szCs w:val="24"/>
              </w:rPr>
            </w:pPr>
            <w:r w:rsidRPr="00A769D5">
              <w:rPr>
                <w:kern w:val="24"/>
                <w:szCs w:val="24"/>
              </w:rPr>
              <w:t xml:space="preserve">Clinical </w:t>
            </w:r>
            <w:r w:rsidR="000569BD">
              <w:rPr>
                <w:kern w:val="24"/>
                <w:szCs w:val="24"/>
              </w:rPr>
              <w:t>u</w:t>
            </w:r>
            <w:r w:rsidRPr="00A769D5">
              <w:rPr>
                <w:kern w:val="24"/>
                <w:szCs w:val="24"/>
              </w:rPr>
              <w:t>tility</w:t>
            </w:r>
          </w:p>
          <w:p w14:paraId="6BD1EE06" w14:textId="77777777" w:rsidR="00B11E47" w:rsidRPr="00712560" w:rsidRDefault="000569BD" w:rsidP="00B11E47">
            <w:pPr>
              <w:pStyle w:val="ListParagraph"/>
              <w:numPr>
                <w:ilvl w:val="0"/>
                <w:numId w:val="28"/>
              </w:numPr>
              <w:rPr>
                <w:szCs w:val="24"/>
              </w:rPr>
            </w:pPr>
            <w:r>
              <w:rPr>
                <w:kern w:val="24"/>
                <w:szCs w:val="24"/>
              </w:rPr>
              <w:t>Prior test = microarray triage</w:t>
            </w:r>
          </w:p>
          <w:p w14:paraId="6FA54BF8" w14:textId="77777777" w:rsidR="00B11E47" w:rsidRPr="00712560" w:rsidRDefault="000569BD" w:rsidP="00B11E47">
            <w:pPr>
              <w:pStyle w:val="ListParagraph"/>
              <w:numPr>
                <w:ilvl w:val="0"/>
                <w:numId w:val="28"/>
              </w:numPr>
              <w:rPr>
                <w:szCs w:val="24"/>
              </w:rPr>
            </w:pPr>
            <w:r>
              <w:rPr>
                <w:kern w:val="24"/>
                <w:szCs w:val="24"/>
              </w:rPr>
              <w:t>Analytical validity</w:t>
            </w:r>
          </w:p>
          <w:p w14:paraId="33606999" w14:textId="77777777" w:rsidR="00B11E47" w:rsidRPr="00712560" w:rsidRDefault="00B11E47" w:rsidP="00B11E47">
            <w:pPr>
              <w:pStyle w:val="ListParagraph"/>
              <w:numPr>
                <w:ilvl w:val="0"/>
                <w:numId w:val="28"/>
              </w:numPr>
              <w:rPr>
                <w:szCs w:val="24"/>
              </w:rPr>
            </w:pPr>
            <w:r w:rsidRPr="00A769D5">
              <w:rPr>
                <w:kern w:val="24"/>
                <w:szCs w:val="24"/>
              </w:rPr>
              <w:t>Re-analysis</w:t>
            </w:r>
          </w:p>
          <w:p w14:paraId="14BFD9D8" w14:textId="77777777" w:rsidR="00B11E47" w:rsidRPr="00712560" w:rsidRDefault="000569BD" w:rsidP="00B11E47">
            <w:pPr>
              <w:pStyle w:val="ListParagraph"/>
              <w:numPr>
                <w:ilvl w:val="0"/>
                <w:numId w:val="28"/>
              </w:numPr>
              <w:rPr>
                <w:szCs w:val="24"/>
              </w:rPr>
            </w:pPr>
            <w:r>
              <w:rPr>
                <w:kern w:val="24"/>
                <w:szCs w:val="24"/>
              </w:rPr>
              <w:t>Capacity</w:t>
            </w:r>
          </w:p>
          <w:p w14:paraId="1F14DCFB" w14:textId="77777777" w:rsidR="00B11E47" w:rsidRPr="00712560" w:rsidRDefault="00B11E47" w:rsidP="00B11E47">
            <w:pPr>
              <w:pStyle w:val="ListParagraph"/>
              <w:numPr>
                <w:ilvl w:val="0"/>
                <w:numId w:val="28"/>
              </w:numPr>
              <w:rPr>
                <w:szCs w:val="24"/>
              </w:rPr>
            </w:pPr>
            <w:r w:rsidRPr="00A769D5">
              <w:rPr>
                <w:kern w:val="24"/>
                <w:szCs w:val="24"/>
              </w:rPr>
              <w:t>WGS vs WES</w:t>
            </w:r>
          </w:p>
        </w:tc>
      </w:tr>
    </w:tbl>
    <w:p w14:paraId="40D3235C" w14:textId="057CF5C7" w:rsidR="00B11E47" w:rsidRPr="009A3D5C" w:rsidRDefault="00B11E47" w:rsidP="00092CCA">
      <w:pPr>
        <w:tabs>
          <w:tab w:val="left" w:pos="2265"/>
          <w:tab w:val="left" w:pos="3420"/>
          <w:tab w:val="left" w:pos="4320"/>
        </w:tabs>
        <w:spacing w:before="240" w:after="240"/>
        <w:rPr>
          <w:b/>
        </w:rPr>
      </w:pPr>
      <w:r w:rsidRPr="003B03E0">
        <w:rPr>
          <w:b/>
        </w:rPr>
        <w:t xml:space="preserve">ESC </w:t>
      </w:r>
      <w:r w:rsidR="00F15624">
        <w:rPr>
          <w:b/>
        </w:rPr>
        <w:t>d</w:t>
      </w:r>
      <w:r w:rsidR="009A3D5C">
        <w:rPr>
          <w:b/>
        </w:rPr>
        <w:t>iscussion</w:t>
      </w:r>
      <w:r>
        <w:br/>
      </w:r>
      <w:r w:rsidRPr="003B03E0">
        <w:t xml:space="preserve">The application proposes MBS listing of </w:t>
      </w:r>
      <w:r w:rsidR="00F15624">
        <w:t xml:space="preserve">testing </w:t>
      </w:r>
      <w:r w:rsidRPr="003B03E0">
        <w:t xml:space="preserve">for three populations: 1) initial testing </w:t>
      </w:r>
      <w:r w:rsidR="00F15624">
        <w:t xml:space="preserve">using </w:t>
      </w:r>
      <w:r w:rsidR="00F15624" w:rsidRPr="003B03E0">
        <w:t>next generation WEA</w:t>
      </w:r>
      <w:r w:rsidR="00F15624">
        <w:t xml:space="preserve"> </w:t>
      </w:r>
      <w:r w:rsidRPr="003B03E0">
        <w:t>for the diagnosis of childhood syndromes (</w:t>
      </w:r>
      <w:r w:rsidR="00F15624">
        <w:t xml:space="preserve">to detect </w:t>
      </w:r>
      <w:r w:rsidRPr="003B03E0">
        <w:t>proband</w:t>
      </w:r>
      <w:r w:rsidR="00F15624">
        <w:t>s</w:t>
      </w:r>
      <w:r w:rsidRPr="003B03E0">
        <w:t xml:space="preserve">); 2) re-interrogation analysis for patients who did not have a definite </w:t>
      </w:r>
      <w:r w:rsidR="00CE729A">
        <w:t xml:space="preserve">molecular </w:t>
      </w:r>
      <w:r w:rsidRPr="003B03E0">
        <w:t xml:space="preserve">diagnosis at initial </w:t>
      </w:r>
      <w:r w:rsidR="004C5A49">
        <w:t xml:space="preserve">WES </w:t>
      </w:r>
      <w:r w:rsidRPr="003B03E0">
        <w:t xml:space="preserve">testing; and 3) cascade testing </w:t>
      </w:r>
      <w:r w:rsidR="00F15624">
        <w:t>o</w:t>
      </w:r>
      <w:r w:rsidRPr="003B03E0">
        <w:t>f first-degree family members</w:t>
      </w:r>
      <w:r w:rsidR="00CE729A">
        <w:t xml:space="preserve"> of those affected </w:t>
      </w:r>
      <w:r w:rsidR="00CE729A" w:rsidRPr="00A64F0B">
        <w:t>individuals</w:t>
      </w:r>
      <w:r w:rsidR="00CE729A">
        <w:t xml:space="preserve"> who are confirmed as having a monogenic childhood syndrome</w:t>
      </w:r>
      <w:r w:rsidRPr="003B03E0">
        <w:t xml:space="preserve">. The frequency of reanalysis would be capped at 2, with a minimum 18-month interval. This involves reanalysing the bioinformatics, not re-performing the test. </w:t>
      </w:r>
    </w:p>
    <w:p w14:paraId="7F005430" w14:textId="77777777" w:rsidR="00B11E47" w:rsidRPr="003B03E0" w:rsidRDefault="00B11E47" w:rsidP="009A3D5C">
      <w:pPr>
        <w:spacing w:after="240"/>
      </w:pPr>
      <w:r w:rsidRPr="003B03E0">
        <w:t>ESC noted the breadth of diseases that may be covered by this application. The monogenic syndromes targeted by the proposed WEA are a clinically and genetically heterogeneous group of disorders. The OMIM – a full term list of all genetic conditions and phenotypes – includes over 24,400 entries, making it difficult to develop a definitive list. In addition, approximately 50 new entries are added to OMIM each month, highlighting that this is an emerging and evolving field. The proposed upper limit of genes for testing is all genes known to cause Mendelian diseases. In practice, clinicians may propose a selection of genes based on the patient’s phenotype.</w:t>
      </w:r>
    </w:p>
    <w:p w14:paraId="4AAAB87D" w14:textId="77777777" w:rsidR="00B11E47" w:rsidRPr="003B03E0" w:rsidRDefault="00B11E47" w:rsidP="009A3D5C">
      <w:pPr>
        <w:spacing w:after="240"/>
      </w:pPr>
      <w:r w:rsidRPr="003B03E0">
        <w:t xml:space="preserve">The prevalence of variants causing childhood syndromes is unknown. It is estimated that 8% of the population has a rare disorder, and 8000–10,000 rare diseases are genetic. The global </w:t>
      </w:r>
      <w:r w:rsidRPr="003B03E0">
        <w:lastRenderedPageBreak/>
        <w:t>prevalence of all single gene diseases at birth is estimated at 10 per 10,000 births; however, this includes conditions such as cystic fibrosis, so is likely to be an overestimation. Within the target population, it is expected that about half will have a condition with a genetic cause. About a quarter to a half would be diagnosed by whole exome sequencing (W</w:t>
      </w:r>
      <w:r w:rsidR="009A3D5C">
        <w:t>ES).</w:t>
      </w:r>
    </w:p>
    <w:p w14:paraId="1274616A" w14:textId="77777777" w:rsidR="00B11E47" w:rsidRPr="003B03E0" w:rsidRDefault="00B11E47" w:rsidP="009A3D5C">
      <w:pPr>
        <w:spacing w:after="240"/>
        <w:rPr>
          <w:szCs w:val="24"/>
        </w:rPr>
      </w:pPr>
      <w:r w:rsidRPr="003B03E0">
        <w:rPr>
          <w:szCs w:val="24"/>
        </w:rPr>
        <w:t>The clinical claim proposed by the applicant is that genetic testing via WEA in patients suspected of childhood syndromes is superior to standard care. The applicant argued that the overall claim is for superiority; therefore, a cost-effectiveness an</w:t>
      </w:r>
      <w:r w:rsidR="009A3D5C">
        <w:rPr>
          <w:szCs w:val="24"/>
        </w:rPr>
        <w:t xml:space="preserve">alysis was conducted. </w:t>
      </w:r>
    </w:p>
    <w:p w14:paraId="15C9D65C" w14:textId="77777777" w:rsidR="00B11E47" w:rsidRPr="003B03E0" w:rsidRDefault="00B11E47" w:rsidP="009A3D5C">
      <w:pPr>
        <w:spacing w:after="240"/>
      </w:pPr>
      <w:r w:rsidRPr="003B03E0">
        <w:t>ESC noted estimates for the proportions of affected individuals that would fall with</w:t>
      </w:r>
      <w:r w:rsidR="00FE7B20">
        <w:t>in the target populations. For P</w:t>
      </w:r>
      <w:r w:rsidRPr="003B03E0">
        <w:t>opulation 1 (initial diagnosis), estimates ranged from 40–50% (infants under 2 years referred to a paediatric hospital genetics department) to around 70% (children aged 2–18 years with a suspected monogenic disorder eli</w:t>
      </w:r>
      <w:r w:rsidR="009A3D5C">
        <w:t>gible for a prospective study).</w:t>
      </w:r>
    </w:p>
    <w:p w14:paraId="7B313965" w14:textId="77777777" w:rsidR="00B11E47" w:rsidRPr="003B03E0" w:rsidRDefault="00FE7B20" w:rsidP="009A3D5C">
      <w:pPr>
        <w:spacing w:after="240"/>
      </w:pPr>
      <w:r>
        <w:t>ESC noted for P</w:t>
      </w:r>
      <w:r w:rsidR="00B11E47" w:rsidRPr="003B03E0">
        <w:t>opulation 2 (re-interrogation analysis), an estimated 55–75% of patients would be elig</w:t>
      </w:r>
      <w:r>
        <w:t>ible for re-interrogation. For P</w:t>
      </w:r>
      <w:r w:rsidR="00B11E47" w:rsidRPr="003B03E0">
        <w:t xml:space="preserve">opulation 3 (cascade testing), an average of three first-degree family members per positive </w:t>
      </w:r>
      <w:r w:rsidR="00CE729A">
        <w:t xml:space="preserve">molecular </w:t>
      </w:r>
      <w:r w:rsidR="00B11E47" w:rsidRPr="003B03E0">
        <w:t>diagnosis would be eligible for cascade testing; however, it was noted that around 10% of fa</w:t>
      </w:r>
      <w:r w:rsidR="009A3D5C">
        <w:t>milies decline cascade testing.</w:t>
      </w:r>
    </w:p>
    <w:p w14:paraId="2A73DDD1" w14:textId="77777777" w:rsidR="00F15624" w:rsidRPr="003B03E0" w:rsidRDefault="00B11E47" w:rsidP="009A3D5C">
      <w:pPr>
        <w:spacing w:after="240"/>
      </w:pPr>
      <w:r w:rsidRPr="003B03E0">
        <w:t xml:space="preserve">ESC agreed with the contracted assessment (CA) that WEA has a superior diagnostic yield to standard of care (SoC), although wide confidence intervals and high heterogeneity in some studies were noted. Australian prospective studies showed a higher diagnostic </w:t>
      </w:r>
      <w:r w:rsidR="00F15624">
        <w:t>yield</w:t>
      </w:r>
      <w:r w:rsidRPr="003B03E0">
        <w:t xml:space="preserve"> than studies from the UK and Canada, but the reason for this difference is unknown. Compared with Sanger sequencing, WES showed a false negative rate of 2%. However, the comparison was limited to genes with adequate coverage, so it was not possible to determine true analytical validity.</w:t>
      </w:r>
    </w:p>
    <w:p w14:paraId="3A1153CC" w14:textId="77777777" w:rsidR="00B11E47" w:rsidRPr="003B03E0" w:rsidRDefault="00B11E47" w:rsidP="009A3D5C">
      <w:pPr>
        <w:spacing w:after="240"/>
      </w:pPr>
      <w:r w:rsidRPr="003B03E0">
        <w:t xml:space="preserve">ESC agreed with the CA that, </w:t>
      </w:r>
      <w:r w:rsidR="00F15624" w:rsidRPr="003B03E0">
        <w:t xml:space="preserve">compared with SoC </w:t>
      </w:r>
      <w:r w:rsidRPr="003B03E0">
        <w:t>overall, WEA appeared to lead to change</w:t>
      </w:r>
      <w:r w:rsidR="00F15624">
        <w:t>s</w:t>
      </w:r>
      <w:r w:rsidRPr="003B03E0">
        <w:t xml:space="preserve"> in clinical management, shorten the time to diagnosis, and provide patient and family-relevant benefits. The main benefit of genetic diagnoses is cessation of further investigations and procedures. Studies showed about a third of Australian patients who were diagnosed by WES had a change in their clinical management (initiation or cessation of treatment or surveillance, or modified treatment regimen). However, there was high heterogeneity between studies. Anecdotal benefits reported in the literature include preventing further disease progression, improved management and reduced number of hospital ad</w:t>
      </w:r>
      <w:r w:rsidR="00FE7B20">
        <w:t>missions. The main benefit for P</w:t>
      </w:r>
      <w:r w:rsidRPr="003B03E0">
        <w:t xml:space="preserve">opulation 3 (cascade testing) was restoration of reproductive confidence. WEA identified more families at high risk of recurrence than standard diagnostic investigations. Early identification of couples at high or low risk allows them to make decisions about their reproductive choices (eg use of preimplantation genetic testing). However, ESC noted that the clinical evidence involved small numbers of patients from a single centre in Australia, so </w:t>
      </w:r>
      <w:r w:rsidR="00F15624">
        <w:t xml:space="preserve">the </w:t>
      </w:r>
      <w:r w:rsidRPr="003B03E0">
        <w:t xml:space="preserve">generalisability </w:t>
      </w:r>
      <w:r w:rsidR="00F15624">
        <w:t>of these results was uncertain.</w:t>
      </w:r>
    </w:p>
    <w:p w14:paraId="45C88DC7" w14:textId="77777777" w:rsidR="00B11E47" w:rsidRPr="003B03E0" w:rsidRDefault="00B11E47" w:rsidP="009A3D5C">
      <w:pPr>
        <w:spacing w:after="240"/>
      </w:pPr>
      <w:r w:rsidRPr="003B03E0">
        <w:t>ESC noted results from an RCT of rapid whole genome sequencing (rWGS) with standard testing compared to standard testing alone. Almost a third of patients had a change in management but there was no significant difference between the two groups. However, rWGS is a different technology to WES</w:t>
      </w:r>
      <w:r w:rsidR="00F15624">
        <w:t>,</w:t>
      </w:r>
      <w:r w:rsidRPr="003B03E0">
        <w:t xml:space="preserve"> so the applicability</w:t>
      </w:r>
      <w:r w:rsidR="009A3D5C">
        <w:t xml:space="preserve"> of these results is uncertain.</w:t>
      </w:r>
    </w:p>
    <w:p w14:paraId="39F3EEE0" w14:textId="77777777" w:rsidR="00F15624" w:rsidRPr="003B03E0" w:rsidRDefault="00B11E47" w:rsidP="009A3D5C">
      <w:pPr>
        <w:spacing w:after="240"/>
      </w:pPr>
      <w:r w:rsidRPr="003B03E0">
        <w:t xml:space="preserve">Regarding utilisation of health resources, ESC noted the Australian study showing that although WEA resulted in a significant difference in clinical trajectory, utilisation of hospital services was not different after </w:t>
      </w:r>
      <w:r w:rsidR="00CE729A">
        <w:t xml:space="preserve">molecular </w:t>
      </w:r>
      <w:r w:rsidRPr="003B03E0">
        <w:t xml:space="preserve">diagnosis. Although the study was limited by a small sample size, it seems WEA can improve patient management without significantly </w:t>
      </w:r>
      <w:r w:rsidRPr="003B03E0">
        <w:lastRenderedPageBreak/>
        <w:t>increasing healthcare c</w:t>
      </w:r>
      <w:r w:rsidR="00FE7B20">
        <w:t>osts. Health resource costs in P</w:t>
      </w:r>
      <w:r w:rsidRPr="003B03E0">
        <w:t>opulation 3 (cascade testing) depend on the diagnosis (e.g. changes in treatment, use of reproductive genetic services, termination).</w:t>
      </w:r>
    </w:p>
    <w:p w14:paraId="5E1FCA36" w14:textId="77777777" w:rsidR="00B11E47" w:rsidRPr="003B03E0" w:rsidRDefault="00B11E47" w:rsidP="009A3D5C">
      <w:pPr>
        <w:spacing w:after="240"/>
      </w:pPr>
      <w:r w:rsidRPr="003B03E0">
        <w:t>ESC noted that the impact on quality of life of a positive diagnosis or negative findings after WEA was not repo</w:t>
      </w:r>
      <w:r w:rsidR="009A3D5C">
        <w:t>rted in the studies identified.</w:t>
      </w:r>
    </w:p>
    <w:p w14:paraId="049D545C" w14:textId="77777777" w:rsidR="00B11E47" w:rsidRPr="003B03E0" w:rsidRDefault="00B11E47" w:rsidP="00B11E47">
      <w:pPr>
        <w:spacing w:after="120"/>
      </w:pPr>
      <w:r w:rsidRPr="003B03E0">
        <w:t>ESC noted the following feedback from the Predisposition Genetic Testing Working Group (PGTWG) on other significant factors:</w:t>
      </w:r>
    </w:p>
    <w:p w14:paraId="22B9FFA0" w14:textId="12772493" w:rsidR="00B11E47" w:rsidRPr="00F15624" w:rsidRDefault="00B11E47" w:rsidP="00B11E47">
      <w:pPr>
        <w:pStyle w:val="Bullet"/>
        <w:ind w:left="1080"/>
        <w:rPr>
          <w:color w:val="auto"/>
          <w:sz w:val="24"/>
          <w:szCs w:val="24"/>
        </w:rPr>
      </w:pPr>
      <w:r w:rsidRPr="00F15624">
        <w:rPr>
          <w:color w:val="auto"/>
          <w:sz w:val="24"/>
          <w:szCs w:val="24"/>
        </w:rPr>
        <w:t xml:space="preserve">Clinical utility is difficult to quantify for multiple diseases. Utility should be ranked in terms of what changes health outcomes for patients; that is, </w:t>
      </w:r>
      <w:r w:rsidR="0006133A">
        <w:rPr>
          <w:color w:val="auto"/>
          <w:sz w:val="24"/>
          <w:szCs w:val="24"/>
        </w:rPr>
        <w:t xml:space="preserve">over </w:t>
      </w:r>
      <w:r w:rsidRPr="00F15624">
        <w:rPr>
          <w:color w:val="auto"/>
          <w:sz w:val="24"/>
          <w:szCs w:val="24"/>
        </w:rPr>
        <w:t xml:space="preserve">enabling more informed family planning decisions, reducing the </w:t>
      </w:r>
      <w:r w:rsidR="000A768F">
        <w:rPr>
          <w:color w:val="auto"/>
          <w:sz w:val="24"/>
          <w:szCs w:val="24"/>
        </w:rPr>
        <w:t>‘</w:t>
      </w:r>
      <w:r w:rsidRPr="00F15624">
        <w:rPr>
          <w:color w:val="auto"/>
          <w:sz w:val="24"/>
          <w:szCs w:val="24"/>
        </w:rPr>
        <w:t>diagnostic odyss</w:t>
      </w:r>
      <w:r w:rsidR="00F15624">
        <w:rPr>
          <w:color w:val="auto"/>
          <w:sz w:val="24"/>
          <w:szCs w:val="24"/>
        </w:rPr>
        <w:t>ey</w:t>
      </w:r>
      <w:r w:rsidR="000A768F">
        <w:rPr>
          <w:color w:val="auto"/>
          <w:sz w:val="24"/>
          <w:szCs w:val="24"/>
        </w:rPr>
        <w:t>’</w:t>
      </w:r>
      <w:r w:rsidR="00F15624">
        <w:rPr>
          <w:color w:val="auto"/>
          <w:sz w:val="24"/>
          <w:szCs w:val="24"/>
        </w:rPr>
        <w:t xml:space="preserve"> </w:t>
      </w:r>
      <w:r w:rsidR="0006133A">
        <w:rPr>
          <w:color w:val="auto"/>
          <w:sz w:val="24"/>
          <w:szCs w:val="24"/>
        </w:rPr>
        <w:t>or</w:t>
      </w:r>
      <w:r w:rsidR="00F15624">
        <w:rPr>
          <w:color w:val="auto"/>
          <w:sz w:val="24"/>
          <w:szCs w:val="24"/>
        </w:rPr>
        <w:t xml:space="preserve"> providing peace of mind.</w:t>
      </w:r>
    </w:p>
    <w:p w14:paraId="54906B6D" w14:textId="77777777" w:rsidR="00B11E47" w:rsidRPr="00F15624" w:rsidRDefault="00B11E47" w:rsidP="00B11E47">
      <w:pPr>
        <w:pStyle w:val="Bullet"/>
        <w:ind w:left="1080"/>
        <w:rPr>
          <w:color w:val="auto"/>
          <w:sz w:val="24"/>
          <w:szCs w:val="24"/>
        </w:rPr>
      </w:pPr>
      <w:r w:rsidRPr="00F15624">
        <w:rPr>
          <w:color w:val="auto"/>
          <w:sz w:val="24"/>
          <w:szCs w:val="24"/>
        </w:rPr>
        <w:t>More detail is required o</w:t>
      </w:r>
      <w:r w:rsidR="00F15624">
        <w:rPr>
          <w:color w:val="auto"/>
          <w:sz w:val="24"/>
          <w:szCs w:val="24"/>
        </w:rPr>
        <w:t xml:space="preserve">n </w:t>
      </w:r>
      <w:r w:rsidR="0006133A">
        <w:rPr>
          <w:color w:val="auto"/>
          <w:sz w:val="24"/>
          <w:szCs w:val="24"/>
        </w:rPr>
        <w:t xml:space="preserve">the </w:t>
      </w:r>
      <w:r w:rsidR="00F15624">
        <w:rPr>
          <w:color w:val="auto"/>
          <w:sz w:val="24"/>
          <w:szCs w:val="24"/>
        </w:rPr>
        <w:t>microarray triage before WES.</w:t>
      </w:r>
    </w:p>
    <w:p w14:paraId="43760752" w14:textId="77777777" w:rsidR="00B11E47" w:rsidRPr="00F15624" w:rsidRDefault="00B11E47" w:rsidP="00B11E47">
      <w:pPr>
        <w:pStyle w:val="Bullet"/>
        <w:ind w:left="1080"/>
        <w:rPr>
          <w:color w:val="auto"/>
          <w:sz w:val="24"/>
          <w:szCs w:val="24"/>
        </w:rPr>
      </w:pPr>
      <w:r w:rsidRPr="00F15624">
        <w:rPr>
          <w:color w:val="auto"/>
          <w:sz w:val="24"/>
          <w:szCs w:val="24"/>
        </w:rPr>
        <w:t xml:space="preserve">In many cases, a </w:t>
      </w:r>
      <w:r w:rsidR="00CE729A">
        <w:rPr>
          <w:color w:val="auto"/>
          <w:sz w:val="24"/>
          <w:szCs w:val="24"/>
        </w:rPr>
        <w:t>molecular</w:t>
      </w:r>
      <w:r w:rsidRPr="00F15624">
        <w:rPr>
          <w:color w:val="auto"/>
          <w:sz w:val="24"/>
          <w:szCs w:val="24"/>
        </w:rPr>
        <w:t xml:space="preserve"> diagnosis made by WES will need to be confir</w:t>
      </w:r>
      <w:r w:rsidR="00F15624">
        <w:rPr>
          <w:color w:val="auto"/>
          <w:sz w:val="24"/>
          <w:szCs w:val="24"/>
        </w:rPr>
        <w:t>med by a second testing method.</w:t>
      </w:r>
    </w:p>
    <w:p w14:paraId="22039CA6" w14:textId="77777777" w:rsidR="00B11E47" w:rsidRPr="00F15624" w:rsidRDefault="00B11E47" w:rsidP="00B11E47">
      <w:pPr>
        <w:pStyle w:val="Bullet"/>
        <w:ind w:left="1080"/>
        <w:rPr>
          <w:color w:val="auto"/>
          <w:sz w:val="24"/>
          <w:szCs w:val="24"/>
        </w:rPr>
      </w:pPr>
      <w:r w:rsidRPr="00F15624">
        <w:rPr>
          <w:color w:val="auto"/>
          <w:sz w:val="24"/>
          <w:szCs w:val="24"/>
        </w:rPr>
        <w:t>Reanalysis should be limited to the set of childhood syndromes to minimise the likelihood of incidental findings that would add to t</w:t>
      </w:r>
      <w:r w:rsidR="00F15624">
        <w:rPr>
          <w:color w:val="auto"/>
          <w:sz w:val="24"/>
          <w:szCs w:val="24"/>
        </w:rPr>
        <w:t>he patient’s/family’s concerns.</w:t>
      </w:r>
    </w:p>
    <w:p w14:paraId="7F9D4732" w14:textId="77777777" w:rsidR="00B11E47" w:rsidRPr="00F15624" w:rsidRDefault="00B11E47" w:rsidP="00B11E47">
      <w:pPr>
        <w:pStyle w:val="Bullet"/>
        <w:ind w:left="1080"/>
        <w:rPr>
          <w:color w:val="auto"/>
          <w:sz w:val="24"/>
          <w:szCs w:val="24"/>
        </w:rPr>
      </w:pPr>
      <w:r w:rsidRPr="00F15624">
        <w:rPr>
          <w:color w:val="auto"/>
          <w:sz w:val="24"/>
          <w:szCs w:val="24"/>
        </w:rPr>
        <w:t>There are possible capacity constraints on WES testing in Australia. There are only four clinical diagnostic laboratories currently providing National Association of Testing Authorities (NATA)-accredited serv</w:t>
      </w:r>
      <w:r w:rsidR="00F15624">
        <w:rPr>
          <w:color w:val="auto"/>
          <w:sz w:val="24"/>
          <w:szCs w:val="24"/>
        </w:rPr>
        <w:t>ices for WES.</w:t>
      </w:r>
    </w:p>
    <w:p w14:paraId="4FC14086" w14:textId="77777777" w:rsidR="00B11E47" w:rsidRPr="00F15624" w:rsidRDefault="00B11E47" w:rsidP="00B11E47">
      <w:pPr>
        <w:pStyle w:val="BulletLast"/>
        <w:ind w:left="1080"/>
        <w:rPr>
          <w:color w:val="auto"/>
          <w:sz w:val="24"/>
          <w:szCs w:val="24"/>
        </w:rPr>
      </w:pPr>
      <w:r w:rsidRPr="00F15624">
        <w:rPr>
          <w:color w:val="auto"/>
          <w:sz w:val="24"/>
          <w:szCs w:val="24"/>
        </w:rPr>
        <w:t>Whole genome sequencing (WGS) is superior</w:t>
      </w:r>
      <w:r w:rsidR="00F15624">
        <w:rPr>
          <w:color w:val="auto"/>
          <w:sz w:val="24"/>
          <w:szCs w:val="24"/>
        </w:rPr>
        <w:t xml:space="preserve"> to WES in terms of </w:t>
      </w:r>
      <w:r w:rsidR="0006133A">
        <w:rPr>
          <w:color w:val="auto"/>
          <w:sz w:val="24"/>
          <w:szCs w:val="24"/>
        </w:rPr>
        <w:t>diagnostic yield</w:t>
      </w:r>
      <w:r w:rsidR="00F15624">
        <w:rPr>
          <w:color w:val="auto"/>
          <w:sz w:val="24"/>
          <w:szCs w:val="24"/>
        </w:rPr>
        <w:t>.</w:t>
      </w:r>
    </w:p>
    <w:p w14:paraId="43D53C28" w14:textId="77777777" w:rsidR="00B11E47" w:rsidRPr="009A3D5C" w:rsidRDefault="00B11E47" w:rsidP="009A3D5C">
      <w:pPr>
        <w:pStyle w:val="BulletBeforeDash"/>
        <w:numPr>
          <w:ilvl w:val="0"/>
          <w:numId w:val="0"/>
        </w:numPr>
        <w:spacing w:after="240"/>
        <w:rPr>
          <w:color w:val="auto"/>
          <w:sz w:val="24"/>
          <w:szCs w:val="24"/>
        </w:rPr>
      </w:pPr>
      <w:r w:rsidRPr="00F15624">
        <w:rPr>
          <w:color w:val="auto"/>
          <w:sz w:val="24"/>
          <w:szCs w:val="24"/>
        </w:rPr>
        <w:t>ESC noted that WGS is more expensive than WES and that there is debate about whether WGS is superior to WES. ESC also noted that WES testing is an emerging technology and only done by a few laboratories. If funding is limited to WES then testing would be limited</w:t>
      </w:r>
      <w:r w:rsidR="009A3D5C">
        <w:rPr>
          <w:color w:val="auto"/>
          <w:sz w:val="24"/>
          <w:szCs w:val="24"/>
        </w:rPr>
        <w:t xml:space="preserve"> to only those centres.</w:t>
      </w:r>
    </w:p>
    <w:p w14:paraId="66719E73" w14:textId="77777777" w:rsidR="00B11E47" w:rsidRPr="009A3D5C" w:rsidRDefault="00B11E47" w:rsidP="009A3D5C">
      <w:pPr>
        <w:spacing w:after="240"/>
        <w:rPr>
          <w:szCs w:val="24"/>
        </w:rPr>
      </w:pPr>
      <w:r w:rsidRPr="003B03E0">
        <w:rPr>
          <w:szCs w:val="24"/>
        </w:rPr>
        <w:t>The economic evaluation focused on data from three Australian studies, based on a</w:t>
      </w:r>
      <w:r w:rsidR="0006133A">
        <w:rPr>
          <w:szCs w:val="24"/>
        </w:rPr>
        <w:t xml:space="preserve"> single study by Stark in 2016.</w:t>
      </w:r>
    </w:p>
    <w:p w14:paraId="2FD88C67" w14:textId="77777777" w:rsidR="0006133A" w:rsidRDefault="00B11E47" w:rsidP="009A3D5C">
      <w:pPr>
        <w:spacing w:after="240"/>
        <w:rPr>
          <w:szCs w:val="24"/>
        </w:rPr>
      </w:pPr>
      <w:r w:rsidRPr="003B03E0">
        <w:rPr>
          <w:szCs w:val="24"/>
        </w:rPr>
        <w:t>ESC noted that</w:t>
      </w:r>
      <w:r w:rsidR="0006133A">
        <w:rPr>
          <w:szCs w:val="24"/>
        </w:rPr>
        <w:t>,</w:t>
      </w:r>
      <w:r w:rsidRPr="003B03E0">
        <w:rPr>
          <w:szCs w:val="24"/>
        </w:rPr>
        <w:t xml:space="preserve"> </w:t>
      </w:r>
      <w:r w:rsidRPr="003B03E0">
        <w:rPr>
          <w:szCs w:val="24"/>
          <w:lang w:val="en-US"/>
        </w:rPr>
        <w:t xml:space="preserve">although WES appears to </w:t>
      </w:r>
      <w:r w:rsidRPr="003B03E0">
        <w:rPr>
          <w:szCs w:val="24"/>
        </w:rPr>
        <w:t>be</w:t>
      </w:r>
      <w:r w:rsidRPr="003B03E0">
        <w:rPr>
          <w:szCs w:val="24"/>
          <w:lang w:val="en-US"/>
        </w:rPr>
        <w:t xml:space="preserve"> cost-effective when compared to SoC, there are some uncertainties about the quality of the evidence.</w:t>
      </w:r>
      <w:r w:rsidRPr="003B03E0" w:rsidDel="002245B2">
        <w:rPr>
          <w:szCs w:val="24"/>
        </w:rPr>
        <w:t xml:space="preserve"> </w:t>
      </w:r>
      <w:r w:rsidRPr="003B03E0">
        <w:rPr>
          <w:szCs w:val="24"/>
        </w:rPr>
        <w:t>The Stark 2016 study was biased by some clinicians not performing all the SoC genetic tests due to financial constraints. Assumptions were therefore made about what would happen if all tests were done.</w:t>
      </w:r>
    </w:p>
    <w:p w14:paraId="218F111A" w14:textId="77777777" w:rsidR="00B11E47" w:rsidRPr="009A3D5C" w:rsidRDefault="00B11E47" w:rsidP="009A3D5C">
      <w:pPr>
        <w:spacing w:after="240"/>
        <w:rPr>
          <w:szCs w:val="24"/>
        </w:rPr>
      </w:pPr>
      <w:r w:rsidRPr="003B03E0">
        <w:rPr>
          <w:szCs w:val="24"/>
        </w:rPr>
        <w:t>The economic evaluation assumed diagnostic yield of 55% for WES and 27.5% for SoC. The meta-analysis of diagnostic sensitivity demonstrated moderate to severe</w:t>
      </w:r>
      <w:r w:rsidR="009A3D5C">
        <w:rPr>
          <w:szCs w:val="24"/>
        </w:rPr>
        <w:t xml:space="preserve"> heterogeneity between studies.</w:t>
      </w:r>
    </w:p>
    <w:p w14:paraId="088FE971" w14:textId="77777777" w:rsidR="00B11E47" w:rsidRPr="003B03E0" w:rsidRDefault="00B11E47" w:rsidP="00B11E47">
      <w:pPr>
        <w:spacing w:after="120"/>
      </w:pPr>
      <w:r w:rsidRPr="003B03E0">
        <w:t>ESC noted that the key translation issues in the model were:</w:t>
      </w:r>
    </w:p>
    <w:p w14:paraId="13FB431C" w14:textId="77777777" w:rsidR="00B11E47" w:rsidRPr="003B03E0" w:rsidRDefault="00B11E47" w:rsidP="00B11E47">
      <w:pPr>
        <w:pStyle w:val="Bullet"/>
        <w:ind w:left="1080"/>
        <w:rPr>
          <w:color w:val="auto"/>
        </w:rPr>
      </w:pPr>
      <w:r w:rsidRPr="003B03E0">
        <w:rPr>
          <w:color w:val="auto"/>
        </w:rPr>
        <w:t xml:space="preserve">applicability – the key study involved patients aged 0–2 years, and there is no information on the applicability of this subgroup to the </w:t>
      </w:r>
      <w:r w:rsidR="0006133A">
        <w:rPr>
          <w:color w:val="auto"/>
        </w:rPr>
        <w:t xml:space="preserve">proposed </w:t>
      </w:r>
      <w:r w:rsidRPr="003B03E0">
        <w:rPr>
          <w:color w:val="auto"/>
        </w:rPr>
        <w:t>MBS population (0–18 years); subgroup analysis could have been done</w:t>
      </w:r>
    </w:p>
    <w:p w14:paraId="294A3F59" w14:textId="77777777" w:rsidR="00B11E47" w:rsidRPr="003B03E0" w:rsidRDefault="00B11E47" w:rsidP="00B11E47">
      <w:pPr>
        <w:pStyle w:val="Bullet"/>
        <w:ind w:left="1080"/>
        <w:rPr>
          <w:color w:val="auto"/>
        </w:rPr>
      </w:pPr>
      <w:r w:rsidRPr="003B03E0">
        <w:rPr>
          <w:color w:val="auto"/>
        </w:rPr>
        <w:t>transformation – utility scores could not be verified, but the incremental gain is small</w:t>
      </w:r>
    </w:p>
    <w:p w14:paraId="206CF953" w14:textId="77777777" w:rsidR="00B11E47" w:rsidRPr="003B03E0" w:rsidRDefault="0006133A" w:rsidP="00B11E47">
      <w:pPr>
        <w:pStyle w:val="Bullet"/>
        <w:ind w:left="1080"/>
        <w:rPr>
          <w:color w:val="auto"/>
        </w:rPr>
      </w:pPr>
      <w:r>
        <w:rPr>
          <w:color w:val="auto"/>
        </w:rPr>
        <w:t xml:space="preserve">other </w:t>
      </w:r>
      <w:r w:rsidR="00B11E47" w:rsidRPr="003B03E0">
        <w:rPr>
          <w:color w:val="auto"/>
        </w:rPr>
        <w:t>translation – time to definitive diagnosis is a key driver of the economic model but was not reported in Australian studies; it was assumed to be 5 months for WEA (based on expert opinion) and 22 months for</w:t>
      </w:r>
      <w:r w:rsidR="00B11E47" w:rsidRPr="003B03E0" w:rsidDel="000072FC">
        <w:rPr>
          <w:color w:val="auto"/>
        </w:rPr>
        <w:t xml:space="preserve"> </w:t>
      </w:r>
      <w:r>
        <w:rPr>
          <w:color w:val="auto"/>
        </w:rPr>
        <w:t>SoC</w:t>
      </w:r>
    </w:p>
    <w:p w14:paraId="0FA59D47" w14:textId="77777777" w:rsidR="00B11E47" w:rsidRPr="003B03E0" w:rsidRDefault="00B11E47" w:rsidP="00B11E47">
      <w:pPr>
        <w:pStyle w:val="BulletLast"/>
        <w:ind w:left="1080"/>
        <w:rPr>
          <w:color w:val="auto"/>
        </w:rPr>
      </w:pPr>
      <w:r w:rsidRPr="003B03E0">
        <w:rPr>
          <w:color w:val="auto"/>
        </w:rPr>
        <w:lastRenderedPageBreak/>
        <w:t>time horizon – 10 years is not justified; the median time to report and median follow-up total around 19 months, and longer-term costs and utility changes were n</w:t>
      </w:r>
      <w:r w:rsidR="0006133A">
        <w:rPr>
          <w:color w:val="auto"/>
        </w:rPr>
        <w:t>ot considered so are uncertain.</w:t>
      </w:r>
    </w:p>
    <w:p w14:paraId="5F8F6224" w14:textId="77777777" w:rsidR="00B11E47" w:rsidRPr="003B03E0" w:rsidRDefault="00B11E47" w:rsidP="009A3D5C">
      <w:pPr>
        <w:spacing w:after="240"/>
      </w:pPr>
      <w:r w:rsidRPr="003B03E0">
        <w:t>Costs are the main driver of the economic model. Most of the cost occurs in the initial testing phase and then becomes a maintenance cost. The period of testing, or time to diagnosis, therefore has a major influence on the model. The model includes the cost of reanalysis every 18 months, assuming that every person with a negative test would have reanalysis. It also assumes that this frequency of testing continues indefinitely, although the application proposes that reanalyses are capped at 2. Estimates of cumulativ</w:t>
      </w:r>
      <w:r w:rsidR="0006133A">
        <w:t>e cost are therefore uncertain.</w:t>
      </w:r>
    </w:p>
    <w:p w14:paraId="1AB4E582" w14:textId="77777777" w:rsidR="00B11E47" w:rsidRPr="003B03E0" w:rsidRDefault="00B11E47" w:rsidP="009A3D5C">
      <w:pPr>
        <w:spacing w:after="240"/>
      </w:pPr>
      <w:r w:rsidRPr="003B03E0">
        <w:t xml:space="preserve">ESC queried whether reanalysis after 18 months would be done for all children with a negative result, or whether the clinical panel would decide which children are eligible for reanalysis. This was not clear in the application. ESC also discussed whether the false negative rate for WES of 2% quoted by the clinical discussant would lead to reanalysis for reasons other than new genes or variants and agreed that it </w:t>
      </w:r>
      <w:r w:rsidR="0006133A">
        <w:t>would be</w:t>
      </w:r>
      <w:r w:rsidRPr="003B03E0">
        <w:t xml:space="preserve"> a possibility. However, there will always be false negatives, and technologies change over time so there wi</w:t>
      </w:r>
      <w:r w:rsidR="0006133A">
        <w:t>ll always be reasons to retest.</w:t>
      </w:r>
    </w:p>
    <w:p w14:paraId="28D56B51" w14:textId="77777777" w:rsidR="00B11E47" w:rsidRPr="003B03E0" w:rsidRDefault="00B11E47" w:rsidP="009A3D5C">
      <w:pPr>
        <w:spacing w:after="240"/>
      </w:pPr>
      <w:r w:rsidRPr="003B03E0">
        <w:t xml:space="preserve">Given the uncertainty in the model, ESC queried whether a within-trial ICER may be more appropriate. Sensitivity analysis by the discussant showed that the ICER increases if WES time to diagnosis is increased or SoC time to diagnosis is reduced, and there is a moderate change if the time horizon is limited to 2 years. ESC noted that the ICERs seemed reasonable, but noted </w:t>
      </w:r>
      <w:r w:rsidR="0006133A">
        <w:t>the uncertainties in the model.</w:t>
      </w:r>
    </w:p>
    <w:p w14:paraId="1E82DA05" w14:textId="77777777" w:rsidR="00B11E47" w:rsidRPr="003B03E0" w:rsidRDefault="00B11E47" w:rsidP="009A3D5C">
      <w:pPr>
        <w:spacing w:after="240"/>
      </w:pPr>
      <w:r w:rsidRPr="003B03E0">
        <w:t>ESC noted that the sensitivity analysis in the evaluation was based on the reproductive benefits to parents however that there is very little i</w:t>
      </w:r>
      <w:r w:rsidR="009A3D5C">
        <w:t>nformation about this analysis.</w:t>
      </w:r>
    </w:p>
    <w:p w14:paraId="1CF2B242" w14:textId="77777777" w:rsidR="00B11E47" w:rsidRPr="003B03E0" w:rsidRDefault="00B11E47" w:rsidP="009A3D5C">
      <w:pPr>
        <w:spacing w:after="240"/>
      </w:pPr>
      <w:r w:rsidRPr="003B03E0">
        <w:t xml:space="preserve">ESC noted that the incremental benefit of WEA in terms of quality-adjusted life years (QALYs) gained is small and accumulates over time and it is mainly driven by retesting of children </w:t>
      </w:r>
      <w:r w:rsidR="0006133A">
        <w:t>who originally tested negative.</w:t>
      </w:r>
    </w:p>
    <w:p w14:paraId="25AD498C" w14:textId="77777777" w:rsidR="00B11E47" w:rsidRPr="003B03E0" w:rsidRDefault="00B11E47" w:rsidP="00B11E47">
      <w:pPr>
        <w:spacing w:after="120"/>
        <w:rPr>
          <w:lang w:val="en-US"/>
        </w:rPr>
      </w:pPr>
      <w:r w:rsidRPr="003B03E0">
        <w:rPr>
          <w:lang w:val="en-US"/>
        </w:rPr>
        <w:t>ESC noted the total cost to the MBS over 5 years is $42,675,292. Financial and budgetary impacts will be greater if:</w:t>
      </w:r>
    </w:p>
    <w:p w14:paraId="03EB42D9" w14:textId="77777777" w:rsidR="00B11E47" w:rsidRPr="0006133A" w:rsidRDefault="00B11E47" w:rsidP="00B11E47">
      <w:pPr>
        <w:pStyle w:val="Bullet"/>
        <w:ind w:left="1080"/>
        <w:rPr>
          <w:color w:val="auto"/>
          <w:sz w:val="24"/>
          <w:szCs w:val="24"/>
        </w:rPr>
      </w:pPr>
      <w:r w:rsidRPr="0006133A">
        <w:rPr>
          <w:color w:val="auto"/>
          <w:sz w:val="24"/>
          <w:szCs w:val="24"/>
        </w:rPr>
        <w:t>the proportion of suspected syndromic genetic disorders and con</w:t>
      </w:r>
      <w:r w:rsidR="0006133A" w:rsidRPr="0006133A">
        <w:rPr>
          <w:color w:val="auto"/>
          <w:sz w:val="24"/>
          <w:szCs w:val="24"/>
        </w:rPr>
        <w:t>genital abnormalities increases</w:t>
      </w:r>
    </w:p>
    <w:p w14:paraId="73704124" w14:textId="77777777" w:rsidR="00B11E47" w:rsidRPr="0006133A" w:rsidRDefault="00B11E47" w:rsidP="00B11E47">
      <w:pPr>
        <w:pStyle w:val="Bullet"/>
        <w:ind w:left="1080"/>
        <w:rPr>
          <w:color w:val="auto"/>
          <w:sz w:val="24"/>
          <w:szCs w:val="24"/>
        </w:rPr>
      </w:pPr>
      <w:r w:rsidRPr="0006133A">
        <w:rPr>
          <w:color w:val="auto"/>
          <w:sz w:val="24"/>
          <w:szCs w:val="24"/>
        </w:rPr>
        <w:t>MBS listing leads to increased supply/capacity of WEA providers</w:t>
      </w:r>
    </w:p>
    <w:p w14:paraId="347FF8C4" w14:textId="77777777" w:rsidR="00B11E47" w:rsidRPr="0006133A" w:rsidRDefault="00B11E47" w:rsidP="00B11E47">
      <w:pPr>
        <w:pStyle w:val="BulletLast"/>
        <w:ind w:left="1080"/>
        <w:rPr>
          <w:color w:val="auto"/>
          <w:sz w:val="24"/>
          <w:szCs w:val="24"/>
        </w:rPr>
      </w:pPr>
      <w:r w:rsidRPr="0006133A">
        <w:rPr>
          <w:color w:val="auto"/>
          <w:sz w:val="24"/>
          <w:szCs w:val="24"/>
        </w:rPr>
        <w:t>MBS listing leads to a lower threshold for testing and more children being tested (leakage).</w:t>
      </w:r>
    </w:p>
    <w:p w14:paraId="2C774641" w14:textId="77777777" w:rsidR="00B11E47" w:rsidRPr="0006133A" w:rsidRDefault="00B11E47" w:rsidP="009A3D5C">
      <w:pPr>
        <w:spacing w:after="240"/>
      </w:pPr>
      <w:r w:rsidRPr="003B03E0">
        <w:t xml:space="preserve">ESC noted that there was no justification given for the $2400 fee in the MBS descriptor and that re-interrogation evidence seems to be weak and queried the value of two re-interrogation items with different fees. It was clarified that after a positive result ($650 fee) there would be no further re-interrogation. Re-interrogation after a negative result ($350 fee) could continue indefinitely every 18 months if it is not capped. It was therefore suggested that the cap of 2 reanalyses should be written into the </w:t>
      </w:r>
      <w:r w:rsidR="0006133A">
        <w:t xml:space="preserve">relevant </w:t>
      </w:r>
      <w:r w:rsidRPr="003B03E0">
        <w:t xml:space="preserve">MBS </w:t>
      </w:r>
      <w:r w:rsidR="0006133A">
        <w:t>i</w:t>
      </w:r>
      <w:r w:rsidRPr="003B03E0">
        <w:t xml:space="preserve">tem </w:t>
      </w:r>
      <w:r w:rsidR="0006133A">
        <w:t>d</w:t>
      </w:r>
      <w:r w:rsidR="009A3D5C">
        <w:t>escriptor.</w:t>
      </w:r>
    </w:p>
    <w:p w14:paraId="76CEF74A" w14:textId="77777777" w:rsidR="00B11E47" w:rsidRPr="00624835" w:rsidRDefault="00B11E47" w:rsidP="009A3D5C">
      <w:pPr>
        <w:spacing w:after="240"/>
        <w:rPr>
          <w:szCs w:val="24"/>
        </w:rPr>
      </w:pPr>
      <w:r w:rsidRPr="00624835">
        <w:rPr>
          <w:szCs w:val="24"/>
        </w:rPr>
        <w:t xml:space="preserve">ESC agreed with the Department’s changes to the proposed MBS item descriptor to change wording to </w:t>
      </w:r>
      <w:r w:rsidRPr="00624835">
        <w:rPr>
          <w:szCs w:val="24"/>
          <w:lang w:val="en-US"/>
        </w:rPr>
        <w:t>“requested by a specialist or consultant physician’</w:t>
      </w:r>
      <w:r w:rsidRPr="00624835">
        <w:rPr>
          <w:szCs w:val="24"/>
        </w:rPr>
        <w:t xml:space="preserve"> and considered the revised item descriptor t</w:t>
      </w:r>
      <w:r w:rsidR="0006133A">
        <w:rPr>
          <w:szCs w:val="24"/>
        </w:rPr>
        <w:t>o be reasonable.</w:t>
      </w:r>
    </w:p>
    <w:p w14:paraId="7CF1BD40" w14:textId="77777777" w:rsidR="00B11E47" w:rsidRPr="00624835" w:rsidRDefault="00B11E47" w:rsidP="00B11E47">
      <w:pPr>
        <w:rPr>
          <w:szCs w:val="24"/>
        </w:rPr>
      </w:pPr>
      <w:r w:rsidRPr="00624835">
        <w:rPr>
          <w:szCs w:val="24"/>
        </w:rPr>
        <w:lastRenderedPageBreak/>
        <w:t xml:space="preserve">ESCs noted from the consumer </w:t>
      </w:r>
      <w:r w:rsidR="0006133A">
        <w:rPr>
          <w:szCs w:val="24"/>
        </w:rPr>
        <w:t>perspective</w:t>
      </w:r>
      <w:r w:rsidRPr="00624835">
        <w:rPr>
          <w:szCs w:val="24"/>
        </w:rPr>
        <w:t xml:space="preserve"> t</w:t>
      </w:r>
      <w:bookmarkStart w:id="20" w:name="Editing"/>
      <w:bookmarkEnd w:id="20"/>
      <w:r w:rsidRPr="00624835">
        <w:rPr>
          <w:szCs w:val="24"/>
        </w:rPr>
        <w:t xml:space="preserve">hat the proposed test appears to be safe and the importance of insuring the test is accurate as incorrect results may be detrimental. </w:t>
      </w:r>
      <w:r w:rsidR="0006133A">
        <w:rPr>
          <w:szCs w:val="24"/>
        </w:rPr>
        <w:t xml:space="preserve">From this perspective, there is also </w:t>
      </w:r>
      <w:r w:rsidRPr="00624835">
        <w:rPr>
          <w:szCs w:val="24"/>
        </w:rPr>
        <w:t xml:space="preserve">some uncertainty about the comparator, considering that </w:t>
      </w:r>
      <w:r w:rsidR="00CE729A">
        <w:rPr>
          <w:szCs w:val="24"/>
        </w:rPr>
        <w:t xml:space="preserve">a molecular </w:t>
      </w:r>
      <w:r w:rsidRPr="00624835">
        <w:rPr>
          <w:szCs w:val="24"/>
        </w:rPr>
        <w:t xml:space="preserve">diagnosis </w:t>
      </w:r>
      <w:r w:rsidR="00CE729A">
        <w:rPr>
          <w:szCs w:val="24"/>
        </w:rPr>
        <w:t>would be</w:t>
      </w:r>
      <w:r w:rsidRPr="00624835">
        <w:rPr>
          <w:szCs w:val="24"/>
        </w:rPr>
        <w:t xml:space="preserve"> made by a specialised clinician and </w:t>
      </w:r>
      <w:r w:rsidR="00CE729A">
        <w:rPr>
          <w:szCs w:val="24"/>
        </w:rPr>
        <w:t>could</w:t>
      </w:r>
      <w:r w:rsidRPr="00624835">
        <w:rPr>
          <w:szCs w:val="24"/>
        </w:rPr>
        <w:t xml:space="preserve"> lead to other tests to </w:t>
      </w:r>
      <w:r w:rsidR="00CE729A">
        <w:rPr>
          <w:szCs w:val="24"/>
        </w:rPr>
        <w:t>confirm</w:t>
      </w:r>
      <w:r w:rsidRPr="00624835">
        <w:rPr>
          <w:szCs w:val="24"/>
        </w:rPr>
        <w:t xml:space="preserve"> the </w:t>
      </w:r>
      <w:r w:rsidR="00CE729A">
        <w:rPr>
          <w:szCs w:val="24"/>
        </w:rPr>
        <w:t>diagnosis</w:t>
      </w:r>
      <w:r w:rsidRPr="00624835">
        <w:rPr>
          <w:szCs w:val="24"/>
        </w:rPr>
        <w:t xml:space="preserve">. It was noted that there may be some access/equity issues due to the nature of the test and a need for access to specialist clinicians and </w:t>
      </w:r>
      <w:r w:rsidR="0006133A">
        <w:rPr>
          <w:szCs w:val="24"/>
        </w:rPr>
        <w:t>genetic counselling.</w:t>
      </w:r>
    </w:p>
    <w:p w14:paraId="60F64BB1" w14:textId="77777777" w:rsidR="00D90A38" w:rsidRPr="00F715D1" w:rsidRDefault="00BC1364" w:rsidP="00F715D1">
      <w:pPr>
        <w:pStyle w:val="Heading1"/>
      </w:pPr>
      <w:r w:rsidRPr="00F715D1">
        <w:t>Other significant factors</w:t>
      </w:r>
    </w:p>
    <w:p w14:paraId="63C2A07D" w14:textId="77777777" w:rsidR="00BC1364" w:rsidRPr="00E3780D" w:rsidRDefault="00E3780D" w:rsidP="00F715D1">
      <w:pPr>
        <w:spacing w:after="240"/>
        <w:rPr>
          <w:szCs w:val="24"/>
        </w:rPr>
      </w:pPr>
      <w:r w:rsidRPr="00E3780D">
        <w:rPr>
          <w:szCs w:val="24"/>
        </w:rPr>
        <w:t>Nil</w:t>
      </w:r>
    </w:p>
    <w:p w14:paraId="3C93B76C" w14:textId="77777777" w:rsidR="00BC1364" w:rsidRPr="00F715D1" w:rsidRDefault="00BC1364" w:rsidP="00F715D1">
      <w:pPr>
        <w:pStyle w:val="Heading1"/>
      </w:pPr>
      <w:r w:rsidRPr="00F715D1">
        <w:t xml:space="preserve">Applicant’s comments on MSAC’s </w:t>
      </w:r>
      <w:r w:rsidR="00DA56AA" w:rsidRPr="00F715D1">
        <w:t>Public Summary Document</w:t>
      </w:r>
    </w:p>
    <w:p w14:paraId="10052CA0" w14:textId="3C52B108" w:rsidR="00CA7BBC" w:rsidRDefault="00CA7BBC" w:rsidP="00BD5F6D">
      <w:pPr>
        <w:spacing w:after="240"/>
      </w:pPr>
      <w:r>
        <w:t>The applicants are pleased with the recommendation by MSAC supporting MBS listing of genomic testing for childhood syndromes and intellectual disability, including the time limited expansion of this testing to patients older than 10 years of age. Support for testing in these populations is a very important step forward f</w:t>
      </w:r>
      <w:r w:rsidR="00BD5F6D">
        <w:t>or patients and their families.</w:t>
      </w:r>
    </w:p>
    <w:p w14:paraId="09F0862D" w14:textId="4E59F504" w:rsidR="007313AD" w:rsidRPr="00E43165" w:rsidRDefault="00CA7BBC" w:rsidP="00CA7BBC">
      <w:r>
        <w:t xml:space="preserve">We support MSAC’s advice that further consultation is required to re-craft item descriptors, and offer our assistance in this process. The current item descriptor AAAAA should indicate “genome-wide” characterisation of germline variants, and the applicants also suggest the removal of the explicit exclusion of trio testing as part of item AAAAA. The restriction to singleton WEA will limit the ability of the testing laboratories to improve processes to provide timely services under a supply constrained environment. There are significant time savings associated with analysis of trio sequencing with curation times halved for trio analysis compared with singleton analysis. Trio testing also has the added advantage of minimising reporting of variants of unknown significance which can also add to the burden on families and clinical genetics services. Where trio testing is carried out there is also no longer a requirement to perform item CCCC3. Laboratories should be able to determine the most appropriate processes for their work flows and trios may be an option they will employ even with restricted funding.  </w:t>
      </w:r>
    </w:p>
    <w:p w14:paraId="6B581AF3" w14:textId="77777777" w:rsidR="00BC1364" w:rsidRPr="00F715D1" w:rsidRDefault="00271F18" w:rsidP="00F715D1">
      <w:pPr>
        <w:pStyle w:val="Heading1"/>
      </w:pPr>
      <w:r w:rsidRPr="00F715D1">
        <w:t>Further information on MSAC</w:t>
      </w:r>
    </w:p>
    <w:p w14:paraId="2E0EDBBB"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0"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819009" w16cid:durableId="211814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9AD00" w14:textId="77777777" w:rsidR="00D90EEF" w:rsidRDefault="00D90EEF" w:rsidP="00065623">
      <w:r>
        <w:separator/>
      </w:r>
    </w:p>
  </w:endnote>
  <w:endnote w:type="continuationSeparator" w:id="0">
    <w:p w14:paraId="1D841D98" w14:textId="77777777" w:rsidR="00D90EEF" w:rsidRDefault="00D90EE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E443" w14:textId="77777777" w:rsidR="008861DD" w:rsidRDefault="00886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34A8F5BB" w14:textId="20BCA166" w:rsidR="00D90EEF" w:rsidRDefault="00D90EEF">
        <w:pPr>
          <w:pStyle w:val="Footer"/>
          <w:jc w:val="right"/>
        </w:pPr>
        <w:r>
          <w:fldChar w:fldCharType="begin"/>
        </w:r>
        <w:r>
          <w:instrText xml:space="preserve"> PAGE   \* MERGEFORMAT </w:instrText>
        </w:r>
        <w:r>
          <w:fldChar w:fldCharType="separate"/>
        </w:r>
        <w:r w:rsidR="008861DD">
          <w:rPr>
            <w:noProof/>
          </w:rPr>
          <w:t>4</w:t>
        </w:r>
        <w:r>
          <w:rPr>
            <w:noProof/>
          </w:rPr>
          <w:fldChar w:fldCharType="end"/>
        </w:r>
      </w:p>
    </w:sdtContent>
  </w:sdt>
  <w:p w14:paraId="50E7CDE4" w14:textId="77777777" w:rsidR="00D90EEF" w:rsidRDefault="00D90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8C96" w14:textId="77777777" w:rsidR="008861DD" w:rsidRDefault="00886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5385" w14:textId="77777777" w:rsidR="00D90EEF" w:rsidRDefault="00D90EEF" w:rsidP="00065623">
      <w:r>
        <w:separator/>
      </w:r>
    </w:p>
  </w:footnote>
  <w:footnote w:type="continuationSeparator" w:id="0">
    <w:p w14:paraId="26A0DE3C" w14:textId="77777777" w:rsidR="00D90EEF" w:rsidRDefault="00D90EEF"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322B7" w14:textId="77777777" w:rsidR="008861DD" w:rsidRDefault="00886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AB5E" w14:textId="77777777" w:rsidR="008861DD" w:rsidRDefault="00886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1736E" w14:textId="77777777" w:rsidR="008861DD" w:rsidRDefault="00886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5A9"/>
    <w:multiLevelType w:val="hybridMultilevel"/>
    <w:tmpl w:val="65A87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CF4D69"/>
    <w:multiLevelType w:val="hybridMultilevel"/>
    <w:tmpl w:val="F758AD4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C65D09"/>
    <w:multiLevelType w:val="hybridMultilevel"/>
    <w:tmpl w:val="0D3E5586"/>
    <w:lvl w:ilvl="0" w:tplc="457C1618">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40E09B6"/>
    <w:multiLevelType w:val="hybridMultilevel"/>
    <w:tmpl w:val="6830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709FC"/>
    <w:multiLevelType w:val="hybridMultilevel"/>
    <w:tmpl w:val="787EE598"/>
    <w:lvl w:ilvl="0" w:tplc="848A2CF6">
      <w:start w:val="1"/>
      <w:numFmt w:val="bullet"/>
      <w:lvlText w:val=""/>
      <w:lvlJc w:val="left"/>
      <w:pPr>
        <w:tabs>
          <w:tab w:val="num" w:pos="720"/>
        </w:tabs>
        <w:ind w:left="720" w:hanging="360"/>
      </w:pPr>
      <w:rPr>
        <w:rFonts w:ascii="Wingdings" w:hAnsi="Wingdings" w:hint="default"/>
      </w:rPr>
    </w:lvl>
    <w:lvl w:ilvl="1" w:tplc="659A5B66">
      <w:start w:val="1"/>
      <w:numFmt w:val="bullet"/>
      <w:lvlText w:val=""/>
      <w:lvlJc w:val="left"/>
      <w:pPr>
        <w:tabs>
          <w:tab w:val="num" w:pos="1440"/>
        </w:tabs>
        <w:ind w:left="1440" w:hanging="360"/>
      </w:pPr>
      <w:rPr>
        <w:rFonts w:ascii="Wingdings" w:hAnsi="Wingdings" w:hint="default"/>
      </w:rPr>
    </w:lvl>
    <w:lvl w:ilvl="2" w:tplc="D8B88C86">
      <w:start w:val="1372"/>
      <w:numFmt w:val="bullet"/>
      <w:lvlText w:val=""/>
      <w:lvlJc w:val="left"/>
      <w:pPr>
        <w:tabs>
          <w:tab w:val="num" w:pos="2160"/>
        </w:tabs>
        <w:ind w:left="2160" w:hanging="360"/>
      </w:pPr>
      <w:rPr>
        <w:rFonts w:ascii="Wingdings" w:hAnsi="Wingdings" w:hint="default"/>
      </w:rPr>
    </w:lvl>
    <w:lvl w:ilvl="3" w:tplc="91481BA0" w:tentative="1">
      <w:start w:val="1"/>
      <w:numFmt w:val="bullet"/>
      <w:lvlText w:val=""/>
      <w:lvlJc w:val="left"/>
      <w:pPr>
        <w:tabs>
          <w:tab w:val="num" w:pos="2880"/>
        </w:tabs>
        <w:ind w:left="2880" w:hanging="360"/>
      </w:pPr>
      <w:rPr>
        <w:rFonts w:ascii="Wingdings" w:hAnsi="Wingdings" w:hint="default"/>
      </w:rPr>
    </w:lvl>
    <w:lvl w:ilvl="4" w:tplc="1AFEDCFE" w:tentative="1">
      <w:start w:val="1"/>
      <w:numFmt w:val="bullet"/>
      <w:lvlText w:val=""/>
      <w:lvlJc w:val="left"/>
      <w:pPr>
        <w:tabs>
          <w:tab w:val="num" w:pos="3600"/>
        </w:tabs>
        <w:ind w:left="3600" w:hanging="360"/>
      </w:pPr>
      <w:rPr>
        <w:rFonts w:ascii="Wingdings" w:hAnsi="Wingdings" w:hint="default"/>
      </w:rPr>
    </w:lvl>
    <w:lvl w:ilvl="5" w:tplc="9A1220D8" w:tentative="1">
      <w:start w:val="1"/>
      <w:numFmt w:val="bullet"/>
      <w:lvlText w:val=""/>
      <w:lvlJc w:val="left"/>
      <w:pPr>
        <w:tabs>
          <w:tab w:val="num" w:pos="4320"/>
        </w:tabs>
        <w:ind w:left="4320" w:hanging="360"/>
      </w:pPr>
      <w:rPr>
        <w:rFonts w:ascii="Wingdings" w:hAnsi="Wingdings" w:hint="default"/>
      </w:rPr>
    </w:lvl>
    <w:lvl w:ilvl="6" w:tplc="531A9964" w:tentative="1">
      <w:start w:val="1"/>
      <w:numFmt w:val="bullet"/>
      <w:lvlText w:val=""/>
      <w:lvlJc w:val="left"/>
      <w:pPr>
        <w:tabs>
          <w:tab w:val="num" w:pos="5040"/>
        </w:tabs>
        <w:ind w:left="5040" w:hanging="360"/>
      </w:pPr>
      <w:rPr>
        <w:rFonts w:ascii="Wingdings" w:hAnsi="Wingdings" w:hint="default"/>
      </w:rPr>
    </w:lvl>
    <w:lvl w:ilvl="7" w:tplc="1B6665F0" w:tentative="1">
      <w:start w:val="1"/>
      <w:numFmt w:val="bullet"/>
      <w:lvlText w:val=""/>
      <w:lvlJc w:val="left"/>
      <w:pPr>
        <w:tabs>
          <w:tab w:val="num" w:pos="5760"/>
        </w:tabs>
        <w:ind w:left="5760" w:hanging="360"/>
      </w:pPr>
      <w:rPr>
        <w:rFonts w:ascii="Wingdings" w:hAnsi="Wingdings" w:hint="default"/>
      </w:rPr>
    </w:lvl>
    <w:lvl w:ilvl="8" w:tplc="0136C93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553E3"/>
    <w:multiLevelType w:val="hybridMultilevel"/>
    <w:tmpl w:val="EC609DE8"/>
    <w:lvl w:ilvl="0" w:tplc="70BA1AF6">
      <w:start w:val="1"/>
      <w:numFmt w:val="bullet"/>
      <w:lvlText w:val=""/>
      <w:lvlJc w:val="left"/>
      <w:pPr>
        <w:tabs>
          <w:tab w:val="num" w:pos="720"/>
        </w:tabs>
        <w:ind w:left="720" w:hanging="360"/>
      </w:pPr>
      <w:rPr>
        <w:rFonts w:ascii="Wingdings" w:hAnsi="Wingdings" w:hint="default"/>
      </w:rPr>
    </w:lvl>
    <w:lvl w:ilvl="1" w:tplc="CB90E702">
      <w:start w:val="1"/>
      <w:numFmt w:val="bullet"/>
      <w:lvlText w:val=""/>
      <w:lvlJc w:val="left"/>
      <w:pPr>
        <w:tabs>
          <w:tab w:val="num" w:pos="1440"/>
        </w:tabs>
        <w:ind w:left="1440" w:hanging="360"/>
      </w:pPr>
      <w:rPr>
        <w:rFonts w:ascii="Wingdings" w:hAnsi="Wingdings" w:hint="default"/>
      </w:rPr>
    </w:lvl>
    <w:lvl w:ilvl="2" w:tplc="FDD8F654">
      <w:start w:val="3563"/>
      <w:numFmt w:val="bullet"/>
      <w:lvlText w:val=""/>
      <w:lvlJc w:val="left"/>
      <w:pPr>
        <w:tabs>
          <w:tab w:val="num" w:pos="2160"/>
        </w:tabs>
        <w:ind w:left="2160" w:hanging="360"/>
      </w:pPr>
      <w:rPr>
        <w:rFonts w:ascii="Wingdings" w:hAnsi="Wingdings" w:hint="default"/>
      </w:rPr>
    </w:lvl>
    <w:lvl w:ilvl="3" w:tplc="A91C319E" w:tentative="1">
      <w:start w:val="1"/>
      <w:numFmt w:val="bullet"/>
      <w:lvlText w:val=""/>
      <w:lvlJc w:val="left"/>
      <w:pPr>
        <w:tabs>
          <w:tab w:val="num" w:pos="2880"/>
        </w:tabs>
        <w:ind w:left="2880" w:hanging="360"/>
      </w:pPr>
      <w:rPr>
        <w:rFonts w:ascii="Wingdings" w:hAnsi="Wingdings" w:hint="default"/>
      </w:rPr>
    </w:lvl>
    <w:lvl w:ilvl="4" w:tplc="D80E2A16" w:tentative="1">
      <w:start w:val="1"/>
      <w:numFmt w:val="bullet"/>
      <w:lvlText w:val=""/>
      <w:lvlJc w:val="left"/>
      <w:pPr>
        <w:tabs>
          <w:tab w:val="num" w:pos="3600"/>
        </w:tabs>
        <w:ind w:left="3600" w:hanging="360"/>
      </w:pPr>
      <w:rPr>
        <w:rFonts w:ascii="Wingdings" w:hAnsi="Wingdings" w:hint="default"/>
      </w:rPr>
    </w:lvl>
    <w:lvl w:ilvl="5" w:tplc="EE30409C" w:tentative="1">
      <w:start w:val="1"/>
      <w:numFmt w:val="bullet"/>
      <w:lvlText w:val=""/>
      <w:lvlJc w:val="left"/>
      <w:pPr>
        <w:tabs>
          <w:tab w:val="num" w:pos="4320"/>
        </w:tabs>
        <w:ind w:left="4320" w:hanging="360"/>
      </w:pPr>
      <w:rPr>
        <w:rFonts w:ascii="Wingdings" w:hAnsi="Wingdings" w:hint="default"/>
      </w:rPr>
    </w:lvl>
    <w:lvl w:ilvl="6" w:tplc="347A7828" w:tentative="1">
      <w:start w:val="1"/>
      <w:numFmt w:val="bullet"/>
      <w:lvlText w:val=""/>
      <w:lvlJc w:val="left"/>
      <w:pPr>
        <w:tabs>
          <w:tab w:val="num" w:pos="5040"/>
        </w:tabs>
        <w:ind w:left="5040" w:hanging="360"/>
      </w:pPr>
      <w:rPr>
        <w:rFonts w:ascii="Wingdings" w:hAnsi="Wingdings" w:hint="default"/>
      </w:rPr>
    </w:lvl>
    <w:lvl w:ilvl="7" w:tplc="08F034EA" w:tentative="1">
      <w:start w:val="1"/>
      <w:numFmt w:val="bullet"/>
      <w:lvlText w:val=""/>
      <w:lvlJc w:val="left"/>
      <w:pPr>
        <w:tabs>
          <w:tab w:val="num" w:pos="5760"/>
        </w:tabs>
        <w:ind w:left="5760" w:hanging="360"/>
      </w:pPr>
      <w:rPr>
        <w:rFonts w:ascii="Wingdings" w:hAnsi="Wingdings" w:hint="default"/>
      </w:rPr>
    </w:lvl>
    <w:lvl w:ilvl="8" w:tplc="737E1A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D93BB3"/>
    <w:multiLevelType w:val="hybridMultilevel"/>
    <w:tmpl w:val="0A9C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5775A66"/>
    <w:multiLevelType w:val="hybridMultilevel"/>
    <w:tmpl w:val="A7C4BD7A"/>
    <w:lvl w:ilvl="0" w:tplc="6EDAFC6C">
      <w:start w:val="1"/>
      <w:numFmt w:val="bullet"/>
      <w:lvlText w:val=""/>
      <w:lvlJc w:val="left"/>
      <w:pPr>
        <w:tabs>
          <w:tab w:val="num" w:pos="720"/>
        </w:tabs>
        <w:ind w:left="720" w:hanging="360"/>
      </w:pPr>
      <w:rPr>
        <w:rFonts w:ascii="Wingdings" w:hAnsi="Wingdings" w:hint="default"/>
      </w:rPr>
    </w:lvl>
    <w:lvl w:ilvl="1" w:tplc="6498AE8C">
      <w:start w:val="1"/>
      <w:numFmt w:val="bullet"/>
      <w:lvlText w:val=""/>
      <w:lvlJc w:val="left"/>
      <w:pPr>
        <w:tabs>
          <w:tab w:val="num" w:pos="1440"/>
        </w:tabs>
        <w:ind w:left="1440" w:hanging="360"/>
      </w:pPr>
      <w:rPr>
        <w:rFonts w:ascii="Wingdings" w:hAnsi="Wingdings" w:hint="default"/>
      </w:rPr>
    </w:lvl>
    <w:lvl w:ilvl="2" w:tplc="BFB87D92">
      <w:start w:val="2317"/>
      <w:numFmt w:val="bullet"/>
      <w:lvlText w:val=""/>
      <w:lvlJc w:val="left"/>
      <w:pPr>
        <w:tabs>
          <w:tab w:val="num" w:pos="2160"/>
        </w:tabs>
        <w:ind w:left="2160" w:hanging="360"/>
      </w:pPr>
      <w:rPr>
        <w:rFonts w:ascii="Wingdings" w:hAnsi="Wingdings" w:hint="default"/>
      </w:rPr>
    </w:lvl>
    <w:lvl w:ilvl="3" w:tplc="D5F80C9C">
      <w:start w:val="2317"/>
      <w:numFmt w:val="bullet"/>
      <w:lvlText w:val=""/>
      <w:lvlJc w:val="left"/>
      <w:pPr>
        <w:tabs>
          <w:tab w:val="num" w:pos="2880"/>
        </w:tabs>
        <w:ind w:left="2880" w:hanging="360"/>
      </w:pPr>
      <w:rPr>
        <w:rFonts w:ascii="Wingdings" w:hAnsi="Wingdings" w:hint="default"/>
      </w:rPr>
    </w:lvl>
    <w:lvl w:ilvl="4" w:tplc="067ACA1C" w:tentative="1">
      <w:start w:val="1"/>
      <w:numFmt w:val="bullet"/>
      <w:lvlText w:val=""/>
      <w:lvlJc w:val="left"/>
      <w:pPr>
        <w:tabs>
          <w:tab w:val="num" w:pos="3600"/>
        </w:tabs>
        <w:ind w:left="3600" w:hanging="360"/>
      </w:pPr>
      <w:rPr>
        <w:rFonts w:ascii="Wingdings" w:hAnsi="Wingdings" w:hint="default"/>
      </w:rPr>
    </w:lvl>
    <w:lvl w:ilvl="5" w:tplc="4F5AC2C4" w:tentative="1">
      <w:start w:val="1"/>
      <w:numFmt w:val="bullet"/>
      <w:lvlText w:val=""/>
      <w:lvlJc w:val="left"/>
      <w:pPr>
        <w:tabs>
          <w:tab w:val="num" w:pos="4320"/>
        </w:tabs>
        <w:ind w:left="4320" w:hanging="360"/>
      </w:pPr>
      <w:rPr>
        <w:rFonts w:ascii="Wingdings" w:hAnsi="Wingdings" w:hint="default"/>
      </w:rPr>
    </w:lvl>
    <w:lvl w:ilvl="6" w:tplc="82EAEDE0" w:tentative="1">
      <w:start w:val="1"/>
      <w:numFmt w:val="bullet"/>
      <w:lvlText w:val=""/>
      <w:lvlJc w:val="left"/>
      <w:pPr>
        <w:tabs>
          <w:tab w:val="num" w:pos="5040"/>
        </w:tabs>
        <w:ind w:left="5040" w:hanging="360"/>
      </w:pPr>
      <w:rPr>
        <w:rFonts w:ascii="Wingdings" w:hAnsi="Wingdings" w:hint="default"/>
      </w:rPr>
    </w:lvl>
    <w:lvl w:ilvl="7" w:tplc="41524D06" w:tentative="1">
      <w:start w:val="1"/>
      <w:numFmt w:val="bullet"/>
      <w:lvlText w:val=""/>
      <w:lvlJc w:val="left"/>
      <w:pPr>
        <w:tabs>
          <w:tab w:val="num" w:pos="5760"/>
        </w:tabs>
        <w:ind w:left="5760" w:hanging="360"/>
      </w:pPr>
      <w:rPr>
        <w:rFonts w:ascii="Wingdings" w:hAnsi="Wingdings" w:hint="default"/>
      </w:rPr>
    </w:lvl>
    <w:lvl w:ilvl="8" w:tplc="72A6C5D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746013B"/>
    <w:multiLevelType w:val="hybridMultilevel"/>
    <w:tmpl w:val="C6CE7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623D61"/>
    <w:multiLevelType w:val="hybridMultilevel"/>
    <w:tmpl w:val="F88EE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9B7796"/>
    <w:multiLevelType w:val="hybridMultilevel"/>
    <w:tmpl w:val="213E972A"/>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22"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67A14D6C"/>
    <w:multiLevelType w:val="hybridMultilevel"/>
    <w:tmpl w:val="E3548DF0"/>
    <w:lvl w:ilvl="0" w:tplc="3D6CECE0">
      <w:start w:val="1"/>
      <w:numFmt w:val="bullet"/>
      <w:pStyle w:val="Bullet12"/>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3"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3AB44D5"/>
    <w:multiLevelType w:val="hybridMultilevel"/>
    <w:tmpl w:val="AA02C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C06B2A"/>
    <w:multiLevelType w:val="hybridMultilevel"/>
    <w:tmpl w:val="DF2C3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9"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3"/>
  </w:num>
  <w:num w:numId="4">
    <w:abstractNumId w:val="25"/>
  </w:num>
  <w:num w:numId="5">
    <w:abstractNumId w:val="16"/>
  </w:num>
  <w:num w:numId="6">
    <w:abstractNumId w:val="24"/>
  </w:num>
  <w:num w:numId="7">
    <w:abstractNumId w:val="28"/>
  </w:num>
  <w:num w:numId="8">
    <w:abstractNumId w:val="17"/>
  </w:num>
  <w:num w:numId="9">
    <w:abstractNumId w:val="39"/>
  </w:num>
  <w:num w:numId="10">
    <w:abstractNumId w:val="2"/>
  </w:num>
  <w:num w:numId="11">
    <w:abstractNumId w:val="27"/>
  </w:num>
  <w:num w:numId="12">
    <w:abstractNumId w:val="29"/>
  </w:num>
  <w:num w:numId="13">
    <w:abstractNumId w:val="9"/>
  </w:num>
  <w:num w:numId="14">
    <w:abstractNumId w:val="34"/>
  </w:num>
  <w:num w:numId="15">
    <w:abstractNumId w:val="26"/>
  </w:num>
  <w:num w:numId="16">
    <w:abstractNumId w:val="30"/>
  </w:num>
  <w:num w:numId="17">
    <w:abstractNumId w:val="20"/>
  </w:num>
  <w:num w:numId="18">
    <w:abstractNumId w:val="22"/>
  </w:num>
  <w:num w:numId="19">
    <w:abstractNumId w:val="33"/>
  </w:num>
  <w:num w:numId="20">
    <w:abstractNumId w:val="31"/>
  </w:num>
  <w:num w:numId="21">
    <w:abstractNumId w:val="5"/>
  </w:num>
  <w:num w:numId="22">
    <w:abstractNumId w:val="15"/>
  </w:num>
  <w:num w:numId="23">
    <w:abstractNumId w:val="4"/>
  </w:num>
  <w:num w:numId="24">
    <w:abstractNumId w:val="13"/>
  </w:num>
  <w:num w:numId="25">
    <w:abstractNumId w:val="11"/>
  </w:num>
  <w:num w:numId="26">
    <w:abstractNumId w:val="37"/>
  </w:num>
  <w:num w:numId="27">
    <w:abstractNumId w:val="6"/>
  </w:num>
  <w:num w:numId="28">
    <w:abstractNumId w:val="18"/>
  </w:num>
  <w:num w:numId="29">
    <w:abstractNumId w:val="38"/>
  </w:num>
  <w:num w:numId="30">
    <w:abstractNumId w:val="10"/>
  </w:num>
  <w:num w:numId="31">
    <w:abstractNumId w:val="36"/>
  </w:num>
  <w:num w:numId="32">
    <w:abstractNumId w:val="19"/>
  </w:num>
  <w:num w:numId="33">
    <w:abstractNumId w:val="1"/>
  </w:num>
  <w:num w:numId="34">
    <w:abstractNumId w:val="32"/>
  </w:num>
  <w:num w:numId="35">
    <w:abstractNumId w:val="35"/>
  </w:num>
  <w:num w:numId="36">
    <w:abstractNumId w:val="37"/>
  </w:num>
  <w:num w:numId="37">
    <w:abstractNumId w:val="14"/>
  </w:num>
  <w:num w:numId="38">
    <w:abstractNumId w:val="8"/>
  </w:num>
  <w:num w:numId="39">
    <w:abstractNumId w:val="7"/>
  </w:num>
  <w:num w:numId="40">
    <w:abstractNumId w:val="37"/>
  </w:num>
  <w:num w:numId="41">
    <w:abstractNumId w:val="0"/>
  </w:num>
  <w:num w:numId="42">
    <w:abstractNumId w:val="37"/>
  </w:num>
  <w:num w:numId="43">
    <w:abstractNumId w:val="37"/>
  </w:num>
  <w:num w:numId="44">
    <w:abstractNumId w:val="3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6E82"/>
    <w:rsid w:val="00007312"/>
    <w:rsid w:val="00011A36"/>
    <w:rsid w:val="000355B8"/>
    <w:rsid w:val="00046B7D"/>
    <w:rsid w:val="00047606"/>
    <w:rsid w:val="00051BD8"/>
    <w:rsid w:val="000569BD"/>
    <w:rsid w:val="0006133A"/>
    <w:rsid w:val="00065623"/>
    <w:rsid w:val="000756B9"/>
    <w:rsid w:val="0008217D"/>
    <w:rsid w:val="00082703"/>
    <w:rsid w:val="00083868"/>
    <w:rsid w:val="00084C54"/>
    <w:rsid w:val="00086CD0"/>
    <w:rsid w:val="0008731B"/>
    <w:rsid w:val="00092CCA"/>
    <w:rsid w:val="00096B67"/>
    <w:rsid w:val="00096DAF"/>
    <w:rsid w:val="000A3BE7"/>
    <w:rsid w:val="000A678B"/>
    <w:rsid w:val="000A768F"/>
    <w:rsid w:val="000C2F47"/>
    <w:rsid w:val="000C5D80"/>
    <w:rsid w:val="000C69FB"/>
    <w:rsid w:val="000D08B4"/>
    <w:rsid w:val="000D2B9A"/>
    <w:rsid w:val="000D6C00"/>
    <w:rsid w:val="000E0B2E"/>
    <w:rsid w:val="000E4E04"/>
    <w:rsid w:val="000F14B4"/>
    <w:rsid w:val="000F44F9"/>
    <w:rsid w:val="000F5005"/>
    <w:rsid w:val="000F75DF"/>
    <w:rsid w:val="001023DC"/>
    <w:rsid w:val="00104A57"/>
    <w:rsid w:val="00112A19"/>
    <w:rsid w:val="00115EAA"/>
    <w:rsid w:val="00117348"/>
    <w:rsid w:val="001200FF"/>
    <w:rsid w:val="0012300D"/>
    <w:rsid w:val="001328FA"/>
    <w:rsid w:val="00147AAF"/>
    <w:rsid w:val="00154BAB"/>
    <w:rsid w:val="001552C0"/>
    <w:rsid w:val="001640B1"/>
    <w:rsid w:val="00183DBE"/>
    <w:rsid w:val="00183F5A"/>
    <w:rsid w:val="0018435E"/>
    <w:rsid w:val="001964D2"/>
    <w:rsid w:val="001B6101"/>
    <w:rsid w:val="001C0833"/>
    <w:rsid w:val="001C2E4E"/>
    <w:rsid w:val="001C350C"/>
    <w:rsid w:val="001D1BCA"/>
    <w:rsid w:val="001D6406"/>
    <w:rsid w:val="002041A1"/>
    <w:rsid w:val="002054F0"/>
    <w:rsid w:val="00207E1C"/>
    <w:rsid w:val="00225E31"/>
    <w:rsid w:val="00227290"/>
    <w:rsid w:val="00230D6B"/>
    <w:rsid w:val="00232068"/>
    <w:rsid w:val="0023263D"/>
    <w:rsid w:val="0023272E"/>
    <w:rsid w:val="002330F2"/>
    <w:rsid w:val="00235D25"/>
    <w:rsid w:val="0024002F"/>
    <w:rsid w:val="00243D9E"/>
    <w:rsid w:val="00252762"/>
    <w:rsid w:val="00253B66"/>
    <w:rsid w:val="002570D6"/>
    <w:rsid w:val="00261DF1"/>
    <w:rsid w:val="00263A7C"/>
    <w:rsid w:val="00270D7E"/>
    <w:rsid w:val="00271F18"/>
    <w:rsid w:val="002753C6"/>
    <w:rsid w:val="00282779"/>
    <w:rsid w:val="0028334D"/>
    <w:rsid w:val="002B2C74"/>
    <w:rsid w:val="002B7FFA"/>
    <w:rsid w:val="002C21B4"/>
    <w:rsid w:val="002C2BCF"/>
    <w:rsid w:val="002D6BC9"/>
    <w:rsid w:val="002E3D87"/>
    <w:rsid w:val="002F279D"/>
    <w:rsid w:val="002F43B8"/>
    <w:rsid w:val="002F7E28"/>
    <w:rsid w:val="00303964"/>
    <w:rsid w:val="00306837"/>
    <w:rsid w:val="0030727D"/>
    <w:rsid w:val="00316BB9"/>
    <w:rsid w:val="00317861"/>
    <w:rsid w:val="003315C4"/>
    <w:rsid w:val="00333FD7"/>
    <w:rsid w:val="00336856"/>
    <w:rsid w:val="00342454"/>
    <w:rsid w:val="0034554D"/>
    <w:rsid w:val="00352224"/>
    <w:rsid w:val="003671E6"/>
    <w:rsid w:val="00384272"/>
    <w:rsid w:val="00386D67"/>
    <w:rsid w:val="003945B8"/>
    <w:rsid w:val="003A13D4"/>
    <w:rsid w:val="003B14A4"/>
    <w:rsid w:val="003B5330"/>
    <w:rsid w:val="003C125E"/>
    <w:rsid w:val="003D15F0"/>
    <w:rsid w:val="003D7F29"/>
    <w:rsid w:val="003F13BD"/>
    <w:rsid w:val="003F7A6A"/>
    <w:rsid w:val="00401DEB"/>
    <w:rsid w:val="00405A6B"/>
    <w:rsid w:val="00406FE0"/>
    <w:rsid w:val="00407B1F"/>
    <w:rsid w:val="0041184F"/>
    <w:rsid w:val="00414C57"/>
    <w:rsid w:val="0041758C"/>
    <w:rsid w:val="004314D0"/>
    <w:rsid w:val="00436662"/>
    <w:rsid w:val="0044164C"/>
    <w:rsid w:val="00446B3E"/>
    <w:rsid w:val="00451033"/>
    <w:rsid w:val="004539DE"/>
    <w:rsid w:val="00474D22"/>
    <w:rsid w:val="00486832"/>
    <w:rsid w:val="004A2CF1"/>
    <w:rsid w:val="004C3035"/>
    <w:rsid w:val="004C307F"/>
    <w:rsid w:val="004C5A49"/>
    <w:rsid w:val="004C646E"/>
    <w:rsid w:val="004C693C"/>
    <w:rsid w:val="004D071F"/>
    <w:rsid w:val="004D40D9"/>
    <w:rsid w:val="004E4BA8"/>
    <w:rsid w:val="004E67D0"/>
    <w:rsid w:val="004F1FFB"/>
    <w:rsid w:val="004F340F"/>
    <w:rsid w:val="004F62D9"/>
    <w:rsid w:val="004F7B7C"/>
    <w:rsid w:val="00501ED9"/>
    <w:rsid w:val="0050327E"/>
    <w:rsid w:val="005076BB"/>
    <w:rsid w:val="00515167"/>
    <w:rsid w:val="0052243D"/>
    <w:rsid w:val="00530BBE"/>
    <w:rsid w:val="00532435"/>
    <w:rsid w:val="00547F75"/>
    <w:rsid w:val="00550354"/>
    <w:rsid w:val="00570BB4"/>
    <w:rsid w:val="00571236"/>
    <w:rsid w:val="00582AC5"/>
    <w:rsid w:val="005913F7"/>
    <w:rsid w:val="005953A1"/>
    <w:rsid w:val="005A4362"/>
    <w:rsid w:val="005B5434"/>
    <w:rsid w:val="005C192F"/>
    <w:rsid w:val="005C5A4E"/>
    <w:rsid w:val="005D0332"/>
    <w:rsid w:val="005D0D8C"/>
    <w:rsid w:val="005E1BE3"/>
    <w:rsid w:val="005E6563"/>
    <w:rsid w:val="006011DB"/>
    <w:rsid w:val="006058F8"/>
    <w:rsid w:val="006064AB"/>
    <w:rsid w:val="00610659"/>
    <w:rsid w:val="00613E0D"/>
    <w:rsid w:val="006309B2"/>
    <w:rsid w:val="00634F9C"/>
    <w:rsid w:val="00645461"/>
    <w:rsid w:val="00650606"/>
    <w:rsid w:val="00662AFC"/>
    <w:rsid w:val="00664DB5"/>
    <w:rsid w:val="00666EE4"/>
    <w:rsid w:val="006776AE"/>
    <w:rsid w:val="0068103A"/>
    <w:rsid w:val="006A0D97"/>
    <w:rsid w:val="006A4DE0"/>
    <w:rsid w:val="006B1F86"/>
    <w:rsid w:val="006C0A91"/>
    <w:rsid w:val="006C57F6"/>
    <w:rsid w:val="006D2CCB"/>
    <w:rsid w:val="006E74F2"/>
    <w:rsid w:val="006F16A1"/>
    <w:rsid w:val="007033C4"/>
    <w:rsid w:val="007052AA"/>
    <w:rsid w:val="007054BB"/>
    <w:rsid w:val="00707064"/>
    <w:rsid w:val="0071164C"/>
    <w:rsid w:val="007162EC"/>
    <w:rsid w:val="00721487"/>
    <w:rsid w:val="00730054"/>
    <w:rsid w:val="00730189"/>
    <w:rsid w:val="00730683"/>
    <w:rsid w:val="007313AD"/>
    <w:rsid w:val="0073726F"/>
    <w:rsid w:val="00751D51"/>
    <w:rsid w:val="0075261F"/>
    <w:rsid w:val="0075468E"/>
    <w:rsid w:val="00756CE5"/>
    <w:rsid w:val="007627D0"/>
    <w:rsid w:val="007665D8"/>
    <w:rsid w:val="00766E36"/>
    <w:rsid w:val="007765F4"/>
    <w:rsid w:val="00776633"/>
    <w:rsid w:val="007816D4"/>
    <w:rsid w:val="00784528"/>
    <w:rsid w:val="00784D53"/>
    <w:rsid w:val="00797797"/>
    <w:rsid w:val="007A63C9"/>
    <w:rsid w:val="007B32D1"/>
    <w:rsid w:val="007B7095"/>
    <w:rsid w:val="007C320B"/>
    <w:rsid w:val="007D183B"/>
    <w:rsid w:val="007D24E1"/>
    <w:rsid w:val="007D6288"/>
    <w:rsid w:val="007F044D"/>
    <w:rsid w:val="007F4CE9"/>
    <w:rsid w:val="007F4E20"/>
    <w:rsid w:val="007F77C6"/>
    <w:rsid w:val="00801235"/>
    <w:rsid w:val="00803AAC"/>
    <w:rsid w:val="00812436"/>
    <w:rsid w:val="00822C7E"/>
    <w:rsid w:val="00846C33"/>
    <w:rsid w:val="00847060"/>
    <w:rsid w:val="00847A36"/>
    <w:rsid w:val="00852827"/>
    <w:rsid w:val="00852CD0"/>
    <w:rsid w:val="00856A33"/>
    <w:rsid w:val="00864695"/>
    <w:rsid w:val="00865B39"/>
    <w:rsid w:val="00882D23"/>
    <w:rsid w:val="008861DD"/>
    <w:rsid w:val="008865CA"/>
    <w:rsid w:val="00892620"/>
    <w:rsid w:val="008B22C9"/>
    <w:rsid w:val="008C36FA"/>
    <w:rsid w:val="008C7194"/>
    <w:rsid w:val="008C7D37"/>
    <w:rsid w:val="008D5885"/>
    <w:rsid w:val="00920EF2"/>
    <w:rsid w:val="009223EC"/>
    <w:rsid w:val="00923FA2"/>
    <w:rsid w:val="009310D8"/>
    <w:rsid w:val="00957069"/>
    <w:rsid w:val="0096060D"/>
    <w:rsid w:val="00974A50"/>
    <w:rsid w:val="0097564C"/>
    <w:rsid w:val="0097585A"/>
    <w:rsid w:val="00980775"/>
    <w:rsid w:val="00981880"/>
    <w:rsid w:val="00985A3A"/>
    <w:rsid w:val="00986E7B"/>
    <w:rsid w:val="00991C97"/>
    <w:rsid w:val="009924B0"/>
    <w:rsid w:val="009942C9"/>
    <w:rsid w:val="009A2BE2"/>
    <w:rsid w:val="009A3D5C"/>
    <w:rsid w:val="009B1465"/>
    <w:rsid w:val="009B35C4"/>
    <w:rsid w:val="009C630A"/>
    <w:rsid w:val="009E0D98"/>
    <w:rsid w:val="00A068A1"/>
    <w:rsid w:val="00A06F59"/>
    <w:rsid w:val="00A1207D"/>
    <w:rsid w:val="00A12FD8"/>
    <w:rsid w:val="00A346FC"/>
    <w:rsid w:val="00A4790A"/>
    <w:rsid w:val="00A60BBC"/>
    <w:rsid w:val="00A846F2"/>
    <w:rsid w:val="00A84F93"/>
    <w:rsid w:val="00A94CAC"/>
    <w:rsid w:val="00A97950"/>
    <w:rsid w:val="00AB1AC5"/>
    <w:rsid w:val="00AB3BFC"/>
    <w:rsid w:val="00AB4F54"/>
    <w:rsid w:val="00AC0EC5"/>
    <w:rsid w:val="00AC3BFD"/>
    <w:rsid w:val="00AC4727"/>
    <w:rsid w:val="00AC4F2E"/>
    <w:rsid w:val="00AD0C37"/>
    <w:rsid w:val="00AD385F"/>
    <w:rsid w:val="00AE4024"/>
    <w:rsid w:val="00AE6E2A"/>
    <w:rsid w:val="00B02431"/>
    <w:rsid w:val="00B03EAB"/>
    <w:rsid w:val="00B03F88"/>
    <w:rsid w:val="00B11E47"/>
    <w:rsid w:val="00B13648"/>
    <w:rsid w:val="00B27903"/>
    <w:rsid w:val="00B31E9C"/>
    <w:rsid w:val="00B35595"/>
    <w:rsid w:val="00B355C2"/>
    <w:rsid w:val="00B51C6D"/>
    <w:rsid w:val="00B57822"/>
    <w:rsid w:val="00B57C9E"/>
    <w:rsid w:val="00B611D3"/>
    <w:rsid w:val="00B630DE"/>
    <w:rsid w:val="00B7051C"/>
    <w:rsid w:val="00B70CD2"/>
    <w:rsid w:val="00B816D6"/>
    <w:rsid w:val="00B83DD2"/>
    <w:rsid w:val="00B86D64"/>
    <w:rsid w:val="00B9190E"/>
    <w:rsid w:val="00BA4AC5"/>
    <w:rsid w:val="00BB6624"/>
    <w:rsid w:val="00BC1364"/>
    <w:rsid w:val="00BC2667"/>
    <w:rsid w:val="00BC2F84"/>
    <w:rsid w:val="00BC3F96"/>
    <w:rsid w:val="00BC7DE9"/>
    <w:rsid w:val="00BD4FA9"/>
    <w:rsid w:val="00BD5F6D"/>
    <w:rsid w:val="00BF30DF"/>
    <w:rsid w:val="00BF479B"/>
    <w:rsid w:val="00C02577"/>
    <w:rsid w:val="00C06487"/>
    <w:rsid w:val="00C204FB"/>
    <w:rsid w:val="00C20BEE"/>
    <w:rsid w:val="00C2158D"/>
    <w:rsid w:val="00C23A01"/>
    <w:rsid w:val="00C33483"/>
    <w:rsid w:val="00C372C3"/>
    <w:rsid w:val="00C41F2E"/>
    <w:rsid w:val="00C51AF9"/>
    <w:rsid w:val="00C5687B"/>
    <w:rsid w:val="00C67DD2"/>
    <w:rsid w:val="00C725CB"/>
    <w:rsid w:val="00C76F5C"/>
    <w:rsid w:val="00C92FF1"/>
    <w:rsid w:val="00C93459"/>
    <w:rsid w:val="00C93DE1"/>
    <w:rsid w:val="00C96BAD"/>
    <w:rsid w:val="00CA0E31"/>
    <w:rsid w:val="00CA2E39"/>
    <w:rsid w:val="00CA3091"/>
    <w:rsid w:val="00CA6944"/>
    <w:rsid w:val="00CA7BBC"/>
    <w:rsid w:val="00CB0F8E"/>
    <w:rsid w:val="00CB6866"/>
    <w:rsid w:val="00CB7E7D"/>
    <w:rsid w:val="00CC05D2"/>
    <w:rsid w:val="00CC2911"/>
    <w:rsid w:val="00CE0DF8"/>
    <w:rsid w:val="00CE729A"/>
    <w:rsid w:val="00CF0C6D"/>
    <w:rsid w:val="00CF258B"/>
    <w:rsid w:val="00CF7307"/>
    <w:rsid w:val="00CF7C68"/>
    <w:rsid w:val="00D124FA"/>
    <w:rsid w:val="00D145B7"/>
    <w:rsid w:val="00D14733"/>
    <w:rsid w:val="00D32790"/>
    <w:rsid w:val="00D32D5E"/>
    <w:rsid w:val="00D340DE"/>
    <w:rsid w:val="00D36B5F"/>
    <w:rsid w:val="00D55723"/>
    <w:rsid w:val="00D62FAD"/>
    <w:rsid w:val="00D64355"/>
    <w:rsid w:val="00D70450"/>
    <w:rsid w:val="00D83BFD"/>
    <w:rsid w:val="00D8529B"/>
    <w:rsid w:val="00D90A38"/>
    <w:rsid w:val="00D90EEF"/>
    <w:rsid w:val="00D930D3"/>
    <w:rsid w:val="00DA0515"/>
    <w:rsid w:val="00DA171E"/>
    <w:rsid w:val="00DA2BC6"/>
    <w:rsid w:val="00DA56AA"/>
    <w:rsid w:val="00DB1234"/>
    <w:rsid w:val="00DB5833"/>
    <w:rsid w:val="00DB747D"/>
    <w:rsid w:val="00DD2858"/>
    <w:rsid w:val="00DF2D4A"/>
    <w:rsid w:val="00DF454E"/>
    <w:rsid w:val="00E0046D"/>
    <w:rsid w:val="00E03E33"/>
    <w:rsid w:val="00E059E0"/>
    <w:rsid w:val="00E1372B"/>
    <w:rsid w:val="00E1610F"/>
    <w:rsid w:val="00E214D0"/>
    <w:rsid w:val="00E3642A"/>
    <w:rsid w:val="00E3780D"/>
    <w:rsid w:val="00E415C4"/>
    <w:rsid w:val="00E4273A"/>
    <w:rsid w:val="00E43165"/>
    <w:rsid w:val="00E50016"/>
    <w:rsid w:val="00E50EAA"/>
    <w:rsid w:val="00E5408B"/>
    <w:rsid w:val="00E57F95"/>
    <w:rsid w:val="00E656D6"/>
    <w:rsid w:val="00E76076"/>
    <w:rsid w:val="00E977EE"/>
    <w:rsid w:val="00EA2F24"/>
    <w:rsid w:val="00EA67A2"/>
    <w:rsid w:val="00EB630F"/>
    <w:rsid w:val="00EB6B6F"/>
    <w:rsid w:val="00EC4F98"/>
    <w:rsid w:val="00ED3CDD"/>
    <w:rsid w:val="00EE241D"/>
    <w:rsid w:val="00F07ACA"/>
    <w:rsid w:val="00F12F02"/>
    <w:rsid w:val="00F15624"/>
    <w:rsid w:val="00F23318"/>
    <w:rsid w:val="00F32AA0"/>
    <w:rsid w:val="00F32E0D"/>
    <w:rsid w:val="00F35134"/>
    <w:rsid w:val="00F37B9C"/>
    <w:rsid w:val="00F41812"/>
    <w:rsid w:val="00F472F4"/>
    <w:rsid w:val="00F50243"/>
    <w:rsid w:val="00F61334"/>
    <w:rsid w:val="00F715D1"/>
    <w:rsid w:val="00F72715"/>
    <w:rsid w:val="00F73333"/>
    <w:rsid w:val="00F87A18"/>
    <w:rsid w:val="00F95D8F"/>
    <w:rsid w:val="00FA537E"/>
    <w:rsid w:val="00FB13E1"/>
    <w:rsid w:val="00FB350A"/>
    <w:rsid w:val="00FB4C5D"/>
    <w:rsid w:val="00FD0C8D"/>
    <w:rsid w:val="00FE1C3F"/>
    <w:rsid w:val="00FE3680"/>
    <w:rsid w:val="00FE731D"/>
    <w:rsid w:val="00FE7B20"/>
    <w:rsid w:val="00FF57EB"/>
    <w:rsid w:val="00FF64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3DC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501ED9"/>
    <w:pPr>
      <w:keepNext/>
      <w:keepLines/>
      <w:spacing w:before="200"/>
      <w:outlineLvl w:val="1"/>
    </w:pPr>
    <w:rPr>
      <w:rFonts w:eastAsiaTheme="majorEastAsia" w:cstheme="majorBidi"/>
      <w:b/>
      <w:bCs/>
      <w:szCs w:val="26"/>
    </w:rPr>
  </w:style>
  <w:style w:type="paragraph" w:styleId="Heading3">
    <w:name w:val="heading 3"/>
    <w:basedOn w:val="Body"/>
    <w:next w:val="Normal"/>
    <w:link w:val="Heading3Char"/>
    <w:unhideWhenUsed/>
    <w:qFormat/>
    <w:locked/>
    <w:rsid w:val="003D15F0"/>
    <w:pPr>
      <w:spacing w:before="240" w:line="240" w:lineRule="auto"/>
      <w:outlineLvl w:val="2"/>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501ED9"/>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BulletBeforeDash">
    <w:name w:val="BulletBeforeDash"/>
    <w:basedOn w:val="Normal"/>
    <w:rsid w:val="00B11E47"/>
    <w:pPr>
      <w:numPr>
        <w:numId w:val="26"/>
      </w:numPr>
    </w:pPr>
    <w:rPr>
      <w:color w:val="000000"/>
      <w:sz w:val="23"/>
    </w:rPr>
  </w:style>
  <w:style w:type="paragraph" w:customStyle="1" w:styleId="Bullet">
    <w:name w:val="Bullet"/>
    <w:basedOn w:val="BulletBeforeDash"/>
    <w:qFormat/>
    <w:rsid w:val="00B11E47"/>
    <w:pPr>
      <w:spacing w:after="120"/>
    </w:pPr>
  </w:style>
  <w:style w:type="paragraph" w:customStyle="1" w:styleId="BulletLast">
    <w:name w:val="BulletLast"/>
    <w:basedOn w:val="Bullet"/>
    <w:qFormat/>
    <w:rsid w:val="00B11E47"/>
    <w:pPr>
      <w:spacing w:after="240"/>
    </w:pPr>
  </w:style>
  <w:style w:type="paragraph" w:customStyle="1" w:styleId="Body">
    <w:name w:val="Body"/>
    <w:link w:val="BodyChar"/>
    <w:qFormat/>
    <w:rsid w:val="00316BB9"/>
    <w:pPr>
      <w:spacing w:after="120" w:line="276" w:lineRule="auto"/>
    </w:pPr>
    <w:rPr>
      <w:rFonts w:asciiTheme="minorHAnsi" w:eastAsiaTheme="minorHAnsi" w:hAnsiTheme="minorHAnsi" w:cstheme="minorBidi"/>
      <w:sz w:val="24"/>
      <w:szCs w:val="24"/>
      <w:lang w:eastAsia="en-US"/>
    </w:rPr>
  </w:style>
  <w:style w:type="character" w:customStyle="1" w:styleId="BodyChar">
    <w:name w:val="Body Char"/>
    <w:basedOn w:val="DefaultParagraphFont"/>
    <w:link w:val="Body"/>
    <w:rsid w:val="00316BB9"/>
    <w:rPr>
      <w:rFonts w:asciiTheme="minorHAnsi" w:eastAsiaTheme="minorHAnsi" w:hAnsiTheme="minorHAnsi" w:cstheme="minorBidi"/>
      <w:sz w:val="24"/>
      <w:szCs w:val="24"/>
      <w:lang w:eastAsia="en-US"/>
    </w:rPr>
  </w:style>
  <w:style w:type="table" w:styleId="TableGrid">
    <w:name w:val="Table Grid"/>
    <w:basedOn w:val="TableNormal"/>
    <w:uiPriority w:val="59"/>
    <w:locked/>
    <w:rsid w:val="001C2E4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C2E4E"/>
    <w:rPr>
      <w:rFonts w:ascii="Arial Narrow" w:hAnsi="Arial Narrow"/>
      <w:sz w:val="20"/>
      <w:szCs w:val="24"/>
      <w:lang w:eastAsia="en-US"/>
    </w:rPr>
  </w:style>
  <w:style w:type="character" w:customStyle="1" w:styleId="TabletextChar">
    <w:name w:val="Table text Char"/>
    <w:basedOn w:val="DefaultParagraphFont"/>
    <w:link w:val="Tabletext"/>
    <w:rsid w:val="001C2E4E"/>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1C2E4E"/>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1C2E4E"/>
    <w:rPr>
      <w:rFonts w:ascii="Arial Narrow" w:eastAsia="Times New Roman" w:hAnsi="Arial Narrow" w:cs="Arial"/>
      <w:b/>
      <w:bCs/>
      <w:iCs/>
      <w:sz w:val="20"/>
      <w:szCs w:val="20"/>
      <w:lang w:eastAsia="en-US"/>
    </w:rPr>
  </w:style>
  <w:style w:type="paragraph" w:customStyle="1" w:styleId="Tableheading">
    <w:name w:val="Table heading"/>
    <w:qFormat/>
    <w:rsid w:val="001C2E4E"/>
    <w:pPr>
      <w:keepNext/>
    </w:pPr>
    <w:rPr>
      <w:rFonts w:asciiTheme="minorHAnsi" w:eastAsiaTheme="minorHAnsi" w:hAnsiTheme="minorHAnsi" w:cstheme="minorBidi"/>
      <w:b/>
      <w:sz w:val="20"/>
      <w:szCs w:val="24"/>
      <w:lang w:eastAsia="en-US"/>
    </w:rPr>
  </w:style>
  <w:style w:type="paragraph" w:customStyle="1" w:styleId="Tabletextindent">
    <w:name w:val="Table text indent"/>
    <w:basedOn w:val="Tabletext"/>
    <w:link w:val="TabletextindentChar"/>
    <w:qFormat/>
    <w:rsid w:val="001C2E4E"/>
    <w:pPr>
      <w:keepNext/>
      <w:spacing w:before="20" w:after="20"/>
      <w:ind w:left="113"/>
    </w:pPr>
    <w:rPr>
      <w:rFonts w:asciiTheme="minorHAnsi" w:hAnsiTheme="minorHAnsi"/>
      <w:sz w:val="18"/>
    </w:rPr>
  </w:style>
  <w:style w:type="character" w:customStyle="1" w:styleId="TabletextindentChar">
    <w:name w:val="Table text indent Char"/>
    <w:basedOn w:val="TabletextChar"/>
    <w:link w:val="Tabletextindent"/>
    <w:rsid w:val="001C2E4E"/>
    <w:rPr>
      <w:rFonts w:asciiTheme="minorHAnsi" w:eastAsia="Times New Roman" w:hAnsiTheme="minorHAnsi"/>
      <w:sz w:val="18"/>
      <w:szCs w:val="24"/>
      <w:lang w:eastAsia="en-US"/>
    </w:rPr>
  </w:style>
  <w:style w:type="character" w:styleId="Emphasis">
    <w:name w:val="Emphasis"/>
    <w:uiPriority w:val="20"/>
    <w:qFormat/>
    <w:locked/>
    <w:rsid w:val="000C5D80"/>
    <w:rPr>
      <w:rFonts w:ascii="Garamond" w:eastAsia="Times New Roman" w:hAnsi="Garamond" w:cs="Times New Roman"/>
      <w:i/>
      <w:sz w:val="24"/>
      <w:szCs w:val="24"/>
    </w:rPr>
  </w:style>
  <w:style w:type="paragraph" w:customStyle="1" w:styleId="Tablenote">
    <w:name w:val="Table note"/>
    <w:basedOn w:val="Normal"/>
    <w:qFormat/>
    <w:rsid w:val="000C5D80"/>
    <w:pPr>
      <w:spacing w:before="20" w:after="360"/>
      <w:ind w:left="284" w:hanging="142"/>
      <w:contextualSpacing/>
    </w:pPr>
    <w:rPr>
      <w:rFonts w:asciiTheme="minorHAnsi" w:eastAsiaTheme="minorHAnsi" w:hAnsiTheme="minorHAnsi" w:cstheme="minorBidi"/>
      <w:i/>
      <w:sz w:val="16"/>
      <w:szCs w:val="24"/>
      <w:lang w:eastAsia="en-US"/>
    </w:rPr>
  </w:style>
  <w:style w:type="table" w:customStyle="1" w:styleId="TableGridLight1">
    <w:name w:val="Table Grid Light1"/>
    <w:basedOn w:val="TableNormal"/>
    <w:uiPriority w:val="40"/>
    <w:rsid w:val="000C5D80"/>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1">
    <w:name w:val="Table H1"/>
    <w:basedOn w:val="Heading1"/>
    <w:uiPriority w:val="4"/>
    <w:qFormat/>
    <w:rsid w:val="00730189"/>
  </w:style>
  <w:style w:type="character" w:customStyle="1" w:styleId="Heading3Char">
    <w:name w:val="Heading 3 Char"/>
    <w:basedOn w:val="DefaultParagraphFont"/>
    <w:link w:val="Heading3"/>
    <w:rsid w:val="003D15F0"/>
    <w:rPr>
      <w:rFonts w:eastAsiaTheme="minorHAnsi" w:cstheme="minorBidi"/>
      <w:i/>
      <w:sz w:val="24"/>
      <w:szCs w:val="24"/>
      <w:lang w:eastAsia="en-US"/>
    </w:rPr>
  </w:style>
  <w:style w:type="paragraph" w:customStyle="1" w:styleId="Bullet12">
    <w:name w:val="Bullet+12"/>
    <w:basedOn w:val="Body"/>
    <w:qFormat/>
    <w:rsid w:val="00846C33"/>
    <w:pPr>
      <w:keepLines/>
      <w:numPr>
        <w:numId w:val="34"/>
      </w:numPr>
      <w:tabs>
        <w:tab w:val="num" w:pos="360"/>
      </w:tabs>
      <w:spacing w:after="240"/>
      <w:ind w:left="811" w:hanging="357"/>
      <w:contextualSpacing/>
    </w:pPr>
  </w:style>
  <w:style w:type="paragraph" w:customStyle="1" w:styleId="NormalBeforeBullet">
    <w:name w:val="NormalBeforeBullet"/>
    <w:basedOn w:val="Normal"/>
    <w:qFormat/>
    <w:rsid w:val="00446B3E"/>
    <w:pPr>
      <w:keepNext/>
      <w:spacing w:after="120"/>
    </w:pPr>
    <w:rPr>
      <w:color w:val="000000"/>
    </w:rPr>
  </w:style>
  <w:style w:type="paragraph" w:customStyle="1" w:styleId="Char1">
    <w:name w:val="Char1"/>
    <w:basedOn w:val="Normal"/>
    <w:rsid w:val="00115EAA"/>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18462">
      <w:bodyDiv w:val="1"/>
      <w:marLeft w:val="0"/>
      <w:marRight w:val="0"/>
      <w:marTop w:val="0"/>
      <w:marBottom w:val="0"/>
      <w:divBdr>
        <w:top w:val="none" w:sz="0" w:space="0" w:color="auto"/>
        <w:left w:val="none" w:sz="0" w:space="0" w:color="auto"/>
        <w:bottom w:val="none" w:sz="0" w:space="0" w:color="auto"/>
        <w:right w:val="none" w:sz="0" w:space="0" w:color="auto"/>
      </w:divBdr>
      <w:divsChild>
        <w:div w:id="1667247374">
          <w:marLeft w:val="1051"/>
          <w:marRight w:val="0"/>
          <w:marTop w:val="125"/>
          <w:marBottom w:val="0"/>
          <w:divBdr>
            <w:top w:val="none" w:sz="0" w:space="0" w:color="auto"/>
            <w:left w:val="none" w:sz="0" w:space="0" w:color="auto"/>
            <w:bottom w:val="none" w:sz="0" w:space="0" w:color="auto"/>
            <w:right w:val="none" w:sz="0" w:space="0" w:color="auto"/>
          </w:divBdr>
        </w:div>
        <w:div w:id="1474903392">
          <w:marLeft w:val="1613"/>
          <w:marRight w:val="0"/>
          <w:marTop w:val="106"/>
          <w:marBottom w:val="0"/>
          <w:divBdr>
            <w:top w:val="none" w:sz="0" w:space="0" w:color="auto"/>
            <w:left w:val="none" w:sz="0" w:space="0" w:color="auto"/>
            <w:bottom w:val="none" w:sz="0" w:space="0" w:color="auto"/>
            <w:right w:val="none" w:sz="0" w:space="0" w:color="auto"/>
          </w:divBdr>
        </w:div>
        <w:div w:id="398328212">
          <w:marLeft w:val="1613"/>
          <w:marRight w:val="0"/>
          <w:marTop w:val="106"/>
          <w:marBottom w:val="0"/>
          <w:divBdr>
            <w:top w:val="none" w:sz="0" w:space="0" w:color="auto"/>
            <w:left w:val="none" w:sz="0" w:space="0" w:color="auto"/>
            <w:bottom w:val="none" w:sz="0" w:space="0" w:color="auto"/>
            <w:right w:val="none" w:sz="0" w:space="0" w:color="auto"/>
          </w:divBdr>
        </w:div>
        <w:div w:id="1794010753">
          <w:marLeft w:val="2117"/>
          <w:marRight w:val="0"/>
          <w:marTop w:val="96"/>
          <w:marBottom w:val="0"/>
          <w:divBdr>
            <w:top w:val="none" w:sz="0" w:space="0" w:color="auto"/>
            <w:left w:val="none" w:sz="0" w:space="0" w:color="auto"/>
            <w:bottom w:val="none" w:sz="0" w:space="0" w:color="auto"/>
            <w:right w:val="none" w:sz="0" w:space="0" w:color="auto"/>
          </w:divBdr>
        </w:div>
        <w:div w:id="1287810334">
          <w:marLeft w:val="1051"/>
          <w:marRight w:val="0"/>
          <w:marTop w:val="125"/>
          <w:marBottom w:val="0"/>
          <w:divBdr>
            <w:top w:val="none" w:sz="0" w:space="0" w:color="auto"/>
            <w:left w:val="none" w:sz="0" w:space="0" w:color="auto"/>
            <w:bottom w:val="none" w:sz="0" w:space="0" w:color="auto"/>
            <w:right w:val="none" w:sz="0" w:space="0" w:color="auto"/>
          </w:divBdr>
        </w:div>
        <w:div w:id="212500284">
          <w:marLeft w:val="1613"/>
          <w:marRight w:val="0"/>
          <w:marTop w:val="106"/>
          <w:marBottom w:val="0"/>
          <w:divBdr>
            <w:top w:val="none" w:sz="0" w:space="0" w:color="auto"/>
            <w:left w:val="none" w:sz="0" w:space="0" w:color="auto"/>
            <w:bottom w:val="none" w:sz="0" w:space="0" w:color="auto"/>
            <w:right w:val="none" w:sz="0" w:space="0" w:color="auto"/>
          </w:divBdr>
        </w:div>
        <w:div w:id="1067264530">
          <w:marLeft w:val="1051"/>
          <w:marRight w:val="0"/>
          <w:marTop w:val="125"/>
          <w:marBottom w:val="0"/>
          <w:divBdr>
            <w:top w:val="none" w:sz="0" w:space="0" w:color="auto"/>
            <w:left w:val="none" w:sz="0" w:space="0" w:color="auto"/>
            <w:bottom w:val="none" w:sz="0" w:space="0" w:color="auto"/>
            <w:right w:val="none" w:sz="0" w:space="0" w:color="auto"/>
          </w:divBdr>
        </w:div>
        <w:div w:id="1932011035">
          <w:marLeft w:val="1051"/>
          <w:marRight w:val="0"/>
          <w:marTop w:val="125"/>
          <w:marBottom w:val="0"/>
          <w:divBdr>
            <w:top w:val="none" w:sz="0" w:space="0" w:color="auto"/>
            <w:left w:val="none" w:sz="0" w:space="0" w:color="auto"/>
            <w:bottom w:val="none" w:sz="0" w:space="0" w:color="auto"/>
            <w:right w:val="none" w:sz="0" w:space="0" w:color="auto"/>
          </w:divBdr>
        </w:div>
        <w:div w:id="1954364958">
          <w:marLeft w:val="1051"/>
          <w:marRight w:val="0"/>
          <w:marTop w:val="125"/>
          <w:marBottom w:val="0"/>
          <w:divBdr>
            <w:top w:val="none" w:sz="0" w:space="0" w:color="auto"/>
            <w:left w:val="none" w:sz="0" w:space="0" w:color="auto"/>
            <w:bottom w:val="none" w:sz="0" w:space="0" w:color="auto"/>
            <w:right w:val="none" w:sz="0" w:space="0" w:color="auto"/>
          </w:divBdr>
        </w:div>
        <w:div w:id="1089427770">
          <w:marLeft w:val="1051"/>
          <w:marRight w:val="0"/>
          <w:marTop w:val="125"/>
          <w:marBottom w:val="0"/>
          <w:divBdr>
            <w:top w:val="none" w:sz="0" w:space="0" w:color="auto"/>
            <w:left w:val="none" w:sz="0" w:space="0" w:color="auto"/>
            <w:bottom w:val="none" w:sz="0" w:space="0" w:color="auto"/>
            <w:right w:val="none" w:sz="0" w:space="0" w:color="auto"/>
          </w:divBdr>
        </w:div>
        <w:div w:id="263848549">
          <w:marLeft w:val="1613"/>
          <w:marRight w:val="0"/>
          <w:marTop w:val="106"/>
          <w:marBottom w:val="0"/>
          <w:divBdr>
            <w:top w:val="none" w:sz="0" w:space="0" w:color="auto"/>
            <w:left w:val="none" w:sz="0" w:space="0" w:color="auto"/>
            <w:bottom w:val="none" w:sz="0" w:space="0" w:color="auto"/>
            <w:right w:val="none" w:sz="0" w:space="0" w:color="auto"/>
          </w:divBdr>
        </w:div>
        <w:div w:id="1919363993">
          <w:marLeft w:val="1613"/>
          <w:marRight w:val="0"/>
          <w:marTop w:val="106"/>
          <w:marBottom w:val="0"/>
          <w:divBdr>
            <w:top w:val="none" w:sz="0" w:space="0" w:color="auto"/>
            <w:left w:val="none" w:sz="0" w:space="0" w:color="auto"/>
            <w:bottom w:val="none" w:sz="0" w:space="0" w:color="auto"/>
            <w:right w:val="none" w:sz="0" w:space="0" w:color="auto"/>
          </w:divBdr>
        </w:div>
      </w:divsChild>
    </w:div>
    <w:div w:id="1035932223">
      <w:bodyDiv w:val="1"/>
      <w:marLeft w:val="0"/>
      <w:marRight w:val="0"/>
      <w:marTop w:val="0"/>
      <w:marBottom w:val="0"/>
      <w:divBdr>
        <w:top w:val="none" w:sz="0" w:space="0" w:color="auto"/>
        <w:left w:val="none" w:sz="0" w:space="0" w:color="auto"/>
        <w:bottom w:val="none" w:sz="0" w:space="0" w:color="auto"/>
        <w:right w:val="none" w:sz="0" w:space="0" w:color="auto"/>
      </w:divBdr>
      <w:divsChild>
        <w:div w:id="1171027142">
          <w:marLeft w:val="1051"/>
          <w:marRight w:val="0"/>
          <w:marTop w:val="125"/>
          <w:marBottom w:val="0"/>
          <w:divBdr>
            <w:top w:val="none" w:sz="0" w:space="0" w:color="auto"/>
            <w:left w:val="none" w:sz="0" w:space="0" w:color="auto"/>
            <w:bottom w:val="none" w:sz="0" w:space="0" w:color="auto"/>
            <w:right w:val="none" w:sz="0" w:space="0" w:color="auto"/>
          </w:divBdr>
        </w:div>
        <w:div w:id="1560238765">
          <w:marLeft w:val="1051"/>
          <w:marRight w:val="0"/>
          <w:marTop w:val="125"/>
          <w:marBottom w:val="0"/>
          <w:divBdr>
            <w:top w:val="none" w:sz="0" w:space="0" w:color="auto"/>
            <w:left w:val="none" w:sz="0" w:space="0" w:color="auto"/>
            <w:bottom w:val="none" w:sz="0" w:space="0" w:color="auto"/>
            <w:right w:val="none" w:sz="0" w:space="0" w:color="auto"/>
          </w:divBdr>
        </w:div>
        <w:div w:id="769543101">
          <w:marLeft w:val="1613"/>
          <w:marRight w:val="0"/>
          <w:marTop w:val="106"/>
          <w:marBottom w:val="0"/>
          <w:divBdr>
            <w:top w:val="none" w:sz="0" w:space="0" w:color="auto"/>
            <w:left w:val="none" w:sz="0" w:space="0" w:color="auto"/>
            <w:bottom w:val="none" w:sz="0" w:space="0" w:color="auto"/>
            <w:right w:val="none" w:sz="0" w:space="0" w:color="auto"/>
          </w:divBdr>
        </w:div>
      </w:divsChild>
    </w:div>
    <w:div w:id="1122269001">
      <w:bodyDiv w:val="1"/>
      <w:marLeft w:val="0"/>
      <w:marRight w:val="0"/>
      <w:marTop w:val="0"/>
      <w:marBottom w:val="0"/>
      <w:divBdr>
        <w:top w:val="none" w:sz="0" w:space="0" w:color="auto"/>
        <w:left w:val="none" w:sz="0" w:space="0" w:color="auto"/>
        <w:bottom w:val="none" w:sz="0" w:space="0" w:color="auto"/>
        <w:right w:val="none" w:sz="0" w:space="0" w:color="auto"/>
      </w:divBdr>
      <w:divsChild>
        <w:div w:id="308444287">
          <w:marLeft w:val="1051"/>
          <w:marRight w:val="0"/>
          <w:marTop w:val="125"/>
          <w:marBottom w:val="0"/>
          <w:divBdr>
            <w:top w:val="none" w:sz="0" w:space="0" w:color="auto"/>
            <w:left w:val="none" w:sz="0" w:space="0" w:color="auto"/>
            <w:bottom w:val="none" w:sz="0" w:space="0" w:color="auto"/>
            <w:right w:val="none" w:sz="0" w:space="0" w:color="auto"/>
          </w:divBdr>
        </w:div>
        <w:div w:id="445857832">
          <w:marLeft w:val="1051"/>
          <w:marRight w:val="0"/>
          <w:marTop w:val="125"/>
          <w:marBottom w:val="0"/>
          <w:divBdr>
            <w:top w:val="none" w:sz="0" w:space="0" w:color="auto"/>
            <w:left w:val="none" w:sz="0" w:space="0" w:color="auto"/>
            <w:bottom w:val="none" w:sz="0" w:space="0" w:color="auto"/>
            <w:right w:val="none" w:sz="0" w:space="0" w:color="auto"/>
          </w:divBdr>
        </w:div>
        <w:div w:id="830875411">
          <w:marLeft w:val="1051"/>
          <w:marRight w:val="0"/>
          <w:marTop w:val="125"/>
          <w:marBottom w:val="0"/>
          <w:divBdr>
            <w:top w:val="none" w:sz="0" w:space="0" w:color="auto"/>
            <w:left w:val="none" w:sz="0" w:space="0" w:color="auto"/>
            <w:bottom w:val="none" w:sz="0" w:space="0" w:color="auto"/>
            <w:right w:val="none" w:sz="0" w:space="0" w:color="auto"/>
          </w:divBdr>
        </w:div>
        <w:div w:id="1001467935">
          <w:marLeft w:val="1613"/>
          <w:marRight w:val="0"/>
          <w:marTop w:val="106"/>
          <w:marBottom w:val="0"/>
          <w:divBdr>
            <w:top w:val="none" w:sz="0" w:space="0" w:color="auto"/>
            <w:left w:val="none" w:sz="0" w:space="0" w:color="auto"/>
            <w:bottom w:val="none" w:sz="0" w:space="0" w:color="auto"/>
            <w:right w:val="none" w:sz="0" w:space="0" w:color="auto"/>
          </w:divBdr>
        </w:div>
        <w:div w:id="1341665095">
          <w:marLeft w:val="1613"/>
          <w:marRight w:val="0"/>
          <w:marTop w:val="106"/>
          <w:marBottom w:val="0"/>
          <w:divBdr>
            <w:top w:val="none" w:sz="0" w:space="0" w:color="auto"/>
            <w:left w:val="none" w:sz="0" w:space="0" w:color="auto"/>
            <w:bottom w:val="none" w:sz="0" w:space="0" w:color="auto"/>
            <w:right w:val="none" w:sz="0" w:space="0" w:color="auto"/>
          </w:divBdr>
        </w:div>
        <w:div w:id="333807335">
          <w:marLeft w:val="1051"/>
          <w:marRight w:val="0"/>
          <w:marTop w:val="125"/>
          <w:marBottom w:val="0"/>
          <w:divBdr>
            <w:top w:val="none" w:sz="0" w:space="0" w:color="auto"/>
            <w:left w:val="none" w:sz="0" w:space="0" w:color="auto"/>
            <w:bottom w:val="none" w:sz="0" w:space="0" w:color="auto"/>
            <w:right w:val="none" w:sz="0" w:space="0" w:color="auto"/>
          </w:divBdr>
        </w:div>
        <w:div w:id="1040788419">
          <w:marLeft w:val="1613"/>
          <w:marRight w:val="0"/>
          <w:marTop w:val="106"/>
          <w:marBottom w:val="0"/>
          <w:divBdr>
            <w:top w:val="none" w:sz="0" w:space="0" w:color="auto"/>
            <w:left w:val="none" w:sz="0" w:space="0" w:color="auto"/>
            <w:bottom w:val="none" w:sz="0" w:space="0" w:color="auto"/>
            <w:right w:val="none" w:sz="0" w:space="0" w:color="auto"/>
          </w:divBdr>
        </w:div>
        <w:div w:id="488980826">
          <w:marLeft w:val="1051"/>
          <w:marRight w:val="0"/>
          <w:marTop w:val="125"/>
          <w:marBottom w:val="0"/>
          <w:divBdr>
            <w:top w:val="none" w:sz="0" w:space="0" w:color="auto"/>
            <w:left w:val="none" w:sz="0" w:space="0" w:color="auto"/>
            <w:bottom w:val="none" w:sz="0" w:space="0" w:color="auto"/>
            <w:right w:val="none" w:sz="0" w:space="0" w:color="auto"/>
          </w:divBdr>
        </w:div>
        <w:div w:id="609044038">
          <w:marLeft w:val="1613"/>
          <w:marRight w:val="0"/>
          <w:marTop w:val="106"/>
          <w:marBottom w:val="0"/>
          <w:divBdr>
            <w:top w:val="none" w:sz="0" w:space="0" w:color="auto"/>
            <w:left w:val="none" w:sz="0" w:space="0" w:color="auto"/>
            <w:bottom w:val="none" w:sz="0" w:space="0" w:color="auto"/>
            <w:right w:val="none" w:sz="0" w:space="0" w:color="auto"/>
          </w:divBdr>
        </w:div>
        <w:div w:id="101993622">
          <w:marLeft w:val="1613"/>
          <w:marRight w:val="0"/>
          <w:marTop w:val="106"/>
          <w:marBottom w:val="0"/>
          <w:divBdr>
            <w:top w:val="none" w:sz="0" w:space="0" w:color="auto"/>
            <w:left w:val="none" w:sz="0" w:space="0" w:color="auto"/>
            <w:bottom w:val="none" w:sz="0" w:space="0" w:color="auto"/>
            <w:right w:val="none" w:sz="0" w:space="0" w:color="auto"/>
          </w:divBdr>
        </w:div>
      </w:divsChild>
    </w:div>
    <w:div w:id="1352295391">
      <w:marLeft w:val="0"/>
      <w:marRight w:val="0"/>
      <w:marTop w:val="0"/>
      <w:marBottom w:val="0"/>
      <w:divBdr>
        <w:top w:val="none" w:sz="0" w:space="0" w:color="auto"/>
        <w:left w:val="none" w:sz="0" w:space="0" w:color="auto"/>
        <w:bottom w:val="none" w:sz="0" w:space="0" w:color="auto"/>
        <w:right w:val="none" w:sz="0" w:space="0" w:color="auto"/>
      </w:divBdr>
    </w:div>
    <w:div w:id="19022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sac.gov.a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12436</Words>
  <Characters>69510</Characters>
  <Application>Microsoft Office Word</Application>
  <DocSecurity>0</DocSecurity>
  <Lines>579</Lines>
  <Paragraphs>163</Paragraphs>
  <ScaleCrop>false</ScaleCrop>
  <LinksUpToDate>false</LinksUpToDate>
  <CharactersWithSpaces>81783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2019-11-05T23:08:00Z</dcterms:created>
  <dcterms:modified xsi:type="dcterms:W3CDTF">2019-11-05T23:08:00Z</dcterms:modified>
</cp:coreProperties>
</file>