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1D082757" wp14:editId="5CDA0168">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44715D" w:rsidRPr="00323092" w:rsidRDefault="0044715D" w:rsidP="0044715D">
      <w:pPr>
        <w:spacing w:before="120" w:after="120" w:line="312" w:lineRule="auto"/>
        <w:jc w:val="both"/>
      </w:pPr>
    </w:p>
    <w:p w:rsidR="00303C94" w:rsidRDefault="00303C94" w:rsidP="00A601AC">
      <w:pPr>
        <w:pStyle w:val="Heading10"/>
        <w:jc w:val="center"/>
        <w:rPr>
          <w:sz w:val="48"/>
          <w:szCs w:val="48"/>
        </w:rPr>
      </w:pPr>
    </w:p>
    <w:p w:rsidR="0044715D" w:rsidRDefault="005F4D2F" w:rsidP="00A601AC">
      <w:pPr>
        <w:pStyle w:val="Heading10"/>
        <w:jc w:val="center"/>
        <w:rPr>
          <w:sz w:val="48"/>
          <w:szCs w:val="48"/>
        </w:rPr>
      </w:pPr>
      <w:r>
        <w:rPr>
          <w:sz w:val="48"/>
          <w:szCs w:val="48"/>
        </w:rPr>
        <w:t xml:space="preserve">Application </w:t>
      </w:r>
      <w:r w:rsidR="002D568B">
        <w:rPr>
          <w:sz w:val="48"/>
          <w:szCs w:val="48"/>
        </w:rPr>
        <w:t>1490</w:t>
      </w:r>
      <w:r w:rsidR="00303C94">
        <w:rPr>
          <w:sz w:val="48"/>
          <w:szCs w:val="48"/>
        </w:rPr>
        <w:t>:</w:t>
      </w:r>
    </w:p>
    <w:p w:rsidR="00303C94" w:rsidRPr="00303C94" w:rsidRDefault="002D568B" w:rsidP="00A601AC">
      <w:pPr>
        <w:pStyle w:val="Heading10"/>
        <w:jc w:val="center"/>
        <w:rPr>
          <w:sz w:val="48"/>
          <w:szCs w:val="48"/>
        </w:rPr>
      </w:pPr>
      <w:r>
        <w:rPr>
          <w:color w:val="548DD4"/>
          <w:sz w:val="48"/>
          <w:szCs w:val="48"/>
        </w:rPr>
        <w:t>Breast magnetic resonance imaging (MRI) for breast implant-associated anaplastic large cell lymphoma</w:t>
      </w:r>
    </w:p>
    <w:p w:rsidR="0044715D" w:rsidRDefault="0044715D" w:rsidP="00D46C89">
      <w:pPr>
        <w:pStyle w:val="Heading10"/>
        <w:tabs>
          <w:tab w:val="left" w:pos="5613"/>
        </w:tabs>
        <w:rPr>
          <w:sz w:val="72"/>
          <w:szCs w:val="72"/>
        </w:rPr>
      </w:pP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845AFC">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rsidR="00EE7A1F" w:rsidRPr="00EE7A1F" w:rsidRDefault="00222531" w:rsidP="00EE7A1F">
      <w:pPr>
        <w:spacing w:before="180"/>
        <w:jc w:val="center"/>
        <w:rPr>
          <w:rFonts w:ascii="Arial" w:hAnsi="Arial" w:cs="Arial"/>
          <w:b/>
          <w:sz w:val="32"/>
          <w:szCs w:val="32"/>
        </w:rPr>
      </w:pPr>
      <w:r>
        <w:rPr>
          <w:rFonts w:ascii="Arial" w:hAnsi="Arial" w:cs="Arial"/>
          <w:b/>
          <w:sz w:val="32"/>
          <w:szCs w:val="32"/>
        </w:rPr>
        <w:t>(Version 0.2</w:t>
      </w:r>
      <w:r w:rsidR="00EE7A1F" w:rsidRPr="00EE7A1F">
        <w:rPr>
          <w:rFonts w:ascii="Arial" w:hAnsi="Arial" w:cs="Arial"/>
          <w:b/>
          <w:sz w:val="32"/>
          <w:szCs w:val="32"/>
        </w:rPr>
        <w:t>)</w:t>
      </w:r>
    </w:p>
    <w:p w:rsidR="00EE7A1F" w:rsidRPr="00606857" w:rsidRDefault="00EE7A1F" w:rsidP="00382875">
      <w:pPr>
        <w:spacing w:before="180"/>
        <w:jc w:val="center"/>
        <w:rPr>
          <w:rFonts w:ascii="Arial" w:hAnsi="Arial" w:cs="Arial"/>
          <w:b/>
          <w:sz w:val="32"/>
          <w:szCs w:val="32"/>
        </w:rPr>
      </w:pPr>
    </w:p>
    <w:p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rsidR="003D699E" w:rsidRPr="00154B00" w:rsidRDefault="003D699E" w:rsidP="003D699E">
      <w:pPr>
        <w:spacing w:after="0"/>
        <w:jc w:val="both"/>
        <w:rPr>
          <w:sz w:val="20"/>
          <w:szCs w:val="20"/>
        </w:rPr>
      </w:pPr>
      <w:r w:rsidRPr="00154B00">
        <w:rPr>
          <w:sz w:val="20"/>
          <w:szCs w:val="20"/>
        </w:rPr>
        <w:t>Phone:  +61 2 6289 7550</w:t>
      </w:r>
    </w:p>
    <w:p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7E7E23" w:rsidRDefault="003D699E" w:rsidP="002D568B">
      <w:pPr>
        <w:spacing w:after="0"/>
        <w:jc w:val="both"/>
        <w:rPr>
          <w:sz w:val="20"/>
          <w:szCs w:val="20"/>
        </w:rPr>
      </w:pPr>
      <w:r w:rsidRPr="00154B00">
        <w:rPr>
          <w:sz w:val="20"/>
          <w:szCs w:val="20"/>
        </w:rPr>
        <w:t xml:space="preserve">Website:  </w:t>
      </w:r>
      <w:hyperlink r:id="rId11" w:tooltip="MSAC Website" w:history="1">
        <w:r w:rsidR="007E7E23" w:rsidRPr="0041368D">
          <w:rPr>
            <w:rStyle w:val="Hyperlink"/>
            <w:sz w:val="20"/>
            <w:szCs w:val="20"/>
          </w:rPr>
          <w:t>http://www.msac.gov.au</w:t>
        </w:r>
      </w:hyperlink>
      <w:r w:rsidR="007E7E23">
        <w:rPr>
          <w:sz w:val="20"/>
          <w:szCs w:val="20"/>
        </w:rPr>
        <w:br w:type="page"/>
      </w:r>
    </w:p>
    <w:p w:rsidR="00C63A94" w:rsidRPr="007C278D" w:rsidRDefault="00C63A94" w:rsidP="007C278D">
      <w:pPr>
        <w:pStyle w:val="Heading1"/>
        <w:jc w:val="center"/>
      </w:pPr>
      <w:bookmarkStart w:id="2" w:name="_Toc443555803"/>
      <w:r w:rsidRPr="007C278D">
        <w:t>Version Control</w:t>
      </w:r>
      <w:bookmarkEnd w:id="2"/>
    </w:p>
    <w:p w:rsidR="00C63A94" w:rsidRPr="00494BD2" w:rsidRDefault="00C63A94" w:rsidP="00494BD2">
      <w:pPr>
        <w:pStyle w:val="Heading2"/>
      </w:pPr>
      <w:bookmarkStart w:id="3" w:name="_Toc443555804"/>
      <w:r w:rsidRPr="00494BD2">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rsidTr="004B2BD5">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ight="82"/>
              <w:jc w:val="both"/>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C63A94">
        <w:tc>
          <w:tcPr>
            <w:tcW w:w="1699"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jc w:val="both"/>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2D568B" w:rsidP="00C63A94">
            <w:pPr>
              <w:spacing w:after="0"/>
              <w:ind w:left="2"/>
              <w:rPr>
                <w:rFonts w:eastAsia="Times New Roman" w:cs="Tahoma"/>
                <w:sz w:val="20"/>
              </w:rPr>
            </w:pPr>
            <w:r>
              <w:rPr>
                <w:rFonts w:eastAsia="Times New Roman" w:cs="Tahoma"/>
                <w:sz w:val="20"/>
              </w:rPr>
              <w:t>21 June 2017</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2D568B" w:rsidP="00EE7A1F">
            <w:pPr>
              <w:spacing w:after="0"/>
              <w:ind w:left="0"/>
              <w:rPr>
                <w:rFonts w:eastAsia="Times New Roman" w:cs="Tahoma"/>
                <w:sz w:val="20"/>
              </w:rPr>
            </w:pPr>
            <w:r>
              <w:rPr>
                <w:rFonts w:eastAsia="Times New Roman" w:cs="Tahoma"/>
                <w:sz w:val="20"/>
              </w:rPr>
              <w:t>Jacqueline Parsons</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2D568B" w:rsidP="00C63A94">
            <w:pPr>
              <w:spacing w:after="0"/>
              <w:ind w:left="-7"/>
              <w:rPr>
                <w:rFonts w:eastAsia="Times New Roman" w:cs="Tahoma"/>
                <w:sz w:val="20"/>
              </w:rPr>
            </w:pPr>
            <w:r>
              <w:rPr>
                <w:rFonts w:eastAsia="Times New Roman" w:cs="Tahoma"/>
                <w:sz w:val="20"/>
              </w:rPr>
              <w:t>First draft</w:t>
            </w:r>
          </w:p>
        </w:tc>
      </w:tr>
      <w:tr w:rsidR="007D4BEC" w:rsidRPr="00C63A94" w:rsidTr="00C63A94">
        <w:tc>
          <w:tcPr>
            <w:tcW w:w="1699" w:type="dxa"/>
            <w:tcBorders>
              <w:top w:val="single" w:sz="4" w:space="0" w:color="auto"/>
              <w:left w:val="single" w:sz="4" w:space="0" w:color="auto"/>
              <w:bottom w:val="single" w:sz="4" w:space="0" w:color="auto"/>
              <w:right w:val="single" w:sz="4" w:space="0" w:color="auto"/>
            </w:tcBorders>
          </w:tcPr>
          <w:p w:rsidR="007D4BEC" w:rsidRPr="00C63A94" w:rsidRDefault="007D4BEC" w:rsidP="007D4BEC">
            <w:pPr>
              <w:spacing w:after="0"/>
              <w:ind w:left="0"/>
              <w:jc w:val="both"/>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rsidR="007D4BEC" w:rsidRDefault="007D4BEC" w:rsidP="00C63A94">
            <w:pPr>
              <w:spacing w:after="0"/>
              <w:ind w:left="2"/>
              <w:rPr>
                <w:rFonts w:eastAsia="Times New Roman" w:cs="Tahoma"/>
                <w:sz w:val="20"/>
              </w:rPr>
            </w:pPr>
            <w:r>
              <w:rPr>
                <w:rFonts w:eastAsia="Times New Roman" w:cs="Tahoma"/>
                <w:sz w:val="20"/>
              </w:rPr>
              <w:t>12 Sept 2017</w:t>
            </w:r>
          </w:p>
        </w:tc>
        <w:tc>
          <w:tcPr>
            <w:tcW w:w="1915" w:type="dxa"/>
            <w:tcBorders>
              <w:top w:val="single" w:sz="4" w:space="0" w:color="auto"/>
              <w:left w:val="single" w:sz="4" w:space="0" w:color="auto"/>
              <w:bottom w:val="single" w:sz="4" w:space="0" w:color="auto"/>
              <w:right w:val="single" w:sz="4" w:space="0" w:color="auto"/>
            </w:tcBorders>
          </w:tcPr>
          <w:p w:rsidR="007D4BEC" w:rsidRDefault="007D4BEC" w:rsidP="007D4BEC">
            <w:pPr>
              <w:spacing w:after="0"/>
              <w:ind w:left="0"/>
              <w:rPr>
                <w:rFonts w:eastAsia="Times New Roman" w:cs="Tahoma"/>
                <w:sz w:val="20"/>
              </w:rPr>
            </w:pPr>
            <w:r>
              <w:rPr>
                <w:rFonts w:eastAsia="Times New Roman" w:cs="Tahoma"/>
                <w:sz w:val="20"/>
              </w:rPr>
              <w:t>Jacqueline Parsons</w:t>
            </w:r>
          </w:p>
        </w:tc>
        <w:tc>
          <w:tcPr>
            <w:tcW w:w="3343" w:type="dxa"/>
            <w:tcBorders>
              <w:top w:val="single" w:sz="4" w:space="0" w:color="auto"/>
              <w:left w:val="single" w:sz="4" w:space="0" w:color="auto"/>
              <w:bottom w:val="single" w:sz="4" w:space="0" w:color="auto"/>
              <w:right w:val="single" w:sz="4" w:space="0" w:color="auto"/>
            </w:tcBorders>
          </w:tcPr>
          <w:p w:rsidR="007D4BEC" w:rsidRDefault="007D4BEC" w:rsidP="00C63A94">
            <w:pPr>
              <w:spacing w:after="0"/>
              <w:ind w:left="-7"/>
              <w:rPr>
                <w:rFonts w:eastAsia="Times New Roman" w:cs="Tahoma"/>
                <w:sz w:val="20"/>
              </w:rPr>
            </w:pPr>
            <w:r>
              <w:rPr>
                <w:rFonts w:eastAsia="Times New Roman" w:cs="Tahoma"/>
                <w:sz w:val="20"/>
              </w:rPr>
              <w:t>Incorporating PASC feedback</w:t>
            </w:r>
          </w:p>
        </w:tc>
      </w:tr>
    </w:tbl>
    <w:p w:rsidR="00C63A94" w:rsidRPr="00C63A94" w:rsidRDefault="00C63A94" w:rsidP="00C63A94">
      <w:pPr>
        <w:spacing w:after="0" w:line="240" w:lineRule="auto"/>
        <w:rPr>
          <w:rFonts w:eastAsia="Times New Roman" w:cs="Tahoma"/>
          <w:lang w:eastAsia="en-AU"/>
        </w:rPr>
      </w:pPr>
    </w:p>
    <w:p w:rsidR="00C63A94" w:rsidRPr="00C12A51" w:rsidRDefault="00C63A94" w:rsidP="00494BD2">
      <w:pPr>
        <w:pStyle w:val="Heading2"/>
      </w:pPr>
      <w:bookmarkStart w:id="4" w:name="_Toc443555805"/>
      <w:r w:rsidRPr="00C12A51">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rsidTr="004B2BD5">
        <w:trPr>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C63A94">
        <w:tc>
          <w:tcPr>
            <w:tcW w:w="1699"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2"/>
              <w:rPr>
                <w:rFonts w:eastAsia="Times New Roman" w:cs="Tahoma"/>
                <w:sz w:val="20"/>
              </w:rPr>
            </w:pP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rPr>
                <w:rFonts w:eastAsia="Times New Roman" w:cs="Tahoma"/>
                <w:sz w:val="20"/>
              </w:rPr>
            </w:pP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7"/>
              <w:rPr>
                <w:rFonts w:eastAsia="Times New Roman" w:cs="Tahoma"/>
                <w:sz w:val="20"/>
              </w:rPr>
            </w:pPr>
            <w:r w:rsidRPr="00C63A94">
              <w:rPr>
                <w:rFonts w:eastAsia="Times New Roman" w:cs="Tahoma"/>
                <w:sz w:val="20"/>
              </w:rPr>
              <w:t>Document released for publication</w:t>
            </w:r>
          </w:p>
        </w:tc>
      </w:tr>
    </w:tbl>
    <w:p w:rsidR="004B2BD5" w:rsidRPr="003A45AE" w:rsidRDefault="004B2BD5" w:rsidP="003F1A64">
      <w:pPr>
        <w:rPr>
          <w:rFonts w:eastAsia="Times New Roman" w:cs="Tahoma"/>
          <w:sz w:val="96"/>
          <w:szCs w:val="96"/>
          <w:lang w:eastAsia="en-AU"/>
        </w:rPr>
      </w:pPr>
    </w:p>
    <w:p w:rsidR="00F12E59" w:rsidRPr="00C12A51" w:rsidRDefault="0044715D" w:rsidP="00C12A51">
      <w:pPr>
        <w:pStyle w:val="Heading1"/>
        <w:rPr>
          <w:i w:val="0"/>
          <w:u w:val="none"/>
        </w:rPr>
      </w:pPr>
      <w:r w:rsidRPr="00C12A51">
        <w:rPr>
          <w:i w:val="0"/>
          <w:vanish/>
          <w:u w:val="none"/>
        </w:rPr>
        <w:br w:type="page"/>
      </w:r>
      <w:r w:rsidRPr="00C12A51">
        <w:rPr>
          <w:i w:val="0"/>
          <w:u w:val="none"/>
        </w:rPr>
        <w:t>Summary of PICO</w:t>
      </w:r>
      <w:r w:rsidR="00A84A56" w:rsidRPr="00C12A51">
        <w:rPr>
          <w:i w:val="0"/>
          <w:u w:val="none"/>
        </w:rPr>
        <w:t>/PPICO</w:t>
      </w:r>
      <w:r w:rsidRPr="00C12A51">
        <w:rPr>
          <w:i w:val="0"/>
          <w:u w:val="none"/>
        </w:rPr>
        <w:t xml:space="preserve"> criteria</w:t>
      </w:r>
      <w:bookmarkEnd w:id="0"/>
      <w:bookmarkEnd w:id="1"/>
      <w:r w:rsidR="00F12E59" w:rsidRPr="00C12A51">
        <w:rPr>
          <w:i w:val="0"/>
          <w:u w:val="none"/>
        </w:rPr>
        <w:t xml:space="preserve"> to define the question(s) to be addressed in an Assessment Report to the Medical Services Advisory Committee (MSAC)</w:t>
      </w:r>
    </w:p>
    <w:p w:rsidR="0044715D" w:rsidRPr="00F12E59" w:rsidRDefault="00F060C3" w:rsidP="00F060C3">
      <w:pPr>
        <w:pStyle w:val="Caption"/>
      </w:pPr>
      <w:r>
        <w:t xml:space="preserve">Table </w:t>
      </w:r>
      <w:r>
        <w:fldChar w:fldCharType="begin"/>
      </w:r>
      <w:r>
        <w:instrText xml:space="preserve"> SEQ Table \* ARABIC </w:instrText>
      </w:r>
      <w:r>
        <w:fldChar w:fldCharType="separate"/>
      </w:r>
      <w:r w:rsidR="004B2BD5">
        <w:rPr>
          <w:noProof/>
        </w:rPr>
        <w:t>1</w:t>
      </w:r>
      <w:r>
        <w:fldChar w:fldCharType="end"/>
      </w:r>
      <w:r>
        <w:t>: Summary of PICO criteria for an assessment of breast magnetic resonance imaging to improve staging and work</w:t>
      </w:r>
      <w:r w:rsidR="00732826">
        <w:t>-up in patients with breast-</w:t>
      </w:r>
      <w:r>
        <w:t>implant-associated anaplasti</w:t>
      </w:r>
      <w:r w:rsidR="00732826">
        <w:t>c large cell lymphoma (assuming DIRECT EVIDENCE</w:t>
      </w:r>
      <w:r>
        <w:t xml:space="preserve"> is available)</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criteria for direct evidence"/>
        <w:tblDescription w:val="Criteria describing the patients, intervention, comparator and outcomes to guide the assessment of breast MRI in breast implant associated ALCL"/>
      </w:tblPr>
      <w:tblGrid>
        <w:gridCol w:w="1858"/>
        <w:gridCol w:w="7384"/>
      </w:tblGrid>
      <w:tr w:rsidR="0044715D" w:rsidRPr="00084393" w:rsidTr="00A84A56">
        <w:trPr>
          <w:tblHeader/>
        </w:trPr>
        <w:tc>
          <w:tcPr>
            <w:tcW w:w="1005" w:type="pct"/>
            <w:tcBorders>
              <w:top w:val="single" w:sz="8" w:space="0" w:color="auto"/>
              <w:bottom w:val="single" w:sz="8" w:space="0" w:color="auto"/>
              <w:right w:val="single" w:sz="4" w:space="0" w:color="auto"/>
            </w:tcBorders>
            <w:shd w:val="clear" w:color="auto" w:fill="D9D9D9"/>
          </w:tcPr>
          <w:p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4715D" w:rsidRPr="00084393" w:rsidRDefault="0044715D" w:rsidP="001359DB">
            <w:pPr>
              <w:spacing w:before="20" w:after="2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494BD2">
            <w:pPr>
              <w:pStyle w:val="Heading3"/>
            </w:pPr>
            <w:r w:rsidRPr="00084393">
              <w:t>Patients</w:t>
            </w:r>
          </w:p>
        </w:tc>
        <w:tc>
          <w:tcPr>
            <w:tcW w:w="3995" w:type="pct"/>
            <w:tcBorders>
              <w:top w:val="single" w:sz="4" w:space="0" w:color="auto"/>
              <w:left w:val="single" w:sz="4" w:space="0" w:color="auto"/>
              <w:bottom w:val="single" w:sz="4" w:space="0" w:color="auto"/>
              <w:right w:val="single" w:sz="4" w:space="0" w:color="auto"/>
            </w:tcBorders>
          </w:tcPr>
          <w:p w:rsidR="007078FB" w:rsidRPr="00F12E59" w:rsidRDefault="000A3977" w:rsidP="008C101E">
            <w:r>
              <w:t>Patients with</w:t>
            </w:r>
            <w:r w:rsidR="008C101E">
              <w:t xml:space="preserve"> breast implant-associated anaplastic large cell lymphoma (BIA-ALCL</w:t>
            </w:r>
            <w:r w:rsidR="00222970">
              <w:t>)</w:t>
            </w:r>
            <w:r w:rsidR="008C101E">
              <w:t>, diagnosed by ultrasound and biopsy</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A84A56" w:rsidRPr="00F12E59" w:rsidRDefault="00473F31" w:rsidP="00473F31">
            <w:r>
              <w:t>Standard lymphoma work</w:t>
            </w:r>
            <w:r w:rsidR="007B18A3">
              <w:t>-</w:t>
            </w:r>
            <w:r>
              <w:t xml:space="preserve">up including </w:t>
            </w:r>
            <w:r w:rsidR="009E1258">
              <w:t xml:space="preserve">PET/CT scan </w:t>
            </w:r>
            <w:r w:rsidR="009E1258" w:rsidRPr="009E1258">
              <w:rPr>
                <w:i/>
              </w:rPr>
              <w:t>plus</w:t>
            </w:r>
            <w:r w:rsidR="009E1258">
              <w:t xml:space="preserve"> breast MRI to inform lymphoma </w:t>
            </w:r>
            <w:r>
              <w:t>surgery</w:t>
            </w:r>
            <w:r w:rsidR="009E1258">
              <w:t xml:space="preserve"> </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A84A56" w:rsidRPr="00F12E59" w:rsidRDefault="00473F31" w:rsidP="00473F31">
            <w:r>
              <w:t>Standard lymphoma work</w:t>
            </w:r>
            <w:r w:rsidR="007B18A3">
              <w:t>-</w:t>
            </w:r>
            <w:r>
              <w:t>up including PET/CT scan to inform lymphoma surgery</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32162B" w:rsidRDefault="00553626" w:rsidP="00EC3977">
            <w:pPr>
              <w:spacing w:after="120"/>
            </w:pPr>
            <w:r>
              <w:t>MRI-associated s</w:t>
            </w:r>
            <w:r w:rsidR="00554BC7">
              <w:t xml:space="preserve">afety: </w:t>
            </w:r>
            <w:r w:rsidR="00F34552">
              <w:t xml:space="preserve"> </w:t>
            </w:r>
          </w:p>
          <w:p w:rsidR="00553626" w:rsidRDefault="00C203F9" w:rsidP="00EC3977">
            <w:pPr>
              <w:spacing w:after="120"/>
            </w:pPr>
            <w:r>
              <w:t>R</w:t>
            </w:r>
            <w:r w:rsidR="00BE33CC">
              <w:t>eaction to contrast medium</w:t>
            </w:r>
          </w:p>
          <w:p w:rsidR="00553626" w:rsidRDefault="0032162B" w:rsidP="00EC3977">
            <w:pPr>
              <w:spacing w:after="120"/>
            </w:pPr>
            <w:r>
              <w:tab/>
            </w:r>
            <w:r w:rsidR="00C203F9">
              <w:t>C</w:t>
            </w:r>
            <w:r w:rsidR="00BE33CC">
              <w:t xml:space="preserve">laustrophobia </w:t>
            </w:r>
          </w:p>
          <w:p w:rsidR="00554BC7" w:rsidRDefault="00553626" w:rsidP="00EC3977">
            <w:pPr>
              <w:spacing w:after="120"/>
            </w:pPr>
            <w:r>
              <w:tab/>
            </w:r>
            <w:r w:rsidR="00C203F9">
              <w:t>U</w:t>
            </w:r>
            <w:r w:rsidR="00BE33CC">
              <w:t>nknown contra</w:t>
            </w:r>
            <w:r w:rsidR="00C203F9">
              <w:t>-</w:t>
            </w:r>
            <w:r w:rsidR="00BE33CC">
              <w:t>indication</w:t>
            </w:r>
            <w:r w:rsidR="00BF7589">
              <w:t xml:space="preserve">s </w:t>
            </w:r>
            <w:r w:rsidR="00C75FCA">
              <w:t xml:space="preserve">to MRI </w:t>
            </w:r>
            <w:r w:rsidR="00BF7589">
              <w:t>resulting in injury</w:t>
            </w:r>
          </w:p>
          <w:p w:rsidR="00C75FCA" w:rsidRDefault="00C203F9" w:rsidP="00EC3977">
            <w:pPr>
              <w:spacing w:after="120"/>
            </w:pPr>
            <w:r>
              <w:tab/>
              <w:t>A</w:t>
            </w:r>
            <w:r w:rsidR="00C75FCA">
              <w:t>ny other safety outcome associated with MRI</w:t>
            </w:r>
          </w:p>
          <w:p w:rsidR="00553626" w:rsidRDefault="001F6426" w:rsidP="00EC3977">
            <w:pPr>
              <w:spacing w:after="120"/>
            </w:pPr>
            <w:r>
              <w:t>Direct s</w:t>
            </w:r>
            <w:r w:rsidR="00553626">
              <w:t>urgical effectiveness outcomes:</w:t>
            </w:r>
          </w:p>
          <w:p w:rsidR="00A84A56" w:rsidRDefault="00553626" w:rsidP="00EC3977">
            <w:pPr>
              <w:spacing w:after="120"/>
            </w:pPr>
            <w:r>
              <w:tab/>
              <w:t>Survival</w:t>
            </w:r>
          </w:p>
          <w:p w:rsidR="00553626" w:rsidRDefault="00553626" w:rsidP="00EC3977">
            <w:pPr>
              <w:spacing w:after="120"/>
            </w:pPr>
            <w:r>
              <w:tab/>
              <w:t>Recurrence-free survival</w:t>
            </w:r>
            <w:r w:rsidR="00A22EC2">
              <w:t xml:space="preserve"> (consider loco</w:t>
            </w:r>
            <w:r w:rsidR="00C203F9">
              <w:t>-</w:t>
            </w:r>
            <w:r w:rsidR="00A22EC2">
              <w:t xml:space="preserve">regional recurrence vs </w:t>
            </w:r>
            <w:r w:rsidR="00A22EC2">
              <w:tab/>
              <w:t>lymphoma-free survival)</w:t>
            </w:r>
          </w:p>
          <w:p w:rsidR="00553626" w:rsidRDefault="00553626" w:rsidP="00EC3977">
            <w:pPr>
              <w:spacing w:after="120"/>
            </w:pPr>
            <w:r>
              <w:tab/>
              <w:t xml:space="preserve">Completeness of </w:t>
            </w:r>
            <w:proofErr w:type="spellStart"/>
            <w:r>
              <w:t>capsulectomy</w:t>
            </w:r>
            <w:proofErr w:type="spellEnd"/>
            <w:r>
              <w:t xml:space="preserve"> or excision of any mass</w:t>
            </w:r>
          </w:p>
          <w:p w:rsidR="009E1258" w:rsidRDefault="00553626" w:rsidP="00AB6557">
            <w:pPr>
              <w:spacing w:after="120"/>
            </w:pPr>
            <w:r>
              <w:tab/>
            </w:r>
            <w:r w:rsidR="00AB6557">
              <w:t>Need for further surgery (i</w:t>
            </w:r>
            <w:r w:rsidR="00C203F9">
              <w:t>.</w:t>
            </w:r>
            <w:r w:rsidR="00AB6557">
              <w:t>e</w:t>
            </w:r>
            <w:r w:rsidR="00C203F9">
              <w:t>.</w:t>
            </w:r>
            <w:r w:rsidR="00AB6557">
              <w:t xml:space="preserve"> if margins are not clear)</w:t>
            </w:r>
          </w:p>
          <w:p w:rsidR="001A12DB" w:rsidRDefault="001A12DB" w:rsidP="00AB6557">
            <w:pPr>
              <w:spacing w:after="120"/>
            </w:pPr>
            <w:r>
              <w:tab/>
              <w:t>Length of hospital stay</w:t>
            </w:r>
          </w:p>
          <w:p w:rsidR="00AB6557" w:rsidRDefault="00AB6557" w:rsidP="00AB6557">
            <w:pPr>
              <w:spacing w:after="120"/>
            </w:pPr>
            <w:r>
              <w:tab/>
            </w:r>
            <w:proofErr w:type="spellStart"/>
            <w:r w:rsidR="004F5458">
              <w:t>Cosmesis</w:t>
            </w:r>
            <w:proofErr w:type="spellEnd"/>
            <w:r w:rsidR="004F5458">
              <w:t xml:space="preserve"> (a</w:t>
            </w:r>
            <w:r>
              <w:t>ppearance of surgical site</w:t>
            </w:r>
            <w:r w:rsidR="004F5458">
              <w:t>)</w:t>
            </w:r>
          </w:p>
          <w:p w:rsidR="001A12DB" w:rsidRDefault="001A12DB" w:rsidP="00AB6557">
            <w:pPr>
              <w:spacing w:after="120"/>
            </w:pPr>
            <w:r>
              <w:tab/>
              <w:t>Other surgery-related safety outcomes</w:t>
            </w:r>
            <w:r w:rsidR="00C203F9">
              <w:t>/complications</w:t>
            </w:r>
          </w:p>
          <w:p w:rsidR="001F6426" w:rsidRPr="00F12E59" w:rsidRDefault="00AB6557" w:rsidP="001F6426">
            <w:pPr>
              <w:spacing w:after="120"/>
            </w:pPr>
            <w:r>
              <w:tab/>
              <w:t>Patient satisfaction and quality of life</w:t>
            </w:r>
          </w:p>
        </w:tc>
      </w:tr>
    </w:tbl>
    <w:p w:rsidR="001A12DB" w:rsidRPr="004F4E00" w:rsidRDefault="00264265" w:rsidP="00222970">
      <w:pPr>
        <w:rPr>
          <w:sz w:val="18"/>
          <w:szCs w:val="18"/>
        </w:rPr>
      </w:pPr>
      <w:r w:rsidRPr="004F4E00">
        <w:rPr>
          <w:sz w:val="18"/>
          <w:szCs w:val="18"/>
        </w:rPr>
        <w:t xml:space="preserve">MRI = </w:t>
      </w:r>
      <w:r w:rsidR="00222970" w:rsidRPr="004F4E00">
        <w:rPr>
          <w:sz w:val="18"/>
          <w:szCs w:val="18"/>
        </w:rPr>
        <w:t>magnetic resonance imaging;</w:t>
      </w:r>
      <w:r w:rsidRPr="004F4E00">
        <w:rPr>
          <w:sz w:val="18"/>
          <w:szCs w:val="18"/>
        </w:rPr>
        <w:t xml:space="preserve"> PET/CT = </w:t>
      </w:r>
      <w:r w:rsidR="00222970" w:rsidRPr="004F4E00">
        <w:rPr>
          <w:sz w:val="18"/>
          <w:szCs w:val="18"/>
        </w:rPr>
        <w:t>positron emission tomography / computed tomography</w:t>
      </w:r>
    </w:p>
    <w:p w:rsidR="004F4E00" w:rsidRPr="004F4E00" w:rsidRDefault="004F4E00" w:rsidP="00222970">
      <w:pPr>
        <w:rPr>
          <w:i/>
        </w:rPr>
      </w:pPr>
      <w:r w:rsidRPr="004F4E00">
        <w:rPr>
          <w:i/>
        </w:rPr>
        <w:t>Research questions</w:t>
      </w:r>
      <w:r>
        <w:rPr>
          <w:i/>
        </w:rPr>
        <w:t xml:space="preserve"> for direct evidence</w:t>
      </w:r>
      <w:r w:rsidRPr="004F4E00">
        <w:rPr>
          <w:i/>
        </w:rPr>
        <w:t>:</w:t>
      </w:r>
    </w:p>
    <w:p w:rsidR="004F4E00" w:rsidRDefault="004F4E00" w:rsidP="00222970">
      <w:r>
        <w:t>What is the safety of using breast MRI in the staging and surgical work</w:t>
      </w:r>
      <w:r w:rsidR="00B705B4">
        <w:t>-</w:t>
      </w:r>
      <w:r>
        <w:t>up of patients with BIA-ALCL?</w:t>
      </w:r>
    </w:p>
    <w:p w:rsidR="004F4E00" w:rsidRDefault="004F4E00" w:rsidP="00222970">
      <w:r>
        <w:t>What is the clinical effectiveness of breast MRI in the staging and surgical work</w:t>
      </w:r>
      <w:r w:rsidR="00B705B4">
        <w:t>-</w:t>
      </w:r>
      <w:r>
        <w:t>up of patients with BIA-ALCL?</w:t>
      </w:r>
    </w:p>
    <w:p w:rsidR="001A12DB" w:rsidRDefault="001A12DB">
      <w:r>
        <w:br w:type="page"/>
      </w:r>
    </w:p>
    <w:p w:rsidR="00F060C3" w:rsidRDefault="00F060C3" w:rsidP="00F060C3">
      <w:pPr>
        <w:pStyle w:val="Caption"/>
      </w:pPr>
      <w:r>
        <w:t xml:space="preserve">Table </w:t>
      </w:r>
      <w:r>
        <w:fldChar w:fldCharType="begin"/>
      </w:r>
      <w:r>
        <w:instrText xml:space="preserve"> SEQ Table \* ARABIC </w:instrText>
      </w:r>
      <w:r>
        <w:fldChar w:fldCharType="separate"/>
      </w:r>
      <w:r w:rsidR="004B2BD5">
        <w:rPr>
          <w:noProof/>
        </w:rPr>
        <w:t>2</w:t>
      </w:r>
      <w:r>
        <w:fldChar w:fldCharType="end"/>
      </w:r>
      <w:r>
        <w:t>: Summary of PICO criteria for an assessment of breast magnetic resonance imaging to improve staging and work</w:t>
      </w:r>
      <w:r w:rsidR="00732826">
        <w:t>-</w:t>
      </w:r>
      <w:r>
        <w:t xml:space="preserve">up in </w:t>
      </w:r>
      <w:r w:rsidR="00732826">
        <w:t>patients with breast-</w:t>
      </w:r>
      <w:r>
        <w:t>implant-associated anaplastic large cell lymphoma (assuming no direct evi</w:t>
      </w:r>
      <w:r w:rsidR="00732826">
        <w:t xml:space="preserve">dence is available and a LINKED-EVIDENCE APPROACH </w:t>
      </w:r>
      <w:r>
        <w:t>is applied)</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2: PICO criteria for a linked evidence approach"/>
        <w:tblDescription w:val="Criteria describing the patients, intervention, comparator and outcomes to guide the assessment of breast MRI in breast implant associated ALCL if a linked evidence approach is required"/>
      </w:tblPr>
      <w:tblGrid>
        <w:gridCol w:w="2172"/>
        <w:gridCol w:w="7070"/>
      </w:tblGrid>
      <w:tr w:rsidR="00F060C3" w:rsidRPr="00084393" w:rsidTr="00F060C3">
        <w:trPr>
          <w:tblHeader/>
        </w:trPr>
        <w:tc>
          <w:tcPr>
            <w:tcW w:w="1175" w:type="pct"/>
            <w:tcBorders>
              <w:top w:val="single" w:sz="8" w:space="0" w:color="auto"/>
              <w:bottom w:val="single" w:sz="8" w:space="0" w:color="auto"/>
              <w:right w:val="single" w:sz="4" w:space="0" w:color="auto"/>
            </w:tcBorders>
            <w:shd w:val="clear" w:color="auto" w:fill="D9D9D9"/>
          </w:tcPr>
          <w:p w:rsidR="00F060C3" w:rsidRPr="00084393" w:rsidRDefault="00F060C3" w:rsidP="00AF2F83">
            <w:pPr>
              <w:spacing w:before="20" w:after="20" w:line="240" w:lineRule="auto"/>
              <w:rPr>
                <w:b/>
              </w:rPr>
            </w:pPr>
            <w:r>
              <w:rPr>
                <w:b/>
              </w:rPr>
              <w:t>Component</w:t>
            </w:r>
          </w:p>
        </w:tc>
        <w:tc>
          <w:tcPr>
            <w:tcW w:w="3825" w:type="pct"/>
            <w:tcBorders>
              <w:top w:val="single" w:sz="4" w:space="0" w:color="auto"/>
              <w:left w:val="single" w:sz="4" w:space="0" w:color="auto"/>
              <w:bottom w:val="single" w:sz="4" w:space="0" w:color="auto"/>
              <w:right w:val="single" w:sz="4" w:space="0" w:color="auto"/>
            </w:tcBorders>
            <w:shd w:val="clear" w:color="auto" w:fill="D9D9D9"/>
          </w:tcPr>
          <w:p w:rsidR="00F060C3" w:rsidRPr="00084393" w:rsidRDefault="00F060C3" w:rsidP="00AF2F83">
            <w:pPr>
              <w:spacing w:before="20" w:after="20" w:line="240" w:lineRule="auto"/>
              <w:jc w:val="both"/>
              <w:rPr>
                <w:b/>
              </w:rPr>
            </w:pPr>
            <w:r>
              <w:rPr>
                <w:b/>
              </w:rPr>
              <w:t>Description</w:t>
            </w:r>
          </w:p>
        </w:tc>
      </w:tr>
      <w:tr w:rsidR="00F060C3" w:rsidRPr="00F12E59" w:rsidTr="00F060C3">
        <w:tc>
          <w:tcPr>
            <w:tcW w:w="1175" w:type="pct"/>
            <w:tcBorders>
              <w:top w:val="single" w:sz="8" w:space="0" w:color="auto"/>
              <w:right w:val="single" w:sz="4" w:space="0" w:color="auto"/>
            </w:tcBorders>
          </w:tcPr>
          <w:p w:rsidR="00F060C3" w:rsidRPr="00084393" w:rsidRDefault="00F060C3" w:rsidP="00AF2F83">
            <w:pPr>
              <w:spacing w:before="20" w:after="20" w:line="240" w:lineRule="auto"/>
              <w:rPr>
                <w:rFonts w:cs="Arial"/>
              </w:rPr>
            </w:pPr>
            <w:r w:rsidRPr="00084393">
              <w:rPr>
                <w:rFonts w:cs="Arial"/>
              </w:rPr>
              <w:t>Patients</w:t>
            </w:r>
          </w:p>
        </w:tc>
        <w:tc>
          <w:tcPr>
            <w:tcW w:w="3825" w:type="pct"/>
            <w:tcBorders>
              <w:top w:val="single" w:sz="4" w:space="0" w:color="auto"/>
              <w:left w:val="single" w:sz="4" w:space="0" w:color="auto"/>
              <w:bottom w:val="single" w:sz="4" w:space="0" w:color="auto"/>
              <w:right w:val="single" w:sz="4" w:space="0" w:color="auto"/>
            </w:tcBorders>
          </w:tcPr>
          <w:p w:rsidR="00F060C3" w:rsidRPr="00F12E59" w:rsidRDefault="00F060C3" w:rsidP="00AF2F83">
            <w:r>
              <w:t>Patients with breast implant-associated anaplastic large cell lymphoma (BIA-ALCL), diagnosed by ultrasound and biopsy</w:t>
            </w:r>
          </w:p>
        </w:tc>
      </w:tr>
      <w:tr w:rsidR="00F060C3" w:rsidRPr="00F12E59" w:rsidTr="00F060C3">
        <w:tc>
          <w:tcPr>
            <w:tcW w:w="1175" w:type="pct"/>
            <w:tcBorders>
              <w:right w:val="single" w:sz="4" w:space="0" w:color="auto"/>
            </w:tcBorders>
          </w:tcPr>
          <w:p w:rsidR="00F060C3" w:rsidRPr="00084393" w:rsidRDefault="00F060C3" w:rsidP="00AF2F83">
            <w:pPr>
              <w:spacing w:before="20" w:after="20" w:line="240" w:lineRule="auto"/>
              <w:rPr>
                <w:rFonts w:cs="Arial"/>
              </w:rPr>
            </w:pPr>
            <w:r w:rsidRPr="00084393">
              <w:rPr>
                <w:rFonts w:cs="Arial"/>
              </w:rPr>
              <w:t>Intervention</w:t>
            </w:r>
          </w:p>
        </w:tc>
        <w:tc>
          <w:tcPr>
            <w:tcW w:w="3825" w:type="pct"/>
            <w:tcBorders>
              <w:top w:val="single" w:sz="4" w:space="0" w:color="auto"/>
              <w:left w:val="single" w:sz="4" w:space="0" w:color="auto"/>
              <w:bottom w:val="single" w:sz="4" w:space="0" w:color="auto"/>
              <w:right w:val="single" w:sz="4" w:space="0" w:color="auto"/>
            </w:tcBorders>
          </w:tcPr>
          <w:p w:rsidR="00F060C3" w:rsidRPr="00F12E59" w:rsidRDefault="00F060C3" w:rsidP="00AF2F83">
            <w:r>
              <w:t>Standard lymphoma work</w:t>
            </w:r>
            <w:r w:rsidR="007B18A3">
              <w:t>-</w:t>
            </w:r>
            <w:r>
              <w:t xml:space="preserve">up including PET/CT scan </w:t>
            </w:r>
            <w:r w:rsidRPr="009E1258">
              <w:rPr>
                <w:i/>
              </w:rPr>
              <w:t>plus</w:t>
            </w:r>
            <w:r>
              <w:t xml:space="preserve"> breast MRI to inform lymphoma surgery </w:t>
            </w:r>
          </w:p>
        </w:tc>
      </w:tr>
      <w:tr w:rsidR="00F060C3" w:rsidRPr="00F12E59" w:rsidTr="00F060C3">
        <w:tc>
          <w:tcPr>
            <w:tcW w:w="1175" w:type="pct"/>
            <w:tcBorders>
              <w:right w:val="single" w:sz="4" w:space="0" w:color="auto"/>
            </w:tcBorders>
          </w:tcPr>
          <w:p w:rsidR="00F060C3" w:rsidRPr="00084393" w:rsidRDefault="00F060C3" w:rsidP="00AF2F83">
            <w:pPr>
              <w:spacing w:before="20" w:after="20" w:line="240" w:lineRule="auto"/>
              <w:rPr>
                <w:rFonts w:cs="Arial"/>
              </w:rPr>
            </w:pPr>
            <w:r w:rsidRPr="00084393">
              <w:rPr>
                <w:rFonts w:cs="Arial"/>
              </w:rPr>
              <w:t>Comparator</w:t>
            </w:r>
          </w:p>
        </w:tc>
        <w:tc>
          <w:tcPr>
            <w:tcW w:w="3825" w:type="pct"/>
            <w:tcBorders>
              <w:top w:val="single" w:sz="4" w:space="0" w:color="auto"/>
              <w:left w:val="single" w:sz="4" w:space="0" w:color="auto"/>
              <w:bottom w:val="single" w:sz="4" w:space="0" w:color="auto"/>
              <w:right w:val="single" w:sz="4" w:space="0" w:color="auto"/>
            </w:tcBorders>
          </w:tcPr>
          <w:p w:rsidR="00F060C3" w:rsidRPr="00F12E59" w:rsidRDefault="00F060C3" w:rsidP="00AF2F83">
            <w:r>
              <w:t>Standard lymphoma work</w:t>
            </w:r>
            <w:r w:rsidR="007B18A3">
              <w:t>-</w:t>
            </w:r>
            <w:r>
              <w:t>up including PET/CT scan to inform lymphoma surgery</w:t>
            </w:r>
          </w:p>
        </w:tc>
      </w:tr>
      <w:tr w:rsidR="00F060C3" w:rsidRPr="00F12E59" w:rsidTr="00F060C3">
        <w:tc>
          <w:tcPr>
            <w:tcW w:w="1175" w:type="pct"/>
            <w:tcBorders>
              <w:right w:val="single" w:sz="4" w:space="0" w:color="auto"/>
            </w:tcBorders>
          </w:tcPr>
          <w:p w:rsidR="00F060C3" w:rsidRPr="00084393" w:rsidRDefault="00F060C3" w:rsidP="00AF2F83">
            <w:pPr>
              <w:spacing w:before="20" w:after="20" w:line="240" w:lineRule="auto"/>
              <w:rPr>
                <w:rFonts w:cs="Arial"/>
              </w:rPr>
            </w:pPr>
            <w:r>
              <w:rPr>
                <w:rFonts w:cs="Arial"/>
              </w:rPr>
              <w:t>Reference standard</w:t>
            </w:r>
          </w:p>
        </w:tc>
        <w:tc>
          <w:tcPr>
            <w:tcW w:w="3825" w:type="pct"/>
            <w:tcBorders>
              <w:top w:val="single" w:sz="4" w:space="0" w:color="auto"/>
              <w:left w:val="single" w:sz="4" w:space="0" w:color="auto"/>
              <w:bottom w:val="single" w:sz="4" w:space="0" w:color="auto"/>
              <w:right w:val="single" w:sz="4" w:space="0" w:color="auto"/>
            </w:tcBorders>
          </w:tcPr>
          <w:p w:rsidR="00F060C3" w:rsidRDefault="00F060C3" w:rsidP="00AF2F83">
            <w:pPr>
              <w:spacing w:after="120"/>
            </w:pPr>
            <w:r>
              <w:t>Histopathology</w:t>
            </w:r>
            <w:r w:rsidR="00246951">
              <w:t xml:space="preserve"> (of the surgically-excised specimen)</w:t>
            </w:r>
            <w:r>
              <w:t xml:space="preserve"> </w:t>
            </w:r>
          </w:p>
        </w:tc>
      </w:tr>
      <w:tr w:rsidR="00F060C3" w:rsidRPr="00F12E59" w:rsidTr="00F060C3">
        <w:tc>
          <w:tcPr>
            <w:tcW w:w="1175" w:type="pct"/>
            <w:tcBorders>
              <w:right w:val="single" w:sz="4" w:space="0" w:color="auto"/>
            </w:tcBorders>
          </w:tcPr>
          <w:p w:rsidR="00F060C3" w:rsidRPr="00084393" w:rsidRDefault="00F060C3" w:rsidP="00AF2F83">
            <w:pPr>
              <w:spacing w:before="20" w:after="20" w:line="240" w:lineRule="auto"/>
              <w:rPr>
                <w:rFonts w:cs="Arial"/>
              </w:rPr>
            </w:pPr>
            <w:r w:rsidRPr="00084393">
              <w:rPr>
                <w:rFonts w:cs="Arial"/>
              </w:rPr>
              <w:t>Outcomes</w:t>
            </w:r>
          </w:p>
        </w:tc>
        <w:tc>
          <w:tcPr>
            <w:tcW w:w="3825" w:type="pct"/>
            <w:tcBorders>
              <w:top w:val="single" w:sz="4" w:space="0" w:color="auto"/>
              <w:left w:val="single" w:sz="4" w:space="0" w:color="auto"/>
              <w:bottom w:val="single" w:sz="4" w:space="0" w:color="auto"/>
              <w:right w:val="single" w:sz="4" w:space="0" w:color="auto"/>
            </w:tcBorders>
          </w:tcPr>
          <w:p w:rsidR="00F060C3" w:rsidRDefault="00F060C3" w:rsidP="004F4E00">
            <w:pPr>
              <w:spacing w:afterLines="50" w:after="120" w:line="240" w:lineRule="auto"/>
            </w:pPr>
            <w:r>
              <w:t>Diagnostic accuracy</w:t>
            </w:r>
            <w:r w:rsidR="001A12DB">
              <w:t xml:space="preserve"> of MRI for staging</w:t>
            </w:r>
            <w:r>
              <w:t xml:space="preserve">: </w:t>
            </w:r>
          </w:p>
          <w:p w:rsidR="003726EC" w:rsidRDefault="00F060C3" w:rsidP="004F4E00">
            <w:pPr>
              <w:spacing w:afterLines="50" w:after="120" w:line="240" w:lineRule="auto"/>
            </w:pPr>
            <w:r>
              <w:tab/>
            </w:r>
            <w:r w:rsidR="003726EC">
              <w:t>S</w:t>
            </w:r>
            <w:r>
              <w:t>ensitivity</w:t>
            </w:r>
            <w:r w:rsidR="003726EC">
              <w:t xml:space="preserve"> and </w:t>
            </w:r>
            <w:r>
              <w:t xml:space="preserve">specificity </w:t>
            </w:r>
          </w:p>
          <w:p w:rsidR="00F060C3" w:rsidRDefault="003726EC" w:rsidP="004F4E00">
            <w:pPr>
              <w:spacing w:afterLines="50" w:after="120" w:line="240" w:lineRule="auto"/>
            </w:pPr>
            <w:r>
              <w:tab/>
              <w:t xml:space="preserve">Positive and negative </w:t>
            </w:r>
            <w:r w:rsidR="00F060C3">
              <w:t>likelihood ratios</w:t>
            </w:r>
          </w:p>
          <w:p w:rsidR="003726EC" w:rsidRDefault="003726EC" w:rsidP="004F4E00">
            <w:pPr>
              <w:spacing w:afterLines="50" w:after="120" w:line="240" w:lineRule="auto"/>
            </w:pPr>
            <w:r>
              <w:tab/>
              <w:t>Positive and negative predictive values</w:t>
            </w:r>
          </w:p>
          <w:p w:rsidR="003726EC" w:rsidRDefault="00C203F9" w:rsidP="004F4E00">
            <w:pPr>
              <w:spacing w:afterLines="50" w:after="120" w:line="240" w:lineRule="auto"/>
            </w:pPr>
            <w:r>
              <w:tab/>
              <w:t xml:space="preserve">Receiver </w:t>
            </w:r>
            <w:r w:rsidR="003726EC">
              <w:t>operator characteristic curves</w:t>
            </w:r>
            <w:r w:rsidR="00FF6267">
              <w:t xml:space="preserve">; </w:t>
            </w:r>
            <w:r w:rsidR="003726EC">
              <w:t>area under the curve</w:t>
            </w:r>
          </w:p>
          <w:p w:rsidR="00F060C3" w:rsidRDefault="00F060C3" w:rsidP="004F4E00">
            <w:pPr>
              <w:spacing w:afterLines="50" w:after="120" w:line="240" w:lineRule="auto"/>
            </w:pPr>
            <w:r>
              <w:t xml:space="preserve">Impact on </w:t>
            </w:r>
            <w:r w:rsidR="003726EC">
              <w:t>change in management</w:t>
            </w:r>
            <w:r w:rsidR="00C203F9">
              <w:t xml:space="preserve"> (versus standard tests)</w:t>
            </w:r>
            <w:r>
              <w:t xml:space="preserve">: </w:t>
            </w:r>
          </w:p>
          <w:p w:rsidR="00F060C3" w:rsidRDefault="00F060C3" w:rsidP="004F4E00">
            <w:pPr>
              <w:spacing w:afterLines="50" w:after="120" w:line="240" w:lineRule="auto"/>
            </w:pPr>
            <w:r>
              <w:tab/>
            </w:r>
            <w:r w:rsidR="001A12DB">
              <w:t>Any</w:t>
            </w:r>
            <w:r>
              <w:t xml:space="preserve"> change in surgical technique or treatment decision made by </w:t>
            </w:r>
            <w:r w:rsidR="003726EC">
              <w:tab/>
            </w:r>
            <w:r w:rsidR="00C203F9">
              <w:t xml:space="preserve">clinicians in response to </w:t>
            </w:r>
            <w:r>
              <w:t>information provided by the MRI</w:t>
            </w:r>
          </w:p>
          <w:p w:rsidR="003726EC" w:rsidRDefault="003726EC" w:rsidP="004F4E00">
            <w:pPr>
              <w:spacing w:afterLines="50" w:after="120" w:line="240" w:lineRule="auto"/>
            </w:pPr>
            <w:r>
              <w:t>Effectiveness of change in management:</w:t>
            </w:r>
          </w:p>
          <w:p w:rsidR="00F060C3" w:rsidRDefault="003726EC" w:rsidP="004F4E00">
            <w:pPr>
              <w:spacing w:afterLines="50" w:after="120" w:line="240" w:lineRule="auto"/>
            </w:pPr>
            <w:r>
              <w:tab/>
              <w:t>Mortality</w:t>
            </w:r>
          </w:p>
          <w:p w:rsidR="003726EC" w:rsidRDefault="003726EC" w:rsidP="004F4E00">
            <w:pPr>
              <w:spacing w:afterLines="50" w:after="120" w:line="240" w:lineRule="auto"/>
            </w:pPr>
            <w:r>
              <w:tab/>
            </w:r>
            <w:r w:rsidR="00C203F9">
              <w:t>Survival /r</w:t>
            </w:r>
            <w:r>
              <w:t>ecurrence-free survival</w:t>
            </w:r>
            <w:r w:rsidR="00A22EC2">
              <w:t xml:space="preserve"> (consider loco</w:t>
            </w:r>
            <w:r w:rsidR="00C203F9">
              <w:t>-</w:t>
            </w:r>
            <w:r w:rsidR="00A22EC2">
              <w:t xml:space="preserve">regional </w:t>
            </w:r>
            <w:r w:rsidR="00A22EC2">
              <w:tab/>
              <w:t>recurrence vs lymphoma-free survival)</w:t>
            </w:r>
          </w:p>
          <w:p w:rsidR="003726EC" w:rsidRDefault="003726EC" w:rsidP="004F4E00">
            <w:pPr>
              <w:spacing w:afterLines="50" w:after="120" w:line="240" w:lineRule="auto"/>
            </w:pPr>
            <w:r>
              <w:tab/>
              <w:t>Rate of recurrence</w:t>
            </w:r>
          </w:p>
          <w:p w:rsidR="003726EC" w:rsidRDefault="003726EC" w:rsidP="004F4E00">
            <w:pPr>
              <w:spacing w:afterLines="50" w:after="120" w:line="240" w:lineRule="auto"/>
            </w:pPr>
            <w:r>
              <w:tab/>
              <w:t>Length of hospital stay</w:t>
            </w:r>
          </w:p>
          <w:p w:rsidR="003726EC" w:rsidRDefault="003726EC" w:rsidP="004F4E00">
            <w:pPr>
              <w:spacing w:afterLines="50" w:after="120" w:line="240" w:lineRule="auto"/>
            </w:pPr>
            <w:r>
              <w:tab/>
              <w:t>Patient quality of life</w:t>
            </w:r>
          </w:p>
          <w:p w:rsidR="003726EC" w:rsidRDefault="003726EC" w:rsidP="004F4E00">
            <w:pPr>
              <w:spacing w:afterLines="50" w:after="120" w:line="240" w:lineRule="auto"/>
            </w:pPr>
            <w:r>
              <w:tab/>
              <w:t>Patient satisfaction</w:t>
            </w:r>
          </w:p>
          <w:p w:rsidR="003726EC" w:rsidRPr="00F12E59" w:rsidRDefault="003726EC" w:rsidP="004F4E00">
            <w:pPr>
              <w:spacing w:afterLines="50" w:after="120" w:line="240" w:lineRule="auto"/>
            </w:pPr>
            <w:r>
              <w:tab/>
            </w:r>
            <w:proofErr w:type="spellStart"/>
            <w:r>
              <w:t>Cosmesis</w:t>
            </w:r>
            <w:proofErr w:type="spellEnd"/>
            <w:r>
              <w:t xml:space="preserve"> (appearance of surgical site)</w:t>
            </w:r>
          </w:p>
        </w:tc>
      </w:tr>
    </w:tbl>
    <w:p w:rsidR="004F4E00" w:rsidRPr="004F4E00" w:rsidRDefault="004F4E00" w:rsidP="004F4E00">
      <w:pPr>
        <w:rPr>
          <w:sz w:val="18"/>
          <w:szCs w:val="18"/>
        </w:rPr>
      </w:pPr>
      <w:r w:rsidRPr="004F4E00">
        <w:rPr>
          <w:sz w:val="18"/>
          <w:szCs w:val="18"/>
        </w:rPr>
        <w:t>MRI = magnetic resonance imaging; PET/CT = positron emission tomography / computed tomography</w:t>
      </w:r>
    </w:p>
    <w:p w:rsidR="004F4E00" w:rsidRPr="004F4E00" w:rsidRDefault="004F4E00" w:rsidP="004F4E00">
      <w:pPr>
        <w:rPr>
          <w:i/>
        </w:rPr>
      </w:pPr>
      <w:r w:rsidRPr="004F4E00">
        <w:rPr>
          <w:i/>
        </w:rPr>
        <w:t>Research questions</w:t>
      </w:r>
      <w:r>
        <w:rPr>
          <w:i/>
        </w:rPr>
        <w:t xml:space="preserve"> for linked evidence</w:t>
      </w:r>
      <w:r w:rsidRPr="004F4E00">
        <w:rPr>
          <w:i/>
        </w:rPr>
        <w:t>:</w:t>
      </w:r>
    </w:p>
    <w:p w:rsidR="004F4E00" w:rsidRDefault="004F4E00" w:rsidP="004F4E00">
      <w:r>
        <w:t>What is the accuracy of breast MRI in the staging and surgical work</w:t>
      </w:r>
      <w:r w:rsidR="007B18A3">
        <w:t>-</w:t>
      </w:r>
      <w:r>
        <w:t>up of patients with BIA-ALCL?</w:t>
      </w:r>
    </w:p>
    <w:p w:rsidR="004F4E00" w:rsidRDefault="004F4E00" w:rsidP="004F4E00">
      <w:r>
        <w:t>What is the impact on change in management as a result of using breast MRI in the staging and surgical work</w:t>
      </w:r>
      <w:r w:rsidR="007B18A3">
        <w:t>-</w:t>
      </w:r>
      <w:r>
        <w:t>up of patients with BIA-ALCL?</w:t>
      </w:r>
    </w:p>
    <w:p w:rsidR="004F4E00" w:rsidRPr="007C67C1" w:rsidRDefault="004F4E00" w:rsidP="004F4E00">
      <w:pPr>
        <w:rPr>
          <w:i/>
        </w:rPr>
      </w:pPr>
      <w:r>
        <w:t>What impact does the change in management have on health outcomes?</w:t>
      </w:r>
      <w:r w:rsidR="0020754A">
        <w:t xml:space="preserve"> </w:t>
      </w:r>
      <w:r w:rsidR="0020754A">
        <w:rPr>
          <w:i/>
        </w:rPr>
        <w:t xml:space="preserve">(The intervention and comparator to be assessed for this research question will depend on what changes are identified in the prior linked evidence step). </w:t>
      </w:r>
    </w:p>
    <w:p w:rsidR="000108DF" w:rsidRDefault="000108DF">
      <w:pPr>
        <w:rPr>
          <w:rFonts w:eastAsia="MS Gothic"/>
          <w:b/>
          <w:bCs/>
          <w:i/>
          <w:color w:val="548DD4"/>
          <w:szCs w:val="26"/>
          <w:u w:val="single"/>
        </w:rPr>
      </w:pPr>
    </w:p>
    <w:p w:rsidR="007F4E20" w:rsidRPr="00C12A51" w:rsidRDefault="00E364F7" w:rsidP="00C12A51">
      <w:pPr>
        <w:pStyle w:val="Heading1"/>
      </w:pPr>
      <w:r w:rsidRPr="00C12A51">
        <w:t>PICO</w:t>
      </w:r>
      <w:r w:rsidR="00953ED7" w:rsidRPr="00C12A51">
        <w:t xml:space="preserve"> or PPICO</w:t>
      </w:r>
      <w:r w:rsidRPr="00C12A51">
        <w:t xml:space="preserve"> rationale</w:t>
      </w:r>
      <w:r w:rsidR="006D1643" w:rsidRPr="00C12A51">
        <w:t xml:space="preserve"> for therapeutic </w:t>
      </w:r>
      <w:r w:rsidR="00B45971" w:rsidRPr="00C12A51">
        <w:t xml:space="preserve">and investigative </w:t>
      </w:r>
      <w:r w:rsidR="00BA63AA" w:rsidRPr="00C12A51">
        <w:t>medical services only</w:t>
      </w:r>
    </w:p>
    <w:p w:rsidR="00896845" w:rsidRPr="00E364F7" w:rsidRDefault="00896845" w:rsidP="00494BD2">
      <w:pPr>
        <w:pStyle w:val="Heading2"/>
      </w:pPr>
      <w:r w:rsidRPr="00E364F7">
        <w:t>Population</w:t>
      </w:r>
    </w:p>
    <w:p w:rsidR="00544958" w:rsidRDefault="000D3829" w:rsidP="002B3338">
      <w:r>
        <w:t xml:space="preserve">The population is patients with </w:t>
      </w:r>
      <w:r w:rsidR="00E954BC">
        <w:t xml:space="preserve">diagnosed </w:t>
      </w:r>
      <w:r>
        <w:t>b</w:t>
      </w:r>
      <w:r w:rsidR="003253D0" w:rsidRPr="003253D0">
        <w:t>reast implant-associated anaplastic large cell lymphoma (BIA-ALCL)</w:t>
      </w:r>
      <w:r w:rsidR="00E954BC">
        <w:t xml:space="preserve">. </w:t>
      </w:r>
      <w:r w:rsidR="00544958">
        <w:t xml:space="preserve">BIA-ALCL is a rare but serious complication of breast implants. It is a </w:t>
      </w:r>
      <w:r w:rsidR="00423734">
        <w:t xml:space="preserve">form of </w:t>
      </w:r>
      <w:r w:rsidR="00544958">
        <w:t>rare T-cell non-Hodgkin</w:t>
      </w:r>
      <w:r w:rsidR="00E951D3">
        <w:t>’</w:t>
      </w:r>
      <w:r w:rsidR="00544958">
        <w:t xml:space="preserve">s lymphoma, and presents in two ways: the seroma type, and the mass type. The seroma type consists of a malignant effusion with or without the inner lining of the capsule involved. In this type, cure is usually achieved by removing the implant and capsule. The mass type, or infiltrative disease, is less common but has a worse prognosis and is treated with surgery, as well as other oncological treatments. Worldwide recognition of BIA-ALCL has resulted in </w:t>
      </w:r>
      <w:r w:rsidR="0062727E">
        <w:t>statements</w:t>
      </w:r>
      <w:r w:rsidR="00544958">
        <w:t xml:space="preserve"> about the risk of BIA-ALCL from the World Health Organi</w:t>
      </w:r>
      <w:r w:rsidR="00423734">
        <w:t>z</w:t>
      </w:r>
      <w:r w:rsidR="00544958">
        <w:t>ation (WHO), the U</w:t>
      </w:r>
      <w:r w:rsidR="00423734">
        <w:t>nite</w:t>
      </w:r>
      <w:r w:rsidR="00222970">
        <w:t>d</w:t>
      </w:r>
      <w:r w:rsidR="00423734">
        <w:t xml:space="preserve"> </w:t>
      </w:r>
      <w:r w:rsidR="00544958">
        <w:t>S</w:t>
      </w:r>
      <w:r w:rsidR="00423734">
        <w:t>tates (US)</w:t>
      </w:r>
      <w:r w:rsidR="00544958">
        <w:t xml:space="preserve"> Food and Drug Admin</w:t>
      </w:r>
      <w:r w:rsidR="00866085">
        <w:t>i</w:t>
      </w:r>
      <w:r w:rsidR="00544958">
        <w:t>stration (FDA) and the Therapeutic Goods Adminis</w:t>
      </w:r>
      <w:r w:rsidR="00553626">
        <w:t>t</w:t>
      </w:r>
      <w:r w:rsidR="00544958">
        <w:t xml:space="preserve">ration (TGA) in Australia </w:t>
      </w:r>
      <w:r w:rsidR="00F14989">
        <w:fldChar w:fldCharType="begin">
          <w:fldData xml:space="preserve">PEVuZE5vdGU+PENpdGU+PEF1dGhvcj5GREE8L0F1dGhvcj48WWVhcj4yMDE3PC9ZZWFyPjxSZWNO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</w:fldData>
        </w:fldChar>
      </w:r>
      <w:r w:rsidR="00267346">
        <w:instrText xml:space="preserve"> ADDIN EN.CITE </w:instrText>
      </w:r>
      <w:r w:rsidR="00267346">
        <w:fldChar w:fldCharType="begin">
          <w:fldData xml:space="preserve">PEVuZE5vdGU+PENpdGU+PEF1dGhvcj5GREE8L0F1dGhvcj48WWVhcj4yMDE3PC9ZZWFyPjxSZWNO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</w:fldData>
        </w:fldChar>
      </w:r>
      <w:r w:rsidR="00267346">
        <w:instrText xml:space="preserve"> ADDIN EN.CITE.DATA </w:instrText>
      </w:r>
      <w:r w:rsidR="00267346">
        <w:fldChar w:fldCharType="end"/>
      </w:r>
      <w:r w:rsidR="00F14989">
        <w:fldChar w:fldCharType="separate"/>
      </w:r>
      <w:r w:rsidR="00267346">
        <w:rPr>
          <w:noProof/>
        </w:rPr>
        <w:t>(Swerdlow, Campo et al. 2016, FDA 2017, TGA 2017)</w:t>
      </w:r>
      <w:r w:rsidR="00F14989">
        <w:fldChar w:fldCharType="end"/>
      </w:r>
      <w:r w:rsidR="00CD3CF2">
        <w:t>.</w:t>
      </w:r>
    </w:p>
    <w:p w:rsidR="00BC273B" w:rsidRDefault="00423734" w:rsidP="002B3338">
      <w:r>
        <w:t>In order to diagnose</w:t>
      </w:r>
      <w:r w:rsidR="00E954BC">
        <w:t xml:space="preserve"> BIA-ALCL</w:t>
      </w:r>
      <w:r>
        <w:t>, patients</w:t>
      </w:r>
      <w:r w:rsidR="00E954BC">
        <w:t xml:space="preserve"> will have </w:t>
      </w:r>
      <w:r w:rsidR="00065DB9">
        <w:t>undergone</w:t>
      </w:r>
      <w:r w:rsidR="00E954BC">
        <w:t xml:space="preserve"> ultrasound and biopsy</w:t>
      </w:r>
      <w:r w:rsidR="00065DB9">
        <w:t>, with cytology of the biopsied fluid confirming the ALCL diagnosis</w:t>
      </w:r>
      <w:r w:rsidR="008F2F7B">
        <w:t xml:space="preserve">. </w:t>
      </w:r>
      <w:r w:rsidR="003964B4">
        <w:t>It should be noted that BIA-ALCL is a rare disease and thus identifying current clinical practice is difficult</w:t>
      </w:r>
      <w:r w:rsidR="00F14989">
        <w:t xml:space="preserve">. There have been </w:t>
      </w:r>
      <w:r w:rsidR="00A22EC2">
        <w:t>5</w:t>
      </w:r>
      <w:r w:rsidR="002E70BA">
        <w:t>6</w:t>
      </w:r>
      <w:r w:rsidR="00F14989">
        <w:t xml:space="preserve"> cases of BIA-ALCL</w:t>
      </w:r>
      <w:r w:rsidR="00F14989" w:rsidRPr="00F14989">
        <w:t xml:space="preserve"> </w:t>
      </w:r>
      <w:r>
        <w:t xml:space="preserve">in </w:t>
      </w:r>
      <w:r w:rsidR="00F14989">
        <w:t>Australia to date, all of which have occurred since 2007</w:t>
      </w:r>
      <w:r w:rsidR="002E70BA">
        <w:t xml:space="preserve"> </w:t>
      </w:r>
      <w:r w:rsidR="002E70BA">
        <w:fldChar w:fldCharType="begin"/>
      </w:r>
      <w:r w:rsidR="002E70BA">
        <w:instrText xml:space="preserve"> ADDIN EN.CITE &lt;EndNote&gt;&lt;Cite&gt;&lt;Author&gt;TGA&lt;/Author&gt;&lt;Year&gt;2017&lt;/Year&gt;&lt;RecNum&gt;10&lt;/RecNum&gt;&lt;DisplayText&gt;(TGA 2017)&lt;/DisplayText&gt;&lt;record&gt;&lt;rec-number&gt;10&lt;/rec-number&gt;&lt;foreign-keys&gt;&lt;key app="EN" db-id="df2rd2psc9pxz7esrx5xz5z5ez9xe5pdtxe5" timestamp="1505784979"&gt;10&lt;/key&gt;&lt;/foreign-keys&gt;&lt;ref-type name="Web Page"&gt;12&lt;/ref-type&gt;&lt;contributors&gt;&lt;authors&gt;&lt;author&gt;TGA, .&lt;/author&gt;&lt;/authors&gt;&lt;/contributors&gt;&lt;titles&gt;&lt;title&gt;Alerts: Breast implants and anaplastic large cell lymphoma. Update- additional confirmed cases of anaplastic large cell lymphoma&lt;/title&gt;&lt;/titles&gt;&lt;volume&gt;2017&lt;/volume&gt;&lt;number&gt;19 Sept&lt;/number&gt;&lt;dates&gt;&lt;year&gt;2017&lt;/year&gt;&lt;/dates&gt;&lt;pub-location&gt;Canberra, Aus.&lt;/pub-location&gt;&lt;publisher&gt;TGA&lt;/publisher&gt;&lt;urls&gt;&lt;related-urls&gt;&lt;url&gt;http://www.tga.gov.au/alert/breast-implants-and-anaplastic-large-cell-lymphoma&lt;/url&gt;&lt;/related-urls&gt;&lt;/urls&gt;&lt;/record&gt;&lt;/Cite&gt;&lt;/EndNote&gt;</w:instrText>
      </w:r>
      <w:r w:rsidR="002E70BA">
        <w:fldChar w:fldCharType="separate"/>
      </w:r>
      <w:r w:rsidR="002E70BA">
        <w:rPr>
          <w:noProof/>
        </w:rPr>
        <w:t>(TGA 2017)</w:t>
      </w:r>
      <w:r w:rsidR="002E70BA">
        <w:fldChar w:fldCharType="end"/>
      </w:r>
      <w:r>
        <w:t>.</w:t>
      </w:r>
      <w:r w:rsidR="00F14989">
        <w:t xml:space="preserve"> </w:t>
      </w:r>
      <w:r w:rsidR="00BC273B">
        <w:t xml:space="preserve">The applicant estimates 10 newly diagnosed patients per year. It is suspected </w:t>
      </w:r>
      <w:r w:rsidR="00F14989">
        <w:t xml:space="preserve">the disease is under-diagnosed, and the TGA </w:t>
      </w:r>
      <w:r w:rsidR="00BC273B">
        <w:t>is</w:t>
      </w:r>
      <w:r w:rsidR="00F14989">
        <w:t xml:space="preserve"> working with research groups to obtain better estimates of the incidence</w:t>
      </w:r>
      <w:r w:rsidR="001F4F3F">
        <w:t xml:space="preserve"> </w:t>
      </w:r>
      <w:r w:rsidR="00F14989">
        <w:fldChar w:fldCharType="begin"/>
      </w:r>
      <w:r w:rsidR="00267346">
        <w:instrText xml:space="preserve"> ADDIN EN.CITE &lt;EndNote&gt;&lt;Cite&gt;&lt;Author&gt;TGA&lt;/Author&gt;&lt;Year&gt;2017&lt;/Year&gt;&lt;RecNum&gt;4&lt;/RecNum&gt;&lt;DisplayText&gt;(TGA 2017)&lt;/DisplayText&gt;&lt;record&gt;&lt;rec-number&gt;4&lt;/rec-number&gt;&lt;foreign-keys&gt;&lt;key app="EN" db-id="df2rd2psc9pxz7esrx5xz5z5ez9xe5pdtxe5" timestamp="1499321225"&gt;4&lt;/key&gt;&lt;/foreign-keys&gt;&lt;ref-type name="Web Page"&gt;12&lt;/ref-type&gt;&lt;contributors&gt;&lt;authors&gt;&lt;author&gt;TGA,.&lt;/author&gt;&lt;/authors&gt;&lt;/contributors&gt;&lt;titles&gt;&lt;title&gt;Safety Information- Alerts: Breast implants&lt;/title&gt;&lt;/titles&gt;&lt;volume&gt;2017&lt;/volume&gt;&lt;number&gt;6 July&lt;/number&gt;&lt;dates&gt;&lt;year&gt;2017&lt;/year&gt;&lt;/dates&gt;&lt;pub-location&gt;Canberra, Australia&lt;/pub-location&gt;&lt;publisher&gt;Therapeutic Goods Administration&lt;/publisher&gt;&lt;urls&gt;&lt;related-urls&gt;&lt;url&gt;https://www.tga.gov.au/alert/breast-implants&lt;/url&gt;&lt;/related-urls&gt;&lt;/urls&gt;&lt;/record&gt;&lt;/Cite&gt;&lt;/EndNote&gt;</w:instrText>
      </w:r>
      <w:r w:rsidR="00F14989">
        <w:fldChar w:fldCharType="separate"/>
      </w:r>
      <w:r w:rsidR="00267346">
        <w:rPr>
          <w:noProof/>
        </w:rPr>
        <w:t>(TGA 2017)</w:t>
      </w:r>
      <w:r w:rsidR="00F14989">
        <w:fldChar w:fldCharType="end"/>
      </w:r>
      <w:r>
        <w:t>.</w:t>
      </w:r>
      <w:r w:rsidR="00BC273B">
        <w:t xml:space="preserve"> Worldwide, 350 cases are estimated.</w:t>
      </w:r>
      <w:r w:rsidR="00F14989">
        <w:t xml:space="preserve"> </w:t>
      </w:r>
    </w:p>
    <w:p w:rsidR="00857113" w:rsidRPr="00857113" w:rsidRDefault="00857113" w:rsidP="00857113">
      <w:r>
        <w:t>PASC noted</w:t>
      </w:r>
      <w:r w:rsidR="00177592">
        <w:t xml:space="preserve"> </w:t>
      </w:r>
      <w:r w:rsidR="00BC273B">
        <w:t>Australia has been at the forefront</w:t>
      </w:r>
      <w:r>
        <w:t xml:space="preserve"> of publishing </w:t>
      </w:r>
      <w:r w:rsidRPr="00857113">
        <w:t>epidemiological data</w:t>
      </w:r>
      <w:r w:rsidR="00177592">
        <w:t xml:space="preserve">, </w:t>
      </w:r>
      <w:r w:rsidRPr="00857113">
        <w:t xml:space="preserve">working collaboratively to develop treatment guidelines and research opportunities internationally. PASC noted the disease </w:t>
      </w:r>
      <w:r>
        <w:t xml:space="preserve">is not related to </w:t>
      </w:r>
      <w:r w:rsidRPr="00857113">
        <w:t>integrity of the implant.</w:t>
      </w:r>
    </w:p>
    <w:p w:rsidR="003253D0" w:rsidRDefault="00F14989" w:rsidP="002B3338">
      <w:r>
        <w:t xml:space="preserve">A statement for members of the Australian Society of Plastic Surgeons, the Australasian Society of Aesthetic Plastic Surgeons and the New Zealand Association of Plastic Surgeons </w:t>
      </w:r>
      <w:r w:rsidR="00222970">
        <w:t xml:space="preserve">(included with the application) </w:t>
      </w:r>
      <w:r>
        <w:t xml:space="preserve">notes that all Australian cases of the disease have been in women with textured implants, and evidence </w:t>
      </w:r>
      <w:r w:rsidR="00090017">
        <w:t xml:space="preserve">from the US </w:t>
      </w:r>
      <w:r>
        <w:t>suggests more cases associated with textur</w:t>
      </w:r>
      <w:r w:rsidR="00090017">
        <w:t>ed implants compared to smooth. Other than the surface of the implant, there appear to be no other consistent risk factors for BIA-ALCL</w:t>
      </w:r>
      <w:r w:rsidR="00222970">
        <w:t>.</w:t>
      </w:r>
    </w:p>
    <w:p w:rsidR="00E364F7" w:rsidRDefault="002B3338" w:rsidP="002B3338">
      <w:pPr>
        <w:rPr>
          <w:i/>
        </w:rPr>
      </w:pPr>
      <w:r>
        <w:rPr>
          <w:i/>
          <w:u w:val="single"/>
        </w:rPr>
        <w:t>Rationale</w:t>
      </w:r>
    </w:p>
    <w:p w:rsidR="00473F31" w:rsidRDefault="00473F31" w:rsidP="008F2F7B">
      <w:r>
        <w:t>Patients with diagnosed BIA-ALCL undergo lymphoma work</w:t>
      </w:r>
      <w:r w:rsidR="00BC273B">
        <w:t>-</w:t>
      </w:r>
      <w:r>
        <w:t xml:space="preserve">up and staging, with </w:t>
      </w:r>
      <w:r w:rsidR="006B675A">
        <w:t xml:space="preserve">multiple tests and imaging </w:t>
      </w:r>
      <w:r w:rsidR="00A06ED4">
        <w:t>to inform treatment. Surgery is the mainstay of treatment and often cures the BIA-ALCL.</w:t>
      </w:r>
    </w:p>
    <w:p w:rsidR="00953ED7" w:rsidRPr="00E364F7" w:rsidRDefault="00953ED7" w:rsidP="00953ED7">
      <w:pPr>
        <w:rPr>
          <w:b/>
        </w:rPr>
      </w:pPr>
      <w:r>
        <w:rPr>
          <w:b/>
        </w:rPr>
        <w:t>Prior test (investigative services only - if prior tests are to be included)</w:t>
      </w:r>
    </w:p>
    <w:p w:rsidR="003253D0" w:rsidRPr="003253D0" w:rsidRDefault="00473F31" w:rsidP="00A317E7">
      <w:pPr>
        <w:tabs>
          <w:tab w:val="right" w:pos="9026"/>
        </w:tabs>
      </w:pPr>
      <w:r>
        <w:t>N</w:t>
      </w:r>
      <w:r w:rsidR="000E5CE7">
        <w:t>ot applicable</w:t>
      </w:r>
      <w:r w:rsidR="00E954BC">
        <w:t xml:space="preserve">. </w:t>
      </w:r>
    </w:p>
    <w:p w:rsidR="00896845" w:rsidRPr="00E364F7" w:rsidRDefault="00896845" w:rsidP="00494BD2">
      <w:pPr>
        <w:pStyle w:val="Heading2"/>
      </w:pPr>
      <w:r w:rsidRPr="00E364F7">
        <w:t>Intervention</w:t>
      </w:r>
    </w:p>
    <w:p w:rsidR="00A06ED4" w:rsidRDefault="009A2DA4" w:rsidP="009A2DA4">
      <w:r>
        <w:t xml:space="preserve">Breast </w:t>
      </w:r>
      <w:r w:rsidR="00423734">
        <w:t>magnetic resonance imaging (</w:t>
      </w:r>
      <w:r>
        <w:t>MRI</w:t>
      </w:r>
      <w:r w:rsidR="00423734">
        <w:t>)</w:t>
      </w:r>
      <w:r>
        <w:t xml:space="preserve"> is an established technique for imaging of the breast tissue, usually for the purpos</w:t>
      </w:r>
      <w:r w:rsidR="00F25C97">
        <w:t>es</w:t>
      </w:r>
      <w:r>
        <w:t xml:space="preserve"> of detecting new breast cancers or the extent of breast cancer diagnosed by other methods. </w:t>
      </w:r>
      <w:r w:rsidR="00224066">
        <w:t xml:space="preserve">It is currently listed on the </w:t>
      </w:r>
      <w:r w:rsidR="00423734">
        <w:t>Medicare Benefits Schedule (</w:t>
      </w:r>
      <w:r w:rsidR="00224066">
        <w:t>MBS</w:t>
      </w:r>
      <w:r w:rsidR="00423734">
        <w:t>)</w:t>
      </w:r>
      <w:r w:rsidR="00224066">
        <w:t xml:space="preserve"> for</w:t>
      </w:r>
      <w:r w:rsidR="00A06ED4">
        <w:t>:</w:t>
      </w:r>
    </w:p>
    <w:p w:rsidR="00A06ED4" w:rsidRDefault="00C47A59" w:rsidP="00171909">
      <w:pPr>
        <w:pStyle w:val="ListParagraph"/>
        <w:numPr>
          <w:ilvl w:val="0"/>
          <w:numId w:val="10"/>
        </w:numPr>
      </w:pPr>
      <w:r>
        <w:t>identification of primary cancers</w:t>
      </w:r>
      <w:r w:rsidR="00554823">
        <w:t xml:space="preserve"> </w:t>
      </w:r>
      <w:r>
        <w:t>in cases of metastatic cancer in the regional lymph nodes</w:t>
      </w:r>
      <w:r w:rsidR="00554823">
        <w:t>,</w:t>
      </w:r>
      <w:r>
        <w:t xml:space="preserve"> wher</w:t>
      </w:r>
      <w:r w:rsidR="00A06ED4">
        <w:t>e the primary cancer is unknown (item</w:t>
      </w:r>
      <w:r w:rsidR="00D17D15">
        <w:t>s</w:t>
      </w:r>
      <w:r w:rsidR="00A06ED4">
        <w:t xml:space="preserve"> 63487</w:t>
      </w:r>
      <w:r w:rsidR="00D17D15">
        <w:t>-</w:t>
      </w:r>
      <w:r w:rsidR="00A06ED4">
        <w:t>8);</w:t>
      </w:r>
    </w:p>
    <w:p w:rsidR="00A06ED4" w:rsidRDefault="0030585C" w:rsidP="00171909">
      <w:pPr>
        <w:pStyle w:val="ListParagraph"/>
        <w:numPr>
          <w:ilvl w:val="0"/>
          <w:numId w:val="10"/>
        </w:numPr>
      </w:pPr>
      <w:r>
        <w:t>early detection of breast cancer in patients at high risk of the disease</w:t>
      </w:r>
      <w:r w:rsidR="00A06ED4">
        <w:t xml:space="preserve"> (item</w:t>
      </w:r>
      <w:r w:rsidR="00D17D15">
        <w:t>s</w:t>
      </w:r>
      <w:r w:rsidR="00A06ED4">
        <w:t xml:space="preserve"> </w:t>
      </w:r>
      <w:r w:rsidR="00D17D15">
        <w:t xml:space="preserve">63457 and </w:t>
      </w:r>
      <w:r w:rsidR="00044FEF">
        <w:t>63464</w:t>
      </w:r>
      <w:r w:rsidR="00D17D15">
        <w:t>)</w:t>
      </w:r>
      <w:r w:rsidR="00554823">
        <w:t>, and follow-</w:t>
      </w:r>
      <w:r w:rsidR="00044FEF">
        <w:t>up of these scans (items 63458</w:t>
      </w:r>
      <w:r w:rsidR="00C47A59">
        <w:t xml:space="preserve"> and</w:t>
      </w:r>
      <w:r w:rsidR="00044FEF">
        <w:t xml:space="preserve"> 63467); and</w:t>
      </w:r>
    </w:p>
    <w:p w:rsidR="0030585C" w:rsidRDefault="00C47A59" w:rsidP="00171909">
      <w:pPr>
        <w:pStyle w:val="ListParagraph"/>
        <w:numPr>
          <w:ilvl w:val="0"/>
          <w:numId w:val="10"/>
        </w:numPr>
      </w:pPr>
      <w:proofErr w:type="gramStart"/>
      <w:r>
        <w:t>evaluation</w:t>
      </w:r>
      <w:proofErr w:type="gramEnd"/>
      <w:r>
        <w:t xml:space="preserve"> of implant integrity in patients with an implant manufactured by Poly Implant </w:t>
      </w:r>
      <w:proofErr w:type="spellStart"/>
      <w:r>
        <w:t>Prothese</w:t>
      </w:r>
      <w:proofErr w:type="spellEnd"/>
      <w:r w:rsidR="00A06ED4">
        <w:t xml:space="preserve"> (items 63501-2 and 63504-5)</w:t>
      </w:r>
      <w:r>
        <w:t>.</w:t>
      </w:r>
      <w:r w:rsidR="0030585C">
        <w:t xml:space="preserve"> </w:t>
      </w:r>
    </w:p>
    <w:p w:rsidR="004F42FB" w:rsidRDefault="004F42FB" w:rsidP="009A2DA4">
      <w:r>
        <w:t xml:space="preserve">The intervention is intended to provide </w:t>
      </w:r>
      <w:r w:rsidRPr="004F42FB">
        <w:rPr>
          <w:i/>
        </w:rPr>
        <w:t>additional</w:t>
      </w:r>
      <w:r>
        <w:t xml:space="preserve"> information to the clinical team cari</w:t>
      </w:r>
      <w:r w:rsidR="00DB3080">
        <w:t>ng for the person with BIA-ALCL, with the intention of making initial surgery more effective and reducing the need for repeat surgery if tumour margins are not clear. It is also intended to help identify the need for any other necessary treatments, such as chemotherapy.</w:t>
      </w:r>
    </w:p>
    <w:p w:rsidR="004F42FB" w:rsidRDefault="004F42FB" w:rsidP="009A2DA4">
      <w:r>
        <w:t xml:space="preserve">Breast MRI would be undertaken by qualified radiologists in private </w:t>
      </w:r>
      <w:r w:rsidR="00F77406">
        <w:t xml:space="preserve">(MBS) </w:t>
      </w:r>
      <w:r>
        <w:t xml:space="preserve">or public </w:t>
      </w:r>
      <w:r w:rsidR="00F77406">
        <w:t xml:space="preserve">(non-MBS or as a private patient) hospital </w:t>
      </w:r>
      <w:r>
        <w:t>settings</w:t>
      </w:r>
      <w:r w:rsidR="00E66BC1">
        <w:t xml:space="preserve"> (admitted or non-admitted patient)</w:t>
      </w:r>
      <w:r>
        <w:t xml:space="preserve">, or </w:t>
      </w:r>
      <w:r w:rsidR="00F77406">
        <w:t xml:space="preserve">in </w:t>
      </w:r>
      <w:r>
        <w:t>private radiology clinics.</w:t>
      </w:r>
      <w:r w:rsidR="006F1F94">
        <w:t xml:space="preserve"> It requires a dedicated breast coil to perform. The breast MRI would be ordered by a specialist physician or surgeon, as the patient would be under the care of a specialist team once BIA-ALCL is diagnosed. This item would not be available to general practitioners (GPs).</w:t>
      </w:r>
    </w:p>
    <w:p w:rsidR="002B3338" w:rsidRDefault="002B3338" w:rsidP="002B3338">
      <w:pPr>
        <w:spacing w:before="120" w:after="120"/>
        <w:rPr>
          <w:i/>
        </w:rPr>
      </w:pPr>
      <w:r>
        <w:rPr>
          <w:i/>
          <w:u w:val="single"/>
        </w:rPr>
        <w:t>Rationale</w:t>
      </w:r>
    </w:p>
    <w:p w:rsidR="00A06ED4" w:rsidRDefault="00A06ED4" w:rsidP="00A06ED4">
      <w:r>
        <w:t>The breast MRI is intended to help clin</w:t>
      </w:r>
      <w:r w:rsidR="00D6124B">
        <w:t xml:space="preserve">icians stage the disease and </w:t>
      </w:r>
      <w:r>
        <w:t>provide the best possible guidance (the work</w:t>
      </w:r>
      <w:r w:rsidR="00D6124B">
        <w:t xml:space="preserve">-up) for surgery, to ensure </w:t>
      </w:r>
      <w:r>
        <w:t>complete excision</w:t>
      </w:r>
      <w:r w:rsidR="00B705B4">
        <w:t xml:space="preserve"> of lymphoma, implants and </w:t>
      </w:r>
      <w:r>
        <w:t>surrounding fibrous capsule</w:t>
      </w:r>
      <w:r w:rsidR="00044FEF" w:rsidRPr="00044FEF">
        <w:t xml:space="preserve"> </w:t>
      </w:r>
      <w:r w:rsidR="00044FEF">
        <w:t>is achieved, as well as any mass or lymph nodes that require excision</w:t>
      </w:r>
      <w:r>
        <w:t xml:space="preserve">. </w:t>
      </w:r>
      <w:r w:rsidR="00423734">
        <w:t>Positron emission tomography – computed tomography (</w:t>
      </w:r>
      <w:r>
        <w:t>PET/CT</w:t>
      </w:r>
      <w:r w:rsidR="00423734">
        <w:t>)</w:t>
      </w:r>
      <w:r>
        <w:t xml:space="preserve"> scanning is also used at this stage in the treatment of the BIA-ALCL, and breast MRI is intended to add further information to the clinical picture, to improve the surgical outcomes.</w:t>
      </w:r>
    </w:p>
    <w:p w:rsidR="00896845" w:rsidRPr="00E364F7" w:rsidRDefault="00896845" w:rsidP="00494BD2">
      <w:pPr>
        <w:pStyle w:val="Heading2"/>
      </w:pPr>
      <w:r w:rsidRPr="00E364F7">
        <w:t>Comparator</w:t>
      </w:r>
    </w:p>
    <w:p w:rsidR="00E95C7C" w:rsidRDefault="004F42FB" w:rsidP="00E95C7C">
      <w:r>
        <w:t xml:space="preserve">The comparator is standard </w:t>
      </w:r>
      <w:r w:rsidR="00E66BC1">
        <w:t>lymphoma work-up of PE</w:t>
      </w:r>
      <w:r>
        <w:t>T/CT imaging to stage the lymphoma and prepare for surgery, but without MRI.</w:t>
      </w:r>
    </w:p>
    <w:p w:rsidR="000E17C9" w:rsidRDefault="000E17C9" w:rsidP="00E95C7C">
      <w:r>
        <w:t>PASC noted that ultraso</w:t>
      </w:r>
      <w:r w:rsidR="009D0BE1">
        <w:t>und is used as a pre-diagnostic and surveillance tool and has no role in the diagnostic pathway.</w:t>
      </w:r>
    </w:p>
    <w:p w:rsidR="00896845" w:rsidRDefault="002B3338" w:rsidP="002B3338">
      <w:pPr>
        <w:rPr>
          <w:i/>
        </w:rPr>
      </w:pPr>
      <w:r>
        <w:rPr>
          <w:i/>
          <w:u w:val="single"/>
        </w:rPr>
        <w:t>Rationale</w:t>
      </w:r>
    </w:p>
    <w:p w:rsidR="004B2BD5" w:rsidRDefault="00DB3080">
      <w:r>
        <w:t>Staging and work</w:t>
      </w:r>
      <w:r w:rsidR="00732826">
        <w:t>-</w:t>
      </w:r>
      <w:r w:rsidR="003964B4">
        <w:t>up under the existing clinical management algori</w:t>
      </w:r>
      <w:r w:rsidR="00883BC5">
        <w:t>thm would include PET/CT imaging, alongside a range of clinical tests required by the physician</w:t>
      </w:r>
      <w:r w:rsidR="006F1F94">
        <w:t xml:space="preserve"> and surgeon</w:t>
      </w:r>
      <w:r w:rsidR="00883BC5">
        <w:t xml:space="preserve"> team</w:t>
      </w:r>
      <w:r w:rsidR="003964B4">
        <w:t xml:space="preserve">. </w:t>
      </w:r>
      <w:r w:rsidR="00553626">
        <w:t>A relevant MBS item is available for PET/CT imaging in patients with newly diagnosed non-Hodgkin</w:t>
      </w:r>
      <w:r w:rsidR="00AB7ED7">
        <w:t>’</w:t>
      </w:r>
      <w:r w:rsidR="00553626">
        <w:t>s lymphoma (</w:t>
      </w:r>
      <w:r w:rsidR="00AB7ED7">
        <w:t>MBS item 61620)</w:t>
      </w:r>
      <w:r w:rsidR="00B24F82">
        <w:t>. H</w:t>
      </w:r>
      <w:r w:rsidR="00AB7ED7">
        <w:t>owever</w:t>
      </w:r>
      <w:r w:rsidR="00B24F82">
        <w:t>,</w:t>
      </w:r>
      <w:r w:rsidR="00AB7ED7">
        <w:t xml:space="preserve"> it should be noted that this item is not available for patients with </w:t>
      </w:r>
      <w:r w:rsidR="00AB7ED7" w:rsidRPr="00AB7ED7">
        <w:rPr>
          <w:i/>
        </w:rPr>
        <w:t xml:space="preserve">indolent </w:t>
      </w:r>
      <w:r w:rsidR="00AB7ED7" w:rsidRPr="00E951D3">
        <w:t>non-Hodgkin’s lymphoma</w:t>
      </w:r>
      <w:r w:rsidR="00C75FCA">
        <w:t>, and</w:t>
      </w:r>
      <w:r w:rsidR="00AB7ED7" w:rsidRPr="00AB7ED7">
        <w:t xml:space="preserve"> </w:t>
      </w:r>
      <w:r w:rsidR="00C75FCA">
        <w:t>BIA-ALCL can take an indolent form</w:t>
      </w:r>
      <w:r w:rsidR="00310A8B">
        <w:t>, so it is not clear if this item would be applicable in all cases</w:t>
      </w:r>
      <w:r w:rsidR="00B24F82">
        <w:t xml:space="preserve"> </w:t>
      </w:r>
      <w:r w:rsidR="00C75FCA">
        <w:fldChar w:fldCharType="begin">
          <w:fldData xml:space="preserve">PEVuZE5vdGU+PENpdGU+PEF1dGhvcj5Ccm9keTwvQXV0aG9yPjxZZWFyPjIwMTU8L1llYXI+PFJl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</w:fldData>
        </w:fldChar>
      </w:r>
      <w:r w:rsidR="00267346">
        <w:instrText xml:space="preserve"> ADDIN EN.CITE </w:instrText>
      </w:r>
      <w:r w:rsidR="00267346">
        <w:fldChar w:fldCharType="begin">
          <w:fldData xml:space="preserve">PEVuZE5vdGU+PENpdGU+PEF1dGhvcj5Ccm9keTwvQXV0aG9yPjxZZWFyPjIwMTU8L1llYXI+PFJl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</w:fldData>
        </w:fldChar>
      </w:r>
      <w:r w:rsidR="00267346">
        <w:instrText xml:space="preserve"> ADDIN EN.CITE.DATA </w:instrText>
      </w:r>
      <w:r w:rsidR="00267346">
        <w:fldChar w:fldCharType="end"/>
      </w:r>
      <w:r w:rsidR="00C75FCA">
        <w:fldChar w:fldCharType="separate"/>
      </w:r>
      <w:r w:rsidR="00267346">
        <w:rPr>
          <w:noProof/>
        </w:rPr>
        <w:t>(Brody, Deapen et al. 2015)</w:t>
      </w:r>
      <w:r w:rsidR="00C75FCA">
        <w:fldChar w:fldCharType="end"/>
      </w:r>
      <w:r w:rsidR="00B24F82">
        <w:t>.</w:t>
      </w:r>
      <w:r w:rsidR="004B2BD5">
        <w:br w:type="page"/>
      </w:r>
    </w:p>
    <w:p w:rsidR="00896845" w:rsidRPr="004B2BD5" w:rsidRDefault="00896845" w:rsidP="00494BD2">
      <w:pPr>
        <w:pStyle w:val="Heading2"/>
      </w:pPr>
      <w:r w:rsidRPr="00E364F7">
        <w:t>Outcomes</w:t>
      </w:r>
    </w:p>
    <w:p w:rsidR="002A66BD" w:rsidRPr="002A66BD" w:rsidRDefault="002A66BD">
      <w:pPr>
        <w:rPr>
          <w:i/>
          <w:u w:val="single"/>
        </w:rPr>
      </w:pPr>
      <w:r w:rsidRPr="002A66BD">
        <w:rPr>
          <w:i/>
          <w:u w:val="single"/>
        </w:rPr>
        <w:t>Patient relevant</w:t>
      </w:r>
    </w:p>
    <w:p w:rsidR="003964B4" w:rsidRDefault="00777655" w:rsidP="003964B4">
      <w:r>
        <w:t xml:space="preserve">Relevant outcomes relate to </w:t>
      </w:r>
      <w:r w:rsidR="003964B4">
        <w:t xml:space="preserve">success </w:t>
      </w:r>
      <w:r>
        <w:t xml:space="preserve">of the surgery in ensuring the entirety of </w:t>
      </w:r>
      <w:r w:rsidR="003964B4">
        <w:t>malignant tissue is excised</w:t>
      </w:r>
      <w:r>
        <w:t xml:space="preserve">, and </w:t>
      </w:r>
      <w:r w:rsidR="00553626">
        <w:t>need for further surgery if surgical margins are not clear</w:t>
      </w:r>
      <w:r w:rsidR="003964B4">
        <w:t xml:space="preserve">. </w:t>
      </w:r>
      <w:r w:rsidR="00883BC5">
        <w:t xml:space="preserve">Later outcomes relating to this include </w:t>
      </w:r>
      <w:r w:rsidR="00553626">
        <w:t>survival</w:t>
      </w:r>
      <w:r w:rsidR="00AB7ED7">
        <w:t xml:space="preserve"> and</w:t>
      </w:r>
      <w:r w:rsidR="00883BC5">
        <w:t xml:space="preserve"> recurrence</w:t>
      </w:r>
      <w:r w:rsidR="00553626">
        <w:t>-free survival</w:t>
      </w:r>
      <w:r w:rsidR="00883BC5">
        <w:t xml:space="preserve">. </w:t>
      </w:r>
    </w:p>
    <w:p w:rsidR="00883BC5" w:rsidRDefault="00883BC5" w:rsidP="00883BC5">
      <w:r>
        <w:t>M</w:t>
      </w:r>
      <w:r w:rsidR="00777655">
        <w:t xml:space="preserve">RI is generally considered </w:t>
      </w:r>
      <w:r>
        <w:t>safe, especially when patients are adequately screened beforehand (for example, to exclude patients with implanted medical devices). However</w:t>
      </w:r>
      <w:r w:rsidR="00DE5570">
        <w:t>,</w:t>
      </w:r>
      <w:r>
        <w:t xml:space="preserve"> relevant safety outcomes for the intervention include </w:t>
      </w:r>
      <w:r w:rsidR="00AB7ED7">
        <w:t>reaction to any contrast medium used, claustrophobia, and other reactions to the MRI resulting in injury, such as unknown contra</w:t>
      </w:r>
      <w:r w:rsidR="0065031A">
        <w:t>-</w:t>
      </w:r>
      <w:r w:rsidR="00AB7ED7">
        <w:t>indications.</w:t>
      </w:r>
    </w:p>
    <w:p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rsidR="008843D0" w:rsidRDefault="00AB7ED7" w:rsidP="00AB7ED7">
      <w:r>
        <w:t>MRI</w:t>
      </w:r>
      <w:r w:rsidR="008843D0">
        <w:t xml:space="preserve"> is </w:t>
      </w:r>
      <w:r w:rsidR="004C0520">
        <w:t>relatively widely available in Australia across metropolitan and some rural areas</w:t>
      </w:r>
      <w:r w:rsidR="00223623">
        <w:t xml:space="preserve">. However, </w:t>
      </w:r>
      <w:r w:rsidR="009A2ED7">
        <w:t>the MBS websit</w:t>
      </w:r>
      <w:r w:rsidR="00223623">
        <w:t>e is not up-to-date with regard</w:t>
      </w:r>
      <w:r w:rsidR="009A2ED7">
        <w:t xml:space="preserve"> to MRI providers </w:t>
      </w:r>
      <w:r w:rsidR="00223623">
        <w:t xml:space="preserve">who </w:t>
      </w:r>
      <w:r w:rsidR="009A2ED7">
        <w:t>are MBS eligible and have the breast coil.</w:t>
      </w:r>
      <w:r w:rsidR="004C0520">
        <w:t xml:space="preserve"> </w:t>
      </w:r>
      <w:r w:rsidR="003250AB">
        <w:t xml:space="preserve">Access to breast MRI could be an issue. </w:t>
      </w:r>
      <w:r w:rsidR="008843D0">
        <w:t>The suggested MBS item descriptor specifies that only a specialist can order the MRI scan, and</w:t>
      </w:r>
      <w:r w:rsidR="00223623">
        <w:t xml:space="preserve"> this is appropriate given </w:t>
      </w:r>
      <w:r w:rsidR="008843D0">
        <w:t>th</w:t>
      </w:r>
      <w:r w:rsidR="00223623">
        <w:t>e patient already has a diagnosis of ALCL and would</w:t>
      </w:r>
      <w:r w:rsidR="008843D0">
        <w:t xml:space="preserve"> be under the care of a team of </w:t>
      </w:r>
      <w:r w:rsidR="003250AB">
        <w:t>specialists</w:t>
      </w:r>
      <w:r w:rsidR="008843D0">
        <w:t xml:space="preserve">. </w:t>
      </w:r>
      <w:r w:rsidR="00223623">
        <w:t>O</w:t>
      </w:r>
      <w:r w:rsidR="004C0520">
        <w:t>ncology care</w:t>
      </w:r>
      <w:r w:rsidR="00CF29A1">
        <w:t xml:space="preserve"> </w:t>
      </w:r>
      <w:r w:rsidR="004C0520">
        <w:t>is likely to be delivered predominantly in Australian cities</w:t>
      </w:r>
      <w:r w:rsidR="00223623">
        <w:t>, as opposed to smaller rural c</w:t>
      </w:r>
      <w:r w:rsidR="00FF6267">
        <w:t>entres</w:t>
      </w:r>
      <w:r w:rsidR="00CF29A1">
        <w:t>.</w:t>
      </w:r>
    </w:p>
    <w:p w:rsidR="00DB3080" w:rsidRDefault="00DB3080" w:rsidP="00AB7ED7">
      <w:r>
        <w:t>Other healthcare system implications include costs associated with having to repeat surgery if margins are not clear, or for cosmetic reasons.</w:t>
      </w:r>
    </w:p>
    <w:p w:rsidR="002B3338" w:rsidRDefault="002B3338" w:rsidP="002B3338">
      <w:pPr>
        <w:rPr>
          <w:i/>
        </w:rPr>
      </w:pPr>
      <w:r>
        <w:rPr>
          <w:i/>
          <w:u w:val="single"/>
        </w:rPr>
        <w:t>Rationale</w:t>
      </w:r>
    </w:p>
    <w:p w:rsidR="00144FA8" w:rsidRDefault="009A2ED7" w:rsidP="00144FA8">
      <w:pPr>
        <w:rPr>
          <w:i/>
          <w:u w:val="single"/>
        </w:rPr>
      </w:pPr>
      <w:r>
        <w:t xml:space="preserve">As the premise of using MRI </w:t>
      </w:r>
      <w:r w:rsidRPr="00F452C4">
        <w:rPr>
          <w:i/>
        </w:rPr>
        <w:t>in addition to</w:t>
      </w:r>
      <w:r w:rsidR="00F452C4">
        <w:t xml:space="preserve"> </w:t>
      </w:r>
      <w:r>
        <w:t>other tests in the clinical pathway is to better inform surgery, it is relevant that the direct and indirect results of surgery are the outcomes.</w:t>
      </w:r>
      <w:r w:rsidR="00144FA8" w:rsidRPr="00144FA8">
        <w:rPr>
          <w:i/>
          <w:u w:val="single"/>
        </w:rPr>
        <w:t xml:space="preserve"> </w:t>
      </w:r>
    </w:p>
    <w:p w:rsidR="00144FA8" w:rsidRPr="00144FA8" w:rsidRDefault="00732826" w:rsidP="00144FA8">
      <w:pPr>
        <w:rPr>
          <w:i/>
          <w:u w:val="single"/>
        </w:rPr>
      </w:pPr>
      <w:r>
        <w:rPr>
          <w:i/>
          <w:u w:val="single"/>
        </w:rPr>
        <w:t>Linked-</w:t>
      </w:r>
      <w:r w:rsidR="00144FA8" w:rsidRPr="00144FA8">
        <w:rPr>
          <w:i/>
          <w:u w:val="single"/>
        </w:rPr>
        <w:t>evidence approach</w:t>
      </w:r>
    </w:p>
    <w:p w:rsidR="00144FA8" w:rsidRDefault="00F452C4" w:rsidP="00144FA8">
      <w:r>
        <w:t>E</w:t>
      </w:r>
      <w:r w:rsidR="00144FA8">
        <w:t>ffectiveness of a test for staging depends on whethe</w:t>
      </w:r>
      <w:r>
        <w:t xml:space="preserve">r it improves patient outcomes, </w:t>
      </w:r>
      <w:r w:rsidR="00144FA8">
        <w:t xml:space="preserve">and this is assessed in studies that directly investigate the impact of the test on those outcomes. Should no direct </w:t>
      </w:r>
      <w:r>
        <w:t>evidence be available, a linked-</w:t>
      </w:r>
      <w:r w:rsidR="00144FA8">
        <w:t>evidence approach can be used</w:t>
      </w:r>
      <w:r w:rsidR="00022C64">
        <w:t xml:space="preserve"> </w:t>
      </w:r>
      <w:r w:rsidR="00022C64">
        <w:fldChar w:fldCharType="begin"/>
      </w:r>
      <w:r w:rsidR="00022C64">
        <w:instrText xml:space="preserve"> ADDIN EN.CITE &lt;EndNote&gt;&lt;Cite&gt;&lt;Author&gt;Medical Services Advisory Committee&lt;/Author&gt;&lt;Year&gt;2016&lt;/Year&gt;&lt;RecNum&gt;7&lt;/RecNum&gt;&lt;DisplayText&gt;(Medical Services Advisory Committee 2016)&lt;/DisplayText&gt;&lt;record&gt;&lt;rec-number&gt;7&lt;/rec-number&gt;&lt;foreign-keys&gt;&lt;key app="EN" db-id="df2rd2psc9pxz7esrx5xz5z5ez9xe5pdtxe5" timestamp="1499917553"&gt;7&lt;/key&gt;&lt;/foreign-keys&gt;&lt;ref-type name="Report"&gt;27&lt;/ref-type&gt;&lt;contributors&gt;&lt;authors&gt;&lt;author&gt;Medical Services Advisory Committee,.&lt;/author&gt;&lt;/authors&gt;&lt;/contributors&gt;&lt;titles&gt;&lt;title&gt;Technical Guidelines for preparing assessment reports for the Medical Services Advisory Committee – Service Type: Investigative (Version 3.0)&lt;/title&gt;&lt;/titles&gt;&lt;dates&gt;&lt;year&gt;2016&lt;/year&gt;&lt;/dates&gt;&lt;pub-location&gt;Canberra, Australia&lt;/pub-location&gt;&lt;publisher&gt;Department of Health&lt;/publisher&gt;&lt;urls&gt;&lt;/urls&gt;&lt;/record&gt;&lt;/Cite&gt;&lt;/EndNote&gt;</w:instrText>
      </w:r>
      <w:r w:rsidR="00022C64">
        <w:fldChar w:fldCharType="separate"/>
      </w:r>
      <w:r w:rsidR="00022C64">
        <w:rPr>
          <w:noProof/>
        </w:rPr>
        <w:t>(Medical Services Advisory Committee 2016)</w:t>
      </w:r>
      <w:r w:rsidR="00022C64">
        <w:fldChar w:fldCharType="end"/>
      </w:r>
      <w:r>
        <w:t>. The linked-</w:t>
      </w:r>
      <w:r w:rsidR="00144FA8">
        <w:t xml:space="preserve">evidence approach </w:t>
      </w:r>
      <w:r>
        <w:t xml:space="preserve">uses test performance, </w:t>
      </w:r>
      <w:r w:rsidR="00A333B8">
        <w:t xml:space="preserve">impact on change in management of the patient </w:t>
      </w:r>
      <w:r>
        <w:t xml:space="preserve">(based on </w:t>
      </w:r>
      <w:r w:rsidR="00A333B8">
        <w:t>results of the test</w:t>
      </w:r>
      <w:r>
        <w:t xml:space="preserve">), and impact of </w:t>
      </w:r>
      <w:r w:rsidR="00A333B8">
        <w:t>change in management on patient outcomes</w:t>
      </w:r>
      <w:r>
        <w:t xml:space="preserve"> (</w:t>
      </w:r>
      <w:r w:rsidR="00022C64">
        <w:t>to ascertain if the test is effective</w:t>
      </w:r>
      <w:r>
        <w:t>)</w:t>
      </w:r>
      <w:r w:rsidR="00FF6267">
        <w:t xml:space="preserve">. If there is evidence </w:t>
      </w:r>
      <w:r w:rsidR="00931DE4">
        <w:t xml:space="preserve">the incremental information provided by </w:t>
      </w:r>
      <w:r w:rsidR="00A333B8">
        <w:t xml:space="preserve">breast MRI </w:t>
      </w:r>
      <w:r w:rsidR="00931DE4">
        <w:t>allows</w:t>
      </w:r>
      <w:r w:rsidR="00A333B8">
        <w:t xml:space="preserve"> more accurate staging of BIA-ALCL, then the further two steps of linked evidence should be undertaken. This may require extra literature searches.</w:t>
      </w:r>
      <w:r w:rsidR="004F4E00">
        <w:t xml:space="preserve"> The reference standard is histopathology.</w:t>
      </w:r>
      <w:r w:rsidR="00FF6267">
        <w:t xml:space="preserve"> Outcomes for a linked-</w:t>
      </w:r>
      <w:r w:rsidR="00022C64">
        <w:t>evidence approach are:</w:t>
      </w:r>
    </w:p>
    <w:p w:rsidR="00022C64" w:rsidRDefault="00931DE4" w:rsidP="00FF6267">
      <w:pPr>
        <w:pStyle w:val="ListParagraph"/>
        <w:numPr>
          <w:ilvl w:val="0"/>
          <w:numId w:val="11"/>
        </w:numPr>
        <w:spacing w:after="120"/>
      </w:pPr>
      <w:r>
        <w:t>A</w:t>
      </w:r>
      <w:r w:rsidR="00022C64">
        <w:t>ccuracy of MRI for staging</w:t>
      </w:r>
      <w:r>
        <w:t xml:space="preserve"> (e.g. </w:t>
      </w:r>
      <w:r w:rsidR="00025FE8">
        <w:t xml:space="preserve">classification of localised vs advanced disease, detection of effusion or mass, </w:t>
      </w:r>
      <w:r>
        <w:t>a</w:t>
      </w:r>
      <w:r w:rsidR="00FF6267">
        <w:t>ssessment of resection margin, s</w:t>
      </w:r>
      <w:r>
        <w:t xml:space="preserve">tage I to IV or </w:t>
      </w:r>
      <w:r w:rsidR="00592EB0">
        <w:t>relevant</w:t>
      </w:r>
      <w:r>
        <w:t xml:space="preserve"> staging system)</w:t>
      </w:r>
      <w:r w:rsidR="00022C64">
        <w:t xml:space="preserve">: </w:t>
      </w:r>
      <w:r w:rsidR="00FF6267">
        <w:br/>
      </w:r>
      <w:r w:rsidR="00FF6267" w:rsidRPr="00FF6267">
        <w:rPr>
          <w:sz w:val="10"/>
          <w:szCs w:val="10"/>
        </w:rPr>
        <w:br/>
      </w:r>
      <w:r w:rsidR="00022C64">
        <w:t>Sensitivity and specificity, positive and negative likelihood ratios, positive a</w:t>
      </w:r>
      <w:r w:rsidR="00FF6267">
        <w:t>nd negative predictive values, r</w:t>
      </w:r>
      <w:r w:rsidR="00022C64">
        <w:t>eceiver operator characteristic curves, area under the curve</w:t>
      </w:r>
      <w:r w:rsidR="00592EB0">
        <w:t>.</w:t>
      </w:r>
      <w:r w:rsidR="00FF6267">
        <w:br/>
      </w:r>
    </w:p>
    <w:p w:rsidR="00022C64" w:rsidRDefault="00FF6267" w:rsidP="00022C64">
      <w:pPr>
        <w:pStyle w:val="ListParagraph"/>
        <w:numPr>
          <w:ilvl w:val="0"/>
          <w:numId w:val="11"/>
        </w:numPr>
        <w:spacing w:after="120"/>
      </w:pPr>
      <w:r>
        <w:t xml:space="preserve">Impact on change in management: </w:t>
      </w:r>
      <w:r>
        <w:br/>
      </w:r>
      <w:r w:rsidRPr="00FF6267">
        <w:rPr>
          <w:sz w:val="10"/>
          <w:szCs w:val="10"/>
        </w:rPr>
        <w:br/>
      </w:r>
      <w:r w:rsidR="00022C64">
        <w:t xml:space="preserve">Any change in surgical technique or treatment decision made </w:t>
      </w:r>
      <w:r>
        <w:t xml:space="preserve">by clinicians in response to </w:t>
      </w:r>
      <w:r w:rsidR="00022C64">
        <w:t>information provided by the MRI</w:t>
      </w:r>
      <w:r w:rsidR="00592EB0">
        <w:t>.</w:t>
      </w:r>
      <w:r>
        <w:br/>
      </w:r>
    </w:p>
    <w:p w:rsidR="002A66BD" w:rsidRPr="00014375" w:rsidRDefault="00022C64" w:rsidP="00022C64">
      <w:pPr>
        <w:pStyle w:val="ListParagraph"/>
        <w:numPr>
          <w:ilvl w:val="0"/>
          <w:numId w:val="11"/>
        </w:numPr>
        <w:spacing w:after="120"/>
      </w:pPr>
      <w:r>
        <w:t>Effectiveness of change in management</w:t>
      </w:r>
      <w:proofErr w:type="gramStart"/>
      <w:r>
        <w:t>:</w:t>
      </w:r>
      <w:proofErr w:type="gramEnd"/>
      <w:r w:rsidR="00FF6267">
        <w:br/>
      </w:r>
      <w:r w:rsidR="00FF6267" w:rsidRPr="00FF6267">
        <w:rPr>
          <w:sz w:val="10"/>
          <w:szCs w:val="10"/>
        </w:rPr>
        <w:br/>
      </w:r>
      <w:r>
        <w:t xml:space="preserve">Mortality, survival, recurrence-free survival, rate of recurrence, length of hospital stay, patient quality of life, patient satisfaction, </w:t>
      </w:r>
      <w:proofErr w:type="spellStart"/>
      <w:r>
        <w:t>cosmesis</w:t>
      </w:r>
      <w:proofErr w:type="spellEnd"/>
      <w:r>
        <w:t xml:space="preserve"> (appearance of surgical site).</w:t>
      </w:r>
    </w:p>
    <w:p w:rsidR="00896845" w:rsidRDefault="00896845" w:rsidP="007C278D">
      <w:pPr>
        <w:pStyle w:val="Heading1"/>
      </w:pPr>
      <w:r w:rsidRPr="00896845">
        <w:t>Current</w:t>
      </w:r>
      <w:r>
        <w:t xml:space="preserve"> clinical</w:t>
      </w:r>
      <w:r w:rsidRPr="00896845">
        <w:t xml:space="preserve"> management</w:t>
      </w:r>
      <w:r>
        <w:t xml:space="preserve"> algorithm</w:t>
      </w:r>
      <w:r w:rsidR="002B3338">
        <w:t xml:space="preserve"> for identified population</w:t>
      </w:r>
    </w:p>
    <w:p w:rsidR="00A37DF7" w:rsidRDefault="00A37DF7" w:rsidP="00A37DF7">
      <w:bookmarkStart w:id="5" w:name="_Ref487620677"/>
      <w:r>
        <w:t xml:space="preserve">A clinical management algorithm for Australian clinical practice was not included in the application. Thus the clinical management algorithm presented was developed by the evaluator and informed by both discussion with the applicant and using guidelines produced for Australia and New Zealand plastic surgeons (and included with the application). It should be noted that National Health and Medical Research Council (NHMRC)-approved clinical practice guidelines for lymphoma have not been updated since 2005, and these guidelines look at ALCL in general, not BIA-ALCL </w:t>
      </w:r>
      <w:r>
        <w:fldChar w:fldCharType="begin"/>
      </w:r>
      <w:r>
        <w:instrText xml:space="preserve"> ADDIN EN.CITE &lt;EndNote&gt;&lt;Cite&gt;&lt;Author&gt;Australian Cancer Network Diagnosis and Management of Lymphoma Guidelines Working Party&lt;/Author&gt;&lt;Year&gt;2005&lt;/Year&gt;&lt;RecNum&gt;6&lt;/RecNum&gt;&lt;DisplayText&gt;(Australian Cancer Network Diagnosis and Management of Lymphoma Guidelines Working Party 2005)&lt;/DisplayText&gt;&lt;record&gt;&lt;rec-number&gt;6&lt;/rec-number&gt;&lt;foreign-keys&gt;&lt;key app="EN" db-id="df2rd2psc9pxz7esrx5xz5z5ez9xe5pdtxe5" timestamp="1499756493"&gt;6&lt;/key&gt;&lt;key app="ENWeb" db-id=""&gt;0&lt;/key&gt;&lt;/foreign-keys&gt;&lt;ref-type name="Report"&gt;27&lt;/ref-type&gt;&lt;contributors&gt;&lt;authors&gt;&lt;author&gt;Australian Cancer Network Diagnosis and Management of Lymphoma Guidelines Working Party,.&lt;/author&gt;&lt;/authors&gt;&lt;/contributors&gt;&lt;titles&gt;&lt;title&gt;Guidelines for the Diagnosis and Management of Lymphoma&lt;/title&gt;&lt;/titles&gt;&lt;dates&gt;&lt;year&gt;2005&lt;/year&gt;&lt;/dates&gt;&lt;pub-location&gt;Sydney, Aus&lt;/pub-location&gt;&lt;publisher&gt;The Cancer Council Australia and Australian Cancer Network&lt;/publisher&gt;&lt;urls&gt;&lt;related-urls&gt;&lt;url&gt;https://www.nhmrc.gov.au/_files_nhmrc/publications/attachments/cp107_diagnosis_management_lymphoma_150616.pdf&lt;/url&gt;&lt;/related-urls&gt;&lt;/urls&gt;&lt;/record&gt;&lt;/Cite&gt;&lt;/EndNote&gt;</w:instrText>
      </w:r>
      <w:r>
        <w:fldChar w:fldCharType="separate"/>
      </w:r>
      <w:r>
        <w:rPr>
          <w:noProof/>
        </w:rPr>
        <w:t>(Australian Cancer Network Diagnosis and Management of Lymphoma Guidelines Working Party 2005)</w:t>
      </w:r>
      <w:r>
        <w:fldChar w:fldCharType="end"/>
      </w:r>
      <w:r>
        <w:t xml:space="preserve">. ALCL which originates in the breast is usually a B-cell lymphoma, whereas BIA-ALCL is a T-cell lymphoma. Information about standard care for patients with ALCL, including surgical work-up, is not presented in these guidelines. The current clinical management algorithm is shown in </w:t>
      </w:r>
      <w:r>
        <w:fldChar w:fldCharType="begin"/>
      </w:r>
      <w:r>
        <w:instrText xml:space="preserve"> REF _Ref487620677 \h  \* MERGEFORMAT </w:instrText>
      </w:r>
      <w:r>
        <w:fldChar w:fldCharType="separate"/>
      </w:r>
      <w:r>
        <w:t xml:space="preserve">Figure </w:t>
      </w:r>
      <w:r>
        <w:rPr>
          <w:noProof/>
        </w:rPr>
        <w:t>1</w:t>
      </w:r>
      <w:r>
        <w:fldChar w:fldCharType="end"/>
      </w:r>
      <w:r>
        <w:t xml:space="preserve"> (left hand side).</w:t>
      </w:r>
      <w:r w:rsidRPr="004F5458">
        <w:t xml:space="preserve"> </w:t>
      </w:r>
    </w:p>
    <w:p w:rsidR="003416E4" w:rsidRDefault="003416E4" w:rsidP="007C278D">
      <w:pPr>
        <w:pStyle w:val="Heading1"/>
      </w:pPr>
      <w:r w:rsidRPr="00896845">
        <w:t xml:space="preserve">Proposed </w:t>
      </w:r>
      <w:r>
        <w:t>clinical</w:t>
      </w:r>
      <w:r w:rsidRPr="00896845">
        <w:t xml:space="preserve"> management</w:t>
      </w:r>
      <w:r>
        <w:t xml:space="preserve"> algorithm for identified population</w:t>
      </w:r>
    </w:p>
    <w:p w:rsidR="003416E4" w:rsidRDefault="00564D6A" w:rsidP="003416E4">
      <w:r>
        <w:t xml:space="preserve">PASC requested amendment to the original algorithm </w:t>
      </w:r>
      <w:r w:rsidR="006A67DA">
        <w:t>so it is clear that</w:t>
      </w:r>
      <w:r>
        <w:t xml:space="preserve"> all patients must have their history taken, a physical examination, pathology and imaging (as </w:t>
      </w:r>
      <w:r w:rsidR="006A67DA">
        <w:t>updated in the second line boxes below).</w:t>
      </w:r>
      <w:r>
        <w:t xml:space="preserve"> </w:t>
      </w:r>
      <w:r w:rsidR="003416E4">
        <w:t>The proposed clinical management algorithm (also shown in</w:t>
      </w:r>
      <w:r w:rsidR="009601A5">
        <w:t xml:space="preserve"> </w:t>
      </w:r>
      <w:r w:rsidR="009601A5">
        <w:fldChar w:fldCharType="begin"/>
      </w:r>
      <w:r w:rsidR="009601A5">
        <w:instrText xml:space="preserve"> REF _Ref492993788 \h </w:instrText>
      </w:r>
      <w:r w:rsidR="009601A5">
        <w:fldChar w:fldCharType="separate"/>
      </w:r>
      <w:r w:rsidR="004B2BD5">
        <w:t xml:space="preserve">Figure </w:t>
      </w:r>
      <w:r w:rsidR="004B2BD5">
        <w:rPr>
          <w:noProof/>
        </w:rPr>
        <w:t>1</w:t>
      </w:r>
      <w:r w:rsidR="009601A5">
        <w:fldChar w:fldCharType="end"/>
      </w:r>
      <w:r w:rsidR="009601A5">
        <w:t>, right hand side</w:t>
      </w:r>
      <w:r w:rsidR="003416E4">
        <w:t>) is simply the current algorithm with the addition of breast MRI at the staging and work</w:t>
      </w:r>
      <w:r w:rsidR="006A67DA">
        <w:t>-</w:t>
      </w:r>
      <w:r w:rsidR="003416E4">
        <w:t xml:space="preserve">up stage. </w:t>
      </w:r>
    </w:p>
    <w:p w:rsidR="003250AB" w:rsidRDefault="003250AB" w:rsidP="007C278D">
      <w:pPr>
        <w:pStyle w:val="Caption"/>
        <w:spacing w:after="120"/>
        <w:ind w:left="0" w:firstLine="0"/>
      </w:pPr>
      <w:bookmarkStart w:id="6" w:name="_Ref492993788"/>
      <w:r>
        <w:t xml:space="preserve">Figure </w:t>
      </w:r>
      <w:r>
        <w:fldChar w:fldCharType="begin"/>
      </w:r>
      <w:r>
        <w:instrText xml:space="preserve"> SEQ Figure \* ARABIC </w:instrText>
      </w:r>
      <w:r>
        <w:fldChar w:fldCharType="separate"/>
      </w:r>
      <w:r w:rsidR="004B2BD5">
        <w:rPr>
          <w:noProof/>
        </w:rPr>
        <w:t>1</w:t>
      </w:r>
      <w:r>
        <w:fldChar w:fldCharType="end"/>
      </w:r>
      <w:bookmarkEnd w:id="5"/>
      <w:bookmarkEnd w:id="6"/>
      <w:r>
        <w:t>: Current</w:t>
      </w:r>
      <w:r w:rsidR="003416E4">
        <w:t xml:space="preserve"> and proposed</w:t>
      </w:r>
      <w:r>
        <w:t xml:space="preserve"> clinical management algorithm for patients with diagnosed BIA-ALCL</w:t>
      </w:r>
    </w:p>
    <w:p w:rsidR="003250AB" w:rsidRDefault="007D2118" w:rsidP="003250AB">
      <w:r>
        <w:rPr>
          <w:noProof/>
          <w:lang w:eastAsia="en-AU"/>
        </w:rPr>
        <w:drawing>
          <wp:inline distT="0" distB="0" distL="0" distR="0" wp14:anchorId="526489EB" wp14:editId="760BDBE7">
            <wp:extent cx="5731510" cy="3223895"/>
            <wp:effectExtent l="0" t="0" r="2540" b="0"/>
            <wp:docPr id="7" name="Picture 7" descr="Current and proposed clinical management algorithm for patients with diagnosed BIA-ALCL"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vised algorithm.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E968F6" w:rsidRDefault="003E0382" w:rsidP="007C278D">
      <w:pPr>
        <w:pStyle w:val="Heading1"/>
      </w:pPr>
      <w:r>
        <w:t xml:space="preserve">Proposed </w:t>
      </w:r>
      <w:r w:rsidR="002B226C">
        <w:t xml:space="preserve">economic </w:t>
      </w:r>
      <w:r w:rsidR="009E5295">
        <w:t>evaluation</w:t>
      </w:r>
    </w:p>
    <w:p w:rsidR="001D3E29" w:rsidRDefault="001D3E29" w:rsidP="001D3E29">
      <w:r>
        <w:t xml:space="preserve">None of the </w:t>
      </w:r>
      <w:r w:rsidR="00243C10">
        <w:t>studies</w:t>
      </w:r>
      <w:r>
        <w:t xml:space="preserve"> included with the application </w:t>
      </w:r>
      <w:r w:rsidR="00243C10">
        <w:t xml:space="preserve">provide evidence that breast MRI results in better surgical results. The only </w:t>
      </w:r>
      <w:r w:rsidR="00B66C74">
        <w:t>study that compares imaging in BIA-ALCL considered a case series of patients with the disease who had one or more of ultrasound, CT, MRI</w:t>
      </w:r>
      <w:r w:rsidR="0070493D">
        <w:t>,</w:t>
      </w:r>
      <w:r w:rsidR="00B66C74">
        <w:t xml:space="preserve"> PET-CT or mammography. Each of these imaging modalities was then judged on its ability to identify a mass or effusion adjacent to the implant. The impact of imaging on the surgical outcome was not reported. </w:t>
      </w:r>
    </w:p>
    <w:p w:rsidR="00B66C74" w:rsidRDefault="00B66C74" w:rsidP="001D3E29">
      <w:r>
        <w:t xml:space="preserve">As the clinical claim is likely to be for non-inferior safety and superior effectiveness, a </w:t>
      </w:r>
      <w:r w:rsidR="00A5528D">
        <w:t>cost-effectiveness analysis or cost-utility analysis is the likely suitable economic evaluation. However</w:t>
      </w:r>
      <w:r w:rsidR="00CD3CF2">
        <w:t>,</w:t>
      </w:r>
      <w:r w:rsidR="00A5528D">
        <w:t xml:space="preserve"> given the likelihood of a lack of evidence to support the clinical claim, it is likely that only a financial analysis will be possible.</w:t>
      </w:r>
      <w:r w:rsidR="00E07317">
        <w:t xml:space="preserve"> PASC noted that, with such small patient numbers, it may be difficult to </w:t>
      </w:r>
      <w:r w:rsidR="00E07317" w:rsidRPr="00A361C3">
        <w:rPr>
          <w:i/>
        </w:rPr>
        <w:t>demonstrate</w:t>
      </w:r>
      <w:r w:rsidR="00E07317">
        <w:t xml:space="preserve"> value of the addition of MRI.</w:t>
      </w:r>
    </w:p>
    <w:p w:rsidR="00752491" w:rsidRDefault="00752491" w:rsidP="007C278D">
      <w:pPr>
        <w:pStyle w:val="Heading1"/>
      </w:pPr>
      <w:r>
        <w:t>Proposed item descriptor</w:t>
      </w:r>
    </w:p>
    <w:p w:rsidR="000E5CE7" w:rsidRDefault="00CF23FE" w:rsidP="00E619E9">
      <w:r>
        <w:t>In the application form, the applicant</w:t>
      </w:r>
      <w:r w:rsidR="008124B3">
        <w:t xml:space="preserve"> suggested</w:t>
      </w:r>
      <w:r w:rsidR="00E619E9">
        <w:t xml:space="preserve"> an amendment to </w:t>
      </w:r>
      <w:r w:rsidR="00E619E9" w:rsidRPr="00CF23FE">
        <w:rPr>
          <w:i/>
        </w:rPr>
        <w:t>existing</w:t>
      </w:r>
      <w:r w:rsidR="00E619E9">
        <w:t xml:space="preserve"> brea</w:t>
      </w:r>
      <w:r>
        <w:t>st MRI items be accommodated for the proposed</w:t>
      </w:r>
      <w:r w:rsidR="00E619E9">
        <w:t xml:space="preserve"> population. However</w:t>
      </w:r>
      <w:r w:rsidR="00423734">
        <w:t>,</w:t>
      </w:r>
      <w:r w:rsidR="003964B4">
        <w:t xml:space="preserve"> after </w:t>
      </w:r>
      <w:r w:rsidR="008124B3">
        <w:t xml:space="preserve">pre-PASC </w:t>
      </w:r>
      <w:r w:rsidR="003964B4">
        <w:t xml:space="preserve">discussion </w:t>
      </w:r>
      <w:r w:rsidR="008124B3">
        <w:t xml:space="preserve">between </w:t>
      </w:r>
      <w:r w:rsidR="00CF29A1">
        <w:t>the</w:t>
      </w:r>
      <w:r w:rsidR="003964B4">
        <w:t xml:space="preserve"> applicant and </w:t>
      </w:r>
      <w:r w:rsidR="00423734">
        <w:t>D</w:t>
      </w:r>
      <w:r w:rsidR="003964B4">
        <w:t>epartment</w:t>
      </w:r>
      <w:r w:rsidR="00423734">
        <w:t xml:space="preserve"> of Health</w:t>
      </w:r>
      <w:r w:rsidR="003964B4">
        <w:t xml:space="preserve">, it was agreed a new item number would be required. </w:t>
      </w:r>
      <w:r w:rsidR="008124B3">
        <w:t>W</w:t>
      </w:r>
      <w:r w:rsidR="00CD3CF2">
        <w:t>ording of the proposed</w:t>
      </w:r>
      <w:r>
        <w:t xml:space="preserve"> new MBS item is outlined below:</w:t>
      </w:r>
    </w:p>
    <w:p w:rsidR="00AB6557" w:rsidRPr="00AB6557" w:rsidRDefault="00AB6557" w:rsidP="00AB6557">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heme="minorHAnsi" w:eastAsiaTheme="minorHAnsi" w:hAnsiTheme="minorHAnsi" w:cstheme="minorBidi"/>
          <w:sz w:val="20"/>
          <w:szCs w:val="20"/>
        </w:rPr>
      </w:pPr>
      <w:r w:rsidRPr="00AB6557">
        <w:rPr>
          <w:rFonts w:asciiTheme="minorHAnsi" w:eastAsiaTheme="minorHAnsi" w:hAnsiTheme="minorHAnsi" w:cstheme="minorBidi"/>
          <w:sz w:val="20"/>
          <w:szCs w:val="20"/>
        </w:rPr>
        <w:t xml:space="preserve">Category: Category 5 – Diagnostic imaging services </w:t>
      </w:r>
    </w:p>
    <w:p w:rsidR="00AB6557" w:rsidRPr="00AB6557" w:rsidRDefault="00AB6557"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rPr>
      </w:pPr>
      <w:r w:rsidRPr="00AB6557">
        <w:rPr>
          <w:rFonts w:asciiTheme="minorHAnsi" w:eastAsiaTheme="minorHAnsi" w:hAnsiTheme="minorHAnsi" w:cstheme="minorBidi"/>
          <w:sz w:val="20"/>
          <w:szCs w:val="20"/>
        </w:rPr>
        <w:t xml:space="preserve">Proposed item descriptor: </w:t>
      </w:r>
      <w:r w:rsidRPr="00AB6557">
        <w:rPr>
          <w:rFonts w:asciiTheme="minorHAnsi" w:eastAsiaTheme="minorHAnsi" w:hAnsiTheme="minorHAnsi" w:cstheme="minorBidi"/>
          <w:sz w:val="20"/>
        </w:rPr>
        <w:t>MBS [item number]</w:t>
      </w:r>
    </w:p>
    <w:p w:rsidR="00AB6557" w:rsidRPr="00AB6557" w:rsidRDefault="00AB6557"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rPr>
      </w:pPr>
      <w:r w:rsidRPr="00AB6557">
        <w:rPr>
          <w:rFonts w:asciiTheme="minorHAnsi" w:eastAsiaTheme="minorHAnsi" w:hAnsiTheme="minorHAnsi" w:cstheme="minorBidi"/>
          <w:sz w:val="20"/>
        </w:rPr>
        <w:t xml:space="preserve">MAGNETIC RESONANCE IMAGING </w:t>
      </w:r>
      <w:r w:rsidR="0029183D">
        <w:rPr>
          <w:rFonts w:asciiTheme="minorHAnsi" w:eastAsiaTheme="minorHAnsi" w:hAnsiTheme="minorHAnsi" w:cstheme="minorBidi"/>
          <w:sz w:val="20"/>
        </w:rPr>
        <w:t xml:space="preserve">for staging of proven breast-implant-associated anaplastic large cell lymphoma, </w:t>
      </w:r>
      <w:r w:rsidRPr="00AB6557">
        <w:rPr>
          <w:rFonts w:asciiTheme="minorHAnsi" w:eastAsiaTheme="minorHAnsi" w:hAnsiTheme="minorHAnsi" w:cstheme="minorBidi"/>
          <w:sz w:val="20"/>
        </w:rPr>
        <w:t>performed under the professional supervision of an eligible provider at an eligible location</w:t>
      </w:r>
      <w:r w:rsidR="0029183D">
        <w:rPr>
          <w:rFonts w:asciiTheme="minorHAnsi" w:eastAsiaTheme="minorHAnsi" w:hAnsiTheme="minorHAnsi" w:cstheme="minorBidi"/>
          <w:sz w:val="20"/>
        </w:rPr>
        <w:t>,</w:t>
      </w:r>
      <w:r w:rsidRPr="00AB6557">
        <w:rPr>
          <w:rFonts w:asciiTheme="minorHAnsi" w:eastAsiaTheme="minorHAnsi" w:hAnsiTheme="minorHAnsi" w:cstheme="minorBidi"/>
          <w:sz w:val="20"/>
        </w:rPr>
        <w:t xml:space="preserve"> where the patient is</w:t>
      </w:r>
      <w:r w:rsidR="008124B3">
        <w:rPr>
          <w:rFonts w:asciiTheme="minorHAnsi" w:eastAsiaTheme="minorHAnsi" w:hAnsiTheme="minorHAnsi" w:cstheme="minorBidi"/>
          <w:sz w:val="20"/>
        </w:rPr>
        <w:t xml:space="preserve"> referred by a specialist or </w:t>
      </w:r>
      <w:r w:rsidRPr="00AB6557">
        <w:rPr>
          <w:rFonts w:asciiTheme="minorHAnsi" w:eastAsiaTheme="minorHAnsi" w:hAnsiTheme="minorHAnsi" w:cstheme="minorBidi"/>
          <w:sz w:val="20"/>
        </w:rPr>
        <w:t>a consultant physician and where:</w:t>
      </w:r>
    </w:p>
    <w:p w:rsidR="00AB6557" w:rsidRPr="00AB6557" w:rsidRDefault="00AB6557"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rPr>
      </w:pPr>
      <w:r w:rsidRPr="00AB6557">
        <w:rPr>
          <w:rFonts w:asciiTheme="minorHAnsi" w:eastAsiaTheme="minorHAnsi" w:hAnsiTheme="minorHAnsi" w:cstheme="minorBidi"/>
          <w:sz w:val="20"/>
        </w:rPr>
        <w:t xml:space="preserve">(a) a dedicated breast coil is used; and </w:t>
      </w:r>
    </w:p>
    <w:p w:rsidR="00AB6557" w:rsidRPr="00AB6557" w:rsidRDefault="00AB6557"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szCs w:val="20"/>
        </w:rPr>
      </w:pPr>
      <w:r w:rsidRPr="00AB6557">
        <w:rPr>
          <w:rFonts w:asciiTheme="minorHAnsi" w:eastAsiaTheme="minorHAnsi" w:hAnsiTheme="minorHAnsi" w:cstheme="minorBidi"/>
          <w:sz w:val="20"/>
          <w:szCs w:val="20"/>
        </w:rPr>
        <w:t>(b) the request for scan identifies that the patient has a breast implant in situ, and ALCL has been diagnosed.</w:t>
      </w:r>
    </w:p>
    <w:p w:rsidR="007D2118" w:rsidRDefault="007D2118"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Limited to once per breast per lifetime.</w:t>
      </w:r>
    </w:p>
    <w:p w:rsidR="00AB6557" w:rsidRPr="00AB6557" w:rsidRDefault="000E5CE7" w:rsidP="00AB6557">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Fee:  $</w:t>
      </w:r>
      <w:r w:rsidR="00771490">
        <w:rPr>
          <w:rFonts w:asciiTheme="minorHAnsi" w:eastAsiaTheme="minorHAnsi" w:hAnsiTheme="minorHAnsi" w:cstheme="minorBidi"/>
          <w:sz w:val="20"/>
          <w:szCs w:val="20"/>
        </w:rPr>
        <w:t>500</w:t>
      </w:r>
      <w:r w:rsidR="00771490">
        <w:rPr>
          <w:rFonts w:asciiTheme="minorHAnsi" w:eastAsiaTheme="minorHAnsi" w:hAnsiTheme="minorHAnsi" w:cstheme="minorBidi"/>
          <w:sz w:val="20"/>
          <w:szCs w:val="20"/>
        </w:rPr>
        <w:tab/>
        <w:t>Benefit: 75% = $375</w:t>
      </w:r>
      <w:r w:rsidR="00771490">
        <w:rPr>
          <w:rFonts w:asciiTheme="minorHAnsi" w:eastAsiaTheme="minorHAnsi" w:hAnsiTheme="minorHAnsi" w:cstheme="minorBidi"/>
          <w:sz w:val="20"/>
          <w:szCs w:val="20"/>
        </w:rPr>
        <w:tab/>
        <w:t>85% = $425</w:t>
      </w:r>
      <w:r w:rsidR="00AB6557" w:rsidRPr="00AB6557">
        <w:rPr>
          <w:rFonts w:asciiTheme="minorHAnsi" w:eastAsiaTheme="minorHAnsi" w:hAnsiTheme="minorHAnsi" w:cstheme="minorBidi"/>
          <w:sz w:val="20"/>
          <w:szCs w:val="20"/>
        </w:rPr>
        <w:t xml:space="preserve"> </w:t>
      </w:r>
    </w:p>
    <w:p w:rsidR="00BF4483" w:rsidRPr="007D2118" w:rsidRDefault="00E061B2" w:rsidP="00D24C52">
      <w:pPr>
        <w:pStyle w:val="Heading1"/>
        <w:spacing w:before="360"/>
      </w:pPr>
      <w:r>
        <w:t>MBS fee</w:t>
      </w:r>
    </w:p>
    <w:p w:rsidR="00E061B2" w:rsidRPr="00E061B2" w:rsidRDefault="00E061B2" w:rsidP="00E061B2">
      <w:r w:rsidRPr="00E061B2">
        <w:t xml:space="preserve">PASC noted the applicant will need to provide supporting documentation to justify a higher fee than the existing fee for screening for implant integrity (MBS items 63501-2 and 63504-5). At this stage, PASC recommended the same fee of $500. PASC noted that arguments to increase the fee </w:t>
      </w:r>
      <w:r w:rsidR="006B7DFC">
        <w:t xml:space="preserve">might </w:t>
      </w:r>
      <w:r w:rsidRPr="00E061B2">
        <w:t xml:space="preserve">include additional training and expertise required for specialists who identify cancer, as opposed to the more straightforward task of implant integrity screening. </w:t>
      </w:r>
    </w:p>
    <w:p w:rsidR="00F14989" w:rsidRPr="003250AB" w:rsidRDefault="003250AB" w:rsidP="007C278D">
      <w:pPr>
        <w:pStyle w:val="Heading1"/>
      </w:pPr>
      <w:r w:rsidRPr="003250AB">
        <w:t>References</w:t>
      </w:r>
      <w:bookmarkStart w:id="7" w:name="_GoBack"/>
      <w:bookmarkEnd w:id="7"/>
    </w:p>
    <w:p w:rsidR="002E70BA" w:rsidRPr="002E70BA" w:rsidRDefault="00F14989" w:rsidP="002E70BA">
      <w:pPr>
        <w:pStyle w:val="EndNoteBibliography"/>
        <w:spacing w:after="120"/>
      </w:pPr>
      <w:r>
        <w:fldChar w:fldCharType="begin"/>
      </w:r>
      <w:r>
        <w:instrText xml:space="preserve"> ADDIN EN.REFLIST </w:instrText>
      </w:r>
      <w:r>
        <w:fldChar w:fldCharType="separate"/>
      </w:r>
      <w:r w:rsidR="002E70BA" w:rsidRPr="002E70BA">
        <w:t>Australian Cancer Network Diagnosis and Management of Lymphoma Guidelines Working Party (2005). Guidelines for the Diagnosis and Management of Lymphoma. Sydney, Aus, The Cancer Council Australia and Australian Cancer Network.</w:t>
      </w:r>
    </w:p>
    <w:p w:rsidR="002E70BA" w:rsidRPr="002E70BA" w:rsidRDefault="002E70BA" w:rsidP="002E70BA">
      <w:pPr>
        <w:pStyle w:val="EndNoteBibliography"/>
        <w:spacing w:after="120"/>
      </w:pPr>
      <w:r w:rsidRPr="002E70BA">
        <w:t xml:space="preserve">Brody, G. S., D. Deapen, C. R. Taylor, L. Pinter-Brown, S. R. House-Lightner, J. S. Andersen, G. Carlson, M. G. Lechner and A. L. Epstein (2015). "Anaplastic large cell lymphoma occurring in women with breast implants: analysis of 173 cases." </w:t>
      </w:r>
      <w:r w:rsidRPr="002E70BA">
        <w:rPr>
          <w:u w:val="single"/>
        </w:rPr>
        <w:t>Plast Reconstr Surg</w:t>
      </w:r>
      <w:r w:rsidRPr="002E70BA">
        <w:t xml:space="preserve"> </w:t>
      </w:r>
      <w:r w:rsidRPr="002E70BA">
        <w:rPr>
          <w:b/>
        </w:rPr>
        <w:t>135</w:t>
      </w:r>
      <w:r w:rsidRPr="002E70BA">
        <w:t>(3): 695-705.</w:t>
      </w:r>
    </w:p>
    <w:p w:rsidR="002E70BA" w:rsidRPr="002E70BA" w:rsidRDefault="002E70BA" w:rsidP="002E70BA">
      <w:pPr>
        <w:pStyle w:val="EndNoteBibliography"/>
        <w:spacing w:after="120"/>
      </w:pPr>
      <w:r w:rsidRPr="002E70BA">
        <w:t xml:space="preserve">FDA. (2017). "Breast Implant-Associated Anaplastic Large Cell Lymphoma."   Retrieved 6 July, 2017, from </w:t>
      </w:r>
      <w:hyperlink r:id="rId13" w:tooltip="Food and Drug Administration website link" w:history="1">
        <w:r w:rsidRPr="00494BD2">
          <w:rPr>
            <w:rStyle w:val="Hyperlink"/>
          </w:rPr>
          <w:t>https://www.fda.gov/medicaldevices/productsandmedicalprocedures/implantsandprosthetics/breastimplants/ucm239995.htm.</w:t>
        </w:r>
      </w:hyperlink>
    </w:p>
    <w:p w:rsidR="002E70BA" w:rsidRPr="002E70BA" w:rsidRDefault="002E70BA" w:rsidP="002E70BA">
      <w:pPr>
        <w:pStyle w:val="EndNoteBibliography"/>
        <w:spacing w:after="120"/>
      </w:pPr>
      <w:r w:rsidRPr="002E70BA">
        <w:t>Medical Services Advisory Committee (2016). Technical Guidelines for preparing assessment reports for the Medical Services Advisory Committee – Service Type: Investigative (Version 3.0). Canberra, Australia, Department of Health.</w:t>
      </w:r>
    </w:p>
    <w:p w:rsidR="002E70BA" w:rsidRPr="002E70BA" w:rsidRDefault="002E70BA" w:rsidP="002E70BA">
      <w:pPr>
        <w:pStyle w:val="EndNoteBibliography"/>
        <w:spacing w:after="120"/>
      </w:pPr>
      <w:r w:rsidRPr="002E70BA">
        <w:t xml:space="preserve">Swerdlow, S. H., E. Campo, S. A. Pileri, N. L. Harris, H. Stein, R. Siebert, R. Advani, M. Ghielmini, G. A. Salles, A. D. Zelenetz and E. S. Jaffe (2016). "The 2016 revision of the World Health Organization classification of lymphoid neoplasms." </w:t>
      </w:r>
      <w:r w:rsidRPr="002E70BA">
        <w:rPr>
          <w:u w:val="single"/>
        </w:rPr>
        <w:t>Blood</w:t>
      </w:r>
      <w:r w:rsidRPr="002E70BA">
        <w:t xml:space="preserve"> </w:t>
      </w:r>
      <w:r w:rsidRPr="002E70BA">
        <w:rPr>
          <w:b/>
        </w:rPr>
        <w:t>127</w:t>
      </w:r>
      <w:r w:rsidRPr="002E70BA">
        <w:t>(20): 2375-2390.</w:t>
      </w:r>
    </w:p>
    <w:p w:rsidR="002E70BA" w:rsidRPr="002E70BA" w:rsidRDefault="002E70BA" w:rsidP="002E70BA">
      <w:pPr>
        <w:pStyle w:val="EndNoteBibliography"/>
        <w:spacing w:after="120"/>
      </w:pPr>
      <w:r w:rsidRPr="002E70BA">
        <w:t xml:space="preserve">TGA. (2017). "Alerts: Breast implants and anaplastic large cell lymphoma. Update- additional confirmed cases of anaplastic large cell lymphoma."   Retrieved 19 Sept, 2017, from </w:t>
      </w:r>
      <w:hyperlink r:id="rId14" w:tooltip="Therapeutic Goods Administration website link" w:history="1">
        <w:r w:rsidRPr="002E70BA">
          <w:rPr>
            <w:rStyle w:val="Hyperlink"/>
          </w:rPr>
          <w:t>http://www.tga.gov.au/alert/breast-implants-and-anaplastic-large-cell-lymphoma</w:t>
        </w:r>
      </w:hyperlink>
      <w:r w:rsidRPr="002E70BA">
        <w:t>.</w:t>
      </w:r>
    </w:p>
    <w:p w:rsidR="002E70BA" w:rsidRPr="002E70BA" w:rsidRDefault="002E70BA" w:rsidP="002E70BA">
      <w:pPr>
        <w:pStyle w:val="EndNoteBibliography"/>
        <w:spacing w:after="120"/>
      </w:pPr>
      <w:r w:rsidRPr="002E70BA">
        <w:t xml:space="preserve">TGA. (2017). "Safety Information- Alerts: Breast implants."   Retrieved 6 July, 2017, from </w:t>
      </w:r>
      <w:hyperlink r:id="rId15" w:tooltip="Therapeutic Goods Administration website link" w:history="1">
        <w:r w:rsidRPr="002E70BA">
          <w:rPr>
            <w:rStyle w:val="Hyperlink"/>
          </w:rPr>
          <w:t>https://www.tga.gov.au/alert/breast-implants</w:t>
        </w:r>
      </w:hyperlink>
      <w:r w:rsidRPr="002E70BA">
        <w:t>.</w:t>
      </w:r>
    </w:p>
    <w:p w:rsidR="00DE7839" w:rsidRPr="00E364F7" w:rsidRDefault="00F14989" w:rsidP="002E70BA">
      <w:pPr>
        <w:pStyle w:val="EndNoteBibliography"/>
        <w:spacing w:afterLines="120" w:after="288"/>
      </w:pPr>
      <w:r>
        <w:fldChar w:fldCharType="end"/>
      </w:r>
    </w:p>
    <w:sectPr w:rsidR="00DE7839" w:rsidRPr="00E364F7" w:rsidSect="000E5CE7">
      <w:headerReference w:type="even" r:id="rId16"/>
      <w:footerReference w:type="default" r:id="rId17"/>
      <w:pgSz w:w="11906" w:h="16838"/>
      <w:pgMar w:top="1134" w:right="1440" w:bottom="1361" w:left="1440"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F9" w:rsidRDefault="008C6AF9" w:rsidP="003D699E">
      <w:pPr>
        <w:spacing w:after="0" w:line="240" w:lineRule="auto"/>
      </w:pPr>
      <w:r>
        <w:separator/>
      </w:r>
    </w:p>
  </w:endnote>
  <w:endnote w:type="continuationSeparator" w:id="0">
    <w:p w:rsidR="008C6AF9" w:rsidRDefault="008C6AF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3D699E" w:rsidRDefault="003D699E"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24C52" w:rsidRPr="00D24C52">
          <w:rPr>
            <w:b/>
            <w:bCs/>
            <w:noProof/>
            <w:sz w:val="18"/>
            <w:szCs w:val="18"/>
          </w:rPr>
          <w:t>10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3A4205">
          <w:rPr>
            <w:color w:val="808080" w:themeColor="background1" w:themeShade="80"/>
            <w:spacing w:val="60"/>
            <w:sz w:val="18"/>
            <w:szCs w:val="18"/>
          </w:rPr>
          <w:t>PICO Confirmation ratified on 22</w:t>
        </w:r>
        <w:r w:rsidR="00C71AE1">
          <w:rPr>
            <w:color w:val="808080" w:themeColor="background1" w:themeShade="80"/>
            <w:spacing w:val="60"/>
            <w:sz w:val="18"/>
            <w:szCs w:val="18"/>
          </w:rPr>
          <w:t xml:space="preserve"> September 2017</w:t>
        </w:r>
      </w:p>
      <w:p w:rsidR="003D699E" w:rsidRPr="00CF2DFA" w:rsidRDefault="003D699E"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r>
        <w:r w:rsidR="00303C94">
          <w:rPr>
            <w:color w:val="808080" w:themeColor="background1" w:themeShade="80"/>
            <w:spacing w:val="60"/>
            <w:sz w:val="18"/>
            <w:szCs w:val="18"/>
          </w:rPr>
          <w:t xml:space="preserve">Application </w:t>
        </w:r>
        <w:r w:rsidR="002D568B">
          <w:rPr>
            <w:color w:val="808080" w:themeColor="background1" w:themeShade="80"/>
            <w:spacing w:val="60"/>
            <w:sz w:val="18"/>
            <w:szCs w:val="18"/>
          </w:rPr>
          <w:t>1490</w:t>
        </w:r>
        <w:r w:rsidR="00303C94">
          <w:rPr>
            <w:color w:val="808080" w:themeColor="background1" w:themeShade="80"/>
            <w:spacing w:val="60"/>
            <w:sz w:val="18"/>
            <w:szCs w:val="18"/>
          </w:rPr>
          <w:t xml:space="preserve">:  </w:t>
        </w:r>
        <w:r w:rsidR="002D568B">
          <w:rPr>
            <w:color w:val="808080" w:themeColor="background1" w:themeShade="80"/>
            <w:spacing w:val="60"/>
            <w:sz w:val="18"/>
            <w:szCs w:val="18"/>
          </w:rPr>
          <w:t>Breast MRI for breast implant-associated ALCL</w:t>
        </w:r>
      </w:p>
    </w:sdtContent>
  </w:sdt>
  <w:p w:rsidR="003D699E" w:rsidRDefault="003D699E" w:rsidP="003D699E">
    <w:pPr>
      <w:pStyle w:val="Footer"/>
    </w:pPr>
  </w:p>
  <w:p w:rsidR="003D699E" w:rsidRDefault="003D6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F9" w:rsidRDefault="008C6AF9" w:rsidP="003D699E">
      <w:pPr>
        <w:spacing w:after="0" w:line="240" w:lineRule="auto"/>
      </w:pPr>
      <w:r>
        <w:separator/>
      </w:r>
    </w:p>
  </w:footnote>
  <w:footnote w:type="continuationSeparator" w:id="0">
    <w:p w:rsidR="008C6AF9" w:rsidRDefault="008C6AF9"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AC" w:rsidRDefault="00F75FB0">
    <w:pPr>
      <w:pStyle w:val="Header"/>
    </w:pPr>
    <w:r>
      <w:rPr>
        <w:noProof/>
        <w:lang w:eastAsia="en-AU"/>
      </w:rPr>
      <mc:AlternateContent>
        <mc:Choice Requires="wps">
          <w:drawing>
            <wp:inline distT="0" distB="0" distL="0" distR="0">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75FB0" w:rsidRDefault="00F75FB0"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rsidR="00F75FB0" w:rsidRDefault="00F75FB0"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7A5E56"/>
    <w:multiLevelType w:val="hybridMultilevel"/>
    <w:tmpl w:val="FADC7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00E0E4B"/>
    <w:multiLevelType w:val="hybridMultilevel"/>
    <w:tmpl w:val="D6C00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3"/>
  </w:num>
  <w:num w:numId="4">
    <w:abstractNumId w:val="9"/>
  </w:num>
  <w:num w:numId="5">
    <w:abstractNumId w:val="10"/>
  </w:num>
  <w:num w:numId="6">
    <w:abstractNumId w:val="6"/>
  </w:num>
  <w:num w:numId="7">
    <w:abstractNumId w:val="2"/>
  </w:num>
  <w:num w:numId="8">
    <w:abstractNumId w:val="1"/>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2rd2psc9pxz7esrx5xz5z5ez9xe5pdtxe5&quot;&gt;PICO library&lt;record-ids&gt;&lt;item&gt;2&lt;/item&gt;&lt;item&gt;3&lt;/item&gt;&lt;item&gt;4&lt;/item&gt;&lt;item&gt;5&lt;/item&gt;&lt;item&gt;6&lt;/item&gt;&lt;item&gt;7&lt;/item&gt;&lt;item&gt;10&lt;/item&gt;&lt;/record-ids&gt;&lt;/item&gt;&lt;/Libraries&gt;"/>
  </w:docVars>
  <w:rsids>
    <w:rsidRoot w:val="0044715D"/>
    <w:rsid w:val="00002118"/>
    <w:rsid w:val="00004548"/>
    <w:rsid w:val="000108DF"/>
    <w:rsid w:val="0001093A"/>
    <w:rsid w:val="000118CF"/>
    <w:rsid w:val="00014375"/>
    <w:rsid w:val="00022C64"/>
    <w:rsid w:val="00025FE8"/>
    <w:rsid w:val="00032F32"/>
    <w:rsid w:val="00034373"/>
    <w:rsid w:val="00044FEF"/>
    <w:rsid w:val="00063AC8"/>
    <w:rsid w:val="00065DB9"/>
    <w:rsid w:val="00090017"/>
    <w:rsid w:val="000A0FBA"/>
    <w:rsid w:val="000A3977"/>
    <w:rsid w:val="000B519A"/>
    <w:rsid w:val="000D3829"/>
    <w:rsid w:val="000E17C9"/>
    <w:rsid w:val="000E307E"/>
    <w:rsid w:val="000E5CE7"/>
    <w:rsid w:val="000E7E5C"/>
    <w:rsid w:val="00144FA8"/>
    <w:rsid w:val="001455EC"/>
    <w:rsid w:val="00165B41"/>
    <w:rsid w:val="00167F71"/>
    <w:rsid w:val="00171909"/>
    <w:rsid w:val="00177592"/>
    <w:rsid w:val="00185A78"/>
    <w:rsid w:val="00191E53"/>
    <w:rsid w:val="00197879"/>
    <w:rsid w:val="001A12DB"/>
    <w:rsid w:val="001D3E29"/>
    <w:rsid w:val="001E496C"/>
    <w:rsid w:val="001F4F3F"/>
    <w:rsid w:val="001F6426"/>
    <w:rsid w:val="0020754A"/>
    <w:rsid w:val="002170D8"/>
    <w:rsid w:val="00222531"/>
    <w:rsid w:val="00222970"/>
    <w:rsid w:val="00223623"/>
    <w:rsid w:val="00224066"/>
    <w:rsid w:val="00243C10"/>
    <w:rsid w:val="00246951"/>
    <w:rsid w:val="00264265"/>
    <w:rsid w:val="00267346"/>
    <w:rsid w:val="00276CAC"/>
    <w:rsid w:val="002777DE"/>
    <w:rsid w:val="0029183D"/>
    <w:rsid w:val="00292DE9"/>
    <w:rsid w:val="00295724"/>
    <w:rsid w:val="002A03CE"/>
    <w:rsid w:val="002A4909"/>
    <w:rsid w:val="002A66BD"/>
    <w:rsid w:val="002B226C"/>
    <w:rsid w:val="002B3338"/>
    <w:rsid w:val="002D568B"/>
    <w:rsid w:val="002E70BA"/>
    <w:rsid w:val="00303C94"/>
    <w:rsid w:val="0030585C"/>
    <w:rsid w:val="00310A8B"/>
    <w:rsid w:val="003133C3"/>
    <w:rsid w:val="0032162B"/>
    <w:rsid w:val="003250AB"/>
    <w:rsid w:val="003253D0"/>
    <w:rsid w:val="00334131"/>
    <w:rsid w:val="003416E4"/>
    <w:rsid w:val="00354974"/>
    <w:rsid w:val="00362776"/>
    <w:rsid w:val="003726EC"/>
    <w:rsid w:val="00382875"/>
    <w:rsid w:val="003964B4"/>
    <w:rsid w:val="003A4205"/>
    <w:rsid w:val="003A45AE"/>
    <w:rsid w:val="003A5299"/>
    <w:rsid w:val="003D699E"/>
    <w:rsid w:val="003E0382"/>
    <w:rsid w:val="003F0D3B"/>
    <w:rsid w:val="003F1A64"/>
    <w:rsid w:val="00411511"/>
    <w:rsid w:val="00413565"/>
    <w:rsid w:val="00423734"/>
    <w:rsid w:val="0042483F"/>
    <w:rsid w:val="00440228"/>
    <w:rsid w:val="0044715D"/>
    <w:rsid w:val="004546B5"/>
    <w:rsid w:val="00473F31"/>
    <w:rsid w:val="00494BD2"/>
    <w:rsid w:val="004A187C"/>
    <w:rsid w:val="004B2BD5"/>
    <w:rsid w:val="004C0520"/>
    <w:rsid w:val="004C1FA9"/>
    <w:rsid w:val="004D1D41"/>
    <w:rsid w:val="004F42FB"/>
    <w:rsid w:val="004F4E00"/>
    <w:rsid w:val="004F5458"/>
    <w:rsid w:val="00504B5B"/>
    <w:rsid w:val="005400AD"/>
    <w:rsid w:val="00543A25"/>
    <w:rsid w:val="00544958"/>
    <w:rsid w:val="00552B77"/>
    <w:rsid w:val="00553626"/>
    <w:rsid w:val="00554823"/>
    <w:rsid w:val="00554BC7"/>
    <w:rsid w:val="005640CC"/>
    <w:rsid w:val="00564D6A"/>
    <w:rsid w:val="00587D52"/>
    <w:rsid w:val="00592EB0"/>
    <w:rsid w:val="005E5FFE"/>
    <w:rsid w:val="005F4D2F"/>
    <w:rsid w:val="0062727E"/>
    <w:rsid w:val="00627B5C"/>
    <w:rsid w:val="00630ACC"/>
    <w:rsid w:val="006371F6"/>
    <w:rsid w:val="00644920"/>
    <w:rsid w:val="0065031A"/>
    <w:rsid w:val="00655327"/>
    <w:rsid w:val="006865C5"/>
    <w:rsid w:val="006A67DA"/>
    <w:rsid w:val="006B6204"/>
    <w:rsid w:val="006B675A"/>
    <w:rsid w:val="006B7DFC"/>
    <w:rsid w:val="006D1643"/>
    <w:rsid w:val="006D5B18"/>
    <w:rsid w:val="006F1F94"/>
    <w:rsid w:val="00701B16"/>
    <w:rsid w:val="0070493D"/>
    <w:rsid w:val="007078FB"/>
    <w:rsid w:val="00732826"/>
    <w:rsid w:val="00734F81"/>
    <w:rsid w:val="0073757B"/>
    <w:rsid w:val="00751006"/>
    <w:rsid w:val="00752491"/>
    <w:rsid w:val="00771490"/>
    <w:rsid w:val="00777655"/>
    <w:rsid w:val="007A77E8"/>
    <w:rsid w:val="007B18A3"/>
    <w:rsid w:val="007C278D"/>
    <w:rsid w:val="007C67C1"/>
    <w:rsid w:val="007D2118"/>
    <w:rsid w:val="007D4BEC"/>
    <w:rsid w:val="007E7E23"/>
    <w:rsid w:val="007F4E20"/>
    <w:rsid w:val="008124B3"/>
    <w:rsid w:val="00831CA9"/>
    <w:rsid w:val="00845AFC"/>
    <w:rsid w:val="00857113"/>
    <w:rsid w:val="00864B6D"/>
    <w:rsid w:val="00866085"/>
    <w:rsid w:val="00870120"/>
    <w:rsid w:val="00870245"/>
    <w:rsid w:val="008706D6"/>
    <w:rsid w:val="00874BA7"/>
    <w:rsid w:val="008757BF"/>
    <w:rsid w:val="00883BC5"/>
    <w:rsid w:val="008843D0"/>
    <w:rsid w:val="00892450"/>
    <w:rsid w:val="00896845"/>
    <w:rsid w:val="008C101E"/>
    <w:rsid w:val="008C3E5E"/>
    <w:rsid w:val="008C6AF9"/>
    <w:rsid w:val="008F2F7B"/>
    <w:rsid w:val="00915AAE"/>
    <w:rsid w:val="00931DE4"/>
    <w:rsid w:val="00953ED7"/>
    <w:rsid w:val="009601A5"/>
    <w:rsid w:val="0096371A"/>
    <w:rsid w:val="009805A2"/>
    <w:rsid w:val="00995999"/>
    <w:rsid w:val="009A2DA4"/>
    <w:rsid w:val="009A2ED7"/>
    <w:rsid w:val="009D0BE1"/>
    <w:rsid w:val="009E1258"/>
    <w:rsid w:val="009E5295"/>
    <w:rsid w:val="009F5694"/>
    <w:rsid w:val="00A06ED4"/>
    <w:rsid w:val="00A112FE"/>
    <w:rsid w:val="00A22EC2"/>
    <w:rsid w:val="00A317E7"/>
    <w:rsid w:val="00A333B8"/>
    <w:rsid w:val="00A361C3"/>
    <w:rsid w:val="00A37DF7"/>
    <w:rsid w:val="00A42401"/>
    <w:rsid w:val="00A5528D"/>
    <w:rsid w:val="00A601AC"/>
    <w:rsid w:val="00A84A56"/>
    <w:rsid w:val="00A92958"/>
    <w:rsid w:val="00AB1F47"/>
    <w:rsid w:val="00AB6557"/>
    <w:rsid w:val="00AB7ED7"/>
    <w:rsid w:val="00AD7B6B"/>
    <w:rsid w:val="00B13BEA"/>
    <w:rsid w:val="00B24F82"/>
    <w:rsid w:val="00B319C6"/>
    <w:rsid w:val="00B32757"/>
    <w:rsid w:val="00B33103"/>
    <w:rsid w:val="00B45971"/>
    <w:rsid w:val="00B46A0A"/>
    <w:rsid w:val="00B66C74"/>
    <w:rsid w:val="00B705B4"/>
    <w:rsid w:val="00B74B4D"/>
    <w:rsid w:val="00B83C0D"/>
    <w:rsid w:val="00B85D39"/>
    <w:rsid w:val="00BA63AA"/>
    <w:rsid w:val="00BC273B"/>
    <w:rsid w:val="00BD61D4"/>
    <w:rsid w:val="00BE33CC"/>
    <w:rsid w:val="00BF277E"/>
    <w:rsid w:val="00BF4483"/>
    <w:rsid w:val="00BF7589"/>
    <w:rsid w:val="00C12A51"/>
    <w:rsid w:val="00C203F9"/>
    <w:rsid w:val="00C47A59"/>
    <w:rsid w:val="00C504CD"/>
    <w:rsid w:val="00C5287F"/>
    <w:rsid w:val="00C61965"/>
    <w:rsid w:val="00C63A94"/>
    <w:rsid w:val="00C71AE1"/>
    <w:rsid w:val="00C75FCA"/>
    <w:rsid w:val="00C77332"/>
    <w:rsid w:val="00C852E8"/>
    <w:rsid w:val="00C9630A"/>
    <w:rsid w:val="00CC60B0"/>
    <w:rsid w:val="00CC67DB"/>
    <w:rsid w:val="00CD3CF2"/>
    <w:rsid w:val="00CF23FE"/>
    <w:rsid w:val="00CF29A1"/>
    <w:rsid w:val="00D17D15"/>
    <w:rsid w:val="00D24C52"/>
    <w:rsid w:val="00D26848"/>
    <w:rsid w:val="00D360DD"/>
    <w:rsid w:val="00D46C89"/>
    <w:rsid w:val="00D6124B"/>
    <w:rsid w:val="00D64A29"/>
    <w:rsid w:val="00D6707B"/>
    <w:rsid w:val="00DB3080"/>
    <w:rsid w:val="00DB3CD9"/>
    <w:rsid w:val="00DE3D6C"/>
    <w:rsid w:val="00DE5570"/>
    <w:rsid w:val="00DE5596"/>
    <w:rsid w:val="00DE7839"/>
    <w:rsid w:val="00E061B2"/>
    <w:rsid w:val="00E07317"/>
    <w:rsid w:val="00E154E8"/>
    <w:rsid w:val="00E364F7"/>
    <w:rsid w:val="00E43C16"/>
    <w:rsid w:val="00E46B27"/>
    <w:rsid w:val="00E46C0B"/>
    <w:rsid w:val="00E55089"/>
    <w:rsid w:val="00E619E9"/>
    <w:rsid w:val="00E66BC1"/>
    <w:rsid w:val="00E77332"/>
    <w:rsid w:val="00E77F5A"/>
    <w:rsid w:val="00E83EA4"/>
    <w:rsid w:val="00E951D3"/>
    <w:rsid w:val="00E954BC"/>
    <w:rsid w:val="00E95C7C"/>
    <w:rsid w:val="00E968F6"/>
    <w:rsid w:val="00EC2995"/>
    <w:rsid w:val="00EC3977"/>
    <w:rsid w:val="00EE7A1F"/>
    <w:rsid w:val="00EF6479"/>
    <w:rsid w:val="00F0186F"/>
    <w:rsid w:val="00F060C3"/>
    <w:rsid w:val="00F12E59"/>
    <w:rsid w:val="00F14989"/>
    <w:rsid w:val="00F25C97"/>
    <w:rsid w:val="00F34552"/>
    <w:rsid w:val="00F452C4"/>
    <w:rsid w:val="00F53569"/>
    <w:rsid w:val="00F5718B"/>
    <w:rsid w:val="00F64E40"/>
    <w:rsid w:val="00F65C14"/>
    <w:rsid w:val="00F66C65"/>
    <w:rsid w:val="00F75FB0"/>
    <w:rsid w:val="00F77406"/>
    <w:rsid w:val="00FA522E"/>
    <w:rsid w:val="00FB3A22"/>
    <w:rsid w:val="00FC3F20"/>
    <w:rsid w:val="00FC752E"/>
    <w:rsid w:val="00FF5347"/>
    <w:rsid w:val="00FF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12A51"/>
    <w:pPr>
      <w:outlineLvl w:val="0"/>
    </w:pPr>
    <w:rPr>
      <w:rFonts w:eastAsia="MS Gothic"/>
      <w:b/>
      <w:bCs/>
      <w:i/>
      <w:color w:val="548DD4"/>
      <w:szCs w:val="26"/>
      <w:u w:val="single"/>
    </w:rPr>
  </w:style>
  <w:style w:type="paragraph" w:styleId="Heading2">
    <w:name w:val="heading 2"/>
    <w:basedOn w:val="Normal"/>
    <w:next w:val="Normal"/>
    <w:link w:val="Heading2Char"/>
    <w:uiPriority w:val="9"/>
    <w:qFormat/>
    <w:rsid w:val="00C12A51"/>
    <w:pPr>
      <w:outlineLvl w:val="1"/>
    </w:pPr>
    <w:rPr>
      <w:b/>
    </w:rPr>
  </w:style>
  <w:style w:type="paragraph" w:styleId="Heading3">
    <w:name w:val="heading 3"/>
    <w:basedOn w:val="Heading2"/>
    <w:next w:val="Normal"/>
    <w:link w:val="Heading3Char"/>
    <w:uiPriority w:val="9"/>
    <w:unhideWhenUsed/>
    <w:qFormat/>
    <w:rsid w:val="00494BD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A51"/>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2A51"/>
    <w:rPr>
      <w:rFonts w:ascii="Calibri" w:eastAsia="MS Gothic" w:hAnsi="Calibri" w:cs="Times New Roman"/>
      <w:b/>
      <w:bCs/>
      <w:i/>
      <w:color w:val="548DD4"/>
      <w:sz w:val="22"/>
      <w:szCs w:val="26"/>
      <w:u w:val="single"/>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F1498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14989"/>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F14989"/>
    <w:pPr>
      <w:spacing w:line="240" w:lineRule="auto"/>
    </w:pPr>
    <w:rPr>
      <w:noProof/>
      <w:lang w:val="en-US"/>
    </w:rPr>
  </w:style>
  <w:style w:type="character" w:customStyle="1" w:styleId="EndNoteBibliographyChar">
    <w:name w:val="EndNote Bibliography Char"/>
    <w:basedOn w:val="DefaultParagraphFont"/>
    <w:link w:val="EndNoteBibliography"/>
    <w:rsid w:val="00F14989"/>
    <w:rPr>
      <w:rFonts w:ascii="Calibri" w:eastAsia="Calibri" w:hAnsi="Calibri" w:cs="Times New Roman"/>
      <w:noProof/>
      <w:sz w:val="22"/>
      <w:lang w:val="en-US"/>
    </w:rPr>
  </w:style>
  <w:style w:type="paragraph" w:styleId="FootnoteText">
    <w:name w:val="footnote text"/>
    <w:basedOn w:val="Normal"/>
    <w:link w:val="FootnoteTextChar"/>
    <w:uiPriority w:val="99"/>
    <w:semiHidden/>
    <w:unhideWhenUsed/>
    <w:rsid w:val="00B32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75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32757"/>
    <w:rPr>
      <w:vertAlign w:val="superscript"/>
    </w:rPr>
  </w:style>
  <w:style w:type="character" w:customStyle="1" w:styleId="Heading3Char">
    <w:name w:val="Heading 3 Char"/>
    <w:basedOn w:val="DefaultParagraphFont"/>
    <w:link w:val="Heading3"/>
    <w:uiPriority w:val="9"/>
    <w:rsid w:val="00494BD2"/>
    <w:rPr>
      <w:rFonts w:ascii="Calibri" w:eastAsia="Calibri" w:hAnsi="Calibri" w:cs="Times New Roman"/>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12A51"/>
    <w:pPr>
      <w:outlineLvl w:val="0"/>
    </w:pPr>
    <w:rPr>
      <w:rFonts w:eastAsia="MS Gothic"/>
      <w:b/>
      <w:bCs/>
      <w:i/>
      <w:color w:val="548DD4"/>
      <w:szCs w:val="26"/>
      <w:u w:val="single"/>
    </w:rPr>
  </w:style>
  <w:style w:type="paragraph" w:styleId="Heading2">
    <w:name w:val="heading 2"/>
    <w:basedOn w:val="Normal"/>
    <w:next w:val="Normal"/>
    <w:link w:val="Heading2Char"/>
    <w:uiPriority w:val="9"/>
    <w:qFormat/>
    <w:rsid w:val="00C12A51"/>
    <w:pPr>
      <w:outlineLvl w:val="1"/>
    </w:pPr>
    <w:rPr>
      <w:b/>
    </w:rPr>
  </w:style>
  <w:style w:type="paragraph" w:styleId="Heading3">
    <w:name w:val="heading 3"/>
    <w:basedOn w:val="Heading2"/>
    <w:next w:val="Normal"/>
    <w:link w:val="Heading3Char"/>
    <w:uiPriority w:val="9"/>
    <w:unhideWhenUsed/>
    <w:qFormat/>
    <w:rsid w:val="00494BD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A51"/>
    <w:rPr>
      <w:rFonts w:ascii="Calibri" w:eastAsia="Calibri" w:hAnsi="Calibri" w:cs="Times New Roman"/>
      <w:b/>
      <w:sz w:val="22"/>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2A51"/>
    <w:rPr>
      <w:rFonts w:ascii="Calibri" w:eastAsia="MS Gothic" w:hAnsi="Calibri" w:cs="Times New Roman"/>
      <w:b/>
      <w:bCs/>
      <w:i/>
      <w:color w:val="548DD4"/>
      <w:sz w:val="22"/>
      <w:szCs w:val="26"/>
      <w:u w:val="single"/>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F1498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14989"/>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F14989"/>
    <w:pPr>
      <w:spacing w:line="240" w:lineRule="auto"/>
    </w:pPr>
    <w:rPr>
      <w:noProof/>
      <w:lang w:val="en-US"/>
    </w:rPr>
  </w:style>
  <w:style w:type="character" w:customStyle="1" w:styleId="EndNoteBibliographyChar">
    <w:name w:val="EndNote Bibliography Char"/>
    <w:basedOn w:val="DefaultParagraphFont"/>
    <w:link w:val="EndNoteBibliography"/>
    <w:rsid w:val="00F14989"/>
    <w:rPr>
      <w:rFonts w:ascii="Calibri" w:eastAsia="Calibri" w:hAnsi="Calibri" w:cs="Times New Roman"/>
      <w:noProof/>
      <w:sz w:val="22"/>
      <w:lang w:val="en-US"/>
    </w:rPr>
  </w:style>
  <w:style w:type="paragraph" w:styleId="FootnoteText">
    <w:name w:val="footnote text"/>
    <w:basedOn w:val="Normal"/>
    <w:link w:val="FootnoteTextChar"/>
    <w:uiPriority w:val="99"/>
    <w:semiHidden/>
    <w:unhideWhenUsed/>
    <w:rsid w:val="00B32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75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32757"/>
    <w:rPr>
      <w:vertAlign w:val="superscript"/>
    </w:rPr>
  </w:style>
  <w:style w:type="character" w:customStyle="1" w:styleId="Heading3Char">
    <w:name w:val="Heading 3 Char"/>
    <w:basedOn w:val="DefaultParagraphFont"/>
    <w:link w:val="Heading3"/>
    <w:uiPriority w:val="9"/>
    <w:rsid w:val="00494BD2"/>
    <w:rPr>
      <w:rFonts w:ascii="Calibri" w:eastAsia="Calibri" w:hAnsi="Calibri"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medicaldevices/productsandmedicalprocedures/implantsandprosthetics/breastimplants/ucm23999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hyperlink" Target="https://www.tga.gov.au/alert/breast-implants" TargetMode="External"/><Relationship Id="rId10" Type="http://schemas.openxmlformats.org/officeDocument/2006/relationships/hyperlink" Target="mailto:hta@health.gov.au?subject=Health%20Technology%20Assessment%20Te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ga.gov.au/alert/breast-implants-and-anaplastic-large-cell-lymph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669F-ACC2-46D6-AE78-5289B50A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9</cp:revision>
  <cp:lastPrinted>2016-04-27T00:41:00Z</cp:lastPrinted>
  <dcterms:created xsi:type="dcterms:W3CDTF">2017-09-26T00:02:00Z</dcterms:created>
  <dcterms:modified xsi:type="dcterms:W3CDTF">2017-09-26T00:35:00Z</dcterms:modified>
</cp:coreProperties>
</file>