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5CA0" w14:textId="77777777" w:rsidR="00E44B80" w:rsidRPr="00F637B3" w:rsidRDefault="00E44B80" w:rsidP="00E44B80">
      <w:pPr>
        <w:jc w:val="center"/>
        <w:rPr>
          <w:b/>
          <w:szCs w:val="20"/>
        </w:rPr>
      </w:pPr>
      <w:r w:rsidRPr="00F637B3">
        <w:rPr>
          <w:b/>
          <w:noProof/>
          <w:szCs w:val="20"/>
          <w:lang w:eastAsia="en-AU"/>
        </w:rPr>
        <w:drawing>
          <wp:inline distT="0" distB="0" distL="0" distR="0" wp14:anchorId="210F584F" wp14:editId="64BB8EB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7CC2CEF" w14:textId="77777777" w:rsidR="008B2610" w:rsidRPr="006F20CF" w:rsidRDefault="008B2610" w:rsidP="00F971CC">
      <w:pPr>
        <w:pStyle w:val="Title"/>
        <w:spacing w:before="2600"/>
      </w:pPr>
      <w:r w:rsidRPr="001906CD">
        <w:t>Application Form</w:t>
      </w:r>
    </w:p>
    <w:p w14:paraId="5EE49940"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02D81095"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3600DFEC"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5A9B38A0"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0FD84571"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6ECC86E"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4D20FA1" w14:textId="77777777" w:rsidR="008B2610" w:rsidRPr="00154B00" w:rsidRDefault="009F5758" w:rsidP="003F7CB9">
      <w:pPr>
        <w:spacing w:before="0" w:after="0"/>
      </w:pPr>
      <w:r w:rsidRPr="00154B00">
        <w:t>Phone:  +61 2 6289 7550</w:t>
      </w:r>
    </w:p>
    <w:p w14:paraId="39AE9471" w14:textId="77777777" w:rsidR="009F5758" w:rsidRPr="00154B00" w:rsidRDefault="009F5758" w:rsidP="003F7CB9">
      <w:pPr>
        <w:spacing w:before="0" w:after="0"/>
      </w:pPr>
      <w:r w:rsidRPr="00154B00">
        <w:t>Fax:  +61 2 6289 5540</w:t>
      </w:r>
    </w:p>
    <w:p w14:paraId="79817DC0"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77C2329F"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01CF1F9"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17BD32C"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6610040"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725352BE" w14:textId="70BF18ED"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E36D8" w:rsidRPr="002E36D8">
        <w:rPr>
          <w:b/>
          <w:i/>
        </w:rPr>
        <w:t>Redacted</w:t>
      </w:r>
    </w:p>
    <w:p w14:paraId="019A2569" w14:textId="0D8CA2A2"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2E36D8" w:rsidRPr="002E36D8">
        <w:rPr>
          <w:b/>
          <w:i/>
        </w:rPr>
        <w:t>Redacted</w:t>
      </w:r>
    </w:p>
    <w:p w14:paraId="1199CD4B" w14:textId="3C93D44C"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2E36D8" w:rsidRPr="002E36D8">
        <w:rPr>
          <w:b/>
          <w:i/>
        </w:rPr>
        <w:t xml:space="preserve"> Redacted</w:t>
      </w:r>
    </w:p>
    <w:p w14:paraId="546566CD" w14:textId="77777777" w:rsidR="00C171FB" w:rsidRPr="00C171FB" w:rsidRDefault="00C171FB" w:rsidP="00C171FB"/>
    <w:p w14:paraId="5125A06C" w14:textId="25DF53A9" w:rsidR="00C171FB" w:rsidRPr="00C171FB" w:rsidRDefault="00C171FB" w:rsidP="00C171FB">
      <w:pPr>
        <w:rPr>
          <w:b/>
        </w:rPr>
      </w:pPr>
      <w:r>
        <w:rPr>
          <w:b/>
        </w:rPr>
        <w:t xml:space="preserve">Primary contact name: </w:t>
      </w:r>
      <w:r w:rsidR="002E36D8" w:rsidRPr="002E36D8">
        <w:rPr>
          <w:b/>
          <w:i/>
        </w:rPr>
        <w:t>Redacted</w:t>
      </w:r>
    </w:p>
    <w:p w14:paraId="2B883E94"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4D58A76" w14:textId="67E6949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E36D8" w:rsidRPr="002E36D8">
        <w:rPr>
          <w:b/>
          <w:i/>
        </w:rPr>
        <w:t>Redacted</w:t>
      </w:r>
    </w:p>
    <w:p w14:paraId="0123CB2B" w14:textId="6DFD2A1F"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E36D8" w:rsidRPr="002E36D8">
        <w:rPr>
          <w:b/>
          <w:i/>
        </w:rPr>
        <w:t>Redacted</w:t>
      </w:r>
      <w:r w:rsidR="002E36D8">
        <w:t xml:space="preserve"> </w:t>
      </w:r>
      <w:r>
        <w:t xml:space="preserve">Email: </w:t>
      </w:r>
      <w:r w:rsidR="002E36D8" w:rsidRPr="002E36D8">
        <w:rPr>
          <w:b/>
          <w:i/>
        </w:rPr>
        <w:t>Redacted</w:t>
      </w:r>
    </w:p>
    <w:p w14:paraId="5535EF1C" w14:textId="77777777" w:rsidR="00C171FB" w:rsidRDefault="00C171FB" w:rsidP="00C171FB">
      <w:pPr>
        <w:rPr>
          <w:b/>
        </w:rPr>
      </w:pPr>
    </w:p>
    <w:p w14:paraId="1122F1BF" w14:textId="26A6F401" w:rsidR="00C171FB" w:rsidRPr="00C171FB" w:rsidRDefault="00C171FB" w:rsidP="00C171FB">
      <w:pPr>
        <w:rPr>
          <w:b/>
        </w:rPr>
      </w:pPr>
      <w:r>
        <w:rPr>
          <w:b/>
        </w:rPr>
        <w:t xml:space="preserve">Alternative contact name: </w:t>
      </w:r>
      <w:r w:rsidR="002E36D8" w:rsidRPr="002E36D8">
        <w:rPr>
          <w:b/>
          <w:i/>
        </w:rPr>
        <w:t>Redacted</w:t>
      </w:r>
    </w:p>
    <w:p w14:paraId="04A0F2E6"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2D93121C" w14:textId="01AE6B9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E36D8" w:rsidRPr="002E36D8">
        <w:rPr>
          <w:b/>
          <w:i/>
        </w:rPr>
        <w:t>Redacted</w:t>
      </w:r>
    </w:p>
    <w:p w14:paraId="67B35232" w14:textId="77777777" w:rsidR="002E36D8" w:rsidRDefault="00C171FB" w:rsidP="00C171FB">
      <w:pPr>
        <w:pBdr>
          <w:top w:val="single" w:sz="4" w:space="1" w:color="auto"/>
          <w:left w:val="single" w:sz="4" w:space="4" w:color="auto"/>
          <w:bottom w:val="single" w:sz="4" w:space="1" w:color="auto"/>
          <w:right w:val="single" w:sz="4" w:space="4" w:color="auto"/>
        </w:pBdr>
      </w:pPr>
      <w:r>
        <w:t xml:space="preserve">Mobile: </w:t>
      </w:r>
      <w:r w:rsidR="002E36D8" w:rsidRPr="002E36D8">
        <w:rPr>
          <w:b/>
          <w:i/>
        </w:rPr>
        <w:t>Redacted</w:t>
      </w:r>
      <w:r w:rsidR="002E36D8">
        <w:t xml:space="preserve"> </w:t>
      </w:r>
    </w:p>
    <w:p w14:paraId="4114D66B" w14:textId="4DFC53D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E36D8" w:rsidRPr="002E36D8">
        <w:rPr>
          <w:b/>
          <w:i/>
        </w:rPr>
        <w:t>Redacted</w:t>
      </w:r>
    </w:p>
    <w:p w14:paraId="5772ACFF" w14:textId="77777777" w:rsidR="00C171FB" w:rsidRPr="00C171FB" w:rsidRDefault="00C171FB" w:rsidP="00C171FB"/>
    <w:p w14:paraId="6563A294" w14:textId="77777777" w:rsidR="00534C5F" w:rsidRPr="00154B00" w:rsidRDefault="00494011" w:rsidP="004A0BF4">
      <w:pPr>
        <w:pStyle w:val="Heading2"/>
      </w:pPr>
      <w:r>
        <w:t xml:space="preserve">(a) </w:t>
      </w:r>
      <w:r w:rsidR="00534C5F">
        <w:t>Are you a lobbyist acting on behalf of an Applicant?</w:t>
      </w:r>
    </w:p>
    <w:p w14:paraId="3A60EFD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Yes</w:t>
      </w:r>
    </w:p>
    <w:p w14:paraId="33DDF069" w14:textId="77777777" w:rsidR="00A6491A" w:rsidRPr="00753C44" w:rsidRDefault="00B47D6D"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157C2A">
        <w:rPr>
          <w:szCs w:val="20"/>
        </w:rPr>
      </w:r>
      <w:r w:rsidR="00157C2A">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645CB5CC"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3B7422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Yes</w:t>
      </w:r>
    </w:p>
    <w:p w14:paraId="3871B35A" w14:textId="77777777" w:rsidR="00A6491A" w:rsidRPr="00753C44" w:rsidRDefault="00B47D6D"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A6491A">
        <w:rPr>
          <w:szCs w:val="20"/>
        </w:rPr>
        <w:t xml:space="preserve"> No</w:t>
      </w:r>
      <w:r w:rsidR="00A6491A" w:rsidRPr="00753C44">
        <w:rPr>
          <w:szCs w:val="20"/>
        </w:rPr>
        <w:t xml:space="preserve">  </w:t>
      </w:r>
    </w:p>
    <w:p w14:paraId="7CFA4DB9" w14:textId="77777777" w:rsidR="00E04FB3" w:rsidRDefault="00E04FB3" w:rsidP="005C333E">
      <w:pPr>
        <w:spacing w:before="0" w:after="0"/>
        <w:ind w:left="426"/>
        <w:rPr>
          <w:b/>
          <w:szCs w:val="20"/>
        </w:rPr>
      </w:pPr>
      <w:r w:rsidRPr="00154B00">
        <w:rPr>
          <w:b/>
          <w:szCs w:val="20"/>
        </w:rPr>
        <w:br w:type="page"/>
      </w:r>
    </w:p>
    <w:p w14:paraId="29849DBB"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5FA3DB95" w14:textId="77777777" w:rsidR="000B3CD0" w:rsidRDefault="000B3CD0" w:rsidP="00730C04">
      <w:pPr>
        <w:pStyle w:val="Heading2"/>
      </w:pPr>
      <w:r w:rsidRPr="00154B00">
        <w:t>Application title</w:t>
      </w:r>
      <w:r w:rsidR="00A8732C">
        <w:t xml:space="preserve"> </w:t>
      </w:r>
    </w:p>
    <w:p w14:paraId="2C2BDC5D" w14:textId="77777777" w:rsidR="009056C5" w:rsidRPr="009056C5" w:rsidRDefault="00693798" w:rsidP="00A6491A">
      <w:pPr>
        <w:ind w:left="284"/>
      </w:pPr>
      <w:proofErr w:type="gramStart"/>
      <w:r>
        <w:t>Heritable mutations which increase risk in colorectal and endometrial cancer.</w:t>
      </w:r>
      <w:proofErr w:type="gramEnd"/>
    </w:p>
    <w:p w14:paraId="29B1B194"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0F653C8" w14:textId="0DF533AE" w:rsidR="00B30B41" w:rsidRPr="00B30B41" w:rsidRDefault="00B30B41" w:rsidP="00B30B41">
      <w:pPr>
        <w:ind w:left="284"/>
      </w:pPr>
      <w:r w:rsidRPr="00B30B41">
        <w:t xml:space="preserve">Familial adenomatous polyposis (FAP), juvenile polyposis syndrome (JPS), Lynch syndrome (formerly known as hereditary nonpolyposis colorectal cancer (HNPCC)), </w:t>
      </w:r>
      <w:proofErr w:type="spellStart"/>
      <w:r w:rsidRPr="00B30B41">
        <w:t>Peutz-Jeghers</w:t>
      </w:r>
      <w:proofErr w:type="spellEnd"/>
      <w:r w:rsidRPr="00B30B41">
        <w:t xml:space="preserve"> syndrome (PJS), hereditary mixed polyposis syndrome (HMPS) and autosomal recessive colorectal adenomatous polyposis (</w:t>
      </w:r>
      <w:r w:rsidRPr="00B30B41">
        <w:rPr>
          <w:i/>
        </w:rPr>
        <w:t>MUTYH</w:t>
      </w:r>
      <w:r w:rsidRPr="00B30B41">
        <w:t>-associated polyposis or MAP) are all inheritable syndromes predisposing to colorectal and other epithelial cancers.</w:t>
      </w:r>
    </w:p>
    <w:p w14:paraId="24F8F168"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D51DCC6" w14:textId="77777777" w:rsidR="00693798" w:rsidRDefault="00693798" w:rsidP="00693798">
      <w:pPr>
        <w:ind w:left="284"/>
      </w:pPr>
      <w:r>
        <w:t xml:space="preserve">Genetic </w:t>
      </w:r>
      <w:r w:rsidRPr="00693798">
        <w:t>testing should be considered in</w:t>
      </w:r>
      <w:r>
        <w:t xml:space="preserve"> </w:t>
      </w:r>
      <w:r w:rsidRPr="00693798">
        <w:t>patients with a personal history of colorectal or endometrial cancer with potential</w:t>
      </w:r>
      <w:r>
        <w:t xml:space="preserve"> </w:t>
      </w:r>
      <w:r w:rsidRPr="00693798">
        <w:t>hereditary genetic risk of &gt;10% as assessed by their treating specialist. This would include</w:t>
      </w:r>
      <w:r>
        <w:t xml:space="preserve">: </w:t>
      </w:r>
      <w:r w:rsidRPr="00693798">
        <w:t>CRC with evidence of mismatch repair deficiency (MMR) and/or clinical evidence of a</w:t>
      </w:r>
      <w:r>
        <w:t xml:space="preserve"> </w:t>
      </w:r>
      <w:r w:rsidRPr="00693798">
        <w:t>possible familial polyposis syndrome</w:t>
      </w:r>
      <w:r>
        <w:t xml:space="preserve">; and </w:t>
      </w:r>
      <w:r w:rsidRPr="00693798">
        <w:t>cascade testing of family members of patients identified with clinically actionable pathogenic</w:t>
      </w:r>
      <w:r>
        <w:t xml:space="preserve"> </w:t>
      </w:r>
      <w:r w:rsidRPr="00693798">
        <w:t>mutations on the request of a medical specialist or clinical geneticist.</w:t>
      </w:r>
    </w:p>
    <w:p w14:paraId="488F8866" w14:textId="77777777" w:rsidR="000A0F3E" w:rsidRPr="000A0F3E" w:rsidRDefault="000A0F3E" w:rsidP="002955DB">
      <w:pPr>
        <w:spacing w:before="0" w:after="200" w:line="276" w:lineRule="auto"/>
        <w:ind w:left="284"/>
        <w:rPr>
          <w:szCs w:val="20"/>
        </w:rPr>
      </w:pPr>
      <w:r w:rsidRPr="002955DB">
        <w:rPr>
          <w:szCs w:val="20"/>
        </w:rPr>
        <w:t xml:space="preserve">The proposed genes for testing are as follows: APC, SMAD4, BMPR1A, MLH1, MSH2, MSH6, PMS2, STK11, GREM1, MUTYH, EPCAM* [*deletions associated with </w:t>
      </w:r>
      <w:proofErr w:type="spellStart"/>
      <w:r w:rsidRPr="002955DB">
        <w:rPr>
          <w:szCs w:val="20"/>
        </w:rPr>
        <w:t>epigenic</w:t>
      </w:r>
      <w:proofErr w:type="spellEnd"/>
      <w:r w:rsidRPr="002955DB">
        <w:rPr>
          <w:szCs w:val="20"/>
        </w:rPr>
        <w:t xml:space="preserve"> silencing of MSH2]</w:t>
      </w:r>
    </w:p>
    <w:p w14:paraId="45707D42"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07821C68" w14:textId="77777777" w:rsidR="00753C44" w:rsidRDefault="00B30B41"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157C2A">
        <w:rPr>
          <w:szCs w:val="20"/>
        </w:rPr>
      </w:r>
      <w:r w:rsidR="00157C2A">
        <w:rPr>
          <w:szCs w:val="20"/>
        </w:rPr>
        <w:fldChar w:fldCharType="separate"/>
      </w:r>
      <w:r>
        <w:rPr>
          <w:szCs w:val="20"/>
        </w:rPr>
        <w:fldChar w:fldCharType="end"/>
      </w:r>
      <w:bookmarkEnd w:id="2"/>
      <w:r w:rsidR="006B6390">
        <w:rPr>
          <w:szCs w:val="20"/>
        </w:rPr>
        <w:t xml:space="preserve"> Yes</w:t>
      </w:r>
    </w:p>
    <w:p w14:paraId="25886393"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7C60D52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9DEB980"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07F261C" w14:textId="77777777" w:rsidR="00753C44" w:rsidRPr="00753C44" w:rsidRDefault="00B30B4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8E5EC5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7A9B713" w14:textId="77777777" w:rsidR="003D795C" w:rsidRPr="00CB12EC" w:rsidRDefault="00B30B41" w:rsidP="00A6491A">
      <w:pPr>
        <w:ind w:left="284"/>
      </w:pPr>
      <w:r>
        <w:t>Not applicable.</w:t>
      </w:r>
    </w:p>
    <w:p w14:paraId="44E14771"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17E977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40865D4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7DB5D9A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46B48C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2D4298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04ADA9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2B0C0E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1E6176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31D4B7F"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157C2A">
        <w:rPr>
          <w:b/>
          <w:szCs w:val="20"/>
        </w:rPr>
      </w:r>
      <w:r w:rsidR="00157C2A">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25E628FF" w14:textId="77777777" w:rsidR="002A270B" w:rsidRPr="00CB12EC" w:rsidRDefault="00B30B41" w:rsidP="00A6491A">
      <w:pPr>
        <w:ind w:left="284"/>
      </w:pPr>
      <w:r>
        <w:t>Not applicable.</w:t>
      </w:r>
    </w:p>
    <w:p w14:paraId="09BF7AA8"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1D14578" w14:textId="77777777" w:rsidR="006B6390" w:rsidRPr="00AA2CFE" w:rsidRDefault="00B30B41"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2462B62E" w14:textId="77777777" w:rsidR="006B6390" w:rsidRPr="00AA2CFE" w:rsidRDefault="00B30B41" w:rsidP="00AA2CFE">
      <w:pPr>
        <w:pStyle w:val="ListParagraph"/>
        <w:numPr>
          <w:ilvl w:val="0"/>
          <w:numId w:val="35"/>
        </w:numPr>
        <w:spacing w:before="0" w:after="0"/>
        <w:ind w:left="851" w:hanging="425"/>
        <w:rPr>
          <w:rStyle w:val="Strong"/>
          <w:b w:val="0"/>
        </w:rPr>
      </w:pPr>
      <w:r>
        <w:rPr>
          <w:b/>
          <w:szCs w:val="20"/>
        </w:rPr>
        <w:lastRenderedPageBreak/>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9F3D54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57C2A">
        <w:rPr>
          <w:b/>
          <w:szCs w:val="20"/>
        </w:rPr>
      </w:r>
      <w:r w:rsidR="00157C2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A4A0B7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157C2A">
        <w:rPr>
          <w:b/>
          <w:szCs w:val="20"/>
        </w:rPr>
      </w:r>
      <w:r w:rsidR="00157C2A">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5A5B14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08E2E8E"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p>
    <w:p w14:paraId="499CE7E9" w14:textId="77777777" w:rsidR="00626365" w:rsidRDefault="00B30B41"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5B32" w:rsidRPr="000A5B32">
        <w:rPr>
          <w:szCs w:val="20"/>
        </w:rPr>
        <w:t xml:space="preserve"> No</w:t>
      </w:r>
    </w:p>
    <w:p w14:paraId="2379A5D2"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0CDB2A68"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4EF68556" w14:textId="77777777" w:rsidR="000A5B32" w:rsidRPr="00855944" w:rsidRDefault="006B6ABB" w:rsidP="00A6491A">
      <w:pPr>
        <w:ind w:left="284"/>
        <w:rPr>
          <w:rStyle w:val="Strong"/>
        </w:rPr>
      </w:pPr>
      <w:r>
        <w:t>Not applicable.</w:t>
      </w:r>
    </w:p>
    <w:p w14:paraId="62661EDD" w14:textId="77777777" w:rsidR="000B3CD0" w:rsidRDefault="000B3CD0" w:rsidP="00730C04">
      <w:pPr>
        <w:pStyle w:val="Heading2"/>
      </w:pPr>
      <w:r w:rsidRPr="00154B00">
        <w:t xml:space="preserve">What is the type of </w:t>
      </w:r>
      <w:proofErr w:type="gramStart"/>
      <w:r w:rsidRPr="00154B00">
        <w:t>service:</w:t>
      </w:r>
      <w:proofErr w:type="gramEnd"/>
    </w:p>
    <w:p w14:paraId="02BAF05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Therapeutic medical service</w:t>
      </w:r>
    </w:p>
    <w:p w14:paraId="58A2C3DF" w14:textId="77777777" w:rsidR="00A6594E" w:rsidRDefault="009D3D0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27105F">
        <w:rPr>
          <w:b/>
          <w:szCs w:val="20"/>
        </w:rPr>
        <w:t xml:space="preserve"> </w:t>
      </w:r>
      <w:r w:rsidR="00A6594E">
        <w:t>Investigative medical service</w:t>
      </w:r>
    </w:p>
    <w:p w14:paraId="7741176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Single consultation medical service</w:t>
      </w:r>
    </w:p>
    <w:p w14:paraId="172CCA8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Global consultation medical service</w:t>
      </w:r>
    </w:p>
    <w:p w14:paraId="2C616DF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Allied health service</w:t>
      </w:r>
    </w:p>
    <w:p w14:paraId="30C3571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Co-dependent technology</w:t>
      </w:r>
    </w:p>
    <w:p w14:paraId="50F020EF"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Hybrid health technology</w:t>
      </w:r>
    </w:p>
    <w:p w14:paraId="272C5109"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A2D826F" w14:textId="77777777" w:rsidR="00A6594E" w:rsidRDefault="00343AA1" w:rsidP="00AF4466">
      <w:pPr>
        <w:pStyle w:val="ListParagraph"/>
        <w:numPr>
          <w:ilvl w:val="0"/>
          <w:numId w:val="36"/>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14:paraId="6EF1D70E" w14:textId="77777777" w:rsidR="00A6594E" w:rsidRDefault="006B6ABB"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4ED42228" w14:textId="77777777" w:rsidR="00A6594E" w:rsidRDefault="00343AA1"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3B2F2BED" w14:textId="77777777" w:rsidR="00A6594E" w:rsidRDefault="00343AA1"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1BB5034F" w14:textId="77777777" w:rsidR="00A6594E" w:rsidRPr="00A6594E" w:rsidRDefault="00343AA1" w:rsidP="00AF4466">
      <w:pPr>
        <w:pStyle w:val="ListParagraph"/>
        <w:numPr>
          <w:ilvl w:val="0"/>
          <w:numId w:val="36"/>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0A4CA9DF"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A1D7E05"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Pharmaceutical / Biological</w:t>
      </w:r>
    </w:p>
    <w:p w14:paraId="18784D87"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57C2A">
        <w:rPr>
          <w:b/>
          <w:szCs w:val="20"/>
        </w:rPr>
      </w:r>
      <w:r w:rsidR="00157C2A">
        <w:rPr>
          <w:b/>
          <w:szCs w:val="20"/>
        </w:rPr>
        <w:fldChar w:fldCharType="separate"/>
      </w:r>
      <w:r w:rsidRPr="0027105F">
        <w:rPr>
          <w:b/>
          <w:szCs w:val="20"/>
        </w:rPr>
        <w:fldChar w:fldCharType="end"/>
      </w:r>
      <w:r w:rsidRPr="0027105F">
        <w:rPr>
          <w:b/>
          <w:szCs w:val="20"/>
        </w:rPr>
        <w:t xml:space="preserve"> </w:t>
      </w:r>
      <w:r>
        <w:t>Prosthesis or device</w:t>
      </w:r>
    </w:p>
    <w:p w14:paraId="5A42E100" w14:textId="77777777" w:rsidR="00FE16C1" w:rsidRPr="00FE16C1" w:rsidRDefault="00343AA1"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157C2A">
        <w:rPr>
          <w:b/>
          <w:szCs w:val="20"/>
        </w:rPr>
      </w:r>
      <w:r w:rsidR="00157C2A">
        <w:rPr>
          <w:b/>
          <w:szCs w:val="20"/>
        </w:rPr>
        <w:fldChar w:fldCharType="separate"/>
      </w:r>
      <w:r>
        <w:rPr>
          <w:b/>
          <w:szCs w:val="20"/>
        </w:rPr>
        <w:fldChar w:fldCharType="end"/>
      </w:r>
      <w:r w:rsidR="00FE16C1" w:rsidRPr="0027105F">
        <w:rPr>
          <w:b/>
          <w:szCs w:val="20"/>
        </w:rPr>
        <w:t xml:space="preserve"> </w:t>
      </w:r>
      <w:r w:rsidR="00FE16C1">
        <w:t>No</w:t>
      </w:r>
    </w:p>
    <w:p w14:paraId="52BE963D"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49688CF"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p>
    <w:p w14:paraId="4E0B678E" w14:textId="77777777" w:rsidR="00FE16C1" w:rsidRPr="00FE16C1" w:rsidRDefault="00343AA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FE16C1">
        <w:rPr>
          <w:szCs w:val="20"/>
        </w:rPr>
        <w:t xml:space="preserve"> No  </w:t>
      </w:r>
    </w:p>
    <w:p w14:paraId="2690A441"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5FA1A26"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36C9D0B0"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757C23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CC25606" w14:textId="77777777" w:rsidR="001E6919" w:rsidRDefault="00343AA1"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1E6919">
        <w:rPr>
          <w:szCs w:val="20"/>
        </w:rPr>
        <w:t xml:space="preserve"> No</w:t>
      </w:r>
    </w:p>
    <w:p w14:paraId="466B1E3D"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1673DFF5"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6636CA7"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5F4C3AC7"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0A77C4BB" w14:textId="77777777" w:rsidR="002955DB" w:rsidRDefault="002955DB">
      <w:pPr>
        <w:spacing w:before="0" w:after="200" w:line="276" w:lineRule="auto"/>
        <w:rPr>
          <w:b/>
          <w:szCs w:val="20"/>
        </w:rPr>
      </w:pPr>
      <w:r>
        <w:br w:type="page"/>
      </w:r>
    </w:p>
    <w:p w14:paraId="2FC2E4A5" w14:textId="77777777"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62CA55F2"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p>
    <w:p w14:paraId="22D48F8F" w14:textId="77777777" w:rsidR="006B5426" w:rsidRDefault="00343AA1" w:rsidP="006B5426">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1E6958">
        <w:rPr>
          <w:szCs w:val="20"/>
        </w:rPr>
        <w:t xml:space="preserve"> No</w:t>
      </w:r>
    </w:p>
    <w:p w14:paraId="3E1AF240" w14:textId="4F943205" w:rsidR="00B75965" w:rsidRDefault="00B75965" w:rsidP="006B5426">
      <w:pPr>
        <w:spacing w:before="240" w:after="0"/>
        <w:ind w:left="284"/>
      </w:pPr>
      <w:r w:rsidRPr="001E6958">
        <w:t xml:space="preserve">If yes, </w:t>
      </w:r>
      <w:r w:rsidR="00C73B62" w:rsidRPr="001E6958">
        <w:t xml:space="preserve">please provide the following information (where relevant): </w:t>
      </w:r>
    </w:p>
    <w:p w14:paraId="2ACC4729"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79D2B56D"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23870605"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0DFEA531"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7D140531" w14:textId="77777777" w:rsidR="009939DC" w:rsidRDefault="009939DC" w:rsidP="009939DC"/>
    <w:p w14:paraId="04181214"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A7A44AF"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p>
    <w:p w14:paraId="2FA9C8FD" w14:textId="77777777" w:rsidR="001E6958" w:rsidRPr="009939DC" w:rsidRDefault="00343AA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9939DC">
        <w:rPr>
          <w:szCs w:val="20"/>
        </w:rPr>
        <w:t xml:space="preserve"> No  </w:t>
      </w:r>
    </w:p>
    <w:p w14:paraId="1F905C77"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03810CF"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Yes</w:t>
      </w:r>
    </w:p>
    <w:p w14:paraId="01E984EF" w14:textId="77777777" w:rsidR="009939DC" w:rsidRPr="001E6958" w:rsidRDefault="00343AA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9939DC">
        <w:rPr>
          <w:szCs w:val="20"/>
        </w:rPr>
        <w:t xml:space="preserve"> No  </w:t>
      </w:r>
    </w:p>
    <w:p w14:paraId="769D6CFC"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06AF58D"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725AD924"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22493FC1" w14:textId="77777777" w:rsidR="009939DC" w:rsidRDefault="009939DC" w:rsidP="00A6491A">
      <w:pPr>
        <w:spacing w:before="0" w:after="0"/>
        <w:ind w:left="284"/>
      </w:pPr>
      <w:r>
        <w:t xml:space="preserve">Single use consumables: </w:t>
      </w:r>
      <w:r w:rsidR="00343AA1">
        <w:t>Sequencing reagents</w:t>
      </w:r>
    </w:p>
    <w:p w14:paraId="6F1F8462" w14:textId="77777777" w:rsidR="00F301F1" w:rsidRPr="00855944" w:rsidRDefault="009939DC" w:rsidP="00A6491A">
      <w:pPr>
        <w:spacing w:before="0" w:after="0"/>
        <w:ind w:left="284"/>
      </w:pPr>
      <w:r>
        <w:t>Multi-use consumables:</w:t>
      </w:r>
      <w:r w:rsidRPr="009939DC">
        <w:t xml:space="preserve"> </w:t>
      </w:r>
      <w:r w:rsidR="00343AA1">
        <w:t xml:space="preserve">Not applicable. </w:t>
      </w:r>
      <w:r w:rsidR="00F301F1" w:rsidRPr="00855944">
        <w:br w:type="page"/>
      </w:r>
    </w:p>
    <w:p w14:paraId="2726A96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113E7DF6"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5730529" w14:textId="71DBF7FF"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E63915" w:rsidRPr="006E7EAF">
        <w:t>In-vitro diagnostic test</w:t>
      </w:r>
    </w:p>
    <w:p w14:paraId="4899B19D" w14:textId="16EEA2CF" w:rsidR="00A26343" w:rsidRPr="00A26343" w:rsidRDefault="00A26343" w:rsidP="00A6491A">
      <w:pPr>
        <w:spacing w:before="0" w:after="0"/>
        <w:ind w:left="284"/>
        <w:rPr>
          <w:szCs w:val="20"/>
        </w:rPr>
      </w:pPr>
      <w:r w:rsidRPr="00A26343">
        <w:rPr>
          <w:szCs w:val="20"/>
        </w:rPr>
        <w:t>Manufacturer’s name</w:t>
      </w:r>
      <w:r>
        <w:rPr>
          <w:szCs w:val="20"/>
        </w:rPr>
        <w:t xml:space="preserve">: </w:t>
      </w:r>
      <w:r w:rsidR="00E63915" w:rsidRPr="006E7EAF">
        <w:t>Various</w:t>
      </w:r>
    </w:p>
    <w:p w14:paraId="4B3FA4F5" w14:textId="70F9E0DE" w:rsidR="00A26343" w:rsidRPr="00A26343" w:rsidRDefault="00A26343" w:rsidP="00A6491A">
      <w:pPr>
        <w:spacing w:before="0" w:after="0"/>
        <w:ind w:left="284"/>
        <w:rPr>
          <w:szCs w:val="20"/>
        </w:rPr>
      </w:pPr>
      <w:r w:rsidRPr="00A26343">
        <w:rPr>
          <w:szCs w:val="20"/>
        </w:rPr>
        <w:t>Sponsor’s name</w:t>
      </w:r>
      <w:r>
        <w:rPr>
          <w:szCs w:val="20"/>
        </w:rPr>
        <w:t xml:space="preserve">: </w:t>
      </w:r>
      <w:r w:rsidR="00E63915" w:rsidRPr="006E7EAF">
        <w:t>Not applicable</w:t>
      </w:r>
    </w:p>
    <w:p w14:paraId="63A82B6F"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59738C3" w14:textId="0B7AC56C" w:rsidR="00615F42" w:rsidRPr="00615F42" w:rsidRDefault="00E63915" w:rsidP="00A6491A">
      <w:pPr>
        <w:spacing w:before="0" w:after="0"/>
        <w:ind w:left="284"/>
        <w:rPr>
          <w:szCs w:val="20"/>
        </w:rPr>
      </w:pPr>
      <w:proofErr w:type="gramStart"/>
      <w:r>
        <w:rPr>
          <w:szCs w:val="20"/>
        </w:rPr>
        <w:t>x</w:t>
      </w:r>
      <w:proofErr w:type="gramEnd"/>
      <w:r w:rsidR="00615F42" w:rsidRPr="000A5B32">
        <w:rPr>
          <w:szCs w:val="20"/>
        </w:rPr>
        <w:t xml:space="preserve"> </w:t>
      </w:r>
      <w:r w:rsidR="00615F42" w:rsidRPr="00615F42">
        <w:rPr>
          <w:szCs w:val="20"/>
        </w:rPr>
        <w:t>Class III</w:t>
      </w:r>
    </w:p>
    <w:p w14:paraId="556958D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w:t>
      </w:r>
      <w:r w:rsidRPr="00615F42">
        <w:rPr>
          <w:szCs w:val="20"/>
        </w:rPr>
        <w:t>AIMD</w:t>
      </w:r>
    </w:p>
    <w:p w14:paraId="458245AA"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sidRPr="000A5B32">
        <w:rPr>
          <w:szCs w:val="20"/>
        </w:rPr>
        <w:t xml:space="preserve"> </w:t>
      </w:r>
      <w:r w:rsidRPr="00615F42">
        <w:rPr>
          <w:szCs w:val="20"/>
        </w:rPr>
        <w:t>N/A</w:t>
      </w:r>
    </w:p>
    <w:p w14:paraId="31B75384"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10BB0BD"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8882EEF" w14:textId="27FD3435" w:rsidR="003421AE" w:rsidRPr="00615F42" w:rsidRDefault="00E63915" w:rsidP="00A6491A">
      <w:pPr>
        <w:spacing w:before="0" w:after="0"/>
        <w:ind w:left="284"/>
        <w:rPr>
          <w:b/>
          <w:szCs w:val="20"/>
        </w:rPr>
      </w:pPr>
      <w:proofErr w:type="gramStart"/>
      <w:r>
        <w:rPr>
          <w:szCs w:val="20"/>
        </w:rPr>
        <w:t>x</w:t>
      </w:r>
      <w:proofErr w:type="gramEnd"/>
      <w:r w:rsidR="00615F42">
        <w:rPr>
          <w:szCs w:val="20"/>
        </w:rPr>
        <w:t xml:space="preserve"> No</w:t>
      </w:r>
    </w:p>
    <w:p w14:paraId="3B7D4C5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50E72E7A" w14:textId="200910EE" w:rsidR="0043654D" w:rsidRDefault="00E63915" w:rsidP="0043654D">
      <w:pPr>
        <w:spacing w:before="0" w:after="0"/>
        <w:ind w:left="284"/>
        <w:rPr>
          <w:szCs w:val="20"/>
        </w:rPr>
      </w:pPr>
      <w:proofErr w:type="gramStart"/>
      <w:r>
        <w:rPr>
          <w:szCs w:val="20"/>
        </w:rPr>
        <w:t>x</w:t>
      </w:r>
      <w:proofErr w:type="gramEnd"/>
      <w:r w:rsidR="0043654D">
        <w:rPr>
          <w:szCs w:val="20"/>
        </w:rPr>
        <w:t xml:space="preserve"> Yes (if yes, please provide details below)</w:t>
      </w:r>
    </w:p>
    <w:p w14:paraId="4FEEDBFB"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No</w:t>
      </w:r>
    </w:p>
    <w:p w14:paraId="197A07F9" w14:textId="77777777" w:rsidR="0043654D" w:rsidRPr="00615F42" w:rsidRDefault="0043654D" w:rsidP="0043654D">
      <w:pPr>
        <w:spacing w:before="0" w:after="0"/>
        <w:ind w:left="284"/>
        <w:rPr>
          <w:b/>
          <w:szCs w:val="20"/>
        </w:rPr>
      </w:pPr>
    </w:p>
    <w:p w14:paraId="7990A27C" w14:textId="55FB2812"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E63915">
        <w:t>Various</w:t>
      </w:r>
    </w:p>
    <w:p w14:paraId="3CB676BE"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3EF62F11"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0578631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767D260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Yes (please provide details below)</w:t>
      </w:r>
    </w:p>
    <w:p w14:paraId="3A28530D"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No</w:t>
      </w:r>
    </w:p>
    <w:p w14:paraId="3806ED45" w14:textId="77777777" w:rsidR="0047581D" w:rsidRDefault="0047581D" w:rsidP="0047581D">
      <w:pPr>
        <w:spacing w:before="0" w:after="0"/>
        <w:rPr>
          <w:b/>
          <w:szCs w:val="20"/>
        </w:rPr>
      </w:pPr>
    </w:p>
    <w:p w14:paraId="7CC937D8"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4E705A1F"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473E2C74"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373C4C23"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1F41A712"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34B3148A"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527B20C"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Yes (please provide details below)</w:t>
      </w:r>
    </w:p>
    <w:p w14:paraId="6EE64DE0"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No</w:t>
      </w:r>
    </w:p>
    <w:p w14:paraId="14466A36" w14:textId="77777777" w:rsidR="000A110D" w:rsidRDefault="000A110D" w:rsidP="00971EDB">
      <w:pPr>
        <w:spacing w:before="0" w:after="0"/>
        <w:rPr>
          <w:szCs w:val="20"/>
        </w:rPr>
      </w:pPr>
    </w:p>
    <w:p w14:paraId="6C655961"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r w:rsidRPr="00FA6A45">
        <w:rPr>
          <w:rFonts w:ascii="ff4" w:eastAsia="Times New Roman" w:hAnsi="ff4" w:cs="Times New Roman"/>
          <w:color w:val="231F20"/>
          <w:sz w:val="102"/>
          <w:szCs w:val="102"/>
          <w:lang w:eastAsia="en-AU"/>
        </w:rPr>
        <w:t>We report</w:t>
      </w:r>
    </w:p>
    <w:p w14:paraId="0722CE2F"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here</w:t>
      </w:r>
      <w:proofErr w:type="gramEnd"/>
      <w:r w:rsidRPr="00FA6A45">
        <w:rPr>
          <w:rFonts w:ascii="ff4" w:eastAsia="Times New Roman" w:hAnsi="ff4" w:cs="Times New Roman"/>
          <w:color w:val="231F20"/>
          <w:sz w:val="102"/>
          <w:szCs w:val="102"/>
          <w:lang w:eastAsia="en-AU"/>
        </w:rPr>
        <w:t xml:space="preserve"> the results of screening for LS in Western Australia (WA) during 1994–2012. Immunohistochemistry (IHC) for loss of</w:t>
      </w:r>
    </w:p>
    <w:p w14:paraId="5D4CA2EF"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r w:rsidRPr="00FA6A45">
        <w:rPr>
          <w:rFonts w:ascii="ff4" w:eastAsia="Times New Roman" w:hAnsi="ff4" w:cs="Times New Roman"/>
          <w:color w:val="231F20"/>
          <w:sz w:val="102"/>
          <w:szCs w:val="102"/>
          <w:lang w:eastAsia="en-AU"/>
        </w:rPr>
        <w:t>MMR protein expression was performed in routine pathology laboratories, while MSI was detected in a reference molecular</w:t>
      </w:r>
    </w:p>
    <w:p w14:paraId="60139E10"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pathology</w:t>
      </w:r>
      <w:proofErr w:type="gramEnd"/>
      <w:r w:rsidRPr="00FA6A45">
        <w:rPr>
          <w:rFonts w:ascii="ff4" w:eastAsia="Times New Roman" w:hAnsi="ff4" w:cs="Times New Roman"/>
          <w:color w:val="231F20"/>
          <w:sz w:val="102"/>
          <w:szCs w:val="102"/>
          <w:lang w:eastAsia="en-AU"/>
        </w:rPr>
        <w:t xml:space="preserve"> laboratory. Information on germline mutations in MMR genes was obtained from the state’s single familial cancer</w:t>
      </w:r>
    </w:p>
    <w:p w14:paraId="6BA3B396"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registry</w:t>
      </w:r>
      <w:proofErr w:type="gramEnd"/>
      <w:r w:rsidRPr="00FA6A45">
        <w:rPr>
          <w:rFonts w:ascii="ff4" w:eastAsia="Times New Roman" w:hAnsi="ff4" w:cs="Times New Roman"/>
          <w:color w:val="231F20"/>
          <w:sz w:val="102"/>
          <w:szCs w:val="102"/>
          <w:lang w:eastAsia="en-AU"/>
        </w:rPr>
        <w:t xml:space="preserve">. </w:t>
      </w:r>
    </w:p>
    <w:p w14:paraId="022D714A"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r w:rsidRPr="00FA6A45">
        <w:rPr>
          <w:rFonts w:ascii="ff4" w:eastAsia="Times New Roman" w:hAnsi="ff4" w:cs="Times New Roman"/>
          <w:color w:val="231F20"/>
          <w:sz w:val="102"/>
          <w:szCs w:val="102"/>
          <w:lang w:eastAsia="en-AU"/>
        </w:rPr>
        <w:t>We report</w:t>
      </w:r>
    </w:p>
    <w:p w14:paraId="245FD7A9"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here</w:t>
      </w:r>
      <w:proofErr w:type="gramEnd"/>
      <w:r w:rsidRPr="00FA6A45">
        <w:rPr>
          <w:rFonts w:ascii="ff4" w:eastAsia="Times New Roman" w:hAnsi="ff4" w:cs="Times New Roman"/>
          <w:color w:val="231F20"/>
          <w:sz w:val="102"/>
          <w:szCs w:val="102"/>
          <w:lang w:eastAsia="en-AU"/>
        </w:rPr>
        <w:t xml:space="preserve"> the results of screening for LS in Western Australia (WA) during 1994–2012. Immunohistochemistry (IHC) for loss of</w:t>
      </w:r>
    </w:p>
    <w:p w14:paraId="0BE13595"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r w:rsidRPr="00FA6A45">
        <w:rPr>
          <w:rFonts w:ascii="ff4" w:eastAsia="Times New Roman" w:hAnsi="ff4" w:cs="Times New Roman"/>
          <w:color w:val="231F20"/>
          <w:sz w:val="102"/>
          <w:szCs w:val="102"/>
          <w:lang w:eastAsia="en-AU"/>
        </w:rPr>
        <w:t>MMR protein expression was performed in routine pathology laboratories, while MSI was detected in a reference molecular</w:t>
      </w:r>
    </w:p>
    <w:p w14:paraId="59D14EAC"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pathology</w:t>
      </w:r>
      <w:proofErr w:type="gramEnd"/>
      <w:r w:rsidRPr="00FA6A45">
        <w:rPr>
          <w:rFonts w:ascii="ff4" w:eastAsia="Times New Roman" w:hAnsi="ff4" w:cs="Times New Roman"/>
          <w:color w:val="231F20"/>
          <w:sz w:val="102"/>
          <w:szCs w:val="102"/>
          <w:lang w:eastAsia="en-AU"/>
        </w:rPr>
        <w:t xml:space="preserve"> laboratory. Information on germline mutations in MMR genes was obtained from the state’s single familial cancer</w:t>
      </w:r>
    </w:p>
    <w:p w14:paraId="4DC40981" w14:textId="77777777" w:rsidR="00FA6A45" w:rsidRPr="00FA6A45" w:rsidRDefault="00FA6A45" w:rsidP="00FA6A45">
      <w:pPr>
        <w:shd w:val="clear" w:color="auto" w:fill="FFFFFF"/>
        <w:spacing w:before="0" w:after="0" w:line="0" w:lineRule="auto"/>
        <w:rPr>
          <w:rFonts w:ascii="ff4" w:eastAsia="Times New Roman" w:hAnsi="ff4" w:cs="Times New Roman"/>
          <w:color w:val="231F20"/>
          <w:sz w:val="102"/>
          <w:szCs w:val="102"/>
          <w:lang w:eastAsia="en-AU"/>
        </w:rPr>
      </w:pPr>
      <w:proofErr w:type="gramStart"/>
      <w:r w:rsidRPr="00FA6A45">
        <w:rPr>
          <w:rFonts w:ascii="ff4" w:eastAsia="Times New Roman" w:hAnsi="ff4" w:cs="Times New Roman"/>
          <w:color w:val="231F20"/>
          <w:sz w:val="102"/>
          <w:szCs w:val="102"/>
          <w:lang w:eastAsia="en-AU"/>
        </w:rPr>
        <w:t>registry</w:t>
      </w:r>
      <w:proofErr w:type="gramEnd"/>
      <w:r w:rsidRPr="00FA6A45">
        <w:rPr>
          <w:rFonts w:ascii="ff4" w:eastAsia="Times New Roman" w:hAnsi="ff4" w:cs="Times New Roman"/>
          <w:color w:val="231F20"/>
          <w:sz w:val="102"/>
          <w:szCs w:val="102"/>
          <w:lang w:eastAsia="en-AU"/>
        </w:rPr>
        <w:t xml:space="preserve">. </w:t>
      </w:r>
    </w:p>
    <w:p w14:paraId="74AD7EB7"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3EE31F0D"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2A2B1735"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52260BCB" w14:textId="77777777" w:rsidR="00F83A9D" w:rsidRPr="00154B00" w:rsidRDefault="00F83A9D" w:rsidP="00F83A9D">
      <w:pPr>
        <w:rPr>
          <w:szCs w:val="20"/>
        </w:rPr>
      </w:pPr>
    </w:p>
    <w:p w14:paraId="189F45C9"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3144FE19"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3ED4C2E6"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1"/>
        <w:gridCol w:w="1352"/>
        <w:gridCol w:w="2276"/>
        <w:gridCol w:w="2954"/>
        <w:gridCol w:w="5587"/>
        <w:gridCol w:w="1534"/>
      </w:tblGrid>
      <w:tr w:rsidR="00D00705" w14:paraId="3FCED7C6" w14:textId="77777777" w:rsidTr="00EF1504">
        <w:trPr>
          <w:cantSplit/>
          <w:tblHeader/>
        </w:trPr>
        <w:tc>
          <w:tcPr>
            <w:tcW w:w="166" w:type="pct"/>
          </w:tcPr>
          <w:p w14:paraId="0345C5C7" w14:textId="77777777" w:rsidR="00DD308E" w:rsidRDefault="00DD308E" w:rsidP="00855944">
            <w:pPr>
              <w:pStyle w:val="TableHEADER"/>
            </w:pPr>
          </w:p>
        </w:tc>
        <w:tc>
          <w:tcPr>
            <w:tcW w:w="477" w:type="pct"/>
          </w:tcPr>
          <w:p w14:paraId="26C11D11" w14:textId="77777777" w:rsidR="00DD308E" w:rsidRDefault="00DD308E" w:rsidP="00855944">
            <w:pPr>
              <w:pStyle w:val="TableHEADER"/>
            </w:pPr>
            <w:r>
              <w:t>Type of study design*</w:t>
            </w:r>
          </w:p>
        </w:tc>
        <w:tc>
          <w:tcPr>
            <w:tcW w:w="803" w:type="pct"/>
          </w:tcPr>
          <w:p w14:paraId="5984CA60" w14:textId="77777777" w:rsidR="00DD308E" w:rsidRDefault="00DD308E" w:rsidP="00855944">
            <w:pPr>
              <w:pStyle w:val="TableHEADER"/>
            </w:pPr>
            <w:r>
              <w:t>Title of journal article  or research project (including any trial identifier or study lead if relevant)</w:t>
            </w:r>
          </w:p>
        </w:tc>
        <w:tc>
          <w:tcPr>
            <w:tcW w:w="1042" w:type="pct"/>
          </w:tcPr>
          <w:p w14:paraId="5654B45E" w14:textId="77777777" w:rsidR="00DD308E" w:rsidRDefault="00DD308E" w:rsidP="00855944">
            <w:pPr>
              <w:pStyle w:val="TableHEADER"/>
            </w:pPr>
            <w:r>
              <w:t>Short description of research  (max 50 words)**</w:t>
            </w:r>
          </w:p>
        </w:tc>
        <w:tc>
          <w:tcPr>
            <w:tcW w:w="1971" w:type="pct"/>
          </w:tcPr>
          <w:p w14:paraId="0A985EC8" w14:textId="77777777" w:rsidR="00DD308E" w:rsidRDefault="00DD308E" w:rsidP="00855944">
            <w:pPr>
              <w:pStyle w:val="TableHEADER"/>
            </w:pPr>
            <w:r w:rsidRPr="00E82F54">
              <w:t xml:space="preserve">Website link to </w:t>
            </w:r>
            <w:r>
              <w:t>journal article or research (if available)</w:t>
            </w:r>
          </w:p>
        </w:tc>
        <w:tc>
          <w:tcPr>
            <w:tcW w:w="541" w:type="pct"/>
          </w:tcPr>
          <w:p w14:paraId="1278CFF6" w14:textId="77777777" w:rsidR="00DD308E" w:rsidRDefault="00DD308E" w:rsidP="00855944">
            <w:pPr>
              <w:pStyle w:val="TableHEADER"/>
            </w:pPr>
            <w:r w:rsidRPr="00E82F54">
              <w:t>Date</w:t>
            </w:r>
            <w:r>
              <w:t xml:space="preserve"> of publication</w:t>
            </w:r>
            <w:r w:rsidRPr="00E82F54">
              <w:t>*</w:t>
            </w:r>
            <w:r>
              <w:t>**</w:t>
            </w:r>
          </w:p>
        </w:tc>
      </w:tr>
      <w:tr w:rsidR="00EF1504" w14:paraId="0C7D3911" w14:textId="77777777" w:rsidTr="00EF1504">
        <w:trPr>
          <w:cantSplit/>
        </w:trPr>
        <w:tc>
          <w:tcPr>
            <w:tcW w:w="166" w:type="pct"/>
          </w:tcPr>
          <w:p w14:paraId="7D38A4BD" w14:textId="222A6CFF" w:rsidR="00EF1504" w:rsidRPr="00965B6B" w:rsidRDefault="00EF1504" w:rsidP="00DD308E">
            <w:pPr>
              <w:rPr>
                <w:szCs w:val="20"/>
              </w:rPr>
            </w:pPr>
          </w:p>
        </w:tc>
        <w:tc>
          <w:tcPr>
            <w:tcW w:w="477" w:type="pct"/>
          </w:tcPr>
          <w:p w14:paraId="0114D063" w14:textId="77777777" w:rsidR="00EF1504" w:rsidRDefault="00EF1504" w:rsidP="00DD308E">
            <w:pPr>
              <w:rPr>
                <w:b/>
                <w:szCs w:val="20"/>
              </w:rPr>
            </w:pPr>
            <w:r>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instrText xml:space="preserve"> FORMTEXT </w:instrText>
            </w:r>
            <w:r>
              <w:fldChar w:fldCharType="separate"/>
            </w:r>
            <w:r>
              <w:rPr>
                <w:noProof/>
              </w:rPr>
              <w:t>For each key journal article or published research relating to your proposed service,  insert the type of study design in this column and columns below</w:t>
            </w:r>
            <w:r>
              <w:fldChar w:fldCharType="end"/>
            </w:r>
          </w:p>
        </w:tc>
        <w:tc>
          <w:tcPr>
            <w:tcW w:w="803" w:type="pct"/>
          </w:tcPr>
          <w:p w14:paraId="168B24D5" w14:textId="77777777" w:rsidR="00EF1504" w:rsidRPr="00765D97" w:rsidRDefault="00EF1504" w:rsidP="00DD308E">
            <w:r>
              <w:t>Genetic testing for hereditary mutations in the mismatch repairs genes (MMR genes)</w:t>
            </w:r>
          </w:p>
        </w:tc>
        <w:tc>
          <w:tcPr>
            <w:tcW w:w="1042" w:type="pct"/>
          </w:tcPr>
          <w:p w14:paraId="7310C210" w14:textId="77777777" w:rsidR="00EF1504" w:rsidRDefault="00EF1504" w:rsidP="00DD308E">
            <w:pPr>
              <w:rPr>
                <w:b/>
                <w:szCs w:val="20"/>
              </w:rPr>
            </w:pPr>
            <w:r>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instrText xml:space="preserve"> FORMTEXT </w:instrText>
            </w:r>
            <w:r>
              <w:fldChar w:fldCharType="separate"/>
            </w:r>
            <w:r>
              <w:rPr>
                <w:noProof/>
              </w:rPr>
              <w:t>For each key journal article or published research relating to your proposed service,  insert a short description of research in this column and columns below</w:t>
            </w:r>
            <w:r>
              <w:fldChar w:fldCharType="end"/>
            </w:r>
          </w:p>
        </w:tc>
        <w:tc>
          <w:tcPr>
            <w:tcW w:w="1971" w:type="pct"/>
          </w:tcPr>
          <w:p w14:paraId="64F1DE7A" w14:textId="77777777" w:rsidR="00EF1504" w:rsidRPr="00E82F54" w:rsidRDefault="00EF1504" w:rsidP="00DD308E">
            <w:pPr>
              <w:rPr>
                <w:b/>
                <w:szCs w:val="20"/>
              </w:rPr>
            </w:pPr>
          </w:p>
        </w:tc>
        <w:tc>
          <w:tcPr>
            <w:tcW w:w="541" w:type="pct"/>
          </w:tcPr>
          <w:p w14:paraId="2DF0DDE4" w14:textId="77777777" w:rsidR="00EF1504" w:rsidRPr="00E82F54" w:rsidRDefault="00EF1504" w:rsidP="00DD308E">
            <w:pPr>
              <w:rPr>
                <w:b/>
                <w:szCs w:val="20"/>
              </w:rPr>
            </w:pPr>
            <w:r>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instrText xml:space="preserve"> FORMTEXT </w:instrText>
            </w:r>
            <w:r>
              <w:fldChar w:fldCharType="separate"/>
            </w:r>
            <w:r>
              <w:rPr>
                <w:noProof/>
              </w:rPr>
              <w:t>For each key journal article or published research relating to your proposed service,  insert the date of publication in this column and columns below</w:t>
            </w:r>
            <w:r>
              <w:fldChar w:fldCharType="end"/>
            </w:r>
          </w:p>
        </w:tc>
      </w:tr>
      <w:tr w:rsidR="00EF1504" w14:paraId="136B49AD" w14:textId="77777777" w:rsidTr="00EF1504">
        <w:trPr>
          <w:cantSplit/>
        </w:trPr>
        <w:tc>
          <w:tcPr>
            <w:tcW w:w="166" w:type="pct"/>
          </w:tcPr>
          <w:p w14:paraId="3B02EE5C" w14:textId="18DC35D2" w:rsidR="00EF1504" w:rsidRPr="00965B6B" w:rsidRDefault="00EF1504" w:rsidP="00DD308E">
            <w:pPr>
              <w:rPr>
                <w:szCs w:val="20"/>
              </w:rPr>
            </w:pPr>
            <w:r w:rsidRPr="00965B6B">
              <w:rPr>
                <w:szCs w:val="20"/>
              </w:rPr>
              <w:t>1</w:t>
            </w:r>
          </w:p>
        </w:tc>
        <w:tc>
          <w:tcPr>
            <w:tcW w:w="477" w:type="pct"/>
          </w:tcPr>
          <w:p w14:paraId="7A7F0733" w14:textId="72C23913" w:rsidR="00EF1504" w:rsidRDefault="00EF1504" w:rsidP="00DD308E">
            <w:pPr>
              <w:rPr>
                <w:b/>
                <w:szCs w:val="20"/>
              </w:rPr>
            </w:pPr>
            <w:r>
              <w:t>Clinical practice guidelines</w:t>
            </w:r>
          </w:p>
        </w:tc>
        <w:tc>
          <w:tcPr>
            <w:tcW w:w="803" w:type="pct"/>
          </w:tcPr>
          <w:p w14:paraId="7644302D" w14:textId="77777777" w:rsidR="00EF1504" w:rsidRPr="00765D97" w:rsidRDefault="00157C2A" w:rsidP="00DD308E">
            <w:hyperlink r:id="rId13" w:history="1">
              <w:r w:rsidR="00EF1504" w:rsidRPr="00765D97">
                <w:t>Genetic Testing for Heritable Mutations in the APC Gene</w:t>
              </w:r>
            </w:hyperlink>
          </w:p>
        </w:tc>
        <w:tc>
          <w:tcPr>
            <w:tcW w:w="1042" w:type="pct"/>
          </w:tcPr>
          <w:p w14:paraId="30F929E8" w14:textId="09CD9402" w:rsidR="00EF1504" w:rsidRDefault="00EF1504" w:rsidP="00DD308E">
            <w:pPr>
              <w:rPr>
                <w:b/>
                <w:szCs w:val="20"/>
              </w:rPr>
            </w:pPr>
            <w:r>
              <w:t>Clinical guidelines for the genetic testing for heritable mutations in the APC gene</w:t>
            </w:r>
          </w:p>
        </w:tc>
        <w:tc>
          <w:tcPr>
            <w:tcW w:w="1971" w:type="pct"/>
          </w:tcPr>
          <w:p w14:paraId="61C970FC" w14:textId="411B2052" w:rsidR="00EF1504" w:rsidRPr="00E82F54" w:rsidRDefault="00157C2A" w:rsidP="00DD308E">
            <w:pPr>
              <w:rPr>
                <w:b/>
                <w:szCs w:val="20"/>
              </w:rPr>
            </w:pPr>
            <w:hyperlink r:id="rId14" w:history="1">
              <w:proofErr w:type="spellStart"/>
              <w:r w:rsidR="00EF1504">
                <w:rPr>
                  <w:rStyle w:val="Hyperlink"/>
                  <w:szCs w:val="20"/>
                </w:rPr>
                <w:t>eviQ</w:t>
              </w:r>
              <w:proofErr w:type="spellEnd"/>
              <w:r w:rsidR="00EF1504">
                <w:rPr>
                  <w:rStyle w:val="Hyperlink"/>
                  <w:szCs w:val="20"/>
                </w:rPr>
                <w:t xml:space="preserve"> guidelines</w:t>
              </w:r>
            </w:hyperlink>
            <w:r w:rsidR="00EF1504">
              <w:rPr>
                <w:b/>
                <w:szCs w:val="20"/>
              </w:rPr>
              <w:t xml:space="preserve"> (requires user to register and create login, pdf available if preferred) </w:t>
            </w:r>
          </w:p>
        </w:tc>
        <w:tc>
          <w:tcPr>
            <w:tcW w:w="541" w:type="pct"/>
          </w:tcPr>
          <w:p w14:paraId="08006D3C" w14:textId="675FF5DC" w:rsidR="00EF1504" w:rsidRPr="00E82F54" w:rsidRDefault="00EF1504" w:rsidP="00DD308E">
            <w:pPr>
              <w:rPr>
                <w:b/>
                <w:szCs w:val="20"/>
              </w:rPr>
            </w:pPr>
            <w:r>
              <w:t>30 Sep 2015</w:t>
            </w:r>
          </w:p>
        </w:tc>
      </w:tr>
      <w:tr w:rsidR="00EF1504" w14:paraId="7C74C185" w14:textId="77777777" w:rsidTr="00EF1504">
        <w:trPr>
          <w:cantSplit/>
        </w:trPr>
        <w:tc>
          <w:tcPr>
            <w:tcW w:w="166" w:type="pct"/>
          </w:tcPr>
          <w:p w14:paraId="15F63224" w14:textId="2C2866AB" w:rsidR="00EF1504" w:rsidRPr="00965B6B" w:rsidRDefault="00EF1504" w:rsidP="00DD308E">
            <w:pPr>
              <w:rPr>
                <w:szCs w:val="20"/>
              </w:rPr>
            </w:pPr>
            <w:r>
              <w:rPr>
                <w:szCs w:val="20"/>
              </w:rPr>
              <w:lastRenderedPageBreak/>
              <w:t>2.</w:t>
            </w:r>
          </w:p>
        </w:tc>
        <w:tc>
          <w:tcPr>
            <w:tcW w:w="477" w:type="pct"/>
          </w:tcPr>
          <w:p w14:paraId="20EE3CB6" w14:textId="4671B745" w:rsidR="00EF1504" w:rsidRDefault="00EF1504" w:rsidP="00DD308E">
            <w:pPr>
              <w:rPr>
                <w:b/>
                <w:szCs w:val="20"/>
              </w:rPr>
            </w:pPr>
            <w:r>
              <w:t>Clinical practice guidelines</w:t>
            </w:r>
          </w:p>
        </w:tc>
        <w:tc>
          <w:tcPr>
            <w:tcW w:w="803" w:type="pct"/>
          </w:tcPr>
          <w:p w14:paraId="6E9BDD58" w14:textId="77777777" w:rsidR="00EF1504" w:rsidRDefault="00EF1504" w:rsidP="00DD308E">
            <w:pPr>
              <w:rPr>
                <w:b/>
                <w:szCs w:val="20"/>
              </w:rPr>
            </w:pPr>
            <w:r w:rsidRPr="00C05833">
              <w:t xml:space="preserve">Identification of individuals at risk for Lynch syndrome using targeted evaluations and genetic testing: National Society of Genetic </w:t>
            </w:r>
            <w:proofErr w:type="spellStart"/>
            <w:r w:rsidRPr="00C05833">
              <w:t>Counselors</w:t>
            </w:r>
            <w:proofErr w:type="spellEnd"/>
            <w:r w:rsidRPr="00C05833">
              <w:t xml:space="preserve"> and the Collaborative Group of the Americas on Inherited Colorectal Cancer joint practice guideline</w:t>
            </w:r>
          </w:p>
        </w:tc>
        <w:tc>
          <w:tcPr>
            <w:tcW w:w="1042" w:type="pct"/>
          </w:tcPr>
          <w:p w14:paraId="6C8760E4" w14:textId="4134CAA3" w:rsidR="00EF1504" w:rsidRPr="00C061B9" w:rsidRDefault="00EF1504" w:rsidP="00DD308E">
            <w:r>
              <w:t>Guidelines for clinicians for the evaluation of patients for Lynch Syndrome</w:t>
            </w:r>
          </w:p>
        </w:tc>
        <w:tc>
          <w:tcPr>
            <w:tcW w:w="1971" w:type="pct"/>
          </w:tcPr>
          <w:p w14:paraId="209D08A3" w14:textId="77777777" w:rsidR="00EF1504" w:rsidRPr="00E82F54" w:rsidRDefault="00157C2A" w:rsidP="00DD308E">
            <w:pPr>
              <w:rPr>
                <w:b/>
                <w:szCs w:val="20"/>
              </w:rPr>
            </w:pPr>
            <w:hyperlink r:id="rId15" w:history="1">
              <w:r w:rsidR="00EF1504" w:rsidRPr="00067349">
                <w:rPr>
                  <w:rStyle w:val="Hyperlink"/>
                </w:rPr>
                <w:t xml:space="preserve">J Genet </w:t>
              </w:r>
              <w:proofErr w:type="spellStart"/>
              <w:r w:rsidR="00EF1504" w:rsidRPr="00067349">
                <w:rPr>
                  <w:rStyle w:val="Hyperlink"/>
                </w:rPr>
                <w:t>Couns</w:t>
              </w:r>
              <w:proofErr w:type="spellEnd"/>
              <w:r w:rsidR="00EF1504" w:rsidRPr="00067349">
                <w:rPr>
                  <w:rStyle w:val="Hyperlink"/>
                </w:rPr>
                <w:t>. 2012</w:t>
              </w:r>
              <w:proofErr w:type="gramStart"/>
              <w:r w:rsidR="00EF1504" w:rsidRPr="00067349">
                <w:rPr>
                  <w:rStyle w:val="Hyperlink"/>
                </w:rPr>
                <w:t>;21</w:t>
              </w:r>
              <w:proofErr w:type="gramEnd"/>
              <w:r w:rsidR="00EF1504" w:rsidRPr="00067349">
                <w:rPr>
                  <w:rStyle w:val="Hyperlink"/>
                </w:rPr>
                <w:t>(4):484-493</w:t>
              </w:r>
            </w:hyperlink>
            <w:r w:rsidR="00EF1504">
              <w:t>.</w:t>
            </w:r>
          </w:p>
        </w:tc>
        <w:tc>
          <w:tcPr>
            <w:tcW w:w="541" w:type="pct"/>
          </w:tcPr>
          <w:p w14:paraId="436107CB" w14:textId="5C29AAD9" w:rsidR="00EF1504" w:rsidRPr="009C5751" w:rsidRDefault="00EF1504" w:rsidP="00DD308E">
            <w:r>
              <w:t>Aug</w:t>
            </w:r>
            <w:r w:rsidRPr="009C5751">
              <w:t xml:space="preserve"> 2012</w:t>
            </w:r>
          </w:p>
        </w:tc>
      </w:tr>
      <w:tr w:rsidR="00EF1504" w14:paraId="45FB1113" w14:textId="77777777" w:rsidTr="00EF1504">
        <w:trPr>
          <w:cantSplit/>
        </w:trPr>
        <w:tc>
          <w:tcPr>
            <w:tcW w:w="166" w:type="pct"/>
          </w:tcPr>
          <w:p w14:paraId="26311629" w14:textId="46308529" w:rsidR="00EF1504" w:rsidRPr="00965B6B" w:rsidRDefault="00EF1504" w:rsidP="00DD308E">
            <w:pPr>
              <w:rPr>
                <w:szCs w:val="20"/>
              </w:rPr>
            </w:pPr>
            <w:r>
              <w:rPr>
                <w:szCs w:val="20"/>
              </w:rPr>
              <w:t>3.</w:t>
            </w:r>
          </w:p>
        </w:tc>
        <w:tc>
          <w:tcPr>
            <w:tcW w:w="477" w:type="pct"/>
          </w:tcPr>
          <w:p w14:paraId="442BECB3" w14:textId="634A5098" w:rsidR="00EF1504" w:rsidRDefault="00EF1504" w:rsidP="00DD308E">
            <w:pPr>
              <w:rPr>
                <w:b/>
                <w:szCs w:val="20"/>
              </w:rPr>
            </w:pPr>
            <w:r>
              <w:t>Study of diagnostic accuracy</w:t>
            </w:r>
          </w:p>
        </w:tc>
        <w:tc>
          <w:tcPr>
            <w:tcW w:w="803" w:type="pct"/>
          </w:tcPr>
          <w:p w14:paraId="642465A4" w14:textId="1FDABC72" w:rsidR="00EF1504" w:rsidRPr="00C061B9" w:rsidRDefault="00EF1504" w:rsidP="00C061B9">
            <w:proofErr w:type="spellStart"/>
            <w:r w:rsidRPr="00C061B9">
              <w:t>Tumor</w:t>
            </w:r>
            <w:proofErr w:type="spellEnd"/>
            <w:r w:rsidRPr="00C061B9">
              <w:t xml:space="preserve"> Mismatch Repair Immunohistochemistry and DNA </w:t>
            </w:r>
            <w:r w:rsidRPr="00C061B9">
              <w:rPr>
                <w:i/>
                <w:iCs/>
              </w:rPr>
              <w:t>MLH1</w:t>
            </w:r>
            <w:r>
              <w:rPr>
                <w:i/>
                <w:iCs/>
              </w:rPr>
              <w:t xml:space="preserve"> </w:t>
            </w:r>
            <w:r w:rsidRPr="00C061B9">
              <w:t>Methylation Testing of Patients With Endometrial Cancer Diagnosed at Age Younger Than 60 Years Optimizes Triage for Population-Level Germline Mismatch Repair Gene Mutation Testing</w:t>
            </w:r>
          </w:p>
        </w:tc>
        <w:tc>
          <w:tcPr>
            <w:tcW w:w="1042" w:type="pct"/>
          </w:tcPr>
          <w:p w14:paraId="635C43E1" w14:textId="3148B917" w:rsidR="00EF1504" w:rsidRPr="00880BF7" w:rsidRDefault="00EF1504" w:rsidP="00DD308E">
            <w:pPr>
              <w:rPr>
                <w:szCs w:val="20"/>
              </w:rPr>
            </w:pPr>
            <w:r w:rsidRPr="00880BF7">
              <w:rPr>
                <w:szCs w:val="20"/>
              </w:rPr>
              <w:t>Endometrial cancers from 702 patients recruited into the Australian National Endometrial Cancer Study (ANECS) were tested for MMR protein expression using immunohistochemistry (IHC) and for MLH1 gene promoter methylation in MLH1-deficient cases</w:t>
            </w:r>
            <w:r>
              <w:rPr>
                <w:szCs w:val="20"/>
              </w:rPr>
              <w:t xml:space="preserve">. </w:t>
            </w:r>
          </w:p>
        </w:tc>
        <w:tc>
          <w:tcPr>
            <w:tcW w:w="1971" w:type="pct"/>
          </w:tcPr>
          <w:p w14:paraId="65A4FFE1" w14:textId="77777777" w:rsidR="00EF1504" w:rsidRPr="00E82F54" w:rsidRDefault="00157C2A" w:rsidP="00DD308E">
            <w:pPr>
              <w:rPr>
                <w:b/>
                <w:szCs w:val="20"/>
              </w:rPr>
            </w:pPr>
            <w:hyperlink r:id="rId16" w:history="1">
              <w:r w:rsidR="00EF1504" w:rsidRPr="00067349">
                <w:rPr>
                  <w:rStyle w:val="Hyperlink"/>
                </w:rPr>
                <w:t xml:space="preserve">J </w:t>
              </w:r>
              <w:proofErr w:type="spellStart"/>
              <w:r w:rsidR="00EF1504" w:rsidRPr="00067349">
                <w:rPr>
                  <w:rStyle w:val="Hyperlink"/>
                </w:rPr>
                <w:t>Clin</w:t>
              </w:r>
              <w:proofErr w:type="spellEnd"/>
              <w:r w:rsidR="00EF1504" w:rsidRPr="00067349">
                <w:rPr>
                  <w:rStyle w:val="Hyperlink"/>
                </w:rPr>
                <w:t xml:space="preserve"> </w:t>
              </w:r>
              <w:proofErr w:type="spellStart"/>
              <w:r w:rsidR="00EF1504" w:rsidRPr="00067349">
                <w:rPr>
                  <w:rStyle w:val="Hyperlink"/>
                </w:rPr>
                <w:t>Oncol</w:t>
              </w:r>
              <w:proofErr w:type="spellEnd"/>
              <w:r w:rsidR="00EF1504" w:rsidRPr="00067349">
                <w:rPr>
                  <w:rStyle w:val="Hyperlink"/>
                </w:rPr>
                <w:t xml:space="preserve"> 2014</w:t>
              </w:r>
              <w:proofErr w:type="gramStart"/>
              <w:r w:rsidR="00EF1504" w:rsidRPr="00067349">
                <w:rPr>
                  <w:rStyle w:val="Hyperlink"/>
                </w:rPr>
                <w:t>;32</w:t>
              </w:r>
              <w:proofErr w:type="gramEnd"/>
              <w:r w:rsidR="00EF1504" w:rsidRPr="00067349">
                <w:rPr>
                  <w:rStyle w:val="Hyperlink"/>
                </w:rPr>
                <w:t>(2):90-100</w:t>
              </w:r>
            </w:hyperlink>
            <w:r w:rsidR="00EF1504">
              <w:t>.</w:t>
            </w:r>
          </w:p>
        </w:tc>
        <w:tc>
          <w:tcPr>
            <w:tcW w:w="541" w:type="pct"/>
          </w:tcPr>
          <w:p w14:paraId="05F93F39" w14:textId="600D7082" w:rsidR="00EF1504" w:rsidRPr="00E82F54" w:rsidRDefault="00EF1504" w:rsidP="00DD308E">
            <w:pPr>
              <w:rPr>
                <w:b/>
                <w:szCs w:val="20"/>
              </w:rPr>
            </w:pPr>
            <w:r>
              <w:t>Jan 2014</w:t>
            </w:r>
          </w:p>
        </w:tc>
      </w:tr>
      <w:tr w:rsidR="00EF1504" w14:paraId="2B1D2CCC" w14:textId="77777777" w:rsidTr="00EF1504">
        <w:trPr>
          <w:cantSplit/>
        </w:trPr>
        <w:tc>
          <w:tcPr>
            <w:tcW w:w="166" w:type="pct"/>
          </w:tcPr>
          <w:p w14:paraId="4BCAD58D" w14:textId="6D5A21F7" w:rsidR="00EF1504" w:rsidRPr="00965B6B" w:rsidRDefault="00EF1504" w:rsidP="00DD308E">
            <w:pPr>
              <w:rPr>
                <w:szCs w:val="20"/>
              </w:rPr>
            </w:pPr>
            <w:r>
              <w:rPr>
                <w:szCs w:val="20"/>
              </w:rPr>
              <w:lastRenderedPageBreak/>
              <w:t>4.</w:t>
            </w:r>
          </w:p>
        </w:tc>
        <w:tc>
          <w:tcPr>
            <w:tcW w:w="477" w:type="pct"/>
          </w:tcPr>
          <w:p w14:paraId="3F6F5F49" w14:textId="22A3885F" w:rsidR="00EF1504" w:rsidRDefault="00EF1504" w:rsidP="00DD308E">
            <w:pPr>
              <w:rPr>
                <w:b/>
                <w:szCs w:val="20"/>
              </w:rPr>
            </w:pPr>
            <w:r>
              <w:t>Clinical practice guidelines</w:t>
            </w:r>
          </w:p>
        </w:tc>
        <w:tc>
          <w:tcPr>
            <w:tcW w:w="803" w:type="pct"/>
          </w:tcPr>
          <w:p w14:paraId="2EA73DED" w14:textId="77777777" w:rsidR="00EF1504" w:rsidRPr="00C061B9" w:rsidRDefault="00EF1504" w:rsidP="00DD308E">
            <w:r w:rsidRPr="00C061B9">
              <w:t>Molecular testing strategies for Lynch syndrome in people with colorectal cancer</w:t>
            </w:r>
          </w:p>
        </w:tc>
        <w:tc>
          <w:tcPr>
            <w:tcW w:w="1042" w:type="pct"/>
          </w:tcPr>
          <w:p w14:paraId="60FF6EBC" w14:textId="0EE4F88D" w:rsidR="00EF1504" w:rsidRPr="00C061B9" w:rsidRDefault="00EF1504" w:rsidP="00C061B9">
            <w:r>
              <w:t>Clinical practice guidelines for molecular testing strategies for Lynch syndrome</w:t>
            </w:r>
          </w:p>
        </w:tc>
        <w:tc>
          <w:tcPr>
            <w:tcW w:w="1971" w:type="pct"/>
          </w:tcPr>
          <w:p w14:paraId="424800A2" w14:textId="7BB6D10C" w:rsidR="00EF1504" w:rsidRPr="00C061B9" w:rsidRDefault="00157C2A" w:rsidP="00DD308E">
            <w:hyperlink r:id="rId17" w:tooltip="Link to NICE webpage" w:history="1">
              <w:r w:rsidR="00EF1504" w:rsidRPr="007A5D4F">
                <w:rPr>
                  <w:rStyle w:val="Hyperlink"/>
                </w:rPr>
                <w:t>https://www.nice.org.uk/guidance/dg27/history</w:t>
              </w:r>
            </w:hyperlink>
            <w:r w:rsidR="00EF1504">
              <w:t xml:space="preserve"> </w:t>
            </w:r>
          </w:p>
        </w:tc>
        <w:tc>
          <w:tcPr>
            <w:tcW w:w="541" w:type="pct"/>
          </w:tcPr>
          <w:p w14:paraId="5F4D14A0" w14:textId="7C9E49A8" w:rsidR="00EF1504" w:rsidRPr="00587B04" w:rsidRDefault="00EF1504" w:rsidP="00C061B9">
            <w:r>
              <w:t>Feb</w:t>
            </w:r>
            <w:r w:rsidRPr="00587B04">
              <w:t xml:space="preserve"> 2017</w:t>
            </w:r>
          </w:p>
        </w:tc>
      </w:tr>
      <w:tr w:rsidR="00EF1504" w14:paraId="6B3E264A" w14:textId="77777777" w:rsidTr="00EF1504">
        <w:trPr>
          <w:cantSplit/>
        </w:trPr>
        <w:tc>
          <w:tcPr>
            <w:tcW w:w="166" w:type="pct"/>
          </w:tcPr>
          <w:p w14:paraId="194C4C74" w14:textId="6B3701DE" w:rsidR="00EF1504" w:rsidRDefault="00EF1504" w:rsidP="00DD308E">
            <w:pPr>
              <w:rPr>
                <w:szCs w:val="20"/>
              </w:rPr>
            </w:pPr>
            <w:r>
              <w:rPr>
                <w:szCs w:val="20"/>
              </w:rPr>
              <w:t>5.</w:t>
            </w:r>
          </w:p>
        </w:tc>
        <w:tc>
          <w:tcPr>
            <w:tcW w:w="477" w:type="pct"/>
          </w:tcPr>
          <w:p w14:paraId="1F1DB66A" w14:textId="626831B8" w:rsidR="00EF1504" w:rsidRDefault="00EF1504" w:rsidP="00DD308E">
            <w:pPr>
              <w:rPr>
                <w:b/>
                <w:szCs w:val="20"/>
              </w:rPr>
            </w:pPr>
            <w:r>
              <w:t>Study of diagnostic accuracy</w:t>
            </w:r>
          </w:p>
        </w:tc>
        <w:tc>
          <w:tcPr>
            <w:tcW w:w="803" w:type="pct"/>
          </w:tcPr>
          <w:p w14:paraId="51EBC3CB" w14:textId="77777777" w:rsidR="00EF1504" w:rsidRPr="00C061B9" w:rsidRDefault="00EF1504" w:rsidP="00DD308E">
            <w:r w:rsidRPr="00C061B9">
              <w:t>Population-based screening for Lynch Syndrome in Western Australia</w:t>
            </w:r>
          </w:p>
        </w:tc>
        <w:tc>
          <w:tcPr>
            <w:tcW w:w="1042" w:type="pct"/>
          </w:tcPr>
          <w:p w14:paraId="5CC320EE" w14:textId="5377FF29" w:rsidR="00EF1504" w:rsidRPr="0083680B" w:rsidRDefault="00EF1504" w:rsidP="00FA6A45">
            <w:pPr>
              <w:rPr>
                <w:szCs w:val="20"/>
              </w:rPr>
            </w:pPr>
            <w:r>
              <w:rPr>
                <w:szCs w:val="20"/>
              </w:rPr>
              <w:t>R</w:t>
            </w:r>
            <w:r w:rsidRPr="0083680B">
              <w:rPr>
                <w:szCs w:val="20"/>
              </w:rPr>
              <w:t>esults of screening for LS in Western Australia (WA) during 1994-2012.</w:t>
            </w:r>
          </w:p>
        </w:tc>
        <w:tc>
          <w:tcPr>
            <w:tcW w:w="1971" w:type="pct"/>
          </w:tcPr>
          <w:p w14:paraId="44D330AA" w14:textId="5007330D" w:rsidR="00EF1504" w:rsidRPr="00E82F54" w:rsidRDefault="00157C2A" w:rsidP="00DD308E">
            <w:pPr>
              <w:rPr>
                <w:b/>
                <w:szCs w:val="20"/>
              </w:rPr>
            </w:pPr>
            <w:hyperlink r:id="rId18" w:history="1">
              <w:proofErr w:type="spellStart"/>
              <w:r w:rsidR="00EF1504" w:rsidRPr="0092080A">
                <w:rPr>
                  <w:rStyle w:val="Hyperlink"/>
                  <w:rFonts w:ascii="Segoe UI" w:hAnsi="Segoe UI" w:cs="Segoe UI"/>
                  <w:sz w:val="18"/>
                  <w:szCs w:val="18"/>
                </w:rPr>
                <w:t>Int</w:t>
              </w:r>
              <w:proofErr w:type="spellEnd"/>
              <w:r w:rsidR="00EF1504" w:rsidRPr="0092080A">
                <w:rPr>
                  <w:rStyle w:val="Hyperlink"/>
                  <w:rFonts w:ascii="Segoe UI" w:hAnsi="Segoe UI" w:cs="Segoe UI"/>
                  <w:sz w:val="18"/>
                  <w:szCs w:val="18"/>
                </w:rPr>
                <w:t xml:space="preserve"> J Cancer. 2014</w:t>
              </w:r>
              <w:proofErr w:type="gramStart"/>
              <w:r w:rsidR="00EF1504" w:rsidRPr="0092080A">
                <w:rPr>
                  <w:rStyle w:val="Hyperlink"/>
                  <w:rFonts w:ascii="Segoe UI" w:hAnsi="Segoe UI" w:cs="Segoe UI"/>
                  <w:sz w:val="18"/>
                  <w:szCs w:val="18"/>
                </w:rPr>
                <w:t>;135</w:t>
              </w:r>
              <w:proofErr w:type="gramEnd"/>
              <w:r w:rsidR="00EF1504" w:rsidRPr="0092080A">
                <w:rPr>
                  <w:rStyle w:val="Hyperlink"/>
                  <w:rFonts w:ascii="Segoe UI" w:hAnsi="Segoe UI" w:cs="Segoe UI"/>
                  <w:sz w:val="18"/>
                  <w:szCs w:val="18"/>
                </w:rPr>
                <w:t>(5):1085-91</w:t>
              </w:r>
            </w:hyperlink>
            <w:r w:rsidR="00EF1504">
              <w:rPr>
                <w:rFonts w:ascii="Segoe UI" w:hAnsi="Segoe UI" w:cs="Segoe UI"/>
                <w:sz w:val="18"/>
                <w:szCs w:val="18"/>
              </w:rPr>
              <w:t xml:space="preserve">. </w:t>
            </w:r>
          </w:p>
        </w:tc>
        <w:tc>
          <w:tcPr>
            <w:tcW w:w="541" w:type="pct"/>
          </w:tcPr>
          <w:p w14:paraId="74FEBA4E" w14:textId="01E0A656" w:rsidR="00EF1504" w:rsidRPr="00E82F54" w:rsidRDefault="00EF1504" w:rsidP="00DD308E">
            <w:pPr>
              <w:rPr>
                <w:b/>
                <w:szCs w:val="20"/>
              </w:rPr>
            </w:pPr>
            <w:r>
              <w:t>29 Jan 2014</w:t>
            </w:r>
          </w:p>
        </w:tc>
      </w:tr>
      <w:tr w:rsidR="00EF1504" w14:paraId="76ACB413" w14:textId="77777777" w:rsidTr="00EF1504">
        <w:trPr>
          <w:cantSplit/>
        </w:trPr>
        <w:tc>
          <w:tcPr>
            <w:tcW w:w="166" w:type="pct"/>
          </w:tcPr>
          <w:p w14:paraId="4A4FCAB6" w14:textId="5D359116" w:rsidR="00EF1504" w:rsidRDefault="00EF1504" w:rsidP="00DD308E">
            <w:pPr>
              <w:rPr>
                <w:szCs w:val="20"/>
              </w:rPr>
            </w:pPr>
            <w:r>
              <w:rPr>
                <w:szCs w:val="20"/>
              </w:rPr>
              <w:t>6.</w:t>
            </w:r>
          </w:p>
        </w:tc>
        <w:tc>
          <w:tcPr>
            <w:tcW w:w="477" w:type="pct"/>
          </w:tcPr>
          <w:p w14:paraId="72207C42" w14:textId="4040FCE1" w:rsidR="00EF1504" w:rsidRDefault="00EF1504" w:rsidP="00DD308E">
            <w:pPr>
              <w:rPr>
                <w:b/>
                <w:szCs w:val="20"/>
              </w:rPr>
            </w:pPr>
            <w:r>
              <w:t>Study of diagnostic accuracy</w:t>
            </w:r>
          </w:p>
        </w:tc>
        <w:tc>
          <w:tcPr>
            <w:tcW w:w="803" w:type="pct"/>
          </w:tcPr>
          <w:p w14:paraId="634BEF81" w14:textId="77777777" w:rsidR="00EF1504" w:rsidRDefault="00EF1504" w:rsidP="00DD308E">
            <w:pPr>
              <w:rPr>
                <w:b/>
                <w:szCs w:val="20"/>
              </w:rPr>
            </w:pPr>
            <w:r w:rsidRPr="00C05833">
              <w:t xml:space="preserve">Application of a 5-tiered scheme for standardized classification of 2,360 unique mismatch repair gene variants in the </w:t>
            </w:r>
            <w:proofErr w:type="spellStart"/>
            <w:r w:rsidRPr="00C05833">
              <w:t>InSiGHT</w:t>
            </w:r>
            <w:proofErr w:type="spellEnd"/>
            <w:r w:rsidRPr="00C05833">
              <w:t xml:space="preserve"> </w:t>
            </w:r>
            <w:r w:rsidRPr="00034157">
              <w:t>locus-specific database</w:t>
            </w:r>
          </w:p>
        </w:tc>
        <w:tc>
          <w:tcPr>
            <w:tcW w:w="1042" w:type="pct"/>
          </w:tcPr>
          <w:p w14:paraId="733007B2" w14:textId="1FDD32BD" w:rsidR="00EF1504" w:rsidRPr="0083680B" w:rsidRDefault="00EF1504" w:rsidP="00DD308E">
            <w:pPr>
              <w:rPr>
                <w:szCs w:val="20"/>
              </w:rPr>
            </w:pPr>
            <w:r w:rsidRPr="0083680B">
              <w:rPr>
                <w:szCs w:val="20"/>
              </w:rPr>
              <w:t>Collaborative study by International Society for Gastrointestinal Hereditary Tumours (</w:t>
            </w:r>
            <w:proofErr w:type="spellStart"/>
            <w:r w:rsidRPr="0083680B">
              <w:rPr>
                <w:szCs w:val="20"/>
              </w:rPr>
              <w:t>InSiGHT</w:t>
            </w:r>
            <w:proofErr w:type="spellEnd"/>
            <w:r w:rsidRPr="0083680B">
              <w:rPr>
                <w:szCs w:val="20"/>
              </w:rPr>
              <w:t>) to de</w:t>
            </w:r>
            <w:r>
              <w:rPr>
                <w:szCs w:val="20"/>
              </w:rPr>
              <w:t>velop a standardised classification scheme for LS associated genes.</w:t>
            </w:r>
          </w:p>
        </w:tc>
        <w:tc>
          <w:tcPr>
            <w:tcW w:w="1971" w:type="pct"/>
          </w:tcPr>
          <w:p w14:paraId="14A41DB8" w14:textId="37B78B01" w:rsidR="00EF1504" w:rsidRPr="00E82F54" w:rsidRDefault="00157C2A" w:rsidP="00DD308E">
            <w:pPr>
              <w:rPr>
                <w:b/>
                <w:szCs w:val="20"/>
              </w:rPr>
            </w:pPr>
            <w:hyperlink r:id="rId19" w:history="1">
              <w:r w:rsidR="00EF1504" w:rsidRPr="006B3D8E">
                <w:rPr>
                  <w:rStyle w:val="Hyperlink"/>
                  <w:rFonts w:ascii="Segoe UI" w:hAnsi="Segoe UI" w:cs="Segoe UI"/>
                  <w:sz w:val="18"/>
                  <w:szCs w:val="18"/>
                </w:rPr>
                <w:t>Nat Genet. 2014</w:t>
              </w:r>
              <w:proofErr w:type="gramStart"/>
              <w:r w:rsidR="00EF1504" w:rsidRPr="006B3D8E">
                <w:rPr>
                  <w:rStyle w:val="Hyperlink"/>
                  <w:rFonts w:ascii="Segoe UI" w:hAnsi="Segoe UI" w:cs="Segoe UI"/>
                  <w:sz w:val="18"/>
                  <w:szCs w:val="18"/>
                </w:rPr>
                <w:t>;46</w:t>
              </w:r>
              <w:proofErr w:type="gramEnd"/>
              <w:r w:rsidR="00EF1504" w:rsidRPr="006B3D8E">
                <w:rPr>
                  <w:rStyle w:val="Hyperlink"/>
                  <w:rFonts w:ascii="Segoe UI" w:hAnsi="Segoe UI" w:cs="Segoe UI"/>
                  <w:sz w:val="18"/>
                  <w:szCs w:val="18"/>
                </w:rPr>
                <w:t>(2):107-15</w:t>
              </w:r>
            </w:hyperlink>
            <w:r w:rsidR="00EF1504">
              <w:rPr>
                <w:rFonts w:ascii="Segoe UI" w:hAnsi="Segoe UI" w:cs="Segoe UI"/>
                <w:sz w:val="18"/>
                <w:szCs w:val="18"/>
              </w:rPr>
              <w:t xml:space="preserve">.  </w:t>
            </w:r>
          </w:p>
        </w:tc>
        <w:tc>
          <w:tcPr>
            <w:tcW w:w="541" w:type="pct"/>
          </w:tcPr>
          <w:p w14:paraId="7714DE9A" w14:textId="7DE0040F" w:rsidR="00EF1504" w:rsidRPr="00E82F54" w:rsidRDefault="00EF1504" w:rsidP="00DD308E">
            <w:pPr>
              <w:rPr>
                <w:b/>
                <w:szCs w:val="20"/>
              </w:rPr>
            </w:pPr>
            <w:r>
              <w:t>Feb 2014</w:t>
            </w:r>
          </w:p>
        </w:tc>
      </w:tr>
      <w:tr w:rsidR="00EF1504" w14:paraId="0B2738F8" w14:textId="77777777" w:rsidTr="00EF1504">
        <w:trPr>
          <w:cantSplit/>
        </w:trPr>
        <w:tc>
          <w:tcPr>
            <w:tcW w:w="166" w:type="pct"/>
          </w:tcPr>
          <w:p w14:paraId="5A85401A" w14:textId="4491EE47" w:rsidR="00EF1504" w:rsidRDefault="00EF1504" w:rsidP="00DD308E">
            <w:pPr>
              <w:rPr>
                <w:szCs w:val="20"/>
              </w:rPr>
            </w:pPr>
            <w:r>
              <w:rPr>
                <w:szCs w:val="20"/>
              </w:rPr>
              <w:t>7.</w:t>
            </w:r>
          </w:p>
        </w:tc>
        <w:tc>
          <w:tcPr>
            <w:tcW w:w="477" w:type="pct"/>
          </w:tcPr>
          <w:p w14:paraId="44F90162" w14:textId="315945E3" w:rsidR="00EF1504" w:rsidRDefault="00EF1504" w:rsidP="00DD308E">
            <w:pPr>
              <w:rPr>
                <w:b/>
                <w:szCs w:val="20"/>
              </w:rPr>
            </w:pPr>
            <w:r>
              <w:t>Literature review</w:t>
            </w:r>
          </w:p>
        </w:tc>
        <w:tc>
          <w:tcPr>
            <w:tcW w:w="803" w:type="pct"/>
          </w:tcPr>
          <w:p w14:paraId="1FB6E193" w14:textId="77777777" w:rsidR="00EF1504" w:rsidRDefault="00EF1504" w:rsidP="00FA6A45">
            <w:pPr>
              <w:rPr>
                <w:b/>
                <w:szCs w:val="20"/>
              </w:rPr>
            </w:pPr>
            <w:r>
              <w:t>Integrating personalised genomics into risk stratification models of population screening for colorectal cancer</w:t>
            </w:r>
          </w:p>
        </w:tc>
        <w:tc>
          <w:tcPr>
            <w:tcW w:w="1042" w:type="pct"/>
          </w:tcPr>
          <w:p w14:paraId="45F87721" w14:textId="7707B2F6" w:rsidR="00EF1504" w:rsidRPr="0083680B" w:rsidRDefault="00EF1504" w:rsidP="00DD308E">
            <w:pPr>
              <w:rPr>
                <w:szCs w:val="20"/>
              </w:rPr>
            </w:pPr>
            <w:r>
              <w:rPr>
                <w:szCs w:val="20"/>
              </w:rPr>
              <w:t>Review of literature relating to colorectal cancer including genetic risk stratification for CRC screening in younger individuals not included in the NBCSP.</w:t>
            </w:r>
          </w:p>
        </w:tc>
        <w:tc>
          <w:tcPr>
            <w:tcW w:w="1971" w:type="pct"/>
          </w:tcPr>
          <w:p w14:paraId="67FF05B4" w14:textId="7CA948EC" w:rsidR="00EF1504" w:rsidRPr="00E82F54" w:rsidRDefault="00157C2A" w:rsidP="00DD308E">
            <w:pPr>
              <w:rPr>
                <w:b/>
                <w:szCs w:val="20"/>
              </w:rPr>
            </w:pPr>
            <w:hyperlink r:id="rId20" w:history="1">
              <w:proofErr w:type="spellStart"/>
              <w:r w:rsidR="00EF1504" w:rsidRPr="00757A5B">
                <w:rPr>
                  <w:rStyle w:val="Hyperlink"/>
                  <w:rFonts w:ascii="Segoe UI" w:hAnsi="Segoe UI" w:cs="Segoe UI"/>
                  <w:sz w:val="18"/>
                  <w:szCs w:val="18"/>
                </w:rPr>
                <w:t>Aust</w:t>
              </w:r>
              <w:proofErr w:type="spellEnd"/>
              <w:r w:rsidR="00EF1504" w:rsidRPr="00757A5B">
                <w:rPr>
                  <w:rStyle w:val="Hyperlink"/>
                  <w:rFonts w:ascii="Segoe UI" w:hAnsi="Segoe UI" w:cs="Segoe UI"/>
                  <w:sz w:val="18"/>
                  <w:szCs w:val="18"/>
                </w:rPr>
                <w:t xml:space="preserve"> N Z J Public Health. 2017</w:t>
              </w:r>
              <w:proofErr w:type="gramStart"/>
              <w:r w:rsidR="00EF1504" w:rsidRPr="00757A5B">
                <w:rPr>
                  <w:rStyle w:val="Hyperlink"/>
                  <w:rFonts w:ascii="Segoe UI" w:hAnsi="Segoe UI" w:cs="Segoe UI"/>
                  <w:sz w:val="18"/>
                  <w:szCs w:val="18"/>
                </w:rPr>
                <w:t>;41</w:t>
              </w:r>
              <w:proofErr w:type="gramEnd"/>
              <w:r w:rsidR="00EF1504" w:rsidRPr="00757A5B">
                <w:rPr>
                  <w:rStyle w:val="Hyperlink"/>
                  <w:rFonts w:ascii="Segoe UI" w:hAnsi="Segoe UI" w:cs="Segoe UI"/>
                  <w:sz w:val="18"/>
                  <w:szCs w:val="18"/>
                </w:rPr>
                <w:t>(1):3-4.</w:t>
              </w:r>
            </w:hyperlink>
            <w:r w:rsidR="00EF1504">
              <w:rPr>
                <w:rFonts w:ascii="Segoe UI" w:hAnsi="Segoe UI" w:cs="Segoe UI"/>
                <w:sz w:val="18"/>
                <w:szCs w:val="18"/>
              </w:rPr>
              <w:t xml:space="preserve"> </w:t>
            </w:r>
          </w:p>
        </w:tc>
        <w:tc>
          <w:tcPr>
            <w:tcW w:w="541" w:type="pct"/>
          </w:tcPr>
          <w:p w14:paraId="3D8AA6A1" w14:textId="77777777" w:rsidR="00EF1504" w:rsidRPr="00E82F54" w:rsidRDefault="00EF1504" w:rsidP="00DD308E">
            <w:pPr>
              <w:rPr>
                <w:b/>
                <w:szCs w:val="20"/>
              </w:rPr>
            </w:pPr>
            <w:r>
              <w:t>2016</w:t>
            </w:r>
          </w:p>
        </w:tc>
      </w:tr>
      <w:tr w:rsidR="00EF1504" w14:paraId="65ED8F0F" w14:textId="77777777" w:rsidTr="00EF1504">
        <w:trPr>
          <w:cantSplit/>
        </w:trPr>
        <w:tc>
          <w:tcPr>
            <w:tcW w:w="166" w:type="pct"/>
          </w:tcPr>
          <w:p w14:paraId="7AC14AB2" w14:textId="138E2AA6" w:rsidR="00EF1504" w:rsidRDefault="00EF1504" w:rsidP="00757A5B">
            <w:pPr>
              <w:rPr>
                <w:szCs w:val="20"/>
              </w:rPr>
            </w:pPr>
            <w:r>
              <w:rPr>
                <w:szCs w:val="20"/>
              </w:rPr>
              <w:lastRenderedPageBreak/>
              <w:t>8.</w:t>
            </w:r>
          </w:p>
        </w:tc>
        <w:tc>
          <w:tcPr>
            <w:tcW w:w="477" w:type="pct"/>
          </w:tcPr>
          <w:p w14:paraId="645B8F3D" w14:textId="579875F9" w:rsidR="00EF1504" w:rsidRDefault="00EF1504" w:rsidP="00757A5B">
            <w:pPr>
              <w:rPr>
                <w:b/>
                <w:szCs w:val="20"/>
              </w:rPr>
            </w:pPr>
            <w:r>
              <w:t>Study of diagnostic accuracy</w:t>
            </w:r>
          </w:p>
        </w:tc>
        <w:tc>
          <w:tcPr>
            <w:tcW w:w="803" w:type="pct"/>
          </w:tcPr>
          <w:p w14:paraId="27930BAD" w14:textId="77777777" w:rsidR="00EF1504" w:rsidRPr="00FA6A45" w:rsidRDefault="00EF1504" w:rsidP="00757A5B">
            <w:r w:rsidRPr="00FA6A45">
              <w:t>Prevalence and Penetrance of Major Genes and Polygenes for Colorectal Cancer</w:t>
            </w:r>
          </w:p>
        </w:tc>
        <w:tc>
          <w:tcPr>
            <w:tcW w:w="1042" w:type="pct"/>
          </w:tcPr>
          <w:p w14:paraId="4F33B0A2" w14:textId="51784D47" w:rsidR="00EF1504" w:rsidRPr="0083680B" w:rsidRDefault="00EF1504" w:rsidP="00757A5B">
            <w:pPr>
              <w:rPr>
                <w:szCs w:val="20"/>
              </w:rPr>
            </w:pPr>
            <w:r>
              <w:t xml:space="preserve">Study of families of </w:t>
            </w:r>
            <w:r w:rsidRPr="00757A5B">
              <w:t>5,744 colorectal cancer cases (</w:t>
            </w:r>
            <w:proofErr w:type="spellStart"/>
            <w:r w:rsidRPr="00757A5B">
              <w:t>probands</w:t>
            </w:r>
            <w:proofErr w:type="spellEnd"/>
            <w:r w:rsidRPr="00757A5B">
              <w:t xml:space="preserve">) recruited from population cancer registries in the USA, Canada and Australia and screened </w:t>
            </w:r>
            <w:proofErr w:type="spellStart"/>
            <w:r w:rsidRPr="00757A5B">
              <w:t>probands</w:t>
            </w:r>
            <w:proofErr w:type="spellEnd"/>
            <w:r w:rsidRPr="00757A5B">
              <w:t xml:space="preserve"> for mutations in mismatch repair genes and MUTYH.</w:t>
            </w:r>
            <w:r>
              <w:t xml:space="preserve"> Results found that</w:t>
            </w:r>
            <w:r w:rsidRPr="00757A5B">
              <w:t xml:space="preserve"> 1 in 279 of the population carry mutations in mismatch repair genes (MLH1= 1 in 1946, MSH2= 1 in 2841, MSH6= 1 in 758, PMS2= 1 in 714), 1 in 45 carry mutations in MUTYH, and 1 in 504 carry mutations associated with an average 31-fold increased risk of colorectal cancer in unidentified major genes.</w:t>
            </w:r>
          </w:p>
        </w:tc>
        <w:tc>
          <w:tcPr>
            <w:tcW w:w="1971" w:type="pct"/>
          </w:tcPr>
          <w:p w14:paraId="0D0C06F4" w14:textId="31643E69" w:rsidR="00EF1504" w:rsidRPr="00E82F54" w:rsidRDefault="00157C2A" w:rsidP="00757A5B">
            <w:pPr>
              <w:rPr>
                <w:b/>
                <w:szCs w:val="20"/>
              </w:rPr>
            </w:pPr>
            <w:hyperlink r:id="rId21" w:history="1">
              <w:r w:rsidR="00EF1504" w:rsidRPr="00757A5B">
                <w:rPr>
                  <w:rStyle w:val="Hyperlink"/>
                  <w:rFonts w:ascii="Segoe UI" w:hAnsi="Segoe UI" w:cs="Segoe UI"/>
                  <w:sz w:val="18"/>
                  <w:szCs w:val="18"/>
                </w:rPr>
                <w:t xml:space="preserve">Cancer </w:t>
              </w:r>
              <w:proofErr w:type="spellStart"/>
              <w:r w:rsidR="00EF1504" w:rsidRPr="00757A5B">
                <w:rPr>
                  <w:rStyle w:val="Hyperlink"/>
                  <w:rFonts w:ascii="Segoe UI" w:hAnsi="Segoe UI" w:cs="Segoe UI"/>
                  <w:sz w:val="18"/>
                  <w:szCs w:val="18"/>
                </w:rPr>
                <w:t>Epidemiol</w:t>
              </w:r>
              <w:proofErr w:type="spellEnd"/>
              <w:r w:rsidR="00EF1504" w:rsidRPr="00757A5B">
                <w:rPr>
                  <w:rStyle w:val="Hyperlink"/>
                  <w:rFonts w:ascii="Segoe UI" w:hAnsi="Segoe UI" w:cs="Segoe UI"/>
                  <w:sz w:val="18"/>
                  <w:szCs w:val="18"/>
                </w:rPr>
                <w:t xml:space="preserve"> Biomarkers Prev. 2017</w:t>
              </w:r>
              <w:proofErr w:type="gramStart"/>
              <w:r w:rsidR="00EF1504" w:rsidRPr="00757A5B">
                <w:rPr>
                  <w:rStyle w:val="Hyperlink"/>
                  <w:rFonts w:ascii="Segoe UI" w:hAnsi="Segoe UI" w:cs="Segoe UI"/>
                  <w:sz w:val="18"/>
                  <w:szCs w:val="18"/>
                </w:rPr>
                <w:t>;26</w:t>
              </w:r>
              <w:proofErr w:type="gramEnd"/>
              <w:r w:rsidR="00EF1504" w:rsidRPr="00757A5B">
                <w:rPr>
                  <w:rStyle w:val="Hyperlink"/>
                  <w:rFonts w:ascii="Segoe UI" w:hAnsi="Segoe UI" w:cs="Segoe UI"/>
                  <w:sz w:val="18"/>
                  <w:szCs w:val="18"/>
                </w:rPr>
                <w:t>(3):404-12.</w:t>
              </w:r>
            </w:hyperlink>
            <w:r w:rsidR="00EF1504">
              <w:rPr>
                <w:rFonts w:ascii="Segoe UI" w:hAnsi="Segoe UI" w:cs="Segoe UI"/>
                <w:sz w:val="18"/>
                <w:szCs w:val="18"/>
              </w:rPr>
              <w:t xml:space="preserve"> </w:t>
            </w:r>
          </w:p>
        </w:tc>
        <w:tc>
          <w:tcPr>
            <w:tcW w:w="541" w:type="pct"/>
          </w:tcPr>
          <w:p w14:paraId="217378CA" w14:textId="2BC7B1D9" w:rsidR="00EF1504" w:rsidRPr="00E82F54" w:rsidRDefault="00EF1504" w:rsidP="00757A5B">
            <w:pPr>
              <w:rPr>
                <w:b/>
                <w:szCs w:val="20"/>
              </w:rPr>
            </w:pPr>
            <w:r>
              <w:t>Mar 2017</w:t>
            </w:r>
          </w:p>
        </w:tc>
      </w:tr>
      <w:tr w:rsidR="00EF1504" w14:paraId="26AE7D0B" w14:textId="77777777" w:rsidTr="00EF1504">
        <w:trPr>
          <w:cantSplit/>
        </w:trPr>
        <w:tc>
          <w:tcPr>
            <w:tcW w:w="166" w:type="pct"/>
          </w:tcPr>
          <w:p w14:paraId="65961CB2" w14:textId="32919C54" w:rsidR="00EF1504" w:rsidRDefault="00EF1504" w:rsidP="00757A5B">
            <w:pPr>
              <w:rPr>
                <w:szCs w:val="20"/>
              </w:rPr>
            </w:pPr>
            <w:r>
              <w:rPr>
                <w:szCs w:val="20"/>
              </w:rPr>
              <w:lastRenderedPageBreak/>
              <w:t>9</w:t>
            </w:r>
          </w:p>
        </w:tc>
        <w:tc>
          <w:tcPr>
            <w:tcW w:w="477" w:type="pct"/>
          </w:tcPr>
          <w:p w14:paraId="4AD7C83B" w14:textId="2D3187F4" w:rsidR="00EF1504" w:rsidRDefault="00EF1504" w:rsidP="00757A5B">
            <w:pPr>
              <w:rPr>
                <w:b/>
                <w:szCs w:val="20"/>
              </w:rPr>
            </w:pPr>
            <w:r>
              <w:t>Study of diagnostic accuracy</w:t>
            </w:r>
          </w:p>
        </w:tc>
        <w:tc>
          <w:tcPr>
            <w:tcW w:w="803" w:type="pct"/>
          </w:tcPr>
          <w:p w14:paraId="53296B08" w14:textId="225B62E3" w:rsidR="00EF1504" w:rsidRPr="00564EE0" w:rsidRDefault="00EF1504" w:rsidP="00757A5B">
            <w:r w:rsidRPr="00564EE0">
              <w:t>Tumo</w:t>
            </w:r>
            <w:r>
              <w:t>u</w:t>
            </w:r>
            <w:r w:rsidRPr="00564EE0">
              <w:t>r testing to identify lynch syndrome in two Australian colorectal cancer cohorts</w:t>
            </w:r>
          </w:p>
        </w:tc>
        <w:tc>
          <w:tcPr>
            <w:tcW w:w="1042" w:type="pct"/>
          </w:tcPr>
          <w:p w14:paraId="76FBE573" w14:textId="3EB16034" w:rsidR="00EF1504" w:rsidRDefault="00EF1504" w:rsidP="00757A5B">
            <w:pPr>
              <w:rPr>
                <w:b/>
                <w:szCs w:val="20"/>
              </w:rPr>
            </w:pPr>
            <w:r>
              <w:rPr>
                <w:rFonts w:ascii="Segoe UI" w:hAnsi="Segoe UI" w:cs="Segoe UI"/>
                <w:sz w:val="18"/>
                <w:szCs w:val="18"/>
              </w:rPr>
              <w:t>Study to identify MMR gene mutation carriers in two cohorts of population-based CRC utilising a combination of tumour and germline testing approaches. CRCs from 813 patients diagnosed with CRC &lt;60 years of age from the Australasian Colorectal Cancer Family Registry (ACCFR) and from 826 patients from the Melbourne Collaborative Cohort Study (MCCS) were tested for MMR protein expression using immunohistochemistry (IHC), microsatellite instability (MSI), BRAFV600E somatic mutation and for MLH1 methylation. MMR gene mutation testing (Sanger sequencing and MLPA) was performed on germline DNA of patients with MMR-deficient tumours and a subset of MMR-proficient CRCs.</w:t>
            </w:r>
          </w:p>
        </w:tc>
        <w:tc>
          <w:tcPr>
            <w:tcW w:w="1971" w:type="pct"/>
          </w:tcPr>
          <w:p w14:paraId="389E5AEC" w14:textId="77777777" w:rsidR="00EF1504" w:rsidRPr="00E82F54" w:rsidRDefault="00157C2A" w:rsidP="00757A5B">
            <w:pPr>
              <w:rPr>
                <w:b/>
                <w:szCs w:val="20"/>
              </w:rPr>
            </w:pPr>
            <w:hyperlink r:id="rId22" w:history="1">
              <w:r w:rsidR="00EF1504" w:rsidRPr="008108A5">
                <w:rPr>
                  <w:rStyle w:val="Hyperlink"/>
                </w:rPr>
                <w:t xml:space="preserve">J </w:t>
              </w:r>
              <w:proofErr w:type="spellStart"/>
              <w:r w:rsidR="00EF1504" w:rsidRPr="008108A5">
                <w:rPr>
                  <w:rStyle w:val="Hyperlink"/>
                </w:rPr>
                <w:t>Gastroenterol</w:t>
              </w:r>
              <w:proofErr w:type="spellEnd"/>
              <w:r w:rsidR="00EF1504" w:rsidRPr="008108A5">
                <w:rPr>
                  <w:rStyle w:val="Hyperlink"/>
                </w:rPr>
                <w:t xml:space="preserve"> </w:t>
              </w:r>
              <w:proofErr w:type="spellStart"/>
              <w:r w:rsidR="00EF1504" w:rsidRPr="008108A5">
                <w:rPr>
                  <w:rStyle w:val="Hyperlink"/>
                </w:rPr>
                <w:t>Hepatol</w:t>
              </w:r>
              <w:proofErr w:type="spellEnd"/>
              <w:r w:rsidR="00EF1504" w:rsidRPr="008108A5">
                <w:rPr>
                  <w:rStyle w:val="Hyperlink"/>
                </w:rPr>
                <w:t>, 2017</w:t>
              </w:r>
              <w:proofErr w:type="gramStart"/>
              <w:r w:rsidR="00EF1504" w:rsidRPr="008108A5">
                <w:rPr>
                  <w:rStyle w:val="Hyperlink"/>
                </w:rPr>
                <w:t>;32</w:t>
              </w:r>
              <w:proofErr w:type="gramEnd"/>
              <w:r w:rsidR="00EF1504" w:rsidRPr="008108A5">
                <w:rPr>
                  <w:rStyle w:val="Hyperlink"/>
                </w:rPr>
                <w:t>(2):427-38</w:t>
              </w:r>
            </w:hyperlink>
            <w:r w:rsidR="00EF1504">
              <w:t>.</w:t>
            </w:r>
          </w:p>
        </w:tc>
        <w:tc>
          <w:tcPr>
            <w:tcW w:w="541" w:type="pct"/>
          </w:tcPr>
          <w:p w14:paraId="2E12EA2D" w14:textId="603BE996" w:rsidR="00EF1504" w:rsidRPr="00E82F54" w:rsidRDefault="00EF1504" w:rsidP="00757A5B">
            <w:pPr>
              <w:rPr>
                <w:b/>
                <w:szCs w:val="20"/>
              </w:rPr>
            </w:pPr>
            <w:r>
              <w:t>21 Feb 2017</w:t>
            </w:r>
          </w:p>
        </w:tc>
      </w:tr>
      <w:tr w:rsidR="00EF1504" w14:paraId="2105E042" w14:textId="77777777" w:rsidTr="00EF1504">
        <w:trPr>
          <w:cantSplit/>
        </w:trPr>
        <w:tc>
          <w:tcPr>
            <w:tcW w:w="166" w:type="pct"/>
          </w:tcPr>
          <w:p w14:paraId="0EFFC76C" w14:textId="4FC00007" w:rsidR="00EF1504" w:rsidRDefault="00EF1504" w:rsidP="00757A5B">
            <w:pPr>
              <w:rPr>
                <w:szCs w:val="20"/>
              </w:rPr>
            </w:pPr>
            <w:r>
              <w:rPr>
                <w:szCs w:val="20"/>
              </w:rPr>
              <w:lastRenderedPageBreak/>
              <w:t>10.</w:t>
            </w:r>
          </w:p>
        </w:tc>
        <w:tc>
          <w:tcPr>
            <w:tcW w:w="477" w:type="pct"/>
          </w:tcPr>
          <w:p w14:paraId="05922519" w14:textId="70398B81" w:rsidR="00EF1504" w:rsidRDefault="00EF1504" w:rsidP="00757A5B">
            <w:pPr>
              <w:rPr>
                <w:b/>
                <w:szCs w:val="20"/>
              </w:rPr>
            </w:pPr>
            <w:r>
              <w:t>Clinical practice guidelines</w:t>
            </w:r>
          </w:p>
        </w:tc>
        <w:tc>
          <w:tcPr>
            <w:tcW w:w="803" w:type="pct"/>
          </w:tcPr>
          <w:p w14:paraId="52A5DFA9" w14:textId="77777777" w:rsidR="00EF1504" w:rsidRPr="00564EE0" w:rsidRDefault="00EF1504" w:rsidP="00757A5B">
            <w:r w:rsidRPr="00564EE0">
              <w:t>Familial colorectal cancer syndromes: an overview of clinical management</w:t>
            </w:r>
          </w:p>
        </w:tc>
        <w:tc>
          <w:tcPr>
            <w:tcW w:w="1042" w:type="pct"/>
          </w:tcPr>
          <w:p w14:paraId="40823D59" w14:textId="2C434B85" w:rsidR="00EF1504" w:rsidRDefault="00EF1504" w:rsidP="00757A5B">
            <w:pPr>
              <w:rPr>
                <w:b/>
                <w:szCs w:val="20"/>
              </w:rPr>
            </w:pPr>
            <w:r>
              <w:t>S</w:t>
            </w:r>
            <w:r w:rsidRPr="008631B2">
              <w:t xml:space="preserve">ummary of the most common familial </w:t>
            </w:r>
            <w:r>
              <w:t xml:space="preserve">CRC </w:t>
            </w:r>
            <w:r w:rsidRPr="008631B2">
              <w:t>syndromes and their medical and surgical management, with specific emphasis on evidence-based interventio</w:t>
            </w:r>
            <w:r>
              <w:t>ns that improve patient outcome.</w:t>
            </w:r>
          </w:p>
        </w:tc>
        <w:tc>
          <w:tcPr>
            <w:tcW w:w="1971" w:type="pct"/>
          </w:tcPr>
          <w:p w14:paraId="5F7848D6" w14:textId="77777777" w:rsidR="00EF1504" w:rsidRPr="00E82F54" w:rsidRDefault="00157C2A" w:rsidP="00757A5B">
            <w:pPr>
              <w:rPr>
                <w:b/>
                <w:szCs w:val="20"/>
              </w:rPr>
            </w:pPr>
            <w:hyperlink r:id="rId23" w:history="1">
              <w:r w:rsidR="00EF1504" w:rsidRPr="00146648">
                <w:rPr>
                  <w:rStyle w:val="Hyperlink"/>
                </w:rPr>
                <w:t xml:space="preserve">Expert Rev </w:t>
              </w:r>
              <w:proofErr w:type="spellStart"/>
              <w:r w:rsidR="00EF1504" w:rsidRPr="00146648">
                <w:rPr>
                  <w:rStyle w:val="Hyperlink"/>
                </w:rPr>
                <w:t>Gastroenterol</w:t>
              </w:r>
              <w:proofErr w:type="spellEnd"/>
              <w:r w:rsidR="00EF1504" w:rsidRPr="00146648">
                <w:rPr>
                  <w:rStyle w:val="Hyperlink"/>
                </w:rPr>
                <w:t xml:space="preserve"> </w:t>
              </w:r>
              <w:proofErr w:type="spellStart"/>
              <w:r w:rsidR="00EF1504" w:rsidRPr="00146648">
                <w:rPr>
                  <w:rStyle w:val="Hyperlink"/>
                </w:rPr>
                <w:t>Hepatol</w:t>
              </w:r>
              <w:proofErr w:type="spellEnd"/>
              <w:r w:rsidR="00EF1504" w:rsidRPr="00146648">
                <w:rPr>
                  <w:rStyle w:val="Hyperlink"/>
                </w:rPr>
                <w:t xml:space="preserve"> 2015;9:757-64</w:t>
              </w:r>
            </w:hyperlink>
          </w:p>
        </w:tc>
        <w:tc>
          <w:tcPr>
            <w:tcW w:w="541" w:type="pct"/>
          </w:tcPr>
          <w:p w14:paraId="248F1ADA" w14:textId="6283D65C" w:rsidR="00EF1504" w:rsidRPr="00564EE0" w:rsidRDefault="00EF1504" w:rsidP="00757A5B">
            <w:r>
              <w:t>16 Mar 2015</w:t>
            </w:r>
          </w:p>
        </w:tc>
      </w:tr>
      <w:tr w:rsidR="00EF1504" w14:paraId="402CB70A" w14:textId="77777777" w:rsidTr="00EF1504">
        <w:trPr>
          <w:cantSplit/>
        </w:trPr>
        <w:tc>
          <w:tcPr>
            <w:tcW w:w="166" w:type="pct"/>
          </w:tcPr>
          <w:p w14:paraId="79790D41" w14:textId="5CF5104E" w:rsidR="00EF1504" w:rsidRDefault="00EF1504" w:rsidP="00757A5B">
            <w:pPr>
              <w:rPr>
                <w:szCs w:val="20"/>
              </w:rPr>
            </w:pPr>
            <w:r>
              <w:rPr>
                <w:szCs w:val="20"/>
              </w:rPr>
              <w:t>11.</w:t>
            </w:r>
          </w:p>
        </w:tc>
        <w:tc>
          <w:tcPr>
            <w:tcW w:w="477" w:type="pct"/>
          </w:tcPr>
          <w:p w14:paraId="33FE692E" w14:textId="27C0F708" w:rsidR="00EF1504" w:rsidRDefault="00EF1504" w:rsidP="00757A5B">
            <w:pPr>
              <w:rPr>
                <w:b/>
                <w:szCs w:val="20"/>
              </w:rPr>
            </w:pPr>
            <w:r>
              <w:t>Observational study</w:t>
            </w:r>
          </w:p>
        </w:tc>
        <w:tc>
          <w:tcPr>
            <w:tcW w:w="803" w:type="pct"/>
          </w:tcPr>
          <w:p w14:paraId="4215D936" w14:textId="77777777" w:rsidR="00EF1504" w:rsidRDefault="00EF1504" w:rsidP="00757A5B">
            <w:pPr>
              <w:rPr>
                <w:b/>
                <w:szCs w:val="20"/>
              </w:rPr>
            </w:pPr>
            <w:r w:rsidRPr="00034157">
              <w:t>Cancer risks for MLH1 and MSH2 mutation carriers</w:t>
            </w:r>
          </w:p>
        </w:tc>
        <w:tc>
          <w:tcPr>
            <w:tcW w:w="1042" w:type="pct"/>
          </w:tcPr>
          <w:p w14:paraId="5B3ABBBD" w14:textId="73C14781" w:rsidR="00EF1504" w:rsidRDefault="00EF1504" w:rsidP="00757A5B">
            <w:pPr>
              <w:rPr>
                <w:b/>
                <w:szCs w:val="20"/>
              </w:rPr>
            </w:pPr>
            <w:r>
              <w:rPr>
                <w:rFonts w:ascii="Segoe UI" w:hAnsi="Segoe UI" w:cs="Segoe UI"/>
                <w:sz w:val="18"/>
                <w:szCs w:val="18"/>
              </w:rPr>
              <w:t>Study of 17,576 members of 166 MLH1 and 224 MSH2 mutation-carrying families from the Colon Cancer Family Registry in Australia. Results demonstrated the a</w:t>
            </w:r>
            <w:r w:rsidRPr="006C67F2">
              <w:rPr>
                <w:rFonts w:ascii="Segoe UI" w:hAnsi="Segoe UI" w:cs="Segoe UI"/>
                <w:sz w:val="18"/>
                <w:szCs w:val="18"/>
              </w:rPr>
              <w:t xml:space="preserve">verage CRC cumulative risks at the age of 70 years (95% confidence intervals) for MLH1 and MSH2 mutation carriers, respectively, were estimated to be 34% and 47% </w:t>
            </w:r>
            <w:r>
              <w:rPr>
                <w:rFonts w:ascii="Segoe UI" w:hAnsi="Segoe UI" w:cs="Segoe UI"/>
                <w:sz w:val="18"/>
                <w:szCs w:val="18"/>
              </w:rPr>
              <w:t xml:space="preserve">for male carriers and 36% </w:t>
            </w:r>
            <w:r w:rsidRPr="006C67F2">
              <w:rPr>
                <w:rFonts w:ascii="Segoe UI" w:hAnsi="Segoe UI" w:cs="Segoe UI"/>
                <w:sz w:val="18"/>
                <w:szCs w:val="18"/>
              </w:rPr>
              <w:t xml:space="preserve">and 37% for female carriers. Corresponding EC risks were 18% and 30%. </w:t>
            </w:r>
          </w:p>
        </w:tc>
        <w:tc>
          <w:tcPr>
            <w:tcW w:w="1971" w:type="pct"/>
          </w:tcPr>
          <w:p w14:paraId="77413AAB" w14:textId="7C5959D6" w:rsidR="00EF1504" w:rsidRPr="006C67F2" w:rsidRDefault="00157C2A" w:rsidP="00757A5B">
            <w:pPr>
              <w:rPr>
                <w:szCs w:val="20"/>
              </w:rPr>
            </w:pPr>
            <w:hyperlink r:id="rId24" w:history="1">
              <w:r w:rsidR="00EF1504" w:rsidRPr="006C67F2">
                <w:rPr>
                  <w:rStyle w:val="Hyperlink"/>
                  <w:szCs w:val="20"/>
                </w:rPr>
                <w:t xml:space="preserve">Hum </w:t>
              </w:r>
              <w:proofErr w:type="spellStart"/>
              <w:r w:rsidR="00EF1504" w:rsidRPr="006C67F2">
                <w:rPr>
                  <w:rStyle w:val="Hyperlink"/>
                  <w:szCs w:val="20"/>
                </w:rPr>
                <w:t>Mutat</w:t>
              </w:r>
              <w:proofErr w:type="spellEnd"/>
              <w:r w:rsidR="00EF1504" w:rsidRPr="006C67F2">
                <w:rPr>
                  <w:rStyle w:val="Hyperlink"/>
                  <w:szCs w:val="20"/>
                </w:rPr>
                <w:t>. 2013</w:t>
              </w:r>
              <w:proofErr w:type="gramStart"/>
              <w:r w:rsidR="00EF1504" w:rsidRPr="006C67F2">
                <w:rPr>
                  <w:rStyle w:val="Hyperlink"/>
                  <w:szCs w:val="20"/>
                </w:rPr>
                <w:t>;34</w:t>
              </w:r>
              <w:proofErr w:type="gramEnd"/>
              <w:r w:rsidR="00EF1504" w:rsidRPr="006C67F2">
                <w:rPr>
                  <w:rStyle w:val="Hyperlink"/>
                  <w:szCs w:val="20"/>
                </w:rPr>
                <w:t>(3):490-7.</w:t>
              </w:r>
            </w:hyperlink>
          </w:p>
        </w:tc>
        <w:tc>
          <w:tcPr>
            <w:tcW w:w="541" w:type="pct"/>
          </w:tcPr>
          <w:p w14:paraId="1C749960" w14:textId="399852E1" w:rsidR="00EF1504" w:rsidRPr="00E82F54" w:rsidRDefault="00EF1504" w:rsidP="00757A5B">
            <w:pPr>
              <w:rPr>
                <w:b/>
                <w:szCs w:val="20"/>
              </w:rPr>
            </w:pPr>
            <w:r>
              <w:t>Mar 2013</w:t>
            </w:r>
          </w:p>
        </w:tc>
      </w:tr>
      <w:tr w:rsidR="00EF1504" w14:paraId="7FAA7ED8" w14:textId="77777777" w:rsidTr="00EF1504">
        <w:trPr>
          <w:cantSplit/>
        </w:trPr>
        <w:tc>
          <w:tcPr>
            <w:tcW w:w="166" w:type="pct"/>
          </w:tcPr>
          <w:p w14:paraId="0E76D932" w14:textId="7592C9E4" w:rsidR="00EF1504" w:rsidRDefault="00EF1504" w:rsidP="00757A5B">
            <w:pPr>
              <w:rPr>
                <w:szCs w:val="20"/>
              </w:rPr>
            </w:pPr>
            <w:r>
              <w:rPr>
                <w:szCs w:val="20"/>
              </w:rPr>
              <w:lastRenderedPageBreak/>
              <w:t>12.</w:t>
            </w:r>
          </w:p>
        </w:tc>
        <w:tc>
          <w:tcPr>
            <w:tcW w:w="477" w:type="pct"/>
          </w:tcPr>
          <w:p w14:paraId="00770F7C" w14:textId="0CBBEFD3" w:rsidR="00EF1504" w:rsidRDefault="00EF1504" w:rsidP="00757A5B">
            <w:pPr>
              <w:rPr>
                <w:b/>
                <w:szCs w:val="20"/>
              </w:rPr>
            </w:pPr>
            <w:r>
              <w:t>Clinical Practice Guidelines</w:t>
            </w:r>
          </w:p>
        </w:tc>
        <w:tc>
          <w:tcPr>
            <w:tcW w:w="803" w:type="pct"/>
          </w:tcPr>
          <w:p w14:paraId="7299C3FD" w14:textId="11498EC9" w:rsidR="00EF1504" w:rsidRDefault="00007F60" w:rsidP="00757A5B">
            <w:pPr>
              <w:rPr>
                <w:b/>
                <w:szCs w:val="20"/>
              </w:rPr>
            </w:pPr>
            <w:r w:rsidRPr="00007F60">
              <w:t>Guidelines for the Prevention, Early Detection and Management of Colorectal Cancer</w:t>
            </w:r>
            <w:r w:rsidRPr="00007F60">
              <w:cr/>
            </w:r>
            <w:r>
              <w:t xml:space="preserve">. </w:t>
            </w:r>
            <w:r w:rsidR="00EF1504" w:rsidRPr="00D04821">
              <w:t xml:space="preserve">Australian Cancer Network Colorectal Cancer Guidelines Revision Committee. </w:t>
            </w:r>
          </w:p>
        </w:tc>
        <w:tc>
          <w:tcPr>
            <w:tcW w:w="1042" w:type="pct"/>
          </w:tcPr>
          <w:p w14:paraId="1000A6BE" w14:textId="5F478342" w:rsidR="00EF1504" w:rsidRDefault="00EF1504" w:rsidP="00757A5B">
            <w:pPr>
              <w:rPr>
                <w:b/>
                <w:szCs w:val="20"/>
              </w:rPr>
            </w:pPr>
            <w:r>
              <w:t>Clinical Practice Guidelines for Colorectal Cancer</w:t>
            </w:r>
          </w:p>
        </w:tc>
        <w:tc>
          <w:tcPr>
            <w:tcW w:w="1971" w:type="pct"/>
          </w:tcPr>
          <w:p w14:paraId="04098059" w14:textId="3AD623B6" w:rsidR="00EF1504" w:rsidRPr="00E82F54" w:rsidRDefault="00157C2A" w:rsidP="00757A5B">
            <w:pPr>
              <w:rPr>
                <w:b/>
                <w:szCs w:val="20"/>
              </w:rPr>
            </w:pPr>
            <w:hyperlink r:id="rId25" w:history="1">
              <w:r w:rsidR="00EF1504" w:rsidRPr="00146648">
                <w:rPr>
                  <w:rStyle w:val="Hyperlink"/>
                </w:rPr>
                <w:t>Guidelines for the Prevention, Early Detection and Management of Colorectal Cancer</w:t>
              </w:r>
            </w:hyperlink>
          </w:p>
        </w:tc>
        <w:tc>
          <w:tcPr>
            <w:tcW w:w="541" w:type="pct"/>
          </w:tcPr>
          <w:p w14:paraId="7B8D8815" w14:textId="0070708B" w:rsidR="00EF1504" w:rsidRPr="00E82F54" w:rsidRDefault="00EF1504" w:rsidP="00757A5B">
            <w:pPr>
              <w:rPr>
                <w:b/>
                <w:szCs w:val="20"/>
              </w:rPr>
            </w:pPr>
            <w:r>
              <w:t>8 Dec 2005</w:t>
            </w:r>
          </w:p>
        </w:tc>
      </w:tr>
      <w:tr w:rsidR="00EF1504" w14:paraId="1B6E7552" w14:textId="77777777" w:rsidTr="00EF1504">
        <w:trPr>
          <w:cantSplit/>
        </w:trPr>
        <w:tc>
          <w:tcPr>
            <w:tcW w:w="166" w:type="pct"/>
          </w:tcPr>
          <w:p w14:paraId="4AD10FFE" w14:textId="1D941E8F" w:rsidR="00EF1504" w:rsidRDefault="00EF1504" w:rsidP="00757A5B">
            <w:pPr>
              <w:rPr>
                <w:szCs w:val="20"/>
              </w:rPr>
            </w:pPr>
            <w:r>
              <w:rPr>
                <w:szCs w:val="20"/>
              </w:rPr>
              <w:lastRenderedPageBreak/>
              <w:t>13.</w:t>
            </w:r>
          </w:p>
        </w:tc>
        <w:tc>
          <w:tcPr>
            <w:tcW w:w="477" w:type="pct"/>
          </w:tcPr>
          <w:p w14:paraId="515F4FED" w14:textId="7A674A83" w:rsidR="00EF1504" w:rsidRDefault="00EF1504" w:rsidP="00757A5B">
            <w:pPr>
              <w:rPr>
                <w:b/>
                <w:szCs w:val="20"/>
              </w:rPr>
            </w:pPr>
            <w:r>
              <w:t>Observational study</w:t>
            </w:r>
          </w:p>
        </w:tc>
        <w:tc>
          <w:tcPr>
            <w:tcW w:w="803" w:type="pct"/>
          </w:tcPr>
          <w:p w14:paraId="508A09F8" w14:textId="77777777" w:rsidR="00EF1504" w:rsidRPr="00C72F33" w:rsidRDefault="00EF1504" w:rsidP="00757A5B">
            <w:r w:rsidRPr="00C72F33">
              <w:t>Risks of Lynch Syndrome Cancers for </w:t>
            </w:r>
            <w:r w:rsidRPr="00C72F33">
              <w:rPr>
                <w:i/>
                <w:iCs/>
              </w:rPr>
              <w:t>MSH6</w:t>
            </w:r>
            <w:r w:rsidRPr="00C72F33">
              <w:t> Mutation Carriers</w:t>
            </w:r>
          </w:p>
        </w:tc>
        <w:tc>
          <w:tcPr>
            <w:tcW w:w="1042" w:type="pct"/>
          </w:tcPr>
          <w:p w14:paraId="5AAD44E3" w14:textId="47581BC8" w:rsidR="00EF1504" w:rsidRDefault="00EF1504" w:rsidP="00757A5B">
            <w:pPr>
              <w:rPr>
                <w:b/>
                <w:szCs w:val="20"/>
              </w:rPr>
            </w:pPr>
            <w:r>
              <w:t xml:space="preserve">Study of </w:t>
            </w:r>
            <w:r>
              <w:rPr>
                <w:rFonts w:ascii="Segoe UI" w:hAnsi="Segoe UI" w:cs="Segoe UI"/>
                <w:sz w:val="18"/>
                <w:szCs w:val="18"/>
              </w:rPr>
              <w:t>113 families of MSH6 mutation carriers from five countries through family cancer clinics and population-based cancer registries. Results demonstrated that for MSH6 mutation carriers, the estimated cumulative risks to ages 70 and 80 years, respectively, were as follows: for colorectal cancer, 22% and 44% for men and 10% and 20% for women; for endometrial cancer, 26% and 44%; and for any cancer associated with Lynch syndrome, 24% and 47% for men and 40% and 65% for women. Compared with incidence for the general population, MSH6 mutation carriers had an eightfold increased incidence of colorectal cancer (HR = 7.6, which was independent of sex and age. Women who were MSH6 mutation carriers had a 26-fold increased incidence of endometrial cancer (HR = 25.5) and a sixfold increased incidence of other cancers associated with Lynch syndrome (HR = 6.0).</w:t>
            </w:r>
          </w:p>
        </w:tc>
        <w:tc>
          <w:tcPr>
            <w:tcW w:w="1971" w:type="pct"/>
          </w:tcPr>
          <w:p w14:paraId="4438917B" w14:textId="0EBF9FDF" w:rsidR="00EF1504" w:rsidRPr="00E82F54" w:rsidRDefault="00157C2A" w:rsidP="00757A5B">
            <w:pPr>
              <w:rPr>
                <w:b/>
                <w:szCs w:val="20"/>
              </w:rPr>
            </w:pPr>
            <w:hyperlink r:id="rId26" w:history="1">
              <w:r w:rsidR="00EF1504" w:rsidRPr="008631B2">
                <w:rPr>
                  <w:rStyle w:val="Hyperlink"/>
                  <w:rFonts w:ascii="Segoe UI" w:hAnsi="Segoe UI" w:cs="Segoe UI"/>
                  <w:sz w:val="18"/>
                  <w:szCs w:val="18"/>
                </w:rPr>
                <w:t>J Natl Cancer Inst. 2010</w:t>
              </w:r>
              <w:proofErr w:type="gramStart"/>
              <w:r w:rsidR="00EF1504" w:rsidRPr="008631B2">
                <w:rPr>
                  <w:rStyle w:val="Hyperlink"/>
                  <w:rFonts w:ascii="Segoe UI" w:hAnsi="Segoe UI" w:cs="Segoe UI"/>
                  <w:sz w:val="18"/>
                  <w:szCs w:val="18"/>
                </w:rPr>
                <w:t>;102</w:t>
              </w:r>
              <w:proofErr w:type="gramEnd"/>
              <w:r w:rsidR="00EF1504" w:rsidRPr="008631B2">
                <w:rPr>
                  <w:rStyle w:val="Hyperlink"/>
                  <w:rFonts w:ascii="Segoe UI" w:hAnsi="Segoe UI" w:cs="Segoe UI"/>
                  <w:sz w:val="18"/>
                  <w:szCs w:val="18"/>
                </w:rPr>
                <w:t>(3):193-201.</w:t>
              </w:r>
            </w:hyperlink>
            <w:r w:rsidR="00EF1504">
              <w:rPr>
                <w:rFonts w:ascii="Segoe UI" w:hAnsi="Segoe UI" w:cs="Segoe UI"/>
                <w:sz w:val="18"/>
                <w:szCs w:val="18"/>
              </w:rPr>
              <w:t xml:space="preserve"> </w:t>
            </w:r>
          </w:p>
        </w:tc>
        <w:tc>
          <w:tcPr>
            <w:tcW w:w="541" w:type="pct"/>
          </w:tcPr>
          <w:p w14:paraId="4931ED6E" w14:textId="13FAF0D5" w:rsidR="00EF1504" w:rsidRPr="00E82F54" w:rsidRDefault="00EF1504" w:rsidP="00757A5B">
            <w:pPr>
              <w:rPr>
                <w:b/>
                <w:szCs w:val="20"/>
              </w:rPr>
            </w:pPr>
            <w:r>
              <w:t>3 Feb 2010</w:t>
            </w:r>
          </w:p>
        </w:tc>
      </w:tr>
      <w:tr w:rsidR="00EF1504" w14:paraId="6C044B88" w14:textId="77777777" w:rsidTr="00EF1504">
        <w:trPr>
          <w:cantSplit/>
        </w:trPr>
        <w:tc>
          <w:tcPr>
            <w:tcW w:w="166" w:type="pct"/>
          </w:tcPr>
          <w:p w14:paraId="779794E4" w14:textId="7CB553F3" w:rsidR="00EF1504" w:rsidRDefault="00EF1504" w:rsidP="00757A5B">
            <w:pPr>
              <w:rPr>
                <w:szCs w:val="20"/>
              </w:rPr>
            </w:pPr>
            <w:r>
              <w:rPr>
                <w:szCs w:val="20"/>
              </w:rPr>
              <w:lastRenderedPageBreak/>
              <w:t>14.</w:t>
            </w:r>
          </w:p>
        </w:tc>
        <w:tc>
          <w:tcPr>
            <w:tcW w:w="477" w:type="pct"/>
          </w:tcPr>
          <w:p w14:paraId="0D37E152" w14:textId="733ED210" w:rsidR="00EF1504" w:rsidRDefault="00EF1504" w:rsidP="00757A5B">
            <w:pPr>
              <w:rPr>
                <w:b/>
                <w:szCs w:val="20"/>
              </w:rPr>
            </w:pPr>
            <w:r>
              <w:t>Observational study</w:t>
            </w:r>
          </w:p>
        </w:tc>
        <w:tc>
          <w:tcPr>
            <w:tcW w:w="803" w:type="pct"/>
          </w:tcPr>
          <w:p w14:paraId="33CBCF3F" w14:textId="40C9C787" w:rsidR="00EF1504" w:rsidRPr="00D00705" w:rsidRDefault="00EF1504" w:rsidP="00757A5B">
            <w:r w:rsidRPr="00D00705">
              <w:t>The clinical phenotype of Lynch syndrome due to germline </w:t>
            </w:r>
            <w:r w:rsidRPr="00D00705">
              <w:rPr>
                <w:i/>
                <w:iCs/>
              </w:rPr>
              <w:t>PMS2</w:t>
            </w:r>
            <w:r>
              <w:rPr>
                <w:i/>
                <w:iCs/>
              </w:rPr>
              <w:t xml:space="preserve"> </w:t>
            </w:r>
            <w:r w:rsidRPr="00D00705">
              <w:t>mutations</w:t>
            </w:r>
          </w:p>
        </w:tc>
        <w:tc>
          <w:tcPr>
            <w:tcW w:w="1042" w:type="pct"/>
          </w:tcPr>
          <w:p w14:paraId="2CDA702A" w14:textId="775E7E35" w:rsidR="00EF1504" w:rsidRDefault="00EF1504" w:rsidP="00D46D9F">
            <w:pPr>
              <w:autoSpaceDE w:val="0"/>
              <w:autoSpaceDN w:val="0"/>
              <w:adjustRightInd w:val="0"/>
              <w:spacing w:before="0" w:after="0"/>
              <w:rPr>
                <w:b/>
                <w:szCs w:val="20"/>
              </w:rPr>
            </w:pPr>
            <w:r>
              <w:rPr>
                <w:rFonts w:ascii="Segoe UI" w:hAnsi="Segoe UI" w:cs="Segoe UI"/>
                <w:sz w:val="18"/>
                <w:szCs w:val="18"/>
              </w:rPr>
              <w:t xml:space="preserve">PMS2 mutation analysis using long range PCR and MLPA for 99 </w:t>
            </w:r>
            <w:proofErr w:type="spellStart"/>
            <w:r>
              <w:rPr>
                <w:rFonts w:ascii="Segoe UI" w:hAnsi="Segoe UI" w:cs="Segoe UI"/>
                <w:sz w:val="18"/>
                <w:szCs w:val="18"/>
              </w:rPr>
              <w:t>probands</w:t>
            </w:r>
            <w:proofErr w:type="spellEnd"/>
            <w:r>
              <w:rPr>
                <w:rFonts w:ascii="Segoe UI" w:hAnsi="Segoe UI" w:cs="Segoe UI"/>
                <w:sz w:val="18"/>
                <w:szCs w:val="18"/>
              </w:rPr>
              <w:t xml:space="preserve"> diagnosed with Lynch syndrome-associated </w:t>
            </w:r>
            <w:proofErr w:type="spellStart"/>
            <w:r>
              <w:rPr>
                <w:rFonts w:ascii="Segoe UI" w:hAnsi="Segoe UI" w:cs="Segoe UI"/>
                <w:sz w:val="18"/>
                <w:szCs w:val="18"/>
              </w:rPr>
              <w:t>tumors</w:t>
            </w:r>
            <w:proofErr w:type="spellEnd"/>
            <w:r>
              <w:rPr>
                <w:rFonts w:ascii="Segoe UI" w:hAnsi="Segoe UI" w:cs="Segoe UI"/>
                <w:sz w:val="18"/>
                <w:szCs w:val="18"/>
              </w:rPr>
              <w:t xml:space="preserve"> showing isolated loss of PMS2 by immunohistochemistry. Results demonstrated that PMS2 mutations contribute significantly to Lynch syndrome but the penetrance for </w:t>
            </w:r>
            <w:proofErr w:type="spellStart"/>
            <w:r>
              <w:rPr>
                <w:rFonts w:ascii="Segoe UI" w:hAnsi="Segoe UI" w:cs="Segoe UI"/>
                <w:sz w:val="18"/>
                <w:szCs w:val="18"/>
              </w:rPr>
              <w:t>monoallelic</w:t>
            </w:r>
            <w:proofErr w:type="spellEnd"/>
            <w:r>
              <w:rPr>
                <w:rFonts w:ascii="Segoe UI" w:hAnsi="Segoe UI" w:cs="Segoe UI"/>
                <w:sz w:val="18"/>
                <w:szCs w:val="18"/>
              </w:rPr>
              <w:t xml:space="preserve"> mutation carriers appears to be lower than that for the other mismatch repair genes. </w:t>
            </w:r>
          </w:p>
        </w:tc>
        <w:tc>
          <w:tcPr>
            <w:tcW w:w="1971" w:type="pct"/>
          </w:tcPr>
          <w:p w14:paraId="530DD1A6" w14:textId="5B850954" w:rsidR="00EF1504" w:rsidRPr="00E82F54" w:rsidRDefault="00157C2A" w:rsidP="00757A5B">
            <w:pPr>
              <w:rPr>
                <w:b/>
                <w:szCs w:val="20"/>
              </w:rPr>
            </w:pPr>
            <w:hyperlink r:id="rId27" w:history="1">
              <w:r w:rsidR="00EF1504" w:rsidRPr="006933C3">
                <w:rPr>
                  <w:rStyle w:val="Hyperlink"/>
                  <w:rFonts w:ascii="Segoe UI" w:hAnsi="Segoe UI" w:cs="Segoe UI"/>
                  <w:sz w:val="18"/>
                  <w:szCs w:val="18"/>
                </w:rPr>
                <w:t>Gastroenterology. 2008</w:t>
              </w:r>
              <w:proofErr w:type="gramStart"/>
              <w:r w:rsidR="00EF1504" w:rsidRPr="006933C3">
                <w:rPr>
                  <w:rStyle w:val="Hyperlink"/>
                  <w:rFonts w:ascii="Segoe UI" w:hAnsi="Segoe UI" w:cs="Segoe UI"/>
                  <w:sz w:val="18"/>
                  <w:szCs w:val="18"/>
                </w:rPr>
                <w:t>;135</w:t>
              </w:r>
              <w:proofErr w:type="gramEnd"/>
              <w:r w:rsidR="00EF1504" w:rsidRPr="006933C3">
                <w:rPr>
                  <w:rStyle w:val="Hyperlink"/>
                  <w:rFonts w:ascii="Segoe UI" w:hAnsi="Segoe UI" w:cs="Segoe UI"/>
                  <w:sz w:val="18"/>
                  <w:szCs w:val="18"/>
                </w:rPr>
                <w:t>(2):419-28.</w:t>
              </w:r>
            </w:hyperlink>
            <w:r w:rsidR="00EF1504">
              <w:rPr>
                <w:rFonts w:ascii="Segoe UI" w:hAnsi="Segoe UI" w:cs="Segoe UI"/>
                <w:sz w:val="18"/>
                <w:szCs w:val="18"/>
              </w:rPr>
              <w:t xml:space="preserve"> </w:t>
            </w:r>
          </w:p>
        </w:tc>
        <w:tc>
          <w:tcPr>
            <w:tcW w:w="541" w:type="pct"/>
          </w:tcPr>
          <w:p w14:paraId="5430B7B4" w14:textId="5DADAE5F" w:rsidR="00EF1504" w:rsidRPr="00E82F54" w:rsidRDefault="00EF1504" w:rsidP="00757A5B">
            <w:pPr>
              <w:rPr>
                <w:b/>
                <w:szCs w:val="20"/>
              </w:rPr>
            </w:pPr>
            <w:r>
              <w:t>Aug 2008</w:t>
            </w:r>
          </w:p>
        </w:tc>
      </w:tr>
      <w:tr w:rsidR="00EF1504" w14:paraId="2427D933" w14:textId="77777777" w:rsidTr="00EF1504">
        <w:trPr>
          <w:cantSplit/>
        </w:trPr>
        <w:tc>
          <w:tcPr>
            <w:tcW w:w="166" w:type="pct"/>
          </w:tcPr>
          <w:p w14:paraId="7BD283C2" w14:textId="03EA7619" w:rsidR="00EF1504" w:rsidRDefault="00EF1504" w:rsidP="006C67F2">
            <w:pPr>
              <w:rPr>
                <w:szCs w:val="20"/>
              </w:rPr>
            </w:pPr>
            <w:r>
              <w:rPr>
                <w:szCs w:val="20"/>
              </w:rPr>
              <w:t>15.</w:t>
            </w:r>
          </w:p>
        </w:tc>
        <w:tc>
          <w:tcPr>
            <w:tcW w:w="477" w:type="pct"/>
          </w:tcPr>
          <w:p w14:paraId="5615A448" w14:textId="019D679D" w:rsidR="00EF1504" w:rsidRDefault="00EF1504" w:rsidP="006C67F2">
            <w:pPr>
              <w:rPr>
                <w:b/>
                <w:szCs w:val="20"/>
              </w:rPr>
            </w:pPr>
            <w:r>
              <w:t>Observational study</w:t>
            </w:r>
          </w:p>
        </w:tc>
        <w:tc>
          <w:tcPr>
            <w:tcW w:w="803" w:type="pct"/>
          </w:tcPr>
          <w:p w14:paraId="174C5346" w14:textId="23E1D28A" w:rsidR="00EF1504" w:rsidRPr="00D00705" w:rsidRDefault="00EF1504" w:rsidP="006C67F2">
            <w:r w:rsidRPr="00D00705">
              <w:t>Cancer Risks Associated With Germline Mutations in</w:t>
            </w:r>
            <w:r>
              <w:t xml:space="preserve"> </w:t>
            </w:r>
            <w:r w:rsidRPr="00D00705">
              <w:rPr>
                <w:i/>
                <w:iCs/>
              </w:rPr>
              <w:t>MLH1</w:t>
            </w:r>
            <w:r w:rsidRPr="00D00705">
              <w:t>, </w:t>
            </w:r>
            <w:r w:rsidRPr="00D00705">
              <w:rPr>
                <w:i/>
                <w:iCs/>
              </w:rPr>
              <w:t>MSH2</w:t>
            </w:r>
            <w:r w:rsidRPr="00D00705">
              <w:t>, and </w:t>
            </w:r>
            <w:r w:rsidRPr="00D00705">
              <w:rPr>
                <w:i/>
                <w:iCs/>
              </w:rPr>
              <w:t>MSH6</w:t>
            </w:r>
            <w:r w:rsidRPr="00D00705">
              <w:t> Genes in Lynch Syndrome</w:t>
            </w:r>
          </w:p>
        </w:tc>
        <w:tc>
          <w:tcPr>
            <w:tcW w:w="1042" w:type="pct"/>
          </w:tcPr>
          <w:p w14:paraId="6623543B" w14:textId="31C58392" w:rsidR="00EF1504" w:rsidRDefault="00EF1504" w:rsidP="006C67F2">
            <w:r>
              <w:rPr>
                <w:rFonts w:ascii="Segoe UI" w:hAnsi="Segoe UI" w:cs="Segoe UI"/>
                <w:sz w:val="18"/>
                <w:szCs w:val="18"/>
              </w:rPr>
              <w:t>Families with Lynch syndrome from 40 French cancer genetics clinics participating in the ERISCAM (study; 537 families with segregating mutated genes (248 with MLH1; 256 with MSH2; and 33 with MSH6) were analysed for age-specific cumulative cancer risks.</w:t>
            </w:r>
          </w:p>
        </w:tc>
        <w:tc>
          <w:tcPr>
            <w:tcW w:w="1971" w:type="pct"/>
          </w:tcPr>
          <w:p w14:paraId="7463574A" w14:textId="3D61A262" w:rsidR="00EF1504" w:rsidRPr="00D00705" w:rsidRDefault="00157C2A" w:rsidP="006C67F2">
            <w:hyperlink r:id="rId28" w:history="1">
              <w:r w:rsidR="00EF1504" w:rsidRPr="008631B2">
                <w:rPr>
                  <w:rStyle w:val="Hyperlink"/>
                  <w:rFonts w:ascii="Segoe UI" w:hAnsi="Segoe UI" w:cs="Segoe UI"/>
                  <w:sz w:val="18"/>
                  <w:szCs w:val="18"/>
                </w:rPr>
                <w:t>JAMA. 2011;305(22):2304-10</w:t>
              </w:r>
            </w:hyperlink>
          </w:p>
        </w:tc>
        <w:tc>
          <w:tcPr>
            <w:tcW w:w="541" w:type="pct"/>
          </w:tcPr>
          <w:p w14:paraId="22189564" w14:textId="4F3534A2" w:rsidR="00EF1504" w:rsidRDefault="00EF1504" w:rsidP="006C67F2">
            <w:r>
              <w:t>8 Jun 2011</w:t>
            </w:r>
          </w:p>
        </w:tc>
      </w:tr>
      <w:tr w:rsidR="00EF1504" w14:paraId="567F87C4" w14:textId="77777777" w:rsidTr="00EF1504">
        <w:trPr>
          <w:cantSplit/>
        </w:trPr>
        <w:tc>
          <w:tcPr>
            <w:tcW w:w="166" w:type="pct"/>
          </w:tcPr>
          <w:p w14:paraId="27C43206" w14:textId="163C7B22" w:rsidR="00EF1504" w:rsidRDefault="00EF1504" w:rsidP="00757A5B">
            <w:pPr>
              <w:rPr>
                <w:szCs w:val="20"/>
              </w:rPr>
            </w:pPr>
            <w:r>
              <w:rPr>
                <w:szCs w:val="20"/>
              </w:rPr>
              <w:lastRenderedPageBreak/>
              <w:t>16.</w:t>
            </w:r>
          </w:p>
        </w:tc>
        <w:tc>
          <w:tcPr>
            <w:tcW w:w="477" w:type="pct"/>
          </w:tcPr>
          <w:p w14:paraId="2CBFE85F" w14:textId="3A8F2383" w:rsidR="00EF1504" w:rsidRDefault="00EF1504" w:rsidP="00757A5B">
            <w:pPr>
              <w:rPr>
                <w:b/>
                <w:szCs w:val="20"/>
              </w:rPr>
            </w:pPr>
            <w:r>
              <w:t>Observational study</w:t>
            </w:r>
          </w:p>
        </w:tc>
        <w:tc>
          <w:tcPr>
            <w:tcW w:w="803" w:type="pct"/>
          </w:tcPr>
          <w:p w14:paraId="59425655" w14:textId="77777777" w:rsidR="00EF1504" w:rsidRPr="00D00705" w:rsidRDefault="00EF1504" w:rsidP="00757A5B">
            <w:r w:rsidRPr="00D00705">
              <w:t>Lynch Syndrome Caused by Germline</w:t>
            </w:r>
            <w:r>
              <w:t xml:space="preserve"> </w:t>
            </w:r>
            <w:r w:rsidRPr="00D00705">
              <w:t>PMS2 Mutations: Delineating the Cancer Risk</w:t>
            </w:r>
            <w:r>
              <w:t xml:space="preserve"> </w:t>
            </w:r>
          </w:p>
        </w:tc>
        <w:tc>
          <w:tcPr>
            <w:tcW w:w="1042" w:type="pct"/>
          </w:tcPr>
          <w:p w14:paraId="60F6E234" w14:textId="67E137AF" w:rsidR="00EF1504" w:rsidRDefault="00EF1504" w:rsidP="00757A5B">
            <w:r>
              <w:t xml:space="preserve">European study of cancer risk for PMS2 mutation carriers from 98 PMS2 families from family cancer clinics, a total of </w:t>
            </w:r>
            <w:r>
              <w:rPr>
                <w:rFonts w:ascii="Segoe UI" w:hAnsi="Segoe UI" w:cs="Segoe UI"/>
                <w:sz w:val="18"/>
                <w:szCs w:val="18"/>
              </w:rPr>
              <w:t xml:space="preserve">2,548 family members and 377 proven mutation carriers. The cumulative risk (CR) of CRC for male mutation carriers by age 70 years was 19%. The CR among female carriers was 11% for CRC and 12% for EC. The mean age of CRC development was 52 years, and there was a significant difference in mean age of CRC between the </w:t>
            </w:r>
            <w:proofErr w:type="spellStart"/>
            <w:r>
              <w:rPr>
                <w:rFonts w:ascii="Segoe UI" w:hAnsi="Segoe UI" w:cs="Segoe UI"/>
                <w:sz w:val="18"/>
                <w:szCs w:val="18"/>
              </w:rPr>
              <w:t>probands</w:t>
            </w:r>
            <w:proofErr w:type="spellEnd"/>
            <w:r>
              <w:rPr>
                <w:rFonts w:ascii="Segoe UI" w:hAnsi="Segoe UI" w:cs="Segoe UI"/>
                <w:sz w:val="18"/>
                <w:szCs w:val="18"/>
              </w:rPr>
              <w:t xml:space="preserve"> (mean, 47 years) and other family members with a PMS2 mutation (mean, 58 years, P &lt; .001). Significant Standardized incidence ratios (SIRs) were observed for cancers of the small bowel, ovaries, breast, and renal pelvis.</w:t>
            </w:r>
          </w:p>
        </w:tc>
        <w:tc>
          <w:tcPr>
            <w:tcW w:w="1971" w:type="pct"/>
          </w:tcPr>
          <w:p w14:paraId="7A50D13C" w14:textId="0A523558" w:rsidR="00EF1504" w:rsidRPr="00D00705" w:rsidRDefault="00157C2A" w:rsidP="00757A5B">
            <w:hyperlink r:id="rId29" w:history="1">
              <w:r w:rsidR="00EF1504" w:rsidRPr="00564696">
                <w:rPr>
                  <w:rStyle w:val="Hyperlink"/>
                  <w:rFonts w:ascii="Segoe UI" w:hAnsi="Segoe UI" w:cs="Segoe UI"/>
                  <w:sz w:val="18"/>
                  <w:szCs w:val="18"/>
                </w:rPr>
                <w:t xml:space="preserve">J </w:t>
              </w:r>
              <w:proofErr w:type="spellStart"/>
              <w:r w:rsidR="00EF1504" w:rsidRPr="00564696">
                <w:rPr>
                  <w:rStyle w:val="Hyperlink"/>
                  <w:rFonts w:ascii="Segoe UI" w:hAnsi="Segoe UI" w:cs="Segoe UI"/>
                  <w:sz w:val="18"/>
                  <w:szCs w:val="18"/>
                </w:rPr>
                <w:t>Clin</w:t>
              </w:r>
              <w:proofErr w:type="spellEnd"/>
              <w:r w:rsidR="00EF1504" w:rsidRPr="00564696">
                <w:rPr>
                  <w:rStyle w:val="Hyperlink"/>
                  <w:rFonts w:ascii="Segoe UI" w:hAnsi="Segoe UI" w:cs="Segoe UI"/>
                  <w:sz w:val="18"/>
                  <w:szCs w:val="18"/>
                </w:rPr>
                <w:t xml:space="preserve"> </w:t>
              </w:r>
              <w:proofErr w:type="spellStart"/>
              <w:r w:rsidR="00EF1504" w:rsidRPr="00564696">
                <w:rPr>
                  <w:rStyle w:val="Hyperlink"/>
                  <w:rFonts w:ascii="Segoe UI" w:hAnsi="Segoe UI" w:cs="Segoe UI"/>
                  <w:sz w:val="18"/>
                  <w:szCs w:val="18"/>
                </w:rPr>
                <w:t>Oncol</w:t>
              </w:r>
              <w:proofErr w:type="spellEnd"/>
              <w:r w:rsidR="00EF1504" w:rsidRPr="00564696">
                <w:rPr>
                  <w:rStyle w:val="Hyperlink"/>
                  <w:rFonts w:ascii="Segoe UI" w:hAnsi="Segoe UI" w:cs="Segoe UI"/>
                  <w:sz w:val="18"/>
                  <w:szCs w:val="18"/>
                </w:rPr>
                <w:t>. 2015</w:t>
              </w:r>
              <w:proofErr w:type="gramStart"/>
              <w:r w:rsidR="00EF1504" w:rsidRPr="00564696">
                <w:rPr>
                  <w:rStyle w:val="Hyperlink"/>
                  <w:rFonts w:ascii="Segoe UI" w:hAnsi="Segoe UI" w:cs="Segoe UI"/>
                  <w:sz w:val="18"/>
                  <w:szCs w:val="18"/>
                </w:rPr>
                <w:t>;33</w:t>
              </w:r>
              <w:proofErr w:type="gramEnd"/>
              <w:r w:rsidR="00EF1504" w:rsidRPr="00564696">
                <w:rPr>
                  <w:rStyle w:val="Hyperlink"/>
                  <w:rFonts w:ascii="Segoe UI" w:hAnsi="Segoe UI" w:cs="Segoe UI"/>
                  <w:sz w:val="18"/>
                  <w:szCs w:val="18"/>
                </w:rPr>
                <w:t>(4):319-25.</w:t>
              </w:r>
            </w:hyperlink>
            <w:r w:rsidR="00EF1504">
              <w:rPr>
                <w:rFonts w:ascii="Segoe UI" w:hAnsi="Segoe UI" w:cs="Segoe UI"/>
                <w:sz w:val="18"/>
                <w:szCs w:val="18"/>
              </w:rPr>
              <w:t xml:space="preserve"> </w:t>
            </w:r>
          </w:p>
        </w:tc>
        <w:tc>
          <w:tcPr>
            <w:tcW w:w="541" w:type="pct"/>
          </w:tcPr>
          <w:p w14:paraId="0977DDAA" w14:textId="1F8F38A5" w:rsidR="00EF1504" w:rsidRDefault="00EF1504" w:rsidP="00757A5B">
            <w:r>
              <w:t>4 Feb 2015</w:t>
            </w:r>
          </w:p>
        </w:tc>
      </w:tr>
      <w:tr w:rsidR="00EF1504" w14:paraId="24D64BB4" w14:textId="77777777" w:rsidTr="00EF1504">
        <w:trPr>
          <w:cantSplit/>
        </w:trPr>
        <w:tc>
          <w:tcPr>
            <w:tcW w:w="166" w:type="pct"/>
          </w:tcPr>
          <w:p w14:paraId="75884F34" w14:textId="7938A458" w:rsidR="00EF1504" w:rsidRDefault="00EF1504" w:rsidP="00757A5B">
            <w:pPr>
              <w:rPr>
                <w:szCs w:val="20"/>
              </w:rPr>
            </w:pPr>
            <w:r>
              <w:rPr>
                <w:szCs w:val="20"/>
              </w:rPr>
              <w:lastRenderedPageBreak/>
              <w:t>17.</w:t>
            </w:r>
          </w:p>
        </w:tc>
        <w:tc>
          <w:tcPr>
            <w:tcW w:w="477" w:type="pct"/>
          </w:tcPr>
          <w:p w14:paraId="09537867" w14:textId="7606A269" w:rsidR="00EF1504" w:rsidRDefault="00EF1504" w:rsidP="00757A5B">
            <w:pPr>
              <w:rPr>
                <w:b/>
                <w:szCs w:val="20"/>
              </w:rPr>
            </w:pPr>
            <w:r>
              <w:t>Observational study</w:t>
            </w:r>
          </w:p>
        </w:tc>
        <w:tc>
          <w:tcPr>
            <w:tcW w:w="803" w:type="pct"/>
          </w:tcPr>
          <w:p w14:paraId="623EBA4B" w14:textId="77777777" w:rsidR="00EF1504" w:rsidRPr="00D00705" w:rsidRDefault="00EF1504" w:rsidP="00757A5B">
            <w:r w:rsidRPr="00D00705">
              <w:t xml:space="preserve">Colorectal and Other Cancer Risks for Carriers and </w:t>
            </w:r>
            <w:proofErr w:type="spellStart"/>
            <w:r w:rsidRPr="00D00705">
              <w:t>Noncarriers</w:t>
            </w:r>
            <w:proofErr w:type="spellEnd"/>
            <w:r w:rsidRPr="00D00705">
              <w:t xml:space="preserve"> From Families With a DNA Mismatch Repair Gene Mutation: A Prospective Cohort Study</w:t>
            </w:r>
          </w:p>
        </w:tc>
        <w:tc>
          <w:tcPr>
            <w:tcW w:w="1042" w:type="pct"/>
          </w:tcPr>
          <w:p w14:paraId="1B7DB5E7" w14:textId="7508180F" w:rsidR="00EF1504" w:rsidRDefault="00EF1504" w:rsidP="00757A5B">
            <w:r>
              <w:t xml:space="preserve">Study to determine cancer risks for carriers and </w:t>
            </w:r>
            <w:proofErr w:type="spellStart"/>
            <w:r>
              <w:t>non carriers</w:t>
            </w:r>
            <w:proofErr w:type="spellEnd"/>
            <w:r>
              <w:t xml:space="preserve"> from families with a MMR gene mutation </w:t>
            </w:r>
            <w:r>
              <w:rPr>
                <w:rFonts w:ascii="Segoe UI" w:hAnsi="Segoe UI" w:cs="Segoe UI"/>
                <w:sz w:val="18"/>
                <w:szCs w:val="18"/>
              </w:rPr>
              <w:t>a cohort of 446 unaffected carriers of an MMR gene mutation (MLH1, n = 161; MSH2, n = 222; MSH6, n = 47; and PMS2, n = 16) and 1,029 their unaffected relatives who did not carry a mutation every 5 years at recruitment centres of the Colon Cancer Family Registry.</w:t>
            </w:r>
          </w:p>
        </w:tc>
        <w:tc>
          <w:tcPr>
            <w:tcW w:w="1971" w:type="pct"/>
          </w:tcPr>
          <w:p w14:paraId="40B80C8D" w14:textId="4B76BA01" w:rsidR="00EF1504" w:rsidRPr="00D00705" w:rsidRDefault="00157C2A" w:rsidP="00757A5B">
            <w:hyperlink r:id="rId30" w:history="1">
              <w:r w:rsidR="00EF1504" w:rsidRPr="00F1762C">
                <w:rPr>
                  <w:rStyle w:val="Hyperlink"/>
                  <w:rFonts w:ascii="Segoe UI" w:hAnsi="Segoe UI" w:cs="Segoe UI"/>
                  <w:sz w:val="18"/>
                  <w:szCs w:val="18"/>
                </w:rPr>
                <w:t xml:space="preserve">J </w:t>
              </w:r>
              <w:proofErr w:type="spellStart"/>
              <w:r w:rsidR="00EF1504" w:rsidRPr="00F1762C">
                <w:rPr>
                  <w:rStyle w:val="Hyperlink"/>
                  <w:rFonts w:ascii="Segoe UI" w:hAnsi="Segoe UI" w:cs="Segoe UI"/>
                  <w:sz w:val="18"/>
                  <w:szCs w:val="18"/>
                </w:rPr>
                <w:t>Clin</w:t>
              </w:r>
              <w:proofErr w:type="spellEnd"/>
              <w:r w:rsidR="00EF1504" w:rsidRPr="00F1762C">
                <w:rPr>
                  <w:rStyle w:val="Hyperlink"/>
                  <w:rFonts w:ascii="Segoe UI" w:hAnsi="Segoe UI" w:cs="Segoe UI"/>
                  <w:sz w:val="18"/>
                  <w:szCs w:val="18"/>
                </w:rPr>
                <w:t xml:space="preserve"> </w:t>
              </w:r>
              <w:proofErr w:type="spellStart"/>
              <w:r w:rsidR="00EF1504" w:rsidRPr="00F1762C">
                <w:rPr>
                  <w:rStyle w:val="Hyperlink"/>
                  <w:rFonts w:ascii="Segoe UI" w:hAnsi="Segoe UI" w:cs="Segoe UI"/>
                  <w:sz w:val="18"/>
                  <w:szCs w:val="18"/>
                </w:rPr>
                <w:t>Oncol</w:t>
              </w:r>
              <w:proofErr w:type="spellEnd"/>
              <w:r w:rsidR="00EF1504" w:rsidRPr="00F1762C">
                <w:rPr>
                  <w:rStyle w:val="Hyperlink"/>
                  <w:rFonts w:ascii="Segoe UI" w:hAnsi="Segoe UI" w:cs="Segoe UI"/>
                  <w:sz w:val="18"/>
                  <w:szCs w:val="18"/>
                </w:rPr>
                <w:t>. 2012</w:t>
              </w:r>
              <w:proofErr w:type="gramStart"/>
              <w:r w:rsidR="00EF1504" w:rsidRPr="00F1762C">
                <w:rPr>
                  <w:rStyle w:val="Hyperlink"/>
                  <w:rFonts w:ascii="Segoe UI" w:hAnsi="Segoe UI" w:cs="Segoe UI"/>
                  <w:sz w:val="18"/>
                  <w:szCs w:val="18"/>
                </w:rPr>
                <w:t>;30</w:t>
              </w:r>
              <w:proofErr w:type="gramEnd"/>
              <w:r w:rsidR="00EF1504" w:rsidRPr="00F1762C">
                <w:rPr>
                  <w:rStyle w:val="Hyperlink"/>
                  <w:rFonts w:ascii="Segoe UI" w:hAnsi="Segoe UI" w:cs="Segoe UI"/>
                  <w:sz w:val="18"/>
                  <w:szCs w:val="18"/>
                </w:rPr>
                <w:t>(9):958-64.</w:t>
              </w:r>
            </w:hyperlink>
            <w:r w:rsidR="00EF1504">
              <w:t xml:space="preserve"> </w:t>
            </w:r>
          </w:p>
        </w:tc>
        <w:tc>
          <w:tcPr>
            <w:tcW w:w="541" w:type="pct"/>
          </w:tcPr>
          <w:p w14:paraId="6FC64873" w14:textId="6BEB40B5" w:rsidR="00EF1504" w:rsidRDefault="00EF1504" w:rsidP="00757A5B">
            <w:r>
              <w:t>13 Feb 2012</w:t>
            </w:r>
          </w:p>
        </w:tc>
      </w:tr>
      <w:tr w:rsidR="00EF1504" w14:paraId="25B17529" w14:textId="77777777" w:rsidTr="00EF1504">
        <w:trPr>
          <w:cantSplit/>
        </w:trPr>
        <w:tc>
          <w:tcPr>
            <w:tcW w:w="166" w:type="pct"/>
          </w:tcPr>
          <w:p w14:paraId="4C230FD5" w14:textId="30214ADF" w:rsidR="00EF1504" w:rsidRDefault="00EF1504" w:rsidP="00757A5B">
            <w:pPr>
              <w:rPr>
                <w:szCs w:val="20"/>
              </w:rPr>
            </w:pPr>
            <w:r>
              <w:rPr>
                <w:szCs w:val="20"/>
              </w:rPr>
              <w:lastRenderedPageBreak/>
              <w:t>18.</w:t>
            </w:r>
          </w:p>
        </w:tc>
        <w:tc>
          <w:tcPr>
            <w:tcW w:w="477" w:type="pct"/>
          </w:tcPr>
          <w:p w14:paraId="7823373E" w14:textId="4171A3A5" w:rsidR="00EF1504" w:rsidRDefault="00EF1504" w:rsidP="00757A5B">
            <w:pPr>
              <w:rPr>
                <w:b/>
                <w:szCs w:val="20"/>
              </w:rPr>
            </w:pPr>
            <w:r>
              <w:t>Observational study</w:t>
            </w:r>
          </w:p>
        </w:tc>
        <w:tc>
          <w:tcPr>
            <w:tcW w:w="803" w:type="pct"/>
          </w:tcPr>
          <w:p w14:paraId="7A0B2FB2" w14:textId="77777777" w:rsidR="00EF1504" w:rsidRPr="00D00705" w:rsidRDefault="00EF1504" w:rsidP="00757A5B">
            <w:r w:rsidRPr="00D00705">
              <w:t xml:space="preserve">Cancer incidence and survival in Lynch syndrome patients receiving </w:t>
            </w:r>
            <w:proofErr w:type="spellStart"/>
            <w:r w:rsidRPr="00D00705">
              <w:t>colonoscopic</w:t>
            </w:r>
            <w:proofErr w:type="spellEnd"/>
            <w:r w:rsidRPr="00D00705">
              <w:t xml:space="preserve"> and gynaecological surveillance: first report from the prospective Lynch syndrome database</w:t>
            </w:r>
          </w:p>
        </w:tc>
        <w:tc>
          <w:tcPr>
            <w:tcW w:w="1042" w:type="pct"/>
          </w:tcPr>
          <w:p w14:paraId="1A31A857" w14:textId="050D4A07" w:rsidR="00EF1504" w:rsidRDefault="00EF1504" w:rsidP="00757A5B">
            <w:r>
              <w:t>M</w:t>
            </w:r>
            <w:r w:rsidRPr="00C90BD2">
              <w:t>ulticentre study of patients carrying Lynch syndrome-associated mutations affecting MLH1, MSH2, MSH6 or PMS2.</w:t>
            </w:r>
            <w:r>
              <w:t xml:space="preserve"> </w:t>
            </w:r>
            <w:r w:rsidRPr="00C90BD2">
              <w:t xml:space="preserve">1942 mutation carriers without previous cancer had follow-up including </w:t>
            </w:r>
            <w:proofErr w:type="spellStart"/>
            <w:r w:rsidRPr="00C90BD2">
              <w:t>colonoscopic</w:t>
            </w:r>
            <w:proofErr w:type="spellEnd"/>
            <w:r w:rsidRPr="00C90BD2">
              <w:t xml:space="preserve"> surveillance for 13 782 observation years. 314 patients developed cancer</w:t>
            </w:r>
            <w:r>
              <w:t xml:space="preserve">. </w:t>
            </w:r>
            <w:r w:rsidRPr="00C90BD2">
              <w:t>Among first cancer detected in each patient the colorectal cancer cumulative incidences at 70 years by gene were 46%, 35%, 20% and 10% for MLH1, MSH2, MSH6 and PMS2 mutation carriers, respectively. The equivalent cumulative incidences for endometrial cancer were 34%, 51%, 49% and 24%; and for ovarian cancer 11%, 15%, 0% and 0%.</w:t>
            </w:r>
          </w:p>
        </w:tc>
        <w:tc>
          <w:tcPr>
            <w:tcW w:w="1971" w:type="pct"/>
          </w:tcPr>
          <w:p w14:paraId="7E13E200" w14:textId="737875EB" w:rsidR="00EF1504" w:rsidRPr="00D00705" w:rsidRDefault="00157C2A" w:rsidP="00757A5B">
            <w:hyperlink r:id="rId31" w:history="1">
              <w:r w:rsidR="00EF1504" w:rsidRPr="00C90BD2">
                <w:rPr>
                  <w:rStyle w:val="Hyperlink"/>
                  <w:rFonts w:ascii="Segoe UI" w:hAnsi="Segoe UI" w:cs="Segoe UI"/>
                  <w:sz w:val="18"/>
                  <w:szCs w:val="18"/>
                </w:rPr>
                <w:t>Gut. 2017</w:t>
              </w:r>
              <w:proofErr w:type="gramStart"/>
              <w:r w:rsidR="00EF1504" w:rsidRPr="00C90BD2">
                <w:rPr>
                  <w:rStyle w:val="Hyperlink"/>
                  <w:rFonts w:ascii="Segoe UI" w:hAnsi="Segoe UI" w:cs="Segoe UI"/>
                  <w:sz w:val="18"/>
                  <w:szCs w:val="18"/>
                </w:rPr>
                <w:t>;66</w:t>
              </w:r>
              <w:proofErr w:type="gramEnd"/>
              <w:r w:rsidR="00EF1504" w:rsidRPr="00C90BD2">
                <w:rPr>
                  <w:rStyle w:val="Hyperlink"/>
                  <w:rFonts w:ascii="Segoe UI" w:hAnsi="Segoe UI" w:cs="Segoe UI"/>
                  <w:sz w:val="18"/>
                  <w:szCs w:val="18"/>
                </w:rPr>
                <w:t>(3):464-72</w:t>
              </w:r>
            </w:hyperlink>
            <w:r w:rsidR="00EF1504">
              <w:rPr>
                <w:rFonts w:ascii="Segoe UI" w:hAnsi="Segoe UI" w:cs="Segoe UI"/>
                <w:sz w:val="18"/>
                <w:szCs w:val="18"/>
              </w:rPr>
              <w:t xml:space="preserve">. </w:t>
            </w:r>
          </w:p>
        </w:tc>
        <w:tc>
          <w:tcPr>
            <w:tcW w:w="541" w:type="pct"/>
          </w:tcPr>
          <w:p w14:paraId="5BD21661" w14:textId="46AA0C29" w:rsidR="00EF1504" w:rsidRDefault="00EF1504" w:rsidP="00757A5B">
            <w:r>
              <w:t>2017</w:t>
            </w:r>
          </w:p>
        </w:tc>
      </w:tr>
      <w:tr w:rsidR="00EF1504" w14:paraId="00DB5771" w14:textId="77777777" w:rsidTr="00EF1504">
        <w:trPr>
          <w:cantSplit/>
        </w:trPr>
        <w:tc>
          <w:tcPr>
            <w:tcW w:w="166" w:type="pct"/>
          </w:tcPr>
          <w:p w14:paraId="23E86B48" w14:textId="68419FC2" w:rsidR="00EF1504" w:rsidRDefault="00EF1504" w:rsidP="00757A5B">
            <w:pPr>
              <w:rPr>
                <w:szCs w:val="20"/>
              </w:rPr>
            </w:pPr>
            <w:r>
              <w:rPr>
                <w:szCs w:val="20"/>
              </w:rPr>
              <w:t>19.</w:t>
            </w:r>
          </w:p>
        </w:tc>
        <w:tc>
          <w:tcPr>
            <w:tcW w:w="477" w:type="pct"/>
          </w:tcPr>
          <w:p w14:paraId="26686447" w14:textId="179E6D7E" w:rsidR="00EF1504" w:rsidRDefault="00EF1504" w:rsidP="00757A5B">
            <w:pPr>
              <w:rPr>
                <w:b/>
                <w:szCs w:val="20"/>
              </w:rPr>
            </w:pPr>
            <w:r>
              <w:t>Observational study</w:t>
            </w:r>
          </w:p>
        </w:tc>
        <w:tc>
          <w:tcPr>
            <w:tcW w:w="803" w:type="pct"/>
          </w:tcPr>
          <w:p w14:paraId="0DDBB756" w14:textId="77777777" w:rsidR="00EF1504" w:rsidRPr="00D00705" w:rsidRDefault="00EF1504" w:rsidP="00757A5B">
            <w:r w:rsidRPr="00034157">
              <w:t>Colorectal surveillance in Lynch syndrome families</w:t>
            </w:r>
          </w:p>
        </w:tc>
        <w:tc>
          <w:tcPr>
            <w:tcW w:w="1042" w:type="pct"/>
          </w:tcPr>
          <w:p w14:paraId="411512EB" w14:textId="6507CEA3" w:rsidR="00EF1504" w:rsidRDefault="00EF1504" w:rsidP="00757A5B">
            <w:r>
              <w:t>Report on surveillance program for registered LS families.</w:t>
            </w:r>
          </w:p>
        </w:tc>
        <w:tc>
          <w:tcPr>
            <w:tcW w:w="1971" w:type="pct"/>
          </w:tcPr>
          <w:p w14:paraId="60838F72" w14:textId="622CBF7F" w:rsidR="00EF1504" w:rsidRPr="00D00705" w:rsidRDefault="00157C2A" w:rsidP="00757A5B">
            <w:hyperlink r:id="rId32" w:history="1">
              <w:r w:rsidR="00EF1504" w:rsidRPr="00E139AC">
                <w:rPr>
                  <w:rStyle w:val="Hyperlink"/>
                  <w:rFonts w:ascii="Segoe UI" w:hAnsi="Segoe UI" w:cs="Segoe UI"/>
                  <w:sz w:val="18"/>
                  <w:szCs w:val="18"/>
                </w:rPr>
                <w:t>Cancer. 2013</w:t>
              </w:r>
              <w:proofErr w:type="gramStart"/>
              <w:r w:rsidR="00EF1504" w:rsidRPr="00E139AC">
                <w:rPr>
                  <w:rStyle w:val="Hyperlink"/>
                  <w:rFonts w:ascii="Segoe UI" w:hAnsi="Segoe UI" w:cs="Segoe UI"/>
                  <w:sz w:val="18"/>
                  <w:szCs w:val="18"/>
                </w:rPr>
                <w:t>;12</w:t>
              </w:r>
              <w:proofErr w:type="gramEnd"/>
              <w:r w:rsidR="00EF1504" w:rsidRPr="00E139AC">
                <w:rPr>
                  <w:rStyle w:val="Hyperlink"/>
                  <w:rFonts w:ascii="Segoe UI" w:hAnsi="Segoe UI" w:cs="Segoe UI"/>
                  <w:sz w:val="18"/>
                  <w:szCs w:val="18"/>
                </w:rPr>
                <w:t>(2):261-5.</w:t>
              </w:r>
            </w:hyperlink>
          </w:p>
        </w:tc>
        <w:tc>
          <w:tcPr>
            <w:tcW w:w="541" w:type="pct"/>
          </w:tcPr>
          <w:p w14:paraId="3222EC98" w14:textId="084C7A1B" w:rsidR="00EF1504" w:rsidRDefault="00EF1504" w:rsidP="00757A5B">
            <w:r>
              <w:t>23 Mar 2013</w:t>
            </w:r>
          </w:p>
        </w:tc>
      </w:tr>
      <w:tr w:rsidR="00EF1504" w14:paraId="0B50563C" w14:textId="77777777" w:rsidTr="00EF1504">
        <w:trPr>
          <w:cantSplit/>
        </w:trPr>
        <w:tc>
          <w:tcPr>
            <w:tcW w:w="166" w:type="pct"/>
          </w:tcPr>
          <w:p w14:paraId="79B643D1" w14:textId="26942AEE" w:rsidR="00EF1504" w:rsidRDefault="00EF1504" w:rsidP="00757A5B">
            <w:pPr>
              <w:rPr>
                <w:szCs w:val="20"/>
              </w:rPr>
            </w:pPr>
            <w:r>
              <w:rPr>
                <w:szCs w:val="20"/>
              </w:rPr>
              <w:lastRenderedPageBreak/>
              <w:t>20.</w:t>
            </w:r>
          </w:p>
        </w:tc>
        <w:tc>
          <w:tcPr>
            <w:tcW w:w="477" w:type="pct"/>
          </w:tcPr>
          <w:p w14:paraId="6054AADA" w14:textId="6C5E9973" w:rsidR="00EF1504" w:rsidRDefault="00EF1504" w:rsidP="00757A5B">
            <w:pPr>
              <w:rPr>
                <w:b/>
                <w:szCs w:val="20"/>
              </w:rPr>
            </w:pPr>
            <w:r>
              <w:t>Cost benefit study</w:t>
            </w:r>
          </w:p>
        </w:tc>
        <w:tc>
          <w:tcPr>
            <w:tcW w:w="803" w:type="pct"/>
          </w:tcPr>
          <w:p w14:paraId="2B2B513A" w14:textId="77777777" w:rsidR="00EF1504" w:rsidRPr="00034157" w:rsidRDefault="00EF1504" w:rsidP="00757A5B">
            <w:r w:rsidRPr="00D00705">
              <w:t>A model-based assessment of the cost–utility of strategies to identify Lynch syndrome in early-onset colorectal cancer patients</w:t>
            </w:r>
          </w:p>
        </w:tc>
        <w:tc>
          <w:tcPr>
            <w:tcW w:w="1042" w:type="pct"/>
          </w:tcPr>
          <w:p w14:paraId="37D7E45B" w14:textId="53C716EB" w:rsidR="00EF1504" w:rsidRDefault="00EF1504" w:rsidP="00757A5B">
            <w:r>
              <w:t xml:space="preserve">Study of the </w:t>
            </w:r>
            <w:r>
              <w:rPr>
                <w:rFonts w:ascii="Segoe UI" w:hAnsi="Segoe UI" w:cs="Segoe UI"/>
                <w:sz w:val="18"/>
                <w:szCs w:val="18"/>
              </w:rPr>
              <w:t>cost–utility of strategies to identify Lynch syndrome in individuals with early-onset colorectal cancer in the UK National Health Service.</w:t>
            </w:r>
          </w:p>
        </w:tc>
        <w:tc>
          <w:tcPr>
            <w:tcW w:w="1971" w:type="pct"/>
          </w:tcPr>
          <w:p w14:paraId="70603911" w14:textId="00864C35" w:rsidR="00EF1504" w:rsidRPr="00D00705" w:rsidRDefault="00157C2A" w:rsidP="00757A5B">
            <w:hyperlink r:id="rId33" w:history="1">
              <w:r w:rsidR="00EF1504" w:rsidRPr="00DA45A8">
                <w:rPr>
                  <w:rStyle w:val="Hyperlink"/>
                  <w:rFonts w:ascii="Segoe UI" w:hAnsi="Segoe UI" w:cs="Segoe UI"/>
                  <w:sz w:val="18"/>
                  <w:szCs w:val="18"/>
                </w:rPr>
                <w:t>BMC Cancer. 2015</w:t>
              </w:r>
              <w:proofErr w:type="gramStart"/>
              <w:r w:rsidR="00EF1504" w:rsidRPr="00DA45A8">
                <w:rPr>
                  <w:rStyle w:val="Hyperlink"/>
                  <w:rFonts w:ascii="Segoe UI" w:hAnsi="Segoe UI" w:cs="Segoe UI"/>
                  <w:sz w:val="18"/>
                  <w:szCs w:val="18"/>
                </w:rPr>
                <w:t>;15</w:t>
              </w:r>
              <w:proofErr w:type="gramEnd"/>
              <w:r w:rsidR="00EF1504" w:rsidRPr="00DA45A8">
                <w:rPr>
                  <w:rStyle w:val="Hyperlink"/>
                  <w:rFonts w:ascii="Segoe UI" w:hAnsi="Segoe UI" w:cs="Segoe UI"/>
                  <w:sz w:val="18"/>
                  <w:szCs w:val="18"/>
                </w:rPr>
                <w:t>(1):313</w:t>
              </w:r>
            </w:hyperlink>
            <w:r w:rsidR="00EF1504">
              <w:rPr>
                <w:rFonts w:ascii="Segoe UI" w:hAnsi="Segoe UI" w:cs="Segoe UI"/>
                <w:sz w:val="18"/>
                <w:szCs w:val="18"/>
              </w:rPr>
              <w:t xml:space="preserve">. </w:t>
            </w:r>
          </w:p>
        </w:tc>
        <w:tc>
          <w:tcPr>
            <w:tcW w:w="541" w:type="pct"/>
          </w:tcPr>
          <w:p w14:paraId="367A425A" w14:textId="7E5ED3CC" w:rsidR="00EF1504" w:rsidRDefault="00EF1504" w:rsidP="00757A5B">
            <w:r>
              <w:t>25 Apr 2015</w:t>
            </w:r>
          </w:p>
        </w:tc>
      </w:tr>
      <w:tr w:rsidR="00EF1504" w14:paraId="0E8865CE" w14:textId="77777777" w:rsidTr="00EF1504">
        <w:trPr>
          <w:cantSplit/>
        </w:trPr>
        <w:tc>
          <w:tcPr>
            <w:tcW w:w="166" w:type="pct"/>
          </w:tcPr>
          <w:p w14:paraId="2408DF9D" w14:textId="2DED2018" w:rsidR="00EF1504" w:rsidRDefault="00EF1504" w:rsidP="00757A5B">
            <w:pPr>
              <w:rPr>
                <w:szCs w:val="20"/>
              </w:rPr>
            </w:pPr>
            <w:r>
              <w:rPr>
                <w:szCs w:val="20"/>
              </w:rPr>
              <w:t>21.</w:t>
            </w:r>
          </w:p>
        </w:tc>
        <w:tc>
          <w:tcPr>
            <w:tcW w:w="477" w:type="pct"/>
          </w:tcPr>
          <w:p w14:paraId="03775D22" w14:textId="07FFEE0E" w:rsidR="00EF1504" w:rsidRDefault="00EF1504" w:rsidP="00757A5B">
            <w:pPr>
              <w:rPr>
                <w:b/>
                <w:szCs w:val="20"/>
              </w:rPr>
            </w:pPr>
            <w:r>
              <w:t>Clinical practice guidelines</w:t>
            </w:r>
          </w:p>
        </w:tc>
        <w:tc>
          <w:tcPr>
            <w:tcW w:w="803" w:type="pct"/>
          </w:tcPr>
          <w:p w14:paraId="153CA5B0" w14:textId="77777777" w:rsidR="00EF1504" w:rsidRPr="00D00705" w:rsidRDefault="00EF1504" w:rsidP="00757A5B">
            <w:r w:rsidRPr="00765D97">
              <w:t>Molecular Biomarkers for the Evaluation of Colorectal Cancer: Guideline From the American Society for Clinical Pathology, College of American Pathologists, Association for Molecular Pathology, and the American Society of Clinical Oncology</w:t>
            </w:r>
          </w:p>
        </w:tc>
        <w:tc>
          <w:tcPr>
            <w:tcW w:w="1042" w:type="pct"/>
          </w:tcPr>
          <w:p w14:paraId="52AD1D97" w14:textId="28282487" w:rsidR="00EF1504" w:rsidRDefault="00EF1504" w:rsidP="00757A5B">
            <w:r>
              <w:t>Clinical practice guidelines for the evaluation of CRC.</w:t>
            </w:r>
          </w:p>
        </w:tc>
        <w:tc>
          <w:tcPr>
            <w:tcW w:w="1971" w:type="pct"/>
          </w:tcPr>
          <w:p w14:paraId="5654FCBA" w14:textId="0CE1F2C2" w:rsidR="00EF1504" w:rsidRPr="00D00705" w:rsidRDefault="00157C2A" w:rsidP="00757A5B">
            <w:hyperlink r:id="rId34" w:history="1">
              <w:r w:rsidR="00EF1504" w:rsidRPr="0085591B">
                <w:rPr>
                  <w:rStyle w:val="Hyperlink"/>
                  <w:rFonts w:ascii="Segoe UI" w:hAnsi="Segoe UI" w:cs="Segoe UI"/>
                  <w:sz w:val="18"/>
                  <w:szCs w:val="18"/>
                </w:rPr>
                <w:t xml:space="preserve">J of </w:t>
              </w:r>
              <w:proofErr w:type="spellStart"/>
              <w:r w:rsidR="00EF1504" w:rsidRPr="0085591B">
                <w:rPr>
                  <w:rStyle w:val="Hyperlink"/>
                  <w:rFonts w:ascii="Segoe UI" w:hAnsi="Segoe UI" w:cs="Segoe UI"/>
                  <w:sz w:val="18"/>
                  <w:szCs w:val="18"/>
                </w:rPr>
                <w:t>Clinl</w:t>
              </w:r>
              <w:proofErr w:type="spellEnd"/>
              <w:r w:rsidR="00EF1504" w:rsidRPr="0085591B">
                <w:rPr>
                  <w:rStyle w:val="Hyperlink"/>
                  <w:rFonts w:ascii="Segoe UI" w:hAnsi="Segoe UI" w:cs="Segoe UI"/>
                  <w:sz w:val="18"/>
                  <w:szCs w:val="18"/>
                </w:rPr>
                <w:t xml:space="preserve"> </w:t>
              </w:r>
              <w:proofErr w:type="spellStart"/>
              <w:r w:rsidR="00EF1504" w:rsidRPr="0085591B">
                <w:rPr>
                  <w:rStyle w:val="Hyperlink"/>
                  <w:rFonts w:ascii="Segoe UI" w:hAnsi="Segoe UI" w:cs="Segoe UI"/>
                  <w:sz w:val="18"/>
                  <w:szCs w:val="18"/>
                </w:rPr>
                <w:t>Oncol</w:t>
              </w:r>
              <w:proofErr w:type="spellEnd"/>
              <w:r w:rsidR="00EF1504" w:rsidRPr="0085591B">
                <w:rPr>
                  <w:rStyle w:val="Hyperlink"/>
                  <w:rFonts w:ascii="Segoe UI" w:hAnsi="Segoe UI" w:cs="Segoe UI"/>
                  <w:sz w:val="18"/>
                  <w:szCs w:val="18"/>
                </w:rPr>
                <w:t>. JCO.2016.71.9807</w:t>
              </w:r>
              <w:proofErr w:type="gramStart"/>
              <w:r w:rsidR="00EF1504" w:rsidRPr="0085591B">
                <w:rPr>
                  <w:rStyle w:val="Hyperlink"/>
                  <w:rFonts w:ascii="Segoe UI" w:hAnsi="Segoe UI" w:cs="Segoe UI"/>
                  <w:sz w:val="18"/>
                  <w:szCs w:val="18"/>
                </w:rPr>
                <w:t>,2016</w:t>
              </w:r>
              <w:proofErr w:type="gramEnd"/>
              <w:r w:rsidR="00EF1504" w:rsidRPr="0085591B">
                <w:rPr>
                  <w:rStyle w:val="Hyperlink"/>
                  <w:rFonts w:ascii="Segoe UI" w:hAnsi="Segoe UI" w:cs="Segoe UI"/>
                  <w:sz w:val="18"/>
                  <w:szCs w:val="18"/>
                </w:rPr>
                <w:t>;.71.9807</w:t>
              </w:r>
            </w:hyperlink>
            <w:r w:rsidR="00EF1504">
              <w:rPr>
                <w:rFonts w:ascii="Segoe UI" w:hAnsi="Segoe UI" w:cs="Segoe UI"/>
                <w:sz w:val="18"/>
                <w:szCs w:val="18"/>
              </w:rPr>
              <w:t xml:space="preserve">. </w:t>
            </w:r>
          </w:p>
        </w:tc>
        <w:tc>
          <w:tcPr>
            <w:tcW w:w="541" w:type="pct"/>
          </w:tcPr>
          <w:p w14:paraId="1570415E" w14:textId="77777777" w:rsidR="00EF1504" w:rsidRDefault="00EF1504" w:rsidP="00757A5B">
            <w:r>
              <w:t>May 2017</w:t>
            </w:r>
          </w:p>
        </w:tc>
      </w:tr>
      <w:tr w:rsidR="00EF1504" w14:paraId="591F8A60" w14:textId="77777777" w:rsidTr="00EF1504">
        <w:trPr>
          <w:cantSplit/>
        </w:trPr>
        <w:tc>
          <w:tcPr>
            <w:tcW w:w="166" w:type="pct"/>
          </w:tcPr>
          <w:p w14:paraId="21B63B39" w14:textId="5C4F5DBD" w:rsidR="00EF1504" w:rsidRDefault="00EF1504" w:rsidP="00757A5B">
            <w:pPr>
              <w:rPr>
                <w:szCs w:val="20"/>
              </w:rPr>
            </w:pPr>
            <w:r>
              <w:rPr>
                <w:szCs w:val="20"/>
              </w:rPr>
              <w:t>22.</w:t>
            </w:r>
          </w:p>
        </w:tc>
        <w:tc>
          <w:tcPr>
            <w:tcW w:w="477" w:type="pct"/>
          </w:tcPr>
          <w:p w14:paraId="670AB3B3" w14:textId="14BB6A9E" w:rsidR="00EF1504" w:rsidRDefault="00EF1504" w:rsidP="00757A5B">
            <w:pPr>
              <w:rPr>
                <w:b/>
                <w:szCs w:val="20"/>
              </w:rPr>
            </w:pPr>
            <w:r>
              <w:t>Letter to the Editor</w:t>
            </w:r>
          </w:p>
        </w:tc>
        <w:tc>
          <w:tcPr>
            <w:tcW w:w="803" w:type="pct"/>
          </w:tcPr>
          <w:p w14:paraId="209CCA7F" w14:textId="77777777" w:rsidR="00EF1504" w:rsidRPr="00765D97" w:rsidRDefault="00EF1504" w:rsidP="00757A5B">
            <w:r w:rsidRPr="00765D97">
              <w:t>Universal screening for microsatellite instability in colorectal cancer in the clinical genomics era: new recommendations, methods, and considerations</w:t>
            </w:r>
          </w:p>
        </w:tc>
        <w:tc>
          <w:tcPr>
            <w:tcW w:w="1042" w:type="pct"/>
          </w:tcPr>
          <w:p w14:paraId="3A113644" w14:textId="1242C9D3" w:rsidR="00EF1504" w:rsidRDefault="00EF1504" w:rsidP="00757A5B">
            <w:r>
              <w:t>Discussion of Clinical Practice Guidelines for testing of MMR MSI with summary of advantages and drawbacks of different conventional and NGS based methods for testing.</w:t>
            </w:r>
          </w:p>
        </w:tc>
        <w:tc>
          <w:tcPr>
            <w:tcW w:w="1971" w:type="pct"/>
          </w:tcPr>
          <w:p w14:paraId="415B9729" w14:textId="33B013ED" w:rsidR="00EF1504" w:rsidRPr="00765D97" w:rsidRDefault="00157C2A" w:rsidP="00757A5B">
            <w:hyperlink r:id="rId35" w:history="1">
              <w:r w:rsidR="00EF1504">
                <w:rPr>
                  <w:rStyle w:val="Hyperlink"/>
                  <w:rFonts w:ascii="Segoe UI" w:hAnsi="Segoe UI" w:cs="Segoe UI"/>
                  <w:sz w:val="18"/>
                  <w:szCs w:val="18"/>
                </w:rPr>
                <w:t>Fam Cancer. 2017</w:t>
              </w:r>
              <w:proofErr w:type="gramStart"/>
              <w:r w:rsidR="00EF1504">
                <w:rPr>
                  <w:rStyle w:val="Hyperlink"/>
                  <w:rFonts w:ascii="Segoe UI" w:hAnsi="Segoe UI" w:cs="Segoe UI"/>
                  <w:sz w:val="18"/>
                  <w:szCs w:val="18"/>
                </w:rPr>
                <w:t>;16</w:t>
              </w:r>
              <w:proofErr w:type="gramEnd"/>
              <w:r w:rsidR="00EF1504">
                <w:rPr>
                  <w:rStyle w:val="Hyperlink"/>
                  <w:rFonts w:ascii="Segoe UI" w:hAnsi="Segoe UI" w:cs="Segoe UI"/>
                  <w:sz w:val="18"/>
                  <w:szCs w:val="18"/>
                </w:rPr>
                <w:t>(4):525–9.</w:t>
              </w:r>
            </w:hyperlink>
            <w:r w:rsidR="00EF1504">
              <w:rPr>
                <w:rFonts w:ascii="Segoe UI" w:hAnsi="Segoe UI" w:cs="Segoe UI"/>
                <w:sz w:val="18"/>
                <w:szCs w:val="18"/>
              </w:rPr>
              <w:t xml:space="preserve"> </w:t>
            </w:r>
          </w:p>
        </w:tc>
        <w:tc>
          <w:tcPr>
            <w:tcW w:w="541" w:type="pct"/>
          </w:tcPr>
          <w:p w14:paraId="71C2CC2B" w14:textId="2CDC0FE4" w:rsidR="00EF1504" w:rsidRDefault="00EF1504" w:rsidP="00757A5B">
            <w:r>
              <w:t>12 Apr 2017</w:t>
            </w:r>
          </w:p>
        </w:tc>
      </w:tr>
      <w:tr w:rsidR="00EF1504" w14:paraId="190E9A69" w14:textId="77777777" w:rsidTr="00EF1504">
        <w:trPr>
          <w:cantSplit/>
        </w:trPr>
        <w:tc>
          <w:tcPr>
            <w:tcW w:w="166" w:type="pct"/>
          </w:tcPr>
          <w:p w14:paraId="2A0C6F5A" w14:textId="0C33EE8D" w:rsidR="00EF1504" w:rsidRDefault="00EF1504" w:rsidP="00757A5B">
            <w:pPr>
              <w:rPr>
                <w:szCs w:val="20"/>
              </w:rPr>
            </w:pPr>
            <w:r>
              <w:rPr>
                <w:szCs w:val="20"/>
              </w:rPr>
              <w:lastRenderedPageBreak/>
              <w:t>23.</w:t>
            </w:r>
          </w:p>
        </w:tc>
        <w:tc>
          <w:tcPr>
            <w:tcW w:w="477" w:type="pct"/>
          </w:tcPr>
          <w:p w14:paraId="3A188771" w14:textId="5AE826E6" w:rsidR="00EF1504" w:rsidRDefault="00EF1504" w:rsidP="00757A5B">
            <w:pPr>
              <w:rPr>
                <w:b/>
                <w:szCs w:val="20"/>
              </w:rPr>
            </w:pPr>
            <w:r>
              <w:t>Report</w:t>
            </w:r>
          </w:p>
        </w:tc>
        <w:tc>
          <w:tcPr>
            <w:tcW w:w="803" w:type="pct"/>
          </w:tcPr>
          <w:p w14:paraId="5A10D949" w14:textId="4E6D1A2A" w:rsidR="00EF1504" w:rsidRPr="00765D97" w:rsidRDefault="00EF1504" w:rsidP="00757A5B">
            <w:r w:rsidRPr="00FF5D45">
              <w:t xml:space="preserve">Misdiagnosed, misunderstood and missing out: Lynch syndrome </w:t>
            </w:r>
            <w:r>
              <w:t>Australia’s untold health story</w:t>
            </w:r>
            <w:r w:rsidR="00007F60">
              <w:t xml:space="preserve">. </w:t>
            </w:r>
            <w:r w:rsidR="00007F60" w:rsidRPr="00FF5D45">
              <w:t>Lynch Syndrome Australia.</w:t>
            </w:r>
          </w:p>
        </w:tc>
        <w:tc>
          <w:tcPr>
            <w:tcW w:w="1042" w:type="pct"/>
          </w:tcPr>
          <w:p w14:paraId="536C9A30" w14:textId="3246B9A4" w:rsidR="00EF1504" w:rsidRDefault="00EF1504" w:rsidP="00757A5B">
            <w:r>
              <w:t>Report by Lynch Syndrome Australia into health system issues for patients with Lynch Syndrome with recommendations for improvements.</w:t>
            </w:r>
          </w:p>
        </w:tc>
        <w:tc>
          <w:tcPr>
            <w:tcW w:w="1971" w:type="pct"/>
          </w:tcPr>
          <w:p w14:paraId="08640705" w14:textId="58B121A7" w:rsidR="00EF1504" w:rsidRPr="00765D97" w:rsidRDefault="00157C2A" w:rsidP="00757A5B">
            <w:hyperlink r:id="rId36" w:history="1">
              <w:r w:rsidR="00EF1504" w:rsidRPr="000600FA">
                <w:rPr>
                  <w:rStyle w:val="Hyperlink"/>
                  <w:rFonts w:ascii="Segoe UI" w:hAnsi="Segoe UI" w:cs="Segoe UI"/>
                  <w:sz w:val="18"/>
                  <w:szCs w:val="18"/>
                </w:rPr>
                <w:t>Lynch Syndrome Australia. Misdiagnosed, misunderstood and missing out: Lynch syndrome Australia’s untold health story</w:t>
              </w:r>
            </w:hyperlink>
          </w:p>
        </w:tc>
        <w:tc>
          <w:tcPr>
            <w:tcW w:w="541" w:type="pct"/>
          </w:tcPr>
          <w:p w14:paraId="006E0DA8" w14:textId="77777777" w:rsidR="00EF1504" w:rsidRDefault="00EF1504" w:rsidP="00757A5B">
            <w:r>
              <w:t>2017</w:t>
            </w:r>
          </w:p>
        </w:tc>
      </w:tr>
    </w:tbl>
    <w:p w14:paraId="60466059"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06EB1023"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2D6C9C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0506F66A" w14:textId="77777777" w:rsidR="00564EE0" w:rsidRDefault="00564EE0" w:rsidP="00DD308E">
      <w:pPr>
        <w:spacing w:after="0"/>
        <w:ind w:left="426"/>
        <w:rPr>
          <w:i/>
          <w:szCs w:val="20"/>
        </w:rPr>
      </w:pPr>
    </w:p>
    <w:p w14:paraId="7727F94E" w14:textId="77777777" w:rsidR="00DD308E" w:rsidRDefault="00DD308E" w:rsidP="00DD308E">
      <w:pPr>
        <w:rPr>
          <w:i/>
          <w:szCs w:val="20"/>
        </w:rPr>
      </w:pPr>
      <w:r>
        <w:rPr>
          <w:i/>
          <w:szCs w:val="20"/>
        </w:rPr>
        <w:br w:type="page"/>
      </w:r>
    </w:p>
    <w:p w14:paraId="53940A08"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151A467"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5A9D3CB0" w14:textId="77777777" w:rsidTr="004C49EF">
        <w:trPr>
          <w:cantSplit/>
          <w:tblHeader/>
        </w:trPr>
        <w:tc>
          <w:tcPr>
            <w:tcW w:w="326" w:type="pct"/>
          </w:tcPr>
          <w:p w14:paraId="641CF8E7" w14:textId="77777777" w:rsidR="004C49EF" w:rsidRDefault="004C49EF" w:rsidP="00855944">
            <w:pPr>
              <w:pStyle w:val="TableHEADER"/>
            </w:pPr>
          </w:p>
        </w:tc>
        <w:tc>
          <w:tcPr>
            <w:tcW w:w="895" w:type="pct"/>
          </w:tcPr>
          <w:p w14:paraId="4685AEED" w14:textId="77777777" w:rsidR="004C49EF" w:rsidRDefault="004C49EF" w:rsidP="00855944">
            <w:pPr>
              <w:pStyle w:val="TableHEADER"/>
            </w:pPr>
            <w:r>
              <w:t>Type of study design*</w:t>
            </w:r>
          </w:p>
        </w:tc>
        <w:tc>
          <w:tcPr>
            <w:tcW w:w="1125" w:type="pct"/>
          </w:tcPr>
          <w:p w14:paraId="1194A15A" w14:textId="77777777" w:rsidR="004C49EF" w:rsidRDefault="004C49EF" w:rsidP="00855944">
            <w:pPr>
              <w:pStyle w:val="TableHEADER"/>
            </w:pPr>
            <w:r>
              <w:t>Title of research (including any trial identifier if relevant)</w:t>
            </w:r>
          </w:p>
        </w:tc>
        <w:tc>
          <w:tcPr>
            <w:tcW w:w="884" w:type="pct"/>
          </w:tcPr>
          <w:p w14:paraId="0DFEB8B7" w14:textId="77777777" w:rsidR="004C49EF" w:rsidRDefault="00367C1B" w:rsidP="00855944">
            <w:pPr>
              <w:pStyle w:val="TableHEADER"/>
            </w:pPr>
            <w:r>
              <w:t xml:space="preserve">Short description of research </w:t>
            </w:r>
            <w:r w:rsidR="004C49EF">
              <w:t>(max 50 words)**</w:t>
            </w:r>
          </w:p>
        </w:tc>
        <w:tc>
          <w:tcPr>
            <w:tcW w:w="1246" w:type="pct"/>
          </w:tcPr>
          <w:p w14:paraId="0000EEBF" w14:textId="77777777" w:rsidR="004C49EF" w:rsidRDefault="004C49EF" w:rsidP="00855944">
            <w:pPr>
              <w:pStyle w:val="TableHEADER"/>
            </w:pPr>
            <w:r w:rsidRPr="00E82F54">
              <w:t xml:space="preserve">Website link to </w:t>
            </w:r>
            <w:r>
              <w:t>research (if available)</w:t>
            </w:r>
          </w:p>
        </w:tc>
        <w:tc>
          <w:tcPr>
            <w:tcW w:w="524" w:type="pct"/>
          </w:tcPr>
          <w:p w14:paraId="3ED3B395" w14:textId="77777777" w:rsidR="004C49EF" w:rsidRDefault="004C49EF" w:rsidP="00855944">
            <w:pPr>
              <w:pStyle w:val="TableHEADER"/>
            </w:pPr>
            <w:r w:rsidRPr="00E82F54">
              <w:t>Date*</w:t>
            </w:r>
            <w:r>
              <w:t>**</w:t>
            </w:r>
          </w:p>
        </w:tc>
      </w:tr>
      <w:tr w:rsidR="004C49EF" w14:paraId="2A66BD40" w14:textId="77777777" w:rsidTr="004C49EF">
        <w:trPr>
          <w:cantSplit/>
        </w:trPr>
        <w:tc>
          <w:tcPr>
            <w:tcW w:w="326" w:type="pct"/>
          </w:tcPr>
          <w:p w14:paraId="5D2E003B" w14:textId="77777777" w:rsidR="004C49EF" w:rsidRPr="00965B6B" w:rsidRDefault="004C49EF" w:rsidP="00526478">
            <w:pPr>
              <w:rPr>
                <w:szCs w:val="20"/>
              </w:rPr>
            </w:pPr>
            <w:r w:rsidRPr="00965B6B">
              <w:rPr>
                <w:szCs w:val="20"/>
              </w:rPr>
              <w:t>1</w:t>
            </w:r>
            <w:r>
              <w:rPr>
                <w:szCs w:val="20"/>
              </w:rPr>
              <w:t>.</w:t>
            </w:r>
          </w:p>
        </w:tc>
        <w:tc>
          <w:tcPr>
            <w:tcW w:w="895" w:type="pct"/>
          </w:tcPr>
          <w:p w14:paraId="48CBBE89"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4B596536"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3F8CA17C"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111BD5DC"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73E81B28"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730AF0FD" w14:textId="77777777" w:rsidTr="004C49EF">
        <w:trPr>
          <w:cantSplit/>
        </w:trPr>
        <w:tc>
          <w:tcPr>
            <w:tcW w:w="326" w:type="pct"/>
          </w:tcPr>
          <w:p w14:paraId="4277137F" w14:textId="77777777" w:rsidR="004C49EF" w:rsidRPr="00965B6B" w:rsidRDefault="004C49EF" w:rsidP="00526478">
            <w:pPr>
              <w:rPr>
                <w:szCs w:val="20"/>
              </w:rPr>
            </w:pPr>
            <w:r>
              <w:rPr>
                <w:szCs w:val="20"/>
              </w:rPr>
              <w:t>2.</w:t>
            </w:r>
          </w:p>
        </w:tc>
        <w:tc>
          <w:tcPr>
            <w:tcW w:w="895" w:type="pct"/>
          </w:tcPr>
          <w:p w14:paraId="6D33C16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58F9D8D"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19C2448"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E28B3F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A8C4A4A"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73990D3" w14:textId="77777777" w:rsidTr="004C49EF">
        <w:trPr>
          <w:cantSplit/>
        </w:trPr>
        <w:tc>
          <w:tcPr>
            <w:tcW w:w="326" w:type="pct"/>
          </w:tcPr>
          <w:p w14:paraId="05CC20B6" w14:textId="77777777" w:rsidR="004C49EF" w:rsidRDefault="004C49EF" w:rsidP="00526478">
            <w:pPr>
              <w:rPr>
                <w:szCs w:val="20"/>
              </w:rPr>
            </w:pPr>
            <w:r>
              <w:rPr>
                <w:szCs w:val="20"/>
              </w:rPr>
              <w:t>3.</w:t>
            </w:r>
          </w:p>
        </w:tc>
        <w:tc>
          <w:tcPr>
            <w:tcW w:w="895" w:type="pct"/>
          </w:tcPr>
          <w:p w14:paraId="030F90E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736BCE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59F961E7"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F2DBB0A"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86D614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69198F9A" w14:textId="77777777" w:rsidTr="004C49EF">
        <w:trPr>
          <w:cantSplit/>
        </w:trPr>
        <w:tc>
          <w:tcPr>
            <w:tcW w:w="326" w:type="pct"/>
          </w:tcPr>
          <w:p w14:paraId="4675B2B0" w14:textId="77777777" w:rsidR="004C49EF" w:rsidRDefault="004C49EF" w:rsidP="00526478">
            <w:pPr>
              <w:rPr>
                <w:szCs w:val="20"/>
              </w:rPr>
            </w:pPr>
            <w:r>
              <w:rPr>
                <w:szCs w:val="20"/>
              </w:rPr>
              <w:t>4.</w:t>
            </w:r>
          </w:p>
        </w:tc>
        <w:tc>
          <w:tcPr>
            <w:tcW w:w="895" w:type="pct"/>
          </w:tcPr>
          <w:p w14:paraId="2C54E115"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4F4B9F9F"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3376B0F"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012DF3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F090BE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ADAED8D" w14:textId="77777777" w:rsidTr="004C49EF">
        <w:trPr>
          <w:cantSplit/>
        </w:trPr>
        <w:tc>
          <w:tcPr>
            <w:tcW w:w="326" w:type="pct"/>
          </w:tcPr>
          <w:p w14:paraId="14A6F11F" w14:textId="77777777" w:rsidR="004C49EF" w:rsidRDefault="004C49EF" w:rsidP="00526478">
            <w:pPr>
              <w:rPr>
                <w:szCs w:val="20"/>
              </w:rPr>
            </w:pPr>
            <w:r>
              <w:rPr>
                <w:szCs w:val="20"/>
              </w:rPr>
              <w:t>5.</w:t>
            </w:r>
          </w:p>
        </w:tc>
        <w:tc>
          <w:tcPr>
            <w:tcW w:w="895" w:type="pct"/>
          </w:tcPr>
          <w:p w14:paraId="637CF47F"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4BBC9BDB"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DB3F3BB"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1B9A183D"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1A0A4B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2D1255F" w14:textId="77777777" w:rsidTr="004C49EF">
        <w:trPr>
          <w:cantSplit/>
        </w:trPr>
        <w:tc>
          <w:tcPr>
            <w:tcW w:w="326" w:type="pct"/>
          </w:tcPr>
          <w:p w14:paraId="0BD7E623" w14:textId="77777777" w:rsidR="004C49EF" w:rsidRDefault="004C49EF" w:rsidP="00526478">
            <w:pPr>
              <w:rPr>
                <w:szCs w:val="20"/>
              </w:rPr>
            </w:pPr>
            <w:r>
              <w:rPr>
                <w:szCs w:val="20"/>
              </w:rPr>
              <w:t>6.</w:t>
            </w:r>
          </w:p>
        </w:tc>
        <w:tc>
          <w:tcPr>
            <w:tcW w:w="895" w:type="pct"/>
          </w:tcPr>
          <w:p w14:paraId="74A4764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459CA9B"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63BE91DF"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0EEF1A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9B86A4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B90BD0C" w14:textId="77777777" w:rsidTr="004C49EF">
        <w:trPr>
          <w:cantSplit/>
        </w:trPr>
        <w:tc>
          <w:tcPr>
            <w:tcW w:w="326" w:type="pct"/>
          </w:tcPr>
          <w:p w14:paraId="2C935440" w14:textId="77777777" w:rsidR="004C49EF" w:rsidRDefault="004C49EF" w:rsidP="00526478">
            <w:pPr>
              <w:rPr>
                <w:szCs w:val="20"/>
              </w:rPr>
            </w:pPr>
            <w:r>
              <w:rPr>
                <w:szCs w:val="20"/>
              </w:rPr>
              <w:t>7.</w:t>
            </w:r>
          </w:p>
        </w:tc>
        <w:tc>
          <w:tcPr>
            <w:tcW w:w="895" w:type="pct"/>
          </w:tcPr>
          <w:p w14:paraId="2B13F19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727421C"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81FFE5D"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E6E3FF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6984B61"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24A2E8D" w14:textId="77777777" w:rsidTr="004C49EF">
        <w:trPr>
          <w:cantSplit/>
        </w:trPr>
        <w:tc>
          <w:tcPr>
            <w:tcW w:w="326" w:type="pct"/>
          </w:tcPr>
          <w:p w14:paraId="7AB17C60" w14:textId="77777777" w:rsidR="004C49EF" w:rsidRDefault="004C49EF" w:rsidP="00526478">
            <w:pPr>
              <w:rPr>
                <w:szCs w:val="20"/>
              </w:rPr>
            </w:pPr>
            <w:r>
              <w:rPr>
                <w:szCs w:val="20"/>
              </w:rPr>
              <w:t>8.</w:t>
            </w:r>
          </w:p>
        </w:tc>
        <w:tc>
          <w:tcPr>
            <w:tcW w:w="895" w:type="pct"/>
          </w:tcPr>
          <w:p w14:paraId="05FD7B5F"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8728ECD"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0DDD3D85"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B8DD22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AC352BF"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E4F4273" w14:textId="77777777" w:rsidTr="004C49EF">
        <w:trPr>
          <w:cantSplit/>
        </w:trPr>
        <w:tc>
          <w:tcPr>
            <w:tcW w:w="326" w:type="pct"/>
          </w:tcPr>
          <w:p w14:paraId="72E87D6F" w14:textId="77777777" w:rsidR="004C49EF" w:rsidRDefault="004C49EF" w:rsidP="00526478">
            <w:pPr>
              <w:rPr>
                <w:szCs w:val="20"/>
              </w:rPr>
            </w:pPr>
            <w:r>
              <w:rPr>
                <w:szCs w:val="20"/>
              </w:rPr>
              <w:t>9.</w:t>
            </w:r>
          </w:p>
        </w:tc>
        <w:tc>
          <w:tcPr>
            <w:tcW w:w="895" w:type="pct"/>
          </w:tcPr>
          <w:p w14:paraId="5C20FD9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8AD7AC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24BCD8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117A41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2FF7C4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2D47EF26" w14:textId="77777777" w:rsidTr="004C49EF">
        <w:trPr>
          <w:cantSplit/>
        </w:trPr>
        <w:tc>
          <w:tcPr>
            <w:tcW w:w="326" w:type="pct"/>
          </w:tcPr>
          <w:p w14:paraId="01B51863" w14:textId="77777777" w:rsidR="004C49EF" w:rsidRDefault="004C49EF" w:rsidP="00526478">
            <w:pPr>
              <w:rPr>
                <w:szCs w:val="20"/>
              </w:rPr>
            </w:pPr>
            <w:r>
              <w:rPr>
                <w:szCs w:val="20"/>
              </w:rPr>
              <w:t>10.</w:t>
            </w:r>
          </w:p>
        </w:tc>
        <w:tc>
          <w:tcPr>
            <w:tcW w:w="895" w:type="pct"/>
          </w:tcPr>
          <w:p w14:paraId="1B7542F1"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C95DB23"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C04B86A"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C23872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A0502C3"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493D229C" w14:textId="77777777" w:rsidTr="004C49EF">
        <w:trPr>
          <w:cantSplit/>
        </w:trPr>
        <w:tc>
          <w:tcPr>
            <w:tcW w:w="326" w:type="pct"/>
          </w:tcPr>
          <w:p w14:paraId="3BAE4578" w14:textId="77777777" w:rsidR="004C49EF" w:rsidRDefault="004C49EF" w:rsidP="00526478">
            <w:pPr>
              <w:rPr>
                <w:szCs w:val="20"/>
              </w:rPr>
            </w:pPr>
            <w:r>
              <w:rPr>
                <w:szCs w:val="20"/>
              </w:rPr>
              <w:lastRenderedPageBreak/>
              <w:t>11.</w:t>
            </w:r>
          </w:p>
        </w:tc>
        <w:tc>
          <w:tcPr>
            <w:tcW w:w="895" w:type="pct"/>
          </w:tcPr>
          <w:p w14:paraId="27ABDD1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74CB22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45BB8B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6DC94A6B"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E38EF31"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0EDE5C1B" w14:textId="77777777" w:rsidTr="004C49EF">
        <w:trPr>
          <w:cantSplit/>
        </w:trPr>
        <w:tc>
          <w:tcPr>
            <w:tcW w:w="326" w:type="pct"/>
          </w:tcPr>
          <w:p w14:paraId="4965A585" w14:textId="77777777" w:rsidR="004C49EF" w:rsidRDefault="004C49EF" w:rsidP="00526478">
            <w:pPr>
              <w:rPr>
                <w:szCs w:val="20"/>
              </w:rPr>
            </w:pPr>
            <w:r>
              <w:rPr>
                <w:szCs w:val="20"/>
              </w:rPr>
              <w:t>12.</w:t>
            </w:r>
          </w:p>
        </w:tc>
        <w:tc>
          <w:tcPr>
            <w:tcW w:w="895" w:type="pct"/>
          </w:tcPr>
          <w:p w14:paraId="5B8BB9E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1A67C3EA"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9D3983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65823B6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02DFA0B"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09D4584D" w14:textId="77777777" w:rsidTr="004C49EF">
        <w:trPr>
          <w:cantSplit/>
        </w:trPr>
        <w:tc>
          <w:tcPr>
            <w:tcW w:w="326" w:type="pct"/>
          </w:tcPr>
          <w:p w14:paraId="03801EB3" w14:textId="77777777" w:rsidR="004C49EF" w:rsidRDefault="004C49EF" w:rsidP="00526478">
            <w:pPr>
              <w:rPr>
                <w:szCs w:val="20"/>
              </w:rPr>
            </w:pPr>
            <w:r>
              <w:rPr>
                <w:szCs w:val="20"/>
              </w:rPr>
              <w:t>13.</w:t>
            </w:r>
          </w:p>
        </w:tc>
        <w:tc>
          <w:tcPr>
            <w:tcW w:w="895" w:type="pct"/>
          </w:tcPr>
          <w:p w14:paraId="652676E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FACF09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89579F5"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1974AE4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C4FBB62"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41C425AA" w14:textId="77777777" w:rsidTr="004C49EF">
        <w:trPr>
          <w:cantSplit/>
        </w:trPr>
        <w:tc>
          <w:tcPr>
            <w:tcW w:w="326" w:type="pct"/>
          </w:tcPr>
          <w:p w14:paraId="324C3034" w14:textId="77777777" w:rsidR="004C49EF" w:rsidRDefault="004C49EF" w:rsidP="00526478">
            <w:pPr>
              <w:rPr>
                <w:szCs w:val="20"/>
              </w:rPr>
            </w:pPr>
            <w:r>
              <w:rPr>
                <w:szCs w:val="20"/>
              </w:rPr>
              <w:t>14.</w:t>
            </w:r>
          </w:p>
        </w:tc>
        <w:tc>
          <w:tcPr>
            <w:tcW w:w="895" w:type="pct"/>
          </w:tcPr>
          <w:p w14:paraId="2FE21781"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FAC76D3"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665730A7"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9F252C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205D990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5614CA6A" w14:textId="77777777" w:rsidTr="004C49EF">
        <w:trPr>
          <w:cantSplit/>
        </w:trPr>
        <w:tc>
          <w:tcPr>
            <w:tcW w:w="326" w:type="pct"/>
          </w:tcPr>
          <w:p w14:paraId="1CE5C43A" w14:textId="77777777" w:rsidR="004C49EF" w:rsidRDefault="004C49EF" w:rsidP="00526478">
            <w:pPr>
              <w:rPr>
                <w:szCs w:val="20"/>
              </w:rPr>
            </w:pPr>
            <w:r>
              <w:rPr>
                <w:szCs w:val="20"/>
              </w:rPr>
              <w:t>15.</w:t>
            </w:r>
          </w:p>
        </w:tc>
        <w:tc>
          <w:tcPr>
            <w:tcW w:w="895" w:type="pct"/>
          </w:tcPr>
          <w:p w14:paraId="35A593E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2C27CC8D"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0DDF0994"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07F29C3"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972041D"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76A62457"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ECD03A8"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7A122D27"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65B2B4E"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29905D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380B210"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B3BDDD0" w14:textId="77777777" w:rsidR="00343AA1" w:rsidRDefault="00343AA1" w:rsidP="00343AA1">
      <w:pPr>
        <w:ind w:left="360"/>
      </w:pPr>
      <w:r>
        <w:t>Royal College of Pathologists of Australasia (RCPA)</w:t>
      </w:r>
    </w:p>
    <w:p w14:paraId="52B951C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A82F146" w14:textId="77777777" w:rsidR="00EA173C" w:rsidRDefault="00343AA1" w:rsidP="00A727B6">
      <w:pPr>
        <w:ind w:left="426"/>
      </w:pPr>
      <w:r>
        <w:t>Medical Oncology Group of Australia Incorporated (MOGA)</w:t>
      </w:r>
      <w:r w:rsidR="00183FEC">
        <w:t>, and the Clinical Oncology Society of Australia.</w:t>
      </w:r>
    </w:p>
    <w:p w14:paraId="7C6EC3D2" w14:textId="77777777" w:rsidR="00E82F54"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05B54BD" w14:textId="77777777" w:rsidR="00343AA1" w:rsidRPr="00F7749D" w:rsidRDefault="00343AA1" w:rsidP="00343AA1">
      <w:pPr>
        <w:ind w:left="426"/>
      </w:pPr>
      <w:r>
        <w:t xml:space="preserve">Human Genetics Society of Australasia (HGSA) </w:t>
      </w:r>
    </w:p>
    <w:p w14:paraId="0ACE9D79" w14:textId="77777777" w:rsidR="00343AA1" w:rsidRDefault="00343AA1" w:rsidP="00343AA1">
      <w:pPr>
        <w:ind w:left="426"/>
      </w:pPr>
      <w:r>
        <w:t>Genetic and Rare Disease Network (</w:t>
      </w:r>
      <w:proofErr w:type="spellStart"/>
      <w:r>
        <w:t>GaRDN</w:t>
      </w:r>
      <w:proofErr w:type="spellEnd"/>
      <w:r>
        <w:t>)</w:t>
      </w:r>
    </w:p>
    <w:p w14:paraId="337BD106" w14:textId="77777777" w:rsidR="00343AA1" w:rsidRDefault="00343AA1" w:rsidP="00343AA1">
      <w:pPr>
        <w:ind w:left="426"/>
      </w:pPr>
      <w:r>
        <w:t>Genetic Alliance Australia</w:t>
      </w:r>
    </w:p>
    <w:p w14:paraId="300E9126" w14:textId="77777777" w:rsidR="00343AA1" w:rsidRDefault="00343AA1" w:rsidP="00343AA1">
      <w:pPr>
        <w:ind w:left="426"/>
      </w:pPr>
      <w:r>
        <w:t>Bowel Cancer Australia</w:t>
      </w:r>
    </w:p>
    <w:p w14:paraId="39E31A99" w14:textId="77777777" w:rsidR="00C538E4" w:rsidRDefault="00C538E4" w:rsidP="00343AA1">
      <w:pPr>
        <w:ind w:left="426"/>
      </w:pPr>
      <w:r>
        <w:t>Lynch Syndrome Australia</w:t>
      </w:r>
    </w:p>
    <w:p w14:paraId="5880377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49DCF945" w14:textId="77777777" w:rsidR="00EE6450" w:rsidRDefault="00C538E4" w:rsidP="00EE6450">
      <w:pPr>
        <w:ind w:left="426"/>
        <w:rPr>
          <w:szCs w:val="20"/>
        </w:rPr>
      </w:pPr>
      <w:r>
        <w:t>Not applicable</w:t>
      </w:r>
    </w:p>
    <w:p w14:paraId="3D539D84" w14:textId="77777777" w:rsidR="00E82F54" w:rsidRDefault="00E82F54" w:rsidP="00530204">
      <w:pPr>
        <w:pStyle w:val="Heading2"/>
      </w:pPr>
      <w:r w:rsidRPr="00154B00">
        <w:t>Nominate two experts who could be approached about the proposed medical service and the current clinical management of the service(s):</w:t>
      </w:r>
    </w:p>
    <w:p w14:paraId="4BCE9570" w14:textId="77777777" w:rsidR="00A96329" w:rsidRPr="00A96329" w:rsidRDefault="00A96329" w:rsidP="00A96329"/>
    <w:p w14:paraId="4F47C446" w14:textId="6062B36C" w:rsidR="00987ABE" w:rsidRPr="00987ABE" w:rsidRDefault="00987ABE" w:rsidP="00987ABE">
      <w:pPr>
        <w:ind w:left="426"/>
        <w:rPr>
          <w:szCs w:val="20"/>
        </w:rPr>
      </w:pPr>
      <w:r>
        <w:rPr>
          <w:szCs w:val="20"/>
        </w:rPr>
        <w:t xml:space="preserve">Name of expert 1: </w:t>
      </w:r>
      <w:r w:rsidR="002E36D8" w:rsidRPr="002E36D8">
        <w:rPr>
          <w:b/>
          <w:i/>
        </w:rPr>
        <w:t>Redacted</w:t>
      </w:r>
    </w:p>
    <w:p w14:paraId="0F41A26D" w14:textId="12064070" w:rsidR="00987ABE" w:rsidRPr="00987ABE" w:rsidRDefault="00987ABE" w:rsidP="00987ABE">
      <w:pPr>
        <w:ind w:left="426"/>
        <w:rPr>
          <w:szCs w:val="20"/>
        </w:rPr>
      </w:pPr>
      <w:r>
        <w:rPr>
          <w:szCs w:val="20"/>
        </w:rPr>
        <w:t xml:space="preserve">Telephone number(s): </w:t>
      </w:r>
      <w:r w:rsidR="002E36D8" w:rsidRPr="002E36D8">
        <w:rPr>
          <w:b/>
          <w:i/>
        </w:rPr>
        <w:t>Redacted</w:t>
      </w:r>
    </w:p>
    <w:p w14:paraId="6400DFC6" w14:textId="61B63F9A" w:rsidR="00987ABE" w:rsidRPr="00987ABE" w:rsidRDefault="00987ABE" w:rsidP="00987ABE">
      <w:pPr>
        <w:ind w:left="426"/>
        <w:rPr>
          <w:szCs w:val="20"/>
        </w:rPr>
      </w:pPr>
      <w:r>
        <w:rPr>
          <w:szCs w:val="20"/>
        </w:rPr>
        <w:t xml:space="preserve">Email address: </w:t>
      </w:r>
      <w:r w:rsidR="002E36D8" w:rsidRPr="002E36D8">
        <w:rPr>
          <w:b/>
          <w:i/>
        </w:rPr>
        <w:t>Redacted</w:t>
      </w:r>
    </w:p>
    <w:p w14:paraId="1095A745" w14:textId="580BF7EE" w:rsidR="00987ABE" w:rsidRPr="00987ABE" w:rsidRDefault="00987ABE" w:rsidP="00987ABE">
      <w:pPr>
        <w:ind w:left="426"/>
        <w:rPr>
          <w:szCs w:val="20"/>
        </w:rPr>
      </w:pPr>
      <w:r>
        <w:rPr>
          <w:szCs w:val="20"/>
        </w:rPr>
        <w:t xml:space="preserve">Justification of expertise: </w:t>
      </w:r>
      <w:r w:rsidR="002E36D8" w:rsidRPr="002E36D8">
        <w:rPr>
          <w:b/>
          <w:i/>
        </w:rPr>
        <w:t>Redacted</w:t>
      </w:r>
    </w:p>
    <w:p w14:paraId="583EAA9A" w14:textId="77777777" w:rsidR="00987ABE" w:rsidRPr="00987ABE" w:rsidRDefault="00987ABE" w:rsidP="00987ABE">
      <w:pPr>
        <w:ind w:left="426"/>
        <w:rPr>
          <w:szCs w:val="20"/>
        </w:rPr>
      </w:pPr>
    </w:p>
    <w:p w14:paraId="7723BA0C" w14:textId="71A560E6" w:rsidR="00987ABE" w:rsidRPr="00987ABE" w:rsidRDefault="00987ABE" w:rsidP="00987ABE">
      <w:pPr>
        <w:ind w:left="426"/>
        <w:rPr>
          <w:szCs w:val="20"/>
        </w:rPr>
      </w:pPr>
      <w:r>
        <w:rPr>
          <w:szCs w:val="20"/>
        </w:rPr>
        <w:t xml:space="preserve">Name of expert 2: </w:t>
      </w:r>
      <w:r w:rsidR="002E36D8" w:rsidRPr="002E36D8">
        <w:rPr>
          <w:b/>
          <w:i/>
        </w:rPr>
        <w:t>Redacted</w:t>
      </w:r>
    </w:p>
    <w:p w14:paraId="30A551FA" w14:textId="42C9819C" w:rsidR="00987ABE" w:rsidRPr="00987ABE" w:rsidRDefault="00987ABE" w:rsidP="00987ABE">
      <w:pPr>
        <w:ind w:left="426"/>
        <w:rPr>
          <w:szCs w:val="20"/>
        </w:rPr>
      </w:pPr>
      <w:r>
        <w:rPr>
          <w:szCs w:val="20"/>
        </w:rPr>
        <w:t xml:space="preserve">Telephone number(s): </w:t>
      </w:r>
      <w:r w:rsidR="002E36D8" w:rsidRPr="002E36D8">
        <w:rPr>
          <w:b/>
          <w:i/>
        </w:rPr>
        <w:t>Redacted</w:t>
      </w:r>
    </w:p>
    <w:p w14:paraId="5146A1C9" w14:textId="75A8AED0" w:rsidR="00987ABE" w:rsidRPr="00987ABE" w:rsidRDefault="00987ABE" w:rsidP="00987ABE">
      <w:pPr>
        <w:ind w:left="426"/>
        <w:rPr>
          <w:szCs w:val="20"/>
        </w:rPr>
      </w:pPr>
      <w:r>
        <w:rPr>
          <w:szCs w:val="20"/>
        </w:rPr>
        <w:t xml:space="preserve">Email address: </w:t>
      </w:r>
      <w:r w:rsidR="002E36D8" w:rsidRPr="002E36D8">
        <w:rPr>
          <w:b/>
          <w:i/>
        </w:rPr>
        <w:t>Redacted</w:t>
      </w:r>
    </w:p>
    <w:p w14:paraId="1DB97E2E" w14:textId="48760F80" w:rsidR="00E82F54" w:rsidRPr="00154B00" w:rsidRDefault="00987ABE" w:rsidP="00987ABE">
      <w:pPr>
        <w:ind w:left="426"/>
        <w:rPr>
          <w:szCs w:val="20"/>
        </w:rPr>
      </w:pPr>
      <w:r>
        <w:rPr>
          <w:szCs w:val="20"/>
        </w:rPr>
        <w:t xml:space="preserve">Justification of expertise: </w:t>
      </w:r>
      <w:r w:rsidR="002E36D8" w:rsidRPr="002E36D8">
        <w:rPr>
          <w:b/>
          <w:i/>
        </w:rPr>
        <w:t>Redacted</w:t>
      </w:r>
    </w:p>
    <w:p w14:paraId="702A5C3C" w14:textId="77777777" w:rsidR="00987ABE" w:rsidRDefault="00987ABE" w:rsidP="00E82F54">
      <w:pPr>
        <w:ind w:left="426"/>
        <w:rPr>
          <w:i/>
          <w:szCs w:val="20"/>
        </w:rPr>
      </w:pPr>
    </w:p>
    <w:p w14:paraId="24216C79"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314B2F68" w14:textId="77777777" w:rsidR="003433D1" w:rsidRDefault="003433D1">
      <w:pPr>
        <w:rPr>
          <w:b/>
          <w:sz w:val="32"/>
          <w:szCs w:val="32"/>
        </w:rPr>
      </w:pPr>
      <w:r>
        <w:rPr>
          <w:b/>
          <w:sz w:val="32"/>
          <w:szCs w:val="32"/>
        </w:rPr>
        <w:br w:type="page"/>
      </w:r>
    </w:p>
    <w:p w14:paraId="2C666D44"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707AA44A" w14:textId="77777777" w:rsidR="0021185D" w:rsidRPr="005C3AE7" w:rsidRDefault="005C3AE7" w:rsidP="005C3AE7">
      <w:pPr>
        <w:pStyle w:val="Subtitle"/>
      </w:pPr>
      <w:r w:rsidRPr="005C3AE7">
        <w:t xml:space="preserve">PART 6a – </w:t>
      </w:r>
      <w:r w:rsidR="0021185D" w:rsidRPr="005C3AE7">
        <w:t>INFORMATION ABOUT THE PROPOSED POPULATION</w:t>
      </w:r>
    </w:p>
    <w:p w14:paraId="2BFD9BE0"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3B51B6EB" w14:textId="77777777" w:rsidR="00146BAE" w:rsidRDefault="00146BAE" w:rsidP="00146BAE">
      <w:pPr>
        <w:ind w:left="426"/>
        <w:rPr>
          <w:noProof/>
        </w:rPr>
      </w:pPr>
      <w:r w:rsidRPr="00146BAE">
        <w:rPr>
          <w:noProof/>
        </w:rPr>
        <w:t>Familial adenomatous polyposis (FAP), juvenile polyposis syndrome (JPS), Lynch syndrome (formerly known as hereditary nonpolyposis colorectal cancer (HNPCC )), Peutz-Jeghers syndrome (PJS), hereditary mixed polyposis syndrome (HMPS) and autosomal recessive colorectal adenomatous polyposis (</w:t>
      </w:r>
      <w:r w:rsidRPr="00146BAE">
        <w:rPr>
          <w:i/>
          <w:noProof/>
        </w:rPr>
        <w:t>MUTYH</w:t>
      </w:r>
      <w:r w:rsidRPr="00146BAE">
        <w:rPr>
          <w:noProof/>
        </w:rPr>
        <w:t>-associated polyposis or MAP) are all inheritable syndromes predisposing to colorectal and other epithelial cancers.</w:t>
      </w:r>
    </w:p>
    <w:p w14:paraId="48E32758" w14:textId="77777777" w:rsidR="00146BAE" w:rsidRPr="00146BAE" w:rsidRDefault="00146BAE" w:rsidP="00146BAE">
      <w:pPr>
        <w:ind w:left="426"/>
        <w:rPr>
          <w:noProof/>
        </w:rPr>
      </w:pPr>
      <w:r w:rsidRPr="00146BAE">
        <w:rPr>
          <w:noProof/>
        </w:rPr>
        <w:t>The risk of colorectal cancer is elevated for carriers of the listed gene mutations. The level of risk, variation with age of first colorectal cancer diagnosis, and variation between carriers of mutations in the listed genes has been confirmed in prospective studies and a meta-analysis of published data.</w:t>
      </w:r>
    </w:p>
    <w:p w14:paraId="4D6929DE" w14:textId="77777777" w:rsidR="00146BAE" w:rsidRPr="00146BAE" w:rsidRDefault="00146BAE" w:rsidP="00146BAE">
      <w:pPr>
        <w:ind w:left="426"/>
        <w:rPr>
          <w:noProof/>
        </w:rPr>
      </w:pPr>
      <w:r w:rsidRPr="00146BAE">
        <w:rPr>
          <w:noProof/>
        </w:rPr>
        <w:t>A 15 year study of screening for colorectal cancer in patients with HNPCC (Jarvinen, 2000) showed that colorectal cancer developed in 8 (6%) of 133 in the study group compared with 19 (16%) of 119 in the control group (p=0.014). The relative risk of CRC was 0.377 (95% confidence interval [CI], 0.171–0.829) in the study group vs. controls, corresponding to a reduction of 62% (95% CI, 17%–83%).</w:t>
      </w:r>
    </w:p>
    <w:p w14:paraId="56780DC0" w14:textId="77777777" w:rsidR="00146BAE" w:rsidRPr="00146BAE" w:rsidRDefault="00146BAE" w:rsidP="00146BAE">
      <w:pPr>
        <w:ind w:left="426"/>
        <w:rPr>
          <w:noProof/>
        </w:rPr>
      </w:pPr>
      <w:r w:rsidRPr="00146BAE">
        <w:rPr>
          <w:noProof/>
        </w:rPr>
        <w:t>The corresponding relative CRC risk of the screened mutation positive individuals was 0.440 (95% CI, 0.215–0.900) and the reduction due to screening 56% (95% CI, 10%–79%). The cumulative proportions of CRC-free subjects were significantly higher in the study group than control group both when all subjects (p= 5 0.019) and when mutation-positive subjects alone (P 5 0.034) were included. Also, the stage distribution of the CRCs in the study subjects was significantly more favourable than that in the control group.</w:t>
      </w:r>
    </w:p>
    <w:p w14:paraId="56B4725D"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63943E0A" w14:textId="77777777" w:rsidR="00146BAE" w:rsidRPr="00146BAE" w:rsidRDefault="00146BAE" w:rsidP="00146BAE">
      <w:pPr>
        <w:ind w:left="426"/>
        <w:rPr>
          <w:noProof/>
        </w:rPr>
      </w:pPr>
      <w:r w:rsidRPr="00146BAE">
        <w:rPr>
          <w:noProof/>
        </w:rPr>
        <w:t>Heritable colorectal and endometrial cancer genetic testing should be considered in an individual:</w:t>
      </w:r>
    </w:p>
    <w:p w14:paraId="491CE0D2" w14:textId="77777777" w:rsidR="00146BAE" w:rsidRPr="00146BAE" w:rsidRDefault="00146BAE" w:rsidP="00146BAE">
      <w:pPr>
        <w:pStyle w:val="ListParagraph"/>
        <w:numPr>
          <w:ilvl w:val="0"/>
          <w:numId w:val="38"/>
        </w:numPr>
        <w:rPr>
          <w:noProof/>
        </w:rPr>
      </w:pPr>
      <w:r w:rsidRPr="00146BAE">
        <w:rPr>
          <w:noProof/>
        </w:rPr>
        <w:t>with a personal history of colorectal or endometrial cancer with po</w:t>
      </w:r>
      <w:r>
        <w:rPr>
          <w:noProof/>
        </w:rPr>
        <w:t xml:space="preserve">tential hereditary genetic risk; </w:t>
      </w:r>
      <w:r w:rsidRPr="00146BAE">
        <w:rPr>
          <w:noProof/>
        </w:rPr>
        <w:t>OR</w:t>
      </w:r>
    </w:p>
    <w:p w14:paraId="73E9B44C" w14:textId="77777777" w:rsidR="00146BAE" w:rsidRPr="00146BAE" w:rsidRDefault="00146BAE" w:rsidP="00146BAE">
      <w:pPr>
        <w:pStyle w:val="ListParagraph"/>
        <w:numPr>
          <w:ilvl w:val="0"/>
          <w:numId w:val="38"/>
        </w:numPr>
        <w:rPr>
          <w:noProof/>
        </w:rPr>
      </w:pPr>
      <w:r w:rsidRPr="00146BAE">
        <w:rPr>
          <w:noProof/>
        </w:rPr>
        <w:t>clinical evidence of a possible familial polyposis syndrome</w:t>
      </w:r>
      <w:r>
        <w:rPr>
          <w:noProof/>
        </w:rPr>
        <w:t xml:space="preserve">; </w:t>
      </w:r>
      <w:r w:rsidRPr="00146BAE">
        <w:rPr>
          <w:noProof/>
        </w:rPr>
        <w:t>OR</w:t>
      </w:r>
    </w:p>
    <w:p w14:paraId="67B6C9E8" w14:textId="77777777" w:rsidR="00146BAE" w:rsidRPr="00146BAE" w:rsidRDefault="00146BAE" w:rsidP="00146BAE">
      <w:pPr>
        <w:pStyle w:val="ListParagraph"/>
        <w:numPr>
          <w:ilvl w:val="0"/>
          <w:numId w:val="38"/>
        </w:numPr>
        <w:rPr>
          <w:noProof/>
        </w:rPr>
      </w:pPr>
      <w:r w:rsidRPr="00146BAE">
        <w:rPr>
          <w:noProof/>
        </w:rPr>
        <w:t>who falls into one or more of the following specific categories:</w:t>
      </w:r>
    </w:p>
    <w:p w14:paraId="6A6CC4B0" w14:textId="77777777" w:rsidR="00146BAE" w:rsidRPr="00146BAE" w:rsidRDefault="00146BAE" w:rsidP="00146BAE">
      <w:pPr>
        <w:ind w:left="426"/>
        <w:rPr>
          <w:noProof/>
        </w:rPr>
      </w:pPr>
      <w:r w:rsidRPr="00146BAE">
        <w:rPr>
          <w:noProof/>
        </w:rPr>
        <w:t>Colorectal cancer (CRC) with evidence of mismatch repair deficiency (MMR)</w:t>
      </w:r>
      <w:r>
        <w:rPr>
          <w:noProof/>
        </w:rPr>
        <w:t>:</w:t>
      </w:r>
    </w:p>
    <w:p w14:paraId="69C273FE" w14:textId="77777777" w:rsidR="00146BAE" w:rsidRPr="00146BAE" w:rsidRDefault="00146BAE" w:rsidP="00146BAE">
      <w:pPr>
        <w:pStyle w:val="ListParagraph"/>
        <w:numPr>
          <w:ilvl w:val="0"/>
          <w:numId w:val="39"/>
        </w:numPr>
        <w:rPr>
          <w:noProof/>
        </w:rPr>
      </w:pPr>
      <w:r w:rsidRPr="00146BAE">
        <w:rPr>
          <w:noProof/>
        </w:rPr>
        <w:t>Germline MMR mutations</w:t>
      </w:r>
    </w:p>
    <w:p w14:paraId="63E8D23B" w14:textId="77777777" w:rsidR="00146BAE" w:rsidRPr="00146BAE" w:rsidRDefault="00146BAE" w:rsidP="00146BAE">
      <w:pPr>
        <w:pStyle w:val="ListParagraph"/>
        <w:numPr>
          <w:ilvl w:val="0"/>
          <w:numId w:val="39"/>
        </w:numPr>
        <w:rPr>
          <w:noProof/>
        </w:rPr>
      </w:pPr>
      <w:r w:rsidRPr="00146BAE">
        <w:rPr>
          <w:noProof/>
        </w:rPr>
        <w:t>Loss of expression by immunohistochemistry (IHC)</w:t>
      </w:r>
    </w:p>
    <w:p w14:paraId="75D5FE0B" w14:textId="77777777" w:rsidR="00146BAE" w:rsidRPr="00146BAE" w:rsidRDefault="00146BAE" w:rsidP="00146BAE">
      <w:pPr>
        <w:pStyle w:val="ListParagraph"/>
        <w:numPr>
          <w:ilvl w:val="0"/>
          <w:numId w:val="39"/>
        </w:numPr>
        <w:rPr>
          <w:noProof/>
        </w:rPr>
      </w:pPr>
      <w:r w:rsidRPr="00146BAE">
        <w:rPr>
          <w:noProof/>
        </w:rPr>
        <w:t>Microsatellite instability (MSI)</w:t>
      </w:r>
    </w:p>
    <w:p w14:paraId="2D7FD951" w14:textId="77777777" w:rsidR="00146BAE" w:rsidRPr="00146BAE" w:rsidRDefault="00146BAE" w:rsidP="00146BAE">
      <w:pPr>
        <w:ind w:left="426"/>
        <w:rPr>
          <w:noProof/>
        </w:rPr>
      </w:pPr>
      <w:r w:rsidRPr="00146BAE">
        <w:rPr>
          <w:noProof/>
        </w:rPr>
        <w:t>Familial polyposis syndrome</w:t>
      </w:r>
    </w:p>
    <w:p w14:paraId="1CC0D2DE" w14:textId="77777777" w:rsidR="00146BAE" w:rsidRPr="00146BAE" w:rsidRDefault="00146BAE" w:rsidP="00146BAE">
      <w:pPr>
        <w:pStyle w:val="ListParagraph"/>
        <w:numPr>
          <w:ilvl w:val="0"/>
          <w:numId w:val="39"/>
        </w:numPr>
        <w:rPr>
          <w:noProof/>
        </w:rPr>
      </w:pPr>
      <w:r w:rsidRPr="00146BAE">
        <w:rPr>
          <w:noProof/>
        </w:rPr>
        <w:t>More than 100 adenomatous polyps</w:t>
      </w:r>
    </w:p>
    <w:p w14:paraId="2C664B58" w14:textId="77777777" w:rsidR="00146BAE" w:rsidRPr="00146BAE" w:rsidRDefault="00146BAE" w:rsidP="00146BAE">
      <w:pPr>
        <w:pStyle w:val="ListParagraph"/>
        <w:numPr>
          <w:ilvl w:val="0"/>
          <w:numId w:val="39"/>
        </w:numPr>
        <w:rPr>
          <w:noProof/>
        </w:rPr>
      </w:pPr>
      <w:r w:rsidRPr="00146BAE">
        <w:rPr>
          <w:noProof/>
        </w:rPr>
        <w:t>Between 20 and 100 adenomatous polyps</w:t>
      </w:r>
    </w:p>
    <w:p w14:paraId="6B652763" w14:textId="77777777" w:rsidR="00146BAE" w:rsidRPr="00146BAE" w:rsidRDefault="00146BAE" w:rsidP="00146BAE">
      <w:pPr>
        <w:pStyle w:val="ListParagraph"/>
        <w:numPr>
          <w:ilvl w:val="0"/>
          <w:numId w:val="39"/>
        </w:numPr>
        <w:rPr>
          <w:noProof/>
        </w:rPr>
      </w:pPr>
      <w:r w:rsidRPr="00146BAE">
        <w:rPr>
          <w:noProof/>
        </w:rPr>
        <w:t>Extra colonic manifestations (when colorectal polyp status is unknown)</w:t>
      </w:r>
    </w:p>
    <w:p w14:paraId="22A4F88D" w14:textId="77777777" w:rsidR="00146BAE" w:rsidRPr="00146BAE" w:rsidRDefault="00146BAE" w:rsidP="00146BAE">
      <w:pPr>
        <w:pStyle w:val="ListParagraph"/>
        <w:numPr>
          <w:ilvl w:val="0"/>
          <w:numId w:val="39"/>
        </w:numPr>
        <w:rPr>
          <w:noProof/>
        </w:rPr>
      </w:pPr>
      <w:r w:rsidRPr="00146BAE">
        <w:rPr>
          <w:noProof/>
        </w:rPr>
        <w:t>Multiple osteomas of the skull or mandible</w:t>
      </w:r>
    </w:p>
    <w:p w14:paraId="2DE00F2B" w14:textId="77777777" w:rsidR="00146BAE" w:rsidRPr="00146BAE" w:rsidRDefault="00146BAE" w:rsidP="00146BAE">
      <w:pPr>
        <w:pStyle w:val="ListParagraph"/>
        <w:numPr>
          <w:ilvl w:val="0"/>
          <w:numId w:val="39"/>
        </w:numPr>
        <w:rPr>
          <w:noProof/>
        </w:rPr>
      </w:pPr>
      <w:r w:rsidRPr="00146BAE">
        <w:rPr>
          <w:noProof/>
        </w:rPr>
        <w:t>10 or more adenomas diagnosed age &lt; 50 years old</w:t>
      </w:r>
    </w:p>
    <w:p w14:paraId="07B2A537" w14:textId="77777777" w:rsidR="00146BAE" w:rsidRPr="00146BAE" w:rsidRDefault="00146BAE" w:rsidP="00146BAE">
      <w:pPr>
        <w:pStyle w:val="ListParagraph"/>
        <w:numPr>
          <w:ilvl w:val="0"/>
          <w:numId w:val="39"/>
        </w:numPr>
        <w:rPr>
          <w:noProof/>
        </w:rPr>
      </w:pPr>
      <w:r w:rsidRPr="00146BAE">
        <w:rPr>
          <w:noProof/>
        </w:rPr>
        <w:t>Multiple CRCs with or without synchronous adenomas</w:t>
      </w:r>
    </w:p>
    <w:p w14:paraId="6B78D21F" w14:textId="77777777" w:rsidR="00146BAE" w:rsidRPr="00146BAE" w:rsidRDefault="00146BAE" w:rsidP="00146BAE">
      <w:pPr>
        <w:pStyle w:val="ListParagraph"/>
        <w:numPr>
          <w:ilvl w:val="0"/>
          <w:numId w:val="39"/>
        </w:numPr>
        <w:rPr>
          <w:noProof/>
        </w:rPr>
      </w:pPr>
      <w:r w:rsidRPr="00146BAE">
        <w:rPr>
          <w:noProof/>
        </w:rPr>
        <w:t xml:space="preserve">Intraabdominal or abdominal wall desmoid tumour diagnosed at age 10-60 yrs </w:t>
      </w:r>
    </w:p>
    <w:p w14:paraId="1521D05F" w14:textId="77777777" w:rsidR="00146BAE" w:rsidRPr="00146BAE" w:rsidRDefault="00146BAE" w:rsidP="00146BAE">
      <w:pPr>
        <w:pStyle w:val="ListParagraph"/>
        <w:numPr>
          <w:ilvl w:val="0"/>
          <w:numId w:val="39"/>
        </w:numPr>
        <w:rPr>
          <w:noProof/>
        </w:rPr>
      </w:pPr>
      <w:r w:rsidRPr="00146BAE">
        <w:rPr>
          <w:noProof/>
        </w:rPr>
        <w:t xml:space="preserve">Desmoid tumour (any location) diagnosed age &lt;10 yrs </w:t>
      </w:r>
    </w:p>
    <w:p w14:paraId="4D438F92" w14:textId="77777777" w:rsidR="00146BAE" w:rsidRPr="00146BAE" w:rsidRDefault="00146BAE" w:rsidP="00146BAE">
      <w:pPr>
        <w:pStyle w:val="ListParagraph"/>
        <w:numPr>
          <w:ilvl w:val="0"/>
          <w:numId w:val="39"/>
        </w:numPr>
        <w:rPr>
          <w:noProof/>
        </w:rPr>
      </w:pPr>
      <w:r w:rsidRPr="00146BAE">
        <w:rPr>
          <w:noProof/>
        </w:rPr>
        <w:t>Multiple and/or bilateral congenital hypertrophy of the retinal pigment epithelium (CHRPE) at any age</w:t>
      </w:r>
    </w:p>
    <w:p w14:paraId="33E7C3AF" w14:textId="77777777" w:rsidR="00146BAE" w:rsidRPr="00146BAE" w:rsidRDefault="00146BAE" w:rsidP="00146BAE">
      <w:pPr>
        <w:pStyle w:val="ListParagraph"/>
        <w:numPr>
          <w:ilvl w:val="0"/>
          <w:numId w:val="39"/>
        </w:numPr>
        <w:rPr>
          <w:noProof/>
        </w:rPr>
      </w:pPr>
      <w:r w:rsidRPr="00146BAE">
        <w:rPr>
          <w:noProof/>
        </w:rPr>
        <w:t>Synchronous CRC cancers (suggestive of MAP)</w:t>
      </w:r>
    </w:p>
    <w:p w14:paraId="5D4ADCC6" w14:textId="77777777" w:rsidR="00146BAE" w:rsidRPr="00146BAE" w:rsidRDefault="00146BAE" w:rsidP="00146BAE">
      <w:pPr>
        <w:pStyle w:val="ListParagraph"/>
        <w:numPr>
          <w:ilvl w:val="0"/>
          <w:numId w:val="39"/>
        </w:numPr>
        <w:rPr>
          <w:noProof/>
        </w:rPr>
      </w:pPr>
      <w:r w:rsidRPr="00146BAE">
        <w:rPr>
          <w:noProof/>
        </w:rPr>
        <w:lastRenderedPageBreak/>
        <w:t>Clinical evidence suggestive of hamartomatous polyposis syndrome</w:t>
      </w:r>
    </w:p>
    <w:p w14:paraId="1C048DB8" w14:textId="77777777" w:rsidR="00146BAE" w:rsidRDefault="00146BAE" w:rsidP="00146BAE">
      <w:pPr>
        <w:pStyle w:val="ListParagraph"/>
        <w:numPr>
          <w:ilvl w:val="0"/>
          <w:numId w:val="39"/>
        </w:numPr>
        <w:rPr>
          <w:noProof/>
        </w:rPr>
      </w:pPr>
      <w:r w:rsidRPr="00146BAE">
        <w:rPr>
          <w:noProof/>
        </w:rPr>
        <w:t>Clinical evidence suggestive of Peutz-Jeghers syndrome</w:t>
      </w:r>
    </w:p>
    <w:p w14:paraId="75BD93FF" w14:textId="77777777" w:rsidR="007D36C2" w:rsidRDefault="007D36C2" w:rsidP="007D36C2">
      <w:pPr>
        <w:ind w:left="426"/>
      </w:pPr>
      <w:r>
        <w:rPr>
          <w:noProof/>
        </w:rPr>
        <w:t xml:space="preserve">A specialist will first see these patients as inpatients or in a clinic by referral from a general practitioner.  After a clinical assessment, consultation will </w:t>
      </w:r>
      <w:r>
        <w:t>occur with a clinical geneticists / genetic counsellor with expertise in genetic counselling.  The delivery of results to the patients and / or family would require a formal consultation with the specialist, and clinical geneticist / genetic counsellor.</w:t>
      </w:r>
    </w:p>
    <w:p w14:paraId="04E39AC5" w14:textId="77777777" w:rsidR="00752F91" w:rsidRPr="002955DB" w:rsidRDefault="007D36C2" w:rsidP="002955DB">
      <w:pPr>
        <w:spacing w:before="0" w:after="200" w:line="276" w:lineRule="auto"/>
        <w:ind w:left="426"/>
        <w:rPr>
          <w:sz w:val="24"/>
          <w:szCs w:val="24"/>
        </w:rPr>
      </w:pPr>
      <w:r>
        <w:t xml:space="preserve">A hereditary cancer clinic and family cancer centres would be appropriate gatekeepers for predictive testing and interpretation of results for family members of a </w:t>
      </w:r>
      <w:proofErr w:type="spellStart"/>
      <w:r>
        <w:t>proband</w:t>
      </w:r>
      <w:proofErr w:type="spellEnd"/>
      <w:r>
        <w:t>.</w:t>
      </w:r>
      <w:r w:rsidR="00752F91" w:rsidRPr="00752F91">
        <w:rPr>
          <w:i/>
          <w:sz w:val="24"/>
          <w:szCs w:val="24"/>
        </w:rPr>
        <w:t xml:space="preserve"> </w:t>
      </w:r>
    </w:p>
    <w:p w14:paraId="2AB5383B"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53AFFE9" w14:textId="77777777" w:rsidR="001E10A2" w:rsidRDefault="001E2123" w:rsidP="001E2123">
      <w:pPr>
        <w:ind w:left="426"/>
      </w:pPr>
      <w:r>
        <w:t xml:space="preserve">The proposed intervention is already offered in the healthcare system, however, </w:t>
      </w:r>
      <w:r w:rsidR="001E10A2">
        <w:t>the current pathway is:</w:t>
      </w:r>
    </w:p>
    <w:p w14:paraId="43784444" w14:textId="77777777" w:rsidR="001E10A2" w:rsidRDefault="001E10A2" w:rsidP="001E10A2">
      <w:pPr>
        <w:pStyle w:val="ListParagraph"/>
        <w:numPr>
          <w:ilvl w:val="0"/>
          <w:numId w:val="38"/>
        </w:numPr>
        <w:rPr>
          <w:noProof/>
        </w:rPr>
      </w:pPr>
      <w:r>
        <w:rPr>
          <w:noProof/>
        </w:rPr>
        <w:t>f</w:t>
      </w:r>
      <w:r w:rsidR="001E2123" w:rsidRPr="001E2123">
        <w:rPr>
          <w:noProof/>
        </w:rPr>
        <w:t>or the gastrointestinal (GI) cancer predisposition genes, those testing positive require close surveillance with colonoscopy to detect the rapidly growing cancers which occur driven by, for example, the mutator phenotype (accumulating hundreds of mutations in the tumour</w:t>
      </w:r>
      <w:r>
        <w:rPr>
          <w:noProof/>
        </w:rPr>
        <w:t>s) typically of Lynch Syndrome;</w:t>
      </w:r>
    </w:p>
    <w:p w14:paraId="77DFCE80" w14:textId="77777777" w:rsidR="001E10A2" w:rsidRDefault="001E10A2" w:rsidP="001E10A2">
      <w:pPr>
        <w:pStyle w:val="ListParagraph"/>
        <w:numPr>
          <w:ilvl w:val="0"/>
          <w:numId w:val="38"/>
        </w:numPr>
        <w:rPr>
          <w:noProof/>
        </w:rPr>
      </w:pPr>
      <w:r>
        <w:rPr>
          <w:noProof/>
        </w:rPr>
        <w:t>for t</w:t>
      </w:r>
      <w:r w:rsidR="001E2123" w:rsidRPr="001E2123">
        <w:rPr>
          <w:noProof/>
        </w:rPr>
        <w:t>hose who do develop colorectal cancer are usually advised to have extensive rather than limited, oncological resections, to reduce their risk of metachronous cancer</w:t>
      </w:r>
      <w:r>
        <w:rPr>
          <w:noProof/>
        </w:rPr>
        <w:t>;</w:t>
      </w:r>
    </w:p>
    <w:p w14:paraId="6001F09F" w14:textId="77777777" w:rsidR="001E10A2" w:rsidRDefault="001E10A2" w:rsidP="001E10A2">
      <w:pPr>
        <w:pStyle w:val="ListParagraph"/>
        <w:numPr>
          <w:ilvl w:val="0"/>
          <w:numId w:val="38"/>
        </w:numPr>
        <w:rPr>
          <w:noProof/>
        </w:rPr>
      </w:pPr>
      <w:r>
        <w:rPr>
          <w:noProof/>
        </w:rPr>
        <w:t xml:space="preserve">for </w:t>
      </w:r>
      <w:r w:rsidR="001E2123" w:rsidRPr="001E2123">
        <w:rPr>
          <w:noProof/>
        </w:rPr>
        <w:t>those family members testing negative for the family specific mutation need no special surveillance and, if otherwise of average risk, can join the iFOBT-based National Bowel Cancer Screening Program.</w:t>
      </w:r>
      <w:r>
        <w:rPr>
          <w:noProof/>
        </w:rPr>
        <w:t xml:space="preserve">  </w:t>
      </w:r>
      <w:r w:rsidR="001E2123" w:rsidRPr="001E2123">
        <w:rPr>
          <w:noProof/>
        </w:rPr>
        <w:t>If other factors place them at higher than average risk, they should be managed as app</w:t>
      </w:r>
      <w:r>
        <w:rPr>
          <w:noProof/>
        </w:rPr>
        <w:t>ropriate for that circumstance.</w:t>
      </w:r>
    </w:p>
    <w:p w14:paraId="4578E1CC" w14:textId="77777777" w:rsidR="001E2123" w:rsidRPr="001E2123" w:rsidRDefault="001E2123" w:rsidP="001E10A2">
      <w:pPr>
        <w:ind w:left="426"/>
      </w:pPr>
      <w:r w:rsidRPr="001E2123">
        <w:t xml:space="preserve">If genetic testing has not been undertaken, all family members would need to remain under </w:t>
      </w:r>
      <w:proofErr w:type="spellStart"/>
      <w:r w:rsidRPr="001E2123">
        <w:t>colonoscopic</w:t>
      </w:r>
      <w:proofErr w:type="spellEnd"/>
      <w:r w:rsidRPr="001E2123">
        <w:t xml:space="preserve"> surveillance in case they had inherited the family specific mutation in the relevant gene. Colonoscopy in this setting has been shown to reduce mortality, at least in comparison with a control group who did not agree to colonoscopy (not randomised) (</w:t>
      </w:r>
      <w:proofErr w:type="spellStart"/>
      <w:r w:rsidRPr="001E2123">
        <w:t>Jarvinen</w:t>
      </w:r>
      <w:proofErr w:type="spellEnd"/>
      <w:r w:rsidRPr="001E2123">
        <w:t>, 2000). There are large cost savings to the healthcare system by segregating family members in this way. Currently, this process takes place in the Familial Cancer Clinics nationwide.</w:t>
      </w:r>
    </w:p>
    <w:p w14:paraId="497B2760" w14:textId="77777777" w:rsidR="002A50FD" w:rsidRPr="00881F93" w:rsidRDefault="005C3AE7" w:rsidP="005C3AE7">
      <w:pPr>
        <w:pStyle w:val="Subtitle"/>
      </w:pPr>
      <w:r>
        <w:t xml:space="preserve">PART 6b – </w:t>
      </w:r>
      <w:r w:rsidR="002A50FD" w:rsidRPr="00881F93">
        <w:t>INFORMATION ABOUT THE INTERVENTION</w:t>
      </w:r>
    </w:p>
    <w:p w14:paraId="14A266A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35496AF7" w14:textId="77777777" w:rsidR="00593C6F" w:rsidRDefault="00593C6F" w:rsidP="00593C6F">
      <w:pPr>
        <w:ind w:left="426"/>
        <w:rPr>
          <w:szCs w:val="20"/>
        </w:rPr>
      </w:pPr>
      <w:r>
        <w:rPr>
          <w:szCs w:val="20"/>
        </w:rPr>
        <w:t xml:space="preserve">The key components and clinical steps </w:t>
      </w:r>
      <w:proofErr w:type="gramStart"/>
      <w:r>
        <w:rPr>
          <w:szCs w:val="20"/>
        </w:rPr>
        <w:t>is</w:t>
      </w:r>
      <w:proofErr w:type="gramEnd"/>
      <w:r>
        <w:rPr>
          <w:szCs w:val="20"/>
        </w:rPr>
        <w:t xml:space="preserve"> described as above.</w:t>
      </w:r>
    </w:p>
    <w:p w14:paraId="5C994C16" w14:textId="77777777" w:rsidR="00593C6F" w:rsidRDefault="00593C6F" w:rsidP="00593C6F">
      <w:pPr>
        <w:ind w:left="426"/>
        <w:rPr>
          <w:szCs w:val="20"/>
        </w:rPr>
      </w:pPr>
      <w:r>
        <w:rPr>
          <w:szCs w:val="20"/>
        </w:rPr>
        <w:t xml:space="preserve">Once the request has been made, the patient would be required to provide a blood sample.  </w:t>
      </w:r>
      <w:r w:rsidRPr="00593C6F">
        <w:rPr>
          <w:szCs w:val="20"/>
        </w:rPr>
        <w:t>The samples analysed are most commonly blood samples from affected individuals except in the case of cascade testing where duplicate and independent blood samples from affected and/or unaffected family members are submitted for specific analysis. In situations where a blood sample from an affected person in a high risk family is unavailable, tissue samples from deceased individuals may be provided.</w:t>
      </w:r>
    </w:p>
    <w:p w14:paraId="0008D757" w14:textId="77777777" w:rsidR="00630526" w:rsidRPr="00593C6F" w:rsidRDefault="00630526" w:rsidP="00593C6F">
      <w:pPr>
        <w:ind w:left="426"/>
        <w:rPr>
          <w:szCs w:val="20"/>
        </w:rPr>
      </w:pPr>
      <w:r w:rsidRPr="002955DB">
        <w:rPr>
          <w:szCs w:val="20"/>
        </w:rPr>
        <w:t>Genetic risk assessment will follow classical Mendelian inheritance patterns</w:t>
      </w:r>
      <w:r>
        <w:rPr>
          <w:sz w:val="24"/>
          <w:szCs w:val="24"/>
        </w:rPr>
        <w:t>.</w:t>
      </w:r>
    </w:p>
    <w:p w14:paraId="6E39D4E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BAAB4BC" w14:textId="77777777" w:rsidR="002A6753" w:rsidRPr="00154B00" w:rsidRDefault="0098200E" w:rsidP="00E357B9">
      <w:pPr>
        <w:ind w:left="426"/>
        <w:rPr>
          <w:szCs w:val="20"/>
        </w:rPr>
      </w:pPr>
      <w:r>
        <w:t>No.</w:t>
      </w:r>
    </w:p>
    <w:p w14:paraId="1EE464BE"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AF99BB3" w14:textId="77777777" w:rsidR="00DF0C51" w:rsidRDefault="0098200E" w:rsidP="00E357B9">
      <w:pPr>
        <w:ind w:left="426"/>
        <w:rPr>
          <w:b/>
          <w:szCs w:val="20"/>
        </w:rPr>
      </w:pPr>
      <w:r>
        <w:t>No.</w:t>
      </w:r>
    </w:p>
    <w:p w14:paraId="14D6F13B" w14:textId="77777777" w:rsidR="002955DB" w:rsidRDefault="002955DB">
      <w:pPr>
        <w:spacing w:before="0" w:after="200" w:line="276" w:lineRule="auto"/>
        <w:rPr>
          <w:b/>
          <w:szCs w:val="20"/>
        </w:rPr>
      </w:pPr>
      <w:r>
        <w:br w:type="page"/>
      </w:r>
    </w:p>
    <w:p w14:paraId="14F117B0" w14:textId="77777777"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02677B5" w14:textId="77777777" w:rsidR="00CC09D7" w:rsidRPr="00154B00" w:rsidRDefault="0098200E" w:rsidP="00E357B9">
      <w:pPr>
        <w:ind w:left="426"/>
        <w:rPr>
          <w:szCs w:val="20"/>
        </w:rPr>
      </w:pPr>
      <w:r>
        <w:t>On</w:t>
      </w:r>
      <w:r w:rsidR="00593C6F">
        <w:t>c</w:t>
      </w:r>
      <w:r>
        <w:t>e off diagnostic test.</w:t>
      </w:r>
    </w:p>
    <w:p w14:paraId="5ECB1A24"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30B6CA8C" w14:textId="77777777" w:rsidR="0098200E" w:rsidRDefault="0098200E" w:rsidP="0098200E">
      <w:pPr>
        <w:ind w:left="426"/>
      </w:pPr>
      <w:proofErr w:type="gramStart"/>
      <w:r>
        <w:t>Consultation with clinical geneticists / genetic counsellor with expertise in genetic counselling.</w:t>
      </w:r>
      <w:proofErr w:type="gramEnd"/>
      <w:r>
        <w:t xml:space="preserve">  The delivery of results to the patients and / or family would require a formal consultation with the specialist, and clinical ge</w:t>
      </w:r>
      <w:r w:rsidR="00EE71F2">
        <w:t>neticist / genetic counsellor.</w:t>
      </w:r>
    </w:p>
    <w:p w14:paraId="6F851B32" w14:textId="77777777" w:rsidR="00EE71F2" w:rsidRDefault="00EE71F2" w:rsidP="0098200E">
      <w:pPr>
        <w:ind w:left="426"/>
      </w:pPr>
      <w:r>
        <w:t xml:space="preserve">Hereditary cancer clinic and family cancer centres would be appropriate gatekeepers for predictive testing and interpretation of results for family members of a </w:t>
      </w:r>
      <w:proofErr w:type="spellStart"/>
      <w:r>
        <w:t>proband</w:t>
      </w:r>
      <w:proofErr w:type="spellEnd"/>
      <w:r>
        <w:t>.</w:t>
      </w:r>
    </w:p>
    <w:p w14:paraId="60715229" w14:textId="77777777" w:rsidR="00630526" w:rsidRPr="00154B00" w:rsidRDefault="00630526" w:rsidP="0098200E">
      <w:pPr>
        <w:ind w:left="426"/>
        <w:rPr>
          <w:szCs w:val="20"/>
        </w:rPr>
      </w:pPr>
    </w:p>
    <w:p w14:paraId="7669D89E"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5A80A8D" w14:textId="77777777" w:rsidR="0098200E" w:rsidRDefault="0098200E" w:rsidP="0098200E">
      <w:pPr>
        <w:ind w:left="426"/>
      </w:pPr>
      <w:r>
        <w:t>A</w:t>
      </w:r>
      <w:r w:rsidR="0044174A">
        <w:t xml:space="preserve">n oncologist </w:t>
      </w:r>
      <w:r>
        <w:t xml:space="preserve">would be required to </w:t>
      </w:r>
      <w:r w:rsidR="0044174A">
        <w:t xml:space="preserve">request </w:t>
      </w:r>
      <w:r>
        <w:t xml:space="preserve">the </w:t>
      </w:r>
      <w:r w:rsidR="0044174A">
        <w:t>service.</w:t>
      </w:r>
    </w:p>
    <w:p w14:paraId="2AA9A575" w14:textId="77777777" w:rsidR="0098200E" w:rsidRPr="00154B00" w:rsidRDefault="0044174A" w:rsidP="0098200E">
      <w:pPr>
        <w:ind w:left="426"/>
        <w:rPr>
          <w:szCs w:val="20"/>
        </w:rPr>
      </w:pPr>
      <w:r>
        <w:t>A</w:t>
      </w:r>
      <w:r w:rsidR="0098200E">
        <w:t xml:space="preserve"> </w:t>
      </w:r>
      <w:r>
        <w:t xml:space="preserve">pathologist </w:t>
      </w:r>
      <w:r w:rsidR="0098200E">
        <w:t xml:space="preserve">would </w:t>
      </w:r>
      <w:r>
        <w:t xml:space="preserve">perform the service </w:t>
      </w:r>
      <w:r w:rsidR="0098200E">
        <w:t xml:space="preserve">and </w:t>
      </w:r>
      <w:r>
        <w:t xml:space="preserve">provide </w:t>
      </w:r>
      <w:r w:rsidR="0098200E">
        <w:t xml:space="preserve">the clinical report that would include interpretation of the results. </w:t>
      </w:r>
    </w:p>
    <w:p w14:paraId="493D3200"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BB40231" w14:textId="77777777" w:rsidR="00B17E26" w:rsidRPr="00154B00" w:rsidRDefault="0098200E" w:rsidP="00884E69">
      <w:pPr>
        <w:ind w:left="426"/>
        <w:rPr>
          <w:szCs w:val="20"/>
        </w:rPr>
      </w:pPr>
      <w:r>
        <w:t>No.</w:t>
      </w:r>
    </w:p>
    <w:p w14:paraId="53C4E39F"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35D3217" w14:textId="77777777" w:rsidR="00EA0E25" w:rsidRPr="00154B00" w:rsidRDefault="004755EC" w:rsidP="00BC424B">
      <w:pPr>
        <w:ind w:left="426"/>
        <w:rPr>
          <w:szCs w:val="20"/>
        </w:rPr>
      </w:pPr>
      <w:r>
        <w:t>Consideration should be given to restricting this service to a specialised setting.</w:t>
      </w:r>
      <w:r w:rsidR="00EE71F2">
        <w:t xml:space="preserve">  </w:t>
      </w:r>
    </w:p>
    <w:p w14:paraId="69576256"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864701B" w14:textId="1BECFC8C" w:rsidR="006B5426" w:rsidRDefault="004755EC" w:rsidP="006B5426">
      <w:pPr>
        <w:ind w:left="426"/>
      </w:pPr>
      <w:r>
        <w:t>Only oncologists would request the service and an appropriately qualified pathology to provide the service.</w:t>
      </w:r>
    </w:p>
    <w:p w14:paraId="202DA71C" w14:textId="2B94A5D2" w:rsidR="005F3F07" w:rsidRDefault="004755EC" w:rsidP="004755EC">
      <w:pPr>
        <w:pStyle w:val="Heading2"/>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127094D9" w14:textId="7F3448B4" w:rsidR="000A478F" w:rsidRDefault="00817CDB"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t xml:space="preserve"> </w:t>
      </w:r>
      <w:r w:rsidR="000A478F">
        <w:t>Inpatient private hospital</w:t>
      </w:r>
    </w:p>
    <w:p w14:paraId="040AFABD" w14:textId="10C2A043" w:rsidR="000A478F" w:rsidRDefault="00817CDB"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478F">
        <w:rPr>
          <w:szCs w:val="20"/>
        </w:rPr>
        <w:t xml:space="preserve"> </w:t>
      </w:r>
      <w:r w:rsidR="000A478F">
        <w:t>Inpatient public hospital</w:t>
      </w:r>
    </w:p>
    <w:p w14:paraId="3441D717" w14:textId="77777777" w:rsidR="000A478F" w:rsidRDefault="001F704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478F">
        <w:rPr>
          <w:szCs w:val="20"/>
        </w:rPr>
        <w:t xml:space="preserve"> </w:t>
      </w:r>
      <w:r w:rsidR="000A478F">
        <w:t>Outpatient clinic</w:t>
      </w:r>
    </w:p>
    <w:p w14:paraId="5CE54A3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w:t>
      </w:r>
      <w:r>
        <w:t>Emergency Department</w:t>
      </w:r>
    </w:p>
    <w:p w14:paraId="635C4CE2" w14:textId="4AE3F7F5" w:rsidR="000A478F" w:rsidRDefault="00817CDB"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478F">
        <w:rPr>
          <w:szCs w:val="20"/>
        </w:rPr>
        <w:t xml:space="preserve"> </w:t>
      </w:r>
      <w:r w:rsidR="000A478F">
        <w:t>Consulting rooms</w:t>
      </w:r>
    </w:p>
    <w:p w14:paraId="66FE697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w:t>
      </w:r>
      <w:r>
        <w:t>Day surgery centre</w:t>
      </w:r>
    </w:p>
    <w:p w14:paraId="4920111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w:t>
      </w:r>
      <w:r>
        <w:t>Residential aged care facility</w:t>
      </w:r>
    </w:p>
    <w:p w14:paraId="6E3D18B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w:t>
      </w:r>
      <w:r>
        <w:t>Patient’s home</w:t>
      </w:r>
    </w:p>
    <w:p w14:paraId="38EA1180" w14:textId="77777777" w:rsidR="000A478F" w:rsidRDefault="001F704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478F">
        <w:rPr>
          <w:szCs w:val="20"/>
        </w:rPr>
        <w:t xml:space="preserve"> </w:t>
      </w:r>
      <w:r w:rsidR="000A478F">
        <w:t>Laboratory</w:t>
      </w:r>
    </w:p>
    <w:p w14:paraId="06AE406F"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57C2A">
        <w:rPr>
          <w:szCs w:val="20"/>
        </w:rPr>
      </w:r>
      <w:r w:rsidR="00157C2A">
        <w:rPr>
          <w:szCs w:val="20"/>
        </w:rPr>
        <w:fldChar w:fldCharType="separate"/>
      </w:r>
      <w:r w:rsidRPr="000A5B32">
        <w:rPr>
          <w:szCs w:val="20"/>
        </w:rPr>
        <w:fldChar w:fldCharType="end"/>
      </w:r>
      <w:r>
        <w:rPr>
          <w:szCs w:val="20"/>
        </w:rPr>
        <w:t xml:space="preserve"> </w:t>
      </w:r>
      <w:r>
        <w:t>Other – please specify below</w:t>
      </w:r>
    </w:p>
    <w:p w14:paraId="65EA8923"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719BE0F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04139C50" w14:textId="77777777" w:rsidR="0073597B" w:rsidRDefault="001F704A" w:rsidP="0073597B">
      <w:pPr>
        <w:ind w:left="426"/>
        <w:rPr>
          <w:b/>
          <w:szCs w:val="20"/>
        </w:rPr>
      </w:pPr>
      <w:r>
        <w:t>Not applicable.</w:t>
      </w:r>
    </w:p>
    <w:p w14:paraId="7F605E55" w14:textId="77777777" w:rsidR="003E30FB" w:rsidRDefault="003E30FB" w:rsidP="00530204">
      <w:pPr>
        <w:pStyle w:val="Heading2"/>
      </w:pPr>
      <w:r>
        <w:t xml:space="preserve">Is the </w:t>
      </w:r>
      <w:r w:rsidRPr="001B29A1">
        <w:t>proposed</w:t>
      </w:r>
      <w:r>
        <w:t xml:space="preserve"> medical service intended to be entirely rendered in Australia?</w:t>
      </w:r>
    </w:p>
    <w:p w14:paraId="2F0FE8B4" w14:textId="77777777" w:rsidR="000A478F" w:rsidRDefault="001F704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0A478F">
        <w:rPr>
          <w:szCs w:val="20"/>
        </w:rPr>
        <w:t xml:space="preserve"> Yes</w:t>
      </w:r>
    </w:p>
    <w:p w14:paraId="105F04C1"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28461EE8" w14:textId="77777777" w:rsidR="000A478F" w:rsidRPr="002955DB" w:rsidRDefault="001B29A1" w:rsidP="002955DB">
      <w:pPr>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r w:rsidR="000A478F">
        <w:rPr>
          <w:b/>
          <w:i/>
          <w:szCs w:val="20"/>
          <w:u w:val="single"/>
        </w:rPr>
        <w:br w:type="page"/>
      </w:r>
    </w:p>
    <w:p w14:paraId="251C6600"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4D81DEEC"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A51E42C" w14:textId="77777777" w:rsidR="00E60529" w:rsidRPr="00154B00" w:rsidRDefault="004A66A0" w:rsidP="001B29A1">
      <w:pPr>
        <w:ind w:left="426"/>
        <w:rPr>
          <w:szCs w:val="20"/>
        </w:rPr>
      </w:pPr>
      <w:r>
        <w:t>No testing.</w:t>
      </w:r>
    </w:p>
    <w:p w14:paraId="02AB16B3"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789272AB"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Yes (please provide all relevant MBS item numbers below)</w:t>
      </w:r>
    </w:p>
    <w:p w14:paraId="2545F952" w14:textId="77777777" w:rsidR="000159B9" w:rsidRDefault="004A66A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6A1038">
        <w:rPr>
          <w:szCs w:val="20"/>
        </w:rPr>
        <w:t xml:space="preserve"> No  </w:t>
      </w:r>
    </w:p>
    <w:p w14:paraId="087A7843"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5D646207" w14:textId="77777777" w:rsidR="00DE117B" w:rsidRDefault="00EE5A8E" w:rsidP="002955DB">
      <w:pPr>
        <w:pStyle w:val="Heading2"/>
        <w:numPr>
          <w:ilvl w:val="0"/>
          <w:numId w:val="0"/>
        </w:numPr>
        <w:rPr>
          <w:b w:val="0"/>
        </w:rPr>
      </w:pPr>
      <w:r w:rsidRPr="002955DB">
        <w:rPr>
          <w:b w:val="0"/>
        </w:rPr>
        <w:t>Given t</w:t>
      </w:r>
      <w:r w:rsidR="000A0F3E" w:rsidRPr="002955DB">
        <w:rPr>
          <w:b w:val="0"/>
        </w:rPr>
        <w:t>he risk of colorectal cancer is elevated for carriers of the listed</w:t>
      </w:r>
      <w:r w:rsidRPr="002955DB">
        <w:rPr>
          <w:b w:val="0"/>
        </w:rPr>
        <w:t xml:space="preserve"> gene mutations the </w:t>
      </w:r>
      <w:r w:rsidR="000A0F3E" w:rsidRPr="002955DB">
        <w:rPr>
          <w:b w:val="0"/>
        </w:rPr>
        <w:t>altered clinical pathways as a consequence of testing positive, or reciprocally, negative for a pathogenic mutation in one of the actionable genes</w:t>
      </w:r>
      <w:r w:rsidRPr="002955DB">
        <w:rPr>
          <w:b w:val="0"/>
        </w:rPr>
        <w:t xml:space="preserve"> is summarised in the table below</w:t>
      </w:r>
      <w:r w:rsidR="000A0F3E" w:rsidRPr="002955DB">
        <w:rPr>
          <w:b w:val="0"/>
        </w:rPr>
        <w:t xml:space="preserve">. </w:t>
      </w:r>
      <w:r w:rsidRPr="002955DB">
        <w:rPr>
          <w:b w:val="0"/>
        </w:rPr>
        <w:t>Generally f</w:t>
      </w:r>
      <w:r w:rsidR="000A0F3E" w:rsidRPr="002955DB">
        <w:rPr>
          <w:b w:val="0"/>
        </w:rPr>
        <w:t xml:space="preserve">or the gastrointestinal (GI) cancer predisposition genes, those testing positive require close surveillance with colonoscopy to detect the rapidly growing cancers which occur driven by, for example, the </w:t>
      </w:r>
      <w:proofErr w:type="spellStart"/>
      <w:r w:rsidR="000A0F3E" w:rsidRPr="002955DB">
        <w:rPr>
          <w:b w:val="0"/>
        </w:rPr>
        <w:t>mutator</w:t>
      </w:r>
      <w:proofErr w:type="spellEnd"/>
      <w:r w:rsidR="000A0F3E" w:rsidRPr="002955DB">
        <w:rPr>
          <w:b w:val="0"/>
        </w:rPr>
        <w:t xml:space="preserve"> phenotype (accumulating hundreds of mutations in the tumours) typically of Lynch Syndrom</w:t>
      </w:r>
      <w:r w:rsidR="00DE117B">
        <w:rPr>
          <w:b w:val="0"/>
        </w:rPr>
        <w:t>e.</w:t>
      </w:r>
    </w:p>
    <w:p w14:paraId="6F118F84" w14:textId="77777777" w:rsidR="00DE117B" w:rsidRDefault="00DE117B" w:rsidP="002955DB">
      <w:pPr>
        <w:pStyle w:val="Heading2"/>
        <w:numPr>
          <w:ilvl w:val="0"/>
          <w:numId w:val="0"/>
        </w:numPr>
        <w:rPr>
          <w:b w:val="0"/>
        </w:rPr>
      </w:pPr>
    </w:p>
    <w:p w14:paraId="0FBBA727" w14:textId="77777777" w:rsidR="00EE5A8E" w:rsidRDefault="000A0F3E" w:rsidP="002955DB">
      <w:pPr>
        <w:pStyle w:val="Heading2"/>
        <w:numPr>
          <w:ilvl w:val="0"/>
          <w:numId w:val="0"/>
        </w:numPr>
        <w:rPr>
          <w:b w:val="0"/>
        </w:rPr>
      </w:pPr>
      <w:r w:rsidRPr="002955DB">
        <w:rPr>
          <w:b w:val="0"/>
        </w:rPr>
        <w:t xml:space="preserve">Those who do develop colorectal cancer are usually advised to have extensive rather than limited, oncological resections, to reduce their risk of </w:t>
      </w:r>
      <w:proofErr w:type="spellStart"/>
      <w:r w:rsidRPr="002955DB">
        <w:rPr>
          <w:b w:val="0"/>
        </w:rPr>
        <w:t>metachronous</w:t>
      </w:r>
      <w:proofErr w:type="spellEnd"/>
      <w:r w:rsidRPr="002955DB">
        <w:rPr>
          <w:b w:val="0"/>
        </w:rPr>
        <w:t xml:space="preserve"> cancer. On the other hand, those family members testing negative for the family specific mutation need no special surveillance and, if otherwise of average risk, can join the </w:t>
      </w:r>
      <w:proofErr w:type="spellStart"/>
      <w:r w:rsidRPr="002955DB">
        <w:rPr>
          <w:b w:val="0"/>
        </w:rPr>
        <w:t>iFOBT</w:t>
      </w:r>
      <w:proofErr w:type="spellEnd"/>
      <w:r w:rsidRPr="002955DB">
        <w:rPr>
          <w:b w:val="0"/>
        </w:rPr>
        <w:t xml:space="preserve">-based National Bowel Cancer Screening Program. If other factors place them at higher than average risk, they should be managed as appropriate for that circumstance. </w:t>
      </w:r>
    </w:p>
    <w:p w14:paraId="2D0841BC" w14:textId="77777777" w:rsidR="00DE117B" w:rsidRPr="00DE117B" w:rsidRDefault="00DE117B" w:rsidP="00DE117B"/>
    <w:p w14:paraId="30CE9679" w14:textId="77777777" w:rsidR="000A0F3E" w:rsidRDefault="000A0F3E" w:rsidP="002955DB">
      <w:pPr>
        <w:pStyle w:val="Heading2"/>
        <w:numPr>
          <w:ilvl w:val="0"/>
          <w:numId w:val="0"/>
        </w:numPr>
      </w:pPr>
      <w:r w:rsidRPr="002955DB">
        <w:rPr>
          <w:b w:val="0"/>
        </w:rPr>
        <w:t xml:space="preserve">If genetic testing has not been undertaken, all family members would need to remain under </w:t>
      </w:r>
      <w:proofErr w:type="spellStart"/>
      <w:r w:rsidRPr="002955DB">
        <w:rPr>
          <w:b w:val="0"/>
        </w:rPr>
        <w:t>colonoscopic</w:t>
      </w:r>
      <w:proofErr w:type="spellEnd"/>
      <w:r w:rsidRPr="002955DB">
        <w:rPr>
          <w:b w:val="0"/>
        </w:rPr>
        <w:t xml:space="preserve"> surveillance in case they had inherited the family specific mutation in the relevant gene. Colonoscopy in this setting has been shown to reduce mortality, at least in comparison with a control group who did not agree to colonoscopy (not randomised) (</w:t>
      </w:r>
      <w:proofErr w:type="spellStart"/>
      <w:r w:rsidRPr="002955DB">
        <w:rPr>
          <w:b w:val="0"/>
        </w:rPr>
        <w:t>Jarvinen</w:t>
      </w:r>
      <w:proofErr w:type="spellEnd"/>
      <w:r w:rsidRPr="002955DB">
        <w:rPr>
          <w:b w:val="0"/>
        </w:rPr>
        <w:t>, 2000). There are large cost savings to the healthcare system by segregating family members in this way. Currently, this process takes place in the Familial Cancer Clinics nationwide.</w:t>
      </w:r>
    </w:p>
    <w:p w14:paraId="006F7D3F" w14:textId="77777777" w:rsidR="00DE117B" w:rsidRDefault="00DE117B">
      <w:pPr>
        <w:spacing w:before="0" w:after="200" w:line="276" w:lineRule="auto"/>
        <w:rPr>
          <w:b/>
        </w:rPr>
      </w:pPr>
      <w:r>
        <w:rPr>
          <w:b/>
        </w:rPr>
        <w:br w:type="page"/>
      </w:r>
    </w:p>
    <w:p w14:paraId="502492D5" w14:textId="77777777" w:rsidR="004A66A0" w:rsidRPr="004A66A0" w:rsidRDefault="004A66A0" w:rsidP="004A66A0">
      <w:pPr>
        <w:ind w:left="426"/>
        <w:rPr>
          <w:b/>
        </w:rPr>
      </w:pPr>
      <w:r w:rsidRPr="004A66A0">
        <w:rPr>
          <w:b/>
        </w:rPr>
        <w:lastRenderedPageBreak/>
        <w:t>Lynch syndrome:</w:t>
      </w:r>
    </w:p>
    <w:p w14:paraId="2621D105" w14:textId="77777777" w:rsidR="004A66A0" w:rsidRPr="004A66A0" w:rsidRDefault="004A66A0" w:rsidP="004A66A0">
      <w:pPr>
        <w:ind w:left="426"/>
        <w:rPr>
          <w:i/>
        </w:rPr>
      </w:pPr>
      <w:r w:rsidRPr="004A66A0">
        <w:rPr>
          <w:i/>
        </w:rPr>
        <w:t>Colorectal</w:t>
      </w:r>
    </w:p>
    <w:tbl>
      <w:tblPr>
        <w:tblStyle w:val="TableGrid"/>
        <w:tblW w:w="9639" w:type="dxa"/>
        <w:tblInd w:w="534" w:type="dxa"/>
        <w:tblLook w:val="04A0" w:firstRow="1" w:lastRow="0" w:firstColumn="1" w:lastColumn="0" w:noHBand="0" w:noVBand="1"/>
        <w:tblDescription w:val="Lynch Syndrome: Colorectal"/>
      </w:tblPr>
      <w:tblGrid>
        <w:gridCol w:w="2128"/>
        <w:gridCol w:w="4382"/>
        <w:gridCol w:w="3129"/>
      </w:tblGrid>
      <w:tr w:rsidR="004A66A0" w:rsidRPr="004A66A0" w14:paraId="3703E30A" w14:textId="77777777" w:rsidTr="006B5426">
        <w:trPr>
          <w:tblHeader/>
        </w:trPr>
        <w:tc>
          <w:tcPr>
            <w:tcW w:w="2128" w:type="dxa"/>
          </w:tcPr>
          <w:p w14:paraId="7A5C715F" w14:textId="77777777" w:rsidR="004A66A0" w:rsidRPr="004A66A0" w:rsidRDefault="004A66A0" w:rsidP="00BF3388">
            <w:pPr>
              <w:keepNext/>
              <w:rPr>
                <w:b/>
                <w:szCs w:val="20"/>
              </w:rPr>
            </w:pPr>
          </w:p>
        </w:tc>
        <w:tc>
          <w:tcPr>
            <w:tcW w:w="4382" w:type="dxa"/>
          </w:tcPr>
          <w:p w14:paraId="4776516E" w14:textId="77777777" w:rsidR="004A66A0" w:rsidRPr="004A66A0" w:rsidRDefault="004A66A0" w:rsidP="004A66A0">
            <w:pPr>
              <w:keepNext/>
              <w:rPr>
                <w:b/>
                <w:szCs w:val="20"/>
              </w:rPr>
            </w:pPr>
            <w:r w:rsidRPr="004A66A0">
              <w:rPr>
                <w:b/>
                <w:szCs w:val="20"/>
              </w:rPr>
              <w:t>Mutation Positive</w:t>
            </w:r>
          </w:p>
        </w:tc>
        <w:tc>
          <w:tcPr>
            <w:tcW w:w="3129" w:type="dxa"/>
          </w:tcPr>
          <w:p w14:paraId="211ED5FC" w14:textId="77777777" w:rsidR="004A66A0" w:rsidRPr="004A66A0" w:rsidRDefault="004A66A0" w:rsidP="004A66A0">
            <w:pPr>
              <w:keepNext/>
              <w:rPr>
                <w:b/>
                <w:szCs w:val="20"/>
              </w:rPr>
            </w:pPr>
            <w:r w:rsidRPr="004A66A0">
              <w:rPr>
                <w:b/>
                <w:szCs w:val="20"/>
              </w:rPr>
              <w:t>Mutation Negative</w:t>
            </w:r>
          </w:p>
        </w:tc>
      </w:tr>
      <w:tr w:rsidR="004A66A0" w:rsidRPr="00CD5A3F" w14:paraId="787DC0E9" w14:textId="77777777" w:rsidTr="006B5426">
        <w:trPr>
          <w:tblHeader/>
        </w:trPr>
        <w:tc>
          <w:tcPr>
            <w:tcW w:w="2128" w:type="dxa"/>
          </w:tcPr>
          <w:p w14:paraId="2B29BCD8" w14:textId="77777777" w:rsidR="004A66A0" w:rsidRPr="00CD5A3F" w:rsidRDefault="004A66A0" w:rsidP="00BF3388">
            <w:pPr>
              <w:keepNext/>
              <w:rPr>
                <w:szCs w:val="20"/>
              </w:rPr>
            </w:pPr>
            <w:r w:rsidRPr="00CD5A3F">
              <w:rPr>
                <w:szCs w:val="20"/>
              </w:rPr>
              <w:t>Surgical</w:t>
            </w:r>
          </w:p>
        </w:tc>
        <w:tc>
          <w:tcPr>
            <w:tcW w:w="4382" w:type="dxa"/>
          </w:tcPr>
          <w:p w14:paraId="7B3E6582" w14:textId="77777777" w:rsidR="004A66A0" w:rsidRPr="00CD5A3F" w:rsidRDefault="004A66A0" w:rsidP="00BF3388">
            <w:pPr>
              <w:pStyle w:val="ListParagraph"/>
              <w:keepNext/>
              <w:numPr>
                <w:ilvl w:val="0"/>
                <w:numId w:val="41"/>
              </w:numPr>
              <w:spacing w:before="0" w:after="0"/>
              <w:rPr>
                <w:szCs w:val="20"/>
              </w:rPr>
            </w:pPr>
            <w:r w:rsidRPr="00CD5A3F">
              <w:rPr>
                <w:szCs w:val="20"/>
              </w:rPr>
              <w:t>consider subtotal colectomy in selected individuals</w:t>
            </w:r>
          </w:p>
        </w:tc>
        <w:tc>
          <w:tcPr>
            <w:tcW w:w="3129" w:type="dxa"/>
          </w:tcPr>
          <w:p w14:paraId="23C93187" w14:textId="77777777" w:rsidR="004A66A0" w:rsidRPr="00CD5A3F" w:rsidRDefault="004A66A0" w:rsidP="00BF3388">
            <w:pPr>
              <w:pStyle w:val="ListParagraph"/>
              <w:keepNext/>
              <w:numPr>
                <w:ilvl w:val="0"/>
                <w:numId w:val="41"/>
              </w:numPr>
              <w:spacing w:before="0" w:after="0"/>
              <w:rPr>
                <w:szCs w:val="20"/>
              </w:rPr>
            </w:pPr>
            <w:r w:rsidRPr="00CD5A3F">
              <w:rPr>
                <w:szCs w:val="20"/>
              </w:rPr>
              <w:t>not applicable</w:t>
            </w:r>
          </w:p>
        </w:tc>
      </w:tr>
      <w:tr w:rsidR="004A66A0" w:rsidRPr="00CD5A3F" w14:paraId="2BA72218" w14:textId="77777777" w:rsidTr="006B5426">
        <w:trPr>
          <w:tblHeader/>
        </w:trPr>
        <w:tc>
          <w:tcPr>
            <w:tcW w:w="2128" w:type="dxa"/>
          </w:tcPr>
          <w:p w14:paraId="0B5EA5AE" w14:textId="77777777" w:rsidR="004A66A0" w:rsidRPr="00CD5A3F" w:rsidRDefault="004A66A0" w:rsidP="00BF3388">
            <w:pPr>
              <w:keepNext/>
              <w:rPr>
                <w:szCs w:val="20"/>
              </w:rPr>
            </w:pPr>
            <w:r w:rsidRPr="00CD5A3F">
              <w:rPr>
                <w:szCs w:val="20"/>
              </w:rPr>
              <w:t>Surveillance</w:t>
            </w:r>
          </w:p>
          <w:p w14:paraId="4906C194" w14:textId="77777777" w:rsidR="004A66A0" w:rsidRPr="00CD5A3F" w:rsidRDefault="004A66A0" w:rsidP="00BF3388">
            <w:pPr>
              <w:keepNext/>
              <w:rPr>
                <w:szCs w:val="20"/>
              </w:rPr>
            </w:pPr>
            <w:r w:rsidRPr="00CD5A3F">
              <w:rPr>
                <w:szCs w:val="20"/>
              </w:rPr>
              <w:t>MSH6/PMS2</w:t>
            </w:r>
          </w:p>
        </w:tc>
        <w:tc>
          <w:tcPr>
            <w:tcW w:w="4382" w:type="dxa"/>
          </w:tcPr>
          <w:p w14:paraId="233D1B8A" w14:textId="77777777" w:rsidR="004A66A0" w:rsidRPr="00CD5A3F" w:rsidRDefault="004A66A0" w:rsidP="00BF3388">
            <w:pPr>
              <w:pStyle w:val="ListParagraph"/>
              <w:keepNext/>
              <w:numPr>
                <w:ilvl w:val="0"/>
                <w:numId w:val="40"/>
              </w:numPr>
              <w:spacing w:before="0" w:after="0"/>
              <w:rPr>
                <w:szCs w:val="20"/>
              </w:rPr>
            </w:pPr>
            <w:r w:rsidRPr="00CD5A3F">
              <w:rPr>
                <w:szCs w:val="20"/>
              </w:rPr>
              <w:t xml:space="preserve">annual colonoscopy from age 30 years or 5 years younger than youngest affected if &lt;35 years </w:t>
            </w:r>
          </w:p>
          <w:p w14:paraId="7A564FA0" w14:textId="77777777" w:rsidR="004A66A0" w:rsidRPr="00CD5A3F" w:rsidRDefault="004A66A0" w:rsidP="00BF3388">
            <w:pPr>
              <w:pStyle w:val="ListParagraph"/>
              <w:keepNext/>
              <w:numPr>
                <w:ilvl w:val="0"/>
                <w:numId w:val="40"/>
              </w:numPr>
              <w:spacing w:before="0" w:after="0"/>
              <w:rPr>
                <w:szCs w:val="20"/>
              </w:rPr>
            </w:pPr>
            <w:r w:rsidRPr="00CD5A3F">
              <w:rPr>
                <w:szCs w:val="20"/>
              </w:rPr>
              <w:t>review frequency of colonoscopy at age 60 years with a view to reduced frequency</w:t>
            </w:r>
          </w:p>
        </w:tc>
        <w:tc>
          <w:tcPr>
            <w:tcW w:w="3129" w:type="dxa"/>
            <w:vMerge w:val="restart"/>
          </w:tcPr>
          <w:p w14:paraId="5C39ACCD" w14:textId="77777777" w:rsidR="004A66A0" w:rsidRPr="00CD5A3F" w:rsidRDefault="004A66A0" w:rsidP="00BF3388">
            <w:pPr>
              <w:pStyle w:val="ListParagraph"/>
              <w:keepNext/>
              <w:numPr>
                <w:ilvl w:val="0"/>
                <w:numId w:val="40"/>
              </w:numPr>
              <w:spacing w:before="0" w:after="0"/>
              <w:rPr>
                <w:szCs w:val="20"/>
              </w:rPr>
            </w:pPr>
            <w:r w:rsidRPr="00CD5A3F">
              <w:rPr>
                <w:szCs w:val="20"/>
              </w:rPr>
              <w:t>general popul</w:t>
            </w:r>
            <w:bookmarkStart w:id="4" w:name="_GoBack"/>
            <w:bookmarkEnd w:id="4"/>
            <w:r w:rsidRPr="00CD5A3F">
              <w:rPr>
                <w:szCs w:val="20"/>
              </w:rPr>
              <w:t>ation screening</w:t>
            </w:r>
          </w:p>
        </w:tc>
      </w:tr>
      <w:tr w:rsidR="004A66A0" w:rsidRPr="00CD5A3F" w14:paraId="47BA96D6" w14:textId="77777777" w:rsidTr="006B5426">
        <w:trPr>
          <w:tblHeader/>
        </w:trPr>
        <w:tc>
          <w:tcPr>
            <w:tcW w:w="2128" w:type="dxa"/>
          </w:tcPr>
          <w:p w14:paraId="45D3C298" w14:textId="77777777" w:rsidR="004A66A0" w:rsidRPr="00CD5A3F" w:rsidRDefault="004A66A0" w:rsidP="00BF3388">
            <w:pPr>
              <w:keepNext/>
              <w:rPr>
                <w:szCs w:val="20"/>
              </w:rPr>
            </w:pPr>
            <w:r w:rsidRPr="00CD5A3F">
              <w:rPr>
                <w:szCs w:val="20"/>
              </w:rPr>
              <w:t>Surveillance</w:t>
            </w:r>
          </w:p>
          <w:p w14:paraId="67DD0CD2" w14:textId="77777777" w:rsidR="004A66A0" w:rsidRPr="00CD5A3F" w:rsidRDefault="004A66A0" w:rsidP="00BF3388">
            <w:pPr>
              <w:keepNext/>
              <w:rPr>
                <w:szCs w:val="20"/>
              </w:rPr>
            </w:pPr>
            <w:r w:rsidRPr="00CD5A3F">
              <w:rPr>
                <w:szCs w:val="20"/>
              </w:rPr>
              <w:t>MLH1/MSH2</w:t>
            </w:r>
          </w:p>
        </w:tc>
        <w:tc>
          <w:tcPr>
            <w:tcW w:w="4382" w:type="dxa"/>
          </w:tcPr>
          <w:p w14:paraId="2641B8B2" w14:textId="77777777" w:rsidR="004A66A0" w:rsidRPr="00CD5A3F" w:rsidRDefault="004A66A0" w:rsidP="00BF3388">
            <w:pPr>
              <w:pStyle w:val="ListParagraph"/>
              <w:keepNext/>
              <w:numPr>
                <w:ilvl w:val="0"/>
                <w:numId w:val="40"/>
              </w:numPr>
              <w:spacing w:before="0" w:after="0"/>
              <w:rPr>
                <w:szCs w:val="20"/>
              </w:rPr>
            </w:pPr>
            <w:r w:rsidRPr="00CD5A3F">
              <w:rPr>
                <w:szCs w:val="20"/>
              </w:rPr>
              <w:t xml:space="preserve">annual colonoscopy from age 25 years or 5 years younger than youngest affected if &lt;30 years </w:t>
            </w:r>
          </w:p>
          <w:p w14:paraId="4257476D" w14:textId="77777777" w:rsidR="004A66A0" w:rsidRPr="00CD5A3F" w:rsidRDefault="004A66A0" w:rsidP="00BF3388">
            <w:pPr>
              <w:pStyle w:val="ListParagraph"/>
              <w:keepNext/>
              <w:numPr>
                <w:ilvl w:val="0"/>
                <w:numId w:val="40"/>
              </w:numPr>
              <w:spacing w:before="0" w:after="0"/>
              <w:rPr>
                <w:szCs w:val="20"/>
              </w:rPr>
            </w:pPr>
            <w:r w:rsidRPr="00CD5A3F">
              <w:rPr>
                <w:szCs w:val="20"/>
              </w:rPr>
              <w:t>review frequency of colonoscopy at age 60 years with a view to second yearly frequency</w:t>
            </w:r>
          </w:p>
        </w:tc>
        <w:tc>
          <w:tcPr>
            <w:tcW w:w="3129" w:type="dxa"/>
            <w:vMerge/>
          </w:tcPr>
          <w:p w14:paraId="295BF45F" w14:textId="77777777" w:rsidR="004A66A0" w:rsidRPr="00CD5A3F" w:rsidRDefault="004A66A0" w:rsidP="00BF3388">
            <w:pPr>
              <w:keepNext/>
              <w:rPr>
                <w:szCs w:val="20"/>
              </w:rPr>
            </w:pPr>
          </w:p>
        </w:tc>
      </w:tr>
      <w:tr w:rsidR="004A66A0" w:rsidRPr="00CD5A3F" w14:paraId="5BE8B0AC" w14:textId="77777777" w:rsidTr="006B5426">
        <w:trPr>
          <w:tblHeader/>
        </w:trPr>
        <w:tc>
          <w:tcPr>
            <w:tcW w:w="2128" w:type="dxa"/>
          </w:tcPr>
          <w:p w14:paraId="5C395DAB" w14:textId="77777777" w:rsidR="004A66A0" w:rsidRPr="00CD5A3F" w:rsidRDefault="004A66A0" w:rsidP="00BF3388">
            <w:pPr>
              <w:keepNext/>
              <w:rPr>
                <w:szCs w:val="20"/>
              </w:rPr>
            </w:pPr>
            <w:r w:rsidRPr="00CD5A3F">
              <w:rPr>
                <w:szCs w:val="20"/>
              </w:rPr>
              <w:t>Risk reducing</w:t>
            </w:r>
          </w:p>
          <w:p w14:paraId="1FCB3F5E" w14:textId="77777777" w:rsidR="004A66A0" w:rsidRPr="00CD5A3F" w:rsidRDefault="00EE5A8E" w:rsidP="00BF3388">
            <w:pPr>
              <w:keepNext/>
              <w:rPr>
                <w:szCs w:val="20"/>
              </w:rPr>
            </w:pPr>
            <w:r w:rsidRPr="00CD5A3F">
              <w:rPr>
                <w:szCs w:val="20"/>
              </w:rPr>
              <w:t>M</w:t>
            </w:r>
            <w:r w:rsidR="004A66A0" w:rsidRPr="00CD5A3F">
              <w:rPr>
                <w:szCs w:val="20"/>
              </w:rPr>
              <w:t>edication</w:t>
            </w:r>
          </w:p>
        </w:tc>
        <w:tc>
          <w:tcPr>
            <w:tcW w:w="4382" w:type="dxa"/>
          </w:tcPr>
          <w:p w14:paraId="534AAF3F" w14:textId="77777777" w:rsidR="004A66A0" w:rsidRPr="00CD5A3F" w:rsidRDefault="004A66A0" w:rsidP="00BF3388">
            <w:pPr>
              <w:pStyle w:val="ListParagraph"/>
              <w:keepNext/>
              <w:numPr>
                <w:ilvl w:val="0"/>
                <w:numId w:val="40"/>
              </w:numPr>
              <w:spacing w:before="0" w:after="0"/>
              <w:rPr>
                <w:szCs w:val="20"/>
              </w:rPr>
            </w:pPr>
            <w:r w:rsidRPr="00CD5A3F">
              <w:rPr>
                <w:szCs w:val="20"/>
              </w:rPr>
              <w:t xml:space="preserve">aspirin </w:t>
            </w:r>
            <w:r>
              <w:rPr>
                <w:szCs w:val="20"/>
              </w:rPr>
              <w:t>is recommended for risk reduction</w:t>
            </w:r>
          </w:p>
        </w:tc>
        <w:tc>
          <w:tcPr>
            <w:tcW w:w="3129" w:type="dxa"/>
          </w:tcPr>
          <w:p w14:paraId="7331E345" w14:textId="77777777" w:rsidR="004A66A0" w:rsidRPr="00CD5A3F" w:rsidRDefault="004A66A0" w:rsidP="00BF3388">
            <w:pPr>
              <w:pStyle w:val="ListParagraph"/>
              <w:keepNext/>
              <w:numPr>
                <w:ilvl w:val="0"/>
                <w:numId w:val="40"/>
              </w:numPr>
              <w:spacing w:before="0" w:after="0"/>
              <w:rPr>
                <w:szCs w:val="20"/>
              </w:rPr>
            </w:pPr>
            <w:r w:rsidRPr="00CD5A3F">
              <w:rPr>
                <w:szCs w:val="20"/>
              </w:rPr>
              <w:t>not applicable</w:t>
            </w:r>
          </w:p>
        </w:tc>
      </w:tr>
    </w:tbl>
    <w:p w14:paraId="08CE91D3" w14:textId="77777777" w:rsidR="004A66A0" w:rsidRPr="004A66A0" w:rsidRDefault="004A66A0" w:rsidP="004A66A0">
      <w:pPr>
        <w:ind w:left="426"/>
        <w:rPr>
          <w:i/>
        </w:rPr>
      </w:pPr>
      <w:r>
        <w:rPr>
          <w:i/>
        </w:rPr>
        <w:t>Endometrial</w:t>
      </w:r>
    </w:p>
    <w:tbl>
      <w:tblPr>
        <w:tblStyle w:val="TableGrid"/>
        <w:tblW w:w="9639" w:type="dxa"/>
        <w:tblInd w:w="534" w:type="dxa"/>
        <w:tblLook w:val="04A0" w:firstRow="1" w:lastRow="0" w:firstColumn="1" w:lastColumn="0" w:noHBand="0" w:noVBand="1"/>
        <w:tblDescription w:val="Lynch Syndrome: Endometrial"/>
      </w:tblPr>
      <w:tblGrid>
        <w:gridCol w:w="2128"/>
        <w:gridCol w:w="4382"/>
        <w:gridCol w:w="3129"/>
      </w:tblGrid>
      <w:tr w:rsidR="004A66A0" w:rsidRPr="004A66A0" w14:paraId="6D7D3AB5" w14:textId="77777777" w:rsidTr="006B5426">
        <w:trPr>
          <w:tblHeader/>
        </w:trPr>
        <w:tc>
          <w:tcPr>
            <w:tcW w:w="2128" w:type="dxa"/>
          </w:tcPr>
          <w:p w14:paraId="77BD0F3C" w14:textId="77777777" w:rsidR="004A66A0" w:rsidRPr="004A66A0" w:rsidRDefault="004A66A0" w:rsidP="00BF3388">
            <w:pPr>
              <w:keepNext/>
              <w:rPr>
                <w:b/>
                <w:szCs w:val="20"/>
              </w:rPr>
            </w:pPr>
          </w:p>
        </w:tc>
        <w:tc>
          <w:tcPr>
            <w:tcW w:w="4382" w:type="dxa"/>
          </w:tcPr>
          <w:p w14:paraId="2AFE6ADB" w14:textId="77777777" w:rsidR="004A66A0" w:rsidRPr="004A66A0" w:rsidRDefault="004A66A0" w:rsidP="00BF3388">
            <w:pPr>
              <w:keepNext/>
              <w:rPr>
                <w:b/>
                <w:szCs w:val="20"/>
              </w:rPr>
            </w:pPr>
            <w:r w:rsidRPr="004A66A0">
              <w:rPr>
                <w:b/>
                <w:szCs w:val="20"/>
              </w:rPr>
              <w:t>Mutation Positive</w:t>
            </w:r>
          </w:p>
        </w:tc>
        <w:tc>
          <w:tcPr>
            <w:tcW w:w="3129" w:type="dxa"/>
          </w:tcPr>
          <w:p w14:paraId="7D562959" w14:textId="77777777" w:rsidR="004A66A0" w:rsidRPr="004A66A0" w:rsidRDefault="004A66A0" w:rsidP="00BF3388">
            <w:pPr>
              <w:keepNext/>
              <w:rPr>
                <w:b/>
                <w:szCs w:val="20"/>
              </w:rPr>
            </w:pPr>
            <w:r w:rsidRPr="004A66A0">
              <w:rPr>
                <w:b/>
                <w:szCs w:val="20"/>
              </w:rPr>
              <w:t>Mutation Negative</w:t>
            </w:r>
          </w:p>
        </w:tc>
      </w:tr>
      <w:tr w:rsidR="004A66A0" w:rsidRPr="00CD5A3F" w14:paraId="475088F6" w14:textId="77777777" w:rsidTr="006B5426">
        <w:trPr>
          <w:tblHeader/>
        </w:trPr>
        <w:tc>
          <w:tcPr>
            <w:tcW w:w="2128" w:type="dxa"/>
          </w:tcPr>
          <w:p w14:paraId="784229DC" w14:textId="77777777" w:rsidR="004A66A0" w:rsidRPr="00CD5A3F" w:rsidRDefault="004A66A0" w:rsidP="00BF3388">
            <w:pPr>
              <w:keepNext/>
              <w:rPr>
                <w:szCs w:val="20"/>
              </w:rPr>
            </w:pPr>
            <w:r w:rsidRPr="00CD5A3F">
              <w:rPr>
                <w:szCs w:val="20"/>
              </w:rPr>
              <w:t>Surgical</w:t>
            </w:r>
          </w:p>
        </w:tc>
        <w:tc>
          <w:tcPr>
            <w:tcW w:w="4382" w:type="dxa"/>
          </w:tcPr>
          <w:p w14:paraId="1D4CE3B8" w14:textId="77777777" w:rsidR="004A66A0" w:rsidRPr="00CD5A3F" w:rsidRDefault="004A66A0" w:rsidP="00A521B4">
            <w:pPr>
              <w:pStyle w:val="ListParagraph"/>
              <w:keepNext/>
              <w:numPr>
                <w:ilvl w:val="0"/>
                <w:numId w:val="40"/>
              </w:numPr>
              <w:spacing w:before="0" w:after="0"/>
              <w:rPr>
                <w:szCs w:val="20"/>
              </w:rPr>
            </w:pPr>
            <w:r w:rsidRPr="00CD5A3F">
              <w:rPr>
                <w:szCs w:val="20"/>
              </w:rPr>
              <w:t>recommend hysterectomy after childbearing complete or from age 40 years, or 5 years younger than the youngest affected, whichever comes first</w:t>
            </w:r>
          </w:p>
          <w:p w14:paraId="29C8DAFE" w14:textId="77777777" w:rsidR="004A66A0" w:rsidRPr="00CD5A3F" w:rsidRDefault="004A66A0" w:rsidP="00A521B4">
            <w:pPr>
              <w:pStyle w:val="ListParagraph"/>
              <w:keepNext/>
              <w:numPr>
                <w:ilvl w:val="0"/>
                <w:numId w:val="40"/>
              </w:numPr>
              <w:spacing w:before="0" w:after="0"/>
              <w:rPr>
                <w:szCs w:val="20"/>
              </w:rPr>
            </w:pPr>
            <w:r w:rsidRPr="00CD5A3F">
              <w:rPr>
                <w:szCs w:val="20"/>
              </w:rPr>
              <w:t>pros and cons of surgery should be discussed with the patient</w:t>
            </w:r>
          </w:p>
        </w:tc>
        <w:tc>
          <w:tcPr>
            <w:tcW w:w="3129" w:type="dxa"/>
          </w:tcPr>
          <w:p w14:paraId="19861140" w14:textId="77777777" w:rsidR="004A66A0" w:rsidRPr="00CD5A3F" w:rsidRDefault="004A66A0" w:rsidP="00A521B4">
            <w:pPr>
              <w:pStyle w:val="ListParagraph"/>
              <w:keepNext/>
              <w:numPr>
                <w:ilvl w:val="0"/>
                <w:numId w:val="40"/>
              </w:numPr>
              <w:spacing w:before="0" w:after="0"/>
              <w:rPr>
                <w:szCs w:val="20"/>
              </w:rPr>
            </w:pPr>
            <w:r w:rsidRPr="00CD5A3F">
              <w:rPr>
                <w:szCs w:val="20"/>
              </w:rPr>
              <w:t>no surgery</w:t>
            </w:r>
          </w:p>
        </w:tc>
      </w:tr>
    </w:tbl>
    <w:p w14:paraId="77A30E7E" w14:textId="77777777" w:rsidR="00A521B4" w:rsidRPr="004A66A0" w:rsidRDefault="00A521B4" w:rsidP="00A521B4">
      <w:pPr>
        <w:ind w:left="426"/>
        <w:rPr>
          <w:i/>
        </w:rPr>
      </w:pPr>
      <w:r>
        <w:rPr>
          <w:i/>
        </w:rPr>
        <w:t>Ovarian</w:t>
      </w:r>
    </w:p>
    <w:tbl>
      <w:tblPr>
        <w:tblStyle w:val="TableGrid"/>
        <w:tblW w:w="9639" w:type="dxa"/>
        <w:tblInd w:w="534" w:type="dxa"/>
        <w:tblLook w:val="04A0" w:firstRow="1" w:lastRow="0" w:firstColumn="1" w:lastColumn="0" w:noHBand="0" w:noVBand="1"/>
        <w:tblDescription w:val="Lynch Syndrome: Ovarian"/>
      </w:tblPr>
      <w:tblGrid>
        <w:gridCol w:w="2128"/>
        <w:gridCol w:w="4382"/>
        <w:gridCol w:w="3129"/>
      </w:tblGrid>
      <w:tr w:rsidR="00A521B4" w:rsidRPr="004A66A0" w14:paraId="0F59EABA" w14:textId="77777777" w:rsidTr="006B5426">
        <w:trPr>
          <w:tblHeader/>
        </w:trPr>
        <w:tc>
          <w:tcPr>
            <w:tcW w:w="2128" w:type="dxa"/>
          </w:tcPr>
          <w:p w14:paraId="457002C4" w14:textId="77777777" w:rsidR="00A521B4" w:rsidRPr="004A66A0" w:rsidRDefault="00A521B4" w:rsidP="00BF3388">
            <w:pPr>
              <w:keepNext/>
              <w:rPr>
                <w:b/>
                <w:szCs w:val="20"/>
              </w:rPr>
            </w:pPr>
          </w:p>
        </w:tc>
        <w:tc>
          <w:tcPr>
            <w:tcW w:w="4382" w:type="dxa"/>
          </w:tcPr>
          <w:p w14:paraId="7526F0F1" w14:textId="77777777" w:rsidR="00A521B4" w:rsidRPr="004A66A0" w:rsidRDefault="00A521B4" w:rsidP="00BF3388">
            <w:pPr>
              <w:keepNext/>
              <w:rPr>
                <w:b/>
                <w:szCs w:val="20"/>
              </w:rPr>
            </w:pPr>
            <w:r w:rsidRPr="004A66A0">
              <w:rPr>
                <w:b/>
                <w:szCs w:val="20"/>
              </w:rPr>
              <w:t>Mutation Positive</w:t>
            </w:r>
          </w:p>
        </w:tc>
        <w:tc>
          <w:tcPr>
            <w:tcW w:w="3129" w:type="dxa"/>
          </w:tcPr>
          <w:p w14:paraId="71F64249" w14:textId="77777777" w:rsidR="00A521B4" w:rsidRPr="004A66A0" w:rsidRDefault="00A521B4" w:rsidP="00BF3388">
            <w:pPr>
              <w:keepNext/>
              <w:rPr>
                <w:b/>
                <w:szCs w:val="20"/>
              </w:rPr>
            </w:pPr>
            <w:r w:rsidRPr="004A66A0">
              <w:rPr>
                <w:b/>
                <w:szCs w:val="20"/>
              </w:rPr>
              <w:t>Mutation Negative</w:t>
            </w:r>
          </w:p>
        </w:tc>
      </w:tr>
      <w:tr w:rsidR="00A521B4" w:rsidRPr="00CD5A3F" w14:paraId="25590CB9" w14:textId="77777777" w:rsidTr="006B5426">
        <w:trPr>
          <w:tblHeader/>
        </w:trPr>
        <w:tc>
          <w:tcPr>
            <w:tcW w:w="2128" w:type="dxa"/>
          </w:tcPr>
          <w:p w14:paraId="078E8CF5" w14:textId="77777777" w:rsidR="00A521B4" w:rsidRPr="00CD5A3F" w:rsidRDefault="00A521B4" w:rsidP="00BF3388">
            <w:pPr>
              <w:keepNext/>
              <w:rPr>
                <w:szCs w:val="20"/>
              </w:rPr>
            </w:pPr>
            <w:r w:rsidRPr="00CD5A3F">
              <w:rPr>
                <w:szCs w:val="20"/>
              </w:rPr>
              <w:t>Surgical</w:t>
            </w:r>
          </w:p>
        </w:tc>
        <w:tc>
          <w:tcPr>
            <w:tcW w:w="4382" w:type="dxa"/>
          </w:tcPr>
          <w:p w14:paraId="02C24D01" w14:textId="77777777" w:rsidR="00A521B4" w:rsidRPr="00CD5A3F" w:rsidRDefault="00A521B4" w:rsidP="00A521B4">
            <w:pPr>
              <w:pStyle w:val="ListParagraph"/>
              <w:keepNext/>
              <w:numPr>
                <w:ilvl w:val="0"/>
                <w:numId w:val="40"/>
              </w:numPr>
              <w:spacing w:before="0" w:after="0"/>
              <w:rPr>
                <w:szCs w:val="20"/>
              </w:rPr>
            </w:pPr>
            <w:r w:rsidRPr="00CD5A3F">
              <w:rPr>
                <w:szCs w:val="20"/>
              </w:rPr>
              <w:t>RRSO at time of hysterectomy</w:t>
            </w:r>
          </w:p>
          <w:p w14:paraId="7310C31A" w14:textId="77777777" w:rsidR="00A521B4" w:rsidRPr="00CD5A3F" w:rsidRDefault="00A521B4" w:rsidP="00A521B4">
            <w:pPr>
              <w:pStyle w:val="ListParagraph"/>
              <w:keepNext/>
              <w:numPr>
                <w:ilvl w:val="0"/>
                <w:numId w:val="40"/>
              </w:numPr>
              <w:spacing w:before="0" w:after="0"/>
              <w:rPr>
                <w:szCs w:val="20"/>
              </w:rPr>
            </w:pPr>
            <w:r w:rsidRPr="00CD5A3F">
              <w:rPr>
                <w:szCs w:val="20"/>
              </w:rPr>
              <w:t>recommend hormone replacement therapy (HRT) at the time of RRSO and continue until the usual time of menopause</w:t>
            </w:r>
          </w:p>
        </w:tc>
        <w:tc>
          <w:tcPr>
            <w:tcW w:w="3129" w:type="dxa"/>
          </w:tcPr>
          <w:p w14:paraId="6519AEF0" w14:textId="77777777" w:rsidR="00A521B4" w:rsidRPr="00CD5A3F" w:rsidRDefault="00A521B4" w:rsidP="00A521B4">
            <w:pPr>
              <w:pStyle w:val="ListParagraph"/>
              <w:keepNext/>
              <w:numPr>
                <w:ilvl w:val="0"/>
                <w:numId w:val="40"/>
              </w:numPr>
              <w:spacing w:before="0" w:after="0"/>
              <w:rPr>
                <w:szCs w:val="20"/>
              </w:rPr>
            </w:pPr>
            <w:r w:rsidRPr="00CD5A3F">
              <w:rPr>
                <w:szCs w:val="20"/>
              </w:rPr>
              <w:t>no surgery</w:t>
            </w:r>
          </w:p>
        </w:tc>
      </w:tr>
    </w:tbl>
    <w:p w14:paraId="6449DF62" w14:textId="77777777" w:rsidR="00A521B4" w:rsidRPr="004A66A0" w:rsidRDefault="00A521B4" w:rsidP="00A521B4">
      <w:pPr>
        <w:ind w:left="426"/>
        <w:rPr>
          <w:i/>
        </w:rPr>
      </w:pPr>
      <w:r>
        <w:rPr>
          <w:i/>
        </w:rPr>
        <w:t>Gastric</w:t>
      </w:r>
    </w:p>
    <w:tbl>
      <w:tblPr>
        <w:tblStyle w:val="TableGrid"/>
        <w:tblW w:w="9639" w:type="dxa"/>
        <w:tblInd w:w="534" w:type="dxa"/>
        <w:tblLook w:val="04A0" w:firstRow="1" w:lastRow="0" w:firstColumn="1" w:lastColumn="0" w:noHBand="0" w:noVBand="1"/>
        <w:tblDescription w:val="Lynch Syndrome: Gastric"/>
      </w:tblPr>
      <w:tblGrid>
        <w:gridCol w:w="2128"/>
        <w:gridCol w:w="4382"/>
        <w:gridCol w:w="3129"/>
      </w:tblGrid>
      <w:tr w:rsidR="00A521B4" w:rsidRPr="004A66A0" w14:paraId="5E0E82D6" w14:textId="77777777" w:rsidTr="006B5426">
        <w:trPr>
          <w:tblHeader/>
        </w:trPr>
        <w:tc>
          <w:tcPr>
            <w:tcW w:w="2128" w:type="dxa"/>
          </w:tcPr>
          <w:p w14:paraId="010BAC11" w14:textId="77777777" w:rsidR="00A521B4" w:rsidRPr="004A66A0" w:rsidRDefault="00A521B4" w:rsidP="00BF3388">
            <w:pPr>
              <w:keepNext/>
              <w:rPr>
                <w:b/>
                <w:szCs w:val="20"/>
              </w:rPr>
            </w:pPr>
          </w:p>
        </w:tc>
        <w:tc>
          <w:tcPr>
            <w:tcW w:w="4382" w:type="dxa"/>
          </w:tcPr>
          <w:p w14:paraId="37D4A626" w14:textId="77777777" w:rsidR="00A521B4" w:rsidRPr="004A66A0" w:rsidRDefault="00A521B4" w:rsidP="00BF3388">
            <w:pPr>
              <w:keepNext/>
              <w:rPr>
                <w:b/>
                <w:szCs w:val="20"/>
              </w:rPr>
            </w:pPr>
            <w:r w:rsidRPr="004A66A0">
              <w:rPr>
                <w:b/>
                <w:szCs w:val="20"/>
              </w:rPr>
              <w:t>Mutation Positive</w:t>
            </w:r>
          </w:p>
        </w:tc>
        <w:tc>
          <w:tcPr>
            <w:tcW w:w="3129" w:type="dxa"/>
          </w:tcPr>
          <w:p w14:paraId="73F6CC74" w14:textId="77777777" w:rsidR="00A521B4" w:rsidRPr="004A66A0" w:rsidRDefault="00A521B4" w:rsidP="00BF3388">
            <w:pPr>
              <w:keepNext/>
              <w:rPr>
                <w:b/>
                <w:szCs w:val="20"/>
              </w:rPr>
            </w:pPr>
            <w:r w:rsidRPr="004A66A0">
              <w:rPr>
                <w:b/>
                <w:szCs w:val="20"/>
              </w:rPr>
              <w:t>Mutation Negative</w:t>
            </w:r>
          </w:p>
        </w:tc>
      </w:tr>
      <w:tr w:rsidR="00A521B4" w:rsidRPr="00CD5A3F" w14:paraId="070366A1" w14:textId="77777777" w:rsidTr="006B5426">
        <w:trPr>
          <w:tblHeader/>
        </w:trPr>
        <w:tc>
          <w:tcPr>
            <w:tcW w:w="2128" w:type="dxa"/>
          </w:tcPr>
          <w:p w14:paraId="6DBE3FF4" w14:textId="77777777" w:rsidR="00A521B4" w:rsidRPr="00CD5A3F" w:rsidRDefault="00A521B4" w:rsidP="00BF3388">
            <w:pPr>
              <w:keepNext/>
              <w:rPr>
                <w:szCs w:val="20"/>
              </w:rPr>
            </w:pPr>
            <w:r w:rsidRPr="00CD5A3F">
              <w:rPr>
                <w:szCs w:val="20"/>
              </w:rPr>
              <w:t>Surveillance</w:t>
            </w:r>
          </w:p>
        </w:tc>
        <w:tc>
          <w:tcPr>
            <w:tcW w:w="4382" w:type="dxa"/>
          </w:tcPr>
          <w:p w14:paraId="36A86947" w14:textId="77777777" w:rsidR="00A521B4" w:rsidRPr="00CD5A3F" w:rsidRDefault="00A521B4" w:rsidP="00A521B4">
            <w:pPr>
              <w:pStyle w:val="ListParagraph"/>
              <w:keepNext/>
              <w:numPr>
                <w:ilvl w:val="0"/>
                <w:numId w:val="40"/>
              </w:numPr>
              <w:spacing w:before="0" w:after="0"/>
              <w:rPr>
                <w:szCs w:val="20"/>
              </w:rPr>
            </w:pPr>
            <w:r w:rsidRPr="00CD5A3F">
              <w:rPr>
                <w:szCs w:val="20"/>
              </w:rPr>
              <w:t>consider second yearly gastroscopy from age 30 years in families with gastric cancer or those at high ethnic risk e.g. Chinese, Korean, Chilean and Japanese</w:t>
            </w:r>
          </w:p>
        </w:tc>
        <w:tc>
          <w:tcPr>
            <w:tcW w:w="3129" w:type="dxa"/>
          </w:tcPr>
          <w:p w14:paraId="75DBA986" w14:textId="77777777" w:rsidR="00A521B4" w:rsidRPr="00CD5A3F" w:rsidRDefault="00A521B4" w:rsidP="00A521B4">
            <w:pPr>
              <w:pStyle w:val="ListParagraph"/>
              <w:keepNext/>
              <w:numPr>
                <w:ilvl w:val="0"/>
                <w:numId w:val="40"/>
              </w:numPr>
              <w:spacing w:before="0" w:after="0"/>
              <w:rPr>
                <w:szCs w:val="20"/>
              </w:rPr>
            </w:pPr>
            <w:r w:rsidRPr="00CD5A3F">
              <w:rPr>
                <w:szCs w:val="20"/>
              </w:rPr>
              <w:t>no surveillance</w:t>
            </w:r>
          </w:p>
        </w:tc>
      </w:tr>
    </w:tbl>
    <w:p w14:paraId="2884E629" w14:textId="77777777" w:rsidR="00DE117B" w:rsidRDefault="00DE117B" w:rsidP="004A66A0">
      <w:pPr>
        <w:ind w:left="426"/>
        <w:rPr>
          <w:b/>
        </w:rPr>
      </w:pPr>
    </w:p>
    <w:p w14:paraId="0D7E8B2A" w14:textId="77777777" w:rsidR="00DE117B" w:rsidRDefault="00DE117B">
      <w:pPr>
        <w:spacing w:before="0" w:after="200" w:line="276" w:lineRule="auto"/>
        <w:rPr>
          <w:b/>
        </w:rPr>
      </w:pPr>
      <w:r>
        <w:rPr>
          <w:b/>
        </w:rPr>
        <w:br w:type="page"/>
      </w:r>
    </w:p>
    <w:p w14:paraId="4AAD7CAF" w14:textId="77777777" w:rsidR="004A66A0" w:rsidRPr="00EC44F3" w:rsidRDefault="00EC44F3" w:rsidP="004A66A0">
      <w:pPr>
        <w:ind w:left="426"/>
        <w:rPr>
          <w:b/>
        </w:rPr>
      </w:pPr>
      <w:r w:rsidRPr="00EC44F3">
        <w:rPr>
          <w:b/>
        </w:rPr>
        <w:lastRenderedPageBreak/>
        <w:t>Familial adenomatous polyposis</w:t>
      </w:r>
    </w:p>
    <w:p w14:paraId="7C9528C7" w14:textId="77777777" w:rsidR="00EC44F3" w:rsidRPr="004A66A0" w:rsidRDefault="00EC44F3" w:rsidP="00EC44F3">
      <w:pPr>
        <w:ind w:left="426"/>
        <w:rPr>
          <w:i/>
        </w:rPr>
      </w:pPr>
      <w:r>
        <w:rPr>
          <w:i/>
        </w:rPr>
        <w:t>Colorectal</w:t>
      </w:r>
    </w:p>
    <w:tbl>
      <w:tblPr>
        <w:tblStyle w:val="TableGrid"/>
        <w:tblW w:w="9639" w:type="dxa"/>
        <w:tblInd w:w="534" w:type="dxa"/>
        <w:tblLook w:val="04A0" w:firstRow="1" w:lastRow="0" w:firstColumn="1" w:lastColumn="0" w:noHBand="0" w:noVBand="1"/>
        <w:tblDescription w:val="Familial adenomatous polyposis: Colorectal"/>
      </w:tblPr>
      <w:tblGrid>
        <w:gridCol w:w="2128"/>
        <w:gridCol w:w="4382"/>
        <w:gridCol w:w="3129"/>
      </w:tblGrid>
      <w:tr w:rsidR="00EC44F3" w:rsidRPr="004A66A0" w14:paraId="12C638C2" w14:textId="77777777" w:rsidTr="006B5426">
        <w:trPr>
          <w:tblHeader/>
        </w:trPr>
        <w:tc>
          <w:tcPr>
            <w:tcW w:w="2128" w:type="dxa"/>
          </w:tcPr>
          <w:p w14:paraId="014A4705" w14:textId="77777777" w:rsidR="00EC44F3" w:rsidRPr="004A66A0" w:rsidRDefault="00EC44F3" w:rsidP="00BF3388">
            <w:pPr>
              <w:keepNext/>
              <w:rPr>
                <w:b/>
                <w:szCs w:val="20"/>
              </w:rPr>
            </w:pPr>
          </w:p>
        </w:tc>
        <w:tc>
          <w:tcPr>
            <w:tcW w:w="4382" w:type="dxa"/>
          </w:tcPr>
          <w:p w14:paraId="19932D83" w14:textId="77777777" w:rsidR="00EC44F3" w:rsidRPr="004A66A0" w:rsidRDefault="00EC44F3" w:rsidP="00BF3388">
            <w:pPr>
              <w:keepNext/>
              <w:rPr>
                <w:b/>
                <w:szCs w:val="20"/>
              </w:rPr>
            </w:pPr>
            <w:r w:rsidRPr="004A66A0">
              <w:rPr>
                <w:b/>
                <w:szCs w:val="20"/>
              </w:rPr>
              <w:t>Mutation Positive</w:t>
            </w:r>
          </w:p>
        </w:tc>
        <w:tc>
          <w:tcPr>
            <w:tcW w:w="3129" w:type="dxa"/>
          </w:tcPr>
          <w:p w14:paraId="3E45B1E3" w14:textId="77777777" w:rsidR="00EC44F3" w:rsidRPr="004A66A0" w:rsidRDefault="00EC44F3" w:rsidP="00BF3388">
            <w:pPr>
              <w:keepNext/>
              <w:rPr>
                <w:b/>
                <w:szCs w:val="20"/>
              </w:rPr>
            </w:pPr>
            <w:r w:rsidRPr="004A66A0">
              <w:rPr>
                <w:b/>
                <w:szCs w:val="20"/>
              </w:rPr>
              <w:t>Mutation Negative</w:t>
            </w:r>
          </w:p>
        </w:tc>
      </w:tr>
      <w:tr w:rsidR="00EC44F3" w:rsidRPr="00CD5A3F" w14:paraId="4AA7A99B" w14:textId="77777777" w:rsidTr="006B5426">
        <w:trPr>
          <w:tblHeader/>
        </w:trPr>
        <w:tc>
          <w:tcPr>
            <w:tcW w:w="2128" w:type="dxa"/>
          </w:tcPr>
          <w:p w14:paraId="597C19D4" w14:textId="77777777" w:rsidR="00EC44F3" w:rsidRPr="00CD5A3F" w:rsidRDefault="00EC44F3" w:rsidP="00BF3388">
            <w:pPr>
              <w:keepNext/>
              <w:rPr>
                <w:szCs w:val="20"/>
              </w:rPr>
            </w:pPr>
            <w:r w:rsidRPr="00CD5A3F">
              <w:rPr>
                <w:szCs w:val="20"/>
              </w:rPr>
              <w:t>Surgical</w:t>
            </w:r>
          </w:p>
        </w:tc>
        <w:tc>
          <w:tcPr>
            <w:tcW w:w="4382" w:type="dxa"/>
          </w:tcPr>
          <w:p w14:paraId="08F7D26E" w14:textId="77777777" w:rsidR="00EC44F3" w:rsidRPr="00CD5A3F" w:rsidRDefault="00EC44F3" w:rsidP="00EC44F3">
            <w:pPr>
              <w:pStyle w:val="ListParagraph"/>
              <w:keepNext/>
              <w:numPr>
                <w:ilvl w:val="0"/>
                <w:numId w:val="40"/>
              </w:numPr>
              <w:spacing w:before="0" w:after="0"/>
              <w:rPr>
                <w:szCs w:val="20"/>
              </w:rPr>
            </w:pPr>
            <w:r w:rsidRPr="00CD5A3F">
              <w:rPr>
                <w:szCs w:val="20"/>
              </w:rPr>
              <w:t>colectomy is standard of care and is strongly recommended</w:t>
            </w:r>
          </w:p>
          <w:p w14:paraId="26507578" w14:textId="77777777" w:rsidR="00EC44F3" w:rsidRPr="00CD5A3F" w:rsidRDefault="00EC44F3" w:rsidP="00EC44F3">
            <w:pPr>
              <w:pStyle w:val="ListParagraph"/>
              <w:keepNext/>
              <w:numPr>
                <w:ilvl w:val="0"/>
                <w:numId w:val="40"/>
              </w:numPr>
              <w:spacing w:before="0" w:after="0"/>
              <w:rPr>
                <w:szCs w:val="20"/>
              </w:rPr>
            </w:pPr>
            <w:r w:rsidRPr="00CD5A3F">
              <w:rPr>
                <w:szCs w:val="20"/>
              </w:rPr>
              <w:t>timing of surgery: typically late teens, exact timing to be determined by patient and number of polyps present</w:t>
            </w:r>
          </w:p>
        </w:tc>
        <w:tc>
          <w:tcPr>
            <w:tcW w:w="3129" w:type="dxa"/>
          </w:tcPr>
          <w:p w14:paraId="77B73636" w14:textId="77777777" w:rsidR="00EC44F3" w:rsidRPr="00CD5A3F" w:rsidRDefault="00EC44F3" w:rsidP="00EC44F3">
            <w:pPr>
              <w:pStyle w:val="ListParagraph"/>
              <w:keepNext/>
              <w:numPr>
                <w:ilvl w:val="0"/>
                <w:numId w:val="40"/>
              </w:numPr>
              <w:spacing w:before="0" w:after="0"/>
              <w:rPr>
                <w:szCs w:val="20"/>
              </w:rPr>
            </w:pPr>
            <w:r w:rsidRPr="00CD5A3F">
              <w:rPr>
                <w:szCs w:val="20"/>
              </w:rPr>
              <w:t>no surgery</w:t>
            </w:r>
          </w:p>
        </w:tc>
      </w:tr>
      <w:tr w:rsidR="00EC44F3" w:rsidRPr="00CD5A3F" w14:paraId="29D21094" w14:textId="77777777" w:rsidTr="006B5426">
        <w:trPr>
          <w:trHeight w:val="621"/>
          <w:tblHeader/>
        </w:trPr>
        <w:tc>
          <w:tcPr>
            <w:tcW w:w="2128" w:type="dxa"/>
          </w:tcPr>
          <w:p w14:paraId="1D22800B" w14:textId="77777777" w:rsidR="00EC44F3" w:rsidRPr="00CD5A3F" w:rsidRDefault="00EC44F3" w:rsidP="00BF3388">
            <w:pPr>
              <w:keepNext/>
              <w:rPr>
                <w:szCs w:val="20"/>
              </w:rPr>
            </w:pPr>
            <w:r w:rsidRPr="00CD5A3F">
              <w:rPr>
                <w:szCs w:val="20"/>
              </w:rPr>
              <w:t>Surveillance</w:t>
            </w:r>
          </w:p>
          <w:p w14:paraId="4F96EC94" w14:textId="77777777" w:rsidR="00EC44F3" w:rsidRPr="00CD5A3F" w:rsidRDefault="00EC44F3" w:rsidP="00BF3388">
            <w:pPr>
              <w:keepNext/>
              <w:rPr>
                <w:szCs w:val="20"/>
              </w:rPr>
            </w:pPr>
          </w:p>
        </w:tc>
        <w:tc>
          <w:tcPr>
            <w:tcW w:w="4382" w:type="dxa"/>
          </w:tcPr>
          <w:p w14:paraId="6BFEC7A6" w14:textId="77777777" w:rsidR="00EC44F3" w:rsidRPr="00CD5A3F" w:rsidRDefault="00EC44F3" w:rsidP="00EC44F3">
            <w:pPr>
              <w:pStyle w:val="ListParagraph"/>
              <w:keepNext/>
              <w:numPr>
                <w:ilvl w:val="0"/>
                <w:numId w:val="40"/>
              </w:numPr>
              <w:spacing w:before="0" w:after="0"/>
              <w:rPr>
                <w:szCs w:val="20"/>
              </w:rPr>
            </w:pPr>
            <w:r w:rsidRPr="00CD5A3F">
              <w:rPr>
                <w:szCs w:val="20"/>
              </w:rPr>
              <w:t xml:space="preserve">prior to colectomy: From age 1015yrs (usually), annual colonoscopy (flexible sigmoidoscopy if colonoscopy contraindicated or unavailable) </w:t>
            </w:r>
          </w:p>
          <w:p w14:paraId="283E1C00" w14:textId="77777777" w:rsidR="00EC44F3" w:rsidRPr="00CD5A3F" w:rsidRDefault="00EC44F3" w:rsidP="00EC44F3">
            <w:pPr>
              <w:pStyle w:val="ListParagraph"/>
              <w:keepNext/>
              <w:numPr>
                <w:ilvl w:val="0"/>
                <w:numId w:val="40"/>
              </w:numPr>
              <w:spacing w:before="0" w:after="0"/>
              <w:rPr>
                <w:szCs w:val="20"/>
              </w:rPr>
            </w:pPr>
            <w:r w:rsidRPr="00CD5A3F">
              <w:rPr>
                <w:szCs w:val="20"/>
              </w:rPr>
              <w:t xml:space="preserve">annual surveillance of residual rectum or </w:t>
            </w:r>
            <w:proofErr w:type="spellStart"/>
            <w:r w:rsidRPr="00CD5A3F">
              <w:rPr>
                <w:szCs w:val="20"/>
              </w:rPr>
              <w:t>ileal</w:t>
            </w:r>
            <w:proofErr w:type="spellEnd"/>
            <w:r w:rsidRPr="00CD5A3F">
              <w:rPr>
                <w:szCs w:val="20"/>
              </w:rPr>
              <w:t xml:space="preserve"> pouch is required following colectomy</w:t>
            </w:r>
          </w:p>
        </w:tc>
        <w:tc>
          <w:tcPr>
            <w:tcW w:w="3129" w:type="dxa"/>
          </w:tcPr>
          <w:p w14:paraId="71C4E6AB" w14:textId="77777777" w:rsidR="00EC44F3" w:rsidRPr="00CD5A3F" w:rsidRDefault="00EC44F3" w:rsidP="00EC44F3">
            <w:pPr>
              <w:pStyle w:val="ListParagraph"/>
              <w:keepNext/>
              <w:numPr>
                <w:ilvl w:val="0"/>
                <w:numId w:val="40"/>
              </w:numPr>
              <w:spacing w:before="0" w:after="0"/>
              <w:rPr>
                <w:szCs w:val="20"/>
              </w:rPr>
            </w:pPr>
            <w:r w:rsidRPr="00CD5A3F">
              <w:rPr>
                <w:szCs w:val="20"/>
              </w:rPr>
              <w:t>no surveillance</w:t>
            </w:r>
          </w:p>
        </w:tc>
      </w:tr>
    </w:tbl>
    <w:p w14:paraId="7AD2CB50" w14:textId="77777777" w:rsidR="00EC44F3" w:rsidRPr="004A66A0" w:rsidRDefault="00EC44F3" w:rsidP="00EC44F3">
      <w:pPr>
        <w:ind w:left="426"/>
        <w:rPr>
          <w:i/>
        </w:rPr>
      </w:pPr>
      <w:r>
        <w:rPr>
          <w:i/>
        </w:rPr>
        <w:t xml:space="preserve">Duodenum or </w:t>
      </w:r>
      <w:proofErr w:type="spellStart"/>
      <w:r>
        <w:rPr>
          <w:i/>
        </w:rPr>
        <w:t>periampulla</w:t>
      </w:r>
      <w:proofErr w:type="spellEnd"/>
    </w:p>
    <w:tbl>
      <w:tblPr>
        <w:tblStyle w:val="TableGrid"/>
        <w:tblW w:w="9639" w:type="dxa"/>
        <w:tblInd w:w="534" w:type="dxa"/>
        <w:tblLook w:val="04A0" w:firstRow="1" w:lastRow="0" w:firstColumn="1" w:lastColumn="0" w:noHBand="0" w:noVBand="1"/>
        <w:tblDescription w:val="Familial adenomatous polyposis: Duodenum or periampulla"/>
      </w:tblPr>
      <w:tblGrid>
        <w:gridCol w:w="2128"/>
        <w:gridCol w:w="4382"/>
        <w:gridCol w:w="3129"/>
      </w:tblGrid>
      <w:tr w:rsidR="00EC44F3" w:rsidRPr="004A66A0" w14:paraId="21988C82" w14:textId="77777777" w:rsidTr="006B5426">
        <w:trPr>
          <w:tblHeader/>
        </w:trPr>
        <w:tc>
          <w:tcPr>
            <w:tcW w:w="2128" w:type="dxa"/>
          </w:tcPr>
          <w:p w14:paraId="03CEBC32" w14:textId="77777777" w:rsidR="00EC44F3" w:rsidRPr="004A66A0" w:rsidRDefault="00EC44F3" w:rsidP="00BF3388">
            <w:pPr>
              <w:keepNext/>
              <w:rPr>
                <w:b/>
                <w:szCs w:val="20"/>
              </w:rPr>
            </w:pPr>
          </w:p>
        </w:tc>
        <w:tc>
          <w:tcPr>
            <w:tcW w:w="4382" w:type="dxa"/>
          </w:tcPr>
          <w:p w14:paraId="2D166EA8" w14:textId="77777777" w:rsidR="00EC44F3" w:rsidRPr="004A66A0" w:rsidRDefault="00EC44F3" w:rsidP="00BF3388">
            <w:pPr>
              <w:keepNext/>
              <w:rPr>
                <w:b/>
                <w:szCs w:val="20"/>
              </w:rPr>
            </w:pPr>
            <w:r w:rsidRPr="004A66A0">
              <w:rPr>
                <w:b/>
                <w:szCs w:val="20"/>
              </w:rPr>
              <w:t>Mutation Positive</w:t>
            </w:r>
          </w:p>
        </w:tc>
        <w:tc>
          <w:tcPr>
            <w:tcW w:w="3129" w:type="dxa"/>
          </w:tcPr>
          <w:p w14:paraId="509FE81D" w14:textId="77777777" w:rsidR="00EC44F3" w:rsidRPr="004A66A0" w:rsidRDefault="00EC44F3" w:rsidP="00BF3388">
            <w:pPr>
              <w:keepNext/>
              <w:rPr>
                <w:b/>
                <w:szCs w:val="20"/>
              </w:rPr>
            </w:pPr>
            <w:r w:rsidRPr="004A66A0">
              <w:rPr>
                <w:b/>
                <w:szCs w:val="20"/>
              </w:rPr>
              <w:t>Mutation Negative</w:t>
            </w:r>
          </w:p>
        </w:tc>
      </w:tr>
      <w:tr w:rsidR="00EC44F3" w:rsidRPr="00CD5A3F" w14:paraId="271B4E3E" w14:textId="77777777" w:rsidTr="00EC44F3">
        <w:tc>
          <w:tcPr>
            <w:tcW w:w="2128" w:type="dxa"/>
          </w:tcPr>
          <w:p w14:paraId="7453273F" w14:textId="77777777" w:rsidR="00EC44F3" w:rsidRPr="00CD5A3F" w:rsidRDefault="00EC44F3" w:rsidP="00BF3388">
            <w:pPr>
              <w:keepNext/>
              <w:rPr>
                <w:szCs w:val="20"/>
              </w:rPr>
            </w:pPr>
            <w:r w:rsidRPr="00CD5A3F">
              <w:rPr>
                <w:szCs w:val="20"/>
              </w:rPr>
              <w:t>Surgical</w:t>
            </w:r>
          </w:p>
        </w:tc>
        <w:tc>
          <w:tcPr>
            <w:tcW w:w="4382" w:type="dxa"/>
          </w:tcPr>
          <w:p w14:paraId="35159BCA" w14:textId="77777777" w:rsidR="00EC44F3" w:rsidRPr="00CD5A3F" w:rsidRDefault="00EC44F3" w:rsidP="00EC44F3">
            <w:pPr>
              <w:pStyle w:val="ListParagraph"/>
              <w:keepNext/>
              <w:numPr>
                <w:ilvl w:val="0"/>
                <w:numId w:val="40"/>
              </w:numPr>
              <w:spacing w:before="0" w:after="0"/>
              <w:rPr>
                <w:szCs w:val="20"/>
              </w:rPr>
            </w:pPr>
            <w:r w:rsidRPr="00CD5A3F">
              <w:rPr>
                <w:szCs w:val="20"/>
              </w:rPr>
              <w:t xml:space="preserve">consider </w:t>
            </w:r>
            <w:proofErr w:type="spellStart"/>
            <w:r w:rsidRPr="00CD5A3F">
              <w:rPr>
                <w:szCs w:val="20"/>
              </w:rPr>
              <w:t>duodenectomy</w:t>
            </w:r>
            <w:proofErr w:type="spellEnd"/>
            <w:r w:rsidRPr="00CD5A3F">
              <w:rPr>
                <w:szCs w:val="20"/>
              </w:rPr>
              <w:t xml:space="preserve"> for Stage IV adenomas</w:t>
            </w:r>
          </w:p>
        </w:tc>
        <w:tc>
          <w:tcPr>
            <w:tcW w:w="3129" w:type="dxa"/>
          </w:tcPr>
          <w:p w14:paraId="1906709F" w14:textId="77777777" w:rsidR="00EC44F3" w:rsidRPr="00CD5A3F" w:rsidRDefault="00EC44F3" w:rsidP="00EC44F3">
            <w:pPr>
              <w:pStyle w:val="ListParagraph"/>
              <w:keepNext/>
              <w:numPr>
                <w:ilvl w:val="0"/>
                <w:numId w:val="40"/>
              </w:numPr>
              <w:spacing w:before="0" w:after="0"/>
              <w:rPr>
                <w:szCs w:val="20"/>
              </w:rPr>
            </w:pPr>
            <w:r w:rsidRPr="00CD5A3F">
              <w:rPr>
                <w:szCs w:val="20"/>
              </w:rPr>
              <w:t>no surgery</w:t>
            </w:r>
          </w:p>
        </w:tc>
      </w:tr>
      <w:tr w:rsidR="00EC44F3" w:rsidRPr="00CD5A3F" w14:paraId="31C838C8" w14:textId="77777777" w:rsidTr="00EC44F3">
        <w:tc>
          <w:tcPr>
            <w:tcW w:w="2128" w:type="dxa"/>
          </w:tcPr>
          <w:p w14:paraId="5D956921" w14:textId="77777777" w:rsidR="00EC44F3" w:rsidRPr="00CD5A3F" w:rsidRDefault="00EC44F3" w:rsidP="00BF3388">
            <w:pPr>
              <w:keepNext/>
              <w:rPr>
                <w:szCs w:val="20"/>
              </w:rPr>
            </w:pPr>
            <w:r w:rsidRPr="00CD5A3F">
              <w:rPr>
                <w:szCs w:val="20"/>
              </w:rPr>
              <w:t>Surveillance</w:t>
            </w:r>
          </w:p>
        </w:tc>
        <w:tc>
          <w:tcPr>
            <w:tcW w:w="4382" w:type="dxa"/>
          </w:tcPr>
          <w:p w14:paraId="47EEF134" w14:textId="77777777" w:rsidR="00EC44F3" w:rsidRPr="00CD5A3F" w:rsidRDefault="00EC44F3" w:rsidP="00EC44F3">
            <w:pPr>
              <w:pStyle w:val="ListParagraph"/>
              <w:keepNext/>
              <w:numPr>
                <w:ilvl w:val="0"/>
                <w:numId w:val="40"/>
              </w:numPr>
              <w:spacing w:before="0" w:after="0"/>
              <w:rPr>
                <w:szCs w:val="20"/>
              </w:rPr>
            </w:pPr>
            <w:r w:rsidRPr="00CD5A3F">
              <w:rPr>
                <w:szCs w:val="20"/>
              </w:rPr>
              <w:t xml:space="preserve">from age 25: Upper gastrointestinal endoscopy frequency dependent on </w:t>
            </w:r>
            <w:proofErr w:type="spellStart"/>
            <w:r w:rsidRPr="00CD5A3F">
              <w:rPr>
                <w:szCs w:val="20"/>
              </w:rPr>
              <w:t>Spigelman</w:t>
            </w:r>
            <w:proofErr w:type="spellEnd"/>
            <w:r w:rsidRPr="00CD5A3F">
              <w:rPr>
                <w:szCs w:val="20"/>
              </w:rPr>
              <w:t xml:space="preserve"> criteria</w:t>
            </w:r>
          </w:p>
        </w:tc>
        <w:tc>
          <w:tcPr>
            <w:tcW w:w="3129" w:type="dxa"/>
          </w:tcPr>
          <w:p w14:paraId="34A8260B" w14:textId="77777777" w:rsidR="00EC44F3" w:rsidRPr="00CD5A3F" w:rsidRDefault="00EC44F3" w:rsidP="00EC44F3">
            <w:pPr>
              <w:pStyle w:val="ListParagraph"/>
              <w:keepNext/>
              <w:numPr>
                <w:ilvl w:val="0"/>
                <w:numId w:val="40"/>
              </w:numPr>
              <w:spacing w:before="0" w:after="0"/>
              <w:rPr>
                <w:szCs w:val="20"/>
              </w:rPr>
            </w:pPr>
            <w:r w:rsidRPr="00CD5A3F">
              <w:rPr>
                <w:szCs w:val="20"/>
              </w:rPr>
              <w:t>no surveillance</w:t>
            </w:r>
          </w:p>
        </w:tc>
      </w:tr>
    </w:tbl>
    <w:p w14:paraId="693720C1" w14:textId="55964D7E" w:rsidR="004318FB" w:rsidRPr="00154B00" w:rsidRDefault="00F10709" w:rsidP="004318FB">
      <w:pPr>
        <w:ind w:left="426"/>
        <w:rPr>
          <w:szCs w:val="20"/>
        </w:rPr>
      </w:pPr>
      <w:r>
        <w:t>In summary, d</w:t>
      </w:r>
      <w:r w:rsidR="004318FB">
        <w:t>isease management of mutation positive family members would follow the above recommendations.  Mutation negative family members would revert to general population risk and follow guidelines for screening of the general population.</w:t>
      </w:r>
    </w:p>
    <w:p w14:paraId="02F06CA0"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C83E7CD" w14:textId="77777777" w:rsidR="001B29A1" w:rsidRDefault="0054653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1B29A1">
        <w:rPr>
          <w:szCs w:val="20"/>
        </w:rPr>
        <w:t xml:space="preserve"> Yes </w:t>
      </w:r>
    </w:p>
    <w:p w14:paraId="4B608DB9"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57C2A">
        <w:rPr>
          <w:szCs w:val="20"/>
        </w:rPr>
      </w:r>
      <w:r w:rsidR="00157C2A">
        <w:rPr>
          <w:szCs w:val="20"/>
        </w:rPr>
        <w:fldChar w:fldCharType="separate"/>
      </w:r>
      <w:r w:rsidRPr="00753C44">
        <w:rPr>
          <w:szCs w:val="20"/>
        </w:rPr>
        <w:fldChar w:fldCharType="end"/>
      </w:r>
      <w:r>
        <w:rPr>
          <w:szCs w:val="20"/>
        </w:rPr>
        <w:t xml:space="preserve"> No  </w:t>
      </w:r>
    </w:p>
    <w:p w14:paraId="5229D26A"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97A0F0A" w14:textId="77777777" w:rsidR="00546531" w:rsidRDefault="00546531" w:rsidP="00546531">
      <w:pPr>
        <w:ind w:left="426"/>
      </w:pPr>
      <w:r>
        <w:t xml:space="preserve">Some investigations will still be required for clinical management of </w:t>
      </w:r>
      <w:proofErr w:type="spellStart"/>
      <w:r>
        <w:t>proband</w:t>
      </w:r>
      <w:proofErr w:type="spellEnd"/>
      <w:r>
        <w:t xml:space="preserve"> patients.</w:t>
      </w:r>
    </w:p>
    <w:p w14:paraId="4A9FC700" w14:textId="77777777" w:rsidR="00546531" w:rsidRPr="00154B00" w:rsidRDefault="00546531" w:rsidP="00546531">
      <w:pPr>
        <w:ind w:left="426"/>
        <w:rPr>
          <w:szCs w:val="20"/>
        </w:rPr>
      </w:pPr>
      <w:r>
        <w:t>Disease management of mutation positive family members would follow the above recommendations.  Mutation negative family members would revert to general population risk and follow guidelines for screening of the general population.</w:t>
      </w:r>
    </w:p>
    <w:p w14:paraId="6EA23911"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0743ADC" w14:textId="2ACFD0FC" w:rsidR="0054594B" w:rsidRDefault="00F10709" w:rsidP="00D10B47">
      <w:pPr>
        <w:pStyle w:val="ListParagraph"/>
        <w:ind w:left="360"/>
        <w:rPr>
          <w:b/>
          <w:szCs w:val="20"/>
        </w:rPr>
      </w:pPr>
      <w:r>
        <w:t>The new medical service would improve the identification of persons at risk of developing colorectal and endometrial cancer and allow for appropriate advice for the prevention of disease.</w:t>
      </w:r>
      <w:r w:rsidR="009E434C">
        <w:t xml:space="preserve"> There will be increased numbers of patients requiring early surgical intervention and entering surveillance programs with a decrease in patients requiring </w:t>
      </w:r>
      <w:r w:rsidR="001B04B3">
        <w:t>later stage surgical treatment and chemotherapy.</w:t>
      </w:r>
      <w:r>
        <w:t xml:space="preserve"> </w:t>
      </w:r>
      <w:r w:rsidR="0038420E" w:rsidRPr="0038420E">
        <w:t>There will also be a decrease in the number of unnecessary referrals as approximately half of the targeted population will have no increase in their risk of disease by virtue of not carrying the disease causing genetic variant.</w:t>
      </w:r>
      <w:r w:rsidR="0038420E">
        <w:t xml:space="preserve"> </w:t>
      </w:r>
      <w:r w:rsidR="001B04B3">
        <w:t>The medical service</w:t>
      </w:r>
      <w:r w:rsidR="009E434C">
        <w:t xml:space="preserve"> is expected to reduce the incidence, morbidity and mortality of these cancers. </w:t>
      </w:r>
    </w:p>
    <w:p w14:paraId="6602E329" w14:textId="77777777" w:rsidR="002053F2" w:rsidRPr="00154B00" w:rsidRDefault="002053F2" w:rsidP="00D10B47">
      <w:pPr>
        <w:pStyle w:val="ListParagraph"/>
        <w:ind w:left="360"/>
        <w:rPr>
          <w:b/>
          <w:szCs w:val="20"/>
        </w:rPr>
      </w:pPr>
    </w:p>
    <w:p w14:paraId="17D1828D" w14:textId="77777777" w:rsidR="001B29A1" w:rsidRDefault="001B29A1" w:rsidP="00881F93">
      <w:pPr>
        <w:rPr>
          <w:b/>
          <w:i/>
          <w:szCs w:val="20"/>
          <w:u w:val="single"/>
        </w:rPr>
      </w:pPr>
      <w:r>
        <w:rPr>
          <w:b/>
          <w:i/>
          <w:szCs w:val="20"/>
          <w:u w:val="single"/>
        </w:rPr>
        <w:br w:type="page"/>
      </w:r>
    </w:p>
    <w:p w14:paraId="5B8A08DA"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98284C9" w14:textId="77777777" w:rsidR="006251ED" w:rsidRPr="006251ED" w:rsidRDefault="004E3CC7" w:rsidP="006251ED">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F2CFAF1" w14:textId="77777777" w:rsidR="006251ED" w:rsidRPr="002955DB" w:rsidRDefault="006251ED" w:rsidP="006E64A6">
      <w:pPr>
        <w:ind w:left="426"/>
      </w:pPr>
      <w:r w:rsidRPr="002955DB">
        <w:t>In broad terms, the following benefits are expected</w:t>
      </w:r>
      <w:r>
        <w:t xml:space="preserve"> through offering the proposed gene testing (</w:t>
      </w:r>
      <w:r w:rsidR="00752F91">
        <w:t xml:space="preserve">primarily </w:t>
      </w:r>
      <w:r>
        <w:t xml:space="preserve">the benefits to </w:t>
      </w:r>
      <w:r w:rsidR="00752F91">
        <w:t xml:space="preserve">mutation positive </w:t>
      </w:r>
      <w:r>
        <w:t>family</w:t>
      </w:r>
      <w:r w:rsidR="00630526">
        <w:t xml:space="preserve"> members </w:t>
      </w:r>
      <w:r w:rsidR="00752F91">
        <w:t xml:space="preserve">are </w:t>
      </w:r>
      <w:r w:rsidR="00630526">
        <w:t>summarised here)</w:t>
      </w:r>
      <w:r w:rsidRPr="002955DB">
        <w:t xml:space="preserve">. Evidence to back up these claims will be subsequently presented to MSAC for their consideration </w:t>
      </w:r>
    </w:p>
    <w:p w14:paraId="7BA3ED47" w14:textId="77777777" w:rsidR="006E64A6" w:rsidRPr="004A66A0" w:rsidRDefault="006E64A6" w:rsidP="006E64A6">
      <w:pPr>
        <w:ind w:left="426"/>
        <w:rPr>
          <w:b/>
        </w:rPr>
      </w:pPr>
      <w:r w:rsidRPr="004A66A0">
        <w:rPr>
          <w:b/>
        </w:rPr>
        <w:t>Lynch syndrome:</w:t>
      </w:r>
    </w:p>
    <w:p w14:paraId="5AD2B534" w14:textId="77777777" w:rsidR="006E64A6" w:rsidRDefault="006E64A6" w:rsidP="006E64A6">
      <w:pPr>
        <w:ind w:left="426"/>
        <w:rPr>
          <w:i/>
        </w:rPr>
      </w:pPr>
      <w:r w:rsidRPr="004A66A0">
        <w:rPr>
          <w:i/>
        </w:rPr>
        <w:t>Colorectal</w:t>
      </w:r>
    </w:p>
    <w:p w14:paraId="607E61D5" w14:textId="77777777" w:rsidR="006251ED" w:rsidRDefault="006251ED" w:rsidP="00DE117B">
      <w:pPr>
        <w:pStyle w:val="ListParagraph"/>
        <w:keepNext/>
        <w:numPr>
          <w:ilvl w:val="0"/>
          <w:numId w:val="44"/>
        </w:numPr>
        <w:spacing w:before="0" w:after="0"/>
        <w:ind w:left="851" w:hanging="425"/>
        <w:rPr>
          <w:szCs w:val="20"/>
        </w:rPr>
      </w:pPr>
      <w:r w:rsidRPr="00CD5A3F">
        <w:rPr>
          <w:szCs w:val="20"/>
        </w:rPr>
        <w:t>Increased life expectancy</w:t>
      </w:r>
    </w:p>
    <w:p w14:paraId="6B7C0F54" w14:textId="77777777" w:rsidR="006251ED" w:rsidRDefault="00630526" w:rsidP="00DE117B">
      <w:pPr>
        <w:pStyle w:val="ListParagraph"/>
        <w:keepNext/>
        <w:numPr>
          <w:ilvl w:val="0"/>
          <w:numId w:val="44"/>
        </w:numPr>
        <w:spacing w:before="0" w:after="0"/>
        <w:ind w:left="851" w:hanging="425"/>
        <w:rPr>
          <w:szCs w:val="20"/>
        </w:rPr>
      </w:pPr>
      <w:r w:rsidRPr="00630526">
        <w:rPr>
          <w:szCs w:val="20"/>
        </w:rPr>
        <w:t>Significant reduction of bowel cancer risk equivalent to general population risk th</w:t>
      </w:r>
      <w:r w:rsidR="00752F91">
        <w:rPr>
          <w:szCs w:val="20"/>
        </w:rPr>
        <w:t>ro</w:t>
      </w:r>
      <w:r w:rsidRPr="00630526">
        <w:rPr>
          <w:szCs w:val="20"/>
        </w:rPr>
        <w:t xml:space="preserve">ugh more intensive surveillance </w:t>
      </w:r>
    </w:p>
    <w:p w14:paraId="1164F963" w14:textId="77777777" w:rsidR="006E64A6" w:rsidRDefault="006E64A6" w:rsidP="006E64A6">
      <w:pPr>
        <w:ind w:left="426"/>
        <w:rPr>
          <w:i/>
        </w:rPr>
      </w:pPr>
      <w:r>
        <w:rPr>
          <w:i/>
        </w:rPr>
        <w:t>Endometrial</w:t>
      </w:r>
      <w:r w:rsidR="00630526">
        <w:rPr>
          <w:i/>
        </w:rPr>
        <w:t xml:space="preserve"> and Ovarian </w:t>
      </w:r>
    </w:p>
    <w:p w14:paraId="69C005C8" w14:textId="77777777" w:rsidR="00630526" w:rsidRPr="00DE117B" w:rsidRDefault="00630526" w:rsidP="00DE117B">
      <w:pPr>
        <w:pStyle w:val="ListParagraph"/>
        <w:keepNext/>
        <w:numPr>
          <w:ilvl w:val="0"/>
          <w:numId w:val="44"/>
        </w:numPr>
        <w:spacing w:before="0" w:after="0"/>
        <w:ind w:left="851" w:hanging="425"/>
        <w:rPr>
          <w:szCs w:val="20"/>
        </w:rPr>
      </w:pPr>
      <w:r>
        <w:rPr>
          <w:szCs w:val="20"/>
        </w:rPr>
        <w:t>H</w:t>
      </w:r>
      <w:r w:rsidRPr="00CD5A3F">
        <w:rPr>
          <w:szCs w:val="20"/>
        </w:rPr>
        <w:t xml:space="preserve">ysterectomy and recommend risk reducing </w:t>
      </w:r>
      <w:proofErr w:type="spellStart"/>
      <w:r w:rsidRPr="00CD5A3F">
        <w:rPr>
          <w:szCs w:val="20"/>
        </w:rPr>
        <w:t>salping</w:t>
      </w:r>
      <w:r w:rsidR="00752F91">
        <w:rPr>
          <w:szCs w:val="20"/>
        </w:rPr>
        <w:t>o</w:t>
      </w:r>
      <w:proofErr w:type="spellEnd"/>
      <w:r w:rsidR="00752F91">
        <w:rPr>
          <w:szCs w:val="20"/>
        </w:rPr>
        <w:t>-oophorectomy (RRSO) are</w:t>
      </w:r>
      <w:r w:rsidRPr="00CD5A3F">
        <w:rPr>
          <w:szCs w:val="20"/>
        </w:rPr>
        <w:t xml:space="preserve"> interventions which significantly reduce the risk of both endometrial and ovarian cancer</w:t>
      </w:r>
    </w:p>
    <w:p w14:paraId="06AABA0D" w14:textId="77777777" w:rsidR="00653FA0" w:rsidRPr="00EC44F3" w:rsidRDefault="00653FA0" w:rsidP="00653FA0">
      <w:pPr>
        <w:ind w:left="426"/>
        <w:rPr>
          <w:b/>
        </w:rPr>
      </w:pPr>
      <w:r w:rsidRPr="00EC44F3">
        <w:rPr>
          <w:b/>
        </w:rPr>
        <w:t>Familial adenomatous polyposis</w:t>
      </w:r>
    </w:p>
    <w:p w14:paraId="5EB049E1" w14:textId="77777777" w:rsidR="00630526" w:rsidRPr="00DE117B" w:rsidRDefault="00630526" w:rsidP="00DE117B">
      <w:pPr>
        <w:pStyle w:val="ListParagraph"/>
        <w:keepNext/>
        <w:numPr>
          <w:ilvl w:val="0"/>
          <w:numId w:val="44"/>
        </w:numPr>
        <w:spacing w:before="0" w:after="0"/>
        <w:ind w:left="851" w:hanging="425"/>
        <w:rPr>
          <w:szCs w:val="20"/>
        </w:rPr>
      </w:pPr>
      <w:r w:rsidRPr="00CD5A3F">
        <w:rPr>
          <w:szCs w:val="20"/>
        </w:rPr>
        <w:t>Systematic review</w:t>
      </w:r>
      <w:r>
        <w:rPr>
          <w:szCs w:val="20"/>
        </w:rPr>
        <w:t>s have</w:t>
      </w:r>
      <w:r w:rsidRPr="00CD5A3F">
        <w:rPr>
          <w:szCs w:val="20"/>
        </w:rPr>
        <w:t xml:space="preserve"> found that registration</w:t>
      </w:r>
      <w:r>
        <w:rPr>
          <w:szCs w:val="20"/>
        </w:rPr>
        <w:t xml:space="preserve"> </w:t>
      </w:r>
      <w:r w:rsidRPr="001473A1">
        <w:rPr>
          <w:szCs w:val="20"/>
        </w:rPr>
        <w:t>in dedicated registers,</w:t>
      </w:r>
      <w:r w:rsidRPr="00CD5A3F">
        <w:rPr>
          <w:szCs w:val="20"/>
        </w:rPr>
        <w:t xml:space="preserve"> surveillance and colectomy have a consistent and significant reduction in incidence and CRC related mortality</w:t>
      </w:r>
    </w:p>
    <w:p w14:paraId="2C0F2FAE"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DA4F21D" w14:textId="77777777" w:rsidR="001B29A1" w:rsidRPr="001B29A1" w:rsidRDefault="00FE2AAE"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57C2A">
        <w:rPr>
          <w:szCs w:val="20"/>
        </w:rPr>
      </w:r>
      <w:r w:rsidR="00157C2A">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BE91C74"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57C2A">
        <w:rPr>
          <w:szCs w:val="20"/>
        </w:rPr>
      </w:r>
      <w:r w:rsidR="00157C2A">
        <w:rPr>
          <w:szCs w:val="20"/>
        </w:rPr>
        <w:fldChar w:fldCharType="separate"/>
      </w:r>
      <w:r w:rsidRPr="001B29A1">
        <w:rPr>
          <w:szCs w:val="20"/>
        </w:rPr>
        <w:fldChar w:fldCharType="end"/>
      </w:r>
      <w:r w:rsidRPr="001B29A1">
        <w:rPr>
          <w:szCs w:val="20"/>
        </w:rPr>
        <w:t xml:space="preserve"> Non-inferiority</w:t>
      </w:r>
      <w:r w:rsidRPr="001B29A1">
        <w:rPr>
          <w:szCs w:val="20"/>
        </w:rPr>
        <w:tab/>
      </w:r>
    </w:p>
    <w:p w14:paraId="58F5406B" w14:textId="7777777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3B51E23" w14:textId="77777777" w:rsidR="00752F91" w:rsidRPr="00752F91" w:rsidRDefault="00752F91" w:rsidP="002955DB"/>
    <w:p w14:paraId="665219AD"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B968A9">
        <w:t xml:space="preserve"> Consideration of the relative safety of performing the proposed gene testing versus the main comparator will primarily focus on the presentation of ‘flow on’ safety consequences that arise as a result of conducting the proposed service. It will not consider the immediate or delayed safety consequences of physically performing the service given the low risk nature of the blood collection to obtain a sample to conduct the test.   </w:t>
      </w:r>
      <w:r w:rsidRPr="001B29A1">
        <w:rPr>
          <w:b/>
          <w:szCs w:val="20"/>
        </w:rPr>
        <w:t>Clinical Effectiveness Outcomes</w:t>
      </w:r>
      <w:r>
        <w:rPr>
          <w:b/>
          <w:szCs w:val="20"/>
        </w:rPr>
        <w:t xml:space="preserve">: </w:t>
      </w:r>
      <w:r w:rsidR="00752F91">
        <w:t xml:space="preserve"> Clin</w:t>
      </w:r>
      <w:r w:rsidR="00EB0627">
        <w:t>i</w:t>
      </w:r>
      <w:r w:rsidR="00752F91">
        <w:t xml:space="preserve">cal effectiveness outcomes will be presented through a clinical utility construct as per the CUC </w:t>
      </w:r>
      <w:proofErr w:type="spellStart"/>
      <w:r w:rsidR="00752F91">
        <w:t>proforma</w:t>
      </w:r>
      <w:proofErr w:type="spellEnd"/>
      <w:r w:rsidR="00752F91">
        <w:t xml:space="preserve"> including presentation of analytical validity and clinical validity data as well as change in management/overall outcome data (survival </w:t>
      </w:r>
      <w:proofErr w:type="spellStart"/>
      <w:r w:rsidR="00752F91">
        <w:t>etc</w:t>
      </w:r>
      <w:proofErr w:type="spellEnd"/>
      <w:r w:rsidR="00752F91">
        <w:t>)</w:t>
      </w:r>
    </w:p>
    <w:p w14:paraId="76AFF070"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A7FCC9"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05998DDB" w14:textId="77777777" w:rsidR="00B8773A" w:rsidRPr="00B8773A" w:rsidRDefault="00B8773A" w:rsidP="00B8773A">
      <w:pPr>
        <w:ind w:left="426"/>
        <w:rPr>
          <w:i/>
        </w:rPr>
      </w:pPr>
      <w:r w:rsidRPr="00B8773A">
        <w:rPr>
          <w:i/>
        </w:rPr>
        <w:t xml:space="preserve">Lynch syndrome </w:t>
      </w:r>
    </w:p>
    <w:p w14:paraId="6EE3AE12" w14:textId="77777777" w:rsidR="00B8773A" w:rsidRPr="00B8773A" w:rsidRDefault="00B8773A" w:rsidP="00B8773A">
      <w:pPr>
        <w:ind w:left="426"/>
      </w:pPr>
      <w:r w:rsidRPr="00B8773A">
        <w:t>The frequency of germline mutations in a MMR gene in unselected individuals with colorectal cancers is 2-4%. The frequency of germline mutations in MMR gene in unselected individuals with endometrial cancers is ~3%. De novo mutations in the MMR genes are very rare.</w:t>
      </w:r>
    </w:p>
    <w:p w14:paraId="2F99EC7D" w14:textId="77777777" w:rsidR="00B8773A" w:rsidRPr="00B8773A" w:rsidRDefault="00B8773A" w:rsidP="00B8773A">
      <w:pPr>
        <w:ind w:left="426"/>
        <w:rPr>
          <w:i/>
        </w:rPr>
      </w:pPr>
      <w:r w:rsidRPr="00B8773A">
        <w:rPr>
          <w:i/>
        </w:rPr>
        <w:t>FAP</w:t>
      </w:r>
    </w:p>
    <w:p w14:paraId="3F124C4E" w14:textId="77777777" w:rsidR="00B8773A" w:rsidRPr="00B8773A" w:rsidRDefault="00B8773A" w:rsidP="00B8773A">
      <w:pPr>
        <w:ind w:left="426"/>
      </w:pPr>
      <w:r w:rsidRPr="00B8773A">
        <w:t xml:space="preserve">Prevalence in colorectal cancer patients ~1% </w:t>
      </w:r>
    </w:p>
    <w:p w14:paraId="3C061E75" w14:textId="77777777" w:rsidR="00B8773A" w:rsidRPr="00B8773A" w:rsidRDefault="00B8773A" w:rsidP="00B8773A">
      <w:pPr>
        <w:ind w:left="426"/>
      </w:pPr>
      <w:r w:rsidRPr="00B8773A">
        <w:t>The frequency of APC germline mutations in unselected individuals with CRC is &lt;0.2%</w:t>
      </w:r>
    </w:p>
    <w:p w14:paraId="51CB4B57" w14:textId="77777777" w:rsidR="00B8773A" w:rsidRPr="0023230A" w:rsidRDefault="00B8773A" w:rsidP="0023230A">
      <w:pPr>
        <w:ind w:left="426"/>
        <w:rPr>
          <w:i/>
        </w:rPr>
      </w:pPr>
      <w:r w:rsidRPr="0023230A">
        <w:rPr>
          <w:i/>
        </w:rPr>
        <w:t>MUTYH</w:t>
      </w:r>
    </w:p>
    <w:p w14:paraId="7F162477" w14:textId="77777777" w:rsidR="00B8773A" w:rsidRPr="0023230A" w:rsidRDefault="00B8773A" w:rsidP="0023230A">
      <w:pPr>
        <w:ind w:left="426"/>
      </w:pPr>
      <w:r w:rsidRPr="0023230A">
        <w:t xml:space="preserve">The frequency of </w:t>
      </w:r>
      <w:proofErr w:type="spellStart"/>
      <w:r w:rsidRPr="0023230A">
        <w:t>biallelic</w:t>
      </w:r>
      <w:proofErr w:type="spellEnd"/>
      <w:r w:rsidRPr="0023230A">
        <w:t xml:space="preserve"> MUTYH mutations in unselected individuals is 1-2 per 10,000. </w:t>
      </w:r>
    </w:p>
    <w:p w14:paraId="0F81DD99" w14:textId="77777777" w:rsidR="00B8773A" w:rsidRPr="0023230A" w:rsidRDefault="00B8773A" w:rsidP="0023230A">
      <w:pPr>
        <w:ind w:left="426"/>
      </w:pPr>
      <w:r w:rsidRPr="0023230A">
        <w:t xml:space="preserve">The frequency of </w:t>
      </w:r>
      <w:proofErr w:type="spellStart"/>
      <w:r w:rsidRPr="0023230A">
        <w:t>monoallelic</w:t>
      </w:r>
      <w:proofErr w:type="spellEnd"/>
      <w:r w:rsidRPr="0023230A">
        <w:t xml:space="preserve"> MUTYH mutations in unselected individuals is 1-2%.</w:t>
      </w:r>
    </w:p>
    <w:p w14:paraId="041EED82" w14:textId="77777777" w:rsidR="00B8773A" w:rsidRPr="0023230A" w:rsidRDefault="00B8773A" w:rsidP="0023230A">
      <w:pPr>
        <w:ind w:left="426"/>
      </w:pPr>
      <w:r w:rsidRPr="0023230A">
        <w:t xml:space="preserve">The likelihood of detecting </w:t>
      </w:r>
      <w:proofErr w:type="spellStart"/>
      <w:r w:rsidRPr="0023230A">
        <w:t>biallelic</w:t>
      </w:r>
      <w:proofErr w:type="spellEnd"/>
      <w:r w:rsidRPr="0023230A">
        <w:t xml:space="preserve"> MUTYH mutations in an individual with polyposis increases if the family history is suggestive of autosomal recessive inheritance, i.e. parental consanguinity or a sibling/s with documented polyposis or colorectal cancer.</w:t>
      </w:r>
    </w:p>
    <w:p w14:paraId="318A4D2C"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1BF6CA0" w14:textId="77777777" w:rsidR="00382407" w:rsidRPr="00154B00" w:rsidRDefault="0023230A" w:rsidP="00AE1188">
      <w:pPr>
        <w:ind w:left="426"/>
        <w:rPr>
          <w:szCs w:val="20"/>
        </w:rPr>
      </w:pPr>
      <w:r>
        <w:t>Once only</w:t>
      </w:r>
    </w:p>
    <w:p w14:paraId="47B6EF3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500420EB" w14:textId="77777777" w:rsidR="00382407" w:rsidRPr="00154B00" w:rsidRDefault="0023230A" w:rsidP="00AE1188">
      <w:pPr>
        <w:ind w:left="426"/>
        <w:rPr>
          <w:b/>
          <w:szCs w:val="20"/>
        </w:rPr>
      </w:pPr>
      <w:r>
        <w:t>Not relevant as the test is once only.</w:t>
      </w:r>
    </w:p>
    <w:p w14:paraId="496FAE96"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C899AD0" w14:textId="542B4101" w:rsidR="00AE1188" w:rsidRDefault="00412506" w:rsidP="00AE1188">
      <w:pPr>
        <w:ind w:left="426"/>
      </w:pPr>
      <w:r>
        <w:t>Approx. 800, a significant proportion would be predictive testing of relatives.</w:t>
      </w:r>
    </w:p>
    <w:p w14:paraId="73C86177" w14:textId="4B2FECE0" w:rsidR="00412506" w:rsidRPr="00154B00" w:rsidRDefault="00412506" w:rsidP="00AE1188">
      <w:pPr>
        <w:ind w:left="426"/>
        <w:rPr>
          <w:szCs w:val="20"/>
        </w:rPr>
      </w:pPr>
      <w:r>
        <w:t xml:space="preserve">This estimate is calculated from an extrapolation of NSW statistics, where there are projected to be 6000 CRC cancers diagnosed per year; &lt;1% will be due to FAP and &lt;3% Lynch Syndrome. </w:t>
      </w:r>
    </w:p>
    <w:p w14:paraId="2605141A"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25DAAC7" w14:textId="77777777" w:rsidR="00A71DD9" w:rsidRDefault="00412506" w:rsidP="00412506">
      <w:pPr>
        <w:spacing w:before="100" w:beforeAutospacing="1" w:after="100" w:afterAutospacing="1"/>
        <w:ind w:left="392"/>
        <w:rPr>
          <w:szCs w:val="20"/>
        </w:rPr>
      </w:pPr>
      <w:r>
        <w:rPr>
          <w:szCs w:val="20"/>
        </w:rPr>
        <w:t xml:space="preserve">Uptake in the next three years will result in all of the at risk population using the test in diagnosis. </w:t>
      </w:r>
    </w:p>
    <w:p w14:paraId="40D01617" w14:textId="0CA072B8" w:rsidR="00412506" w:rsidRDefault="00A71DD9" w:rsidP="00412506">
      <w:pPr>
        <w:spacing w:before="100" w:beforeAutospacing="1" w:after="100" w:afterAutospacing="1"/>
        <w:ind w:left="392"/>
        <w:rPr>
          <w:szCs w:val="20"/>
        </w:rPr>
      </w:pPr>
      <w:r>
        <w:rPr>
          <w:szCs w:val="20"/>
        </w:rPr>
        <w:t>It is estimated that the number of patients utilising the test will remain at less than 900 in three years’ time.</w:t>
      </w:r>
    </w:p>
    <w:p w14:paraId="2BE0EA8F" w14:textId="09EC3F69" w:rsidR="001B171D" w:rsidRPr="00154B00" w:rsidRDefault="00412506" w:rsidP="00412506">
      <w:pPr>
        <w:ind w:firstLine="392"/>
        <w:rPr>
          <w:szCs w:val="20"/>
        </w:rPr>
      </w:pPr>
      <w:r>
        <w:rPr>
          <w:szCs w:val="20"/>
        </w:rPr>
        <w:t>Leakage to populations not targeted by the service would be restricted by the item descriptor.</w:t>
      </w:r>
    </w:p>
    <w:p w14:paraId="6E9343DE" w14:textId="77777777" w:rsidR="003433D1" w:rsidRDefault="003433D1">
      <w:pPr>
        <w:rPr>
          <w:b/>
          <w:sz w:val="32"/>
          <w:szCs w:val="32"/>
        </w:rPr>
      </w:pPr>
      <w:r>
        <w:rPr>
          <w:b/>
          <w:sz w:val="32"/>
          <w:szCs w:val="32"/>
        </w:rPr>
        <w:br w:type="page"/>
      </w:r>
    </w:p>
    <w:p w14:paraId="229F8646"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5CEEF130"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55A79C66" w14:textId="77777777" w:rsidR="0023230A" w:rsidRPr="0023230A" w:rsidRDefault="0023230A" w:rsidP="0023230A">
      <w:pPr>
        <w:ind w:left="426"/>
        <w:rPr>
          <w:i/>
        </w:rPr>
      </w:pPr>
      <w:r w:rsidRPr="0023230A">
        <w:rPr>
          <w:i/>
        </w:rPr>
        <w:t>Diagnostic genetic testing of affected individuals</w:t>
      </w:r>
    </w:p>
    <w:p w14:paraId="1A27C65B" w14:textId="77777777" w:rsidR="0023230A" w:rsidRPr="00210F82" w:rsidRDefault="0023230A" w:rsidP="0023230A">
      <w:pPr>
        <w:ind w:left="426"/>
      </w:pPr>
      <w:r w:rsidRPr="00210F82">
        <w:t xml:space="preserve">Proposed MBS fee(s): </w:t>
      </w:r>
      <w:r w:rsidRPr="00B0140E">
        <w:t>$</w:t>
      </w:r>
      <w:r>
        <w:t>1200</w:t>
      </w:r>
    </w:p>
    <w:p w14:paraId="02F1479C" w14:textId="77777777" w:rsidR="0023230A" w:rsidRPr="0023230A" w:rsidRDefault="0023230A" w:rsidP="0023230A">
      <w:pPr>
        <w:ind w:left="426"/>
        <w:rPr>
          <w:i/>
        </w:rPr>
      </w:pPr>
      <w:r w:rsidRPr="0023230A">
        <w:rPr>
          <w:i/>
        </w:rPr>
        <w:t>Predictive genetic testing of family members</w:t>
      </w:r>
    </w:p>
    <w:p w14:paraId="7D54E823" w14:textId="77777777" w:rsidR="0023230A" w:rsidRPr="00210F82" w:rsidRDefault="0023230A" w:rsidP="0023230A">
      <w:pPr>
        <w:ind w:left="426"/>
      </w:pPr>
      <w:r w:rsidRPr="00210F82">
        <w:t xml:space="preserve">Proposed MBS fee(s): </w:t>
      </w:r>
      <w:r w:rsidRPr="00B0140E">
        <w:t>$</w:t>
      </w:r>
      <w:r>
        <w:t>400</w:t>
      </w:r>
    </w:p>
    <w:p w14:paraId="3D5A76F6"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29289AB" w14:textId="5F04E209" w:rsidR="00951933" w:rsidRDefault="00BF0226" w:rsidP="00AE1188">
      <w:pPr>
        <w:ind w:left="426"/>
        <w:rPr>
          <w:b/>
          <w:szCs w:val="20"/>
        </w:rPr>
      </w:pPr>
      <w:r>
        <w:rPr>
          <w:szCs w:val="20"/>
        </w:rPr>
        <w:t xml:space="preserve">A turnaround time of </w:t>
      </w:r>
      <w:r w:rsidR="00BE30F9">
        <w:rPr>
          <w:szCs w:val="20"/>
        </w:rPr>
        <w:t>twenty</w:t>
      </w:r>
      <w:r>
        <w:rPr>
          <w:szCs w:val="20"/>
        </w:rPr>
        <w:t xml:space="preserve"> working days is required for the complete testing process from specimen collection to pathology report.</w:t>
      </w:r>
    </w:p>
    <w:p w14:paraId="5AB837D7"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8432153" w14:textId="67D7FCD8"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F0226" w:rsidRPr="00896F54">
        <w:rPr>
          <w:szCs w:val="20"/>
        </w:rPr>
        <w:t xml:space="preserve">MBS Pathology Table Category 6, </w:t>
      </w:r>
      <w:r w:rsidR="00BF0226">
        <w:rPr>
          <w:szCs w:val="20"/>
        </w:rPr>
        <w:t>Group P7 -Genetics</w:t>
      </w:r>
      <w:r w:rsidRPr="00AE1188">
        <w:rPr>
          <w:szCs w:val="20"/>
        </w:rPr>
        <w:t xml:space="preserve"> </w:t>
      </w:r>
    </w:p>
    <w:p w14:paraId="72624E68" w14:textId="77777777" w:rsidR="0023230A" w:rsidRDefault="0023230A" w:rsidP="00AE1188">
      <w:pPr>
        <w:pBdr>
          <w:top w:val="single" w:sz="4" w:space="1" w:color="auto"/>
          <w:left w:val="single" w:sz="4" w:space="4" w:color="auto"/>
          <w:bottom w:val="single" w:sz="4" w:space="1" w:color="auto"/>
          <w:right w:val="single" w:sz="4" w:space="4" w:color="auto"/>
        </w:pBdr>
        <w:rPr>
          <w:szCs w:val="20"/>
        </w:rPr>
      </w:pPr>
      <w:r>
        <w:rPr>
          <w:rFonts w:eastAsia="Calibri"/>
          <w:iCs/>
        </w:rPr>
        <w:t xml:space="preserve">Characterisation </w:t>
      </w:r>
      <w:r w:rsidRPr="0084381B">
        <w:rPr>
          <w:rFonts w:eastAsia="Calibri"/>
          <w:iCs/>
        </w:rPr>
        <w:t xml:space="preserve">of germline gene variants in </w:t>
      </w:r>
      <w:r>
        <w:rPr>
          <w:rFonts w:eastAsia="Calibri"/>
          <w:iCs/>
        </w:rPr>
        <w:t>three</w:t>
      </w:r>
      <w:r w:rsidRPr="0084381B">
        <w:rPr>
          <w:rFonts w:eastAsia="Calibri"/>
          <w:iCs/>
        </w:rPr>
        <w:t xml:space="preserve"> or more of the following genes </w:t>
      </w:r>
      <w:r>
        <w:t xml:space="preserve">APC, MLH1, MSH2, MSH6, PMS2, MUTYH with or without any of these genes SMAD4, BMPR1A, STK11, GREM1, and EPCAM* [*deletions associated with </w:t>
      </w:r>
      <w:proofErr w:type="spellStart"/>
      <w:r>
        <w:t>epigenic</w:t>
      </w:r>
      <w:proofErr w:type="spellEnd"/>
      <w:r>
        <w:t xml:space="preserve"> silencing of MSH2]</w:t>
      </w:r>
      <w:r w:rsidRPr="0084381B">
        <w:rPr>
          <w:rFonts w:eastAsia="Calibri"/>
          <w:iCs/>
        </w:rPr>
        <w:t xml:space="preserve">, in a patient with </w:t>
      </w:r>
      <w:r>
        <w:rPr>
          <w:rFonts w:eastAsia="Calibri"/>
          <w:iCs/>
        </w:rPr>
        <w:t>colorectal or endometrial cancer</w:t>
      </w:r>
      <w:r w:rsidRPr="0061489E">
        <w:rPr>
          <w:rFonts w:eastAsia="Calibri"/>
          <w:iCs/>
        </w:rPr>
        <w:t>, or familial polyposis syndrome, for whom clinical and family history criteria, as assessed by a tre</w:t>
      </w:r>
      <w:r w:rsidRPr="0084381B">
        <w:rPr>
          <w:rFonts w:eastAsia="Calibri"/>
          <w:iCs/>
        </w:rPr>
        <w:t xml:space="preserve">ating specialist </w:t>
      </w:r>
      <w:r>
        <w:rPr>
          <w:rFonts w:eastAsia="Calibri"/>
          <w:iCs/>
        </w:rPr>
        <w:t xml:space="preserve">place the patient at </w:t>
      </w:r>
      <w:r w:rsidRPr="008520C0">
        <w:rPr>
          <w:rFonts w:eastAsia="Calibri"/>
          <w:iCs/>
        </w:rPr>
        <w:t>&gt;10%</w:t>
      </w:r>
      <w:r w:rsidRPr="0084381B">
        <w:rPr>
          <w:rFonts w:eastAsia="Calibri"/>
          <w:iCs/>
        </w:rPr>
        <w:t xml:space="preserve"> risk of having a clinically actionable pathogenic mutation</w:t>
      </w:r>
      <w:r>
        <w:rPr>
          <w:rFonts w:eastAsia="Calibri"/>
          <w:iCs/>
        </w:rPr>
        <w:t xml:space="preserve"> identified.</w:t>
      </w:r>
    </w:p>
    <w:p w14:paraId="4066E324"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23230A">
        <w:t>1,200</w:t>
      </w:r>
    </w:p>
    <w:p w14:paraId="4624C38E" w14:textId="77777777" w:rsidR="0023230A" w:rsidRDefault="0023230A" w:rsidP="004A0BF4">
      <w:pPr>
        <w:pStyle w:val="Heading2"/>
        <w:numPr>
          <w:ilvl w:val="0"/>
          <w:numId w:val="0"/>
        </w:numPr>
        <w:ind w:left="360"/>
      </w:pPr>
    </w:p>
    <w:p w14:paraId="0B6EF282" w14:textId="486169AB" w:rsidR="0023230A" w:rsidRPr="00AE1188" w:rsidRDefault="0023230A" w:rsidP="0023230A">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F0226" w:rsidRPr="00896F54">
        <w:rPr>
          <w:szCs w:val="20"/>
        </w:rPr>
        <w:t xml:space="preserve">MBS Pathology Table Category 6, </w:t>
      </w:r>
      <w:r w:rsidR="00BF0226">
        <w:rPr>
          <w:szCs w:val="20"/>
        </w:rPr>
        <w:t>Group P7 -Genetics</w:t>
      </w:r>
      <w:r w:rsidRPr="00AE1188">
        <w:rPr>
          <w:szCs w:val="20"/>
        </w:rPr>
        <w:t xml:space="preserve"> </w:t>
      </w:r>
    </w:p>
    <w:p w14:paraId="3A5A297D" w14:textId="77777777" w:rsidR="0023230A" w:rsidRDefault="0023230A" w:rsidP="0023230A">
      <w:pPr>
        <w:pBdr>
          <w:top w:val="single" w:sz="4" w:space="1" w:color="auto"/>
          <w:left w:val="single" w:sz="4" w:space="4" w:color="auto"/>
          <w:bottom w:val="single" w:sz="4" w:space="1" w:color="auto"/>
          <w:right w:val="single" w:sz="4" w:space="4" w:color="auto"/>
        </w:pBdr>
        <w:rPr>
          <w:iCs/>
        </w:rPr>
      </w:pPr>
      <w:r w:rsidRPr="0084381B">
        <w:rPr>
          <w:iCs/>
        </w:rPr>
        <w:t>Request by a clinical geneticist, or a medical specialist providing professional genetic counselling services, for the detection of a clinically actionable pathogenic mutation previously identified in a gene listed in Item XXXX in a relative</w:t>
      </w:r>
    </w:p>
    <w:p w14:paraId="2FF66618" w14:textId="77777777" w:rsidR="0023230A" w:rsidRPr="00AE1188" w:rsidRDefault="0023230A" w:rsidP="0023230A">
      <w:pPr>
        <w:pBdr>
          <w:top w:val="single" w:sz="4" w:space="1" w:color="auto"/>
          <w:left w:val="single" w:sz="4" w:space="4" w:color="auto"/>
          <w:bottom w:val="single" w:sz="4" w:space="1" w:color="auto"/>
          <w:right w:val="single" w:sz="4" w:space="4" w:color="auto"/>
        </w:pBdr>
        <w:rPr>
          <w:szCs w:val="20"/>
        </w:rPr>
      </w:pPr>
      <w:r w:rsidRPr="00AE1188">
        <w:rPr>
          <w:szCs w:val="20"/>
        </w:rPr>
        <w:t>Fee:  $</w:t>
      </w:r>
      <w:r>
        <w:t>400</w:t>
      </w:r>
    </w:p>
    <w:p w14:paraId="1AB77DB7" w14:textId="77777777" w:rsidR="0023230A" w:rsidRDefault="0023230A" w:rsidP="0023230A">
      <w:pPr>
        <w:spacing w:after="0"/>
        <w:rPr>
          <w:szCs w:val="24"/>
          <w:u w:val="single"/>
        </w:rPr>
      </w:pPr>
    </w:p>
    <w:p w14:paraId="0C5E848A" w14:textId="77777777" w:rsidR="00451840" w:rsidRDefault="00451840" w:rsidP="0023230A">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DD46D" w15:done="0"/>
  <w15:commentEx w15:paraId="70AA1680" w15:paraIdParent="0A5DD4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7CE16" w14:textId="77777777" w:rsidR="005B11C4" w:rsidRDefault="005B11C4" w:rsidP="00CF2DFA">
      <w:pPr>
        <w:spacing w:after="0"/>
      </w:pPr>
      <w:r>
        <w:separator/>
      </w:r>
    </w:p>
  </w:endnote>
  <w:endnote w:type="continuationSeparator" w:id="0">
    <w:p w14:paraId="695BAF02" w14:textId="77777777" w:rsidR="005B11C4" w:rsidRDefault="005B11C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4">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88061C8" w14:textId="5E855330" w:rsidR="009E434C" w:rsidRDefault="009E434C">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57C2A" w:rsidRPr="00157C2A">
          <w:rPr>
            <w:b/>
            <w:bCs/>
            <w:noProof/>
            <w:sz w:val="18"/>
            <w:szCs w:val="18"/>
          </w:rPr>
          <w:t>26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0342107" w14:textId="77777777" w:rsidR="009E434C" w:rsidRPr="003F7CB9" w:rsidRDefault="009E434C"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F76A2" w14:textId="77777777" w:rsidR="005B11C4" w:rsidRDefault="005B11C4" w:rsidP="00CF2DFA">
      <w:pPr>
        <w:spacing w:after="0"/>
      </w:pPr>
      <w:r>
        <w:separator/>
      </w:r>
    </w:p>
  </w:footnote>
  <w:footnote w:type="continuationSeparator" w:id="0">
    <w:p w14:paraId="09F7131D" w14:textId="77777777" w:rsidR="005B11C4" w:rsidRDefault="005B11C4"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C25EEE"/>
    <w:multiLevelType w:val="hybridMultilevel"/>
    <w:tmpl w:val="2F86AB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4923909"/>
    <w:multiLevelType w:val="hybridMultilevel"/>
    <w:tmpl w:val="C026F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FD1177"/>
    <w:multiLevelType w:val="hybridMultilevel"/>
    <w:tmpl w:val="0B54E6F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46E864F1"/>
    <w:multiLevelType w:val="hybridMultilevel"/>
    <w:tmpl w:val="94E8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4DD66353"/>
    <w:multiLevelType w:val="hybridMultilevel"/>
    <w:tmpl w:val="05E21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12F380F"/>
    <w:multiLevelType w:val="hybridMultilevel"/>
    <w:tmpl w:val="C596AAA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A283D53"/>
    <w:multiLevelType w:val="hybridMultilevel"/>
    <w:tmpl w:val="CF2EA6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BFF4ADF"/>
    <w:multiLevelType w:val="hybridMultilevel"/>
    <w:tmpl w:val="A984CC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2"/>
  </w:num>
  <w:num w:numId="26">
    <w:abstractNumId w:val="4"/>
  </w:num>
  <w:num w:numId="27">
    <w:abstractNumId w:val="19"/>
  </w:num>
  <w:num w:numId="28">
    <w:abstractNumId w:val="11"/>
  </w:num>
  <w:num w:numId="29">
    <w:abstractNumId w:val="23"/>
  </w:num>
  <w:num w:numId="30">
    <w:abstractNumId w:val="3"/>
  </w:num>
  <w:num w:numId="31">
    <w:abstractNumId w:val="21"/>
  </w:num>
  <w:num w:numId="32">
    <w:abstractNumId w:val="7"/>
  </w:num>
  <w:num w:numId="33">
    <w:abstractNumId w:val="20"/>
  </w:num>
  <w:num w:numId="34">
    <w:abstractNumId w:val="6"/>
  </w:num>
  <w:num w:numId="35">
    <w:abstractNumId w:val="14"/>
  </w:num>
  <w:num w:numId="36">
    <w:abstractNumId w:val="0"/>
  </w:num>
  <w:num w:numId="37">
    <w:abstractNumId w:val="9"/>
  </w:num>
  <w:num w:numId="38">
    <w:abstractNumId w:val="17"/>
  </w:num>
  <w:num w:numId="39">
    <w:abstractNumId w:val="2"/>
  </w:num>
  <w:num w:numId="40">
    <w:abstractNumId w:val="26"/>
  </w:num>
  <w:num w:numId="41">
    <w:abstractNumId w:val="15"/>
  </w:num>
  <w:num w:numId="42">
    <w:abstractNumId w:val="13"/>
  </w:num>
  <w:num w:numId="43">
    <w:abstractNumId w:val="12"/>
  </w:num>
  <w:num w:numId="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Dimech">
    <w15:presenceInfo w15:providerId="AD" w15:userId="S-1-5-21-448539723-220523388-725345543-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12BE"/>
    <w:rsid w:val="00007F60"/>
    <w:rsid w:val="000110DC"/>
    <w:rsid w:val="000158AA"/>
    <w:rsid w:val="000159B9"/>
    <w:rsid w:val="00016B6E"/>
    <w:rsid w:val="00023E21"/>
    <w:rsid w:val="00025ABC"/>
    <w:rsid w:val="00026412"/>
    <w:rsid w:val="00031F6F"/>
    <w:rsid w:val="00034D6E"/>
    <w:rsid w:val="0005089D"/>
    <w:rsid w:val="000525BC"/>
    <w:rsid w:val="000600FA"/>
    <w:rsid w:val="00073222"/>
    <w:rsid w:val="000770BA"/>
    <w:rsid w:val="00092580"/>
    <w:rsid w:val="000955E7"/>
    <w:rsid w:val="000A0F3E"/>
    <w:rsid w:val="000A110D"/>
    <w:rsid w:val="000A478F"/>
    <w:rsid w:val="000A5B32"/>
    <w:rsid w:val="000B37CF"/>
    <w:rsid w:val="000B3CD0"/>
    <w:rsid w:val="000B5E32"/>
    <w:rsid w:val="000D066E"/>
    <w:rsid w:val="000D0831"/>
    <w:rsid w:val="000E47E7"/>
    <w:rsid w:val="000E5439"/>
    <w:rsid w:val="00102686"/>
    <w:rsid w:val="0011036E"/>
    <w:rsid w:val="001130B0"/>
    <w:rsid w:val="0011369B"/>
    <w:rsid w:val="0011742E"/>
    <w:rsid w:val="00123D10"/>
    <w:rsid w:val="00126B33"/>
    <w:rsid w:val="00146BAE"/>
    <w:rsid w:val="00154B00"/>
    <w:rsid w:val="00157C2A"/>
    <w:rsid w:val="001644E9"/>
    <w:rsid w:val="00176A97"/>
    <w:rsid w:val="00183FEC"/>
    <w:rsid w:val="001845D9"/>
    <w:rsid w:val="0018630F"/>
    <w:rsid w:val="001906CD"/>
    <w:rsid w:val="00191B99"/>
    <w:rsid w:val="0019694B"/>
    <w:rsid w:val="00197D29"/>
    <w:rsid w:val="001A02E3"/>
    <w:rsid w:val="001A1ADF"/>
    <w:rsid w:val="001A365C"/>
    <w:rsid w:val="001B04B3"/>
    <w:rsid w:val="001B171D"/>
    <w:rsid w:val="001B29A1"/>
    <w:rsid w:val="001B5169"/>
    <w:rsid w:val="001B6164"/>
    <w:rsid w:val="001D77ED"/>
    <w:rsid w:val="001E10A2"/>
    <w:rsid w:val="001E1180"/>
    <w:rsid w:val="001E2123"/>
    <w:rsid w:val="001E23EA"/>
    <w:rsid w:val="001E6919"/>
    <w:rsid w:val="001E6958"/>
    <w:rsid w:val="001F704A"/>
    <w:rsid w:val="00201924"/>
    <w:rsid w:val="00202473"/>
    <w:rsid w:val="002053F2"/>
    <w:rsid w:val="00206D63"/>
    <w:rsid w:val="0021185D"/>
    <w:rsid w:val="00226777"/>
    <w:rsid w:val="0023230A"/>
    <w:rsid w:val="00235BD1"/>
    <w:rsid w:val="00242B0E"/>
    <w:rsid w:val="00247DF0"/>
    <w:rsid w:val="00254813"/>
    <w:rsid w:val="00257FF2"/>
    <w:rsid w:val="00265822"/>
    <w:rsid w:val="0027105F"/>
    <w:rsid w:val="002711FB"/>
    <w:rsid w:val="00283318"/>
    <w:rsid w:val="00285525"/>
    <w:rsid w:val="00294CD8"/>
    <w:rsid w:val="002955DB"/>
    <w:rsid w:val="002A270B"/>
    <w:rsid w:val="002A50FD"/>
    <w:rsid w:val="002A6753"/>
    <w:rsid w:val="002B28D7"/>
    <w:rsid w:val="002B7EB6"/>
    <w:rsid w:val="002C0B61"/>
    <w:rsid w:val="002C15E6"/>
    <w:rsid w:val="002C22CC"/>
    <w:rsid w:val="002C247D"/>
    <w:rsid w:val="002C3345"/>
    <w:rsid w:val="002D409A"/>
    <w:rsid w:val="002E36D8"/>
    <w:rsid w:val="002F30E7"/>
    <w:rsid w:val="00300EEB"/>
    <w:rsid w:val="003013A9"/>
    <w:rsid w:val="003020B5"/>
    <w:rsid w:val="003027BB"/>
    <w:rsid w:val="00310A10"/>
    <w:rsid w:val="00327D25"/>
    <w:rsid w:val="003319A7"/>
    <w:rsid w:val="00334FE3"/>
    <w:rsid w:val="003421AE"/>
    <w:rsid w:val="003433D1"/>
    <w:rsid w:val="00343AA1"/>
    <w:rsid w:val="00344B24"/>
    <w:rsid w:val="003456B9"/>
    <w:rsid w:val="0035067D"/>
    <w:rsid w:val="00353A16"/>
    <w:rsid w:val="0035776D"/>
    <w:rsid w:val="00364FD9"/>
    <w:rsid w:val="00365AF2"/>
    <w:rsid w:val="00367C1B"/>
    <w:rsid w:val="00371E84"/>
    <w:rsid w:val="00376B61"/>
    <w:rsid w:val="00382407"/>
    <w:rsid w:val="0038420E"/>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12506"/>
    <w:rsid w:val="00415C74"/>
    <w:rsid w:val="004318FB"/>
    <w:rsid w:val="0043654D"/>
    <w:rsid w:val="0044174A"/>
    <w:rsid w:val="00451840"/>
    <w:rsid w:val="00460C9A"/>
    <w:rsid w:val="00464924"/>
    <w:rsid w:val="004755EC"/>
    <w:rsid w:val="0047581D"/>
    <w:rsid w:val="00480289"/>
    <w:rsid w:val="00481279"/>
    <w:rsid w:val="00483368"/>
    <w:rsid w:val="00494011"/>
    <w:rsid w:val="004A0BF4"/>
    <w:rsid w:val="004A263B"/>
    <w:rsid w:val="004A66A0"/>
    <w:rsid w:val="004B68AE"/>
    <w:rsid w:val="004C35B0"/>
    <w:rsid w:val="004C49EF"/>
    <w:rsid w:val="004C4A19"/>
    <w:rsid w:val="004C5570"/>
    <w:rsid w:val="004D00C9"/>
    <w:rsid w:val="004E16F5"/>
    <w:rsid w:val="004E3CC7"/>
    <w:rsid w:val="004E5B69"/>
    <w:rsid w:val="004F2A87"/>
    <w:rsid w:val="00504839"/>
    <w:rsid w:val="00507C56"/>
    <w:rsid w:val="0052344E"/>
    <w:rsid w:val="00526478"/>
    <w:rsid w:val="00530204"/>
    <w:rsid w:val="00534C5F"/>
    <w:rsid w:val="00540257"/>
    <w:rsid w:val="0054192F"/>
    <w:rsid w:val="00544EB3"/>
    <w:rsid w:val="0054594B"/>
    <w:rsid w:val="00546531"/>
    <w:rsid w:val="0054749B"/>
    <w:rsid w:val="00551CC6"/>
    <w:rsid w:val="00560541"/>
    <w:rsid w:val="00564696"/>
    <w:rsid w:val="00564EE0"/>
    <w:rsid w:val="005672D0"/>
    <w:rsid w:val="00572CEB"/>
    <w:rsid w:val="005834C9"/>
    <w:rsid w:val="00587B04"/>
    <w:rsid w:val="00593C6F"/>
    <w:rsid w:val="005A58BA"/>
    <w:rsid w:val="005A5D30"/>
    <w:rsid w:val="005A6AB9"/>
    <w:rsid w:val="005B11C4"/>
    <w:rsid w:val="005C333E"/>
    <w:rsid w:val="005C3AE7"/>
    <w:rsid w:val="005D0677"/>
    <w:rsid w:val="005E294C"/>
    <w:rsid w:val="005E2CE3"/>
    <w:rsid w:val="005F3F07"/>
    <w:rsid w:val="00603D04"/>
    <w:rsid w:val="00606857"/>
    <w:rsid w:val="00615F42"/>
    <w:rsid w:val="006251ED"/>
    <w:rsid w:val="006258C2"/>
    <w:rsid w:val="00626365"/>
    <w:rsid w:val="00630526"/>
    <w:rsid w:val="00630E22"/>
    <w:rsid w:val="00640135"/>
    <w:rsid w:val="0064168C"/>
    <w:rsid w:val="006514E8"/>
    <w:rsid w:val="00653FA0"/>
    <w:rsid w:val="00657B46"/>
    <w:rsid w:val="006764EC"/>
    <w:rsid w:val="006835FE"/>
    <w:rsid w:val="006933C3"/>
    <w:rsid w:val="00693798"/>
    <w:rsid w:val="00693BFD"/>
    <w:rsid w:val="00695065"/>
    <w:rsid w:val="006A1038"/>
    <w:rsid w:val="006A649A"/>
    <w:rsid w:val="006B1B49"/>
    <w:rsid w:val="006B3AE4"/>
    <w:rsid w:val="006B3D8E"/>
    <w:rsid w:val="006B5426"/>
    <w:rsid w:val="006B6390"/>
    <w:rsid w:val="006B6ABB"/>
    <w:rsid w:val="006C0356"/>
    <w:rsid w:val="006C0843"/>
    <w:rsid w:val="006C67F2"/>
    <w:rsid w:val="006C74B1"/>
    <w:rsid w:val="006E57AA"/>
    <w:rsid w:val="006E64A6"/>
    <w:rsid w:val="006F20CF"/>
    <w:rsid w:val="006F38ED"/>
    <w:rsid w:val="006F7E1D"/>
    <w:rsid w:val="00707D4D"/>
    <w:rsid w:val="00723503"/>
    <w:rsid w:val="00730C04"/>
    <w:rsid w:val="0073597B"/>
    <w:rsid w:val="007378F6"/>
    <w:rsid w:val="0074545D"/>
    <w:rsid w:val="007522E3"/>
    <w:rsid w:val="00752F91"/>
    <w:rsid w:val="0075335B"/>
    <w:rsid w:val="00753C44"/>
    <w:rsid w:val="00754383"/>
    <w:rsid w:val="007564D1"/>
    <w:rsid w:val="00757232"/>
    <w:rsid w:val="00757A5B"/>
    <w:rsid w:val="00760679"/>
    <w:rsid w:val="00763628"/>
    <w:rsid w:val="00765D97"/>
    <w:rsid w:val="00767E99"/>
    <w:rsid w:val="00772E62"/>
    <w:rsid w:val="0077789B"/>
    <w:rsid w:val="00780D29"/>
    <w:rsid w:val="00791C8D"/>
    <w:rsid w:val="00794181"/>
    <w:rsid w:val="007A7F6F"/>
    <w:rsid w:val="007B4C76"/>
    <w:rsid w:val="007C2260"/>
    <w:rsid w:val="007D1E52"/>
    <w:rsid w:val="007D2358"/>
    <w:rsid w:val="007D36C2"/>
    <w:rsid w:val="007E39E4"/>
    <w:rsid w:val="007E6FB3"/>
    <w:rsid w:val="007F21B4"/>
    <w:rsid w:val="00802553"/>
    <w:rsid w:val="00803EAB"/>
    <w:rsid w:val="008046B5"/>
    <w:rsid w:val="00805D15"/>
    <w:rsid w:val="008127C0"/>
    <w:rsid w:val="00812EDD"/>
    <w:rsid w:val="008139C5"/>
    <w:rsid w:val="0081650F"/>
    <w:rsid w:val="00817CDB"/>
    <w:rsid w:val="00832B31"/>
    <w:rsid w:val="0083680B"/>
    <w:rsid w:val="008403E0"/>
    <w:rsid w:val="0084657B"/>
    <w:rsid w:val="0085591B"/>
    <w:rsid w:val="00855944"/>
    <w:rsid w:val="008631B2"/>
    <w:rsid w:val="00864A18"/>
    <w:rsid w:val="00870833"/>
    <w:rsid w:val="00874571"/>
    <w:rsid w:val="00880BF7"/>
    <w:rsid w:val="00881F93"/>
    <w:rsid w:val="00882CB5"/>
    <w:rsid w:val="00883641"/>
    <w:rsid w:val="00884E69"/>
    <w:rsid w:val="00890082"/>
    <w:rsid w:val="008A48D2"/>
    <w:rsid w:val="008B2610"/>
    <w:rsid w:val="008B471D"/>
    <w:rsid w:val="008B49E4"/>
    <w:rsid w:val="008B729C"/>
    <w:rsid w:val="008C25DB"/>
    <w:rsid w:val="008C4A93"/>
    <w:rsid w:val="008E0E49"/>
    <w:rsid w:val="008E35FD"/>
    <w:rsid w:val="008E6227"/>
    <w:rsid w:val="008E78B9"/>
    <w:rsid w:val="0090543D"/>
    <w:rsid w:val="009056C5"/>
    <w:rsid w:val="0092080A"/>
    <w:rsid w:val="009262F2"/>
    <w:rsid w:val="00937791"/>
    <w:rsid w:val="00951933"/>
    <w:rsid w:val="00954343"/>
    <w:rsid w:val="00955271"/>
    <w:rsid w:val="00957B2B"/>
    <w:rsid w:val="00963C9C"/>
    <w:rsid w:val="00965B6B"/>
    <w:rsid w:val="00971EDB"/>
    <w:rsid w:val="00974D50"/>
    <w:rsid w:val="0098200E"/>
    <w:rsid w:val="00987ABE"/>
    <w:rsid w:val="00990092"/>
    <w:rsid w:val="00991EE4"/>
    <w:rsid w:val="009939DC"/>
    <w:rsid w:val="00993B9C"/>
    <w:rsid w:val="009B4E1E"/>
    <w:rsid w:val="009C03FB"/>
    <w:rsid w:val="009C2746"/>
    <w:rsid w:val="009C4B4F"/>
    <w:rsid w:val="009C5751"/>
    <w:rsid w:val="009D3D0E"/>
    <w:rsid w:val="009E434C"/>
    <w:rsid w:val="009F0C02"/>
    <w:rsid w:val="009F5758"/>
    <w:rsid w:val="00A0283F"/>
    <w:rsid w:val="00A04F4A"/>
    <w:rsid w:val="00A26343"/>
    <w:rsid w:val="00A408B5"/>
    <w:rsid w:val="00A521B4"/>
    <w:rsid w:val="00A529E2"/>
    <w:rsid w:val="00A539F8"/>
    <w:rsid w:val="00A56830"/>
    <w:rsid w:val="00A6491A"/>
    <w:rsid w:val="00A6594E"/>
    <w:rsid w:val="00A71DD9"/>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5F8B"/>
    <w:rsid w:val="00AE738C"/>
    <w:rsid w:val="00AF1046"/>
    <w:rsid w:val="00AF4466"/>
    <w:rsid w:val="00AF5D1E"/>
    <w:rsid w:val="00B040A9"/>
    <w:rsid w:val="00B1711E"/>
    <w:rsid w:val="00B17CBE"/>
    <w:rsid w:val="00B17E26"/>
    <w:rsid w:val="00B231A4"/>
    <w:rsid w:val="00B25D20"/>
    <w:rsid w:val="00B30B41"/>
    <w:rsid w:val="00B31C99"/>
    <w:rsid w:val="00B47D6D"/>
    <w:rsid w:val="00B53BA6"/>
    <w:rsid w:val="00B5731D"/>
    <w:rsid w:val="00B6378B"/>
    <w:rsid w:val="00B63E3A"/>
    <w:rsid w:val="00B75965"/>
    <w:rsid w:val="00B771AD"/>
    <w:rsid w:val="00B814CB"/>
    <w:rsid w:val="00B8773A"/>
    <w:rsid w:val="00B968A9"/>
    <w:rsid w:val="00BA0CF8"/>
    <w:rsid w:val="00BA1ADF"/>
    <w:rsid w:val="00BA51FC"/>
    <w:rsid w:val="00BB003A"/>
    <w:rsid w:val="00BB3358"/>
    <w:rsid w:val="00BB3382"/>
    <w:rsid w:val="00BB3643"/>
    <w:rsid w:val="00BC3DA0"/>
    <w:rsid w:val="00BC424B"/>
    <w:rsid w:val="00BE0FDE"/>
    <w:rsid w:val="00BE30F9"/>
    <w:rsid w:val="00BF0226"/>
    <w:rsid w:val="00BF3388"/>
    <w:rsid w:val="00BF6AC5"/>
    <w:rsid w:val="00C01121"/>
    <w:rsid w:val="00C030A5"/>
    <w:rsid w:val="00C05A45"/>
    <w:rsid w:val="00C061B9"/>
    <w:rsid w:val="00C0796F"/>
    <w:rsid w:val="00C11B34"/>
    <w:rsid w:val="00C12C5C"/>
    <w:rsid w:val="00C16F07"/>
    <w:rsid w:val="00C171FB"/>
    <w:rsid w:val="00C209C2"/>
    <w:rsid w:val="00C2267F"/>
    <w:rsid w:val="00C22AD8"/>
    <w:rsid w:val="00C3557E"/>
    <w:rsid w:val="00C3594B"/>
    <w:rsid w:val="00C43102"/>
    <w:rsid w:val="00C4696B"/>
    <w:rsid w:val="00C50513"/>
    <w:rsid w:val="00C538E4"/>
    <w:rsid w:val="00C54503"/>
    <w:rsid w:val="00C63055"/>
    <w:rsid w:val="00C72F33"/>
    <w:rsid w:val="00C73B62"/>
    <w:rsid w:val="00C776B1"/>
    <w:rsid w:val="00C815FE"/>
    <w:rsid w:val="00C847AE"/>
    <w:rsid w:val="00C90BD2"/>
    <w:rsid w:val="00CA04C6"/>
    <w:rsid w:val="00CA26DD"/>
    <w:rsid w:val="00CB12EC"/>
    <w:rsid w:val="00CC09D7"/>
    <w:rsid w:val="00CC12B8"/>
    <w:rsid w:val="00CD22E3"/>
    <w:rsid w:val="00CD4E44"/>
    <w:rsid w:val="00CD5AE4"/>
    <w:rsid w:val="00CD7A7D"/>
    <w:rsid w:val="00CF2D8E"/>
    <w:rsid w:val="00CF2DFA"/>
    <w:rsid w:val="00CF5AD8"/>
    <w:rsid w:val="00D00122"/>
    <w:rsid w:val="00D00705"/>
    <w:rsid w:val="00D01D2A"/>
    <w:rsid w:val="00D10B47"/>
    <w:rsid w:val="00D11EB1"/>
    <w:rsid w:val="00D17F17"/>
    <w:rsid w:val="00D23597"/>
    <w:rsid w:val="00D30BDC"/>
    <w:rsid w:val="00D46D9F"/>
    <w:rsid w:val="00D57F88"/>
    <w:rsid w:val="00D7105C"/>
    <w:rsid w:val="00D73646"/>
    <w:rsid w:val="00D777B4"/>
    <w:rsid w:val="00D77A90"/>
    <w:rsid w:val="00D8360B"/>
    <w:rsid w:val="00D85676"/>
    <w:rsid w:val="00D96ADA"/>
    <w:rsid w:val="00DA2886"/>
    <w:rsid w:val="00DA45A8"/>
    <w:rsid w:val="00DA5E50"/>
    <w:rsid w:val="00DA7D0C"/>
    <w:rsid w:val="00DB29FF"/>
    <w:rsid w:val="00DB311C"/>
    <w:rsid w:val="00DB432D"/>
    <w:rsid w:val="00DB519B"/>
    <w:rsid w:val="00DB548F"/>
    <w:rsid w:val="00DC7694"/>
    <w:rsid w:val="00DC7FBE"/>
    <w:rsid w:val="00DD130E"/>
    <w:rsid w:val="00DD308E"/>
    <w:rsid w:val="00DE117B"/>
    <w:rsid w:val="00DF0C51"/>
    <w:rsid w:val="00DF0D47"/>
    <w:rsid w:val="00DF1652"/>
    <w:rsid w:val="00DF6D37"/>
    <w:rsid w:val="00E048ED"/>
    <w:rsid w:val="00E04FB3"/>
    <w:rsid w:val="00E058F2"/>
    <w:rsid w:val="00E05D9C"/>
    <w:rsid w:val="00E06102"/>
    <w:rsid w:val="00E139AC"/>
    <w:rsid w:val="00E23E71"/>
    <w:rsid w:val="00E30F19"/>
    <w:rsid w:val="00E33C4A"/>
    <w:rsid w:val="00E357B9"/>
    <w:rsid w:val="00E4321E"/>
    <w:rsid w:val="00E44B80"/>
    <w:rsid w:val="00E47623"/>
    <w:rsid w:val="00E60529"/>
    <w:rsid w:val="00E63915"/>
    <w:rsid w:val="00E70D86"/>
    <w:rsid w:val="00E7628E"/>
    <w:rsid w:val="00E82F54"/>
    <w:rsid w:val="00E8649B"/>
    <w:rsid w:val="00E871CD"/>
    <w:rsid w:val="00E90990"/>
    <w:rsid w:val="00E95D3D"/>
    <w:rsid w:val="00EA0E25"/>
    <w:rsid w:val="00EA173C"/>
    <w:rsid w:val="00EA33FA"/>
    <w:rsid w:val="00EB0627"/>
    <w:rsid w:val="00EB4146"/>
    <w:rsid w:val="00EC127A"/>
    <w:rsid w:val="00EC1FF9"/>
    <w:rsid w:val="00EC2737"/>
    <w:rsid w:val="00EC2BEE"/>
    <w:rsid w:val="00EC44F3"/>
    <w:rsid w:val="00EC5452"/>
    <w:rsid w:val="00EE2716"/>
    <w:rsid w:val="00EE29E0"/>
    <w:rsid w:val="00EE5A8E"/>
    <w:rsid w:val="00EE6450"/>
    <w:rsid w:val="00EE71F2"/>
    <w:rsid w:val="00EF1504"/>
    <w:rsid w:val="00F01C2C"/>
    <w:rsid w:val="00F10709"/>
    <w:rsid w:val="00F10ED8"/>
    <w:rsid w:val="00F1762C"/>
    <w:rsid w:val="00F222BE"/>
    <w:rsid w:val="00F24179"/>
    <w:rsid w:val="00F301F1"/>
    <w:rsid w:val="00F30C22"/>
    <w:rsid w:val="00F33F1A"/>
    <w:rsid w:val="00F3697F"/>
    <w:rsid w:val="00F450FD"/>
    <w:rsid w:val="00F547F7"/>
    <w:rsid w:val="00F54CCF"/>
    <w:rsid w:val="00F61D7A"/>
    <w:rsid w:val="00F637B3"/>
    <w:rsid w:val="00F6395E"/>
    <w:rsid w:val="00F66CF7"/>
    <w:rsid w:val="00F67BCB"/>
    <w:rsid w:val="00F77C57"/>
    <w:rsid w:val="00F813C7"/>
    <w:rsid w:val="00F83566"/>
    <w:rsid w:val="00F83A9D"/>
    <w:rsid w:val="00F906B5"/>
    <w:rsid w:val="00F93784"/>
    <w:rsid w:val="00F971CC"/>
    <w:rsid w:val="00FA2CAA"/>
    <w:rsid w:val="00FA3DA1"/>
    <w:rsid w:val="00FA6554"/>
    <w:rsid w:val="00FA6A45"/>
    <w:rsid w:val="00FE16C1"/>
    <w:rsid w:val="00FE19FF"/>
    <w:rsid w:val="00FE2AAE"/>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78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343A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61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Heading3Char">
    <w:name w:val="Heading 3 Char"/>
    <w:basedOn w:val="DefaultParagraphFont"/>
    <w:link w:val="Heading3"/>
    <w:uiPriority w:val="9"/>
    <w:semiHidden/>
    <w:rsid w:val="00343AA1"/>
    <w:rPr>
      <w:rFonts w:asciiTheme="majorHAnsi" w:eastAsiaTheme="majorEastAsia" w:hAnsiTheme="majorHAnsi" w:cstheme="majorBidi"/>
      <w:b/>
      <w:bCs/>
      <w:color w:val="4F81BD" w:themeColor="accent1"/>
      <w:sz w:val="20"/>
    </w:rPr>
  </w:style>
  <w:style w:type="character" w:styleId="FollowedHyperlink">
    <w:name w:val="FollowedHyperlink"/>
    <w:basedOn w:val="DefaultParagraphFont"/>
    <w:uiPriority w:val="99"/>
    <w:semiHidden/>
    <w:unhideWhenUsed/>
    <w:rsid w:val="009C5751"/>
    <w:rPr>
      <w:color w:val="800080" w:themeColor="followedHyperlink"/>
      <w:u w:val="single"/>
    </w:rPr>
  </w:style>
  <w:style w:type="character" w:customStyle="1" w:styleId="articlecitationyear">
    <w:name w:val="articlecitation_year"/>
    <w:basedOn w:val="DefaultParagraphFont"/>
    <w:rsid w:val="009C5751"/>
  </w:style>
  <w:style w:type="character" w:customStyle="1" w:styleId="apple-converted-space">
    <w:name w:val="apple-converted-space"/>
    <w:basedOn w:val="DefaultParagraphFont"/>
    <w:rsid w:val="009C5751"/>
  </w:style>
  <w:style w:type="character" w:customStyle="1" w:styleId="articlecitationvolume">
    <w:name w:val="articlecitation_volume"/>
    <w:basedOn w:val="DefaultParagraphFont"/>
    <w:rsid w:val="009C5751"/>
  </w:style>
  <w:style w:type="character" w:customStyle="1" w:styleId="articlecitationpages">
    <w:name w:val="articlecitation_pages"/>
    <w:basedOn w:val="DefaultParagraphFont"/>
    <w:rsid w:val="009C5751"/>
  </w:style>
  <w:style w:type="character" w:styleId="Emphasis">
    <w:name w:val="Emphasis"/>
    <w:basedOn w:val="DefaultParagraphFont"/>
    <w:uiPriority w:val="20"/>
    <w:qFormat/>
    <w:rsid w:val="00C061B9"/>
    <w:rPr>
      <w:i/>
      <w:iCs/>
    </w:rPr>
  </w:style>
  <w:style w:type="character" w:customStyle="1" w:styleId="Heading4Char">
    <w:name w:val="Heading 4 Char"/>
    <w:basedOn w:val="DefaultParagraphFont"/>
    <w:link w:val="Heading4"/>
    <w:uiPriority w:val="9"/>
    <w:semiHidden/>
    <w:rsid w:val="00C061B9"/>
    <w:rPr>
      <w:rFonts w:asciiTheme="majorHAnsi" w:eastAsiaTheme="majorEastAsia" w:hAnsiTheme="majorHAnsi" w:cstheme="majorBidi"/>
      <w:b/>
      <w:bCs/>
      <w:i/>
      <w:iCs/>
      <w:color w:val="4F81BD" w:themeColor="accent1"/>
      <w:sz w:val="20"/>
    </w:rPr>
  </w:style>
  <w:style w:type="character" w:customStyle="1" w:styleId="published-date">
    <w:name w:val="published-date"/>
    <w:basedOn w:val="DefaultParagraphFont"/>
    <w:rsid w:val="00C061B9"/>
  </w:style>
  <w:style w:type="character" w:customStyle="1" w:styleId="current-selection">
    <w:name w:val="current-selection"/>
    <w:basedOn w:val="DefaultParagraphFont"/>
    <w:rsid w:val="00FA6A45"/>
  </w:style>
  <w:style w:type="character" w:customStyle="1" w:styleId="a">
    <w:name w:val="_"/>
    <w:basedOn w:val="DefaultParagraphFont"/>
    <w:rsid w:val="00FA6A45"/>
  </w:style>
  <w:style w:type="character" w:customStyle="1" w:styleId="nlmarticle-title">
    <w:name w:val="nlm_article-title"/>
    <w:basedOn w:val="DefaultParagraphFont"/>
    <w:rsid w:val="00564EE0"/>
  </w:style>
  <w:style w:type="character" w:customStyle="1" w:styleId="ListParagraphChar">
    <w:name w:val="List Paragraph Char"/>
    <w:basedOn w:val="DefaultParagraphFont"/>
    <w:link w:val="ListParagraph"/>
    <w:rsid w:val="00146BAE"/>
    <w:rPr>
      <w:sz w:val="20"/>
    </w:rPr>
  </w:style>
  <w:style w:type="character" w:customStyle="1" w:styleId="UnresolvedMention">
    <w:name w:val="Unresolved Mention"/>
    <w:basedOn w:val="DefaultParagraphFont"/>
    <w:uiPriority w:val="99"/>
    <w:semiHidden/>
    <w:unhideWhenUsed/>
    <w:rsid w:val="00880BF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343A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61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Heading3Char">
    <w:name w:val="Heading 3 Char"/>
    <w:basedOn w:val="DefaultParagraphFont"/>
    <w:link w:val="Heading3"/>
    <w:uiPriority w:val="9"/>
    <w:semiHidden/>
    <w:rsid w:val="00343AA1"/>
    <w:rPr>
      <w:rFonts w:asciiTheme="majorHAnsi" w:eastAsiaTheme="majorEastAsia" w:hAnsiTheme="majorHAnsi" w:cstheme="majorBidi"/>
      <w:b/>
      <w:bCs/>
      <w:color w:val="4F81BD" w:themeColor="accent1"/>
      <w:sz w:val="20"/>
    </w:rPr>
  </w:style>
  <w:style w:type="character" w:styleId="FollowedHyperlink">
    <w:name w:val="FollowedHyperlink"/>
    <w:basedOn w:val="DefaultParagraphFont"/>
    <w:uiPriority w:val="99"/>
    <w:semiHidden/>
    <w:unhideWhenUsed/>
    <w:rsid w:val="009C5751"/>
    <w:rPr>
      <w:color w:val="800080" w:themeColor="followedHyperlink"/>
      <w:u w:val="single"/>
    </w:rPr>
  </w:style>
  <w:style w:type="character" w:customStyle="1" w:styleId="articlecitationyear">
    <w:name w:val="articlecitation_year"/>
    <w:basedOn w:val="DefaultParagraphFont"/>
    <w:rsid w:val="009C5751"/>
  </w:style>
  <w:style w:type="character" w:customStyle="1" w:styleId="apple-converted-space">
    <w:name w:val="apple-converted-space"/>
    <w:basedOn w:val="DefaultParagraphFont"/>
    <w:rsid w:val="009C5751"/>
  </w:style>
  <w:style w:type="character" w:customStyle="1" w:styleId="articlecitationvolume">
    <w:name w:val="articlecitation_volume"/>
    <w:basedOn w:val="DefaultParagraphFont"/>
    <w:rsid w:val="009C5751"/>
  </w:style>
  <w:style w:type="character" w:customStyle="1" w:styleId="articlecitationpages">
    <w:name w:val="articlecitation_pages"/>
    <w:basedOn w:val="DefaultParagraphFont"/>
    <w:rsid w:val="009C5751"/>
  </w:style>
  <w:style w:type="character" w:styleId="Emphasis">
    <w:name w:val="Emphasis"/>
    <w:basedOn w:val="DefaultParagraphFont"/>
    <w:uiPriority w:val="20"/>
    <w:qFormat/>
    <w:rsid w:val="00C061B9"/>
    <w:rPr>
      <w:i/>
      <w:iCs/>
    </w:rPr>
  </w:style>
  <w:style w:type="character" w:customStyle="1" w:styleId="Heading4Char">
    <w:name w:val="Heading 4 Char"/>
    <w:basedOn w:val="DefaultParagraphFont"/>
    <w:link w:val="Heading4"/>
    <w:uiPriority w:val="9"/>
    <w:semiHidden/>
    <w:rsid w:val="00C061B9"/>
    <w:rPr>
      <w:rFonts w:asciiTheme="majorHAnsi" w:eastAsiaTheme="majorEastAsia" w:hAnsiTheme="majorHAnsi" w:cstheme="majorBidi"/>
      <w:b/>
      <w:bCs/>
      <w:i/>
      <w:iCs/>
      <w:color w:val="4F81BD" w:themeColor="accent1"/>
      <w:sz w:val="20"/>
    </w:rPr>
  </w:style>
  <w:style w:type="character" w:customStyle="1" w:styleId="published-date">
    <w:name w:val="published-date"/>
    <w:basedOn w:val="DefaultParagraphFont"/>
    <w:rsid w:val="00C061B9"/>
  </w:style>
  <w:style w:type="character" w:customStyle="1" w:styleId="current-selection">
    <w:name w:val="current-selection"/>
    <w:basedOn w:val="DefaultParagraphFont"/>
    <w:rsid w:val="00FA6A45"/>
  </w:style>
  <w:style w:type="character" w:customStyle="1" w:styleId="a">
    <w:name w:val="_"/>
    <w:basedOn w:val="DefaultParagraphFont"/>
    <w:rsid w:val="00FA6A45"/>
  </w:style>
  <w:style w:type="character" w:customStyle="1" w:styleId="nlmarticle-title">
    <w:name w:val="nlm_article-title"/>
    <w:basedOn w:val="DefaultParagraphFont"/>
    <w:rsid w:val="00564EE0"/>
  </w:style>
  <w:style w:type="character" w:customStyle="1" w:styleId="ListParagraphChar">
    <w:name w:val="List Paragraph Char"/>
    <w:basedOn w:val="DefaultParagraphFont"/>
    <w:link w:val="ListParagraph"/>
    <w:rsid w:val="00146BAE"/>
    <w:rPr>
      <w:sz w:val="20"/>
    </w:rPr>
  </w:style>
  <w:style w:type="character" w:customStyle="1" w:styleId="UnresolvedMention">
    <w:name w:val="Unresolved Mention"/>
    <w:basedOn w:val="DefaultParagraphFont"/>
    <w:uiPriority w:val="99"/>
    <w:semiHidden/>
    <w:unhideWhenUsed/>
    <w:rsid w:val="00880B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5508">
      <w:bodyDiv w:val="1"/>
      <w:marLeft w:val="0"/>
      <w:marRight w:val="0"/>
      <w:marTop w:val="0"/>
      <w:marBottom w:val="0"/>
      <w:divBdr>
        <w:top w:val="none" w:sz="0" w:space="0" w:color="auto"/>
        <w:left w:val="none" w:sz="0" w:space="0" w:color="auto"/>
        <w:bottom w:val="none" w:sz="0" w:space="0" w:color="auto"/>
        <w:right w:val="none" w:sz="0" w:space="0" w:color="auto"/>
      </w:divBdr>
      <w:divsChild>
        <w:div w:id="1301037801">
          <w:marLeft w:val="0"/>
          <w:marRight w:val="0"/>
          <w:marTop w:val="0"/>
          <w:marBottom w:val="0"/>
          <w:divBdr>
            <w:top w:val="none" w:sz="0" w:space="0" w:color="auto"/>
            <w:left w:val="none" w:sz="0" w:space="0" w:color="auto"/>
            <w:bottom w:val="none" w:sz="0" w:space="0" w:color="auto"/>
            <w:right w:val="none" w:sz="0" w:space="0" w:color="auto"/>
          </w:divBdr>
        </w:div>
        <w:div w:id="290596055">
          <w:marLeft w:val="0"/>
          <w:marRight w:val="0"/>
          <w:marTop w:val="0"/>
          <w:marBottom w:val="0"/>
          <w:divBdr>
            <w:top w:val="none" w:sz="0" w:space="0" w:color="auto"/>
            <w:left w:val="none" w:sz="0" w:space="0" w:color="auto"/>
            <w:bottom w:val="none" w:sz="0" w:space="0" w:color="auto"/>
            <w:right w:val="none" w:sz="0" w:space="0" w:color="auto"/>
          </w:divBdr>
        </w:div>
        <w:div w:id="1291209494">
          <w:marLeft w:val="0"/>
          <w:marRight w:val="0"/>
          <w:marTop w:val="0"/>
          <w:marBottom w:val="0"/>
          <w:divBdr>
            <w:top w:val="none" w:sz="0" w:space="0" w:color="auto"/>
            <w:left w:val="none" w:sz="0" w:space="0" w:color="auto"/>
            <w:bottom w:val="none" w:sz="0" w:space="0" w:color="auto"/>
            <w:right w:val="none" w:sz="0" w:space="0" w:color="auto"/>
          </w:divBdr>
        </w:div>
        <w:div w:id="430973634">
          <w:marLeft w:val="0"/>
          <w:marRight w:val="0"/>
          <w:marTop w:val="0"/>
          <w:marBottom w:val="0"/>
          <w:divBdr>
            <w:top w:val="none" w:sz="0" w:space="0" w:color="auto"/>
            <w:left w:val="none" w:sz="0" w:space="0" w:color="auto"/>
            <w:bottom w:val="none" w:sz="0" w:space="0" w:color="auto"/>
            <w:right w:val="none" w:sz="0" w:space="0" w:color="auto"/>
          </w:divBdr>
        </w:div>
      </w:divsChild>
    </w:div>
    <w:div w:id="17330026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14010422">
      <w:bodyDiv w:val="1"/>
      <w:marLeft w:val="0"/>
      <w:marRight w:val="0"/>
      <w:marTop w:val="0"/>
      <w:marBottom w:val="0"/>
      <w:divBdr>
        <w:top w:val="none" w:sz="0" w:space="0" w:color="auto"/>
        <w:left w:val="none" w:sz="0" w:space="0" w:color="auto"/>
        <w:bottom w:val="none" w:sz="0" w:space="0" w:color="auto"/>
        <w:right w:val="none" w:sz="0" w:space="0" w:color="auto"/>
      </w:divBdr>
    </w:div>
    <w:div w:id="416563698">
      <w:bodyDiv w:val="1"/>
      <w:marLeft w:val="0"/>
      <w:marRight w:val="0"/>
      <w:marTop w:val="0"/>
      <w:marBottom w:val="0"/>
      <w:divBdr>
        <w:top w:val="none" w:sz="0" w:space="0" w:color="auto"/>
        <w:left w:val="none" w:sz="0" w:space="0" w:color="auto"/>
        <w:bottom w:val="none" w:sz="0" w:space="0" w:color="auto"/>
        <w:right w:val="none" w:sz="0" w:space="0" w:color="auto"/>
      </w:divBdr>
      <w:divsChild>
        <w:div w:id="1163618062">
          <w:marLeft w:val="0"/>
          <w:marRight w:val="0"/>
          <w:marTop w:val="0"/>
          <w:marBottom w:val="0"/>
          <w:divBdr>
            <w:top w:val="none" w:sz="0" w:space="0" w:color="auto"/>
            <w:left w:val="none" w:sz="0" w:space="0" w:color="auto"/>
            <w:bottom w:val="none" w:sz="0" w:space="0" w:color="auto"/>
            <w:right w:val="none" w:sz="0" w:space="0" w:color="auto"/>
          </w:divBdr>
        </w:div>
        <w:div w:id="648831310">
          <w:marLeft w:val="0"/>
          <w:marRight w:val="0"/>
          <w:marTop w:val="0"/>
          <w:marBottom w:val="0"/>
          <w:divBdr>
            <w:top w:val="none" w:sz="0" w:space="0" w:color="auto"/>
            <w:left w:val="none" w:sz="0" w:space="0" w:color="auto"/>
            <w:bottom w:val="none" w:sz="0" w:space="0" w:color="auto"/>
            <w:right w:val="none" w:sz="0" w:space="0" w:color="auto"/>
          </w:divBdr>
        </w:div>
      </w:divsChild>
    </w:div>
    <w:div w:id="434256346">
      <w:bodyDiv w:val="1"/>
      <w:marLeft w:val="0"/>
      <w:marRight w:val="0"/>
      <w:marTop w:val="0"/>
      <w:marBottom w:val="0"/>
      <w:divBdr>
        <w:top w:val="none" w:sz="0" w:space="0" w:color="auto"/>
        <w:left w:val="none" w:sz="0" w:space="0" w:color="auto"/>
        <w:bottom w:val="none" w:sz="0" w:space="0" w:color="auto"/>
        <w:right w:val="none" w:sz="0" w:space="0" w:color="auto"/>
      </w:divBdr>
    </w:div>
    <w:div w:id="502939373">
      <w:bodyDiv w:val="1"/>
      <w:marLeft w:val="0"/>
      <w:marRight w:val="0"/>
      <w:marTop w:val="0"/>
      <w:marBottom w:val="0"/>
      <w:divBdr>
        <w:top w:val="none" w:sz="0" w:space="0" w:color="auto"/>
        <w:left w:val="none" w:sz="0" w:space="0" w:color="auto"/>
        <w:bottom w:val="none" w:sz="0" w:space="0" w:color="auto"/>
        <w:right w:val="none" w:sz="0" w:space="0" w:color="auto"/>
      </w:divBdr>
    </w:div>
    <w:div w:id="578293192">
      <w:bodyDiv w:val="1"/>
      <w:marLeft w:val="0"/>
      <w:marRight w:val="0"/>
      <w:marTop w:val="0"/>
      <w:marBottom w:val="0"/>
      <w:divBdr>
        <w:top w:val="none" w:sz="0" w:space="0" w:color="auto"/>
        <w:left w:val="none" w:sz="0" w:space="0" w:color="auto"/>
        <w:bottom w:val="none" w:sz="0" w:space="0" w:color="auto"/>
        <w:right w:val="none" w:sz="0" w:space="0" w:color="auto"/>
      </w:divBdr>
      <w:divsChild>
        <w:div w:id="899444616">
          <w:marLeft w:val="0"/>
          <w:marRight w:val="0"/>
          <w:marTop w:val="0"/>
          <w:marBottom w:val="0"/>
          <w:divBdr>
            <w:top w:val="none" w:sz="0" w:space="0" w:color="auto"/>
            <w:left w:val="none" w:sz="0" w:space="0" w:color="auto"/>
            <w:bottom w:val="none" w:sz="0" w:space="0" w:color="auto"/>
            <w:right w:val="none" w:sz="0" w:space="0" w:color="auto"/>
          </w:divBdr>
        </w:div>
        <w:div w:id="1669282165">
          <w:marLeft w:val="0"/>
          <w:marRight w:val="0"/>
          <w:marTop w:val="0"/>
          <w:marBottom w:val="0"/>
          <w:divBdr>
            <w:top w:val="none" w:sz="0" w:space="0" w:color="auto"/>
            <w:left w:val="none" w:sz="0" w:space="0" w:color="auto"/>
            <w:bottom w:val="none" w:sz="0" w:space="0" w:color="auto"/>
            <w:right w:val="none" w:sz="0" w:space="0" w:color="auto"/>
          </w:divBdr>
        </w:div>
        <w:div w:id="1550191969">
          <w:marLeft w:val="0"/>
          <w:marRight w:val="0"/>
          <w:marTop w:val="0"/>
          <w:marBottom w:val="0"/>
          <w:divBdr>
            <w:top w:val="none" w:sz="0" w:space="0" w:color="auto"/>
            <w:left w:val="none" w:sz="0" w:space="0" w:color="auto"/>
            <w:bottom w:val="none" w:sz="0" w:space="0" w:color="auto"/>
            <w:right w:val="none" w:sz="0" w:space="0" w:color="auto"/>
          </w:divBdr>
        </w:div>
        <w:div w:id="1469667732">
          <w:marLeft w:val="0"/>
          <w:marRight w:val="0"/>
          <w:marTop w:val="0"/>
          <w:marBottom w:val="0"/>
          <w:divBdr>
            <w:top w:val="none" w:sz="0" w:space="0" w:color="auto"/>
            <w:left w:val="none" w:sz="0" w:space="0" w:color="auto"/>
            <w:bottom w:val="none" w:sz="0" w:space="0" w:color="auto"/>
            <w:right w:val="none" w:sz="0" w:space="0" w:color="auto"/>
          </w:divBdr>
        </w:div>
        <w:div w:id="555551789">
          <w:marLeft w:val="0"/>
          <w:marRight w:val="0"/>
          <w:marTop w:val="0"/>
          <w:marBottom w:val="0"/>
          <w:divBdr>
            <w:top w:val="none" w:sz="0" w:space="0" w:color="auto"/>
            <w:left w:val="none" w:sz="0" w:space="0" w:color="auto"/>
            <w:bottom w:val="none" w:sz="0" w:space="0" w:color="auto"/>
            <w:right w:val="none" w:sz="0" w:space="0" w:color="auto"/>
          </w:divBdr>
        </w:div>
      </w:divsChild>
    </w:div>
    <w:div w:id="598827880">
      <w:bodyDiv w:val="1"/>
      <w:marLeft w:val="0"/>
      <w:marRight w:val="0"/>
      <w:marTop w:val="0"/>
      <w:marBottom w:val="0"/>
      <w:divBdr>
        <w:top w:val="none" w:sz="0" w:space="0" w:color="auto"/>
        <w:left w:val="none" w:sz="0" w:space="0" w:color="auto"/>
        <w:bottom w:val="none" w:sz="0" w:space="0" w:color="auto"/>
        <w:right w:val="none" w:sz="0" w:space="0" w:color="auto"/>
      </w:divBdr>
      <w:divsChild>
        <w:div w:id="1402214995">
          <w:marLeft w:val="0"/>
          <w:marRight w:val="0"/>
          <w:marTop w:val="0"/>
          <w:marBottom w:val="0"/>
          <w:divBdr>
            <w:top w:val="none" w:sz="0" w:space="0" w:color="auto"/>
            <w:left w:val="none" w:sz="0" w:space="0" w:color="auto"/>
            <w:bottom w:val="none" w:sz="0" w:space="0" w:color="auto"/>
            <w:right w:val="none" w:sz="0" w:space="0" w:color="auto"/>
          </w:divBdr>
        </w:div>
        <w:div w:id="1993633221">
          <w:marLeft w:val="0"/>
          <w:marRight w:val="0"/>
          <w:marTop w:val="0"/>
          <w:marBottom w:val="0"/>
          <w:divBdr>
            <w:top w:val="none" w:sz="0" w:space="0" w:color="auto"/>
            <w:left w:val="none" w:sz="0" w:space="0" w:color="auto"/>
            <w:bottom w:val="none" w:sz="0" w:space="0" w:color="auto"/>
            <w:right w:val="none" w:sz="0" w:space="0" w:color="auto"/>
          </w:divBdr>
        </w:div>
        <w:div w:id="993027133">
          <w:marLeft w:val="0"/>
          <w:marRight w:val="0"/>
          <w:marTop w:val="0"/>
          <w:marBottom w:val="0"/>
          <w:divBdr>
            <w:top w:val="none" w:sz="0" w:space="0" w:color="auto"/>
            <w:left w:val="none" w:sz="0" w:space="0" w:color="auto"/>
            <w:bottom w:val="none" w:sz="0" w:space="0" w:color="auto"/>
            <w:right w:val="none" w:sz="0" w:space="0" w:color="auto"/>
          </w:divBdr>
        </w:div>
      </w:divsChild>
    </w:div>
    <w:div w:id="652562563">
      <w:bodyDiv w:val="1"/>
      <w:marLeft w:val="0"/>
      <w:marRight w:val="0"/>
      <w:marTop w:val="0"/>
      <w:marBottom w:val="0"/>
      <w:divBdr>
        <w:top w:val="none" w:sz="0" w:space="0" w:color="auto"/>
        <w:left w:val="none" w:sz="0" w:space="0" w:color="auto"/>
        <w:bottom w:val="none" w:sz="0" w:space="0" w:color="auto"/>
        <w:right w:val="none" w:sz="0" w:space="0" w:color="auto"/>
      </w:divBdr>
    </w:div>
    <w:div w:id="792558672">
      <w:bodyDiv w:val="1"/>
      <w:marLeft w:val="0"/>
      <w:marRight w:val="0"/>
      <w:marTop w:val="0"/>
      <w:marBottom w:val="0"/>
      <w:divBdr>
        <w:top w:val="none" w:sz="0" w:space="0" w:color="auto"/>
        <w:left w:val="none" w:sz="0" w:space="0" w:color="auto"/>
        <w:bottom w:val="none" w:sz="0" w:space="0" w:color="auto"/>
        <w:right w:val="none" w:sz="0" w:space="0" w:color="auto"/>
      </w:divBdr>
    </w:div>
    <w:div w:id="838428733">
      <w:bodyDiv w:val="1"/>
      <w:marLeft w:val="0"/>
      <w:marRight w:val="0"/>
      <w:marTop w:val="0"/>
      <w:marBottom w:val="0"/>
      <w:divBdr>
        <w:top w:val="none" w:sz="0" w:space="0" w:color="auto"/>
        <w:left w:val="none" w:sz="0" w:space="0" w:color="auto"/>
        <w:bottom w:val="none" w:sz="0" w:space="0" w:color="auto"/>
        <w:right w:val="none" w:sz="0" w:space="0" w:color="auto"/>
      </w:divBdr>
    </w:div>
    <w:div w:id="910967706">
      <w:bodyDiv w:val="1"/>
      <w:marLeft w:val="0"/>
      <w:marRight w:val="0"/>
      <w:marTop w:val="0"/>
      <w:marBottom w:val="0"/>
      <w:divBdr>
        <w:top w:val="none" w:sz="0" w:space="0" w:color="auto"/>
        <w:left w:val="none" w:sz="0" w:space="0" w:color="auto"/>
        <w:bottom w:val="none" w:sz="0" w:space="0" w:color="auto"/>
        <w:right w:val="none" w:sz="0" w:space="0" w:color="auto"/>
      </w:divBdr>
      <w:divsChild>
        <w:div w:id="1717774639">
          <w:marLeft w:val="0"/>
          <w:marRight w:val="0"/>
          <w:marTop w:val="0"/>
          <w:marBottom w:val="0"/>
          <w:divBdr>
            <w:top w:val="none" w:sz="0" w:space="0" w:color="auto"/>
            <w:left w:val="none" w:sz="0" w:space="0" w:color="auto"/>
            <w:bottom w:val="none" w:sz="0" w:space="0" w:color="auto"/>
            <w:right w:val="none" w:sz="0" w:space="0" w:color="auto"/>
          </w:divBdr>
        </w:div>
        <w:div w:id="56247680">
          <w:marLeft w:val="0"/>
          <w:marRight w:val="0"/>
          <w:marTop w:val="0"/>
          <w:marBottom w:val="0"/>
          <w:divBdr>
            <w:top w:val="none" w:sz="0" w:space="0" w:color="auto"/>
            <w:left w:val="none" w:sz="0" w:space="0" w:color="auto"/>
            <w:bottom w:val="none" w:sz="0" w:space="0" w:color="auto"/>
            <w:right w:val="none" w:sz="0" w:space="0" w:color="auto"/>
          </w:divBdr>
        </w:div>
        <w:div w:id="1322806020">
          <w:marLeft w:val="0"/>
          <w:marRight w:val="0"/>
          <w:marTop w:val="0"/>
          <w:marBottom w:val="0"/>
          <w:divBdr>
            <w:top w:val="none" w:sz="0" w:space="0" w:color="auto"/>
            <w:left w:val="none" w:sz="0" w:space="0" w:color="auto"/>
            <w:bottom w:val="none" w:sz="0" w:space="0" w:color="auto"/>
            <w:right w:val="none" w:sz="0" w:space="0" w:color="auto"/>
          </w:divBdr>
        </w:div>
        <w:div w:id="525874755">
          <w:marLeft w:val="0"/>
          <w:marRight w:val="0"/>
          <w:marTop w:val="0"/>
          <w:marBottom w:val="0"/>
          <w:divBdr>
            <w:top w:val="none" w:sz="0" w:space="0" w:color="auto"/>
            <w:left w:val="none" w:sz="0" w:space="0" w:color="auto"/>
            <w:bottom w:val="none" w:sz="0" w:space="0" w:color="auto"/>
            <w:right w:val="none" w:sz="0" w:space="0" w:color="auto"/>
          </w:divBdr>
        </w:div>
        <w:div w:id="1249999792">
          <w:marLeft w:val="0"/>
          <w:marRight w:val="0"/>
          <w:marTop w:val="0"/>
          <w:marBottom w:val="0"/>
          <w:divBdr>
            <w:top w:val="none" w:sz="0" w:space="0" w:color="auto"/>
            <w:left w:val="none" w:sz="0" w:space="0" w:color="auto"/>
            <w:bottom w:val="none" w:sz="0" w:space="0" w:color="auto"/>
            <w:right w:val="none" w:sz="0" w:space="0" w:color="auto"/>
          </w:divBdr>
        </w:div>
      </w:divsChild>
    </w:div>
    <w:div w:id="1081219211">
      <w:bodyDiv w:val="1"/>
      <w:marLeft w:val="0"/>
      <w:marRight w:val="0"/>
      <w:marTop w:val="0"/>
      <w:marBottom w:val="0"/>
      <w:divBdr>
        <w:top w:val="none" w:sz="0" w:space="0" w:color="auto"/>
        <w:left w:val="none" w:sz="0" w:space="0" w:color="auto"/>
        <w:bottom w:val="none" w:sz="0" w:space="0" w:color="auto"/>
        <w:right w:val="none" w:sz="0" w:space="0" w:color="auto"/>
      </w:divBdr>
      <w:divsChild>
        <w:div w:id="413279509">
          <w:marLeft w:val="0"/>
          <w:marRight w:val="0"/>
          <w:marTop w:val="0"/>
          <w:marBottom w:val="0"/>
          <w:divBdr>
            <w:top w:val="none" w:sz="0" w:space="0" w:color="auto"/>
            <w:left w:val="none" w:sz="0" w:space="0" w:color="auto"/>
            <w:bottom w:val="none" w:sz="0" w:space="0" w:color="auto"/>
            <w:right w:val="none" w:sz="0" w:space="0" w:color="auto"/>
          </w:divBdr>
        </w:div>
        <w:div w:id="884023140">
          <w:marLeft w:val="0"/>
          <w:marRight w:val="0"/>
          <w:marTop w:val="0"/>
          <w:marBottom w:val="0"/>
          <w:divBdr>
            <w:top w:val="none" w:sz="0" w:space="0" w:color="auto"/>
            <w:left w:val="none" w:sz="0" w:space="0" w:color="auto"/>
            <w:bottom w:val="none" w:sz="0" w:space="0" w:color="auto"/>
            <w:right w:val="none" w:sz="0" w:space="0" w:color="auto"/>
          </w:divBdr>
        </w:div>
      </w:divsChild>
    </w:div>
    <w:div w:id="1236009089">
      <w:bodyDiv w:val="1"/>
      <w:marLeft w:val="0"/>
      <w:marRight w:val="0"/>
      <w:marTop w:val="0"/>
      <w:marBottom w:val="0"/>
      <w:divBdr>
        <w:top w:val="none" w:sz="0" w:space="0" w:color="auto"/>
        <w:left w:val="none" w:sz="0" w:space="0" w:color="auto"/>
        <w:bottom w:val="none" w:sz="0" w:space="0" w:color="auto"/>
        <w:right w:val="none" w:sz="0" w:space="0" w:color="auto"/>
      </w:divBdr>
    </w:div>
    <w:div w:id="1268082237">
      <w:bodyDiv w:val="1"/>
      <w:marLeft w:val="0"/>
      <w:marRight w:val="0"/>
      <w:marTop w:val="0"/>
      <w:marBottom w:val="0"/>
      <w:divBdr>
        <w:top w:val="none" w:sz="0" w:space="0" w:color="auto"/>
        <w:left w:val="none" w:sz="0" w:space="0" w:color="auto"/>
        <w:bottom w:val="none" w:sz="0" w:space="0" w:color="auto"/>
        <w:right w:val="none" w:sz="0" w:space="0" w:color="auto"/>
      </w:divBdr>
    </w:div>
    <w:div w:id="1288927553">
      <w:bodyDiv w:val="1"/>
      <w:marLeft w:val="0"/>
      <w:marRight w:val="0"/>
      <w:marTop w:val="0"/>
      <w:marBottom w:val="0"/>
      <w:divBdr>
        <w:top w:val="none" w:sz="0" w:space="0" w:color="auto"/>
        <w:left w:val="none" w:sz="0" w:space="0" w:color="auto"/>
        <w:bottom w:val="none" w:sz="0" w:space="0" w:color="auto"/>
        <w:right w:val="none" w:sz="0" w:space="0" w:color="auto"/>
      </w:divBdr>
      <w:divsChild>
        <w:div w:id="1409422040">
          <w:marLeft w:val="0"/>
          <w:marRight w:val="0"/>
          <w:marTop w:val="0"/>
          <w:marBottom w:val="0"/>
          <w:divBdr>
            <w:top w:val="none" w:sz="0" w:space="0" w:color="auto"/>
            <w:left w:val="none" w:sz="0" w:space="0" w:color="auto"/>
            <w:bottom w:val="none" w:sz="0" w:space="0" w:color="auto"/>
            <w:right w:val="none" w:sz="0" w:space="0" w:color="auto"/>
          </w:divBdr>
        </w:div>
        <w:div w:id="1766338599">
          <w:marLeft w:val="0"/>
          <w:marRight w:val="0"/>
          <w:marTop w:val="0"/>
          <w:marBottom w:val="0"/>
          <w:divBdr>
            <w:top w:val="none" w:sz="0" w:space="0" w:color="auto"/>
            <w:left w:val="none" w:sz="0" w:space="0" w:color="auto"/>
            <w:bottom w:val="none" w:sz="0" w:space="0" w:color="auto"/>
            <w:right w:val="none" w:sz="0" w:space="0" w:color="auto"/>
          </w:divBdr>
        </w:div>
      </w:divsChild>
    </w:div>
    <w:div w:id="1716271028">
      <w:bodyDiv w:val="1"/>
      <w:marLeft w:val="0"/>
      <w:marRight w:val="0"/>
      <w:marTop w:val="0"/>
      <w:marBottom w:val="0"/>
      <w:divBdr>
        <w:top w:val="none" w:sz="0" w:space="0" w:color="auto"/>
        <w:left w:val="none" w:sz="0" w:space="0" w:color="auto"/>
        <w:bottom w:val="none" w:sz="0" w:space="0" w:color="auto"/>
        <w:right w:val="none" w:sz="0" w:space="0" w:color="auto"/>
      </w:divBdr>
    </w:div>
    <w:div w:id="1788697139">
      <w:bodyDiv w:val="1"/>
      <w:marLeft w:val="0"/>
      <w:marRight w:val="0"/>
      <w:marTop w:val="0"/>
      <w:marBottom w:val="0"/>
      <w:divBdr>
        <w:top w:val="none" w:sz="0" w:space="0" w:color="auto"/>
        <w:left w:val="none" w:sz="0" w:space="0" w:color="auto"/>
        <w:bottom w:val="none" w:sz="0" w:space="0" w:color="auto"/>
        <w:right w:val="none" w:sz="0" w:space="0" w:color="auto"/>
      </w:divBdr>
    </w:div>
    <w:div w:id="1823690836">
      <w:bodyDiv w:val="1"/>
      <w:marLeft w:val="0"/>
      <w:marRight w:val="0"/>
      <w:marTop w:val="0"/>
      <w:marBottom w:val="0"/>
      <w:divBdr>
        <w:top w:val="none" w:sz="0" w:space="0" w:color="auto"/>
        <w:left w:val="none" w:sz="0" w:space="0" w:color="auto"/>
        <w:bottom w:val="none" w:sz="0" w:space="0" w:color="auto"/>
        <w:right w:val="none" w:sz="0" w:space="0" w:color="auto"/>
      </w:divBdr>
    </w:div>
    <w:div w:id="1939483433">
      <w:bodyDiv w:val="1"/>
      <w:marLeft w:val="0"/>
      <w:marRight w:val="0"/>
      <w:marTop w:val="0"/>
      <w:marBottom w:val="0"/>
      <w:divBdr>
        <w:top w:val="none" w:sz="0" w:space="0" w:color="auto"/>
        <w:left w:val="none" w:sz="0" w:space="0" w:color="auto"/>
        <w:bottom w:val="none" w:sz="0" w:space="0" w:color="auto"/>
        <w:right w:val="none" w:sz="0" w:space="0" w:color="auto"/>
      </w:divBdr>
    </w:div>
    <w:div w:id="1968856918">
      <w:bodyDiv w:val="1"/>
      <w:marLeft w:val="0"/>
      <w:marRight w:val="0"/>
      <w:marTop w:val="0"/>
      <w:marBottom w:val="0"/>
      <w:divBdr>
        <w:top w:val="none" w:sz="0" w:space="0" w:color="auto"/>
        <w:left w:val="none" w:sz="0" w:space="0" w:color="auto"/>
        <w:bottom w:val="none" w:sz="0" w:space="0" w:color="auto"/>
        <w:right w:val="none" w:sz="0" w:space="0" w:color="auto"/>
      </w:divBdr>
    </w:div>
    <w:div w:id="1986664533">
      <w:bodyDiv w:val="1"/>
      <w:marLeft w:val="0"/>
      <w:marRight w:val="0"/>
      <w:marTop w:val="0"/>
      <w:marBottom w:val="0"/>
      <w:divBdr>
        <w:top w:val="none" w:sz="0" w:space="0" w:color="auto"/>
        <w:left w:val="none" w:sz="0" w:space="0" w:color="auto"/>
        <w:bottom w:val="none" w:sz="0" w:space="0" w:color="auto"/>
        <w:right w:val="none" w:sz="0" w:space="0" w:color="auto"/>
      </w:divBdr>
    </w:div>
    <w:div w:id="2016762151">
      <w:bodyDiv w:val="1"/>
      <w:marLeft w:val="0"/>
      <w:marRight w:val="0"/>
      <w:marTop w:val="0"/>
      <w:marBottom w:val="0"/>
      <w:divBdr>
        <w:top w:val="none" w:sz="0" w:space="0" w:color="auto"/>
        <w:left w:val="none" w:sz="0" w:space="0" w:color="auto"/>
        <w:bottom w:val="none" w:sz="0" w:space="0" w:color="auto"/>
        <w:right w:val="none" w:sz="0" w:space="0" w:color="auto"/>
      </w:divBdr>
    </w:div>
    <w:div w:id="205850699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viq.org.au/Protocol/tabid/66/categoryid/440/id/746/Genetic+Testing+for+Heritable+Mutations+in+the+APC+Gene.aspx." TargetMode="External"/><Relationship Id="rId18" Type="http://schemas.openxmlformats.org/officeDocument/2006/relationships/hyperlink" Target="http://onlinelibrary.wiley.com/doi/10.1002/ijc.28744/epdf" TargetMode="External"/><Relationship Id="rId26" Type="http://schemas.openxmlformats.org/officeDocument/2006/relationships/hyperlink" Target="https://www.ncbi.nlm.nih.gov/pmc/articles/PMC2815724/" TargetMode="External"/><Relationship Id="rId3" Type="http://schemas.openxmlformats.org/officeDocument/2006/relationships/styles" Target="styles.xml"/><Relationship Id="rId21" Type="http://schemas.openxmlformats.org/officeDocument/2006/relationships/hyperlink" Target="http://cebp.aacrjournals.org/content/26/3/404" TargetMode="External"/><Relationship Id="rId34" Type="http://schemas.openxmlformats.org/officeDocument/2006/relationships/hyperlink" Target="http://ascopubs.org/doi/abs/10.1200/JCO.2016.71.9807?url_ver=Z39.88-2003&amp;rfr_id=ori:rid:crossref.org&amp;rfr_dat=cr_pub%3dpubme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ice.org.uk/guidance/dg27/history" TargetMode="External"/><Relationship Id="rId25" Type="http://schemas.openxmlformats.org/officeDocument/2006/relationships/hyperlink" Target="https://www.nhmrc.gov.au/_files_nhmrc/publications/attachments/cp106_clinical_practice_guidelines_prevention_early_detection_management_of_colorectal_cancer_150609_0.pdf" TargetMode="External"/><Relationship Id="rId33" Type="http://schemas.openxmlformats.org/officeDocument/2006/relationships/hyperlink" Target="https://bmccancer.biomedcentral.com/articles/10.1186/s12885-015-1254-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4876359/" TargetMode="External"/><Relationship Id="rId20" Type="http://schemas.openxmlformats.org/officeDocument/2006/relationships/hyperlink" Target="http://onlinelibrary.wiley.com/doi/10.1111/1753-6405.12587/epdf" TargetMode="External"/><Relationship Id="rId29" Type="http://schemas.openxmlformats.org/officeDocument/2006/relationships/hyperlink" Target="http://ascopubs.org/doi/abs/10.1200/JCO.2014.57.8088?url_ver=Z39.88-2003&amp;rfr_id=ori:rid:crossref.org&amp;rfr_dat=cr_pub%3dpubmed."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ncbi.nlm.nih.gov/pmc/articles/PMC3887142/pdf/nihms525913.pdf." TargetMode="External"/><Relationship Id="rId32" Type="http://schemas.openxmlformats.org/officeDocument/2006/relationships/hyperlink" Target="https://link.springer.com/article/10.1007%2Fs10689-013-9631-1"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link.springer.com/article/10.1007%2Fs10897-011-9465-7" TargetMode="External"/><Relationship Id="rId23" Type="http://schemas.openxmlformats.org/officeDocument/2006/relationships/hyperlink" Target="http://www.tandfonline.com/doi/abs/10.1586/17474124.2015.1026328?journalCode=ierh20" TargetMode="External"/><Relationship Id="rId28" Type="http://schemas.openxmlformats.org/officeDocument/2006/relationships/hyperlink" Target="http://dx.doi.org/10.1001/jama.2011.743" TargetMode="External"/><Relationship Id="rId36" Type="http://schemas.openxmlformats.org/officeDocument/2006/relationships/hyperlink" Target="http://www.lynchsyndrome.org.au/wp-content/uploads/2017/03/Lynch-Syndrome-Report.pdf" TargetMode="External"/><Relationship Id="rId10" Type="http://schemas.openxmlformats.org/officeDocument/2006/relationships/hyperlink" Target="mailto:hta@health.gov.au" TargetMode="External"/><Relationship Id="rId19" Type="http://schemas.openxmlformats.org/officeDocument/2006/relationships/hyperlink" Target="https://www.ncbi.nlm.nih.gov/pmc/articles/PMC4294709/pdf/nihms-556130.pdf" TargetMode="External"/><Relationship Id="rId31" Type="http://schemas.openxmlformats.org/officeDocument/2006/relationships/hyperlink" Target="http://gut.bmj.com/content/66/3/464.lo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viq.org.au/Protocol/tabid/66/categoryid/440/id/746/Genetic+Testing+for+Heritable+Mutations+in+the+APC+Gene.aspx" TargetMode="External"/><Relationship Id="rId22" Type="http://schemas.openxmlformats.org/officeDocument/2006/relationships/hyperlink" Target="http://onlinelibrary.wiley.com/doi/10.1111/jgh.13468/abstract;jsessionid=38A9CA40B44045116B62FECCD8EC346D.f04t02" TargetMode="External"/><Relationship Id="rId27" Type="http://schemas.openxmlformats.org/officeDocument/2006/relationships/hyperlink" Target="https://www.ncbi.nlm.nih.gov/pmc/articles/PMC2759321/" TargetMode="External"/><Relationship Id="rId30" Type="http://schemas.openxmlformats.org/officeDocument/2006/relationships/hyperlink" Target="http://www.ncbi.nlm.nih.gov/pmc/articles/PMC3341109/" TargetMode="External"/><Relationship Id="rId35" Type="http://schemas.openxmlformats.org/officeDocument/2006/relationships/hyperlink" Target="https://link.springer.com/article/10.1007%2Fs10689-017-999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5BF7-C2EA-4A4B-AFF4-385507FF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54804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4</cp:revision>
  <cp:lastPrinted>2017-08-30T03:55:00Z</cp:lastPrinted>
  <dcterms:created xsi:type="dcterms:W3CDTF">2018-03-19T21:18:00Z</dcterms:created>
  <dcterms:modified xsi:type="dcterms:W3CDTF">2018-03-22T02:07:00Z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