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52D26" w14:textId="42B97F59"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630D9768" wp14:editId="1B765590">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E01C3D3" w14:textId="77777777" w:rsidR="00303C94" w:rsidRPr="00F4622B" w:rsidRDefault="00303C94" w:rsidP="00F4622B">
      <w:pPr>
        <w:pStyle w:val="Heading10"/>
        <w:jc w:val="center"/>
        <w:rPr>
          <w:sz w:val="120"/>
          <w:szCs w:val="120"/>
        </w:rPr>
      </w:pPr>
    </w:p>
    <w:p w14:paraId="34C25842" w14:textId="57B4B057" w:rsidR="0044715D" w:rsidRDefault="005F4D2F" w:rsidP="00A601AC">
      <w:pPr>
        <w:pStyle w:val="Heading10"/>
        <w:jc w:val="center"/>
        <w:rPr>
          <w:sz w:val="48"/>
          <w:szCs w:val="48"/>
        </w:rPr>
      </w:pPr>
      <w:r>
        <w:rPr>
          <w:sz w:val="48"/>
          <w:szCs w:val="48"/>
        </w:rPr>
        <w:t xml:space="preserve">Application </w:t>
      </w:r>
      <w:r w:rsidR="008D4A28">
        <w:rPr>
          <w:sz w:val="48"/>
          <w:szCs w:val="48"/>
        </w:rPr>
        <w:t>15</w:t>
      </w:r>
      <w:r w:rsidR="0018240C">
        <w:rPr>
          <w:sz w:val="48"/>
          <w:szCs w:val="48"/>
        </w:rPr>
        <w:t>07</w:t>
      </w:r>
      <w:r w:rsidR="00303C94">
        <w:rPr>
          <w:sz w:val="48"/>
          <w:szCs w:val="48"/>
        </w:rPr>
        <w:t>:</w:t>
      </w:r>
    </w:p>
    <w:p w14:paraId="1EC0B751" w14:textId="7453BF60" w:rsidR="00303C94" w:rsidRPr="00303C94" w:rsidRDefault="00A52DB3" w:rsidP="00A601AC">
      <w:pPr>
        <w:pStyle w:val="Heading10"/>
        <w:jc w:val="center"/>
        <w:rPr>
          <w:sz w:val="48"/>
          <w:szCs w:val="48"/>
        </w:rPr>
      </w:pPr>
      <w:r w:rsidRPr="00A52DB3">
        <w:rPr>
          <w:color w:val="548DD4"/>
          <w:sz w:val="48"/>
          <w:szCs w:val="48"/>
        </w:rPr>
        <w:t>Germline BRCA mutation testing to determine eligibility for olaparib treatment in patients with metastatic</w:t>
      </w:r>
      <w:r>
        <w:rPr>
          <w:color w:val="548DD4"/>
          <w:sz w:val="48"/>
          <w:szCs w:val="48"/>
        </w:rPr>
        <w:t xml:space="preserve"> (stage IV)</w:t>
      </w:r>
      <w:r w:rsidRPr="00A52DB3">
        <w:rPr>
          <w:color w:val="548DD4"/>
          <w:sz w:val="48"/>
          <w:szCs w:val="48"/>
        </w:rPr>
        <w:t xml:space="preserve"> HER2</w:t>
      </w:r>
      <w:r w:rsidR="00D63241">
        <w:rPr>
          <w:color w:val="548DD4"/>
          <w:sz w:val="48"/>
          <w:szCs w:val="48"/>
        </w:rPr>
        <w:t>-</w:t>
      </w:r>
      <w:r w:rsidRPr="00A52DB3">
        <w:rPr>
          <w:color w:val="548DD4"/>
          <w:sz w:val="48"/>
          <w:szCs w:val="48"/>
        </w:rPr>
        <w:t xml:space="preserve">negative breast cancer </w:t>
      </w:r>
    </w:p>
    <w:p w14:paraId="62456202" w14:textId="77777777" w:rsidR="0044715D" w:rsidRPr="00F95DA2" w:rsidRDefault="0044715D" w:rsidP="00F4622B">
      <w:pPr>
        <w:pStyle w:val="Heading10"/>
        <w:tabs>
          <w:tab w:val="left" w:pos="5613"/>
        </w:tabs>
        <w:jc w:val="center"/>
        <w:rPr>
          <w:sz w:val="22"/>
          <w:szCs w:val="72"/>
        </w:rPr>
      </w:pPr>
      <w:bookmarkStart w:id="2" w:name="_GoBack"/>
      <w:bookmarkEnd w:id="2"/>
    </w:p>
    <w:p w14:paraId="1ACDE0CA" w14:textId="77777777" w:rsidR="00D46C89" w:rsidRDefault="00D46C89" w:rsidP="003D699E">
      <w:pPr>
        <w:pStyle w:val="Heading10"/>
        <w:jc w:val="center"/>
        <w:rPr>
          <w:sz w:val="72"/>
          <w:szCs w:val="72"/>
        </w:rPr>
      </w:pPr>
      <w:r>
        <w:rPr>
          <w:sz w:val="72"/>
          <w:szCs w:val="72"/>
        </w:rPr>
        <w:t>PICO Confirmation</w:t>
      </w:r>
    </w:p>
    <w:p w14:paraId="673554BC" w14:textId="7777777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A84A56">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0400A8B6"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2854FDA0" w14:textId="037C96B6" w:rsidR="00EE7A1F" w:rsidRPr="00F95DA2" w:rsidRDefault="00F95DA2" w:rsidP="00F95DA2">
      <w:pPr>
        <w:tabs>
          <w:tab w:val="left" w:pos="3128"/>
        </w:tabs>
        <w:spacing w:before="180"/>
        <w:rPr>
          <w:rFonts w:ascii="Arial" w:hAnsi="Arial" w:cs="Arial"/>
          <w:b/>
          <w:sz w:val="14"/>
          <w:szCs w:val="32"/>
        </w:rPr>
      </w:pPr>
      <w:r>
        <w:rPr>
          <w:rFonts w:ascii="Arial" w:hAnsi="Arial" w:cs="Arial"/>
          <w:b/>
          <w:sz w:val="32"/>
          <w:szCs w:val="32"/>
        </w:rPr>
        <w:tab/>
      </w:r>
    </w:p>
    <w:p w14:paraId="7F94D39D" w14:textId="77777777" w:rsidR="00CE4E4C" w:rsidRDefault="003D699E" w:rsidP="00CE4E4C">
      <w:pPr>
        <w:spacing w:after="0" w:line="240" w:lineRule="auto"/>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r w:rsidRPr="00154B00">
        <w:rPr>
          <w:sz w:val="20"/>
          <w:szCs w:val="20"/>
        </w:rPr>
        <w:t>Please complete all questions that are applicable to the proposed service, providing relevant information only.</w:t>
      </w:r>
      <w:r w:rsidR="0081772D">
        <w:rPr>
          <w:sz w:val="20"/>
          <w:szCs w:val="20"/>
        </w:rPr>
        <w:t xml:space="preserve"> </w:t>
      </w: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14:paraId="51DB2E20" w14:textId="77777777" w:rsidR="00CE4E4C" w:rsidRDefault="00CE4E4C" w:rsidP="00CE4E4C">
      <w:pPr>
        <w:spacing w:after="0" w:line="240" w:lineRule="auto"/>
        <w:jc w:val="both"/>
        <w:rPr>
          <w:sz w:val="20"/>
          <w:szCs w:val="20"/>
        </w:rPr>
      </w:pPr>
    </w:p>
    <w:p w14:paraId="21122D3D" w14:textId="0B872134" w:rsidR="003D699E" w:rsidRPr="00154B00" w:rsidRDefault="003D699E" w:rsidP="00CE4E4C">
      <w:pPr>
        <w:spacing w:after="0" w:line="240" w:lineRule="auto"/>
        <w:jc w:val="both"/>
        <w:rPr>
          <w:sz w:val="20"/>
          <w:szCs w:val="20"/>
        </w:rPr>
      </w:pPr>
      <w:r w:rsidRPr="00154B00">
        <w:rPr>
          <w:sz w:val="20"/>
          <w:szCs w:val="20"/>
        </w:rPr>
        <w:t>Phone:</w:t>
      </w:r>
      <w:r w:rsidR="0081772D">
        <w:rPr>
          <w:sz w:val="20"/>
          <w:szCs w:val="20"/>
        </w:rPr>
        <w:t xml:space="preserve"> </w:t>
      </w:r>
      <w:r w:rsidRPr="00154B00">
        <w:rPr>
          <w:sz w:val="20"/>
          <w:szCs w:val="20"/>
        </w:rPr>
        <w:t>+61 2 6289 7550</w:t>
      </w:r>
    </w:p>
    <w:p w14:paraId="515E34AE" w14:textId="56A67154" w:rsidR="003D699E" w:rsidRPr="00154B00" w:rsidRDefault="003D699E" w:rsidP="00CE4E4C">
      <w:pPr>
        <w:spacing w:after="0" w:line="240" w:lineRule="auto"/>
        <w:jc w:val="both"/>
        <w:rPr>
          <w:sz w:val="20"/>
          <w:szCs w:val="20"/>
        </w:rPr>
      </w:pPr>
      <w:r w:rsidRPr="00154B00">
        <w:rPr>
          <w:sz w:val="20"/>
          <w:szCs w:val="20"/>
        </w:rPr>
        <w:t>Email:</w:t>
      </w:r>
      <w:r w:rsidR="0081772D">
        <w:rPr>
          <w:sz w:val="20"/>
          <w:szCs w:val="20"/>
        </w:rPr>
        <w:t xml:space="preserve"> </w:t>
      </w:r>
      <w:hyperlink r:id="rId10" w:history="1">
        <w:r w:rsidRPr="00154B00">
          <w:rPr>
            <w:rStyle w:val="Hyperlink"/>
            <w:sz w:val="20"/>
            <w:szCs w:val="20"/>
          </w:rPr>
          <w:t>hta@health.gov.au</w:t>
        </w:r>
      </w:hyperlink>
    </w:p>
    <w:p w14:paraId="2617E7E8" w14:textId="4A569375" w:rsidR="003D699E" w:rsidRDefault="003D699E" w:rsidP="00CE4E4C">
      <w:pPr>
        <w:spacing w:after="0" w:line="240" w:lineRule="auto"/>
        <w:jc w:val="both"/>
        <w:rPr>
          <w:sz w:val="20"/>
          <w:szCs w:val="20"/>
        </w:rPr>
      </w:pPr>
      <w:r w:rsidRPr="00154B00">
        <w:rPr>
          <w:sz w:val="20"/>
          <w:szCs w:val="20"/>
        </w:rPr>
        <w:t>Website:</w:t>
      </w:r>
      <w:r w:rsidR="0081772D">
        <w:rPr>
          <w:sz w:val="20"/>
          <w:szCs w:val="20"/>
        </w:rPr>
        <w:t xml:space="preserve"> </w:t>
      </w:r>
      <w:hyperlink r:id="rId11" w:tooltip="Link to the Medical Services Avisory Committee Website" w:history="1">
        <w:r w:rsidR="007E7E23" w:rsidRPr="0041368D">
          <w:rPr>
            <w:rStyle w:val="Hyperlink"/>
            <w:sz w:val="20"/>
            <w:szCs w:val="20"/>
          </w:rPr>
          <w:t>http://www.msac.gov.au</w:t>
        </w:r>
      </w:hyperlink>
    </w:p>
    <w:p w14:paraId="14A88CAD" w14:textId="05A060C2"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384"/>
        <w:gridCol w:w="7858"/>
      </w:tblGrid>
      <w:tr w:rsidR="0044715D" w:rsidRPr="00084393" w14:paraId="5A085B1E" w14:textId="77777777" w:rsidTr="0047138D">
        <w:trPr>
          <w:tblHeader/>
        </w:trPr>
        <w:tc>
          <w:tcPr>
            <w:tcW w:w="749" w:type="pct"/>
            <w:tcBorders>
              <w:top w:val="single" w:sz="8" w:space="0" w:color="auto"/>
              <w:bottom w:val="single" w:sz="8" w:space="0" w:color="auto"/>
              <w:right w:val="single" w:sz="4" w:space="0" w:color="auto"/>
            </w:tcBorders>
            <w:shd w:val="clear" w:color="auto" w:fill="D9D9D9"/>
          </w:tcPr>
          <w:p w14:paraId="4E59FBEC" w14:textId="77777777" w:rsidR="0044715D" w:rsidRPr="00084393" w:rsidRDefault="00A84A56" w:rsidP="00F12E59">
            <w:pPr>
              <w:spacing w:before="20" w:after="20" w:line="240" w:lineRule="auto"/>
              <w:rPr>
                <w:b/>
              </w:rPr>
            </w:pPr>
            <w:r>
              <w:rPr>
                <w:b/>
              </w:rPr>
              <w:t>Component</w:t>
            </w:r>
          </w:p>
        </w:tc>
        <w:tc>
          <w:tcPr>
            <w:tcW w:w="4251" w:type="pct"/>
            <w:tcBorders>
              <w:top w:val="single" w:sz="4" w:space="0" w:color="auto"/>
              <w:left w:val="single" w:sz="4" w:space="0" w:color="auto"/>
              <w:bottom w:val="single" w:sz="4" w:space="0" w:color="auto"/>
              <w:right w:val="single" w:sz="4" w:space="0" w:color="auto"/>
            </w:tcBorders>
            <w:shd w:val="clear" w:color="auto" w:fill="D9D9D9"/>
          </w:tcPr>
          <w:p w14:paraId="6D225AF5" w14:textId="77777777" w:rsidR="0044715D" w:rsidRPr="00084393" w:rsidRDefault="0044715D" w:rsidP="002272B7">
            <w:pPr>
              <w:spacing w:before="20" w:after="20" w:line="240" w:lineRule="auto"/>
              <w:jc w:val="both"/>
              <w:rPr>
                <w:b/>
              </w:rPr>
            </w:pPr>
            <w:r>
              <w:rPr>
                <w:b/>
              </w:rPr>
              <w:t>Description</w:t>
            </w:r>
          </w:p>
        </w:tc>
      </w:tr>
      <w:tr w:rsidR="0044715D" w:rsidRPr="00084393" w14:paraId="15D2844B" w14:textId="77777777" w:rsidTr="0047138D">
        <w:tc>
          <w:tcPr>
            <w:tcW w:w="749" w:type="pct"/>
            <w:tcBorders>
              <w:top w:val="single" w:sz="8" w:space="0" w:color="auto"/>
              <w:right w:val="single" w:sz="4" w:space="0" w:color="auto"/>
            </w:tcBorders>
          </w:tcPr>
          <w:p w14:paraId="0D9C8051" w14:textId="77777777" w:rsidR="0044715D" w:rsidRPr="00084393" w:rsidRDefault="0044715D" w:rsidP="00F12E59">
            <w:pPr>
              <w:spacing w:before="20" w:after="20" w:line="240" w:lineRule="auto"/>
              <w:rPr>
                <w:rFonts w:cs="Arial"/>
              </w:rPr>
            </w:pPr>
            <w:r w:rsidRPr="00084393">
              <w:rPr>
                <w:rFonts w:cs="Arial"/>
              </w:rPr>
              <w:t>Patients</w:t>
            </w:r>
          </w:p>
        </w:tc>
        <w:tc>
          <w:tcPr>
            <w:tcW w:w="4251" w:type="pct"/>
            <w:tcBorders>
              <w:top w:val="single" w:sz="4" w:space="0" w:color="auto"/>
              <w:left w:val="single" w:sz="4" w:space="0" w:color="auto"/>
              <w:bottom w:val="single" w:sz="4" w:space="0" w:color="auto"/>
              <w:right w:val="single" w:sz="4" w:space="0" w:color="auto"/>
            </w:tcBorders>
          </w:tcPr>
          <w:p w14:paraId="44FEE934" w14:textId="77777777" w:rsidR="004D4B81" w:rsidRDefault="004D4B81" w:rsidP="004D4B81">
            <w:pPr>
              <w:spacing w:after="60"/>
              <w:rPr>
                <w:b/>
              </w:rPr>
            </w:pPr>
            <w:r w:rsidRPr="000966E8">
              <w:rPr>
                <w:b/>
              </w:rPr>
              <w:t>T</w:t>
            </w:r>
            <w:r>
              <w:rPr>
                <w:b/>
              </w:rPr>
              <w:t>est population</w:t>
            </w:r>
          </w:p>
          <w:p w14:paraId="6241434E" w14:textId="1B960D97" w:rsidR="00F95DA2" w:rsidRDefault="004D4B81" w:rsidP="00254AB3">
            <w:pPr>
              <w:spacing w:after="120"/>
            </w:pPr>
            <w:r>
              <w:t>Patient</w:t>
            </w:r>
            <w:r w:rsidR="0081772D">
              <w:t>s</w:t>
            </w:r>
            <w:r>
              <w:t xml:space="preserve"> with metastatic (Stage IV) human epidermal growth factor receptor 2 (HER2) negative</w:t>
            </w:r>
            <w:r w:rsidR="00407B14">
              <w:t xml:space="preserve"> </w:t>
            </w:r>
            <w:r w:rsidR="00F0446B" w:rsidRPr="0073631F">
              <w:rPr>
                <w:vertAlign w:val="superscript"/>
              </w:rPr>
              <w:t>a</w:t>
            </w:r>
            <w:r w:rsidR="00F00A7D">
              <w:t xml:space="preserve"> breast cancer</w:t>
            </w:r>
            <w:r>
              <w:t xml:space="preserve"> who have disease progression</w:t>
            </w:r>
            <w:r w:rsidR="00F95DA2">
              <w:t>:</w:t>
            </w:r>
            <w:r>
              <w:t xml:space="preserve"> </w:t>
            </w:r>
          </w:p>
          <w:p w14:paraId="5EABF626" w14:textId="5636D369" w:rsidR="00F95DA2" w:rsidRDefault="004D4B81" w:rsidP="00F95DA2">
            <w:pPr>
              <w:pStyle w:val="ListParagraph"/>
              <w:numPr>
                <w:ilvl w:val="0"/>
                <w:numId w:val="28"/>
              </w:numPr>
              <w:spacing w:after="120"/>
            </w:pPr>
            <w:r>
              <w:t>on</w:t>
            </w:r>
            <w:r w:rsidR="00F95DA2">
              <w:t xml:space="preserve"> treatment with either a taxane or anthracycline</w:t>
            </w:r>
          </w:p>
          <w:p w14:paraId="105952F1" w14:textId="31AB2DA3" w:rsidR="00F95DA2" w:rsidRDefault="00F95DA2" w:rsidP="00F95DA2">
            <w:pPr>
              <w:pStyle w:val="ListParagraph"/>
              <w:spacing w:after="120"/>
            </w:pPr>
            <w:r>
              <w:t>OR</w:t>
            </w:r>
          </w:p>
          <w:p w14:paraId="4F377903" w14:textId="2FBA6C84" w:rsidR="00F95DA2" w:rsidRDefault="004D4B81" w:rsidP="00F95DA2">
            <w:pPr>
              <w:pStyle w:val="ListParagraph"/>
              <w:numPr>
                <w:ilvl w:val="0"/>
                <w:numId w:val="28"/>
              </w:numPr>
              <w:spacing w:after="120"/>
            </w:pPr>
            <w:r>
              <w:t xml:space="preserve">after treatment with either a </w:t>
            </w:r>
            <w:r w:rsidR="00F95DA2">
              <w:t>taxane or anthracycline</w:t>
            </w:r>
          </w:p>
          <w:p w14:paraId="3D04B32F" w14:textId="69A4872D" w:rsidR="00F95DA2" w:rsidRDefault="00F95DA2" w:rsidP="00F95DA2">
            <w:pPr>
              <w:spacing w:after="120"/>
              <w:ind w:left="360"/>
            </w:pPr>
            <w:r>
              <w:t>AND</w:t>
            </w:r>
          </w:p>
          <w:p w14:paraId="3E394714" w14:textId="5B87E841" w:rsidR="00F95DA2" w:rsidRDefault="00F95DA2" w:rsidP="00F95DA2">
            <w:pPr>
              <w:pStyle w:val="ListParagraph"/>
              <w:numPr>
                <w:ilvl w:val="0"/>
                <w:numId w:val="28"/>
              </w:numPr>
              <w:spacing w:after="120"/>
            </w:pPr>
            <w:r>
              <w:t xml:space="preserve">are </w:t>
            </w:r>
            <w:r w:rsidR="004D4B81">
              <w:t xml:space="preserve">refractory to endocrine </w:t>
            </w:r>
            <w:r w:rsidR="001079B3">
              <w:t>therapy</w:t>
            </w:r>
            <w:r w:rsidR="00407B14">
              <w:t xml:space="preserve"> </w:t>
            </w:r>
            <w:r w:rsidR="00F0446B">
              <w:rPr>
                <w:vertAlign w:val="superscript"/>
              </w:rPr>
              <w:t>b</w:t>
            </w:r>
            <w:r w:rsidR="001079B3">
              <w:t xml:space="preserve"> </w:t>
            </w:r>
          </w:p>
          <w:p w14:paraId="02454ADC" w14:textId="125DE977" w:rsidR="004D4B81" w:rsidRPr="003816C8" w:rsidRDefault="00F95DA2" w:rsidP="00254AB3">
            <w:pPr>
              <w:spacing w:after="120"/>
            </w:pPr>
            <w:r>
              <w:t xml:space="preserve">Patients </w:t>
            </w:r>
            <w:r w:rsidR="004D4B81">
              <w:t>could have received</w:t>
            </w:r>
            <w:r w:rsidR="00D5412C">
              <w:t xml:space="preserve"> </w:t>
            </w:r>
            <w:r w:rsidR="00D5412C" w:rsidRPr="00D5412C">
              <w:t xml:space="preserve">a taxane or </w:t>
            </w:r>
            <w:r w:rsidR="00D5412C">
              <w:t xml:space="preserve">an </w:t>
            </w:r>
            <w:r w:rsidR="00D5412C" w:rsidRPr="00D5412C">
              <w:t xml:space="preserve">anthracycline </w:t>
            </w:r>
            <w:r w:rsidR="004D4B81">
              <w:t>in the neoadjuvant or adj</w:t>
            </w:r>
            <w:r>
              <w:t>uvant or the metastatic setting</w:t>
            </w:r>
            <w:r w:rsidR="004D4B81">
              <w:t xml:space="preserve">. </w:t>
            </w:r>
          </w:p>
          <w:p w14:paraId="37557AAB" w14:textId="77777777" w:rsidR="004D4B81" w:rsidRDefault="004D4B81" w:rsidP="004D4B81">
            <w:pPr>
              <w:spacing w:after="60"/>
              <w:rPr>
                <w:b/>
              </w:rPr>
            </w:pPr>
            <w:r>
              <w:rPr>
                <w:b/>
              </w:rPr>
              <w:t>Drug population</w:t>
            </w:r>
          </w:p>
          <w:p w14:paraId="36F5FC08" w14:textId="71C4B4E6" w:rsidR="0044715D" w:rsidRPr="000966E8" w:rsidRDefault="00F95DA2" w:rsidP="00965068">
            <w:pPr>
              <w:spacing w:after="120"/>
            </w:pPr>
            <w:r>
              <w:t>Those p</w:t>
            </w:r>
            <w:r w:rsidR="004D4B81">
              <w:t>atient</w:t>
            </w:r>
            <w:r w:rsidR="00407B14">
              <w:t>s</w:t>
            </w:r>
            <w:r w:rsidR="004D4B81" w:rsidRPr="000A129B">
              <w:t xml:space="preserve"> </w:t>
            </w:r>
            <w:r>
              <w:t xml:space="preserve">above </w:t>
            </w:r>
            <w:r w:rsidR="004D4B81">
              <w:t>who test positive for a germline BRCA 1/2 mutation (BRCA mutation) will become eligible for olaparib treatment.</w:t>
            </w:r>
          </w:p>
        </w:tc>
      </w:tr>
      <w:tr w:rsidR="00A84A56" w:rsidRPr="00084393" w14:paraId="379938CF" w14:textId="77777777" w:rsidTr="0047138D">
        <w:tc>
          <w:tcPr>
            <w:tcW w:w="749" w:type="pct"/>
            <w:tcBorders>
              <w:top w:val="single" w:sz="8" w:space="0" w:color="auto"/>
              <w:right w:val="single" w:sz="4" w:space="0" w:color="auto"/>
            </w:tcBorders>
          </w:tcPr>
          <w:p w14:paraId="4829EC5D" w14:textId="36D58722" w:rsidR="00F12E59" w:rsidRDefault="00F12E59" w:rsidP="00F12E59">
            <w:pPr>
              <w:spacing w:before="20" w:after="20" w:line="240" w:lineRule="auto"/>
              <w:rPr>
                <w:rFonts w:cs="Arial"/>
              </w:rPr>
            </w:pPr>
            <w:r>
              <w:rPr>
                <w:rFonts w:cs="Arial"/>
              </w:rPr>
              <w:t>Prior tests</w:t>
            </w:r>
          </w:p>
          <w:p w14:paraId="0B5D91B1" w14:textId="37E08D5A" w:rsidR="00A84A56" w:rsidRPr="00084393" w:rsidRDefault="00A84A56" w:rsidP="00F12E59">
            <w:pPr>
              <w:spacing w:before="20" w:after="20" w:line="240" w:lineRule="auto"/>
              <w:rPr>
                <w:rFonts w:cs="Arial"/>
              </w:rPr>
            </w:pPr>
          </w:p>
        </w:tc>
        <w:tc>
          <w:tcPr>
            <w:tcW w:w="4251" w:type="pct"/>
            <w:tcBorders>
              <w:top w:val="single" w:sz="4" w:space="0" w:color="auto"/>
              <w:left w:val="single" w:sz="4" w:space="0" w:color="auto"/>
              <w:bottom w:val="single" w:sz="4" w:space="0" w:color="auto"/>
              <w:right w:val="single" w:sz="4" w:space="0" w:color="auto"/>
            </w:tcBorders>
          </w:tcPr>
          <w:p w14:paraId="1FAAE7FA" w14:textId="3D78DD2C" w:rsidR="000966E8" w:rsidRDefault="000966E8" w:rsidP="000966E8">
            <w:pPr>
              <w:spacing w:before="20" w:after="20" w:line="240" w:lineRule="auto"/>
            </w:pPr>
            <w:r>
              <w:t xml:space="preserve">Tests required to confirm diagnosis of </w:t>
            </w:r>
            <w:r w:rsidR="009C3B68">
              <w:t>breast cancer</w:t>
            </w:r>
            <w:r>
              <w:t xml:space="preserve"> (i.e. biopsy)</w:t>
            </w:r>
          </w:p>
          <w:p w14:paraId="7A922FE4" w14:textId="2B2F576E" w:rsidR="000966E8" w:rsidRDefault="000966E8" w:rsidP="000966E8">
            <w:pPr>
              <w:spacing w:before="20" w:after="20" w:line="240" w:lineRule="auto"/>
            </w:pPr>
            <w:r>
              <w:t xml:space="preserve">Tests required to confirm stage of cancer (i.e. </w:t>
            </w:r>
            <w:r w:rsidR="009C3B68">
              <w:t>mammogram or ultrasound</w:t>
            </w:r>
            <w:r w:rsidR="00612439">
              <w:t>, lymph node</w:t>
            </w:r>
            <w:r w:rsidR="009D253C">
              <w:t xml:space="preserve"> </w:t>
            </w:r>
            <w:r w:rsidR="009C3B68">
              <w:t>assessment</w:t>
            </w:r>
            <w:r w:rsidR="00770643">
              <w:t xml:space="preserve">, </w:t>
            </w:r>
            <w:r w:rsidR="009C3B68">
              <w:t>c</w:t>
            </w:r>
            <w:r w:rsidR="009C3B68" w:rsidRPr="009C3B68">
              <w:t>omputed tomography</w:t>
            </w:r>
            <w:r w:rsidR="009C3B68">
              <w:t>, magnetic resonance imaging</w:t>
            </w:r>
            <w:r>
              <w:t>)</w:t>
            </w:r>
          </w:p>
          <w:p w14:paraId="5544485F" w14:textId="673EFD48" w:rsidR="00A84A56" w:rsidRPr="000966E8" w:rsidRDefault="000966E8" w:rsidP="009C3B68">
            <w:pPr>
              <w:spacing w:after="60"/>
              <w:rPr>
                <w:rFonts w:cs="Arial"/>
              </w:rPr>
            </w:pPr>
            <w:r>
              <w:t>Test required to confirm negative for relevant predictive biomarkers</w:t>
            </w:r>
            <w:r w:rsidR="009C3B68">
              <w:t>: i.e. ER status, PR status, HER2 status</w:t>
            </w:r>
            <w:r>
              <w:t xml:space="preserve"> </w:t>
            </w:r>
          </w:p>
        </w:tc>
      </w:tr>
      <w:tr w:rsidR="00A84A56" w:rsidRPr="00084393" w14:paraId="2A482ADF" w14:textId="77777777" w:rsidTr="0047138D">
        <w:tc>
          <w:tcPr>
            <w:tcW w:w="749" w:type="pct"/>
            <w:tcBorders>
              <w:right w:val="single" w:sz="4" w:space="0" w:color="auto"/>
            </w:tcBorders>
          </w:tcPr>
          <w:p w14:paraId="0C251DF1" w14:textId="77777777" w:rsidR="00A84A56" w:rsidRPr="00084393" w:rsidRDefault="00A84A56" w:rsidP="00F12E59">
            <w:pPr>
              <w:spacing w:before="20" w:after="20" w:line="240" w:lineRule="auto"/>
              <w:rPr>
                <w:rFonts w:cs="Arial"/>
              </w:rPr>
            </w:pPr>
            <w:r w:rsidRPr="00084393">
              <w:rPr>
                <w:rFonts w:cs="Arial"/>
              </w:rPr>
              <w:t>Intervention</w:t>
            </w:r>
          </w:p>
        </w:tc>
        <w:tc>
          <w:tcPr>
            <w:tcW w:w="4251" w:type="pct"/>
            <w:tcBorders>
              <w:top w:val="single" w:sz="4" w:space="0" w:color="auto"/>
              <w:left w:val="single" w:sz="4" w:space="0" w:color="auto"/>
              <w:bottom w:val="single" w:sz="4" w:space="0" w:color="auto"/>
              <w:right w:val="single" w:sz="4" w:space="0" w:color="auto"/>
            </w:tcBorders>
          </w:tcPr>
          <w:p w14:paraId="06FA57A2" w14:textId="77777777" w:rsidR="000A129B" w:rsidRDefault="000A129B" w:rsidP="009C3B68">
            <w:pPr>
              <w:spacing w:afterLines="50" w:after="120" w:line="240" w:lineRule="auto"/>
            </w:pPr>
            <w:r w:rsidRPr="000A129B">
              <w:rPr>
                <w:b/>
              </w:rPr>
              <w:t>Test</w:t>
            </w:r>
            <w:r>
              <w:rPr>
                <w:b/>
              </w:rPr>
              <w:t>:</w:t>
            </w:r>
            <w:r w:rsidR="00AA5F7A">
              <w:rPr>
                <w:b/>
              </w:rPr>
              <w:t xml:space="preserve"> </w:t>
            </w:r>
            <w:r w:rsidR="00AA5F7A">
              <w:t>Germline BRCA mutation testing</w:t>
            </w:r>
          </w:p>
          <w:p w14:paraId="4D00945A" w14:textId="7B495023" w:rsidR="00A84A56" w:rsidRPr="000966E8" w:rsidRDefault="00AA5F7A" w:rsidP="00E20D87">
            <w:pPr>
              <w:spacing w:afterLines="60" w:after="144"/>
              <w:rPr>
                <w:vanish/>
              </w:rPr>
            </w:pPr>
            <w:r>
              <w:rPr>
                <w:b/>
              </w:rPr>
              <w:t xml:space="preserve">Drug: </w:t>
            </w:r>
            <w:r>
              <w:t>Olaparib treatment for patient found to have a germline BRCA mutation.</w:t>
            </w:r>
          </w:p>
        </w:tc>
      </w:tr>
      <w:tr w:rsidR="00A84A56" w:rsidRPr="00084393" w14:paraId="3A767DFD" w14:textId="77777777" w:rsidTr="0047138D">
        <w:tc>
          <w:tcPr>
            <w:tcW w:w="749" w:type="pct"/>
            <w:tcBorders>
              <w:right w:val="single" w:sz="4" w:space="0" w:color="auto"/>
            </w:tcBorders>
          </w:tcPr>
          <w:p w14:paraId="2DA16F40" w14:textId="77777777" w:rsidR="00A84A56" w:rsidRPr="00084393" w:rsidRDefault="00A84A56" w:rsidP="00F12E59">
            <w:pPr>
              <w:spacing w:before="20" w:after="20" w:line="240" w:lineRule="auto"/>
              <w:rPr>
                <w:rFonts w:cs="Arial"/>
              </w:rPr>
            </w:pPr>
            <w:r w:rsidRPr="00084393">
              <w:rPr>
                <w:rFonts w:cs="Arial"/>
              </w:rPr>
              <w:t>Comparator</w:t>
            </w:r>
          </w:p>
        </w:tc>
        <w:tc>
          <w:tcPr>
            <w:tcW w:w="4251" w:type="pct"/>
            <w:tcBorders>
              <w:top w:val="single" w:sz="4" w:space="0" w:color="auto"/>
              <w:left w:val="single" w:sz="4" w:space="0" w:color="auto"/>
              <w:bottom w:val="single" w:sz="4" w:space="0" w:color="auto"/>
              <w:right w:val="single" w:sz="4" w:space="0" w:color="auto"/>
            </w:tcBorders>
          </w:tcPr>
          <w:p w14:paraId="2535B39B" w14:textId="76878F3D" w:rsidR="00E14016" w:rsidRDefault="00E14016" w:rsidP="009C3B68">
            <w:pPr>
              <w:spacing w:after="120"/>
            </w:pPr>
            <w:r>
              <w:rPr>
                <w:b/>
              </w:rPr>
              <w:t xml:space="preserve">Test comparator: </w:t>
            </w:r>
            <w:r>
              <w:t>No testing because BRCA mutation testing is not funded by the Commonwealth</w:t>
            </w:r>
            <w:r w:rsidR="009C3B68">
              <w:t xml:space="preserve"> for the proposed population</w:t>
            </w:r>
            <w:r>
              <w:t xml:space="preserve">. </w:t>
            </w:r>
          </w:p>
          <w:p w14:paraId="1838147B" w14:textId="5ACCE83F" w:rsidR="00A84A56" w:rsidRPr="00E14016" w:rsidRDefault="00E14016" w:rsidP="009C3B68">
            <w:pPr>
              <w:spacing w:after="120"/>
            </w:pPr>
            <w:r>
              <w:rPr>
                <w:b/>
              </w:rPr>
              <w:t>Drug comparator:</w:t>
            </w:r>
            <w:r w:rsidR="0081772D">
              <w:rPr>
                <w:b/>
              </w:rPr>
              <w:t xml:space="preserve"> </w:t>
            </w:r>
            <w:r>
              <w:t xml:space="preserve">single-agent standard of care </w:t>
            </w:r>
            <w:r w:rsidR="00212E1F">
              <w:t>chemotherapy (</w:t>
            </w:r>
            <w:r>
              <w:t>after first line anthracycline</w:t>
            </w:r>
            <w:r w:rsidR="00212E1F">
              <w:t xml:space="preserve"> </w:t>
            </w:r>
            <w:r>
              <w:t>±</w:t>
            </w:r>
            <w:r w:rsidR="00212E1F">
              <w:t xml:space="preserve"> </w:t>
            </w:r>
            <w:r>
              <w:t>taxane chemotherapy. C</w:t>
            </w:r>
            <w:r w:rsidRPr="00E14016">
              <w:t>apecit</w:t>
            </w:r>
            <w:r>
              <w:t xml:space="preserve">abine, vinorelbine and eribulin are commonly used agents. </w:t>
            </w:r>
          </w:p>
        </w:tc>
      </w:tr>
      <w:tr w:rsidR="00A84A56" w:rsidRPr="00084393" w14:paraId="0E06BCB8" w14:textId="77777777" w:rsidTr="00254AB3">
        <w:trPr>
          <w:trHeight w:val="3407"/>
        </w:trPr>
        <w:tc>
          <w:tcPr>
            <w:tcW w:w="749" w:type="pct"/>
            <w:tcBorders>
              <w:right w:val="single" w:sz="4" w:space="0" w:color="auto"/>
            </w:tcBorders>
          </w:tcPr>
          <w:p w14:paraId="6ECC1B70" w14:textId="77777777" w:rsidR="00A84A56" w:rsidRPr="00084393" w:rsidRDefault="00A84A56" w:rsidP="00F12E59">
            <w:pPr>
              <w:spacing w:before="20" w:after="20" w:line="240" w:lineRule="auto"/>
              <w:rPr>
                <w:rFonts w:cs="Arial"/>
              </w:rPr>
            </w:pPr>
            <w:r w:rsidRPr="00084393">
              <w:rPr>
                <w:rFonts w:cs="Arial"/>
              </w:rPr>
              <w:lastRenderedPageBreak/>
              <w:t>Outcomes</w:t>
            </w:r>
          </w:p>
        </w:tc>
        <w:tc>
          <w:tcPr>
            <w:tcW w:w="4251" w:type="pct"/>
            <w:tcBorders>
              <w:top w:val="single" w:sz="4" w:space="0" w:color="auto"/>
              <w:left w:val="single" w:sz="4" w:space="0" w:color="auto"/>
              <w:bottom w:val="single" w:sz="4" w:space="0" w:color="auto"/>
              <w:right w:val="single" w:sz="4" w:space="0" w:color="auto"/>
            </w:tcBorders>
          </w:tcPr>
          <w:p w14:paraId="13DB0C57" w14:textId="77777777" w:rsidR="00A84A56" w:rsidRPr="00AD065A" w:rsidRDefault="00212E1F" w:rsidP="00BC148E">
            <w:pPr>
              <w:spacing w:after="60"/>
              <w:rPr>
                <w:b/>
              </w:rPr>
            </w:pPr>
            <w:r w:rsidRPr="00AD065A">
              <w:rPr>
                <w:b/>
              </w:rPr>
              <w:t>Test outcomes:</w:t>
            </w:r>
          </w:p>
          <w:p w14:paraId="415907DF" w14:textId="77777777" w:rsidR="00212E1F" w:rsidRDefault="00212E1F" w:rsidP="00212E1F">
            <w:pPr>
              <w:pStyle w:val="ListParagraph"/>
              <w:numPr>
                <w:ilvl w:val="0"/>
                <w:numId w:val="10"/>
              </w:numPr>
            </w:pPr>
            <w:r>
              <w:t>Analytical performance: sensitivity, specificity, negative predictive value, positive predictive value</w:t>
            </w:r>
          </w:p>
          <w:p w14:paraId="0A10278B" w14:textId="77777777" w:rsidR="00212E1F" w:rsidRDefault="00212E1F" w:rsidP="00212E1F">
            <w:pPr>
              <w:pStyle w:val="ListParagraph"/>
              <w:numPr>
                <w:ilvl w:val="0"/>
                <w:numId w:val="10"/>
              </w:numPr>
            </w:pPr>
            <w:r>
              <w:t>Concordance with other commercially available germline BRCA 1/2 mutation platforms and assays</w:t>
            </w:r>
          </w:p>
          <w:p w14:paraId="5BB039F7" w14:textId="77777777" w:rsidR="00212E1F" w:rsidRDefault="00212E1F" w:rsidP="00254AB3">
            <w:pPr>
              <w:pStyle w:val="ListParagraph"/>
              <w:numPr>
                <w:ilvl w:val="0"/>
                <w:numId w:val="10"/>
              </w:numPr>
              <w:spacing w:after="120"/>
              <w:ind w:left="357" w:hanging="357"/>
            </w:pPr>
            <w:r>
              <w:t>Re-testing rates</w:t>
            </w:r>
          </w:p>
          <w:p w14:paraId="7815D6F3" w14:textId="77777777" w:rsidR="00212E1F" w:rsidRDefault="00212E1F" w:rsidP="00BC148E">
            <w:pPr>
              <w:spacing w:after="60"/>
              <w:rPr>
                <w:b/>
              </w:rPr>
            </w:pPr>
            <w:r>
              <w:rPr>
                <w:b/>
              </w:rPr>
              <w:t>Drug outcomes</w:t>
            </w:r>
          </w:p>
          <w:p w14:paraId="43DE9E49" w14:textId="18894BDD" w:rsidR="00212E1F" w:rsidRDefault="00212E1F" w:rsidP="00212E1F">
            <w:pPr>
              <w:pStyle w:val="ListParagraph"/>
              <w:numPr>
                <w:ilvl w:val="0"/>
                <w:numId w:val="11"/>
              </w:numPr>
            </w:pPr>
            <w:r>
              <w:t>Overall survival (OS)</w:t>
            </w:r>
          </w:p>
          <w:p w14:paraId="06A85531" w14:textId="77777777" w:rsidR="00212E1F" w:rsidRDefault="00212E1F" w:rsidP="00212E1F">
            <w:pPr>
              <w:pStyle w:val="ListParagraph"/>
              <w:numPr>
                <w:ilvl w:val="0"/>
                <w:numId w:val="11"/>
              </w:numPr>
            </w:pPr>
            <w:r>
              <w:t>Progression-free survival (PFS)</w:t>
            </w:r>
          </w:p>
          <w:p w14:paraId="18C9BA8F" w14:textId="4142CEF3" w:rsidR="001C175F" w:rsidRPr="00212E1F" w:rsidRDefault="00D44147" w:rsidP="00254AB3">
            <w:pPr>
              <w:pStyle w:val="ListParagraph"/>
              <w:numPr>
                <w:ilvl w:val="0"/>
                <w:numId w:val="11"/>
              </w:numPr>
              <w:spacing w:after="120"/>
              <w:ind w:left="357" w:hanging="357"/>
            </w:pPr>
            <w:r>
              <w:t>Health-related quality of life (HRQoL)</w:t>
            </w:r>
          </w:p>
        </w:tc>
      </w:tr>
    </w:tbl>
    <w:p w14:paraId="7EB94231" w14:textId="0650C9A8" w:rsidR="00F0446B" w:rsidRPr="0073631F" w:rsidRDefault="006D57D7" w:rsidP="0073631F">
      <w:pPr>
        <w:spacing w:after="0" w:line="240" w:lineRule="auto"/>
        <w:rPr>
          <w:sz w:val="20"/>
          <w:szCs w:val="20"/>
        </w:rPr>
      </w:pPr>
      <w:r w:rsidRPr="0073631F">
        <w:rPr>
          <w:sz w:val="20"/>
          <w:szCs w:val="20"/>
          <w:vertAlign w:val="superscript"/>
        </w:rPr>
        <w:t xml:space="preserve">a </w:t>
      </w:r>
      <w:r w:rsidR="00E049E7">
        <w:rPr>
          <w:sz w:val="20"/>
          <w:szCs w:val="20"/>
        </w:rPr>
        <w:t>E</w:t>
      </w:r>
      <w:r w:rsidR="00F0446B" w:rsidRPr="0073631F">
        <w:rPr>
          <w:sz w:val="20"/>
          <w:szCs w:val="20"/>
        </w:rPr>
        <w:t>ither hormone receptor positive or triple negative</w:t>
      </w:r>
    </w:p>
    <w:p w14:paraId="34FD30E6" w14:textId="714A8CC5" w:rsidR="00F12E59" w:rsidRDefault="00F0446B" w:rsidP="0073631F">
      <w:pPr>
        <w:spacing w:after="0" w:line="240" w:lineRule="auto"/>
        <w:rPr>
          <w:rFonts w:eastAsia="MS Gothic"/>
          <w:b/>
          <w:bCs/>
          <w:i/>
          <w:color w:val="548DD4"/>
          <w:szCs w:val="26"/>
          <w:u w:val="single"/>
        </w:rPr>
      </w:pPr>
      <w:r w:rsidRPr="0073631F">
        <w:rPr>
          <w:sz w:val="20"/>
          <w:szCs w:val="20"/>
          <w:vertAlign w:val="superscript"/>
        </w:rPr>
        <w:t>b</w:t>
      </w:r>
      <w:r w:rsidRPr="0073631F">
        <w:rPr>
          <w:sz w:val="20"/>
          <w:szCs w:val="20"/>
        </w:rPr>
        <w:t xml:space="preserve"> </w:t>
      </w:r>
      <w:r w:rsidR="006D57D7" w:rsidRPr="0073631F">
        <w:rPr>
          <w:sz w:val="20"/>
          <w:szCs w:val="20"/>
        </w:rPr>
        <w:t xml:space="preserve">Or inappropriate for endocrine therapy </w:t>
      </w:r>
      <w:r w:rsidR="00F12E59">
        <w:rPr>
          <w:rFonts w:eastAsia="MS Gothic"/>
          <w:b/>
          <w:bCs/>
          <w:i/>
          <w:color w:val="548DD4"/>
          <w:szCs w:val="26"/>
          <w:u w:val="single"/>
        </w:rPr>
        <w:br w:type="page"/>
      </w:r>
    </w:p>
    <w:p w14:paraId="7049BDDF" w14:textId="77777777" w:rsidR="007F4E20" w:rsidRPr="00E364F7" w:rsidRDefault="00E364F7">
      <w:pPr>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5805F771" w14:textId="77777777" w:rsidR="00896845" w:rsidRDefault="00896845">
      <w:pPr>
        <w:rPr>
          <w:b/>
        </w:rPr>
      </w:pPr>
      <w:r w:rsidRPr="00E364F7">
        <w:rPr>
          <w:b/>
        </w:rPr>
        <w:t>Population</w:t>
      </w:r>
    </w:p>
    <w:p w14:paraId="68F885E3" w14:textId="4E97437A" w:rsidR="008250F9" w:rsidRDefault="00436F36" w:rsidP="00436F36">
      <w:r>
        <w:t>The proposed population for germline BRCA 1/2 mutation</w:t>
      </w:r>
      <w:r w:rsidR="00A60B18">
        <w:t xml:space="preserve"> (BRCA mutation)</w:t>
      </w:r>
      <w:r>
        <w:t xml:space="preserve"> testing are patients with metastatic (Stage IV) </w:t>
      </w:r>
      <w:r w:rsidRPr="0008569F">
        <w:t xml:space="preserve">human epidermal growth factor receptor </w:t>
      </w:r>
      <w:r>
        <w:t>(HER2)</w:t>
      </w:r>
      <w:r w:rsidR="008250F9">
        <w:t xml:space="preserve"> </w:t>
      </w:r>
      <w:r>
        <w:t>negative</w:t>
      </w:r>
      <w:r w:rsidR="00F00A7D">
        <w:t xml:space="preserve"> breast cancer</w:t>
      </w:r>
      <w:r w:rsidR="004D4B81">
        <w:t xml:space="preserve"> (either hormone receptor positive or</w:t>
      </w:r>
      <w:r w:rsidR="00233718">
        <w:t xml:space="preserve"> </w:t>
      </w:r>
      <w:r w:rsidR="004D4B81">
        <w:t>triple negative)</w:t>
      </w:r>
      <w:r w:rsidR="008250F9">
        <w:t xml:space="preserve"> </w:t>
      </w:r>
      <w:r w:rsidR="004D4B81">
        <w:t xml:space="preserve">who have disease progression on or after treatment with a taxane </w:t>
      </w:r>
      <w:r w:rsidR="005305AC">
        <w:t>and an</w:t>
      </w:r>
      <w:r w:rsidR="004D4B81">
        <w:t xml:space="preserve"> anthracycline and </w:t>
      </w:r>
      <w:r w:rsidR="005305AC">
        <w:t xml:space="preserve">are </w:t>
      </w:r>
      <w:r w:rsidR="004D4B81">
        <w:t>also refractory to or inappropriate for treatment with endocrine therapy</w:t>
      </w:r>
      <w:r w:rsidR="005305AC">
        <w:t xml:space="preserve">. Patients are eligible for germline BRCA testing if they have received an anthracycline and a taxane in either the </w:t>
      </w:r>
      <w:r w:rsidR="004D4B81">
        <w:t>neoadjuvant or adj</w:t>
      </w:r>
      <w:r w:rsidR="005305AC">
        <w:t>uvant or the metastatic setting</w:t>
      </w:r>
      <w:r w:rsidR="004D4B81">
        <w:t>.</w:t>
      </w:r>
    </w:p>
    <w:p w14:paraId="130D94F3" w14:textId="55A0BA49" w:rsidR="004D4B81" w:rsidRDefault="004D4B81" w:rsidP="00436F36">
      <w:r>
        <w:t>Patient</w:t>
      </w:r>
      <w:r w:rsidR="0081772D">
        <w:t>s</w:t>
      </w:r>
      <w:r w:rsidRPr="000A129B">
        <w:t xml:space="preserve"> with </w:t>
      </w:r>
      <w:r w:rsidR="000774F8">
        <w:t>metastatic HER2-negative</w:t>
      </w:r>
      <w:r>
        <w:t xml:space="preserve"> breast cancer who test positive for </w:t>
      </w:r>
      <w:r w:rsidR="005D3A04">
        <w:t xml:space="preserve">a germline </w:t>
      </w:r>
      <w:r>
        <w:t>BRCA mutation) and</w:t>
      </w:r>
      <w:r w:rsidRPr="000A129B">
        <w:t xml:space="preserve"> have received prior treatment with anthracycline and taxane </w:t>
      </w:r>
      <w:r w:rsidR="00507545" w:rsidRPr="000A129B">
        <w:t>and</w:t>
      </w:r>
      <w:r w:rsidRPr="000A129B">
        <w:t xml:space="preserve"> refractory</w:t>
      </w:r>
      <w:r>
        <w:t xml:space="preserve"> to</w:t>
      </w:r>
      <w:r w:rsidRPr="000A129B">
        <w:t xml:space="preserve"> </w:t>
      </w:r>
      <w:r>
        <w:t>endocrine</w:t>
      </w:r>
      <w:r w:rsidRPr="000A129B">
        <w:t xml:space="preserve"> therapy</w:t>
      </w:r>
      <w:r>
        <w:t xml:space="preserve"> (if hormone receptor positive) will become eligible for olaparib treatment</w:t>
      </w:r>
      <w:r w:rsidR="00507545">
        <w:t xml:space="preserve"> </w:t>
      </w:r>
    </w:p>
    <w:p w14:paraId="5E64E39C" w14:textId="77777777" w:rsidR="005D3A04" w:rsidRPr="0013345D" w:rsidRDefault="005D3A04" w:rsidP="005D3A04">
      <w:pPr>
        <w:keepNext/>
        <w:rPr>
          <w:u w:val="single"/>
        </w:rPr>
      </w:pPr>
      <w:r w:rsidRPr="0013345D">
        <w:rPr>
          <w:u w:val="single"/>
        </w:rPr>
        <w:t xml:space="preserve">Background </w:t>
      </w:r>
    </w:p>
    <w:p w14:paraId="5F7CBDDF" w14:textId="1EFB8A37" w:rsidR="005D3A04" w:rsidRDefault="005D3A04" w:rsidP="005D3A04">
      <w:r>
        <w:t xml:space="preserve">Breast cancer is the most common cancer affecting women in Australia. In 2017, </w:t>
      </w:r>
      <w:r w:rsidRPr="000808AC">
        <w:t xml:space="preserve">it is estimated that 17,586 women and 144 men will </w:t>
      </w:r>
      <w:r>
        <w:t xml:space="preserve">be diagnosed with breast cancer </w:t>
      </w:r>
      <w:r>
        <w:fldChar w:fldCharType="begin"/>
      </w:r>
      <w:r w:rsidR="005305AC">
        <w:instrText xml:space="preserve"> ADDIN EN.CITE &lt;EndNote&gt;&lt;Cite&gt;&lt;Author&gt;Australian Institute of Health and Welfare&lt;/Author&gt;&lt;Year&gt;2017&lt;/Year&gt;&lt;RecNum&gt;3&lt;/RecNum&gt;&lt;DisplayText&gt;[1]&lt;/DisplayText&gt;&lt;record&gt;&lt;rec-number&gt;3&lt;/rec-number&gt;&lt;foreign-keys&gt;&lt;key app="EN" db-id="aadaavff2002s7efdx25t0d9f9awrd0v0vxv" timestamp="1508731917"&gt;3&lt;/key&gt;&lt;/foreign-keys&gt;&lt;ref-type name="Government Document"&gt;46&lt;/ref-type&gt;&lt;contributors&gt;&lt;authors&gt;&lt;author&gt;Australian Institute of Health and Welfare,&lt;/author&gt;&lt;/authors&gt;&lt;/contributors&gt;&lt;titles&gt;&lt;title&gt;Cancer in Australia 2017&lt;/title&gt;&lt;/titles&gt;&lt;number&gt;Cancer series no.101. Cat. no. CAN 100&lt;/number&gt;&lt;dates&gt;&lt;year&gt;2017&lt;/year&gt;&lt;/dates&gt;&lt;pub-location&gt;Canberra&lt;/pub-location&gt;&lt;publisher&gt;AIHW&lt;/publisher&gt;&lt;urls&gt;&lt;/urls&gt;&lt;/record&gt;&lt;/Cite&gt;&lt;/EndNote&gt;</w:instrText>
      </w:r>
      <w:r>
        <w:fldChar w:fldCharType="separate"/>
      </w:r>
      <w:r w:rsidR="005305AC">
        <w:rPr>
          <w:noProof/>
        </w:rPr>
        <w:t>[1]</w:t>
      </w:r>
      <w:r>
        <w:fldChar w:fldCharType="end"/>
      </w:r>
      <w:r>
        <w:t>.</w:t>
      </w:r>
      <w:r w:rsidR="0081772D">
        <w:t xml:space="preserve"> </w:t>
      </w:r>
      <w:r w:rsidRPr="00A656A1">
        <w:t>The risk of being diagnosed with breast cancer increases with age, with 78% of new cases of breast cancer developing in women over the age of 50</w:t>
      </w:r>
      <w:r w:rsidR="004F6F1B">
        <w:t> years</w:t>
      </w:r>
      <w:r>
        <w:t xml:space="preserve"> </w:t>
      </w:r>
      <w:r>
        <w:fldChar w:fldCharType="begin"/>
      </w:r>
      <w:r w:rsidR="005305AC">
        <w:instrText xml:space="preserve"> ADDIN EN.CITE &lt;EndNote&gt;&lt;Cite&gt;&lt;Author&gt;Breast Cancer Network Australia&lt;/Author&gt;&lt;Year&gt;2017&lt;/Year&gt;&lt;RecNum&gt;4&lt;/RecNum&gt;&lt;DisplayText&gt;[2]&lt;/DisplayText&gt;&lt;record&gt;&lt;rec-number&gt;4&lt;/rec-number&gt;&lt;foreign-keys&gt;&lt;key app="EN" db-id="aadaavff2002s7efdx25t0d9f9awrd0v0vxv" timestamp="1508733502"&gt;4&lt;/key&gt;&lt;/foreign-keys&gt;&lt;ref-type name="Web Page"&gt;12&lt;/ref-type&gt;&lt;contributors&gt;&lt;authors&gt;&lt;author&gt;Breast Cancer Network Australia,&lt;/author&gt;&lt;/authors&gt;&lt;/contributors&gt;&lt;titles&gt;&lt;title&gt;Current breast cancer statistics in Australia&lt;/title&gt;&lt;/titles&gt;&lt;volume&gt;2017&lt;/volume&gt;&lt;number&gt;23 October&lt;/number&gt;&lt;dates&gt;&lt;year&gt;2017&lt;/year&gt;&lt;pub-dates&gt;&lt;date&gt;15 June 2017&lt;/date&gt;&lt;/pub-dates&gt;&lt;/dates&gt;&lt;urls&gt;&lt;related-urls&gt;&lt;url&gt;&lt;style face="underline" font="default" size="100%"&gt;https://www.bcna.org.au/media/4785/bcna-2017-current-breast-cancer-statistics-in-australia-_15jun2017.pdf&lt;/style&gt;&lt;/url&gt;&lt;/related-urls&gt;&lt;/urls&gt;&lt;custom1&gt;2017&lt;/custom1&gt;&lt;custom2&gt;23 October&lt;/custom2&gt;&lt;/record&gt;&lt;/Cite&gt;&lt;/EndNote&gt;</w:instrText>
      </w:r>
      <w:r>
        <w:fldChar w:fldCharType="separate"/>
      </w:r>
      <w:r w:rsidR="005305AC">
        <w:rPr>
          <w:noProof/>
        </w:rPr>
        <w:t>[2]</w:t>
      </w:r>
      <w:r>
        <w:fldChar w:fldCharType="end"/>
      </w:r>
      <w:r>
        <w:t>.</w:t>
      </w:r>
      <w:r w:rsidR="0081772D">
        <w:t xml:space="preserve"> </w:t>
      </w:r>
      <w:r>
        <w:t xml:space="preserve">In 2013, 5% </w:t>
      </w:r>
      <w:r w:rsidR="0081772D">
        <w:t xml:space="preserve">of </w:t>
      </w:r>
      <w:r>
        <w:t xml:space="preserve">breast cancer cases were diagnosed </w:t>
      </w:r>
      <w:r w:rsidR="0081772D">
        <w:t xml:space="preserve">in </w:t>
      </w:r>
      <w:r>
        <w:t>women under 40 years of age.</w:t>
      </w:r>
    </w:p>
    <w:p w14:paraId="4F8D0AEC" w14:textId="18557EED" w:rsidR="005D3A04" w:rsidRDefault="005D3A04" w:rsidP="005D3A04">
      <w:r>
        <w:t>Breast cancer is staged using the American Joint Committee on Cancer</w:t>
      </w:r>
      <w:r w:rsidR="0081772D">
        <w:t xml:space="preserve"> </w:t>
      </w:r>
      <w:r w:rsidRPr="00A92CBF">
        <w:t>tumour–node–metastases (TNM) staging system</w:t>
      </w:r>
      <w:r>
        <w:t xml:space="preserve"> for breast cancer </w:t>
      </w:r>
      <w:r>
        <w:fldChar w:fldCharType="begin"/>
      </w:r>
      <w:r w:rsidR="005305AC">
        <w:instrText xml:space="preserve"> ADDIN EN.CITE &lt;EndNote&gt;&lt;Cite&gt;&lt;Author&gt;Senkus&lt;/Author&gt;&lt;Year&gt;2015&lt;/Year&gt;&lt;RecNum&gt;1&lt;/RecNum&gt;&lt;DisplayText&gt;[3]&lt;/DisplayText&gt;&lt;record&gt;&lt;rec-number&gt;1&lt;/rec-number&gt;&lt;foreign-keys&gt;&lt;key app="EN" db-id="aadaavff2002s7efdx25t0d9f9awrd0v0vxv" timestamp="1508463934"&gt;1&lt;/key&gt;&lt;/foreign-keys&gt;&lt;ref-type name="Journal Article"&gt;17&lt;/ref-type&gt;&lt;contributors&gt;&lt;authors&gt;&lt;author&gt;Senkus, E.&lt;/author&gt;&lt;author&gt;Kyriakides, S.&lt;/author&gt;&lt;author&gt;Ohno, S.&lt;/author&gt;&lt;author&gt;Penault-Llorca, F.&lt;/author&gt;&lt;author&gt;Poortmans, P.&lt;/author&gt;&lt;author&gt;Rutgers, E.&lt;/author&gt;&lt;author&gt;Zackrisson, S.&lt;/author&gt;&lt;author&gt;Cardoso, F.&lt;/author&gt;&lt;/authors&gt;&lt;/contributors&gt;&lt;titles&gt;&lt;title&gt;Primary breast cancer: ESMO Clinical Practice Guidelines for diagnosis, treatment and follow-up†&lt;/title&gt;&lt;secondary-title&gt;Annals of Oncology&lt;/secondary-title&gt;&lt;/titles&gt;&lt;periodical&gt;&lt;full-title&gt;Annals of Oncology&lt;/full-title&gt;&lt;/periodical&gt;&lt;pages&gt;v8-v30&lt;/pages&gt;&lt;volume&gt;26&lt;/volume&gt;&lt;number&gt;suppl_5&lt;/number&gt;&lt;dates&gt;&lt;year&gt;2015&lt;/year&gt;&lt;/dates&gt;&lt;isbn&gt;0923-7534&lt;/isbn&gt;&lt;urls&gt;&lt;related-urls&gt;&lt;url&gt;http://dx.doi.org/10.1093/annonc/mdv298&lt;/url&gt;&lt;url&gt;https://watermark.silverchair.com/mdv298.pdf?token=AQECAHi208BE49Ooan9kkhW_Ercy7Dm3ZL_9Cf3qfKAc485ysgAAAfowggH2BgkqhkiG9w0BBwagggHnMIIB4wIBADCCAdwGCSqGSIb3DQEHATAeBglghkgBZQMEAS4wEQQM9dl4nq26Td8A3EvyAgEQgIIBrQzjFCCevGYzrR8DmI9nJI9vxd1JQ0aRYJSQivPFK92v7rL5mCXHV3RtX8TH0xmwgIriz2do1Ai5G1jWKuu7xasu3ab8rWX2C4_zr44cCEsul7nxanTDBbXQvqTLr1459D8I5ocZl5l34DIU_VWoYtEW1sifz5OUGPOHaxGz4IS6dUMyxzQpUcWpQ1onjoU1mYkTxGtey43CqK43rgBpw3OmwPVgOGZFLLYFtUueC7oa8gI-vV-FG8huLEorP9A6AdOandhX4Sn-P6G-mY2h5tLQXF1JH5BL9nD1YB4-Tqefif7vELugd0adlR07Ds8FPg-0y75FqZU3blYhp-UgMKjP9wqUjlieoFFrOZ2fAL_0DjSDxPzSS0SaVQaYcdKxXfC52Vf3ZgTbrwuF1nSZbui8PYI07YkWjpLG3xhA5ELml1B1_lAYvHczYruXbekvzydauJJ_RyHgyR6jls2s8f1VGKNxr9cuLGejpJ796LKVMCSDkil2E005BnVOHCRtxNQnDnMEhQlmbzWgJLUM0WFtgSlXWYId_NCtTi0N-1wYitf-r9ps589Ln4k2VQ&lt;/url&gt;&lt;/related-urls&gt;&lt;/urls&gt;&lt;electronic-resource-num&gt;10.1093/annonc/mdv298&lt;/electronic-resource-num&gt;&lt;/record&gt;&lt;/Cite&gt;&lt;/EndNote&gt;</w:instrText>
      </w:r>
      <w:r>
        <w:fldChar w:fldCharType="separate"/>
      </w:r>
      <w:r w:rsidR="005305AC">
        <w:rPr>
          <w:noProof/>
        </w:rPr>
        <w:t>[3]</w:t>
      </w:r>
      <w:r>
        <w:fldChar w:fldCharType="end"/>
      </w:r>
      <w:r>
        <w:t xml:space="preserve">. Stage IV or metastatic breast cancer is where the cancer has spread from the original (primary) tumour to distant organs or distant lymph nodes (‘distant’ cancer) and is detectable by classic clinical or radiographic means or histologically proven to be larger than 0.2mm </w:t>
      </w:r>
      <w:r>
        <w:fldChar w:fldCharType="begin"/>
      </w:r>
      <w:r w:rsidR="005305AC">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fldChar w:fldCharType="separate"/>
      </w:r>
      <w:r w:rsidR="005305AC">
        <w:rPr>
          <w:noProof/>
        </w:rPr>
        <w:t>[4]</w:t>
      </w:r>
      <w:r>
        <w:fldChar w:fldCharType="end"/>
      </w:r>
      <w:r>
        <w:t>. Refer to Appendix A and B for further information on the staging of breast cancer.</w:t>
      </w:r>
    </w:p>
    <w:p w14:paraId="70E8E3B0" w14:textId="0320B1E6" w:rsidR="005D3A04" w:rsidRPr="007133B1" w:rsidRDefault="005D3A04" w:rsidP="005D3A04">
      <w:r w:rsidRPr="00201AD1">
        <w:t>Although treatable, metastatic breast cancer remains an incurable disease with a median overall survival of about two to three years and a five year survival of only about 25%</w:t>
      </w:r>
      <w:r>
        <w:t xml:space="preserve"> </w:t>
      </w:r>
      <w:r>
        <w:fldChar w:fldCharType="begin">
          <w:fldData xml:space="preserve">PEVuZE5vdGU+PENpdGU+PEF1dGhvcj5TdW5kcXVpc3Q8L0F1dGhvcj48WWVhcj4yMDE3PC9ZZWFy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=
</w:fldData>
        </w:fldChar>
      </w:r>
      <w:r w:rsidR="005305AC">
        <w:instrText xml:space="preserve"> ADDIN EN.CITE </w:instrText>
      </w:r>
      <w:r w:rsidR="005305AC">
        <w:fldChar w:fldCharType="begin">
          <w:fldData xml:space="preserve">PEVuZE5vdGU+PENpdGU+PEF1dGhvcj5TdW5kcXVpc3Q8L0F1dGhvcj48WWVhcj4yMDE3PC9ZZWFy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=
</w:fldData>
        </w:fldChar>
      </w:r>
      <w:r w:rsidR="005305AC">
        <w:instrText xml:space="preserve"> ADDIN EN.CITE.DATA </w:instrText>
      </w:r>
      <w:r w:rsidR="005305AC">
        <w:fldChar w:fldCharType="end"/>
      </w:r>
      <w:r>
        <w:fldChar w:fldCharType="separate"/>
      </w:r>
      <w:r w:rsidR="005305AC">
        <w:rPr>
          <w:noProof/>
        </w:rPr>
        <w:t>[5]</w:t>
      </w:r>
      <w:r>
        <w:fldChar w:fldCharType="end"/>
      </w:r>
      <w:r>
        <w:t>.</w:t>
      </w:r>
    </w:p>
    <w:p w14:paraId="0570DB4D" w14:textId="769FCBA9" w:rsidR="005D3A04" w:rsidRPr="00507545" w:rsidRDefault="005D3A04" w:rsidP="005D3A04">
      <w:pPr>
        <w:rPr>
          <w:u w:val="single"/>
        </w:rPr>
      </w:pPr>
      <w:r w:rsidRPr="00507545">
        <w:rPr>
          <w:u w:val="single"/>
        </w:rPr>
        <w:t>Subtypes of</w:t>
      </w:r>
      <w:r>
        <w:rPr>
          <w:u w:val="single"/>
        </w:rPr>
        <w:t xml:space="preserve"> </w:t>
      </w:r>
      <w:r w:rsidRPr="00507545">
        <w:rPr>
          <w:u w:val="single"/>
        </w:rPr>
        <w:t>breast cancer</w:t>
      </w:r>
      <w:r w:rsidR="00300B72">
        <w:rPr>
          <w:u w:val="single"/>
        </w:rPr>
        <w:t xml:space="preserve"> </w:t>
      </w:r>
    </w:p>
    <w:p w14:paraId="2E0C94BF" w14:textId="65C05F61" w:rsidR="005D3A04" w:rsidRDefault="005D3A04" w:rsidP="005D3A04">
      <w:pPr>
        <w:rPr>
          <w:rFonts w:eastAsia="Times New Roman" w:cs="Arial"/>
          <w:color w:val="000000"/>
          <w:szCs w:val="18"/>
        </w:rPr>
      </w:pPr>
      <w:r w:rsidRPr="001F45D6">
        <w:rPr>
          <w:rFonts w:eastAsia="Times New Roman" w:cs="Arial"/>
          <w:color w:val="000000"/>
          <w:szCs w:val="18"/>
        </w:rPr>
        <w:t>Treatment decisions are impacted not only by receptor status/molecular subtype, but also tumour stage and grade, symptoms and patient factors. Determination of the molecular subtype is a standard part of the workup of breast cancer diagnosis as it provides valuable prognostic information and determines the treatment pathway the patient will follow.</w:t>
      </w:r>
      <w:r>
        <w:rPr>
          <w:rFonts w:eastAsia="Times New Roman" w:cs="Arial"/>
          <w:color w:val="000000"/>
          <w:szCs w:val="18"/>
        </w:rPr>
        <w:t xml:space="preserve"> </w:t>
      </w:r>
      <w:r w:rsidRPr="005D3A04">
        <w:rPr>
          <w:rFonts w:eastAsia="Times New Roman" w:cs="Arial"/>
          <w:color w:val="000000"/>
          <w:szCs w:val="18"/>
        </w:rPr>
        <w:t>In general, the expression</w:t>
      </w:r>
      <w:r w:rsidR="0037350D">
        <w:rPr>
          <w:rFonts w:eastAsia="Times New Roman" w:cs="Arial"/>
          <w:color w:val="000000"/>
          <w:szCs w:val="18"/>
        </w:rPr>
        <w:t>s</w:t>
      </w:r>
      <w:r w:rsidRPr="005D3A04">
        <w:rPr>
          <w:rFonts w:eastAsia="Times New Roman" w:cs="Arial"/>
          <w:color w:val="000000"/>
          <w:szCs w:val="18"/>
        </w:rPr>
        <w:t xml:space="preserve"> of three receptors on the tumour are routinely d</w:t>
      </w:r>
      <w:r>
        <w:rPr>
          <w:rFonts w:eastAsia="Times New Roman" w:cs="Arial"/>
          <w:color w:val="000000"/>
          <w:szCs w:val="18"/>
        </w:rPr>
        <w:t>etermined in clinical practice:</w:t>
      </w:r>
    </w:p>
    <w:p w14:paraId="3C68CA6B" w14:textId="43EDA275" w:rsidR="005D3A04" w:rsidRDefault="000F5F90" w:rsidP="00507545">
      <w:pPr>
        <w:pStyle w:val="ListParagraph"/>
        <w:numPr>
          <w:ilvl w:val="0"/>
          <w:numId w:val="24"/>
        </w:numPr>
        <w:rPr>
          <w:rFonts w:eastAsia="Times New Roman" w:cs="Arial"/>
          <w:color w:val="000000"/>
          <w:szCs w:val="18"/>
        </w:rPr>
      </w:pPr>
      <w:r>
        <w:rPr>
          <w:rFonts w:eastAsia="Times New Roman" w:cs="Arial"/>
          <w:color w:val="000000"/>
          <w:szCs w:val="18"/>
        </w:rPr>
        <w:t>Oe</w:t>
      </w:r>
      <w:r w:rsidR="005D3A04" w:rsidRPr="00507545">
        <w:rPr>
          <w:rFonts w:eastAsia="Times New Roman" w:cs="Arial"/>
          <w:color w:val="000000"/>
          <w:szCs w:val="18"/>
        </w:rPr>
        <w:t>strogen</w:t>
      </w:r>
      <w:r w:rsidR="00A97488">
        <w:rPr>
          <w:rFonts w:eastAsia="Times New Roman" w:cs="Arial"/>
          <w:color w:val="000000"/>
          <w:szCs w:val="18"/>
        </w:rPr>
        <w:t xml:space="preserve"> receptor</w:t>
      </w:r>
      <w:r w:rsidR="005D3A04" w:rsidRPr="00507545">
        <w:rPr>
          <w:rFonts w:eastAsia="Times New Roman" w:cs="Arial"/>
          <w:color w:val="000000"/>
          <w:szCs w:val="18"/>
        </w:rPr>
        <w:t xml:space="preserve"> (ER)</w:t>
      </w:r>
      <w:r w:rsidR="005D3A04">
        <w:rPr>
          <w:rFonts w:eastAsia="Times New Roman" w:cs="Arial"/>
          <w:color w:val="000000"/>
          <w:szCs w:val="18"/>
        </w:rPr>
        <w:t>;</w:t>
      </w:r>
    </w:p>
    <w:p w14:paraId="1B2A453D" w14:textId="75C8C7B9" w:rsidR="005D3A04" w:rsidRDefault="00A97488" w:rsidP="00507545">
      <w:pPr>
        <w:pStyle w:val="ListParagraph"/>
        <w:numPr>
          <w:ilvl w:val="0"/>
          <w:numId w:val="24"/>
        </w:numPr>
        <w:rPr>
          <w:rFonts w:eastAsia="Times New Roman" w:cs="Arial"/>
          <w:color w:val="000000"/>
          <w:szCs w:val="18"/>
        </w:rPr>
      </w:pPr>
      <w:r w:rsidRPr="00A97488">
        <w:rPr>
          <w:rFonts w:eastAsia="Times New Roman" w:cs="Arial"/>
          <w:color w:val="000000"/>
          <w:szCs w:val="18"/>
        </w:rPr>
        <w:t>P</w:t>
      </w:r>
      <w:r w:rsidR="005D3A04" w:rsidRPr="00507545">
        <w:rPr>
          <w:rFonts w:eastAsia="Times New Roman" w:cs="Arial"/>
          <w:color w:val="000000"/>
          <w:szCs w:val="18"/>
        </w:rPr>
        <w:t>rogesterone</w:t>
      </w:r>
      <w:r>
        <w:rPr>
          <w:rFonts w:eastAsia="Times New Roman" w:cs="Arial"/>
          <w:color w:val="000000"/>
          <w:szCs w:val="18"/>
        </w:rPr>
        <w:t xml:space="preserve"> receptor</w:t>
      </w:r>
      <w:r w:rsidR="005D3A04" w:rsidRPr="00507545">
        <w:rPr>
          <w:rFonts w:eastAsia="Times New Roman" w:cs="Arial"/>
          <w:color w:val="000000"/>
          <w:szCs w:val="18"/>
        </w:rPr>
        <w:t xml:space="preserve"> (PR)</w:t>
      </w:r>
      <w:r w:rsidR="005D3A04">
        <w:rPr>
          <w:rFonts w:eastAsia="Times New Roman" w:cs="Arial"/>
          <w:color w:val="000000"/>
          <w:szCs w:val="18"/>
        </w:rPr>
        <w:t>;</w:t>
      </w:r>
    </w:p>
    <w:p w14:paraId="24A8076C" w14:textId="250FDE16" w:rsidR="005D3A04" w:rsidRPr="00507545" w:rsidRDefault="005D3A04" w:rsidP="00507545">
      <w:pPr>
        <w:pStyle w:val="ListParagraph"/>
        <w:numPr>
          <w:ilvl w:val="0"/>
          <w:numId w:val="24"/>
        </w:numPr>
        <w:rPr>
          <w:rFonts w:eastAsia="Times New Roman" w:cs="Arial"/>
          <w:color w:val="000000"/>
          <w:szCs w:val="18"/>
        </w:rPr>
      </w:pPr>
      <w:r w:rsidRPr="005D3A04">
        <w:rPr>
          <w:rFonts w:eastAsia="Times New Roman" w:cs="Arial"/>
          <w:color w:val="000000"/>
          <w:szCs w:val="18"/>
        </w:rPr>
        <w:t>HER2</w:t>
      </w:r>
      <w:r>
        <w:rPr>
          <w:rFonts w:eastAsia="Times New Roman" w:cs="Arial"/>
          <w:color w:val="000000"/>
          <w:szCs w:val="18"/>
        </w:rPr>
        <w:t>.</w:t>
      </w:r>
    </w:p>
    <w:p w14:paraId="0F6B6820" w14:textId="46BE0709" w:rsidR="001079B3" w:rsidRDefault="00421A88" w:rsidP="00436F36">
      <w:r>
        <w:t xml:space="preserve">Only patients with metastatic </w:t>
      </w:r>
      <w:r w:rsidR="000774F8">
        <w:t>HER2-negative</w:t>
      </w:r>
      <w:r>
        <w:t xml:space="preserve"> breast cancer are relevant to this application.</w:t>
      </w:r>
    </w:p>
    <w:p w14:paraId="39D5CBBD" w14:textId="2686600E" w:rsidR="00BC27E2" w:rsidRDefault="00BC27E2" w:rsidP="003F654A">
      <w:pPr>
        <w:keepNext/>
      </w:pPr>
      <w:r>
        <w:lastRenderedPageBreak/>
        <w:t>There are two clinical subgroups of p</w:t>
      </w:r>
      <w:r w:rsidR="005247C1">
        <w:t>atients with metastatic HER2-negative breast cancer</w:t>
      </w:r>
      <w:r>
        <w:t>:</w:t>
      </w:r>
    </w:p>
    <w:p w14:paraId="7DC9F1D1" w14:textId="43AEBEC0" w:rsidR="00421A88" w:rsidRDefault="00BC27E2" w:rsidP="003F654A">
      <w:pPr>
        <w:pStyle w:val="ListParagraph"/>
        <w:numPr>
          <w:ilvl w:val="0"/>
          <w:numId w:val="25"/>
        </w:numPr>
      </w:pPr>
      <w:r>
        <w:t>Hormone receptor positive, i.e. ER+ and/or PR+; and</w:t>
      </w:r>
    </w:p>
    <w:p w14:paraId="490ED3E7" w14:textId="279C0725" w:rsidR="005D3A04" w:rsidRDefault="00233718" w:rsidP="003F654A">
      <w:pPr>
        <w:pStyle w:val="ListParagraph"/>
        <w:numPr>
          <w:ilvl w:val="0"/>
          <w:numId w:val="25"/>
        </w:numPr>
      </w:pPr>
      <w:r>
        <w:t>Hormone receptor negative</w:t>
      </w:r>
      <w:r w:rsidR="00A97488">
        <w:t xml:space="preserve"> (</w:t>
      </w:r>
      <w:r>
        <w:t>t</w:t>
      </w:r>
      <w:r w:rsidR="00BC27E2">
        <w:t>riple negative</w:t>
      </w:r>
      <w:r w:rsidR="00A97488">
        <w:t>)</w:t>
      </w:r>
      <w:r w:rsidR="00BC27E2">
        <w:t xml:space="preserve"> (i.e. </w:t>
      </w:r>
      <w:r w:rsidR="009760D2">
        <w:t>negative</w:t>
      </w:r>
      <w:r w:rsidR="00BC27E2">
        <w:t xml:space="preserve"> for ER, PR and HER2).</w:t>
      </w:r>
    </w:p>
    <w:p w14:paraId="347D5ABB" w14:textId="47647798" w:rsidR="0081772D" w:rsidRPr="0081772D" w:rsidRDefault="0081772D" w:rsidP="0073631F">
      <w:pPr>
        <w:rPr>
          <w:b/>
        </w:rPr>
      </w:pPr>
      <w:r>
        <w:t xml:space="preserve">The majority of breast cancers are HER2-negative/hormone receptor positive (63%) based on histological subtypes; whereas approximately 15% are triple negative </w:t>
      </w:r>
      <w:r>
        <w:fldChar w:fldCharType="begin"/>
      </w:r>
      <w:r w:rsidR="0073631F">
        <w:instrText xml:space="preserve"> ADDIN EN.CITE &lt;EndNote&gt;&lt;Cite&gt;&lt;Author&gt;Howlader&lt;/Author&gt;&lt;Year&gt;2014&lt;/Year&gt;&lt;RecNum&gt;17&lt;/RecNum&gt;&lt;DisplayText&gt;[6]&lt;/DisplayText&gt;&lt;record&gt;&lt;rec-number&gt;17&lt;/rec-number&gt;&lt;foreign-keys&gt;&lt;key app="EN" db-id="aadaavff2002s7efdx25t0d9f9awrd0v0vxv" timestamp="1509407085"&gt;17&lt;/key&gt;&lt;/foreign-keys&gt;&lt;ref-type name="Journal Article"&gt;17&lt;/ref-type&gt;&lt;contributors&gt;&lt;authors&gt;&lt;author&gt;Howlader, Nadia&lt;/author&gt;&lt;author&gt;Altekruse, Sean F.&lt;/author&gt;&lt;author&gt;Li, Christopher I.&lt;/author&gt;&lt;author&gt;Chen, Vivien W.&lt;/author&gt;&lt;author&gt;Clarke, Christina A.&lt;/author&gt;&lt;author&gt;Ries, Lynn A. G.&lt;/author&gt;&lt;author&gt;Cronin, Kathleen A.&lt;/author&gt;&lt;/authors&gt;&lt;/contributors&gt;&lt;titles&gt;&lt;title&gt;US Incidence of Breast Cancer Subtypes Defined by Joint Hormone Receptor and HER2 Status&lt;/title&gt;&lt;secondary-title&gt;JNCI: Journal of the National Cancer Institute&lt;/secondary-title&gt;&lt;/titles&gt;&lt;periodical&gt;&lt;full-title&gt;JNCI: Journal of the National Cancer Institute&lt;/full-title&gt;&lt;/periodical&gt;&lt;pages&gt;dju055-dju055&lt;/pages&gt;&lt;volume&gt;106&lt;/volume&gt;&lt;number&gt;5&lt;/number&gt;&lt;dates&gt;&lt;year&gt;2014&lt;/year&gt;&lt;/dates&gt;&lt;isbn&gt;0027-8874&lt;/isbn&gt;&lt;urls&gt;&lt;related-urls&gt;&lt;url&gt;http://dx.doi.org/10.1093/jnci/dju055&lt;/url&gt;&lt;url&gt;https://www.ncbi.nlm.nih.gov/pmc/articles/PMC4580552/pdf/dju055.pdf&lt;/url&gt;&lt;/related-urls&gt;&lt;/urls&gt;&lt;electronic-resource-num&gt;10.1093/jnci/dju055&lt;/electronic-resource-num&gt;&lt;/record&gt;&lt;/Cite&gt;&lt;/EndNote&gt;</w:instrText>
      </w:r>
      <w:r>
        <w:fldChar w:fldCharType="separate"/>
      </w:r>
      <w:r w:rsidR="0073631F">
        <w:rPr>
          <w:noProof/>
        </w:rPr>
        <w:t>[6]</w:t>
      </w:r>
      <w:r>
        <w:fldChar w:fldCharType="end"/>
      </w:r>
      <w:r>
        <w:t xml:space="preserve">. Of note, triple negative breast cancer has been associated with more aggressive disease and worse survival outcomes compared with non-triple negative breast cancer </w:t>
      </w:r>
      <w:r>
        <w:fldChar w:fldCharType="begin"/>
      </w:r>
      <w:r w:rsidR="0073631F">
        <w:instrText xml:space="preserve"> ADDIN EN.CITE &lt;EndNote&gt;&lt;Cite&gt;&lt;Author&gt;Foulkes &lt;/Author&gt;&lt;Year&gt;2010&lt;/Year&gt;&lt;RecNum&gt;18&lt;/RecNum&gt;&lt;DisplayText&gt;[7]&lt;/DisplayText&gt;&lt;record&gt;&lt;rec-number&gt;18&lt;/rec-number&gt;&lt;foreign-keys&gt;&lt;key app="EN" db-id="aadaavff2002s7efdx25t0d9f9awrd0v0vxv" timestamp="1509414875"&gt;18&lt;/key&gt;&lt;/foreign-keys&gt;&lt;ref-type name="Journal Article"&gt;17&lt;/ref-type&gt;&lt;contributors&gt;&lt;authors&gt;&lt;author&gt;Foulkes , William D.&lt;/author&gt;&lt;author&gt;Smith , Ian E.&lt;/author&gt;&lt;author&gt;Reis-Filho , Jorge S.&lt;/author&gt;&lt;/authors&gt;&lt;/contributors&gt;&lt;titles&gt;&lt;title&gt;Triple-Negative Breast Cancer&lt;/title&gt;&lt;secondary-title&gt;New England Journal of Medicine&lt;/secondary-title&gt;&lt;/titles&gt;&lt;periodical&gt;&lt;full-title&gt;New England Journal of Medicine&lt;/full-title&gt;&lt;/periodical&gt;&lt;pages&gt;1938-1948&lt;/pages&gt;&lt;volume&gt;363&lt;/volume&gt;&lt;number&gt;20&lt;/number&gt;&lt;dates&gt;&lt;year&gt;2010&lt;/year&gt;&lt;/dates&gt;&lt;accession-num&gt;21067385&lt;/accession-num&gt;&lt;urls&gt;&lt;related-urls&gt;&lt;url&gt;http://www.nejm.org/doi/full/10.1056/NEJMra1001389&lt;/url&gt;&lt;/related-urls&gt;&lt;/urls&gt;&lt;electronic-resource-num&gt;10.1056/NEJMra1001389&lt;/electronic-resource-num&gt;&lt;/record&gt;&lt;/Cite&gt;&lt;/EndNote&gt;</w:instrText>
      </w:r>
      <w:r>
        <w:fldChar w:fldCharType="separate"/>
      </w:r>
      <w:r w:rsidR="0073631F">
        <w:rPr>
          <w:noProof/>
        </w:rPr>
        <w:t>[7]</w:t>
      </w:r>
      <w:r>
        <w:fldChar w:fldCharType="end"/>
      </w:r>
      <w:r>
        <w:t xml:space="preserve">. Therefore, patients with metastatic </w:t>
      </w:r>
      <w:r w:rsidR="00F70BA1">
        <w:t>HER2 </w:t>
      </w:r>
      <w:r>
        <w:t>negative breast cancer have the largest unmet clinical need.</w:t>
      </w:r>
    </w:p>
    <w:p w14:paraId="17B185F4" w14:textId="0B477750" w:rsidR="00BC27E2" w:rsidRDefault="00BC27E2" w:rsidP="003F654A">
      <w:r>
        <w:t>Treatments for metastatic</w:t>
      </w:r>
      <w:r w:rsidR="00300B72">
        <w:t xml:space="preserve"> </w:t>
      </w:r>
      <w:r w:rsidR="000774F8">
        <w:t>HER2-</w:t>
      </w:r>
      <w:r w:rsidR="000774F8" w:rsidRPr="00B26F68">
        <w:t>negative</w:t>
      </w:r>
      <w:r w:rsidRPr="00B26F68">
        <w:t xml:space="preserve"> breast cancer are complex and </w:t>
      </w:r>
      <w:r w:rsidR="00A97488" w:rsidRPr="00B26F68">
        <w:t xml:space="preserve">typically </w:t>
      </w:r>
      <w:r w:rsidRPr="00B26F68">
        <w:t xml:space="preserve">based upon </w:t>
      </w:r>
      <w:r w:rsidR="008E04ED" w:rsidRPr="00B26F68">
        <w:t>these</w:t>
      </w:r>
      <w:r w:rsidRPr="00B26F68">
        <w:t xml:space="preserve"> clinical </w:t>
      </w:r>
      <w:r w:rsidR="00B26F68" w:rsidRPr="00B26F68">
        <w:t>groups.</w:t>
      </w:r>
      <w:r w:rsidRPr="00B26F68">
        <w:t xml:space="preserve"> Briefly, patients with metastatic </w:t>
      </w:r>
      <w:r w:rsidR="000774F8" w:rsidRPr="00B26F68">
        <w:t>HER2-negative</w:t>
      </w:r>
      <w:r w:rsidR="00B26F68">
        <w:t>/</w:t>
      </w:r>
      <w:r w:rsidR="00FA2195" w:rsidRPr="00B26F68">
        <w:t>hormone receptor positive</w:t>
      </w:r>
      <w:r w:rsidRPr="00B26F68">
        <w:t xml:space="preserve"> breast cancer</w:t>
      </w:r>
      <w:r w:rsidR="006B761E" w:rsidRPr="00B26F68">
        <w:t xml:space="preserve"> </w:t>
      </w:r>
      <w:r w:rsidRPr="00B26F68">
        <w:t>are</w:t>
      </w:r>
      <w:r w:rsidR="006B761E" w:rsidRPr="00B26F68">
        <w:t xml:space="preserve"> initially</w:t>
      </w:r>
      <w:r w:rsidRPr="00B26F68">
        <w:t xml:space="preserve"> recommended to be treated with endocrine t</w:t>
      </w:r>
      <w:r w:rsidR="001079B3" w:rsidRPr="00B26F68">
        <w:t>herapy</w:t>
      </w:r>
      <w:r w:rsidR="00B26F68" w:rsidRPr="00B26F68">
        <w:t>.</w:t>
      </w:r>
      <w:r w:rsidR="001079B3" w:rsidRPr="00B26F68">
        <w:t xml:space="preserve"> </w:t>
      </w:r>
      <w:r w:rsidR="008B2270" w:rsidRPr="00B26F68">
        <w:t xml:space="preserve">Patients with metastatic </w:t>
      </w:r>
      <w:r w:rsidR="000774F8" w:rsidRPr="00B26F68">
        <w:t>HER2-negative</w:t>
      </w:r>
      <w:r w:rsidR="008B2270" w:rsidRPr="00B26F68">
        <w:t xml:space="preserve">/hormone receptor positive breast </w:t>
      </w:r>
      <w:r w:rsidR="00B26F68" w:rsidRPr="00B26F68">
        <w:t xml:space="preserve">cancer </w:t>
      </w:r>
      <w:r w:rsidR="008B2270" w:rsidRPr="00B26F68">
        <w:t>who</w:t>
      </w:r>
      <w:r w:rsidR="00BD2140" w:rsidRPr="00B26F68">
        <w:t xml:space="preserve"> progress and</w:t>
      </w:r>
      <w:r w:rsidR="008B2270" w:rsidRPr="00B26F68">
        <w:t xml:space="preserve"> become</w:t>
      </w:r>
      <w:r w:rsidR="001079B3" w:rsidRPr="00B26F68">
        <w:t xml:space="preserve"> endocrine refractory</w:t>
      </w:r>
      <w:r w:rsidR="008B2270" w:rsidRPr="00B26F68">
        <w:t xml:space="preserve"> and p</w:t>
      </w:r>
      <w:r w:rsidRPr="00B26F68">
        <w:t>atients with metastatic</w:t>
      </w:r>
      <w:r w:rsidR="00233718" w:rsidRPr="00B26F68">
        <w:t xml:space="preserve"> </w:t>
      </w:r>
      <w:r w:rsidR="008F42D1" w:rsidRPr="00B26F68">
        <w:t>triple negative breast cancer</w:t>
      </w:r>
      <w:r w:rsidRPr="00B26F68">
        <w:t xml:space="preserve"> are</w:t>
      </w:r>
      <w:r>
        <w:t xml:space="preserve"> </w:t>
      </w:r>
      <w:r w:rsidR="001079B3">
        <w:t>recommended to be</w:t>
      </w:r>
      <w:r>
        <w:t xml:space="preserve"> treated with </w:t>
      </w:r>
      <w:r w:rsidR="008B2270">
        <w:t xml:space="preserve">single-agent, sequential </w:t>
      </w:r>
      <w:r>
        <w:t>chemotherapy</w:t>
      </w:r>
      <w:r w:rsidR="00F70BA1">
        <w:t xml:space="preserve"> (refer to clinical management algorithm for further detail) </w:t>
      </w:r>
      <w:r w:rsidR="008B2270">
        <w:fldChar w:fldCharType="begin">
          <w:fldData xml:space="preserve">PEVuZE5vdGU+PENpdGU+PEF1dGhvcj5OYXRpb25hbCBDb21wcmVoZW5zaXZlIENhbmNlciBOZXR3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</w:fldData>
        </w:fldChar>
      </w:r>
      <w:r w:rsidR="0073631F">
        <w:instrText xml:space="preserve"> ADDIN EN.CITE </w:instrText>
      </w:r>
      <w:r w:rsidR="0073631F">
        <w:fldChar w:fldCharType="begin">
          <w:fldData xml:space="preserve">PEVuZE5vdGU+PENpdGU+PEF1dGhvcj5OYXRpb25hbCBDb21wcmVoZW5zaXZlIENhbmNlciBOZXR3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</w:fldData>
        </w:fldChar>
      </w:r>
      <w:r w:rsidR="0073631F">
        <w:instrText xml:space="preserve"> ADDIN EN.CITE.DATA </w:instrText>
      </w:r>
      <w:r w:rsidR="0073631F">
        <w:fldChar w:fldCharType="end"/>
      </w:r>
      <w:r w:rsidR="008B2270">
        <w:fldChar w:fldCharType="separate"/>
      </w:r>
      <w:r w:rsidR="0073631F">
        <w:rPr>
          <w:noProof/>
        </w:rPr>
        <w:t>[4, 8]</w:t>
      </w:r>
      <w:r w:rsidR="008B2270">
        <w:fldChar w:fldCharType="end"/>
      </w:r>
      <w:r w:rsidR="009760D2">
        <w:t xml:space="preserve">. </w:t>
      </w:r>
    </w:p>
    <w:p w14:paraId="76EBB42A" w14:textId="77777777" w:rsidR="00421A88" w:rsidRPr="0013345D" w:rsidRDefault="00421A88" w:rsidP="00421A88">
      <w:r w:rsidRPr="0013345D">
        <w:rPr>
          <w:u w:val="single"/>
        </w:rPr>
        <w:t>BRCA mutation in breast cancer</w:t>
      </w:r>
    </w:p>
    <w:p w14:paraId="351A28AF" w14:textId="428FD0FE" w:rsidR="00493AD7" w:rsidRDefault="00421A88" w:rsidP="00421A88">
      <w:r>
        <w:t xml:space="preserve">BRCA1 and BRCA2 are tumour suppressor genes located on chromosome 17q and 13q, respectively. The BRCA genes encode factors that inhibit cell cycle growth, </w:t>
      </w:r>
      <w:r w:rsidRPr="00901E29">
        <w:t>cell cycle control, gene transcriptio</w:t>
      </w:r>
      <w:r>
        <w:t>n regulation, deoxyribonucleic acid (DNA) damage repair and</w:t>
      </w:r>
      <w:r w:rsidRPr="00901E29">
        <w:t xml:space="preserve"> apoptosis</w:t>
      </w:r>
      <w:r>
        <w:t>. People with a germline mutation of a BRCA gene have a higher lifetime risk of cancer, particularly breast and ovarian cancer </w:t>
      </w:r>
      <w:r>
        <w:fldChar w:fldCharType="begin"/>
      </w:r>
      <w:r w:rsidR="005305AC">
        <w:instrText xml:space="preserve"> ADDIN EN.CITE &lt;EndNote&gt;&lt;Cite&gt;&lt;Author&gt;Zhu&lt;/Author&gt;&lt;Year&gt;2016&lt;/Year&gt;&lt;RecNum&gt;7&lt;/RecNum&gt;&lt;DisplayText&gt;[9]&lt;/DisplayText&gt;&lt;record&gt;&lt;rec-number&gt;7&lt;/rec-number&gt;&lt;foreign-keys&gt;&lt;key app="EN" db-id="aadaavff2002s7efdx25t0d9f9awrd0v0vxv" timestamp="1508736511"&gt;7&lt;/key&gt;&lt;/foreign-keys&gt;&lt;ref-type name="Journal Article"&gt;17&lt;/ref-type&gt;&lt;contributors&gt;&lt;authors&gt;&lt;author&gt;Zhu, Yaning&lt;/author&gt;&lt;author&gt;Wu, Jian&lt;/author&gt;&lt;author&gt;Zhang, Chengwan&lt;/author&gt;&lt;author&gt;Sun, Suan&lt;/author&gt;&lt;author&gt;Zhang, Jian&lt;/author&gt;&lt;author&gt;Liu, Wenjie&lt;/author&gt;&lt;author&gt;Huang, Jian&lt;/author&gt;&lt;author&gt;Zhang, Zhihong&lt;/author&gt;&lt;/authors&gt;&lt;/contributors&gt;&lt;titles&gt;&lt;title&gt;BRCA mutations and survival in breast cancer: an updated systematic review and meta-analysis&lt;/title&gt;&lt;secondary-title&gt;Oncotarget&lt;/secondary-title&gt;&lt;/titles&gt;&lt;periodical&gt;&lt;full-title&gt;Oncotarget&lt;/full-title&gt;&lt;/periodical&gt;&lt;pages&gt;70113-70127&lt;/pages&gt;&lt;volume&gt;7&lt;/volume&gt;&lt;number&gt;43&lt;/number&gt;&lt;dates&gt;&lt;year&gt;2016&lt;/year&gt;&lt;pub-dates&gt;&lt;date&gt;09/21&amp;#xD;03/15/received&amp;#xD;09/13/accepted&lt;/date&gt;&lt;/pub-dates&gt;&lt;/dates&gt;&lt;publisher&gt;Impact Journals LLC&lt;/publisher&gt;&lt;isbn&gt;1949-2553&lt;/isbn&gt;&lt;accession-num&gt;PMC5342539&lt;/accession-num&gt;&lt;urls&gt;&lt;related-urls&gt;&lt;url&gt;http://www.ncbi.nlm.nih.gov/pmc/articles/PMC5342539/&lt;/url&gt;&lt;url&gt;https://www.ncbi.nlm.nih.gov/pmc/articles/PMC5342539/pdf/oncotarget-07-70113.pdf&lt;/url&gt;&lt;/related-urls&gt;&lt;/urls&gt;&lt;electronic-resource-num&gt;10.18632/oncotarget.12158&lt;/electronic-resource-num&gt;&lt;remote-database-name&gt;PMC&lt;/remote-database-name&gt;&lt;/record&gt;&lt;/Cite&gt;&lt;/EndNote&gt;</w:instrText>
      </w:r>
      <w:r>
        <w:fldChar w:fldCharType="separate"/>
      </w:r>
      <w:r w:rsidR="005305AC">
        <w:rPr>
          <w:noProof/>
        </w:rPr>
        <w:t>[9]</w:t>
      </w:r>
      <w:r>
        <w:fldChar w:fldCharType="end"/>
      </w:r>
      <w:r>
        <w:t>. For women with a BRCA mutation, the average risk of</w:t>
      </w:r>
      <w:r w:rsidR="00A63A67">
        <w:t xml:space="preserve"> developing breast cancer by 70 </w:t>
      </w:r>
      <w:r>
        <w:t xml:space="preserve">years </w:t>
      </w:r>
      <w:r w:rsidR="00022EC2">
        <w:t xml:space="preserve">of </w:t>
      </w:r>
      <w:r>
        <w:t>age is 57-65% and 45-49% for BRCA1 and BRCA2 mutation carriers, respectively.</w:t>
      </w:r>
    </w:p>
    <w:p w14:paraId="4B6BB647" w14:textId="1F061DAF" w:rsidR="00421A88" w:rsidRDefault="00421A88" w:rsidP="00421A88">
      <w:r>
        <w:t xml:space="preserve">Patients with a BRCA1 mutation are predisposed to triple-negative breast cancer whereas BRCA2 mutation predispose patients to </w:t>
      </w:r>
      <w:r w:rsidR="00493AD7">
        <w:t>hormone receptor positive</w:t>
      </w:r>
      <w:r>
        <w:t xml:space="preserve"> (specifically (ER+) breast cancer</w:t>
      </w:r>
      <w:r w:rsidR="00022EC2">
        <w:t>)</w:t>
      </w:r>
      <w:r>
        <w:t xml:space="preserve"> </w:t>
      </w:r>
      <w:r>
        <w:fldChar w:fldCharType="begin"/>
      </w:r>
      <w:r w:rsidR="005305AC">
        <w:instrText xml:space="preserve"> ADDIN EN.CITE &lt;EndNote&gt;&lt;Cite&gt;&lt;Author&gt;Robson&lt;/Author&gt;&lt;Year&gt;2017&lt;/Year&gt;&lt;RecNum&gt;28&lt;/RecNum&gt;&lt;DisplayText&gt;[10]&lt;/DisplayText&gt;&lt;record&gt;&lt;rec-number&gt;28&lt;/rec-number&gt;&lt;foreign-keys&gt;&lt;key app="EN" db-id="aadaavff2002s7efdx25t0d9f9awrd0v0vxv" timestamp="1510094786"&gt;28&lt;/key&gt;&lt;/foreign-keys&gt;&lt;ref-type name="Journal Article"&gt;17&lt;/ref-type&gt;&lt;contributors&gt;&lt;authors&gt;&lt;author&gt;Robson, Mark&lt;/author&gt;&lt;author&gt;Im, Seock-Ah&lt;/author&gt;&lt;author&gt;Senkus, Elżbieta&lt;/author&gt;&lt;author&gt;Xu, Binghe&lt;/author&gt;&lt;author&gt;Domchek, Susan M.&lt;/author&gt;&lt;author&gt;Masuda, Norikazu&lt;/author&gt;&lt;author&gt;Delaloge, Suzette&lt;/author&gt;&lt;author&gt;Li, Wei&lt;/author&gt;&lt;author&gt;Tung, Nadine&lt;/author&gt;&lt;author&gt;Armstrong, Anne&lt;/author&gt;&lt;author&gt;Wu, Wenting&lt;/author&gt;&lt;author&gt;Goessl, Carsten&lt;/author&gt;&lt;author&gt;Runswick, Sarah&lt;/author&gt;&lt;author&gt;Conte, Pierfranco&lt;/author&gt;&lt;/authors&gt;&lt;/contributors&gt;&lt;titles&gt;&lt;title&gt;Olaparib for Metastatic Breast Cancer in Patients with a Germline BRCA Mutation&lt;/title&gt;&lt;secondary-title&gt;New England Journal of Medicine&lt;/secondary-title&gt;&lt;/titles&gt;&lt;periodical&gt;&lt;full-title&gt;New England Journal of Medicine&lt;/full-title&gt;&lt;/periodical&gt;&lt;pages&gt;523-533&lt;/pages&gt;&lt;volume&gt;377&lt;/volume&gt;&lt;number&gt;6&lt;/number&gt;&lt;dates&gt;&lt;year&gt;2017&lt;/year&gt;&lt;/dates&gt;&lt;accession-num&gt;28578601&lt;/accession-num&gt;&lt;urls&gt;&lt;related-urls&gt;&lt;url&gt;http://www.nejm.org/doi/full/10.1056/NEJMoa1706450&lt;/url&gt;&lt;/related-urls&gt;&lt;/urls&gt;&lt;electronic-resource-num&gt;10.1056/NEJMoa1706450&lt;/electronic-resource-num&gt;&lt;/record&gt;&lt;/Cite&gt;&lt;/EndNote&gt;</w:instrText>
      </w:r>
      <w:r>
        <w:fldChar w:fldCharType="separate"/>
      </w:r>
      <w:r w:rsidR="005305AC">
        <w:rPr>
          <w:noProof/>
        </w:rPr>
        <w:t>[10]</w:t>
      </w:r>
      <w:r>
        <w:fldChar w:fldCharType="end"/>
      </w:r>
      <w:r>
        <w:t xml:space="preserve">. The prevalence of germline BRCA mutations in patients with breast cancer (not selected for family history or age at onset) is low, ranging from less than 1% to 7% for BRCA1 and 1-3% for BRCA2 </w:t>
      </w:r>
      <w:r>
        <w:fldChar w:fldCharType="begin"/>
      </w:r>
      <w:r w:rsidR="005305AC">
        <w:instrText xml:space="preserve"> ADDIN EN.CITE &lt;EndNote&gt;&lt;Cite&gt;&lt;Author&gt;Balmaña&lt;/Author&gt;&lt;Year&gt;2011&lt;/Year&gt;&lt;RecNum&gt;8&lt;/RecNum&gt;&lt;DisplayText&gt;[11]&lt;/DisplayText&gt;&lt;record&gt;&lt;rec-number&gt;8&lt;/rec-number&gt;&lt;foreign-keys&gt;&lt;key app="EN" db-id="aadaavff2002s7efdx25t0d9f9awrd0v0vxv" timestamp="1508739888"&gt;8&lt;/key&gt;&lt;/foreign-keys&gt;&lt;ref-type name="Journal Article"&gt;17&lt;/ref-type&gt;&lt;contributors&gt;&lt;authors&gt;&lt;author&gt;Balmaña, J.&lt;/author&gt;&lt;author&gt;Díez, O.&lt;/author&gt;&lt;author&gt;Rubio, I. T.&lt;/author&gt;&lt;author&gt;Cardoso, F.&lt;/author&gt;&lt;/authors&gt;&lt;/contributors&gt;&lt;titles&gt;&lt;title&gt;BRCA in breast cancer: ESMO Clinical Practice Guidelines&lt;/title&gt;&lt;secondary-title&gt;Annals of Oncology&lt;/secondary-title&gt;&lt;/titles&gt;&lt;periodical&gt;&lt;full-title&gt;Annals of Oncology&lt;/full-title&gt;&lt;/periodical&gt;&lt;pages&gt;vi31-vi34&lt;/pages&gt;&lt;volume&gt;22&lt;/volume&gt;&lt;number&gt;suppl_6&lt;/number&gt;&lt;dates&gt;&lt;year&gt;2011&lt;/year&gt;&lt;/dates&gt;&lt;isbn&gt;0923-7534&lt;/isbn&gt;&lt;urls&gt;&lt;related-urls&gt;&lt;url&gt;http://dx.doi.org/10.1093/annonc/mdr373&lt;/url&gt;&lt;url&gt;https://oup.silverchair-cdn.com/oup/backfile/Content_public/Journal/annonc/22/suppl_6/10.1093/annonc/mdr373/2/mdr373.pdf?Expires=1508833510&amp;amp;Signature=SGRup39q143XbZu4sn03grlgiS-~NPclLwspoTJH58CjmHSseTw9Kut~1stgJqA4Ngb5bFre7D6IUKO6~ONQSJ1e9~M4JUTcJSMc5m7-Rgf~0OXM2j38wVcB-~Jnv5ltNtC1Z7Xue4CzBQGmoLislACO2MGkj~u9eL0GJOOkMoVLGZZxHyGg5c99gDeiuQVGzIpjsxGzqtAa1wm8Y5~6ld5IKZ0slhH1nCpJQfhKe0XJypsYRunBrO7mjusmeyFGG3tOMAjuv2N4wZqITssJVav7DTNFrk6VpSstXK5jlcBpbaEzztwu7il8rDrDDMa127xVMuCjiBZbHcqfpNMfwA__&amp;amp;Key-Pair-Id=APKAIUCZBIA4LVPAVW3Q&lt;/url&gt;&lt;/related-urls&gt;&lt;/urls&gt;&lt;electronic-resource-num&gt;10.1093/annonc/mdr373&lt;/electronic-resource-num&gt;&lt;/record&gt;&lt;/Cite&gt;&lt;/EndNote&gt;</w:instrText>
      </w:r>
      <w:r>
        <w:fldChar w:fldCharType="separate"/>
      </w:r>
      <w:r w:rsidR="005305AC">
        <w:rPr>
          <w:noProof/>
        </w:rPr>
        <w:t>[11]</w:t>
      </w:r>
      <w:r>
        <w:fldChar w:fldCharType="end"/>
      </w:r>
      <w:r>
        <w:t>.</w:t>
      </w:r>
    </w:p>
    <w:p w14:paraId="7E3CA7C4" w14:textId="40273F69" w:rsidR="00421A88" w:rsidRDefault="00421A88" w:rsidP="00421A88">
      <w:r>
        <w:t xml:space="preserve">Mutations of the BRCA1/2 genes can occur along the full length of the coding regions and intronic sequences flanking each exon. The majority of known pathogenic mutations of BRCA1/2 are frameshifts, large deletions, rearrangements, splice-site aberrations, or nonsense changes that result in a truncated or incomplete protein. The function effect of other alterations are not known </w:t>
      </w:r>
      <w:r>
        <w:fldChar w:fldCharType="begin"/>
      </w:r>
      <w:r w:rsidR="005305AC">
        <w:instrText xml:space="preserve"> ADDIN EN.CITE &lt;EndNote&gt;&lt;Cite&gt;&lt;Author&gt;Calistri&lt;/Author&gt;&lt;Year&gt;2012&lt;/Year&gt;&lt;RecNum&gt;24&lt;/RecNum&gt;&lt;DisplayText&gt;[12]&lt;/DisplayText&gt;&lt;record&gt;&lt;rec-number&gt;24&lt;/rec-number&gt;&lt;foreign-keys&gt;&lt;key app="EN" db-id="aadaavff2002s7efdx25t0d9f9awrd0v0vxv" timestamp="1510012368"&gt;24&lt;/key&gt;&lt;/foreign-keys&gt;&lt;ref-type name="Journal Article"&gt;17&lt;/ref-type&gt;&lt;contributors&gt;&lt;authors&gt;&lt;author&gt;Calistri, Daniele&lt;/author&gt;&lt;author&gt;Zampiga, Valentina&lt;/author&gt;&lt;author&gt;Zoli, Wainer&lt;/author&gt;&lt;/authors&gt;&lt;/contributors&gt;&lt;titles&gt;&lt;title&gt;Characterization of Molecular Alterations of BRCA1/2: Analysis and Interpretation Guidelines&lt;/title&gt;&lt;secondary-title&gt;Current Women&amp;apos;s Health Reviews&lt;/secondary-title&gt;&lt;/titles&gt;&lt;periodical&gt;&lt;full-title&gt;Current Women&amp;apos;s Health Reviews&lt;/full-title&gt;&lt;/periodical&gt;&lt;pages&gt;4-11&lt;/pages&gt;&lt;volume&gt;8&lt;/volume&gt;&lt;number&gt;1&lt;/number&gt;&lt;keywords&gt;&lt;keyword&gt;Allele-Specific Oligonucleotide Hybridisation&lt;/keyword&gt;&lt;keyword&gt;BRCA1&lt;/keyword&gt;&lt;keyword&gt;BRCA2&lt;/keyword&gt;&lt;keyword&gt;Breast Cancer Information Core&lt;/keyword&gt;&lt;keyword&gt;Protein Truncation Test&lt;/keyword&gt;&lt;keyword&gt;Sequence analysis&lt;/keyword&gt;&lt;keyword&gt;breast cancer&lt;/keyword&gt;&lt;keyword&gt;genetic variant&lt;/keyword&gt;&lt;keyword&gt;unclassified variant&lt;/keyword&gt;&lt;keyword&gt;web based database&lt;/keyword&gt;&lt;/keywords&gt;&lt;dates&gt;&lt;year&gt;2012&lt;/year&gt;&lt;pub-dates&gt;&lt;date&gt;//&lt;/date&gt;&lt;/pub-dates&gt;&lt;/dates&gt;&lt;urls&gt;&lt;related-urls&gt;&lt;url&gt;http://www.ingentaconnect.com/content/ben/cwhr/2012/00000008/00000001/art00003&lt;/url&gt;&lt;url&gt;https://doi.org/10.2174/157340412799079309&lt;/url&gt;&lt;url&gt;http://www.eurekaselect.com/89419/article&lt;/url&gt;&lt;/related-urls&gt;&lt;/urls&gt;&lt;electronic-resource-num&gt;10.2174/157340412799079309&lt;/electronic-resource-num&gt;&lt;/record&gt;&lt;/Cite&gt;&lt;/EndNote&gt;</w:instrText>
      </w:r>
      <w:r>
        <w:fldChar w:fldCharType="separate"/>
      </w:r>
      <w:r w:rsidR="005305AC">
        <w:rPr>
          <w:noProof/>
        </w:rPr>
        <w:t>[12]</w:t>
      </w:r>
      <w:r>
        <w:fldChar w:fldCharType="end"/>
      </w:r>
      <w:r>
        <w:t>.</w:t>
      </w:r>
    </w:p>
    <w:p w14:paraId="77FD1292" w14:textId="572419FF" w:rsidR="00421A88" w:rsidRDefault="00421A88" w:rsidP="00421A88">
      <w:r>
        <w:t xml:space="preserve">BRCA mutations are autosomal dominant, requiring only one mutated copy in the genome to be inherited </w:t>
      </w:r>
      <w:r>
        <w:fldChar w:fldCharType="begin"/>
      </w:r>
      <w:r w:rsidR="005305AC">
        <w:instrText xml:space="preserve"> ADDIN EN.CITE &lt;EndNote&gt;&lt;Cite&gt;&lt;Author&gt;Roy&lt;/Author&gt;&lt;Year&gt;2012&lt;/Year&gt;&lt;RecNum&gt;9&lt;/RecNum&gt;&lt;DisplayText&gt;[13]&lt;/DisplayText&gt;&lt;record&gt;&lt;rec-number&gt;9&lt;/rec-number&gt;&lt;foreign-keys&gt;&lt;key app="EN" db-id="aadaavff2002s7efdx25t0d9f9awrd0v0vxv" timestamp="1508742858"&gt;9&lt;/key&gt;&lt;/foreign-keys&gt;&lt;ref-type name="Journal Article"&gt;17&lt;/ref-type&gt;&lt;contributors&gt;&lt;authors&gt;&lt;author&gt;Roy, Rohini&lt;/author&gt;&lt;author&gt;Chun, Jarin&lt;/author&gt;&lt;author&gt;Powell, Simon N.&lt;/author&gt;&lt;/authors&gt;&lt;/contributors&gt;&lt;titles&gt;&lt;title&gt;BRCA1 and BRCA2: different roles in a common pathway of genome protection&lt;/title&gt;&lt;secondary-title&gt;Nature reviews. Cancer&lt;/secondary-title&gt;&lt;/titles&gt;&lt;periodical&gt;&lt;full-title&gt;Nature reviews. Cancer&lt;/full-title&gt;&lt;/periodical&gt;&lt;pages&gt;68-78&lt;/pages&gt;&lt;volume&gt;12&lt;/volume&gt;&lt;number&gt;1&lt;/number&gt;&lt;dates&gt;&lt;year&gt;2012&lt;/year&gt;&lt;pub-dates&gt;&lt;date&gt;12/23&lt;/date&gt;&lt;/pub-dates&gt;&lt;/dates&gt;&lt;isbn&gt;1474-175X&amp;#xD;1474-1768&lt;/isbn&gt;&lt;accession-num&gt;PMC4972490&lt;/accession-num&gt;&lt;urls&gt;&lt;related-urls&gt;&lt;url&gt;http://www.ncbi.nlm.nih.gov/pmc/articles/PMC4972490/&lt;/url&gt;&lt;url&gt;http://www.nature.com/articles/nrc3181&lt;/url&gt;&lt;/related-urls&gt;&lt;/urls&gt;&lt;electronic-resource-num&gt;10.1038/nrc3181&lt;/electronic-resource-num&gt;&lt;remote-database-name&gt;PMC&lt;/remote-database-name&gt;&lt;/record&gt;&lt;/Cite&gt;&lt;/EndNote&gt;</w:instrText>
      </w:r>
      <w:r>
        <w:fldChar w:fldCharType="separate"/>
      </w:r>
      <w:r w:rsidR="005305AC">
        <w:rPr>
          <w:noProof/>
        </w:rPr>
        <w:t>[13]</w:t>
      </w:r>
      <w:r>
        <w:fldChar w:fldCharType="end"/>
      </w:r>
      <w:r>
        <w:t>. A person carrying a BRCA mutation has a 50% chance of passing on the mutation to their biological children. BRCA mutations can be inherited from either the mother or father.</w:t>
      </w:r>
    </w:p>
    <w:p w14:paraId="21E8DD25" w14:textId="084D69B1" w:rsidR="0073631F" w:rsidRDefault="00421A88" w:rsidP="00436F36">
      <w:r>
        <w:t xml:space="preserve">In normal cells, BRCA protein are involved in repairing DNA double-strand breaks by </w:t>
      </w:r>
      <w:r w:rsidRPr="003039C1">
        <w:t>homologous recombination repair</w:t>
      </w:r>
      <w:r>
        <w:t>. In cells with BRCA mutations, homologous recombination repair cannot be used</w:t>
      </w:r>
      <w:r w:rsidR="006F0AA4">
        <w:t>,</w:t>
      </w:r>
      <w:r>
        <w:t xml:space="preserve"> therefore other more error-prone pathways are used by the cells </w:t>
      </w:r>
      <w:r>
        <w:fldChar w:fldCharType="begin"/>
      </w:r>
      <w:r w:rsidR="005305AC">
        <w:instrText xml:space="preserve"> ADDIN EN.CITE &lt;EndNote&gt;&lt;Cite&gt;&lt;Author&gt;Roy&lt;/Author&gt;&lt;Year&gt;2012&lt;/Year&gt;&lt;RecNum&gt;9&lt;/RecNum&gt;&lt;DisplayText&gt;[13]&lt;/DisplayText&gt;&lt;record&gt;&lt;rec-number&gt;9&lt;/rec-number&gt;&lt;foreign-keys&gt;&lt;key app="EN" db-id="aadaavff2002s7efdx25t0d9f9awrd0v0vxv" timestamp="1508742858"&gt;9&lt;/key&gt;&lt;/foreign-keys&gt;&lt;ref-type name="Journal Article"&gt;17&lt;/ref-type&gt;&lt;contributors&gt;&lt;authors&gt;&lt;author&gt;Roy, Rohini&lt;/author&gt;&lt;author&gt;Chun, Jarin&lt;/author&gt;&lt;author&gt;Powell, Simon N.&lt;/author&gt;&lt;/authors&gt;&lt;/contributors&gt;&lt;titles&gt;&lt;title&gt;BRCA1 and BRCA2: different roles in a common pathway of genome protection&lt;/title&gt;&lt;secondary-title&gt;Nature reviews. Cancer&lt;/secondary-title&gt;&lt;/titles&gt;&lt;periodical&gt;&lt;full-title&gt;Nature reviews. Cancer&lt;/full-title&gt;&lt;/periodical&gt;&lt;pages&gt;68-78&lt;/pages&gt;&lt;volume&gt;12&lt;/volume&gt;&lt;number&gt;1&lt;/number&gt;&lt;dates&gt;&lt;year&gt;2012&lt;/year&gt;&lt;pub-dates&gt;&lt;date&gt;12/23&lt;/date&gt;&lt;/pub-dates&gt;&lt;/dates&gt;&lt;isbn&gt;1474-175X&amp;#xD;1474-1768&lt;/isbn&gt;&lt;accession-num&gt;PMC4972490&lt;/accession-num&gt;&lt;urls&gt;&lt;related-urls&gt;&lt;url&gt;http://www.ncbi.nlm.nih.gov/pmc/articles/PMC4972490/&lt;/url&gt;&lt;url&gt;http://www.nature.com/articles/nrc3181&lt;/url&gt;&lt;/related-urls&gt;&lt;/urls&gt;&lt;electronic-resource-num&gt;10.1038/nrc3181&lt;/electronic-resource-num&gt;&lt;remote-database-name&gt;PMC&lt;/remote-database-name&gt;&lt;/record&gt;&lt;/Cite&gt;&lt;/EndNote&gt;</w:instrText>
      </w:r>
      <w:r>
        <w:fldChar w:fldCharType="separate"/>
      </w:r>
      <w:r w:rsidR="005305AC">
        <w:rPr>
          <w:noProof/>
        </w:rPr>
        <w:t>[13]</w:t>
      </w:r>
      <w:r>
        <w:fldChar w:fldCharType="end"/>
      </w:r>
      <w:r>
        <w:t xml:space="preserve">. </w:t>
      </w:r>
    </w:p>
    <w:p w14:paraId="04B917B7" w14:textId="236E25E8" w:rsidR="0073631F" w:rsidRDefault="0073631F" w:rsidP="0073631F">
      <w:r w:rsidRPr="00B34BD3">
        <w:lastRenderedPageBreak/>
        <w:t>Poly(ADP</w:t>
      </w:r>
      <w:r>
        <w:noBreakHyphen/>
      </w:r>
      <w:r w:rsidRPr="00B34BD3">
        <w:t>ribose) polymerases (PARPs)</w:t>
      </w:r>
      <w:r>
        <w:t xml:space="preserve"> are a family of proteins that </w:t>
      </w:r>
      <w:r w:rsidRPr="00B34BD3">
        <w:t>repair single-strand DNA breaks.</w:t>
      </w:r>
      <w:r>
        <w:t xml:space="preserve"> When this action is inhibited using a PARP inhibitor such as olaparib, PARP-1 and PARP-2 are unable to dissociate from the DNA, blocking the repair of </w:t>
      </w:r>
      <w:r w:rsidRPr="007277E3">
        <w:t>the single-strand break.</w:t>
      </w:r>
      <w:r>
        <w:t xml:space="preserve"> Unrepaired single-strand breaks stall replication forks and degrade into cytotoxic double stand-DNA breaks. Cells </w:t>
      </w:r>
      <w:r w:rsidR="000A0F94">
        <w:t>with a BRCA mutation</w:t>
      </w:r>
      <w:r w:rsidR="00F74AA0">
        <w:t xml:space="preserve"> cannot</w:t>
      </w:r>
      <w:r>
        <w:t xml:space="preserve"> repair these double-strand DNA breaks using </w:t>
      </w:r>
      <w:r w:rsidRPr="00A012B9">
        <w:t>homologous recombination</w:t>
      </w:r>
      <w:r>
        <w:t>. This results in errors, genomic instability that result</w:t>
      </w:r>
      <w:r w:rsidR="000A0F94">
        <w:t>s</w:t>
      </w:r>
      <w:r>
        <w:t xml:space="preserve"> in cancer cell death. BRCA mutated cells include cells with germline and somatic BRCA mutations </w:t>
      </w:r>
      <w:r>
        <w:fldChar w:fldCharType="begin"/>
      </w:r>
      <w:r>
        <w:instrText xml:space="preserve"> ADDIN EN.CITE &lt;EndNote&gt;&lt;Cite&gt;&lt;Author&gt;Dziadkowiec&lt;/Author&gt;&lt;Year&gt;2016&lt;/Year&gt;&lt;RecNum&gt;10&lt;/RecNum&gt;&lt;DisplayText&gt;[14]&lt;/DisplayText&gt;&lt;record&gt;&lt;rec-number&gt;10&lt;/rec-number&gt;&lt;foreign-keys&gt;&lt;key app="EN" db-id="aadaavff2002s7efdx25t0d9f9awrd0v0vxv" timestamp="1508745985"&gt;10&lt;/key&gt;&lt;/foreign-keys&gt;&lt;ref-type name="Journal Article"&gt;17&lt;/ref-type&gt;&lt;contributors&gt;&lt;authors&gt;&lt;author&gt;Dziadkowiec, Karolina N.&lt;/author&gt;&lt;author&gt;Gąsiorowska, Emilia&lt;/author&gt;&lt;author&gt;Nowak-Markwitz, Ewa&lt;/author&gt;&lt;author&gt;Jankowska, Anna&lt;/author&gt;&lt;/authors&gt;&lt;/contributors&gt;&lt;titles&gt;&lt;title&gt;PARP inhibitors: review of mechanisms of action and BRCA1/2 mutation targeting&lt;/title&gt;&lt;secondary-title&gt;Przegla̜d Menopauzalny = Menopause Review&lt;/secondary-title&gt;&lt;/titles&gt;&lt;periodical&gt;&lt;full-title&gt;Przegla̜d Menopauzalny = Menopause Review&lt;/full-title&gt;&lt;/periodical&gt;&lt;pages&gt;215-219&lt;/pages&gt;&lt;volume&gt;15&lt;/volume&gt;&lt;number&gt;4&lt;/number&gt;&lt;dates&gt;&lt;year&gt;2016&lt;/year&gt;&lt;pub-dates&gt;&lt;date&gt;02/08&amp;#xD;10/08/received&amp;#xD;12/28/accepted&lt;/date&gt;&lt;/pub-dates&gt;&lt;/dates&gt;&lt;publisher&gt;Termedia Publishing House&lt;/publisher&gt;&lt;isbn&gt;1643-8876&amp;#xD;2299-0038&lt;/isbn&gt;&lt;accession-num&gt;PMC5327624&lt;/accession-num&gt;&lt;urls&gt;&lt;related-urls&gt;&lt;url&gt;http://www.ncbi.nlm.nih.gov/pmc/articles/PMC5327624/&lt;/url&gt;&lt;url&gt;https://www.ncbi.nlm.nih.gov/pmc/articles/PMC5327624/pdf/MR-15-29355.pdf&lt;/url&gt;&lt;/related-urls&gt;&lt;/urls&gt;&lt;electronic-resource-num&gt;10.5114/pm.2016.65667&lt;/electronic-resource-num&gt;&lt;remote-database-name&gt;PMC&lt;/remote-database-name&gt;&lt;/record&gt;&lt;/Cite&gt;&lt;/EndNote&gt;</w:instrText>
      </w:r>
      <w:r>
        <w:fldChar w:fldCharType="separate"/>
      </w:r>
      <w:r>
        <w:rPr>
          <w:noProof/>
        </w:rPr>
        <w:t>[14]</w:t>
      </w:r>
      <w:r>
        <w:fldChar w:fldCharType="end"/>
      </w:r>
      <w:r>
        <w:t xml:space="preserve">. </w:t>
      </w:r>
    </w:p>
    <w:p w14:paraId="1DD387E0" w14:textId="03789847" w:rsidR="00436F36" w:rsidRPr="0013345D" w:rsidRDefault="00F079EE" w:rsidP="00436F36">
      <w:pPr>
        <w:rPr>
          <w:u w:val="single"/>
        </w:rPr>
      </w:pPr>
      <w:r>
        <w:rPr>
          <w:u w:val="single"/>
        </w:rPr>
        <w:t>C</w:t>
      </w:r>
      <w:r w:rsidR="0013345D" w:rsidRPr="0013345D">
        <w:rPr>
          <w:u w:val="single"/>
        </w:rPr>
        <w:t xml:space="preserve">linical </w:t>
      </w:r>
      <w:r w:rsidR="000F5F90">
        <w:rPr>
          <w:u w:val="single"/>
        </w:rPr>
        <w:t>guidelines</w:t>
      </w:r>
      <w:r>
        <w:rPr>
          <w:u w:val="single"/>
        </w:rPr>
        <w:t xml:space="preserve"> </w:t>
      </w:r>
      <w:r w:rsidR="003F654A">
        <w:rPr>
          <w:u w:val="single"/>
        </w:rPr>
        <w:t>for BRCA</w:t>
      </w:r>
      <w:r w:rsidR="0013345D" w:rsidRPr="0013345D">
        <w:rPr>
          <w:u w:val="single"/>
        </w:rPr>
        <w:t xml:space="preserve"> testing</w:t>
      </w:r>
    </w:p>
    <w:p w14:paraId="52672E4A" w14:textId="170E5A0A" w:rsidR="00436F36" w:rsidRDefault="00436F36" w:rsidP="00436F36">
      <w:r>
        <w:t xml:space="preserve">The </w:t>
      </w:r>
      <w:r w:rsidR="00F9010F">
        <w:t xml:space="preserve">applicant </w:t>
      </w:r>
      <w:r>
        <w:t xml:space="preserve">referenced the population recommended for BRCA mutation testing in the </w:t>
      </w:r>
      <w:r w:rsidRPr="00B851BF">
        <w:t>eviQ ‘Guidelines for genetic testing for heritable mutations in the BRCA1 and BRCA2 genes’</w:t>
      </w:r>
      <w:r>
        <w:t>. The eviQ guidelines recommended BRCA mutation testing in patients with a greater than 10% probability of carrying a mutation based on their personal or family history. This included patients with</w:t>
      </w:r>
      <w:r w:rsidR="00C25D0F">
        <w:t xml:space="preserve"> </w:t>
      </w:r>
      <w:r>
        <w:fldChar w:fldCharType="begin"/>
      </w:r>
      <w:r w:rsidR="005305AC">
        <w:instrText xml:space="preserve"> ADDIN EN.CITE &lt;EndNote&gt;&lt;Cite&gt;&lt;Author&gt;Cancer Institute of NSW&lt;/Author&gt;&lt;Year&gt;2010&lt;/Year&gt;&lt;RecNum&gt;26&lt;/RecNum&gt;&lt;DisplayText&gt;[15]&lt;/DisplayText&gt;&lt;record&gt;&lt;rec-number&gt;26&lt;/rec-number&gt;&lt;foreign-keys&gt;&lt;key app="EN" db-id="aadaavff2002s7efdx25t0d9f9awrd0v0vxv" timestamp="1510040101"&gt;26&lt;/key&gt;&lt;/foreign-keys&gt;&lt;ref-type name="Web Page"&gt;12&lt;/ref-type&gt;&lt;contributors&gt;&lt;authors&gt;&lt;author&gt;Cancer Institute of NSW,&lt;/author&gt;&lt;/authors&gt;&lt;/contributors&gt;&lt;titles&gt;&lt;title&gt;Genetic testing for heritable mutations in the BRCA1 and BRCA2 genes&lt;/title&gt;&lt;secondary-title&gt;eviQ Cancer Treatments Online&lt;/secondary-title&gt;&lt;/titles&gt;&lt;dates&gt;&lt;year&gt;2010&lt;/year&gt;&lt;/dates&gt;&lt;pub-location&gt;Sydney&lt;/pub-location&gt;&lt;urls&gt;&lt;related-urls&gt;&lt;url&gt;&lt;style face="underline" font="default" size="100%"&gt;https://www.eviq.org.au/cancer-genetics/genetic-testing-for-heritable-mutations/620-genetic-testing-for-heritable-mutations-in-the&lt;/style&gt;&lt;/url&gt;&lt;/related-urls&gt;&lt;/urls&gt;&lt;custom1&gt;2017&lt;/custom1&gt;&lt;custom2&gt;07 Nov&lt;/custom2&gt;&lt;/record&gt;&lt;/Cite&gt;&lt;/EndNote&gt;</w:instrText>
      </w:r>
      <w:r>
        <w:fldChar w:fldCharType="separate"/>
      </w:r>
      <w:r w:rsidR="005305AC">
        <w:rPr>
          <w:noProof/>
        </w:rPr>
        <w:t>[15]</w:t>
      </w:r>
      <w:r>
        <w:fldChar w:fldCharType="end"/>
      </w:r>
      <w:r>
        <w:t>:</w:t>
      </w:r>
    </w:p>
    <w:p w14:paraId="29789FEA" w14:textId="1F9CA2F3" w:rsidR="00167F9E" w:rsidRDefault="00167F9E" w:rsidP="00167F9E">
      <w:pPr>
        <w:pStyle w:val="ListParagraph"/>
        <w:numPr>
          <w:ilvl w:val="0"/>
          <w:numId w:val="12"/>
        </w:numPr>
      </w:pPr>
      <w:r>
        <w:t>a BRCA1/2 mutation probability of 10% or more based on a validated mutation prediction tool (such as BOADICEA, BRCAPRO</w:t>
      </w:r>
      <w:r w:rsidRPr="00167F9E">
        <w:t xml:space="preserve"> or Manchester score</w:t>
      </w:r>
      <w:r>
        <w:t>);</w:t>
      </w:r>
    </w:p>
    <w:p w14:paraId="5B679E1B" w14:textId="77777777" w:rsidR="00436F36" w:rsidRDefault="00436F36" w:rsidP="00436F36">
      <w:pPr>
        <w:pStyle w:val="ListParagraph"/>
        <w:numPr>
          <w:ilvl w:val="0"/>
          <w:numId w:val="12"/>
        </w:numPr>
      </w:pPr>
      <w:r>
        <w:t>breast cancer diagnosed before age 40 years;</w:t>
      </w:r>
    </w:p>
    <w:p w14:paraId="312947C1" w14:textId="1FC12F65" w:rsidR="00436F36" w:rsidRDefault="00436F36" w:rsidP="00436F36">
      <w:pPr>
        <w:pStyle w:val="ListParagraph"/>
        <w:numPr>
          <w:ilvl w:val="0"/>
          <w:numId w:val="12"/>
        </w:numPr>
      </w:pPr>
      <w:r>
        <w:t>triple-negative breast cancer</w:t>
      </w:r>
      <w:r w:rsidR="00167F9E">
        <w:t xml:space="preserve"> (</w:t>
      </w:r>
      <w:r w:rsidRPr="00140D73">
        <w:t>o</w:t>
      </w:r>
      <w:r w:rsidR="00167F9E">
        <w:t>estrogen, progesterone and HER2-</w:t>
      </w:r>
      <w:r w:rsidRPr="00140D73">
        <w:t>negative</w:t>
      </w:r>
      <w:r w:rsidR="00167F9E">
        <w:t>)</w:t>
      </w:r>
      <w:r>
        <w:t xml:space="preserve"> that is: </w:t>
      </w:r>
    </w:p>
    <w:p w14:paraId="17B277B4" w14:textId="77777777" w:rsidR="00436F36" w:rsidRDefault="00436F36" w:rsidP="00436F36">
      <w:pPr>
        <w:pStyle w:val="ListParagraph"/>
        <w:numPr>
          <w:ilvl w:val="1"/>
          <w:numId w:val="12"/>
        </w:numPr>
      </w:pPr>
      <w:r>
        <w:t>diagnosed before 50 years of age; or</w:t>
      </w:r>
    </w:p>
    <w:p w14:paraId="34A6FDE5" w14:textId="49D27252" w:rsidR="00436F36" w:rsidRDefault="00436F36" w:rsidP="00436F36">
      <w:pPr>
        <w:pStyle w:val="ListParagraph"/>
        <w:numPr>
          <w:ilvl w:val="1"/>
          <w:numId w:val="12"/>
        </w:numPr>
      </w:pPr>
      <w:r>
        <w:t xml:space="preserve">has a family history of </w:t>
      </w:r>
      <w:r w:rsidRPr="003B020B">
        <w:t xml:space="preserve">non-mucinous epithelial ovarian, fallopian tube or primary peritoneal cancer in a </w:t>
      </w:r>
      <w:r w:rsidR="00167F9E">
        <w:t>first or second degree</w:t>
      </w:r>
      <w:r w:rsidRPr="003B020B">
        <w:t xml:space="preserve"> relative</w:t>
      </w:r>
      <w:r>
        <w:t>;</w:t>
      </w:r>
    </w:p>
    <w:p w14:paraId="05671B4D" w14:textId="77777777" w:rsidR="00436F36" w:rsidRDefault="00436F36" w:rsidP="00436F36">
      <w:pPr>
        <w:pStyle w:val="ListParagraph"/>
        <w:numPr>
          <w:ilvl w:val="0"/>
          <w:numId w:val="12"/>
        </w:numPr>
      </w:pPr>
      <w:r w:rsidRPr="00140D73">
        <w:t>high-grade non-mucinous ovarian</w:t>
      </w:r>
      <w:r>
        <w:t xml:space="preserve"> </w:t>
      </w:r>
      <w:r w:rsidRPr="00140D73">
        <w:t>fallopian tube or primary peritoneal adenocarcinoma</w:t>
      </w:r>
      <w:r>
        <w:t>;</w:t>
      </w:r>
    </w:p>
    <w:p w14:paraId="5F8F1C08" w14:textId="3DA59547" w:rsidR="00436F36" w:rsidRDefault="00C25D0F" w:rsidP="00436F36">
      <w:pPr>
        <w:pStyle w:val="ListParagraph"/>
        <w:numPr>
          <w:ilvl w:val="0"/>
          <w:numId w:val="12"/>
        </w:numPr>
      </w:pPr>
      <w:r>
        <w:t xml:space="preserve">a </w:t>
      </w:r>
      <w:r w:rsidR="00436F36">
        <w:t xml:space="preserve">known BRCA mutation in a relative; </w:t>
      </w:r>
    </w:p>
    <w:p w14:paraId="10334E8D" w14:textId="578A46D7" w:rsidR="00436F36" w:rsidRDefault="00436F36" w:rsidP="00436F36">
      <w:pPr>
        <w:pStyle w:val="ListParagraph"/>
        <w:numPr>
          <w:ilvl w:val="0"/>
          <w:numId w:val="12"/>
        </w:numPr>
      </w:pPr>
      <w:r>
        <w:t>patients from a population where a common founder</w:t>
      </w:r>
      <w:r w:rsidR="007A1CD6">
        <w:t xml:space="preserve"> mutations exists</w:t>
      </w:r>
      <w:r>
        <w:t>; or</w:t>
      </w:r>
    </w:p>
    <w:p w14:paraId="1B59436D" w14:textId="2324E771" w:rsidR="00436F36" w:rsidRDefault="00C25D0F" w:rsidP="00436F36">
      <w:pPr>
        <w:pStyle w:val="ListParagraph"/>
        <w:numPr>
          <w:ilvl w:val="0"/>
          <w:numId w:val="12"/>
        </w:numPr>
      </w:pPr>
      <w:r>
        <w:t xml:space="preserve">a </w:t>
      </w:r>
      <w:r w:rsidR="00436F36">
        <w:t>somatic BRCA mutation detected on tumour testing.</w:t>
      </w:r>
    </w:p>
    <w:p w14:paraId="6ECC912D" w14:textId="4A6999A6" w:rsidR="007A1CD6" w:rsidRDefault="00E911AB" w:rsidP="00346D8F">
      <w:r>
        <w:t>Populations where common founder mutations exist include people with Ashenkazi Jewish ancestry</w:t>
      </w:r>
      <w:r w:rsidR="004519B8">
        <w:t> </w:t>
      </w:r>
      <w:r w:rsidR="005305AC">
        <w:fldChar w:fldCharType="begin"/>
      </w:r>
      <w:r w:rsidR="005305AC">
        <w:instrText xml:space="preserve"> ADDIN EN.CITE &lt;EndNote&gt;&lt;Cite&gt;&lt;Author&gt;Kurian&lt;/Author&gt;&lt;Year&gt;2010&lt;/Year&gt;&lt;RecNum&gt;2&lt;/RecNum&gt;&lt;DisplayText&gt;[16]&lt;/DisplayText&gt;&lt;record&gt;&lt;rec-number&gt;2&lt;/rec-number&gt;&lt;foreign-keys&gt;&lt;key app="EN" db-id="aadaavff2002s7efdx25t0d9f9awrd0v0vxv" timestamp="1508723623"&gt;2&lt;/key&gt;&lt;/foreign-keys&gt;&lt;ref-type name="Journal Article"&gt;17&lt;/ref-type&gt;&lt;contributors&gt;&lt;authors&gt;&lt;author&gt;Kurian, Allison W&lt;/author&gt;&lt;/authors&gt;&lt;/contributors&gt;&lt;titles&gt;&lt;title&gt;BRCA1 and BRCA2 mutations across race and ethnicity: distribution and clinical implications&lt;/title&gt;&lt;secondary-title&gt;Current Opinion in Obstetrics and Gynecology&lt;/secondary-title&gt;&lt;/titles&gt;&lt;periodical&gt;&lt;full-title&gt;Current Opinion in Obstetrics and Gynecology&lt;/full-title&gt;&lt;/periodical&gt;&lt;pages&gt;72-78&lt;/pages&gt;&lt;volume&gt;22&lt;/volume&gt;&lt;number&gt;1&lt;/number&gt;&lt;keywords&gt;&lt;keyword&gt;BRCA1&lt;/keyword&gt;&lt;keyword&gt;BRCA2&lt;/keyword&gt;&lt;keyword&gt;breast cancer&lt;/keyword&gt;&lt;keyword&gt;ethnicity&lt;/keyword&gt;&lt;keyword&gt;ovarian cancer&lt;/keyword&gt;&lt;keyword&gt;race&lt;/keyword&gt;&lt;/keywords&gt;&lt;dates&gt;&lt;year&gt;2010&lt;/year&gt;&lt;/dates&gt;&lt;isbn&gt;1040-872X&lt;/isbn&gt;&lt;accession-num&gt;00001703-201002000-00014&lt;/accession-num&gt;&lt;urls&gt;&lt;related-urls&gt;&lt;url&gt;http://journals.lww.com/co-obgyn/Fulltext/2010/02000/BRCA1_and_BRCA2_mutations_across_race_and.14.aspx&lt;/url&gt;&lt;url&gt;http://ovidsp.tx.ovid.com/ovftpdfs/FPDDNCLBMCGGDM00/fs047/ovft/live/gv024/00001703/00001703-201002000-00014.pdf&lt;/url&gt;&lt;/related-urls&gt;&lt;/urls&gt;&lt;electronic-resource-num&gt;10.1097/GCO.0b013e328332dca3&lt;/electronic-resource-num&gt;&lt;/record&gt;&lt;/Cite&gt;&lt;/EndNote&gt;</w:instrText>
      </w:r>
      <w:r w:rsidR="005305AC">
        <w:fldChar w:fldCharType="separate"/>
      </w:r>
      <w:r w:rsidR="005305AC">
        <w:rPr>
          <w:noProof/>
        </w:rPr>
        <w:t>[16]</w:t>
      </w:r>
      <w:r w:rsidR="005305AC">
        <w:fldChar w:fldCharType="end"/>
      </w:r>
      <w:r>
        <w:t xml:space="preserve">. </w:t>
      </w:r>
    </w:p>
    <w:p w14:paraId="56D75288" w14:textId="7A9FD159" w:rsidR="00E7330B" w:rsidRPr="006910EA" w:rsidRDefault="00E7330B" w:rsidP="00E7330B">
      <w:pPr>
        <w:rPr>
          <w:i/>
          <w:u w:val="single"/>
        </w:rPr>
      </w:pPr>
      <w:r w:rsidRPr="006910EA">
        <w:rPr>
          <w:i/>
          <w:u w:val="single"/>
        </w:rPr>
        <w:t>Estimates for the size of the testing population</w:t>
      </w:r>
    </w:p>
    <w:p w14:paraId="6E0B1202" w14:textId="696DA355" w:rsidR="00387E1E" w:rsidRDefault="00387E1E" w:rsidP="00387E1E">
      <w:r>
        <w:t>The estimated incidence of breast cancer is based on the Australian Institute of Health and Welfare (AIHW) projected figures for 2019</w:t>
      </w:r>
      <w:r w:rsidR="00A16E01">
        <w:t xml:space="preserve"> </w:t>
      </w:r>
      <w:r>
        <w:fldChar w:fldCharType="begin"/>
      </w:r>
      <w:r w:rsidR="004D6DD9">
        <w:instrText xml:space="preserve"> ADDIN EN.CITE &lt;EndNote&gt;&lt;Cite&gt;&lt;Author&gt;Australian Institute of Health and Welfare&lt;/Author&gt;&lt;Year&gt;2012&lt;/Year&gt;&lt;RecNum&gt;5&lt;/RecNum&gt;&lt;DisplayText&gt;[17]&lt;/DisplayText&gt;&lt;record&gt;&lt;rec-number&gt;5&lt;/rec-number&gt;&lt;foreign-keys&gt;&lt;key app="EN" db-id="aadaavff2002s7efdx25t0d9f9awrd0v0vxv" timestamp="1508734993"&gt;5&lt;/key&gt;&lt;/foreign-keys&gt;&lt;ref-type name="Government Document"&gt;46&lt;/ref-type&gt;&lt;contributors&gt;&lt;authors&gt;&lt;author&gt;Australian Institute of Health and Welfare,&lt;/author&gt;&lt;/authors&gt;&lt;/contributors&gt;&lt;titles&gt;&lt;title&gt;Cancer incidence projections: Australia, 2011 to 2020&lt;/title&gt;&lt;/titles&gt;&lt;volume&gt;Cancer Series no. 66. Cat. No. CAN 62.&lt;/volume&gt;&lt;dates&gt;&lt;year&gt;2012&lt;/year&gt;&lt;/dates&gt;&lt;pub-location&gt;Canberra&lt;/pub-location&gt;&lt;publisher&gt;AIHW&lt;/publisher&gt;&lt;urls&gt;&lt;related-urls&gt;&lt;url&gt;&lt;style face="underline" font="default" size="100%"&gt;https://www.aihw.gov.au/reports/cancer/cancer-incidence-projections-australia-2011-to-20/contents/table-of-contents&lt;/style&gt;&lt;/url&gt;&lt;/related-urls&gt;&lt;/urls&gt;&lt;access-date&gt;23 October 2017&lt;/access-date&gt;&lt;/record&gt;&lt;/Cite&gt;&lt;/EndNote&gt;</w:instrText>
      </w:r>
      <w:r>
        <w:fldChar w:fldCharType="separate"/>
      </w:r>
      <w:r w:rsidR="004D6DD9">
        <w:rPr>
          <w:noProof/>
        </w:rPr>
        <w:t>[17]</w:t>
      </w:r>
      <w:r>
        <w:fldChar w:fldCharType="end"/>
      </w:r>
      <w:r>
        <w:t xml:space="preserve">. Of these, the proportion of patients diagnosed with metastatic breast cancer was estimated at 7.1% based on Cancer Institute New South Wales (NSW) data </w:t>
      </w:r>
      <w:r>
        <w:fldChar w:fldCharType="begin"/>
      </w:r>
      <w:r w:rsidR="004D6DD9">
        <w:instrText xml:space="preserve"> ADDIN EN.CITE &lt;EndNote&gt;&lt;Cite&gt;&lt;Author&gt;Cancer Institute NSW&lt;/Author&gt;&lt;Year&gt;2016&lt;/Year&gt;&lt;RecNum&gt;19&lt;/RecNum&gt;&lt;DisplayText&gt;[18]&lt;/DisplayText&gt;&lt;record&gt;&lt;rec-number&gt;19&lt;/rec-number&gt;&lt;foreign-keys&gt;&lt;key app="EN" db-id="aadaavff2002s7efdx25t0d9f9awrd0v0vxv" timestamp="1509427305"&gt;19&lt;/key&gt;&lt;/foreign-keys&gt;&lt;ref-type name="Web Page"&gt;12&lt;/ref-type&gt;&lt;contributors&gt;&lt;authors&gt;&lt;author&gt;Cancer Institute NSW,&lt;/author&gt;&lt;/authors&gt;&lt;/contributors&gt;&lt;titles&gt;&lt;title&gt;Cancer in NSW: Online Statistics Module 2012&lt;/title&gt;&lt;/titles&gt;&lt;volume&gt;2017&lt;/volume&gt;&lt;number&gt;31 October&lt;/number&gt;&lt;dates&gt;&lt;year&gt;2016&lt;/year&gt;&lt;/dates&gt;&lt;pub-location&gt;Sydney&lt;/pub-location&gt;&lt;publisher&gt;Cancer Institute NSW&lt;/publisher&gt;&lt;urls&gt;&lt;related-urls&gt;&lt;url&gt;&lt;style face="underline" font="default" size="100%"&gt;http://www.statistics.cancerinstitute.org.au&lt;/style&gt;&lt;/url&gt;&lt;/related-urls&gt;&lt;/urls&gt;&lt;/record&gt;&lt;/Cite&gt;&lt;/EndNote&gt;</w:instrText>
      </w:r>
      <w:r>
        <w:fldChar w:fldCharType="separate"/>
      </w:r>
      <w:r w:rsidR="004D6DD9">
        <w:rPr>
          <w:noProof/>
        </w:rPr>
        <w:t>[18]</w:t>
      </w:r>
      <w:r>
        <w:fldChar w:fldCharType="end"/>
      </w:r>
      <w:r>
        <w:t xml:space="preserve">. In addition, it was estimated that ~2% of patients with earlier stage disease would progress to metastatic disease (Lord </w:t>
      </w:r>
      <w:r w:rsidRPr="00A963A8">
        <w:rPr>
          <w:rFonts w:asciiTheme="minorHAnsi" w:hAnsiTheme="minorHAnsi"/>
          <w:i/>
        </w:rPr>
        <w:t>et al</w:t>
      </w:r>
      <w:r>
        <w:t xml:space="preserve"> 2012; </w:t>
      </w:r>
      <w:r>
        <w:fldChar w:fldCharType="begin"/>
      </w:r>
      <w:r w:rsidR="004D6DD9">
        <w:instrText xml:space="preserve"> ADDIN EN.CITE &lt;EndNote&gt;&lt;Cite&gt;&lt;Author&gt;Lord&lt;/Author&gt;&lt;Year&gt;2012&lt;/Year&gt;&lt;RecNum&gt;20&lt;/RecNum&gt;&lt;DisplayText&gt;[19]&lt;/DisplayText&gt;&lt;record&gt;&lt;rec-number&gt;20&lt;/rec-number&gt;&lt;foreign-keys&gt;&lt;key app="EN" db-id="aadaavff2002s7efdx25t0d9f9awrd0v0vxv" timestamp="1509519393"&gt;20&lt;/key&gt;&lt;/foreign-keys&gt;&lt;ref-type name="Journal Article"&gt;17&lt;/ref-type&gt;&lt;contributors&gt;&lt;authors&gt;&lt;author&gt;Lord, Sarah J&lt;/author&gt;&lt;author&gt;Marinovich, ML&lt;/author&gt;&lt;author&gt;Patterson, Jillian A&lt;/author&gt;&lt;author&gt;Wilcken, Nicholas&lt;/author&gt;&lt;author&gt;Kiely, Belinda&lt;/author&gt;&lt;author&gt;Gebski, Val&lt;/author&gt;&lt;author&gt;Crossing, Sally&lt;/author&gt;&lt;author&gt;Roder, David M&lt;/author&gt;&lt;author&gt;Gattelari Melina&lt;/author&gt;&lt;author&gt;Houssami, N.&lt;/author&gt;&lt;/authors&gt;&lt;/contributors&gt;&lt;titles&gt;&lt;title&gt; Incidence of metastatic breast cancer in an Australian population-based cohort of women with non-metastatic breast cancer at diagnosis&lt;/title&gt;&lt;secondary-title&gt;Med J Aust&lt;/secondary-title&gt;&lt;/titles&gt;&lt;periodical&gt;&lt;full-title&gt;Med J Aust&lt;/full-title&gt;&lt;/periodical&gt;&lt;pages&gt;688-692&lt;/pages&gt;&lt;volume&gt;196&lt;/volume&gt;&lt;number&gt;11&lt;/number&gt;&lt;dates&gt;&lt;year&gt;2012&lt;/year&gt;&lt;/dates&gt;&lt;urls&gt;&lt;/urls&gt;&lt;/record&gt;&lt;/Cite&gt;&lt;/EndNote&gt;</w:instrText>
      </w:r>
      <w:r>
        <w:fldChar w:fldCharType="separate"/>
      </w:r>
      <w:r w:rsidR="004D6DD9">
        <w:rPr>
          <w:noProof/>
        </w:rPr>
        <w:t>[19]</w:t>
      </w:r>
      <w:r>
        <w:fldChar w:fldCharType="end"/>
      </w:r>
      <w:r>
        <w:t xml:space="preserve">). The estimated testing population is presented below. </w:t>
      </w:r>
    </w:p>
    <w:p w14:paraId="2646514D" w14:textId="77777777" w:rsidR="00E049E7" w:rsidRDefault="00E049E7">
      <w:pPr>
        <w:rPr>
          <w:rFonts w:ascii="Arial Narrow" w:eastAsia="Times New Roman" w:hAnsi="Arial Narrow" w:cs="Tahoma"/>
          <w:b/>
          <w:sz w:val="20"/>
          <w:szCs w:val="20"/>
          <w:lang w:val="en-GB" w:eastAsia="ja-JP"/>
        </w:rPr>
      </w:pPr>
      <w:r>
        <w:br w:type="page"/>
      </w:r>
    </w:p>
    <w:p w14:paraId="7FB90D71" w14:textId="6454DA44" w:rsidR="00EF6454" w:rsidRDefault="00EF6454" w:rsidP="00407B14">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Testing population – incidence of metastatic breast cancer </w:t>
      </w:r>
    </w:p>
    <w:tbl>
      <w:tblPr>
        <w:tblStyle w:val="TableGrid"/>
        <w:tblW w:w="0" w:type="auto"/>
        <w:tblLook w:val="0480" w:firstRow="0" w:lastRow="0" w:firstColumn="1" w:lastColumn="0" w:noHBand="0" w:noVBand="1"/>
        <w:tblCaption w:val="Table 1: Testing population – incidence of metastatic breast cancer "/>
        <w:tblDescription w:val="This table shows how the eligible population for germline BRCA mutation testing was calculated"/>
      </w:tblPr>
      <w:tblGrid>
        <w:gridCol w:w="405"/>
        <w:gridCol w:w="5373"/>
        <w:gridCol w:w="3464"/>
      </w:tblGrid>
      <w:tr w:rsidR="00D96BDA" w14:paraId="25261606" w14:textId="77777777" w:rsidTr="0073631F">
        <w:trPr>
          <w:cantSplit/>
          <w:tblHeader/>
        </w:trPr>
        <w:tc>
          <w:tcPr>
            <w:tcW w:w="405" w:type="dxa"/>
          </w:tcPr>
          <w:p w14:paraId="227004B4" w14:textId="77777777" w:rsidR="00D96BDA" w:rsidRDefault="00D96BDA" w:rsidP="00407B14"/>
        </w:tc>
        <w:tc>
          <w:tcPr>
            <w:tcW w:w="5373" w:type="dxa"/>
          </w:tcPr>
          <w:p w14:paraId="3E713FD0" w14:textId="4E7B9454" w:rsidR="00D96BDA" w:rsidRPr="00A91ABE" w:rsidRDefault="00D96BDA" w:rsidP="00265751">
            <w:r>
              <w:t>Parameter</w:t>
            </w:r>
          </w:p>
        </w:tc>
        <w:tc>
          <w:tcPr>
            <w:tcW w:w="3464" w:type="dxa"/>
          </w:tcPr>
          <w:p w14:paraId="19A9E0E9" w14:textId="0B7F1CC4" w:rsidR="00D96BDA" w:rsidRPr="00A91ABE" w:rsidRDefault="00D96BDA">
            <w:pPr>
              <w:jc w:val="center"/>
            </w:pPr>
            <w:r>
              <w:t>Estimate</w:t>
            </w:r>
          </w:p>
        </w:tc>
      </w:tr>
      <w:tr w:rsidR="00FE417B" w14:paraId="7B079E5F" w14:textId="77777777" w:rsidTr="0073631F">
        <w:trPr>
          <w:cantSplit/>
        </w:trPr>
        <w:tc>
          <w:tcPr>
            <w:tcW w:w="405" w:type="dxa"/>
          </w:tcPr>
          <w:p w14:paraId="1A33E7DB" w14:textId="49561A76" w:rsidR="00FE417B" w:rsidRDefault="00FE417B" w:rsidP="00407B14">
            <w:r>
              <w:t>A</w:t>
            </w:r>
          </w:p>
        </w:tc>
        <w:tc>
          <w:tcPr>
            <w:tcW w:w="5373" w:type="dxa"/>
          </w:tcPr>
          <w:p w14:paraId="54528BD5" w14:textId="1C8F8488" w:rsidR="00FE417B" w:rsidRDefault="00FE417B" w:rsidP="00265751">
            <w:r w:rsidRPr="00A91ABE">
              <w:t>Projected new cases of breast cancer (2019)</w:t>
            </w:r>
          </w:p>
        </w:tc>
        <w:tc>
          <w:tcPr>
            <w:tcW w:w="3464" w:type="dxa"/>
          </w:tcPr>
          <w:p w14:paraId="7DCB4AF5" w14:textId="4C197460" w:rsidR="00FE417B" w:rsidRDefault="00FE417B">
            <w:pPr>
              <w:jc w:val="center"/>
            </w:pPr>
            <w:r w:rsidRPr="00A91ABE">
              <w:t>18</w:t>
            </w:r>
            <w:r>
              <w:t>,</w:t>
            </w:r>
            <w:r w:rsidRPr="00A91ABE">
              <w:t>066</w:t>
            </w:r>
            <w:r>
              <w:t xml:space="preserve"> </w:t>
            </w:r>
            <w:r>
              <w:rPr>
                <w:vertAlign w:val="superscript"/>
              </w:rPr>
              <w:t>a</w:t>
            </w:r>
          </w:p>
        </w:tc>
      </w:tr>
      <w:tr w:rsidR="00136C19" w14:paraId="785DA456" w14:textId="77777777" w:rsidTr="0073631F">
        <w:trPr>
          <w:cantSplit/>
        </w:trPr>
        <w:tc>
          <w:tcPr>
            <w:tcW w:w="405" w:type="dxa"/>
          </w:tcPr>
          <w:p w14:paraId="29586F94" w14:textId="77777777" w:rsidR="00136C19" w:rsidRDefault="00136C19" w:rsidP="00407B14">
            <w:r>
              <w:t>B</w:t>
            </w:r>
          </w:p>
        </w:tc>
        <w:tc>
          <w:tcPr>
            <w:tcW w:w="5373" w:type="dxa"/>
          </w:tcPr>
          <w:p w14:paraId="40BD3930" w14:textId="77777777" w:rsidR="00136C19" w:rsidRDefault="00136C19" w:rsidP="00265751">
            <w:r>
              <w:t xml:space="preserve">Proportion metastatic at diagnosis </w:t>
            </w:r>
          </w:p>
        </w:tc>
        <w:tc>
          <w:tcPr>
            <w:tcW w:w="3464" w:type="dxa"/>
          </w:tcPr>
          <w:p w14:paraId="3647B7A9" w14:textId="77777777" w:rsidR="00136C19" w:rsidRPr="0072559F" w:rsidRDefault="00136C19">
            <w:pPr>
              <w:jc w:val="center"/>
              <w:rPr>
                <w:vertAlign w:val="superscript"/>
              </w:rPr>
            </w:pPr>
            <w:r w:rsidRPr="00C4540F">
              <w:t>7.1%</w:t>
            </w:r>
            <w:r>
              <w:t xml:space="preserve"> </w:t>
            </w:r>
            <w:r>
              <w:rPr>
                <w:vertAlign w:val="superscript"/>
              </w:rPr>
              <w:t>b</w:t>
            </w:r>
          </w:p>
        </w:tc>
      </w:tr>
      <w:tr w:rsidR="00136C19" w14:paraId="5CDBE046" w14:textId="77777777" w:rsidTr="0073631F">
        <w:trPr>
          <w:cantSplit/>
        </w:trPr>
        <w:tc>
          <w:tcPr>
            <w:tcW w:w="405" w:type="dxa"/>
          </w:tcPr>
          <w:p w14:paraId="3B765E32" w14:textId="77777777" w:rsidR="00136C19" w:rsidRDefault="00136C19" w:rsidP="00407B14">
            <w:r>
              <w:t>C</w:t>
            </w:r>
          </w:p>
        </w:tc>
        <w:tc>
          <w:tcPr>
            <w:tcW w:w="5373" w:type="dxa"/>
          </w:tcPr>
          <w:p w14:paraId="47086DD2" w14:textId="77777777" w:rsidR="00136C19" w:rsidRDefault="00136C19" w:rsidP="00265751">
            <w:r>
              <w:t>Cases progressing to metastatic disease in 2019</w:t>
            </w:r>
          </w:p>
        </w:tc>
        <w:tc>
          <w:tcPr>
            <w:tcW w:w="3464" w:type="dxa"/>
          </w:tcPr>
          <w:p w14:paraId="2969D9F9" w14:textId="77777777" w:rsidR="00136C19" w:rsidRPr="00C4540F" w:rsidRDefault="00136C19">
            <w:pPr>
              <w:jc w:val="center"/>
              <w:rPr>
                <w:vertAlign w:val="superscript"/>
              </w:rPr>
            </w:pPr>
            <w:r>
              <w:t>2.02% of cases diagnosed each year between 2015-2019</w:t>
            </w:r>
            <w:r>
              <w:rPr>
                <w:vertAlign w:val="superscript"/>
              </w:rPr>
              <w:t>c</w:t>
            </w:r>
          </w:p>
        </w:tc>
      </w:tr>
      <w:tr w:rsidR="00136C19" w14:paraId="6B0DE4D9" w14:textId="77777777" w:rsidTr="0073631F">
        <w:trPr>
          <w:cantSplit/>
        </w:trPr>
        <w:tc>
          <w:tcPr>
            <w:tcW w:w="405" w:type="dxa"/>
          </w:tcPr>
          <w:p w14:paraId="7A37CDD2" w14:textId="77777777" w:rsidR="00136C19" w:rsidRDefault="00136C19" w:rsidP="00407B14">
            <w:r>
              <w:t>D</w:t>
            </w:r>
          </w:p>
        </w:tc>
        <w:tc>
          <w:tcPr>
            <w:tcW w:w="5373" w:type="dxa"/>
          </w:tcPr>
          <w:p w14:paraId="49DFDCD0" w14:textId="77777777" w:rsidR="00136C19" w:rsidRDefault="00136C19" w:rsidP="00265751">
            <w:r>
              <w:t xml:space="preserve">Total cases of metastatic breast cancer </w:t>
            </w:r>
          </w:p>
        </w:tc>
        <w:tc>
          <w:tcPr>
            <w:tcW w:w="3464" w:type="dxa"/>
          </w:tcPr>
          <w:p w14:paraId="2C26E437" w14:textId="77777777" w:rsidR="00136C19" w:rsidRDefault="00136C19">
            <w:pPr>
              <w:jc w:val="center"/>
            </w:pPr>
            <w:r w:rsidRPr="0038274A">
              <w:t>2,823</w:t>
            </w:r>
          </w:p>
        </w:tc>
      </w:tr>
      <w:tr w:rsidR="00136C19" w14:paraId="39AB7FB8" w14:textId="77777777" w:rsidTr="0073631F">
        <w:trPr>
          <w:cantSplit/>
        </w:trPr>
        <w:tc>
          <w:tcPr>
            <w:tcW w:w="405" w:type="dxa"/>
          </w:tcPr>
          <w:p w14:paraId="0F1154FE" w14:textId="77777777" w:rsidR="00136C19" w:rsidRDefault="00136C19" w:rsidP="00407B14">
            <w:r>
              <w:t>E</w:t>
            </w:r>
          </w:p>
        </w:tc>
        <w:tc>
          <w:tcPr>
            <w:tcW w:w="5373" w:type="dxa"/>
          </w:tcPr>
          <w:p w14:paraId="26F64700" w14:textId="250B5185" w:rsidR="00136C19" w:rsidRPr="00DB7A87" w:rsidRDefault="00136C19" w:rsidP="00265751">
            <w:r w:rsidRPr="00DB7A87">
              <w:t>Proportion HR+/</w:t>
            </w:r>
            <w:r w:rsidR="000774F8">
              <w:t>HER2-negative</w:t>
            </w:r>
            <w:r w:rsidRPr="00DB7A87">
              <w:t xml:space="preserve"> </w:t>
            </w:r>
          </w:p>
        </w:tc>
        <w:tc>
          <w:tcPr>
            <w:tcW w:w="3464" w:type="dxa"/>
          </w:tcPr>
          <w:p w14:paraId="510EA3B7" w14:textId="77777777" w:rsidR="00136C19" w:rsidRPr="0038274A" w:rsidRDefault="00136C19">
            <w:pPr>
              <w:jc w:val="center"/>
              <w:rPr>
                <w:vertAlign w:val="superscript"/>
              </w:rPr>
            </w:pPr>
            <w:r w:rsidRPr="00DB7A87">
              <w:t>6</w:t>
            </w:r>
            <w:r>
              <w:t>1</w:t>
            </w:r>
            <w:r w:rsidRPr="00DB7A87">
              <w:t>%</w:t>
            </w:r>
            <w:r>
              <w:t xml:space="preserve"> </w:t>
            </w:r>
            <w:r>
              <w:rPr>
                <w:vertAlign w:val="superscript"/>
              </w:rPr>
              <w:t>d</w:t>
            </w:r>
          </w:p>
        </w:tc>
      </w:tr>
      <w:tr w:rsidR="00136C19" w14:paraId="0C1C9F75" w14:textId="77777777" w:rsidTr="0073631F">
        <w:trPr>
          <w:cantSplit/>
        </w:trPr>
        <w:tc>
          <w:tcPr>
            <w:tcW w:w="405" w:type="dxa"/>
          </w:tcPr>
          <w:p w14:paraId="034F8054" w14:textId="77777777" w:rsidR="00136C19" w:rsidRDefault="00136C19" w:rsidP="00407B14">
            <w:r>
              <w:t>F</w:t>
            </w:r>
          </w:p>
        </w:tc>
        <w:tc>
          <w:tcPr>
            <w:tcW w:w="5373" w:type="dxa"/>
          </w:tcPr>
          <w:p w14:paraId="1BFAB8C3" w14:textId="77777777" w:rsidR="00136C19" w:rsidRDefault="00136C19" w:rsidP="00265751">
            <w:r>
              <w:t>Proportion triple-negative</w:t>
            </w:r>
          </w:p>
        </w:tc>
        <w:tc>
          <w:tcPr>
            <w:tcW w:w="3464" w:type="dxa"/>
          </w:tcPr>
          <w:p w14:paraId="7C8EC4B0" w14:textId="77777777" w:rsidR="00136C19" w:rsidRPr="00212A38" w:rsidRDefault="00136C19">
            <w:pPr>
              <w:jc w:val="center"/>
              <w:rPr>
                <w:vertAlign w:val="superscript"/>
              </w:rPr>
            </w:pPr>
            <w:r>
              <w:t xml:space="preserve">15% </w:t>
            </w:r>
            <w:r>
              <w:rPr>
                <w:vertAlign w:val="superscript"/>
              </w:rPr>
              <w:t>d</w:t>
            </w:r>
          </w:p>
        </w:tc>
      </w:tr>
      <w:tr w:rsidR="00136C19" w14:paraId="693B6536" w14:textId="77777777" w:rsidTr="0073631F">
        <w:trPr>
          <w:cantSplit/>
        </w:trPr>
        <w:tc>
          <w:tcPr>
            <w:tcW w:w="405" w:type="dxa"/>
          </w:tcPr>
          <w:p w14:paraId="411E075F" w14:textId="77777777" w:rsidR="00136C19" w:rsidRDefault="00136C19" w:rsidP="00407B14">
            <w:r>
              <w:t>G</w:t>
            </w:r>
          </w:p>
        </w:tc>
        <w:tc>
          <w:tcPr>
            <w:tcW w:w="5373" w:type="dxa"/>
          </w:tcPr>
          <w:p w14:paraId="380DA65F" w14:textId="5E5B0784" w:rsidR="00136C19" w:rsidRDefault="00136C19" w:rsidP="00265751">
            <w:r w:rsidRPr="00212A38">
              <w:t>Proportion with pri</w:t>
            </w:r>
            <w:r>
              <w:t xml:space="preserve">or treatment with anthracycline and </w:t>
            </w:r>
            <w:r w:rsidRPr="00212A38">
              <w:t>taxane and n</w:t>
            </w:r>
            <w:r>
              <w:t xml:space="preserve">ot suitable for </w:t>
            </w:r>
            <w:r w:rsidR="001C0A1C">
              <w:t>endocrine</w:t>
            </w:r>
            <w:r>
              <w:t xml:space="preserve"> therapy </w:t>
            </w:r>
          </w:p>
        </w:tc>
        <w:tc>
          <w:tcPr>
            <w:tcW w:w="3464" w:type="dxa"/>
          </w:tcPr>
          <w:p w14:paraId="7EB462B3" w14:textId="77777777" w:rsidR="00136C19" w:rsidRPr="00212A38" w:rsidRDefault="00136C19">
            <w:pPr>
              <w:jc w:val="center"/>
              <w:rPr>
                <w:vertAlign w:val="superscript"/>
              </w:rPr>
            </w:pPr>
            <w:r>
              <w:t xml:space="preserve">80% </w:t>
            </w:r>
            <w:r>
              <w:rPr>
                <w:vertAlign w:val="superscript"/>
              </w:rPr>
              <w:t>e</w:t>
            </w:r>
          </w:p>
        </w:tc>
      </w:tr>
      <w:tr w:rsidR="00136C19" w14:paraId="7A713461" w14:textId="77777777" w:rsidTr="0073631F">
        <w:trPr>
          <w:cantSplit/>
        </w:trPr>
        <w:tc>
          <w:tcPr>
            <w:tcW w:w="405" w:type="dxa"/>
          </w:tcPr>
          <w:p w14:paraId="26A6AFF2" w14:textId="77777777" w:rsidR="00136C19" w:rsidRDefault="00136C19" w:rsidP="00407B14">
            <w:r>
              <w:t xml:space="preserve">H </w:t>
            </w:r>
          </w:p>
        </w:tc>
        <w:tc>
          <w:tcPr>
            <w:tcW w:w="5373" w:type="dxa"/>
          </w:tcPr>
          <w:p w14:paraId="63B89CE5" w14:textId="77777777" w:rsidR="00136C19" w:rsidRPr="00212A38" w:rsidRDefault="00136C19" w:rsidP="00265751">
            <w:r>
              <w:t>Patients already tested for BRCA mutations</w:t>
            </w:r>
          </w:p>
        </w:tc>
        <w:tc>
          <w:tcPr>
            <w:tcW w:w="3464" w:type="dxa"/>
          </w:tcPr>
          <w:p w14:paraId="3C67F00F" w14:textId="77777777" w:rsidR="00136C19" w:rsidRPr="00A77B14" w:rsidRDefault="00136C19">
            <w:pPr>
              <w:jc w:val="center"/>
              <w:rPr>
                <w:vertAlign w:val="superscript"/>
              </w:rPr>
            </w:pPr>
            <w:r>
              <w:t xml:space="preserve">10% </w:t>
            </w:r>
            <w:r>
              <w:rPr>
                <w:vertAlign w:val="superscript"/>
              </w:rPr>
              <w:t>f</w:t>
            </w:r>
          </w:p>
        </w:tc>
      </w:tr>
      <w:tr w:rsidR="00136C19" w14:paraId="1AE4BCC0" w14:textId="77777777" w:rsidTr="0073631F">
        <w:trPr>
          <w:cantSplit/>
        </w:trPr>
        <w:tc>
          <w:tcPr>
            <w:tcW w:w="405" w:type="dxa"/>
          </w:tcPr>
          <w:p w14:paraId="63F371A2" w14:textId="77777777" w:rsidR="00136C19" w:rsidRDefault="00136C19" w:rsidP="00407B14">
            <w:r>
              <w:t>I</w:t>
            </w:r>
          </w:p>
        </w:tc>
        <w:tc>
          <w:tcPr>
            <w:tcW w:w="5373" w:type="dxa"/>
          </w:tcPr>
          <w:p w14:paraId="0D5B528F" w14:textId="303ABED3" w:rsidR="00136C19" w:rsidRDefault="00136C19" w:rsidP="00265751">
            <w:r>
              <w:t xml:space="preserve">Uptake of BRCA test in </w:t>
            </w:r>
            <w:r w:rsidRPr="00131C58">
              <w:t>HR+/</w:t>
            </w:r>
            <w:r w:rsidR="000774F8">
              <w:t>HER2-negative</w:t>
            </w:r>
            <w:r w:rsidRPr="00131C58">
              <w:t xml:space="preserve"> population</w:t>
            </w:r>
          </w:p>
        </w:tc>
        <w:tc>
          <w:tcPr>
            <w:tcW w:w="3464" w:type="dxa"/>
          </w:tcPr>
          <w:p w14:paraId="037AF159" w14:textId="77777777" w:rsidR="00136C19" w:rsidRDefault="00136C19">
            <w:pPr>
              <w:jc w:val="center"/>
            </w:pPr>
            <w:r>
              <w:t>Year 1 30%</w:t>
            </w:r>
          </w:p>
          <w:p w14:paraId="1E899C0E" w14:textId="77777777" w:rsidR="00136C19" w:rsidRDefault="00136C19">
            <w:pPr>
              <w:jc w:val="center"/>
            </w:pPr>
            <w:r>
              <w:t>Year 2 40%</w:t>
            </w:r>
          </w:p>
          <w:p w14:paraId="20348BD2" w14:textId="77777777" w:rsidR="00136C19" w:rsidRDefault="00136C19">
            <w:pPr>
              <w:jc w:val="center"/>
            </w:pPr>
            <w:r>
              <w:t>Year 3 50%</w:t>
            </w:r>
          </w:p>
        </w:tc>
      </w:tr>
      <w:tr w:rsidR="00136C19" w14:paraId="622F1A74" w14:textId="77777777" w:rsidTr="0073631F">
        <w:trPr>
          <w:cantSplit/>
        </w:trPr>
        <w:tc>
          <w:tcPr>
            <w:tcW w:w="405" w:type="dxa"/>
          </w:tcPr>
          <w:p w14:paraId="5429D3D6" w14:textId="77777777" w:rsidR="00136C19" w:rsidRDefault="00136C19" w:rsidP="00407B14">
            <w:r>
              <w:t>J</w:t>
            </w:r>
          </w:p>
        </w:tc>
        <w:tc>
          <w:tcPr>
            <w:tcW w:w="5373" w:type="dxa"/>
          </w:tcPr>
          <w:p w14:paraId="63B09A86" w14:textId="77777777" w:rsidR="00136C19" w:rsidRDefault="00136C19" w:rsidP="00265751">
            <w:r>
              <w:t>Uptake of BRCA test in triple-negative population</w:t>
            </w:r>
          </w:p>
        </w:tc>
        <w:tc>
          <w:tcPr>
            <w:tcW w:w="3464" w:type="dxa"/>
          </w:tcPr>
          <w:p w14:paraId="0924E219" w14:textId="77777777" w:rsidR="00136C19" w:rsidRDefault="00136C19">
            <w:pPr>
              <w:jc w:val="center"/>
            </w:pPr>
            <w:r>
              <w:t>Year 1 60%</w:t>
            </w:r>
          </w:p>
          <w:p w14:paraId="67027D45" w14:textId="77777777" w:rsidR="00136C19" w:rsidRDefault="00136C19">
            <w:pPr>
              <w:jc w:val="center"/>
            </w:pPr>
            <w:r>
              <w:t>Year 2 75%</w:t>
            </w:r>
          </w:p>
          <w:p w14:paraId="658CB600" w14:textId="77777777" w:rsidR="00136C19" w:rsidRDefault="00136C19">
            <w:pPr>
              <w:jc w:val="center"/>
            </w:pPr>
            <w:r>
              <w:t>Year 3 80%</w:t>
            </w:r>
          </w:p>
        </w:tc>
      </w:tr>
      <w:tr w:rsidR="00136C19" w14:paraId="3308D2B4" w14:textId="77777777" w:rsidTr="0073631F">
        <w:trPr>
          <w:cantSplit/>
        </w:trPr>
        <w:tc>
          <w:tcPr>
            <w:tcW w:w="405" w:type="dxa"/>
          </w:tcPr>
          <w:p w14:paraId="4416C907" w14:textId="77777777" w:rsidR="00136C19" w:rsidRDefault="00136C19" w:rsidP="00407B14">
            <w:r>
              <w:t>K</w:t>
            </w:r>
          </w:p>
        </w:tc>
        <w:tc>
          <w:tcPr>
            <w:tcW w:w="5373" w:type="dxa"/>
          </w:tcPr>
          <w:p w14:paraId="392AF92B" w14:textId="5D2795CD" w:rsidR="00136C19" w:rsidRDefault="00136C19" w:rsidP="00265751">
            <w:r>
              <w:t xml:space="preserve">Eligible </w:t>
            </w:r>
            <w:r w:rsidRPr="00D94041">
              <w:t>HR+/</w:t>
            </w:r>
            <w:r w:rsidR="000774F8">
              <w:t>HER2-negative</w:t>
            </w:r>
            <w:r w:rsidRPr="00D94041">
              <w:t xml:space="preserve"> population</w:t>
            </w:r>
            <w:r>
              <w:t xml:space="preserve"> (D × E × G × (1-H))</w:t>
            </w:r>
          </w:p>
        </w:tc>
        <w:tc>
          <w:tcPr>
            <w:tcW w:w="3464" w:type="dxa"/>
          </w:tcPr>
          <w:p w14:paraId="40A5C87A" w14:textId="77777777" w:rsidR="00136C19" w:rsidRDefault="00136C19">
            <w:pPr>
              <w:jc w:val="center"/>
            </w:pPr>
            <w:r w:rsidRPr="007A1401">
              <w:t>1</w:t>
            </w:r>
            <w:r>
              <w:t>,</w:t>
            </w:r>
            <w:r w:rsidRPr="007A1401">
              <w:t>243</w:t>
            </w:r>
          </w:p>
        </w:tc>
      </w:tr>
      <w:tr w:rsidR="00136C19" w14:paraId="791AA11A" w14:textId="77777777" w:rsidTr="0073631F">
        <w:trPr>
          <w:cantSplit/>
        </w:trPr>
        <w:tc>
          <w:tcPr>
            <w:tcW w:w="405" w:type="dxa"/>
          </w:tcPr>
          <w:p w14:paraId="748809D2" w14:textId="77777777" w:rsidR="00136C19" w:rsidRDefault="00136C19" w:rsidP="00407B14">
            <w:r>
              <w:t>L</w:t>
            </w:r>
          </w:p>
        </w:tc>
        <w:tc>
          <w:tcPr>
            <w:tcW w:w="5373" w:type="dxa"/>
          </w:tcPr>
          <w:p w14:paraId="21EDB39A" w14:textId="77777777" w:rsidR="00136C19" w:rsidRDefault="00136C19" w:rsidP="00265751">
            <w:r>
              <w:t>Eligible triple-</w:t>
            </w:r>
            <w:r w:rsidRPr="00D94041">
              <w:t>negative population</w:t>
            </w:r>
            <w:r>
              <w:t xml:space="preserve"> (D× F × G × (1-H))</w:t>
            </w:r>
          </w:p>
        </w:tc>
        <w:tc>
          <w:tcPr>
            <w:tcW w:w="3464" w:type="dxa"/>
          </w:tcPr>
          <w:p w14:paraId="370FED98" w14:textId="77777777" w:rsidR="00136C19" w:rsidRDefault="00136C19">
            <w:pPr>
              <w:jc w:val="center"/>
            </w:pPr>
            <w:r w:rsidRPr="007A1401">
              <w:t>307</w:t>
            </w:r>
          </w:p>
        </w:tc>
      </w:tr>
      <w:tr w:rsidR="00136C19" w14:paraId="407081F6" w14:textId="77777777" w:rsidTr="0073631F">
        <w:trPr>
          <w:cantSplit/>
        </w:trPr>
        <w:tc>
          <w:tcPr>
            <w:tcW w:w="405" w:type="dxa"/>
          </w:tcPr>
          <w:p w14:paraId="0DA36E31" w14:textId="77777777" w:rsidR="00136C19" w:rsidRDefault="00136C19" w:rsidP="00407B14">
            <w:r>
              <w:t>M</w:t>
            </w:r>
          </w:p>
        </w:tc>
        <w:tc>
          <w:tcPr>
            <w:tcW w:w="5373" w:type="dxa"/>
          </w:tcPr>
          <w:p w14:paraId="51C6F822" w14:textId="52AAB735" w:rsidR="00136C19" w:rsidRDefault="00136C19" w:rsidP="00265751">
            <w:pPr>
              <w:tabs>
                <w:tab w:val="left" w:pos="4442"/>
              </w:tabs>
            </w:pPr>
            <w:r>
              <w:t xml:space="preserve">Uptake in </w:t>
            </w:r>
            <w:r w:rsidRPr="00D94041">
              <w:t>HR+/</w:t>
            </w:r>
            <w:r w:rsidR="000774F8">
              <w:t>HER2-negative</w:t>
            </w:r>
            <w:r w:rsidRPr="00D94041">
              <w:t xml:space="preserve"> population</w:t>
            </w:r>
            <w:r>
              <w:t xml:space="preserve"> (K × I)</w:t>
            </w:r>
            <w:r>
              <w:tab/>
              <w:t xml:space="preserve"> </w:t>
            </w:r>
          </w:p>
        </w:tc>
        <w:tc>
          <w:tcPr>
            <w:tcW w:w="3464" w:type="dxa"/>
          </w:tcPr>
          <w:p w14:paraId="592A223E" w14:textId="77777777" w:rsidR="00136C19" w:rsidRDefault="00136C19">
            <w:pPr>
              <w:jc w:val="center"/>
            </w:pPr>
            <w:r>
              <w:t>373</w:t>
            </w:r>
          </w:p>
        </w:tc>
      </w:tr>
      <w:tr w:rsidR="00136C19" w14:paraId="6F4B4555" w14:textId="77777777" w:rsidTr="0073631F">
        <w:trPr>
          <w:cantSplit/>
        </w:trPr>
        <w:tc>
          <w:tcPr>
            <w:tcW w:w="405" w:type="dxa"/>
          </w:tcPr>
          <w:p w14:paraId="37368140" w14:textId="77777777" w:rsidR="00136C19" w:rsidRDefault="00136C19" w:rsidP="00407B14">
            <w:r>
              <w:t>N</w:t>
            </w:r>
          </w:p>
        </w:tc>
        <w:tc>
          <w:tcPr>
            <w:tcW w:w="5373" w:type="dxa"/>
          </w:tcPr>
          <w:p w14:paraId="410947A5" w14:textId="5562ACF7" w:rsidR="00136C19" w:rsidRDefault="00136C19" w:rsidP="00265751">
            <w:r>
              <w:t>Uptake in triple-</w:t>
            </w:r>
            <w:r w:rsidRPr="00D94041">
              <w:t xml:space="preserve"> negative population</w:t>
            </w:r>
            <w:r>
              <w:t xml:space="preserve"> (L × </w:t>
            </w:r>
            <w:r w:rsidR="00A16E01">
              <w:t>J</w:t>
            </w:r>
            <w:r>
              <w:t>)</w:t>
            </w:r>
            <w:r>
              <w:tab/>
            </w:r>
          </w:p>
        </w:tc>
        <w:tc>
          <w:tcPr>
            <w:tcW w:w="3464" w:type="dxa"/>
          </w:tcPr>
          <w:p w14:paraId="1C0E6527" w14:textId="77777777" w:rsidR="00136C19" w:rsidRDefault="00136C19">
            <w:pPr>
              <w:jc w:val="center"/>
            </w:pPr>
            <w:r>
              <w:t>184</w:t>
            </w:r>
          </w:p>
        </w:tc>
      </w:tr>
      <w:tr w:rsidR="00136C19" w14:paraId="7EB59EFC" w14:textId="77777777" w:rsidTr="0073631F">
        <w:trPr>
          <w:cantSplit/>
        </w:trPr>
        <w:tc>
          <w:tcPr>
            <w:tcW w:w="405" w:type="dxa"/>
          </w:tcPr>
          <w:p w14:paraId="35AFC89D" w14:textId="77777777" w:rsidR="00136C19" w:rsidRDefault="00136C19" w:rsidP="00407B14">
            <w:r>
              <w:t>O</w:t>
            </w:r>
          </w:p>
        </w:tc>
        <w:tc>
          <w:tcPr>
            <w:tcW w:w="5373" w:type="dxa"/>
          </w:tcPr>
          <w:p w14:paraId="33AFF6E4" w14:textId="7B86A241" w:rsidR="00136C19" w:rsidRDefault="00136C19" w:rsidP="00265751">
            <w:r>
              <w:t>Total patients taking up BRCA test</w:t>
            </w:r>
            <w:r w:rsidR="00A16E01">
              <w:t xml:space="preserve"> (M + N)</w:t>
            </w:r>
          </w:p>
        </w:tc>
        <w:tc>
          <w:tcPr>
            <w:tcW w:w="3464" w:type="dxa"/>
          </w:tcPr>
          <w:p w14:paraId="009F6A17" w14:textId="77777777" w:rsidR="00136C19" w:rsidRDefault="00136C19">
            <w:pPr>
              <w:jc w:val="center"/>
            </w:pPr>
            <w:r>
              <w:t>557</w:t>
            </w:r>
          </w:p>
        </w:tc>
      </w:tr>
    </w:tbl>
    <w:p w14:paraId="18A13751" w14:textId="6AEB6F2F" w:rsidR="00136C19" w:rsidRPr="00A77B14" w:rsidRDefault="00136C19" w:rsidP="00407B14">
      <w:pPr>
        <w:rPr>
          <w:sz w:val="20"/>
          <w:szCs w:val="20"/>
        </w:rPr>
      </w:pPr>
      <w:r w:rsidRPr="00A77B14">
        <w:rPr>
          <w:sz w:val="20"/>
          <w:szCs w:val="20"/>
        </w:rPr>
        <w:t xml:space="preserve">HER2 = human epidermal growth factor receptor 2; HR+ = hormone receptor positive; </w:t>
      </w:r>
      <w:r>
        <w:rPr>
          <w:sz w:val="20"/>
          <w:szCs w:val="20"/>
        </w:rPr>
        <w:t>MSAC = Medical Services Authority Council; PSD = Public Summary Document</w:t>
      </w:r>
      <w:r w:rsidRPr="00A77B14">
        <w:rPr>
          <w:sz w:val="20"/>
          <w:szCs w:val="20"/>
        </w:rPr>
        <w:br/>
      </w:r>
      <w:r w:rsidRPr="00A77B14">
        <w:rPr>
          <w:sz w:val="20"/>
          <w:szCs w:val="20"/>
          <w:vertAlign w:val="superscript"/>
        </w:rPr>
        <w:t xml:space="preserve">a </w:t>
      </w:r>
      <w:r w:rsidRPr="00A77B14">
        <w:rPr>
          <w:sz w:val="20"/>
          <w:szCs w:val="20"/>
        </w:rPr>
        <w:t>From application</w:t>
      </w:r>
      <w:r w:rsidRPr="00A77B14">
        <w:rPr>
          <w:sz w:val="20"/>
          <w:szCs w:val="20"/>
        </w:rPr>
        <w:br/>
      </w:r>
      <w:r w:rsidRPr="00A77B14">
        <w:rPr>
          <w:sz w:val="20"/>
          <w:szCs w:val="20"/>
          <w:vertAlign w:val="superscript"/>
        </w:rPr>
        <w:t>b</w:t>
      </w:r>
      <w:r w:rsidRPr="00A77B14">
        <w:rPr>
          <w:sz w:val="20"/>
          <w:szCs w:val="20"/>
        </w:rPr>
        <w:t xml:space="preserve"> Cancer Institute New South Wales data</w:t>
      </w:r>
      <w:r>
        <w:rPr>
          <w:sz w:val="20"/>
          <w:szCs w:val="20"/>
        </w:rPr>
        <w:fldChar w:fldCharType="begin"/>
      </w:r>
      <w:r w:rsidR="004D6DD9">
        <w:rPr>
          <w:sz w:val="20"/>
          <w:szCs w:val="20"/>
        </w:rPr>
        <w:instrText xml:space="preserve"> ADDIN EN.CITE &lt;EndNote&gt;&lt;Cite&gt;&lt;Author&gt;Cancer Institute NSW&lt;/Author&gt;&lt;Year&gt;2016&lt;/Year&gt;&lt;RecNum&gt;19&lt;/RecNum&gt;&lt;DisplayText&gt;[18]&lt;/DisplayText&gt;&lt;record&gt;&lt;rec-number&gt;19&lt;/rec-number&gt;&lt;foreign-keys&gt;&lt;key app="EN" db-id="aadaavff2002s7efdx25t0d9f9awrd0v0vxv" timestamp="1509427305"&gt;19&lt;/key&gt;&lt;/foreign-keys&gt;&lt;ref-type name="Web Page"&gt;12&lt;/ref-type&gt;&lt;contributors&gt;&lt;authors&gt;&lt;author&gt;Cancer Institute NSW,&lt;/author&gt;&lt;/authors&gt;&lt;/contributors&gt;&lt;titles&gt;&lt;title&gt;Cancer in NSW: Online Statistics Module 2012&lt;/title&gt;&lt;/titles&gt;&lt;volume&gt;2017&lt;/volume&gt;&lt;number&gt;31 October&lt;/number&gt;&lt;dates&gt;&lt;year&gt;2016&lt;/year&gt;&lt;/dates&gt;&lt;pub-location&gt;Sydney&lt;/pub-location&gt;&lt;publisher&gt;Cancer Institute NSW&lt;/publisher&gt;&lt;urls&gt;&lt;related-urls&gt;&lt;url&gt;&lt;style face="underline" font="default" size="100%"&gt;http://www.statistics.cancerinstitute.org.au&lt;/style&gt;&lt;/url&gt;&lt;/related-urls&gt;&lt;/urls&gt;&lt;/record&gt;&lt;/Cite&gt;&lt;/EndNote&gt;</w:instrText>
      </w:r>
      <w:r>
        <w:rPr>
          <w:sz w:val="20"/>
          <w:szCs w:val="20"/>
        </w:rPr>
        <w:fldChar w:fldCharType="separate"/>
      </w:r>
      <w:r w:rsidR="004D6DD9">
        <w:rPr>
          <w:noProof/>
          <w:sz w:val="20"/>
          <w:szCs w:val="20"/>
        </w:rPr>
        <w:t>[18]</w:t>
      </w:r>
      <w:r>
        <w:rPr>
          <w:sz w:val="20"/>
          <w:szCs w:val="20"/>
        </w:rPr>
        <w:fldChar w:fldCharType="end"/>
      </w:r>
      <w:r w:rsidRPr="00A77B14">
        <w:rPr>
          <w:sz w:val="20"/>
          <w:szCs w:val="20"/>
        </w:rPr>
        <w:br/>
      </w:r>
      <w:r w:rsidRPr="00A77B14">
        <w:rPr>
          <w:sz w:val="20"/>
          <w:szCs w:val="20"/>
          <w:vertAlign w:val="superscript"/>
        </w:rPr>
        <w:t>c</w:t>
      </w:r>
      <w:r w:rsidRPr="00A77B14">
        <w:rPr>
          <w:sz w:val="20"/>
          <w:szCs w:val="20"/>
        </w:rPr>
        <w:t xml:space="preserve"> Based on Lord </w:t>
      </w:r>
      <w:r w:rsidRPr="00A77B14">
        <w:rPr>
          <w:rFonts w:asciiTheme="minorHAnsi" w:hAnsiTheme="minorHAnsi"/>
          <w:i/>
          <w:sz w:val="20"/>
          <w:szCs w:val="20"/>
        </w:rPr>
        <w:t>et al</w:t>
      </w:r>
      <w:r w:rsidRPr="00A77B14">
        <w:rPr>
          <w:sz w:val="20"/>
          <w:szCs w:val="20"/>
        </w:rPr>
        <w:t xml:space="preserve"> 2012. 10.1% of non-metastatic breast cancers metastasised over five years</w:t>
      </w:r>
      <w:r w:rsidRPr="00A77B14">
        <w:rPr>
          <w:sz w:val="20"/>
          <w:szCs w:val="20"/>
        </w:rPr>
        <w:br/>
      </w:r>
      <w:r w:rsidRPr="00A77B14">
        <w:rPr>
          <w:sz w:val="20"/>
          <w:szCs w:val="20"/>
          <w:vertAlign w:val="superscript"/>
        </w:rPr>
        <w:t xml:space="preserve">d </w:t>
      </w:r>
      <w:r w:rsidRPr="00A77B14">
        <w:rPr>
          <w:sz w:val="20"/>
          <w:szCs w:val="20"/>
        </w:rPr>
        <w:t xml:space="preserve">Proportions from known Stage IV breast cancer from Howlader </w:t>
      </w:r>
      <w:r w:rsidRPr="00A77B14">
        <w:rPr>
          <w:rFonts w:asciiTheme="minorHAnsi" w:hAnsiTheme="minorHAnsi"/>
          <w:i/>
          <w:sz w:val="20"/>
          <w:szCs w:val="20"/>
        </w:rPr>
        <w:t>et al</w:t>
      </w:r>
      <w:r w:rsidRPr="00A77B14">
        <w:rPr>
          <w:sz w:val="20"/>
          <w:szCs w:val="20"/>
        </w:rPr>
        <w:t xml:space="preserve"> 2014</w:t>
      </w:r>
      <w:r w:rsidR="0081772D">
        <w:rPr>
          <w:sz w:val="20"/>
          <w:szCs w:val="20"/>
        </w:rPr>
        <w:t xml:space="preserve"> </w:t>
      </w:r>
      <w:r w:rsidRPr="00A77B14">
        <w:rPr>
          <w:sz w:val="20"/>
          <w:szCs w:val="20"/>
        </w:rPr>
        <w:t xml:space="preserve"> </w:t>
      </w:r>
      <w:r w:rsidRPr="00A77B14">
        <w:rPr>
          <w:sz w:val="20"/>
          <w:szCs w:val="20"/>
        </w:rPr>
        <w:fldChar w:fldCharType="begin"/>
      </w:r>
      <w:r w:rsidR="0073631F">
        <w:rPr>
          <w:sz w:val="20"/>
          <w:szCs w:val="20"/>
        </w:rPr>
        <w:instrText xml:space="preserve"> ADDIN EN.CITE &lt;EndNote&gt;&lt;Cite ExcludeYear="1"&gt;&lt;Author&gt;Howlader&lt;/Author&gt;&lt;Year&gt;2014&lt;/Year&gt;&lt;RecNum&gt;17&lt;/RecNum&gt;&lt;DisplayText&gt;[6]&lt;/DisplayText&gt;&lt;record&gt;&lt;rec-number&gt;17&lt;/rec-number&gt;&lt;foreign-keys&gt;&lt;key app="EN" db-id="aadaavff2002s7efdx25t0d9f9awrd0v0vxv" timestamp="1509407085"&gt;17&lt;/key&gt;&lt;/foreign-keys&gt;&lt;ref-type name="Journal Article"&gt;17&lt;/ref-type&gt;&lt;contributors&gt;&lt;authors&gt;&lt;author&gt;Howlader, Nadia&lt;/author&gt;&lt;author&gt;Altekruse, Sean F.&lt;/author&gt;&lt;author&gt;Li, Christopher I.&lt;/author&gt;&lt;author&gt;Chen, Vivien W.&lt;/author&gt;&lt;author&gt;Clarke, Christina A.&lt;/author&gt;&lt;author&gt;Ries, Lynn A. G.&lt;/author&gt;&lt;author&gt;Cronin, Kathleen A.&lt;/author&gt;&lt;/authors&gt;&lt;/contributors&gt;&lt;titles&gt;&lt;title&gt;US Incidence of Breast Cancer Subtypes Defined by Joint Hormone Receptor and HER2 Status&lt;/title&gt;&lt;secondary-title&gt;JNCI: Journal of the National Cancer Institute&lt;/secondary-title&gt;&lt;/titles&gt;&lt;periodical&gt;&lt;full-title&gt;JNCI: Journal of the National Cancer Institute&lt;/full-title&gt;&lt;/periodical&gt;&lt;pages&gt;dju055-dju055&lt;/pages&gt;&lt;volume&gt;106&lt;/volume&gt;&lt;number&gt;5&lt;/number&gt;&lt;dates&gt;&lt;year&gt;2014&lt;/year&gt;&lt;/dates&gt;&lt;isbn&gt;0027-8874&lt;/isbn&gt;&lt;urls&gt;&lt;related-urls&gt;&lt;url&gt;http://dx.doi.org/10.1093/jnci/dju055&lt;/url&gt;&lt;url&gt;https://www.ncbi.nlm.nih.gov/pmc/articles/PMC4580552/pdf/dju055.pdf&lt;/url&gt;&lt;/related-urls&gt;&lt;/urls&gt;&lt;electronic-resource-num&gt;10.1093/jnci/dju055&lt;/electronic-resource-num&gt;&lt;/record&gt;&lt;/Cite&gt;&lt;/EndNote&gt;</w:instrText>
      </w:r>
      <w:r w:rsidRPr="00A77B14">
        <w:rPr>
          <w:sz w:val="20"/>
          <w:szCs w:val="20"/>
        </w:rPr>
        <w:fldChar w:fldCharType="separate"/>
      </w:r>
      <w:r w:rsidR="0073631F">
        <w:rPr>
          <w:noProof/>
          <w:sz w:val="20"/>
          <w:szCs w:val="20"/>
        </w:rPr>
        <w:t>[6]</w:t>
      </w:r>
      <w:r w:rsidRPr="00A77B14">
        <w:rPr>
          <w:sz w:val="20"/>
          <w:szCs w:val="20"/>
        </w:rPr>
        <w:fldChar w:fldCharType="end"/>
      </w:r>
      <w:r w:rsidRPr="00A77B14">
        <w:rPr>
          <w:sz w:val="20"/>
          <w:szCs w:val="20"/>
        </w:rPr>
        <w:t xml:space="preserve"> </w:t>
      </w:r>
      <w:r w:rsidRPr="00A77B14">
        <w:rPr>
          <w:sz w:val="20"/>
          <w:szCs w:val="20"/>
        </w:rPr>
        <w:br/>
      </w:r>
      <w:r w:rsidRPr="00A77B14">
        <w:rPr>
          <w:sz w:val="20"/>
          <w:szCs w:val="20"/>
          <w:vertAlign w:val="superscript"/>
        </w:rPr>
        <w:t>e</w:t>
      </w:r>
      <w:r w:rsidRPr="00A77B14">
        <w:rPr>
          <w:sz w:val="20"/>
          <w:szCs w:val="20"/>
        </w:rPr>
        <w:t xml:space="preserve"> Assumption based on applicant’s internal market research</w:t>
      </w:r>
      <w:r>
        <w:rPr>
          <w:sz w:val="20"/>
          <w:szCs w:val="20"/>
        </w:rPr>
        <w:br/>
      </w:r>
      <w:r>
        <w:rPr>
          <w:sz w:val="20"/>
          <w:szCs w:val="20"/>
          <w:vertAlign w:val="superscript"/>
        </w:rPr>
        <w:t>f</w:t>
      </w:r>
      <w:r>
        <w:rPr>
          <w:sz w:val="20"/>
          <w:szCs w:val="20"/>
        </w:rPr>
        <w:t xml:space="preserve"> Application 1411.1 MSAC PSD estimated uptake</w:t>
      </w:r>
    </w:p>
    <w:p w14:paraId="4BB8A0E2" w14:textId="41E87C24" w:rsidR="00136C19" w:rsidRDefault="00136C19" w:rsidP="00136C19">
      <w:r w:rsidRPr="001713E6">
        <w:rPr>
          <w:szCs w:val="20"/>
        </w:rPr>
        <w:t xml:space="preserve">A proportion of patients who would become eligible for olaparib would have been previously tested for BRCA mutations. </w:t>
      </w:r>
      <w:r w:rsidRPr="00DB5AA3">
        <w:t>Since November 2017, MBS item 73296 was added for the detection of germline BRCA mutations and five other genes for patients with breast or ovarian cancer with a &gt;</w:t>
      </w:r>
      <w:r w:rsidR="0073631F">
        <w:t> </w:t>
      </w:r>
      <w:r w:rsidRPr="00DB5AA3">
        <w:t>10% risk of having a pathogenic mutation based</w:t>
      </w:r>
      <w:r>
        <w:t xml:space="preserve"> on</w:t>
      </w:r>
      <w:r w:rsidRPr="00DB5AA3">
        <w:t xml:space="preserve"> their clinical and family history</w:t>
      </w:r>
      <w:r>
        <w:t>,</w:t>
      </w:r>
      <w:r w:rsidRPr="00DB5AA3">
        <w:t xml:space="preserve"> or based on a quantitative algorithm. </w:t>
      </w:r>
      <w:r w:rsidR="003472C2">
        <w:t>Consistent with the Public Summary Document for application 1411.1, i</w:t>
      </w:r>
      <w:r>
        <w:t xml:space="preserve">t was assumed that 10% of patients were already tested under item </w:t>
      </w:r>
      <w:r w:rsidRPr="00C574B0">
        <w:t>7329</w:t>
      </w:r>
      <w:r>
        <w:t>6</w:t>
      </w:r>
      <w:r w:rsidR="0073631F">
        <w:t> </w:t>
      </w:r>
      <w:r w:rsidR="005305AC">
        <w:fldChar w:fldCharType="begin"/>
      </w:r>
      <w:r w:rsidR="005305AC">
        <w:instrText xml:space="preserve"> ADDIN EN.CITE &lt;EndNote&gt;&lt;Cite&gt;&lt;Author&gt;Medical Services Advisory Committee&lt;/Author&gt;&lt;Year&gt;2016&lt;/Year&gt;&lt;RecNum&gt;35&lt;/RecNum&gt;&lt;DisplayText&gt;[20]&lt;/DisplayText&gt;&lt;record&gt;&lt;rec-number&gt;35&lt;/rec-number&gt;&lt;foreign-keys&gt;&lt;key app="EN" db-id="aadaavff2002s7efdx25t0d9f9awrd0v0vxv" timestamp="1510525532"&gt;35&lt;/key&gt;&lt;/foreign-keys&gt;&lt;ref-type name="Web Page"&gt;12&lt;/ref-type&gt;&lt;contributors&gt;&lt;authors&gt;&lt;author&gt;Medical Services Advisory Committee,&lt;/author&gt;&lt;/authors&gt;&lt;/contributors&gt;&lt;titles&gt;&lt;title&gt;Application No. 1411.1 – Genetic testing for hereditary mutations predisposing to cancer (breast and/or ovarian) (resubmission) (public summary document)&lt;/title&gt;&lt;/titles&gt;&lt;volume&gt;2017&lt;/volume&gt;&lt;number&gt;8 November&lt;/number&gt;&lt;dates&gt;&lt;year&gt;2016&lt;/year&gt;&lt;/dates&gt;&lt;pub-location&gt;Canberra&lt;/pub-location&gt;&lt;publisher&gt;Department of Health&lt;/publisher&gt;&lt;urls&gt;&lt;related-urls&gt;&lt;url&gt;&lt;style face="underline" font="default" size="100%"&gt;http://www.msac.gov.au/internet/msac/publishing.nsf/content/1411.1-public&lt;/style&gt;&lt;/url&gt;&lt;/related-urls&gt;&lt;/urls&gt;&lt;/record&gt;&lt;/Cite&gt;&lt;/EndNote&gt;</w:instrText>
      </w:r>
      <w:r w:rsidR="005305AC">
        <w:fldChar w:fldCharType="separate"/>
      </w:r>
      <w:r w:rsidR="005305AC">
        <w:rPr>
          <w:noProof/>
        </w:rPr>
        <w:t>[20]</w:t>
      </w:r>
      <w:r w:rsidR="005305AC">
        <w:fldChar w:fldCharType="end"/>
      </w:r>
      <w:r>
        <w:t xml:space="preserve">. </w:t>
      </w:r>
    </w:p>
    <w:p w14:paraId="433CAE9E" w14:textId="540499CE" w:rsidR="00D652D6" w:rsidRPr="00DB5AA3" w:rsidRDefault="00D652D6" w:rsidP="00136C19">
      <w:r>
        <w:rPr>
          <w:szCs w:val="20"/>
        </w:rPr>
        <w:t>The application estimated that of the patients taking up BRCA mutation testing, approximately 15% would test positive and therefore be eligible for olaparib.</w:t>
      </w:r>
    </w:p>
    <w:p w14:paraId="0500E79B" w14:textId="77777777" w:rsidR="00136C19" w:rsidRPr="00212A38" w:rsidRDefault="00136C19" w:rsidP="00136C19">
      <w:pPr>
        <w:rPr>
          <w:vertAlign w:val="superscript"/>
        </w:rPr>
      </w:pPr>
      <w:r w:rsidRPr="001713E6">
        <w:rPr>
          <w:szCs w:val="20"/>
        </w:rPr>
        <w:t>The application stated that the co-dependent MSAC/PBAC submission will include further detailed information to the provided estimates.</w:t>
      </w:r>
    </w:p>
    <w:p w14:paraId="3949599E" w14:textId="37DB8CAC" w:rsidR="00953ED7" w:rsidRDefault="00953ED7" w:rsidP="00E049E7">
      <w:pPr>
        <w:keepNext/>
        <w:rPr>
          <w:b/>
        </w:rPr>
      </w:pPr>
      <w:r>
        <w:rPr>
          <w:b/>
        </w:rPr>
        <w:lastRenderedPageBreak/>
        <w:t xml:space="preserve">Prior test </w:t>
      </w:r>
    </w:p>
    <w:p w14:paraId="0067F9C3" w14:textId="279D1047" w:rsidR="00721AD7" w:rsidRDefault="00B4638B" w:rsidP="00953ED7">
      <w:r>
        <w:t>P</w:t>
      </w:r>
      <w:r w:rsidR="009D0E41">
        <w:t xml:space="preserve">atients with metastatic (Stage IV) </w:t>
      </w:r>
      <w:r w:rsidR="000774F8">
        <w:t>HER2-negative</w:t>
      </w:r>
      <w:r w:rsidR="009D0E41">
        <w:t xml:space="preserve"> breast cancer</w:t>
      </w:r>
      <w:r w:rsidR="00E54F3D">
        <w:t xml:space="preserve"> would require prior testing before they can become eligible for BRCA mutation </w:t>
      </w:r>
      <w:r w:rsidR="00AA48E1">
        <w:t>testing.</w:t>
      </w:r>
      <w:r w:rsidR="009D0E41">
        <w:t xml:space="preserve"> </w:t>
      </w:r>
      <w:r w:rsidR="00E54F3D">
        <w:t xml:space="preserve">These </w:t>
      </w:r>
      <w:r w:rsidR="007764F5">
        <w:t xml:space="preserve">prior tests </w:t>
      </w:r>
      <w:r w:rsidR="00735E8F">
        <w:t xml:space="preserve">include </w:t>
      </w:r>
      <w:r w:rsidR="00735E8F">
        <w:fldChar w:fldCharType="begin">
          <w:fldData xml:space="preserve">PEVuZE5vdGU+PENpdGU+PEF1dGhvcj5TZW5rdXM8L0F1dGhvcj48WWVhcj4yMDE1PC9ZZWFyPjxS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</w:fldData>
        </w:fldChar>
      </w:r>
      <w:r w:rsidR="005305AC">
        <w:instrText xml:space="preserve"> ADDIN EN.CITE </w:instrText>
      </w:r>
      <w:r w:rsidR="005305AC">
        <w:fldChar w:fldCharType="begin">
          <w:fldData xml:space="preserve">PEVuZE5vdGU+PENpdGU+PEF1dGhvcj5TZW5rdXM8L0F1dGhvcj48WWVhcj4yMDE1PC9ZZWFyPjxS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</w:fldData>
        </w:fldChar>
      </w:r>
      <w:r w:rsidR="005305AC">
        <w:instrText xml:space="preserve"> ADDIN EN.CITE.DATA </w:instrText>
      </w:r>
      <w:r w:rsidR="005305AC">
        <w:fldChar w:fldCharType="end"/>
      </w:r>
      <w:r w:rsidR="00735E8F">
        <w:fldChar w:fldCharType="separate"/>
      </w:r>
      <w:r w:rsidR="005305AC">
        <w:rPr>
          <w:noProof/>
        </w:rPr>
        <w:t>[3, 4]</w:t>
      </w:r>
      <w:r w:rsidR="00735E8F">
        <w:fldChar w:fldCharType="end"/>
      </w:r>
      <w:r w:rsidR="007764F5">
        <w:t>:</w:t>
      </w:r>
    </w:p>
    <w:p w14:paraId="7CDFD280" w14:textId="4F8D64AD" w:rsidR="001040CB" w:rsidRDefault="00A77EA0" w:rsidP="007764F5">
      <w:pPr>
        <w:pStyle w:val="ListParagraph"/>
        <w:numPr>
          <w:ilvl w:val="0"/>
          <w:numId w:val="17"/>
        </w:numPr>
      </w:pPr>
      <w:r>
        <w:t>biopsy and imaging (mammogram, ultrasound or</w:t>
      </w:r>
      <w:r w:rsidRPr="00A77EA0">
        <w:t xml:space="preserve"> </w:t>
      </w:r>
      <w:r>
        <w:t>magnetic resonance imaging (MRI) to confirm diagnosis of breast cancer,</w:t>
      </w:r>
    </w:p>
    <w:p w14:paraId="48E12456" w14:textId="5CDBE235" w:rsidR="00A77EA0" w:rsidRDefault="00A77EA0" w:rsidP="007764F5">
      <w:pPr>
        <w:pStyle w:val="ListParagraph"/>
        <w:numPr>
          <w:ilvl w:val="0"/>
          <w:numId w:val="17"/>
        </w:numPr>
      </w:pPr>
      <w:r>
        <w:t xml:space="preserve">molecular </w:t>
      </w:r>
      <w:r w:rsidR="00324A4D">
        <w:t>diagnostic</w:t>
      </w:r>
      <w:r>
        <w:t xml:space="preserve"> studies including: </w:t>
      </w:r>
    </w:p>
    <w:p w14:paraId="26BCFD3D" w14:textId="5211E7E5" w:rsidR="00A77EA0" w:rsidRDefault="00A77EA0" w:rsidP="00A77EA0">
      <w:pPr>
        <w:pStyle w:val="ListParagraph"/>
        <w:numPr>
          <w:ilvl w:val="1"/>
          <w:numId w:val="17"/>
        </w:numPr>
      </w:pPr>
      <w:r w:rsidRPr="00A766A9">
        <w:t>immunohistochemical</w:t>
      </w:r>
      <w:r>
        <w:t xml:space="preserve"> (IHC) evaluation of </w:t>
      </w:r>
      <w:r w:rsidR="00B858F3">
        <w:t>ER</w:t>
      </w:r>
      <w:r>
        <w:t xml:space="preserve"> </w:t>
      </w:r>
      <w:r w:rsidR="00B858F3">
        <w:t>and PR</w:t>
      </w:r>
      <w:r>
        <w:t xml:space="preserve"> status,</w:t>
      </w:r>
    </w:p>
    <w:p w14:paraId="3B4BC2A9" w14:textId="77777777" w:rsidR="00A77EA0" w:rsidRDefault="00A77EA0" w:rsidP="00A77EA0">
      <w:pPr>
        <w:pStyle w:val="ListParagraph"/>
        <w:numPr>
          <w:ilvl w:val="1"/>
          <w:numId w:val="17"/>
        </w:numPr>
      </w:pPr>
      <w:r>
        <w:t xml:space="preserve">IHC or </w:t>
      </w:r>
      <w:r w:rsidRPr="00A766A9">
        <w:t>in situ hybridisation</w:t>
      </w:r>
      <w:r>
        <w:t xml:space="preserve"> to determine HER2 status, and,</w:t>
      </w:r>
    </w:p>
    <w:p w14:paraId="003BC64C" w14:textId="677713FA" w:rsidR="00A77EA0" w:rsidRDefault="00A77EA0" w:rsidP="00A77EA0">
      <w:pPr>
        <w:pStyle w:val="ListParagraph"/>
        <w:numPr>
          <w:ilvl w:val="1"/>
          <w:numId w:val="17"/>
        </w:numPr>
      </w:pPr>
      <w:r>
        <w:t>IHC evaluation of proliferation market Ki67</w:t>
      </w:r>
    </w:p>
    <w:p w14:paraId="67F21DC0" w14:textId="4CB08AFB" w:rsidR="00A77EA0" w:rsidRDefault="00A77EA0" w:rsidP="007764F5">
      <w:pPr>
        <w:pStyle w:val="ListParagraph"/>
        <w:numPr>
          <w:ilvl w:val="0"/>
          <w:numId w:val="17"/>
        </w:numPr>
      </w:pPr>
      <w:r>
        <w:t>staging workup which is guided by symptoms and may include clinical and ultrasound assessment of lymph nodes, c</w:t>
      </w:r>
      <w:r w:rsidDel="001040CB">
        <w:t>omputed tomography (CT)</w:t>
      </w:r>
      <w:r w:rsidR="008A4919">
        <w:t>, bone scan, x-rays, MRI, and f</w:t>
      </w:r>
      <w:r w:rsidR="008A4919" w:rsidRPr="00871506" w:rsidDel="001040CB">
        <w:t>luorodeoxyglucose</w:t>
      </w:r>
      <w:r w:rsidR="008A4919" w:rsidDel="001040CB">
        <w:t xml:space="preserve"> p</w:t>
      </w:r>
      <w:r w:rsidR="008A4919" w:rsidRPr="00871506" w:rsidDel="001040CB">
        <w:t>ositron emission tomography–computed tomography</w:t>
      </w:r>
      <w:r w:rsidR="00077474">
        <w:t>, and</w:t>
      </w:r>
    </w:p>
    <w:p w14:paraId="46EE4528" w14:textId="15031145" w:rsidR="005519ED" w:rsidRDefault="005519ED" w:rsidP="005519ED">
      <w:pPr>
        <w:pStyle w:val="ListParagraph"/>
        <w:numPr>
          <w:ilvl w:val="0"/>
          <w:numId w:val="17"/>
        </w:numPr>
      </w:pPr>
      <w:r>
        <w:t>tests for general health status including full blood count, liver, renal and cardiac function, alkaline phosphatase and calcium level</w:t>
      </w:r>
      <w:r w:rsidR="00766205">
        <w:t>.</w:t>
      </w:r>
    </w:p>
    <w:p w14:paraId="6B8E6362" w14:textId="77777777" w:rsidR="00896845" w:rsidRDefault="00896845">
      <w:pPr>
        <w:rPr>
          <w:b/>
        </w:rPr>
      </w:pPr>
      <w:r w:rsidRPr="00E364F7">
        <w:rPr>
          <w:b/>
        </w:rPr>
        <w:t>Intervention</w:t>
      </w:r>
    </w:p>
    <w:p w14:paraId="11A29553" w14:textId="0801714D" w:rsidR="00582A10" w:rsidRDefault="007B58D5" w:rsidP="00870120">
      <w:r>
        <w:t xml:space="preserve">The applicant is seeking a co-dependent request for MBS listing of germline BRCA mutation testing to determine which patients with metastatic </w:t>
      </w:r>
      <w:r w:rsidR="000774F8">
        <w:t>HER2-negative</w:t>
      </w:r>
      <w:r>
        <w:t xml:space="preserve"> breast cancer </w:t>
      </w:r>
      <w:r w:rsidR="00E15E33" w:rsidRPr="00E15E33">
        <w:t xml:space="preserve">who have received prior treatment with an anthracycline and a taxane in either the </w:t>
      </w:r>
      <w:r w:rsidR="00E15E33">
        <w:t xml:space="preserve">neo-adjuvant, </w:t>
      </w:r>
      <w:r w:rsidR="00E15E33" w:rsidRPr="00E15E33">
        <w:t xml:space="preserve">adjuvant or metastatic setting </w:t>
      </w:r>
      <w:r w:rsidR="00E15E33">
        <w:t>and</w:t>
      </w:r>
      <w:r w:rsidR="00582A10">
        <w:t xml:space="preserve"> </w:t>
      </w:r>
      <w:r w:rsidR="00E15E33">
        <w:t xml:space="preserve">are also </w:t>
      </w:r>
      <w:r w:rsidR="00582A10">
        <w:t>refractory to</w:t>
      </w:r>
      <w:r w:rsidR="00E15E33">
        <w:t>, or inappropriate for treatment with</w:t>
      </w:r>
      <w:r w:rsidR="00582A10">
        <w:t xml:space="preserve"> endocrine therapy </w:t>
      </w:r>
      <w:r>
        <w:t xml:space="preserve">have a </w:t>
      </w:r>
      <w:r w:rsidR="0072352E">
        <w:t xml:space="preserve">germline </w:t>
      </w:r>
      <w:r>
        <w:t>BRCA</w:t>
      </w:r>
      <w:r w:rsidR="00CB2099">
        <w:t xml:space="preserve"> </w:t>
      </w:r>
      <w:r>
        <w:t>mutation</w:t>
      </w:r>
      <w:r w:rsidR="0072352E">
        <w:t>,</w:t>
      </w:r>
      <w:r>
        <w:t xml:space="preserve"> and are</w:t>
      </w:r>
      <w:r w:rsidR="0068369E">
        <w:t xml:space="preserve"> therefore</w:t>
      </w:r>
      <w:r>
        <w:t xml:space="preserve"> eligible for treatment with olaparib. </w:t>
      </w:r>
    </w:p>
    <w:p w14:paraId="17480370" w14:textId="04122283" w:rsidR="00F079EE" w:rsidRPr="00830FB5" w:rsidRDefault="00F079EE" w:rsidP="00870120">
      <w:pPr>
        <w:rPr>
          <w:u w:val="single"/>
        </w:rPr>
      </w:pPr>
      <w:r>
        <w:rPr>
          <w:u w:val="single"/>
        </w:rPr>
        <w:t>Germline BRCA mutation testing</w:t>
      </w:r>
    </w:p>
    <w:p w14:paraId="45395D87" w14:textId="62B92CDA" w:rsidR="00F079EE" w:rsidRDefault="00F079EE" w:rsidP="00F079EE">
      <w:r>
        <w:t>Germline BRCA mutations are heterogeneous and can occur on the entire length of the coding regions and intronic sequences flanking each exon. As a result, testing for germline BRCA mutation involves scanning the whole coding region of each gene: 5,500 nucleotides for BRCA1 and 10,200 nucleotides for BRCA2.</w:t>
      </w:r>
      <w:r w:rsidRPr="00BD611B">
        <w:t xml:space="preserve"> </w:t>
      </w:r>
      <w:r>
        <w:t xml:space="preserve">Over 2,000 variants of BRCA1/2 genes have been reported. These gene variants are classified into five categories according to their pathogenicity probability. These are Class 1, neutral with no clinical significance (&lt;0.1%); Class 2, likely neutral (0.1-5%); Class 3, uncertain (5-95%); Class 4, likely pathogenic (95-99%); and Class 5, pathogenic (&gt;99% probability). Classes 2, 3, and 4 cover likely neutral and likely pathogenic variants. These are referred to as </w:t>
      </w:r>
      <w:r w:rsidRPr="006F3CF3">
        <w:t xml:space="preserve">variants of unknown significance </w:t>
      </w:r>
      <w:r>
        <w:t xml:space="preserve">(VUS). Germline BRCA1/2 gene variants identified during testing are classified using molecular classification databases </w:t>
      </w:r>
      <w:r>
        <w:fldChar w:fldCharType="begin"/>
      </w:r>
      <w:r w:rsidR="005305AC">
        <w:instrText xml:space="preserve"> ADDIN EN.CITE &lt;EndNote&gt;&lt;Cite&gt;&lt;Author&gt;Calistri&lt;/Author&gt;&lt;Year&gt;2012&lt;/Year&gt;&lt;RecNum&gt;24&lt;/RecNum&gt;&lt;DisplayText&gt;[12]&lt;/DisplayText&gt;&lt;record&gt;&lt;rec-number&gt;24&lt;/rec-number&gt;&lt;foreign-keys&gt;&lt;key app="EN" db-id="aadaavff2002s7efdx25t0d9f9awrd0v0vxv" timestamp="1510012368"&gt;24&lt;/key&gt;&lt;/foreign-keys&gt;&lt;ref-type name="Journal Article"&gt;17&lt;/ref-type&gt;&lt;contributors&gt;&lt;authors&gt;&lt;author&gt;Calistri, Daniele&lt;/author&gt;&lt;author&gt;Zampiga, Valentina&lt;/author&gt;&lt;author&gt;Zoli, Wainer&lt;/author&gt;&lt;/authors&gt;&lt;/contributors&gt;&lt;titles&gt;&lt;title&gt;Characterization of Molecular Alterations of BRCA1/2: Analysis and Interpretation Guidelines&lt;/title&gt;&lt;secondary-title&gt;Current Women&amp;apos;s Health Reviews&lt;/secondary-title&gt;&lt;/titles&gt;&lt;periodical&gt;&lt;full-title&gt;Current Women&amp;apos;s Health Reviews&lt;/full-title&gt;&lt;/periodical&gt;&lt;pages&gt;4-11&lt;/pages&gt;&lt;volume&gt;8&lt;/volume&gt;&lt;number&gt;1&lt;/number&gt;&lt;keywords&gt;&lt;keyword&gt;Allele-Specific Oligonucleotide Hybridisation&lt;/keyword&gt;&lt;keyword&gt;BRCA1&lt;/keyword&gt;&lt;keyword&gt;BRCA2&lt;/keyword&gt;&lt;keyword&gt;Breast Cancer Information Core&lt;/keyword&gt;&lt;keyword&gt;Protein Truncation Test&lt;/keyword&gt;&lt;keyword&gt;Sequence analysis&lt;/keyword&gt;&lt;keyword&gt;breast cancer&lt;/keyword&gt;&lt;keyword&gt;genetic variant&lt;/keyword&gt;&lt;keyword&gt;unclassified variant&lt;/keyword&gt;&lt;keyword&gt;web based database&lt;/keyword&gt;&lt;/keywords&gt;&lt;dates&gt;&lt;year&gt;2012&lt;/year&gt;&lt;pub-dates&gt;&lt;date&gt;//&lt;/date&gt;&lt;/pub-dates&gt;&lt;/dates&gt;&lt;urls&gt;&lt;related-urls&gt;&lt;url&gt;http://www.ingentaconnect.com/content/ben/cwhr/2012/00000008/00000001/art00003&lt;/url&gt;&lt;url&gt;https://doi.org/10.2174/157340412799079309&lt;/url&gt;&lt;url&gt;http://www.eurekaselect.com/89419/article&lt;/url&gt;&lt;/related-urls&gt;&lt;/urls&gt;&lt;electronic-resource-num&gt;10.2174/157340412799079309&lt;/electronic-resource-num&gt;&lt;/record&gt;&lt;/Cite&gt;&lt;/EndNote&gt;</w:instrText>
      </w:r>
      <w:r>
        <w:fldChar w:fldCharType="separate"/>
      </w:r>
      <w:r w:rsidR="005305AC">
        <w:rPr>
          <w:noProof/>
        </w:rPr>
        <w:t>[12]</w:t>
      </w:r>
      <w:r>
        <w:fldChar w:fldCharType="end"/>
      </w:r>
      <w:r>
        <w:t>.</w:t>
      </w:r>
      <w:r w:rsidR="0081772D">
        <w:t xml:space="preserve"> </w:t>
      </w:r>
      <w:r>
        <w:t>These include National Human Genome Research Institute, Leiden Open Variation Database (LOVD), or National Genetics Reference Laboratory-Manchester (DMuDB)</w:t>
      </w:r>
      <w:r>
        <w:fldChar w:fldCharType="begin"/>
      </w:r>
      <w:r w:rsidR="005305AC">
        <w:instrText xml:space="preserve"> ADDIN EN.CITE &lt;EndNote&gt;&lt;Cite&gt;&lt;Author&gt;Cancer Institute of NSW&lt;/Author&gt;&lt;Year&gt;2010&lt;/Year&gt;&lt;RecNum&gt;26&lt;/RecNum&gt;&lt;DisplayText&gt;[15]&lt;/DisplayText&gt;&lt;record&gt;&lt;rec-number&gt;26&lt;/rec-number&gt;&lt;foreign-keys&gt;&lt;key app="EN" db-id="aadaavff2002s7efdx25t0d9f9awrd0v0vxv" timestamp="1510040101"&gt;26&lt;/key&gt;&lt;/foreign-keys&gt;&lt;ref-type name="Web Page"&gt;12&lt;/ref-type&gt;&lt;contributors&gt;&lt;authors&gt;&lt;author&gt;Cancer Institute of NSW,&lt;/author&gt;&lt;/authors&gt;&lt;/contributors&gt;&lt;titles&gt;&lt;title&gt;Genetic testing for heritable mutations in the BRCA1 and BRCA2 genes&lt;/title&gt;&lt;secondary-title&gt;eviQ Cancer Treatments Online&lt;/secondary-title&gt;&lt;/titles&gt;&lt;dates&gt;&lt;year&gt;2010&lt;/year&gt;&lt;/dates&gt;&lt;pub-location&gt;Sydney&lt;/pub-location&gt;&lt;urls&gt;&lt;related-urls&gt;&lt;url&gt;&lt;style face="underline" font="default" size="100%"&gt;https://www.eviq.org.au/cancer-genetics/genetic-testing-for-heritable-mutations/620-genetic-testing-for-heritable-mutations-in-the&lt;/style&gt;&lt;/url&gt;&lt;/related-urls&gt;&lt;/urls&gt;&lt;custom1&gt;2017&lt;/custom1&gt;&lt;custom2&gt;07 Nov&lt;/custom2&gt;&lt;/record&gt;&lt;/Cite&gt;&lt;/EndNote&gt;</w:instrText>
      </w:r>
      <w:r>
        <w:fldChar w:fldCharType="separate"/>
      </w:r>
      <w:r w:rsidR="005305AC">
        <w:rPr>
          <w:noProof/>
        </w:rPr>
        <w:t>[15]</w:t>
      </w:r>
      <w:r>
        <w:fldChar w:fldCharType="end"/>
      </w:r>
      <w:r>
        <w:t xml:space="preserve">. The PBS restriction for olaparib for the treatment of ovarian cancer require patients to have </w:t>
      </w:r>
      <w:r w:rsidRPr="002A72FC">
        <w:t>a germline class 4 or 5 BRCA1 or BRCA2 gene mutation</w:t>
      </w:r>
      <w:r>
        <w:t xml:space="preserve"> </w:t>
      </w:r>
      <w:r>
        <w:fldChar w:fldCharType="begin"/>
      </w:r>
      <w:r w:rsidR="005305AC">
        <w:instrText xml:space="preserve"> ADDIN EN.CITE &lt;EndNote&gt;&lt;Cite&gt;&lt;Author&gt;Department of Health&lt;/Author&gt;&lt;Year&gt;2017&lt;/Year&gt;&lt;RecNum&gt;27&lt;/RecNum&gt;&lt;DisplayText&gt;[21]&lt;/DisplayText&gt;&lt;record&gt;&lt;rec-number&gt;27&lt;/rec-number&gt;&lt;foreign-keys&gt;&lt;key app="EN" db-id="aadaavff2002s7efdx25t0d9f9awrd0v0vxv" timestamp="1510040378"&gt;27&lt;/key&gt;&lt;/foreign-keys&gt;&lt;ref-type name="Web Page"&gt;12&lt;/ref-type&gt;&lt;contributors&gt;&lt;authors&gt;&lt;author&gt;Department of Health,&lt;/author&gt;&lt;/authors&gt;&lt;/contributors&gt;&lt;titles&gt;&lt;title&gt;Schedule of Pharmaceutical Benefits  (November 2017)&lt;/title&gt;&lt;/titles&gt;&lt;dates&gt;&lt;year&gt;2017&lt;/year&gt;&lt;pub-dates&gt;&lt;date&gt;1 Nov 2017&lt;/date&gt;&lt;/pub-dates&gt;&lt;/dates&gt;&lt;pub-location&gt;Canberra&lt;/pub-location&gt;&lt;publisher&gt;Department of Health&lt;/publisher&gt;&lt;urls&gt;&lt;related-urls&gt;&lt;url&gt;&lt;style face="underline" font="default" size="100%"&gt;http://www.pbs.gov.au/browse/publications&lt;/style&gt;&lt;/url&gt;&lt;/related-urls&gt;&lt;/urls&gt;&lt;custom1&gt;2017&lt;/custom1&gt;&lt;custom2&gt;7 Nov&lt;/custom2&gt;&lt;/record&gt;&lt;/Cite&gt;&lt;/EndNote&gt;</w:instrText>
      </w:r>
      <w:r>
        <w:fldChar w:fldCharType="separate"/>
      </w:r>
      <w:r w:rsidR="005305AC">
        <w:rPr>
          <w:noProof/>
        </w:rPr>
        <w:t>[21]</w:t>
      </w:r>
      <w:r>
        <w:fldChar w:fldCharType="end"/>
      </w:r>
      <w:r w:rsidRPr="002A72FC">
        <w:t>.</w:t>
      </w:r>
    </w:p>
    <w:p w14:paraId="0F337C6F" w14:textId="04AE5D79" w:rsidR="00F079EE" w:rsidRDefault="00F079EE" w:rsidP="00870120">
      <w:r>
        <w:t xml:space="preserve">Individuals are classified as BRCA mutation positive if they are found to have a deleterious or suspected deleterious BRCA mutation, which is likely to inactivate or alter the function of the BRCA1 or BRCA2 protein product. Those who have no mutation detected or are found to have a VUS or benign variant are classified as BRCA mutation negative. As a result, the failure to identify a mutation </w:t>
      </w:r>
      <w:r>
        <w:lastRenderedPageBreak/>
        <w:t xml:space="preserve">does not </w:t>
      </w:r>
      <w:r w:rsidRPr="00112B48">
        <w:t>necessari</w:t>
      </w:r>
      <w:r>
        <w:t xml:space="preserve">ly mean that the gene is normal </w:t>
      </w:r>
      <w:r>
        <w:fldChar w:fldCharType="begin"/>
      </w:r>
      <w:r w:rsidR="005305AC">
        <w:instrText xml:space="preserve"> ADDIN EN.CITE &lt;EndNote&gt;&lt;Cite&gt;&lt;Author&gt;Royal College of Pathologists of Australasia&lt;/Author&gt;&lt;Year&gt;2017&lt;/Year&gt;&lt;RecNum&gt;22&lt;/RecNum&gt;&lt;DisplayText&gt;[22, 23]&lt;/DisplayText&gt;&lt;record&gt;&lt;rec-number&gt;22&lt;/rec-number&gt;&lt;foreign-keys&gt;&lt;key app="EN" db-id="aadaavff2002s7efdx25t0d9f9awrd0v0vxv" timestamp="1509952884"&gt;22&lt;/key&gt;&lt;/foreign-keys&gt;&lt;ref-type name="Web Page"&gt;12&lt;/ref-type&gt;&lt;contributors&gt;&lt;authors&gt;&lt;author&gt;Royal College of Pathologists of Australasia,&lt;/author&gt;&lt;/authors&gt;&lt;/contributors&gt;&lt;titles&gt;&lt;title&gt;RCPA catalogue of genetic tests and laboratories BRCA1&lt;/title&gt;&lt;/titles&gt;&lt;volume&gt;2017&lt;/volume&gt;&lt;number&gt;6 Nov&lt;/number&gt;&lt;dates&gt;&lt;year&gt;2017&lt;/year&gt;&lt;/dates&gt;&lt;work-type&gt;2 May 2017&lt;/work-type&gt;&lt;urls&gt;&lt;related-urls&gt;&lt;url&gt;&lt;style face="underline" font="default" size="100%"&gt;http://www.rcpa.edu.au/Library/Practising-Pathology/RCPA-Genetic-Testing/rgtl/Items/GeneDetail?Symbol=BRCA1&lt;/style&gt;&lt;/url&gt;&lt;/related-urls&gt;&lt;/urls&gt;&lt;/record&gt;&lt;/Cite&gt;&lt;Cite&gt;&lt;Author&gt;Royal College of Pathologists of Australasia&lt;/Author&gt;&lt;Year&gt;2017&lt;/Year&gt;&lt;RecNum&gt;23&lt;/RecNum&gt;&lt;record&gt;&lt;rec-number&gt;23&lt;/rec-number&gt;&lt;foreign-keys&gt;&lt;key app="EN" db-id="aadaavff2002s7efdx25t0d9f9awrd0v0vxv" timestamp="1509952934"&gt;23&lt;/key&gt;&lt;/foreign-keys&gt;&lt;ref-type name="Web Page"&gt;12&lt;/ref-type&gt;&lt;contributors&gt;&lt;authors&gt;&lt;author&gt;Royal College of Pathologists of Australasia,&lt;/author&gt;&lt;/authors&gt;&lt;/contributors&gt;&lt;titles&gt;&lt;title&gt;RCPA catalogue of genetic tests and laboratories BRCA2&lt;/title&gt;&lt;/titles&gt;&lt;volume&gt;2017&lt;/volume&gt;&lt;number&gt;6 Nov&lt;/number&gt;&lt;dates&gt;&lt;year&gt;2017&lt;/year&gt;&lt;/dates&gt;&lt;work-type&gt;2 May 2017&lt;/work-type&gt;&lt;urls&gt;&lt;related-urls&gt;&lt;url&gt;&lt;style face="underline" font="default" size="100%"&gt;http://www.rcpa.edu.au/Library/Practising-Pathology/RCPA-Genetic-Testing/rgtl/Items/GeneDetail?Symbol=BRCA2&lt;/style&gt;&lt;/url&gt;&lt;/related-urls&gt;&lt;/urls&gt;&lt;/record&gt;&lt;/Cite&gt;&lt;/EndNote&gt;</w:instrText>
      </w:r>
      <w:r>
        <w:fldChar w:fldCharType="separate"/>
      </w:r>
      <w:r w:rsidR="005305AC">
        <w:rPr>
          <w:noProof/>
        </w:rPr>
        <w:t>[22, 23]</w:t>
      </w:r>
      <w:r>
        <w:fldChar w:fldCharType="end"/>
      </w:r>
      <w:r>
        <w:t xml:space="preserve">. The classification of germline BRCA1/2 variants may differ between databases and the </w:t>
      </w:r>
      <w:r w:rsidR="00EA50DD">
        <w:t>number of variants listed differ</w:t>
      </w:r>
      <w:r>
        <w:t xml:space="preserve"> between databases </w:t>
      </w:r>
      <w:r>
        <w:fldChar w:fldCharType="begin">
          <w:fldData xml:space="preserve">PEVuZE5vdGU+PENpdGU+PEF1dGhvcj5WYWlsPC9BdXRob3I+PFllYXI+MjAxNTwvWWVhcj48UmVj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</w:fldData>
        </w:fldChar>
      </w:r>
      <w:r w:rsidR="005305AC">
        <w:instrText xml:space="preserve"> ADDIN EN.CITE </w:instrText>
      </w:r>
      <w:r w:rsidR="005305AC">
        <w:fldChar w:fldCharType="begin">
          <w:fldData xml:space="preserve">PEVuZE5vdGU+PENpdGU+PEF1dGhvcj5WYWlsPC9BdXRob3I+PFllYXI+MjAxNTwvWWVhcj48UmVj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</w:fldData>
        </w:fldChar>
      </w:r>
      <w:r w:rsidR="005305AC">
        <w:instrText xml:space="preserve"> ADDIN EN.CITE.DATA </w:instrText>
      </w:r>
      <w:r w:rsidR="005305AC">
        <w:fldChar w:fldCharType="end"/>
      </w:r>
      <w:r>
        <w:fldChar w:fldCharType="separate"/>
      </w:r>
      <w:r w:rsidR="005305AC">
        <w:rPr>
          <w:noProof/>
        </w:rPr>
        <w:t>[24]</w:t>
      </w:r>
      <w:r>
        <w:fldChar w:fldCharType="end"/>
      </w:r>
      <w:r>
        <w:t>.</w:t>
      </w:r>
      <w:r w:rsidR="0081772D">
        <w:t xml:space="preserve"> </w:t>
      </w:r>
      <w:r w:rsidR="004B7E72">
        <w:t>The pivotal trial for olaparib (OlymiaAD) included patients with had a con</w:t>
      </w:r>
      <w:r w:rsidR="004B7E72" w:rsidRPr="004B7E72">
        <w:t>firmed deleterious or suspected delet</w:t>
      </w:r>
      <w:r w:rsidR="004B7E72">
        <w:t>erious germline BRCA mutation</w:t>
      </w:r>
      <w:r w:rsidR="005305AC">
        <w:fldChar w:fldCharType="begin"/>
      </w:r>
      <w:r w:rsidR="005305AC">
        <w:instrText xml:space="preserve"> ADDIN EN.CITE &lt;EndNote&gt;&lt;Cite&gt;&lt;Author&gt;Robson&lt;/Author&gt;&lt;Year&gt;2017&lt;/Year&gt;&lt;RecNum&gt;28&lt;/RecNum&gt;&lt;DisplayText&gt;[10]&lt;/DisplayText&gt;&lt;record&gt;&lt;rec-number&gt;28&lt;/rec-number&gt;&lt;foreign-keys&gt;&lt;key app="EN" db-id="aadaavff2002s7efdx25t0d9f9awrd0v0vxv" timestamp="1510094786"&gt;28&lt;/key&gt;&lt;/foreign-keys&gt;&lt;ref-type name="Journal Article"&gt;17&lt;/ref-type&gt;&lt;contributors&gt;&lt;authors&gt;&lt;author&gt;Robson, Mark&lt;/author&gt;&lt;author&gt;Im, Seock-Ah&lt;/author&gt;&lt;author&gt;Senkus, Elżbieta&lt;/author&gt;&lt;author&gt;Xu, Binghe&lt;/author&gt;&lt;author&gt;Domchek, Susan M.&lt;/author&gt;&lt;author&gt;Masuda, Norikazu&lt;/author&gt;&lt;author&gt;Delaloge, Suzette&lt;/author&gt;&lt;author&gt;Li, Wei&lt;/author&gt;&lt;author&gt;Tung, Nadine&lt;/author&gt;&lt;author&gt;Armstrong, Anne&lt;/author&gt;&lt;author&gt;Wu, Wenting&lt;/author&gt;&lt;author&gt;Goessl, Carsten&lt;/author&gt;&lt;author&gt;Runswick, Sarah&lt;/author&gt;&lt;author&gt;Conte, Pierfranco&lt;/author&gt;&lt;/authors&gt;&lt;/contributors&gt;&lt;titles&gt;&lt;title&gt;Olaparib for Metastatic Breast Cancer in Patients with a Germline BRCA Mutation&lt;/title&gt;&lt;secondary-title&gt;New England Journal of Medicine&lt;/secondary-title&gt;&lt;/titles&gt;&lt;periodical&gt;&lt;full-title&gt;New England Journal of Medicine&lt;/full-title&gt;&lt;/periodical&gt;&lt;pages&gt;523-533&lt;/pages&gt;&lt;volume&gt;377&lt;/volume&gt;&lt;number&gt;6&lt;/number&gt;&lt;dates&gt;&lt;year&gt;2017&lt;/year&gt;&lt;/dates&gt;&lt;accession-num&gt;28578601&lt;/accession-num&gt;&lt;urls&gt;&lt;related-urls&gt;&lt;url&gt;http://www.nejm.org/doi/full/10.1056/NEJMoa1706450&lt;/url&gt;&lt;/related-urls&gt;&lt;/urls&gt;&lt;electronic-resource-num&gt;10.1056/NEJMoa1706450&lt;/electronic-resource-num&gt;&lt;/record&gt;&lt;/Cite&gt;&lt;/EndNote&gt;</w:instrText>
      </w:r>
      <w:r w:rsidR="005305AC">
        <w:fldChar w:fldCharType="separate"/>
      </w:r>
      <w:r w:rsidR="005305AC">
        <w:rPr>
          <w:noProof/>
        </w:rPr>
        <w:t>[10]</w:t>
      </w:r>
      <w:r w:rsidR="005305AC">
        <w:fldChar w:fldCharType="end"/>
      </w:r>
      <w:r w:rsidR="004B7E72">
        <w:t xml:space="preserve">. </w:t>
      </w:r>
    </w:p>
    <w:p w14:paraId="770D86B7" w14:textId="151F7510" w:rsidR="00CE12D7" w:rsidRPr="00E2060C" w:rsidRDefault="00CE12D7" w:rsidP="00870120">
      <w:pPr>
        <w:rPr>
          <w:u w:val="single"/>
        </w:rPr>
      </w:pPr>
      <w:r w:rsidRPr="00E2060C">
        <w:rPr>
          <w:u w:val="single"/>
        </w:rPr>
        <w:t xml:space="preserve">Delivery </w:t>
      </w:r>
    </w:p>
    <w:p w14:paraId="567DDB18" w14:textId="4AA21784" w:rsidR="0072352E" w:rsidRDefault="00CA1738" w:rsidP="00870120">
      <w:r>
        <w:t xml:space="preserve">Patients </w:t>
      </w:r>
      <w:r w:rsidR="00935CA2">
        <w:t xml:space="preserve">eligible for BRCA testing under the proposed item </w:t>
      </w:r>
      <w:r>
        <w:t xml:space="preserve">will be referred to a Genetic Services or </w:t>
      </w:r>
      <w:r w:rsidRPr="00CA1738">
        <w:t>Familial Cancer Centre by a medical practitioner</w:t>
      </w:r>
      <w:r>
        <w:t xml:space="preserve">, usually a medical oncologist, </w:t>
      </w:r>
      <w:r w:rsidRPr="00CA1738">
        <w:t>for a pre-test consultation.</w:t>
      </w:r>
      <w:r w:rsidR="00DC2447">
        <w:t xml:space="preserve"> This </w:t>
      </w:r>
      <w:r w:rsidR="00935CA2">
        <w:t xml:space="preserve">will involve </w:t>
      </w:r>
      <w:r w:rsidR="00DC2447">
        <w:t xml:space="preserve">the </w:t>
      </w:r>
      <w:r w:rsidR="00DC2447" w:rsidRPr="00DC2447">
        <w:t>Genetic Services/Familial Cancer Centre team provid</w:t>
      </w:r>
      <w:r w:rsidR="00DC2447">
        <w:t>ing</w:t>
      </w:r>
      <w:r w:rsidR="00DC2447" w:rsidRPr="00DC2447">
        <w:t xml:space="preserve"> information about genetics, inheritance (family risk) and genetic testing.</w:t>
      </w:r>
      <w:r w:rsidR="00DC2447">
        <w:t xml:space="preserve"> Patients who proceed with screening wi</w:t>
      </w:r>
      <w:r w:rsidR="007B5303">
        <w:t>ll</w:t>
      </w:r>
      <w:r w:rsidR="00DC2447">
        <w:t xml:space="preserve"> sign a consent form. </w:t>
      </w:r>
      <w:r w:rsidR="0072352E">
        <w:t>A blood sample is required to be taken from the patient to assess for g</w:t>
      </w:r>
      <w:r w:rsidR="00EE1BEC">
        <w:t>ermline BRCA testing.</w:t>
      </w:r>
      <w:r w:rsidR="0072352E">
        <w:t xml:space="preserve"> Following this, the sample is sent to pathology laboratory where BRCA testing is performed. The expected turnaround time for test results is approximately </w:t>
      </w:r>
      <w:r w:rsidR="00EE1BEC">
        <w:t xml:space="preserve">three to eight weeks. </w:t>
      </w:r>
    </w:p>
    <w:p w14:paraId="7C84BDF6" w14:textId="207387CD" w:rsidR="00CA1738" w:rsidRDefault="00EE1BEC" w:rsidP="00870120">
      <w:r w:rsidRPr="00EE1BEC">
        <w:t xml:space="preserve">If a </w:t>
      </w:r>
      <w:r w:rsidR="00E15E33">
        <w:t xml:space="preserve">pathogenic </w:t>
      </w:r>
      <w:r w:rsidRPr="00EE1BEC">
        <w:t xml:space="preserve">BRCA mutation is detected, a face to face post-test counselling appointment with the patient and their family is arranged to deliver the results. If the </w:t>
      </w:r>
      <w:r w:rsidR="00E15E33">
        <w:t xml:space="preserve">test detects </w:t>
      </w:r>
      <w:r w:rsidRPr="00EE1BEC">
        <w:t>a</w:t>
      </w:r>
      <w:r w:rsidR="0072352E">
        <w:t xml:space="preserve"> </w:t>
      </w:r>
      <w:r w:rsidRPr="00EE1BEC">
        <w:t>VUS or strong family history</w:t>
      </w:r>
      <w:r w:rsidR="002521EC">
        <w:t xml:space="preserve"> is present, </w:t>
      </w:r>
      <w:r w:rsidRPr="00EE1BEC">
        <w:t>a face-to- face appointment</w:t>
      </w:r>
      <w:r w:rsidR="002521EC">
        <w:t xml:space="preserve"> </w:t>
      </w:r>
      <w:r w:rsidR="00E15E33">
        <w:t xml:space="preserve">may also occur. </w:t>
      </w:r>
    </w:p>
    <w:p w14:paraId="48BE156A" w14:textId="6CBA1D1B" w:rsidR="008A3266" w:rsidRDefault="002C436E" w:rsidP="00EA5034">
      <w:r>
        <w:t>Germline BRCA mutations can be detected using a variety of methods. Sanger sequencing is the reference standa</w:t>
      </w:r>
      <w:r w:rsidR="00304BD5">
        <w:t xml:space="preserve">rd for detecting BRCA mutations </w:t>
      </w:r>
      <w:r w:rsidR="008A3266">
        <w:fldChar w:fldCharType="begin"/>
      </w:r>
      <w:r w:rsidR="005305AC">
        <w:instrText xml:space="preserve"> ADDIN EN.CITE &lt;EndNote&gt;&lt;Cite&gt;&lt;Author&gt;Calistri&lt;/Author&gt;&lt;Year&gt;2012&lt;/Year&gt;&lt;RecNum&gt;24&lt;/RecNum&gt;&lt;DisplayText&gt;[12]&lt;/DisplayText&gt;&lt;record&gt;&lt;rec-number&gt;24&lt;/rec-number&gt;&lt;foreign-keys&gt;&lt;key app="EN" db-id="aadaavff2002s7efdx25t0d9f9awrd0v0vxv" timestamp="1510012368"&gt;24&lt;/key&gt;&lt;/foreign-keys&gt;&lt;ref-type name="Journal Article"&gt;17&lt;/ref-type&gt;&lt;contributors&gt;&lt;authors&gt;&lt;author&gt;Calistri, Daniele&lt;/author&gt;&lt;author&gt;Zampiga, Valentina&lt;/author&gt;&lt;author&gt;Zoli, Wainer&lt;/author&gt;&lt;/authors&gt;&lt;/contributors&gt;&lt;titles&gt;&lt;title&gt;Characterization of Molecular Alterations of BRCA1/2: Analysis and Interpretation Guidelines&lt;/title&gt;&lt;secondary-title&gt;Current Women&amp;apos;s Health Reviews&lt;/secondary-title&gt;&lt;/titles&gt;&lt;periodical&gt;&lt;full-title&gt;Current Women&amp;apos;s Health Reviews&lt;/full-title&gt;&lt;/periodical&gt;&lt;pages&gt;4-11&lt;/pages&gt;&lt;volume&gt;8&lt;/volume&gt;&lt;number&gt;1&lt;/number&gt;&lt;keywords&gt;&lt;keyword&gt;Allele-Specific Oligonucleotide Hybridisation&lt;/keyword&gt;&lt;keyword&gt;BRCA1&lt;/keyword&gt;&lt;keyword&gt;BRCA2&lt;/keyword&gt;&lt;keyword&gt;Breast Cancer Information Core&lt;/keyword&gt;&lt;keyword&gt;Protein Truncation Test&lt;/keyword&gt;&lt;keyword&gt;Sequence analysis&lt;/keyword&gt;&lt;keyword&gt;breast cancer&lt;/keyword&gt;&lt;keyword&gt;genetic variant&lt;/keyword&gt;&lt;keyword&gt;unclassified variant&lt;/keyword&gt;&lt;keyword&gt;web based database&lt;/keyword&gt;&lt;/keywords&gt;&lt;dates&gt;&lt;year&gt;2012&lt;/year&gt;&lt;pub-dates&gt;&lt;date&gt;//&lt;/date&gt;&lt;/pub-dates&gt;&lt;/dates&gt;&lt;urls&gt;&lt;related-urls&gt;&lt;url&gt;http://www.ingentaconnect.com/content/ben/cwhr/2012/00000008/00000001/art00003&lt;/url&gt;&lt;url&gt;https://doi.org/10.2174/157340412799079309&lt;/url&gt;&lt;url&gt;http://www.eurekaselect.com/89419/article&lt;/url&gt;&lt;/related-urls&gt;&lt;/urls&gt;&lt;electronic-resource-num&gt;10.2174/157340412799079309&lt;/electronic-resource-num&gt;&lt;/record&gt;&lt;/Cite&gt;&lt;/EndNote&gt;</w:instrText>
      </w:r>
      <w:r w:rsidR="008A3266">
        <w:fldChar w:fldCharType="separate"/>
      </w:r>
      <w:r w:rsidR="005305AC">
        <w:rPr>
          <w:noProof/>
        </w:rPr>
        <w:t>[12]</w:t>
      </w:r>
      <w:r w:rsidR="008A3266">
        <w:fldChar w:fldCharType="end"/>
      </w:r>
      <w:r w:rsidR="00304BD5">
        <w:t>.</w:t>
      </w:r>
      <w:r>
        <w:t xml:space="preserve"> </w:t>
      </w:r>
      <w:r w:rsidR="00E861C6">
        <w:t>Next-generation sequencing (NGS), which</w:t>
      </w:r>
      <w:r w:rsidR="0068369E">
        <w:t xml:space="preserve"> is</w:t>
      </w:r>
      <w:r w:rsidR="00E861C6">
        <w:t xml:space="preserve"> also known as </w:t>
      </w:r>
      <w:r w:rsidR="00E861C6" w:rsidRPr="00B95164">
        <w:t>massive parallel sequencing</w:t>
      </w:r>
      <w:r w:rsidR="00E861C6">
        <w:t xml:space="preserve">, </w:t>
      </w:r>
      <w:r w:rsidR="0068369E">
        <w:t xml:space="preserve">is </w:t>
      </w:r>
      <w:r w:rsidR="00E861C6">
        <w:t xml:space="preserve">commonly used in Australian practice. The application stated that </w:t>
      </w:r>
      <w:r w:rsidR="00E861C6" w:rsidRPr="00E861C6">
        <w:t>the majority (90%) of laboratories are using MiSeq - NGS platform (Illumina). Other platforms in use are Ion Torrent - NGS platform (Life Technologies – Thermo Fisher) and Applied biosystems – Sanger Sequencing (Life Technologies – Thermo Fisher).</w:t>
      </w:r>
      <w:r w:rsidR="0068369E">
        <w:t xml:space="preserve"> </w:t>
      </w:r>
      <w:r w:rsidR="006C291C">
        <w:t xml:space="preserve">In the </w:t>
      </w:r>
      <w:r w:rsidR="00300B72">
        <w:t xml:space="preserve">pivotal </w:t>
      </w:r>
      <w:r w:rsidR="006C291C">
        <w:t xml:space="preserve">trial for olaparib (OlymiaAD), </w:t>
      </w:r>
      <w:r w:rsidR="00F903DE">
        <w:t xml:space="preserve">464 </w:t>
      </w:r>
      <w:r w:rsidR="006C291C">
        <w:t>participants had their germline BRCA mutation status d</w:t>
      </w:r>
      <w:r w:rsidR="00F903DE">
        <w:t xml:space="preserve">etected </w:t>
      </w:r>
      <w:r w:rsidR="006C291C">
        <w:t xml:space="preserve">or confirmed using the </w:t>
      </w:r>
      <w:r w:rsidR="006C291C" w:rsidRPr="006C291C">
        <w:t>BRACAnalysis (Myriad Genetics)</w:t>
      </w:r>
      <w:r w:rsidR="006C291C">
        <w:t xml:space="preserve"> test</w:t>
      </w:r>
      <w:r w:rsidR="00F903DE">
        <w:t xml:space="preserve"> and five patients were </w:t>
      </w:r>
      <w:r w:rsidR="003E3281">
        <w:t>tested using local testing only</w:t>
      </w:r>
      <w:r w:rsidR="0068369E">
        <w:t xml:space="preserve"> </w:t>
      </w:r>
      <w:r w:rsidR="006C291C">
        <w:fldChar w:fldCharType="begin"/>
      </w:r>
      <w:r w:rsidR="005305AC">
        <w:instrText xml:space="preserve"> ADDIN EN.CITE &lt;EndNote&gt;&lt;Cite&gt;&lt;Author&gt;Robson&lt;/Author&gt;&lt;Year&gt;2017&lt;/Year&gt;&lt;RecNum&gt;28&lt;/RecNum&gt;&lt;DisplayText&gt;[10]&lt;/DisplayText&gt;&lt;record&gt;&lt;rec-number&gt;28&lt;/rec-number&gt;&lt;foreign-keys&gt;&lt;key app="EN" db-id="aadaavff2002s7efdx25t0d9f9awrd0v0vxv" timestamp="1510094786"&gt;28&lt;/key&gt;&lt;/foreign-keys&gt;&lt;ref-type name="Journal Article"&gt;17&lt;/ref-type&gt;&lt;contributors&gt;&lt;authors&gt;&lt;author&gt;Robson, Mark&lt;/author&gt;&lt;author&gt;Im, Seock-Ah&lt;/author&gt;&lt;author&gt;Senkus, Elżbieta&lt;/author&gt;&lt;author&gt;Xu, Binghe&lt;/author&gt;&lt;author&gt;Domchek, Susan M.&lt;/author&gt;&lt;author&gt;Masuda, Norikazu&lt;/author&gt;&lt;author&gt;Delaloge, Suzette&lt;/author&gt;&lt;author&gt;Li, Wei&lt;/author&gt;&lt;author&gt;Tung, Nadine&lt;/author&gt;&lt;author&gt;Armstrong, Anne&lt;/author&gt;&lt;author&gt;Wu, Wenting&lt;/author&gt;&lt;author&gt;Goessl, Carsten&lt;/author&gt;&lt;author&gt;Runswick, Sarah&lt;/author&gt;&lt;author&gt;Conte, Pierfranco&lt;/author&gt;&lt;/authors&gt;&lt;/contributors&gt;&lt;titles&gt;&lt;title&gt;Olaparib for Metastatic Breast Cancer in Patients with a Germline BRCA Mutation&lt;/title&gt;&lt;secondary-title&gt;New England Journal of Medicine&lt;/secondary-title&gt;&lt;/titles&gt;&lt;periodical&gt;&lt;full-title&gt;New England Journal of Medicine&lt;/full-title&gt;&lt;/periodical&gt;&lt;pages&gt;523-533&lt;/pages&gt;&lt;volume&gt;377&lt;/volume&gt;&lt;number&gt;6&lt;/number&gt;&lt;dates&gt;&lt;year&gt;2017&lt;/year&gt;&lt;/dates&gt;&lt;accession-num&gt;28578601&lt;/accession-num&gt;&lt;urls&gt;&lt;related-urls&gt;&lt;url&gt;http://www.nejm.org/doi/full/10.1056/NEJMoa1706450&lt;/url&gt;&lt;/related-urls&gt;&lt;/urls&gt;&lt;electronic-resource-num&gt;10.1056/NEJMoa1706450&lt;/electronic-resource-num&gt;&lt;/record&gt;&lt;/Cite&gt;&lt;/EndNote&gt;</w:instrText>
      </w:r>
      <w:r w:rsidR="006C291C">
        <w:fldChar w:fldCharType="separate"/>
      </w:r>
      <w:r w:rsidR="005305AC">
        <w:rPr>
          <w:noProof/>
        </w:rPr>
        <w:t>[10]</w:t>
      </w:r>
      <w:r w:rsidR="006C291C">
        <w:fldChar w:fldCharType="end"/>
      </w:r>
      <w:r w:rsidR="006C291C">
        <w:t>.</w:t>
      </w:r>
      <w:r w:rsidR="0081772D">
        <w:t xml:space="preserve"> </w:t>
      </w:r>
      <w:r w:rsidR="00EA5034">
        <w:t xml:space="preserve">Genetic Technologies Ltd held the exclusive licence in Australia for </w:t>
      </w:r>
      <w:r w:rsidR="00EA5034" w:rsidRPr="006C291C">
        <w:t>BRACAnalysis</w:t>
      </w:r>
      <w:r w:rsidR="00EA5034">
        <w:t xml:space="preserve"> </w:t>
      </w:r>
      <w:r w:rsidR="00EA5034">
        <w:fldChar w:fldCharType="begin"/>
      </w:r>
      <w:r w:rsidR="00EA5034">
        <w:instrText xml:space="preserve"> ADDIN EN.CITE &lt;EndNote&gt;&lt;Cite&gt;&lt;RecNum&gt;36&lt;/RecNum&gt;&lt;DisplayText&gt;[25]&lt;/DisplayText&gt;&lt;record&gt;&lt;rec-number&gt;36&lt;/rec-number&gt;&lt;foreign-keys&gt;&lt;key app="EN" db-id="aadaavff2002s7efdx25t0d9f9awrd0v0vxv" timestamp="1510527117"&gt;36&lt;/key&gt;&lt;/foreign-keys&gt;&lt;ref-type name="Legal Rule or Regulation"&gt;50&lt;/ref-type&gt;&lt;contributors&gt;&lt;/contributors&gt;&lt;titles&gt;&lt;title&gt;D&amp;apos;Arcy v Myriad Genetics Inc [2015] HCA 35&lt;/title&gt;&lt;/titles&gt;&lt;dates&gt;&lt;/dates&gt;&lt;urls&gt;&lt;related-urls&gt;&lt;url&gt;&lt;style face="underline" font="default" size="100%"&gt;http://eresources.hcourt.gov.au/downloadPdf/2015/HCA/35&lt;/style&gt;&lt;/url&gt;&lt;/related-urls&gt;&lt;/urls&gt;&lt;/record&gt;&lt;/Cite&gt;&lt;/EndNote&gt;</w:instrText>
      </w:r>
      <w:r w:rsidR="00EA5034">
        <w:fldChar w:fldCharType="separate"/>
      </w:r>
      <w:r w:rsidR="00EA5034">
        <w:rPr>
          <w:noProof/>
        </w:rPr>
        <w:t>[25]</w:t>
      </w:r>
      <w:r w:rsidR="00EA5034">
        <w:fldChar w:fldCharType="end"/>
      </w:r>
      <w:r w:rsidR="00EA5034">
        <w:t>.</w:t>
      </w:r>
    </w:p>
    <w:p w14:paraId="5DD8F0EB" w14:textId="669F49AD" w:rsidR="00F079EE" w:rsidRPr="003E3281" w:rsidRDefault="00F079EE" w:rsidP="00870120">
      <w:pPr>
        <w:rPr>
          <w:u w:val="single"/>
        </w:rPr>
      </w:pPr>
      <w:r w:rsidRPr="003E3281">
        <w:rPr>
          <w:u w:val="single"/>
        </w:rPr>
        <w:t>Regulatory information</w:t>
      </w:r>
    </w:p>
    <w:p w14:paraId="5802020A" w14:textId="2703F736" w:rsidR="006B6E33" w:rsidRDefault="006B6E33" w:rsidP="00870120">
      <w:r>
        <w:t xml:space="preserve">The application stated that </w:t>
      </w:r>
      <w:r w:rsidRPr="006B6E33">
        <w:t xml:space="preserve">all molecular pathology service providers that </w:t>
      </w:r>
      <w:r>
        <w:t>currently perform germline BRCA mutation</w:t>
      </w:r>
      <w:r w:rsidRPr="006B6E33">
        <w:t xml:space="preserve"> testing services in Australia use in-house developed testing methods</w:t>
      </w:r>
      <w:r>
        <w:t xml:space="preserve">, not commercial test kits. These </w:t>
      </w:r>
      <w:r w:rsidRPr="006B6E33">
        <w:t>are classified as in-house developed Class 3 in vitro diagnostic medical devices (IVDs)</w:t>
      </w:r>
      <w:r w:rsidR="00C05E1F">
        <w:fldChar w:fldCharType="begin"/>
      </w:r>
      <w:r w:rsidR="00EA5034">
        <w:instrText xml:space="preserve"> ADDIN EN.CITE &lt;EndNote&gt;&lt;Cite&gt;&lt;Author&gt;Therapeutic Goods Administration&lt;/Author&gt;&lt;Year&gt;2015&lt;/Year&gt;&lt;RecNum&gt;31&lt;/RecNum&gt;&lt;DisplayText&gt;[26]&lt;/DisplayText&gt;&lt;record&gt;&lt;rec-number&gt;31&lt;/rec-number&gt;&lt;foreign-keys&gt;&lt;key app="EN" db-id="aadaavff2002s7efdx25t0d9f9awrd0v0vxv" timestamp="1510098334"&gt;31&lt;/key&gt;&lt;/foreign-keys&gt;&lt;ref-type name="Web Page"&gt;12&lt;/ref-type&gt;&lt;contributors&gt;&lt;authors&gt;&lt;author&gt;Therapeutic Goods Administration,&lt;/author&gt;&lt;/authors&gt;&lt;/contributors&gt;&lt;titles&gt;&lt;title&gt;Classification of IVD medical devices&lt;/title&gt;&lt;/titles&gt;&lt;dates&gt;&lt;year&gt;2015&lt;/year&gt;&lt;pub-dates&gt;&lt;date&gt;7 Dec 2015&lt;/date&gt;&lt;/pub-dates&gt;&lt;/dates&gt;&lt;pub-location&gt;Canberra&lt;/pub-location&gt;&lt;publisher&gt;Therapeutic Goods Administration&lt;/publisher&gt;&lt;urls&gt;&lt;related-urls&gt;&lt;url&gt;&lt;style face="underline" font="default" size="100%"&gt;https://www.tga.gov.au/book-page/ivd-classification-examples&lt;/style&gt;&lt;/url&gt;&lt;/related-urls&gt;&lt;/urls&gt;&lt;custom1&gt;2017&lt;/custom1&gt;&lt;custom2&gt;8 Nov&lt;/custom2&gt;&lt;/record&gt;&lt;/Cite&gt;&lt;/EndNote&gt;</w:instrText>
      </w:r>
      <w:r w:rsidR="00C05E1F">
        <w:fldChar w:fldCharType="separate"/>
      </w:r>
      <w:r w:rsidR="00EA5034">
        <w:rPr>
          <w:noProof/>
        </w:rPr>
        <w:t>[26]</w:t>
      </w:r>
      <w:r w:rsidR="00C05E1F">
        <w:fldChar w:fldCharType="end"/>
      </w:r>
      <w:r w:rsidRPr="006B6E33">
        <w:t xml:space="preserve">. Recent reforms to the TGA framework require laboratories that deal with Class 3 IVDs to provide the TGA with a declaration of conformity that the in-house IVDs comply with the essential principles </w:t>
      </w:r>
      <w:r w:rsidR="00C05E1F">
        <w:t xml:space="preserve">which </w:t>
      </w:r>
      <w:r w:rsidR="00C05E1F" w:rsidRPr="00C05E1F">
        <w:t>set out the requirements relating to the safety and performance characteristics of medical devices</w:t>
      </w:r>
      <w:r w:rsidR="00AB7084">
        <w:t xml:space="preserve"> </w:t>
      </w:r>
      <w:r w:rsidR="00C05E1F">
        <w:fldChar w:fldCharType="begin"/>
      </w:r>
      <w:r w:rsidR="00EA5034">
        <w:instrText xml:space="preserve"> ADDIN EN.CITE &lt;EndNote&gt;&lt;Cite&gt;&lt;Author&gt;Therapeutic Goods Administration&lt;/Author&gt;&lt;Year&gt;2016&lt;/Year&gt;&lt;RecNum&gt;30&lt;/RecNum&gt;&lt;DisplayText&gt;[27]&lt;/DisplayText&gt;&lt;record&gt;&lt;rec-number&gt;30&lt;/rec-number&gt;&lt;foreign-keys&gt;&lt;key app="EN" db-id="aadaavff2002s7efdx25t0d9f9awrd0v0vxv" timestamp="1510097940"&gt;30&lt;/key&gt;&lt;/foreign-keys&gt;&lt;ref-type name="Web Page"&gt;12&lt;/ref-type&gt;&lt;contributors&gt;&lt;authors&gt;&lt;author&gt;Therapeutic Goods Administration,&lt;/author&gt;&lt;/authors&gt;&lt;/contributors&gt;&lt;titles&gt;&lt;title&gt;Regulatory requirements for in-house IVDs&lt;/title&gt;&lt;/titles&gt;&lt;dates&gt;&lt;year&gt;2016&lt;/year&gt;&lt;pub-dates&gt;&lt;date&gt;5 Jun 2017&lt;/date&gt;&lt;/pub-dates&gt;&lt;/dates&gt;&lt;pub-location&gt;Canberra&lt;/pub-location&gt;&lt;publisher&gt;Therapeutic Goods Administration&lt;/publisher&gt;&lt;urls&gt;&lt;related-urls&gt;&lt;url&gt;&lt;style face="underline" font="default" size="100%"&gt;https://www.tga.gov.au/publication/regulatory-requirements-house-ivds-australia&lt;/style&gt;&lt;/url&gt;&lt;/related-urls&gt;&lt;/urls&gt;&lt;custom1&gt;2017&lt;/custom1&gt;&lt;custom2&gt;8 Nov&lt;/custom2&gt;&lt;/record&gt;&lt;/Cite&gt;&lt;/EndNote&gt;</w:instrText>
      </w:r>
      <w:r w:rsidR="00C05E1F">
        <w:fldChar w:fldCharType="separate"/>
      </w:r>
      <w:r w:rsidR="00EA5034">
        <w:rPr>
          <w:noProof/>
        </w:rPr>
        <w:t>[27]</w:t>
      </w:r>
      <w:r w:rsidR="00C05E1F">
        <w:fldChar w:fldCharType="end"/>
      </w:r>
      <w:r w:rsidR="00C05E1F">
        <w:t>.</w:t>
      </w:r>
    </w:p>
    <w:p w14:paraId="7179940A" w14:textId="60314961" w:rsidR="00F079EE" w:rsidRPr="00FB3FE3" w:rsidRDefault="00F079EE" w:rsidP="00FB3FE3">
      <w:pPr>
        <w:keepNext/>
        <w:rPr>
          <w:u w:val="single"/>
        </w:rPr>
      </w:pPr>
      <w:r w:rsidRPr="00FB3FE3">
        <w:rPr>
          <w:u w:val="single"/>
        </w:rPr>
        <w:t>Setting</w:t>
      </w:r>
    </w:p>
    <w:p w14:paraId="7FF611FE" w14:textId="6EC5F746" w:rsidR="0027416F" w:rsidRDefault="009B359F" w:rsidP="00870120">
      <w:r>
        <w:t xml:space="preserve">Currently in Australia, </w:t>
      </w:r>
      <w:r w:rsidR="0027416F">
        <w:t xml:space="preserve">germline BRCA mutation testing is performed by at least eight public and one private pathology laboratories in Australia. A testing centre is available in all states and territories expect for the Northern Territory. All states and </w:t>
      </w:r>
      <w:r w:rsidR="0027416F" w:rsidRPr="0027416F">
        <w:t xml:space="preserve">territories have at least one publically funded </w:t>
      </w:r>
      <w:r w:rsidR="0027416F" w:rsidRPr="0027416F">
        <w:lastRenderedPageBreak/>
        <w:t>Genetic Service centre available to patients and their families</w:t>
      </w:r>
      <w:r w:rsidR="00D4429B" w:rsidRPr="0027416F">
        <w:t xml:space="preserve">. </w:t>
      </w:r>
      <w:r w:rsidR="00CA331E" w:rsidRPr="00CA331E">
        <w:t xml:space="preserve">All </w:t>
      </w:r>
      <w:r w:rsidR="00CA331E">
        <w:t xml:space="preserve">pathology </w:t>
      </w:r>
      <w:r w:rsidR="00CA331E" w:rsidRPr="00CA331E">
        <w:t>laboratories are accredited to the Royal College of Pathologist of Australasia (RCPA) Quality Assurance Programs.</w:t>
      </w:r>
    </w:p>
    <w:p w14:paraId="6C054813" w14:textId="1843F87C" w:rsidR="00F079EE" w:rsidRPr="00FB3FE3" w:rsidRDefault="00F079EE" w:rsidP="00F079EE">
      <w:pPr>
        <w:rPr>
          <w:u w:val="single"/>
        </w:rPr>
      </w:pPr>
      <w:r w:rsidRPr="00FB3FE3">
        <w:rPr>
          <w:u w:val="single"/>
        </w:rPr>
        <w:t>MBS listings</w:t>
      </w:r>
      <w:r w:rsidR="00CE12D7">
        <w:rPr>
          <w:u w:val="single"/>
        </w:rPr>
        <w:t xml:space="preserve"> for BRCA testing</w:t>
      </w:r>
    </w:p>
    <w:p w14:paraId="18556E32" w14:textId="66B0A436" w:rsidR="00CE12D7" w:rsidRDefault="00CE12D7" w:rsidP="00CE12D7">
      <w:r>
        <w:t>Currently there are three</w:t>
      </w:r>
      <w:r w:rsidR="00A05F63">
        <w:t xml:space="preserve"> BRCA mutation testing Items provided on the MBS:</w:t>
      </w:r>
    </w:p>
    <w:p w14:paraId="59354273" w14:textId="030A318E" w:rsidR="00CE12D7" w:rsidRPr="006C3579" w:rsidRDefault="00CE12D7" w:rsidP="006C3579">
      <w:pPr>
        <w:pStyle w:val="ListParagraph"/>
        <w:numPr>
          <w:ilvl w:val="0"/>
          <w:numId w:val="27"/>
        </w:numPr>
        <w:rPr>
          <w:lang w:val="en-GB"/>
        </w:rPr>
      </w:pPr>
      <w:r>
        <w:t xml:space="preserve">MBS item 73296 </w:t>
      </w:r>
      <w:r w:rsidR="00F079EE">
        <w:t xml:space="preserve">subsidises the detection </w:t>
      </w:r>
      <w:r w:rsidR="00FB3FE3">
        <w:t>of germline</w:t>
      </w:r>
      <w:r w:rsidR="00F079EE">
        <w:t xml:space="preserve"> </w:t>
      </w:r>
      <w:r w:rsidR="006C3579">
        <w:t xml:space="preserve">BRCA mutation testing (and </w:t>
      </w:r>
      <w:r w:rsidR="006C3579" w:rsidRPr="006C3579">
        <w:rPr>
          <w:lang w:val="en-GB"/>
        </w:rPr>
        <w:t>and one or more of the following genes STK11, PTEN, CDH1, PALB2, or TP53</w:t>
      </w:r>
      <w:r w:rsidR="006C3579">
        <w:rPr>
          <w:lang w:val="en-GB"/>
        </w:rPr>
        <w:t>)</w:t>
      </w:r>
      <w:r w:rsidR="006C3579" w:rsidRPr="006C3579">
        <w:rPr>
          <w:lang w:val="en-GB"/>
        </w:rPr>
        <w:t> </w:t>
      </w:r>
      <w:r w:rsidR="00F079EE">
        <w:t xml:space="preserve">for patients with breast or ovarian cancer whose </w:t>
      </w:r>
      <w:r w:rsidR="00F079EE" w:rsidRPr="003A1663">
        <w:t>clinical and family history criteria assessed using a quantitative algorithm, place the patient at &gt;10% risk of having a pathogenic mutation</w:t>
      </w:r>
      <w:r w:rsidR="00F079EE">
        <w:t xml:space="preserve">. </w:t>
      </w:r>
    </w:p>
    <w:p w14:paraId="065C1658" w14:textId="0834BD03" w:rsidR="00CE12D7" w:rsidRDefault="00F079EE" w:rsidP="00FB3FE3">
      <w:pPr>
        <w:pStyle w:val="ListParagraph"/>
        <w:numPr>
          <w:ilvl w:val="0"/>
          <w:numId w:val="27"/>
        </w:numPr>
      </w:pPr>
      <w:r>
        <w:t xml:space="preserve">MBS item </w:t>
      </w:r>
      <w:r w:rsidRPr="003A1663">
        <w:t>73297</w:t>
      </w:r>
      <w:r w:rsidR="006C3579">
        <w:t xml:space="preserve"> subsidises the detection of germline BRCA mutation testing (and </w:t>
      </w:r>
      <w:r w:rsidR="006C3579" w:rsidRPr="006C3579">
        <w:rPr>
          <w:lang w:val="en-GB"/>
        </w:rPr>
        <w:t>and one or more of the following genes STK11, PTEN, CDH1, PALB2, or TP53</w:t>
      </w:r>
      <w:r w:rsidR="006C3579">
        <w:rPr>
          <w:lang w:val="en-GB"/>
        </w:rPr>
        <w:t>)</w:t>
      </w:r>
      <w:r w:rsidR="00D77980">
        <w:rPr>
          <w:lang w:val="en-GB"/>
        </w:rPr>
        <w:t xml:space="preserve"> </w:t>
      </w:r>
      <w:r>
        <w:t xml:space="preserve">testing for close biological relatives of </w:t>
      </w:r>
      <w:r w:rsidR="009B3020">
        <w:t>individuals diagnosed with a pathogenic mutation of one of the aforementioned genes.</w:t>
      </w:r>
    </w:p>
    <w:p w14:paraId="57A05A9B" w14:textId="78B42A05" w:rsidR="006C3579" w:rsidRPr="006C3579" w:rsidRDefault="00F079EE" w:rsidP="00870120">
      <w:pPr>
        <w:pStyle w:val="ListParagraph"/>
        <w:numPr>
          <w:ilvl w:val="0"/>
          <w:numId w:val="27"/>
        </w:numPr>
      </w:pPr>
      <w:r>
        <w:t xml:space="preserve">MBS item 73295 subsidises the detection of germline BRCA mutations </w:t>
      </w:r>
      <w:r w:rsidRPr="006C284E">
        <w:t>in a patient with platinum-sensitive relapsed ovarian, fallopian tube or primary peritoneal cancer with high grade serous features or a high grade serous component, and who has responded to subsequent platinum-based chemotherapy, requested by a specialist or consultant physician, to determine eligibility for olaparib</w:t>
      </w:r>
      <w:r>
        <w:t xml:space="preserve"> under the PBS.</w:t>
      </w:r>
    </w:p>
    <w:p w14:paraId="2C079217" w14:textId="397C5299" w:rsidR="00F079EE" w:rsidRPr="00FB3FE3" w:rsidRDefault="00F079EE" w:rsidP="00870120">
      <w:pPr>
        <w:rPr>
          <w:u w:val="single"/>
        </w:rPr>
      </w:pPr>
      <w:r w:rsidRPr="00FB3FE3">
        <w:rPr>
          <w:u w:val="single"/>
        </w:rPr>
        <w:t>Frequency of BRCA mutation testing</w:t>
      </w:r>
    </w:p>
    <w:p w14:paraId="03A33C58" w14:textId="4FF3589E" w:rsidR="00CF6013" w:rsidRDefault="00CF6013" w:rsidP="00870120">
      <w:r>
        <w:t>Germline BRCA</w:t>
      </w:r>
      <w:r w:rsidR="00DB5FF8">
        <w:t xml:space="preserve"> </w:t>
      </w:r>
      <w:r>
        <w:t xml:space="preserve">mutations are inherited, therefore only one test is required per lifetime. Detection of a pathogenic germline BRCA1/2 mutation will have implications for family members who may </w:t>
      </w:r>
      <w:r w:rsidR="00E861C6">
        <w:t>also have</w:t>
      </w:r>
      <w:r>
        <w:t xml:space="preserve"> a pathogenic </w:t>
      </w:r>
      <w:r w:rsidR="00E861C6">
        <w:t xml:space="preserve">BRCA </w:t>
      </w:r>
      <w:r>
        <w:t xml:space="preserve">mutation. </w:t>
      </w:r>
    </w:p>
    <w:p w14:paraId="43263FCE" w14:textId="639BA4C6" w:rsidR="00EE1BEC" w:rsidRDefault="002518A8" w:rsidP="00870120">
      <w:pPr>
        <w:rPr>
          <w:u w:val="single"/>
        </w:rPr>
      </w:pPr>
      <w:r>
        <w:rPr>
          <w:u w:val="single"/>
        </w:rPr>
        <w:t>Olaparib treatment</w:t>
      </w:r>
    </w:p>
    <w:p w14:paraId="4FDA11B9" w14:textId="3AFB9649" w:rsidR="00F129F8" w:rsidRDefault="00F129F8" w:rsidP="00870120">
      <w:r>
        <w:t xml:space="preserve">Patients with a germline BRCA mutation will be eligible for treatment with olapariab if they have HER2- metastatic breast cancer </w:t>
      </w:r>
      <w:r w:rsidRPr="00F129F8">
        <w:t>have received prior treatment with an anthracycline and a taxane</w:t>
      </w:r>
      <w:r w:rsidR="0081772D">
        <w:t xml:space="preserve"> </w:t>
      </w:r>
      <w:r>
        <w:t xml:space="preserve">and are refractory or inappropriate for endocrine therapy (if hormone receptor positive). </w:t>
      </w:r>
    </w:p>
    <w:p w14:paraId="1A0FE132" w14:textId="64240F5A" w:rsidR="00B20BC1" w:rsidRDefault="00675C3B" w:rsidP="00B20BC1">
      <w:r w:rsidRPr="00675C3B">
        <w:t>Olaparib is an oral, potent inhibitor of PARP-1, PARP-2 and PARP-3</w:t>
      </w:r>
      <w:r w:rsidR="006264A8">
        <w:t xml:space="preserve"> </w:t>
      </w:r>
      <w:r>
        <w:fldChar w:fldCharType="begin"/>
      </w:r>
      <w:r w:rsidR="00EA5034">
        <w:instrText xml:space="preserve"> ADDIN EN.CITE &lt;EndNote&gt;&lt;Cite&gt;&lt;Author&gt;AstraZeneca&lt;/Author&gt;&lt;Year&gt;2014&lt;/Year&gt;&lt;RecNum&gt;32&lt;/RecNum&gt;&lt;DisplayText&gt;[28]&lt;/DisplayText&gt;&lt;record&gt;&lt;rec-number&gt;32&lt;/rec-number&gt;&lt;foreign-keys&gt;&lt;key app="EN" db-id="aadaavff2002s7efdx25t0d9f9awrd0v0vxv" timestamp="1510098988"&gt;32&lt;/key&gt;&lt;/foreign-keys&gt;&lt;ref-type name="Report"&gt;27&lt;/ref-type&gt;&lt;contributors&gt;&lt;authors&gt;&lt;author&gt;AstraZeneca,&lt;/author&gt;&lt;/authors&gt;&lt;/contributors&gt;&lt;titles&gt;&lt;title&gt;Olaparib monotherapy as maintenance treatment of patients with platinum-sensitive relapsed BRCA mutated ovarian cancer. 2.5 Clinical Overview (data on file)&lt;/title&gt;&lt;/titles&gt;&lt;dates&gt;&lt;year&gt;2014&lt;/year&gt;&lt;/dates&gt;&lt;urls&gt;&lt;/urls&gt;&lt;/record&gt;&lt;/Cite&gt;&lt;/EndNote&gt;</w:instrText>
      </w:r>
      <w:r>
        <w:fldChar w:fldCharType="separate"/>
      </w:r>
      <w:r w:rsidR="00EA5034">
        <w:rPr>
          <w:noProof/>
        </w:rPr>
        <w:t>[28]</w:t>
      </w:r>
      <w:r>
        <w:fldChar w:fldCharType="end"/>
      </w:r>
      <w:r w:rsidRPr="00675C3B">
        <w:t>.</w:t>
      </w:r>
      <w:r w:rsidR="0081772D">
        <w:t xml:space="preserve"> </w:t>
      </w:r>
      <w:r w:rsidRPr="00675C3B">
        <w:t>These PARP enzymes are required for the efficient repair of DNA single-strand breaks. During this repair process, PARP auto</w:t>
      </w:r>
      <w:r w:rsidR="00E85FF2">
        <w:noBreakHyphen/>
      </w:r>
      <w:r w:rsidRPr="00675C3B">
        <w:t>modifies itself and dissociates from the DNA to facilitate access for other repair enzymes. Olaparib inhibits the action of PARP-1 and PARP-2 by preventing their dissociation, trapping PARP on the DNA and blocking repair of the single-strand break. In replicating cells, this then leads to double-strand DNA breaks.</w:t>
      </w:r>
      <w:r>
        <w:t xml:space="preserve"> In BRCA1/2 mutated cells, </w:t>
      </w:r>
      <w:r w:rsidRPr="00675C3B">
        <w:t>DNA double-strand breaks cannot be repaired by homologous recombination repair and, alternative and error prone pathways</w:t>
      </w:r>
      <w:r>
        <w:t xml:space="preserve"> are used, resulting in genomic instability and cancer cell death. </w:t>
      </w:r>
      <w:r w:rsidR="00B20BC1">
        <w:t>In the key OlympiAD trial of olaparib t</w:t>
      </w:r>
      <w:r w:rsidR="00E85FF2">
        <w:t>reatment in patients with HER2</w:t>
      </w:r>
      <w:r w:rsidR="00E85FF2">
        <w:noBreakHyphen/>
      </w:r>
      <w:r w:rsidR="00B20BC1">
        <w:t>metastatic breast cancer and germline BRCA1/2 mutation, olaparib increased progression-free survival compared to single-agent chemotherapy</w:t>
      </w:r>
      <w:r w:rsidR="00B20BC1">
        <w:fldChar w:fldCharType="begin"/>
      </w:r>
      <w:r w:rsidR="005305AC">
        <w:instrText xml:space="preserve"> ADDIN EN.CITE &lt;EndNote&gt;&lt;Cite&gt;&lt;Author&gt;Robson&lt;/Author&gt;&lt;Year&gt;2017&lt;/Year&gt;&lt;RecNum&gt;28&lt;/RecNum&gt;&lt;DisplayText&gt;[10]&lt;/DisplayText&gt;&lt;record&gt;&lt;rec-number&gt;28&lt;/rec-number&gt;&lt;foreign-keys&gt;&lt;key app="EN" db-id="aadaavff2002s7efdx25t0d9f9awrd0v0vxv" timestamp="1510094786"&gt;28&lt;/key&gt;&lt;/foreign-keys&gt;&lt;ref-type name="Journal Article"&gt;17&lt;/ref-type&gt;&lt;contributors&gt;&lt;authors&gt;&lt;author&gt;Robson, Mark&lt;/author&gt;&lt;author&gt;Im, Seock-Ah&lt;/author&gt;&lt;author&gt;Senkus, Elżbieta&lt;/author&gt;&lt;author&gt;Xu, Binghe&lt;/author&gt;&lt;author&gt;Domchek, Susan M.&lt;/author&gt;&lt;author&gt;Masuda, Norikazu&lt;/author&gt;&lt;author&gt;Delaloge, Suzette&lt;/author&gt;&lt;author&gt;Li, Wei&lt;/author&gt;&lt;author&gt;Tung, Nadine&lt;/author&gt;&lt;author&gt;Armstrong, Anne&lt;/author&gt;&lt;author&gt;Wu, Wenting&lt;/author&gt;&lt;author&gt;Goessl, Carsten&lt;/author&gt;&lt;author&gt;Runswick, Sarah&lt;/author&gt;&lt;author&gt;Conte, Pierfranco&lt;/author&gt;&lt;/authors&gt;&lt;/contributors&gt;&lt;titles&gt;&lt;title&gt;Olaparib for Metastatic Breast Cancer in Patients with a Germline BRCA Mutation&lt;/title&gt;&lt;secondary-title&gt;New England Journal of Medicine&lt;/secondary-title&gt;&lt;/titles&gt;&lt;periodical&gt;&lt;full-title&gt;New England Journal of Medicine&lt;/full-title&gt;&lt;/periodical&gt;&lt;pages&gt;523-533&lt;/pages&gt;&lt;volume&gt;377&lt;/volume&gt;&lt;number&gt;6&lt;/number&gt;&lt;dates&gt;&lt;year&gt;2017&lt;/year&gt;&lt;/dates&gt;&lt;accession-num&gt;28578601&lt;/accession-num&gt;&lt;urls&gt;&lt;related-urls&gt;&lt;url&gt;http://www.nejm.org/doi/full/10.1056/NEJMoa1706450&lt;/url&gt;&lt;/related-urls&gt;&lt;/urls&gt;&lt;electronic-resource-num&gt;10.1056/NEJMoa1706450&lt;/electronic-resource-num&gt;&lt;/record&gt;&lt;/Cite&gt;&lt;/EndNote&gt;</w:instrText>
      </w:r>
      <w:r w:rsidR="00B20BC1">
        <w:fldChar w:fldCharType="separate"/>
      </w:r>
      <w:r w:rsidR="005305AC">
        <w:rPr>
          <w:noProof/>
        </w:rPr>
        <w:t>[10]</w:t>
      </w:r>
      <w:r w:rsidR="00B20BC1">
        <w:fldChar w:fldCharType="end"/>
      </w:r>
      <w:r w:rsidR="00B20BC1">
        <w:t xml:space="preserve">. </w:t>
      </w:r>
    </w:p>
    <w:p w14:paraId="76083C31" w14:textId="77777777" w:rsidR="00FF5347" w:rsidRDefault="00FF5347">
      <w:pPr>
        <w:rPr>
          <w:b/>
        </w:rPr>
      </w:pPr>
      <w:r>
        <w:rPr>
          <w:b/>
        </w:rPr>
        <w:br w:type="page"/>
      </w:r>
    </w:p>
    <w:p w14:paraId="34FA20C8" w14:textId="77777777" w:rsidR="00896845" w:rsidRPr="00E364F7" w:rsidRDefault="00896845">
      <w:pPr>
        <w:rPr>
          <w:b/>
        </w:rPr>
      </w:pPr>
      <w:r w:rsidRPr="00E364F7">
        <w:rPr>
          <w:b/>
        </w:rPr>
        <w:lastRenderedPageBreak/>
        <w:t>Comparator</w:t>
      </w:r>
    </w:p>
    <w:p w14:paraId="7CEF9BB5" w14:textId="4E440F71" w:rsidR="00CA7738" w:rsidRDefault="00CA7738">
      <w:pPr>
        <w:rPr>
          <w:u w:val="single"/>
        </w:rPr>
      </w:pPr>
      <w:r>
        <w:rPr>
          <w:u w:val="single"/>
        </w:rPr>
        <w:t>Comparator for germline BRCA mutation testing</w:t>
      </w:r>
    </w:p>
    <w:p w14:paraId="6375BFBC" w14:textId="0C45DC09" w:rsidR="002C054B" w:rsidRDefault="002C054B" w:rsidP="002C054B">
      <w:r>
        <w:t>The applicant stated that the comparator is ‘no germline BRCA mutation testing’. This was on the basis that germline BRCA mutation testing was not funded by the Commonwealth for patients with metastatic</w:t>
      </w:r>
      <w:r w:rsidR="009B359F">
        <w:t xml:space="preserve"> </w:t>
      </w:r>
      <w:r w:rsidR="000774F8">
        <w:t>HER2-negative</w:t>
      </w:r>
      <w:r>
        <w:t xml:space="preserve"> breast cancer. However, patients considered at high risk for BRCA mutations would be tested under MBS item </w:t>
      </w:r>
      <w:r w:rsidRPr="00CA7738">
        <w:t>73296</w:t>
      </w:r>
      <w:r>
        <w:t xml:space="preserve">, as it can be performed as a part of the diagnostic workup (i.e. patients with </w:t>
      </w:r>
      <w:r w:rsidR="00DB5FF8">
        <w:t>triple negative breast cancer</w:t>
      </w:r>
      <w:r w:rsidR="009B3020">
        <w:t>). The proposed MBS item relevant to this application</w:t>
      </w:r>
      <w:r>
        <w:t xml:space="preserve"> is likely to be used by patients </w:t>
      </w:r>
      <w:r w:rsidRPr="00BF0049">
        <w:rPr>
          <w:u w:val="single"/>
        </w:rPr>
        <w:t>ineligible</w:t>
      </w:r>
      <w:r>
        <w:t xml:space="preserve"> for item </w:t>
      </w:r>
      <w:r w:rsidRPr="008810C9">
        <w:t>73296</w:t>
      </w:r>
      <w:r>
        <w:t xml:space="preserve"> who have metastatic breast cancer that was previously treated with an anthracycline and a taxane and are refractory to or inappropriate for further endocrine therapy (if hormone receptor positive). Therefore, no germline BRCA mutation testing is an appropriate comparator. </w:t>
      </w:r>
    </w:p>
    <w:p w14:paraId="2035EAB6" w14:textId="2D9DA2E7" w:rsidR="00C2130D" w:rsidRDefault="00C2130D">
      <w:pPr>
        <w:rPr>
          <w:u w:val="single"/>
        </w:rPr>
      </w:pPr>
      <w:r>
        <w:rPr>
          <w:u w:val="single"/>
        </w:rPr>
        <w:t>Comparator for treatment</w:t>
      </w:r>
    </w:p>
    <w:p w14:paraId="4F7A1046" w14:textId="2C3B2CCF" w:rsidR="00C2130D" w:rsidRPr="0012284C" w:rsidRDefault="007E04B3">
      <w:r>
        <w:t>The application stated t</w:t>
      </w:r>
      <w:r w:rsidR="00C2130D">
        <w:t xml:space="preserve">he comparator for olaparib treatment is single-agent chemotherapy with either </w:t>
      </w:r>
      <w:r w:rsidR="00C2130D" w:rsidRPr="00C2130D">
        <w:t>capecitabine, vinorelbine and eribulin</w:t>
      </w:r>
      <w:r w:rsidR="00C2130D">
        <w:t xml:space="preserve">. </w:t>
      </w:r>
      <w:r w:rsidR="006A68C5">
        <w:t xml:space="preserve">Platinum-based regimens may also be a comparator for the proposed population. The 2017 </w:t>
      </w:r>
      <w:r w:rsidR="008F01A3">
        <w:t xml:space="preserve">ESMO </w:t>
      </w:r>
      <w:r w:rsidR="006A68C5">
        <w:t xml:space="preserve">Consensus Guidelines </w:t>
      </w:r>
      <w:r w:rsidR="008F01A3">
        <w:t xml:space="preserve">stated that a platinum regimen is the preferred option for patients </w:t>
      </w:r>
      <w:r w:rsidR="00844EE7">
        <w:t xml:space="preserve">with </w:t>
      </w:r>
      <w:r w:rsidR="008F01A3" w:rsidRPr="008F01A3">
        <w:rPr>
          <w:lang w:val="en-GB"/>
        </w:rPr>
        <w:t xml:space="preserve">BRCA-associated triple negative or endocrine-resistant </w:t>
      </w:r>
      <w:r w:rsidR="008F01A3">
        <w:rPr>
          <w:lang w:val="en-GB"/>
        </w:rPr>
        <w:t>metastatic breast cancer</w:t>
      </w:r>
      <w:r w:rsidR="008F01A3" w:rsidRPr="008F01A3">
        <w:rPr>
          <w:lang w:val="en-GB"/>
        </w:rPr>
        <w:t xml:space="preserve"> previously treated with an anthracycline with or without a taxane (in the adjuv</w:t>
      </w:r>
      <w:r w:rsidR="008F01A3">
        <w:rPr>
          <w:lang w:val="en-GB"/>
        </w:rPr>
        <w:t xml:space="preserve">ant and/or metastatic setting) </w:t>
      </w:r>
      <w:r w:rsidR="008F01A3" w:rsidRPr="008F01A3">
        <w:rPr>
          <w:lang w:val="en-GB"/>
        </w:rPr>
        <w:t>if not previously administered and no suitable clinical trial is available</w:t>
      </w:r>
      <w:r w:rsidR="008F01A3">
        <w:rPr>
          <w:lang w:val="en-GB"/>
        </w:rPr>
        <w:t xml:space="preserve"> </w:t>
      </w:r>
      <w: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instrText xml:space="preserve"> ADDIN EN.CITE </w:instrText>
      </w:r>
      <w:r w:rsidR="0073631F">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instrText xml:space="preserve"> ADDIN EN.CITE.DATA </w:instrText>
      </w:r>
      <w:r w:rsidR="0073631F">
        <w:fldChar w:fldCharType="end"/>
      </w:r>
      <w:r>
        <w:fldChar w:fldCharType="separate"/>
      </w:r>
      <w:r w:rsidR="0073631F">
        <w:rPr>
          <w:noProof/>
        </w:rPr>
        <w:t>[8]</w:t>
      </w:r>
      <w:r>
        <w:fldChar w:fldCharType="end"/>
      </w:r>
      <w:r w:rsidR="00BE16E5">
        <w:t xml:space="preserve">. </w:t>
      </w:r>
    </w:p>
    <w:p w14:paraId="7043D920" w14:textId="77777777" w:rsidR="00896845" w:rsidRPr="00E364F7" w:rsidRDefault="00896845">
      <w:pPr>
        <w:rPr>
          <w:b/>
        </w:rPr>
      </w:pPr>
      <w:r w:rsidRPr="00E364F7">
        <w:rPr>
          <w:b/>
        </w:rPr>
        <w:t>Outcomes</w:t>
      </w:r>
    </w:p>
    <w:p w14:paraId="75ED9150" w14:textId="77777777" w:rsidR="002A66BD" w:rsidRPr="002A72FC" w:rsidRDefault="002A66BD">
      <w:pPr>
        <w:rPr>
          <w:u w:val="single"/>
        </w:rPr>
      </w:pPr>
      <w:r w:rsidRPr="002A72FC">
        <w:rPr>
          <w:u w:val="single"/>
        </w:rPr>
        <w:t>Patient relevant</w:t>
      </w:r>
    </w:p>
    <w:p w14:paraId="645816E3" w14:textId="2C99E114" w:rsidR="00C90DD0" w:rsidRDefault="00C90DD0" w:rsidP="00C90DD0">
      <w:r>
        <w:t>The applicant nominated the following outcomes</w:t>
      </w:r>
    </w:p>
    <w:p w14:paraId="0E51AD48" w14:textId="0CAAFB50" w:rsidR="00C90DD0" w:rsidRDefault="00C90DD0" w:rsidP="00C90DD0">
      <w:pPr>
        <w:rPr>
          <w:u w:val="single"/>
        </w:rPr>
      </w:pPr>
      <w:r>
        <w:rPr>
          <w:u w:val="single"/>
        </w:rPr>
        <w:t xml:space="preserve">Test outcomes </w:t>
      </w:r>
    </w:p>
    <w:p w14:paraId="7B51B653" w14:textId="0C913827" w:rsidR="00C90DD0" w:rsidRDefault="00C90DD0" w:rsidP="00C90DD0">
      <w:r w:rsidRPr="00C90DD0">
        <w:t>Trial based (evidentiary standard) germline BRCA</w:t>
      </w:r>
      <w:r w:rsidR="009B359F">
        <w:t xml:space="preserve"> </w:t>
      </w:r>
      <w:r w:rsidRPr="00C90DD0">
        <w:t>mutation assay analytical performance</w:t>
      </w:r>
    </w:p>
    <w:p w14:paraId="2272E3CC" w14:textId="7B4C2A18" w:rsidR="00C90DD0" w:rsidRDefault="00C90DD0" w:rsidP="00C90DD0">
      <w:pPr>
        <w:pStyle w:val="ListParagraph"/>
        <w:numPr>
          <w:ilvl w:val="0"/>
          <w:numId w:val="13"/>
        </w:numPr>
      </w:pPr>
      <w:r>
        <w:t>Sensitivity</w:t>
      </w:r>
    </w:p>
    <w:p w14:paraId="539E4F11" w14:textId="47BE743C" w:rsidR="00C90DD0" w:rsidRDefault="00C90DD0" w:rsidP="00C90DD0">
      <w:pPr>
        <w:pStyle w:val="ListParagraph"/>
        <w:numPr>
          <w:ilvl w:val="0"/>
          <w:numId w:val="13"/>
        </w:numPr>
      </w:pPr>
      <w:r>
        <w:t>Specificity</w:t>
      </w:r>
    </w:p>
    <w:p w14:paraId="33F7E2A4" w14:textId="2DD1FAE1" w:rsidR="00C90DD0" w:rsidRDefault="00C90DD0" w:rsidP="00C90DD0">
      <w:pPr>
        <w:pStyle w:val="ListParagraph"/>
        <w:numPr>
          <w:ilvl w:val="0"/>
          <w:numId w:val="13"/>
        </w:numPr>
      </w:pPr>
      <w:r>
        <w:t>Positive predictive value</w:t>
      </w:r>
    </w:p>
    <w:p w14:paraId="707E06A6" w14:textId="65686B76" w:rsidR="00C90DD0" w:rsidRDefault="00C90DD0" w:rsidP="00C90DD0">
      <w:pPr>
        <w:pStyle w:val="ListParagraph"/>
        <w:numPr>
          <w:ilvl w:val="0"/>
          <w:numId w:val="13"/>
        </w:numPr>
      </w:pPr>
      <w:r>
        <w:t>Negative predictive value</w:t>
      </w:r>
    </w:p>
    <w:p w14:paraId="6B9244DB" w14:textId="7A98FFC9" w:rsidR="00C90DD0" w:rsidRDefault="00C90DD0" w:rsidP="00C90DD0">
      <w:r>
        <w:t>Comparative performance of germline BRCA</w:t>
      </w:r>
      <w:r w:rsidR="009B359F">
        <w:t xml:space="preserve"> </w:t>
      </w:r>
      <w:r>
        <w:t>mutation testing methods</w:t>
      </w:r>
    </w:p>
    <w:p w14:paraId="0A009256" w14:textId="19D9AAC1" w:rsidR="00C90DD0" w:rsidRDefault="002608EC" w:rsidP="002608EC">
      <w:pPr>
        <w:pStyle w:val="ListParagraph"/>
        <w:numPr>
          <w:ilvl w:val="0"/>
          <w:numId w:val="14"/>
        </w:numPr>
      </w:pPr>
      <w:r w:rsidRPr="002608EC">
        <w:t>Concordance with other commercially available germline BRCA</w:t>
      </w:r>
      <w:r w:rsidR="009B359F">
        <w:t xml:space="preserve"> </w:t>
      </w:r>
      <w:r w:rsidRPr="002608EC">
        <w:t>mutation platforms</w:t>
      </w:r>
    </w:p>
    <w:p w14:paraId="5E460FF4" w14:textId="4E7873B9" w:rsidR="002608EC" w:rsidRDefault="002608EC" w:rsidP="002608EC">
      <w:pPr>
        <w:pStyle w:val="ListParagraph"/>
        <w:numPr>
          <w:ilvl w:val="0"/>
          <w:numId w:val="14"/>
        </w:numPr>
      </w:pPr>
      <w:r w:rsidRPr="002608EC">
        <w:t>Concordance with other commercially available germline BRCA mutation assays</w:t>
      </w:r>
    </w:p>
    <w:p w14:paraId="5D7B1A0A" w14:textId="56A2D43D" w:rsidR="002608EC" w:rsidRDefault="002608EC" w:rsidP="002608EC">
      <w:pPr>
        <w:pStyle w:val="ListParagraph"/>
        <w:numPr>
          <w:ilvl w:val="0"/>
          <w:numId w:val="14"/>
        </w:numPr>
      </w:pPr>
      <w:r>
        <w:t>Re-testing rates</w:t>
      </w:r>
    </w:p>
    <w:p w14:paraId="3FB50380" w14:textId="1543498C" w:rsidR="002608EC" w:rsidRDefault="002608EC" w:rsidP="002608EC">
      <w:r w:rsidRPr="002608EC">
        <w:lastRenderedPageBreak/>
        <w:t xml:space="preserve">The assessment of outcomes regarding the treatment with </w:t>
      </w:r>
      <w:r>
        <w:t xml:space="preserve">olaparib is the remit of the PBAC. </w:t>
      </w:r>
      <w:r w:rsidRPr="002608EC">
        <w:t>However, for the purpose of this co-dependent MSAC/PBAC application the following drug outcomes were listed:</w:t>
      </w:r>
    </w:p>
    <w:p w14:paraId="1DBF3D56" w14:textId="002FD756" w:rsidR="002608EC" w:rsidRDefault="000E1882" w:rsidP="002608EC">
      <w:pPr>
        <w:pStyle w:val="ListParagraph"/>
        <w:numPr>
          <w:ilvl w:val="0"/>
          <w:numId w:val="15"/>
        </w:numPr>
      </w:pPr>
      <w:r>
        <w:t xml:space="preserve">Overall survival </w:t>
      </w:r>
    </w:p>
    <w:p w14:paraId="74F899C4" w14:textId="50B1A819" w:rsidR="000E1882" w:rsidRDefault="000E1882" w:rsidP="002608EC">
      <w:pPr>
        <w:pStyle w:val="ListParagraph"/>
        <w:numPr>
          <w:ilvl w:val="0"/>
          <w:numId w:val="15"/>
        </w:numPr>
      </w:pPr>
      <w:r>
        <w:t xml:space="preserve">Progression-free survival (according to Response Evaluation Criteria In Solid Tumors (RECIST) criteria) </w:t>
      </w:r>
      <w:r w:rsidR="009B359F">
        <w:t xml:space="preserve">and </w:t>
      </w:r>
      <w:r>
        <w:t>assessed by independent review</w:t>
      </w:r>
    </w:p>
    <w:p w14:paraId="65041401" w14:textId="1AA2A37E" w:rsidR="000E1882" w:rsidRDefault="000E1882" w:rsidP="000E1882">
      <w:pPr>
        <w:pStyle w:val="ListParagraph"/>
        <w:numPr>
          <w:ilvl w:val="0"/>
          <w:numId w:val="15"/>
        </w:numPr>
      </w:pPr>
      <w:r w:rsidRPr="000E1882">
        <w:t>Time from randomisation t</w:t>
      </w:r>
      <w:r>
        <w:t xml:space="preserve">o second progression-free event or </w:t>
      </w:r>
      <w:r w:rsidRPr="000E1882">
        <w:t>death after first progression event</w:t>
      </w:r>
    </w:p>
    <w:p w14:paraId="6C66D922" w14:textId="016C0607" w:rsidR="000E1882" w:rsidRPr="002A66BD" w:rsidRDefault="000E1882" w:rsidP="000E1882">
      <w:pPr>
        <w:pStyle w:val="ListParagraph"/>
        <w:numPr>
          <w:ilvl w:val="0"/>
          <w:numId w:val="15"/>
        </w:numPr>
      </w:pPr>
      <w:r w:rsidRPr="000E1882">
        <w:t xml:space="preserve">Health related quality of life </w:t>
      </w:r>
      <w:r>
        <w:t xml:space="preserve">measured by the </w:t>
      </w:r>
      <w:r w:rsidRPr="000E1882">
        <w:t>European Organisation for Research and Treatment of Cancer Quality of Life Questionnaire</w:t>
      </w:r>
      <w:r>
        <w:t xml:space="preserve"> (</w:t>
      </w:r>
      <w:r w:rsidRPr="000E1882">
        <w:t>EORTC-QLQ-C30</w:t>
      </w:r>
      <w:r>
        <w:t>)</w:t>
      </w:r>
    </w:p>
    <w:p w14:paraId="1D8105A4" w14:textId="77777777" w:rsidR="003E0382" w:rsidRPr="002A72FC" w:rsidRDefault="002A66BD" w:rsidP="00440228">
      <w:pPr>
        <w:rPr>
          <w:u w:val="single"/>
        </w:rPr>
      </w:pPr>
      <w:r w:rsidRPr="002A72FC">
        <w:rPr>
          <w:u w:val="single"/>
        </w:rPr>
        <w:t>Health</w:t>
      </w:r>
      <w:r w:rsidR="00752491" w:rsidRPr="002A72FC">
        <w:rPr>
          <w:u w:val="single"/>
        </w:rPr>
        <w:t>care</w:t>
      </w:r>
      <w:r w:rsidRPr="002A72FC">
        <w:rPr>
          <w:u w:val="single"/>
        </w:rPr>
        <w:t xml:space="preserve"> system</w:t>
      </w:r>
    </w:p>
    <w:p w14:paraId="69813CE3" w14:textId="01C9361C" w:rsidR="00C05CF4" w:rsidRDefault="00C05CF4" w:rsidP="00440228">
      <w:r w:rsidRPr="00C05CF4">
        <w:t xml:space="preserve">Healthcare resources that are most likely to be affected, should </w:t>
      </w:r>
      <w:r>
        <w:t>germline BRCA</w:t>
      </w:r>
      <w:r w:rsidR="009B359F">
        <w:t xml:space="preserve"> mutation </w:t>
      </w:r>
      <w:r w:rsidR="003C4CC7" w:rsidRPr="00C05CF4">
        <w:t>testing</w:t>
      </w:r>
      <w:r w:rsidRPr="00C05CF4">
        <w:t xml:space="preserve"> and treatment with </w:t>
      </w:r>
      <w:r>
        <w:t>olaparib</w:t>
      </w:r>
      <w:r w:rsidRPr="00C05CF4">
        <w:t xml:space="preserve"> become available, include:</w:t>
      </w:r>
    </w:p>
    <w:p w14:paraId="3DCC6F80" w14:textId="0FE15D15" w:rsidR="00C05CF4" w:rsidRDefault="00C05CF4" w:rsidP="00C05CF4">
      <w:pPr>
        <w:pStyle w:val="ListParagraph"/>
        <w:numPr>
          <w:ilvl w:val="0"/>
          <w:numId w:val="16"/>
        </w:numPr>
      </w:pPr>
      <w:r>
        <w:t>The cost of testing for BRCA1 and 2</w:t>
      </w:r>
    </w:p>
    <w:p w14:paraId="40C2E53E" w14:textId="7EBAE16F" w:rsidR="00C05CF4" w:rsidRDefault="00C05CF4" w:rsidP="00C05CF4">
      <w:pPr>
        <w:pStyle w:val="ListParagraph"/>
        <w:numPr>
          <w:ilvl w:val="0"/>
          <w:numId w:val="16"/>
        </w:numPr>
      </w:pPr>
      <w:r>
        <w:t xml:space="preserve">The cost of materials and pathologists’ time interpreting and reporting the results </w:t>
      </w:r>
    </w:p>
    <w:p w14:paraId="353ADF1D" w14:textId="77777777" w:rsidR="00C05CF4" w:rsidRPr="00C05CF4" w:rsidRDefault="00C05CF4" w:rsidP="00C05CF4">
      <w:pPr>
        <w:pStyle w:val="ListParagraph"/>
        <w:numPr>
          <w:ilvl w:val="0"/>
          <w:numId w:val="16"/>
        </w:numPr>
      </w:pPr>
      <w:r w:rsidRPr="00C05CF4">
        <w:t>Costs for treating adverse events from treatment</w:t>
      </w:r>
    </w:p>
    <w:p w14:paraId="6B886544" w14:textId="44C4D56B" w:rsidR="00C05CF4" w:rsidRDefault="00C05CF4" w:rsidP="00C05CF4">
      <w:pPr>
        <w:pStyle w:val="ListParagraph"/>
        <w:numPr>
          <w:ilvl w:val="0"/>
          <w:numId w:val="16"/>
        </w:numPr>
      </w:pPr>
      <w:r>
        <w:t>Cost of olaparib for patients with a germline BRCA mutation</w:t>
      </w:r>
    </w:p>
    <w:p w14:paraId="4C6B2059" w14:textId="57B4F20C" w:rsidR="00C05CF4" w:rsidRDefault="00540747" w:rsidP="00C05CF4">
      <w:pPr>
        <w:pStyle w:val="ListParagraph"/>
        <w:numPr>
          <w:ilvl w:val="0"/>
          <w:numId w:val="16"/>
        </w:numPr>
      </w:pPr>
      <w:r>
        <w:t xml:space="preserve">Cost offsets from reduced use of displaced </w:t>
      </w:r>
      <w:r w:rsidR="003C4CC7">
        <w:t>treatments</w:t>
      </w:r>
    </w:p>
    <w:p w14:paraId="2CDF0213" w14:textId="33B199CF" w:rsidR="00540747" w:rsidRDefault="00540747" w:rsidP="00540747">
      <w:pPr>
        <w:pStyle w:val="ListParagraph"/>
        <w:numPr>
          <w:ilvl w:val="1"/>
          <w:numId w:val="16"/>
        </w:numPr>
      </w:pPr>
      <w:r>
        <w:t xml:space="preserve">Single agent chemotherapy: </w:t>
      </w:r>
      <w:r w:rsidRPr="00540747">
        <w:t>capecitabine, vinorelbine or eribulin</w:t>
      </w:r>
    </w:p>
    <w:p w14:paraId="53B69B23" w14:textId="1F6A7352" w:rsidR="003C4CC7" w:rsidRPr="00C05CF4" w:rsidRDefault="003C4CC7" w:rsidP="00540747">
      <w:pPr>
        <w:pStyle w:val="ListParagraph"/>
        <w:numPr>
          <w:ilvl w:val="1"/>
          <w:numId w:val="16"/>
        </w:numPr>
      </w:pPr>
      <w:r>
        <w:t xml:space="preserve">Cost of administering chemotherapy </w:t>
      </w:r>
    </w:p>
    <w:p w14:paraId="4FC93A9F" w14:textId="77777777" w:rsidR="00896845" w:rsidRDefault="00896845" w:rsidP="00896845">
      <w:pPr>
        <w:pStyle w:val="Heading2"/>
        <w:spacing w:line="240" w:lineRule="auto"/>
        <w:jc w:val="both"/>
        <w:rPr>
          <w:color w:val="548DD4"/>
        </w:rPr>
      </w:pPr>
      <w:r w:rsidRPr="00896845">
        <w:rPr>
          <w:color w:val="548DD4"/>
        </w:rPr>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14:paraId="700E6250" w14:textId="292E3F9C" w:rsidR="00322023" w:rsidRDefault="00B829EC" w:rsidP="00322023">
      <w:r w:rsidRPr="00B829EC">
        <w:t>The treatment of metastatic HER2-negative breast cancer is complex.</w:t>
      </w:r>
      <w:r w:rsidR="00085786">
        <w:t xml:space="preserve"> </w:t>
      </w:r>
      <w:r w:rsidR="00407B14">
        <w:t xml:space="preserve">The treatment decision is individualised and </w:t>
      </w:r>
      <w:r w:rsidR="00085786">
        <w:t xml:space="preserve">is based on the presence of hormone receptors, the development of endocrine resistance, the location and symptoms caused by metastases, </w:t>
      </w:r>
      <w:r w:rsidR="00B42A70">
        <w:t>toxicity, patient preferences,</w:t>
      </w:r>
      <w:r w:rsidR="00265751">
        <w:t xml:space="preserve"> previous treatments</w:t>
      </w:r>
      <w:r w:rsidR="00B42A70">
        <w:t xml:space="preserve"> </w:t>
      </w:r>
      <w:r w:rsidR="00085786">
        <w:t>and other factors</w:t>
      </w:r>
      <w:r w:rsidR="00265751">
        <w:t xml:space="preserve"> </w:t>
      </w:r>
      <w:r w:rsidR="008C4880">
        <w:fldChar w:fldCharType="begin">
          <w:fldData xml:space="preserve">PEVuZE5vdGU+PENpdGU+PEF1dGhvcj5OYXRpb25hbCBDb21wcmVoZW5zaXZlIENhbmNlciBOZXR3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</w:fldData>
        </w:fldChar>
      </w:r>
      <w:r w:rsidR="00EF0F36">
        <w:instrText xml:space="preserve"> ADDIN EN.CITE </w:instrText>
      </w:r>
      <w:r w:rsidR="00EF0F36">
        <w:fldChar w:fldCharType="begin">
          <w:fldData xml:space="preserve">PEVuZE5vdGU+PENpdGU+PEF1dGhvcj5OYXRpb25hbCBDb21wcmVoZW5zaXZlIENhbmNlciBOZXR3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</w:fldData>
        </w:fldChar>
      </w:r>
      <w:r w:rsidR="00EF0F36">
        <w:instrText xml:space="preserve"> ADDIN EN.CITE.DATA </w:instrText>
      </w:r>
      <w:r w:rsidR="00EF0F36">
        <w:fldChar w:fldCharType="end"/>
      </w:r>
      <w:r w:rsidR="008C4880">
        <w:fldChar w:fldCharType="separate"/>
      </w:r>
      <w:r w:rsidR="00EF0F36">
        <w:rPr>
          <w:noProof/>
        </w:rPr>
        <w:t>[4, 8]</w:t>
      </w:r>
      <w:r w:rsidR="008C4880">
        <w:fldChar w:fldCharType="end"/>
      </w:r>
      <w:r w:rsidR="00085786">
        <w:t xml:space="preserve">. </w:t>
      </w:r>
    </w:p>
    <w:p w14:paraId="4A171DD4" w14:textId="61083581" w:rsidR="00B42A70" w:rsidRDefault="00E85FF2" w:rsidP="00D67F37">
      <w:r w:rsidRPr="00A33FD4">
        <w:t xml:space="preserve">The </w:t>
      </w:r>
      <w:r>
        <w:t xml:space="preserve">2017 </w:t>
      </w:r>
      <w:r w:rsidRPr="00A33FD4">
        <w:t>NCCN guidelines preferred chemotherapy regimens for adjuvant and neoadjuvant HER2- disease include regimens that contain both a taxane and an anthracycline</w:t>
      </w:r>
      <w:r>
        <w:fldChar w:fldCharType="begin"/>
      </w:r>
      <w:r>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fldChar w:fldCharType="separate"/>
      </w:r>
      <w:r>
        <w:rPr>
          <w:noProof/>
        </w:rPr>
        <w:t>[4]</w:t>
      </w:r>
      <w:r>
        <w:fldChar w:fldCharType="end"/>
      </w:r>
      <w:r w:rsidRPr="00A33FD4">
        <w:t>. These include dose dense AC (doxorubicin + cyclophosphamide) follow by paclitaxel and TAC (doxetaxel + doxorubicin + cyclophosphamide)</w:t>
      </w:r>
      <w:r>
        <w:fldChar w:fldCharType="begin"/>
      </w:r>
      <w:r>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fldChar w:fldCharType="separate"/>
      </w:r>
      <w:r>
        <w:rPr>
          <w:noProof/>
        </w:rPr>
        <w:t>[4]</w:t>
      </w:r>
      <w:r>
        <w:fldChar w:fldCharType="end"/>
      </w:r>
      <w:r w:rsidRPr="00A33FD4">
        <w:t>.</w:t>
      </w:r>
      <w:r>
        <w:t xml:space="preserve"> </w:t>
      </w:r>
      <w:r w:rsidR="00B42A70">
        <w:t xml:space="preserve">Additionally, patients diagnosed with metastatic HER2-negative breast cancer may have previously received neoadjuvant or adjuvant chemotherapy for earlier stage disease. </w:t>
      </w:r>
      <w:r>
        <w:t>The</w:t>
      </w:r>
      <w:r w:rsidR="00254A10">
        <w:t xml:space="preserve"> 2017 ESMO Consensus Guidelines state that taxanes</w:t>
      </w:r>
      <w:r w:rsidR="00D67F37">
        <w:t xml:space="preserve"> if were used in adjuvant therapy, they can</w:t>
      </w:r>
      <w:r w:rsidR="00254A10">
        <w:t xml:space="preserve"> be re</w:t>
      </w:r>
      <w:r w:rsidR="00983A0D">
        <w:noBreakHyphen/>
      </w:r>
      <w:r w:rsidR="00254A10">
        <w:t xml:space="preserve">used as first-line </w:t>
      </w:r>
      <w:r w:rsidR="00D67F37">
        <w:t>therapy particularly if there has been at least one year of disease-free survival</w:t>
      </w:r>
      <w:r w:rsidR="00163903">
        <w:t>. Similarly, anthracyclines may be re</w:t>
      </w:r>
      <w:r w:rsidR="00163903">
        <w:noBreakHyphen/>
      </w:r>
      <w:r w:rsidR="00163903" w:rsidRPr="00163903">
        <w:t>used if cumulative dose has not been achieved and there has been at least one year of disease free survival</w:t>
      </w:r>
      <w:r w:rsidR="00D67F37">
        <w:t xml:space="preserve"> </w:t>
      </w:r>
      <w:r w:rsidR="00D67F37">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D67F37">
        <w:instrText xml:space="preserve"> ADDIN EN.CITE </w:instrText>
      </w:r>
      <w:r w:rsidR="00D67F37">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D67F37">
        <w:instrText xml:space="preserve"> ADDIN EN.CITE.DATA </w:instrText>
      </w:r>
      <w:r w:rsidR="00D67F37">
        <w:fldChar w:fldCharType="end"/>
      </w:r>
      <w:r w:rsidR="00D67F37">
        <w:fldChar w:fldCharType="separate"/>
      </w:r>
      <w:r w:rsidR="00D67F37">
        <w:rPr>
          <w:noProof/>
        </w:rPr>
        <w:t>[8]</w:t>
      </w:r>
      <w:r w:rsidR="00D67F37">
        <w:fldChar w:fldCharType="end"/>
      </w:r>
      <w:r w:rsidR="00D67F37">
        <w:t>.</w:t>
      </w:r>
    </w:p>
    <w:p w14:paraId="304FBBC0" w14:textId="0F0C9C89" w:rsidR="00F44A09" w:rsidRPr="00F44A09" w:rsidRDefault="00F46C74" w:rsidP="00E049E7">
      <w:pPr>
        <w:keepNext/>
        <w:rPr>
          <w:u w:val="single"/>
        </w:rPr>
      </w:pPr>
      <w:r>
        <w:rPr>
          <w:u w:val="single"/>
        </w:rPr>
        <w:lastRenderedPageBreak/>
        <w:t xml:space="preserve">Metastatic </w:t>
      </w:r>
      <w:r w:rsidR="000774F8">
        <w:rPr>
          <w:u w:val="single"/>
        </w:rPr>
        <w:t>HER2-negative</w:t>
      </w:r>
      <w:r>
        <w:rPr>
          <w:u w:val="single"/>
        </w:rPr>
        <w:t>/</w:t>
      </w:r>
      <w:r w:rsidR="00A97488">
        <w:rPr>
          <w:u w:val="single"/>
        </w:rPr>
        <w:t>hormone receptor</w:t>
      </w:r>
      <w:r w:rsidR="00320C8F">
        <w:rPr>
          <w:u w:val="single"/>
        </w:rPr>
        <w:t xml:space="preserve"> positive</w:t>
      </w:r>
      <w:r w:rsidR="00F44A09">
        <w:rPr>
          <w:u w:val="single"/>
        </w:rPr>
        <w:t xml:space="preserve"> breast cancer</w:t>
      </w:r>
    </w:p>
    <w:p w14:paraId="7AC387A5" w14:textId="434F20D3" w:rsidR="00F44A09" w:rsidRDefault="00C263EB" w:rsidP="00701D97">
      <w:r>
        <w:t xml:space="preserve">The </w:t>
      </w:r>
      <w:r w:rsidR="00C9121D">
        <w:t xml:space="preserve">2017 </w:t>
      </w:r>
      <w:r>
        <w:t>NCCN</w:t>
      </w:r>
      <w:r w:rsidR="00F46C74">
        <w:t xml:space="preserve"> </w:t>
      </w:r>
      <w:r w:rsidR="00F44A09">
        <w:fldChar w:fldCharType="begin"/>
      </w:r>
      <w:r w:rsidR="005305AC">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rsidR="00F44A09">
        <w:fldChar w:fldCharType="separate"/>
      </w:r>
      <w:r w:rsidR="005305AC">
        <w:rPr>
          <w:noProof/>
        </w:rPr>
        <w:t>[4]</w:t>
      </w:r>
      <w:r w:rsidR="00F44A09">
        <w:fldChar w:fldCharType="end"/>
      </w:r>
      <w:r w:rsidR="00F44A09">
        <w:t xml:space="preserve"> and </w:t>
      </w:r>
      <w:r w:rsidR="00C9121D">
        <w:t xml:space="preserve">2017 </w:t>
      </w:r>
      <w:r w:rsidR="00F44A09">
        <w:t>ESMO consensus guidelines</w:t>
      </w:r>
      <w:r w:rsidR="00F44A09">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instrText xml:space="preserve"> ADDIN EN.CITE </w:instrText>
      </w:r>
      <w:r w:rsidR="0073631F">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instrText xml:space="preserve"> ADDIN EN.CITE.DATA </w:instrText>
      </w:r>
      <w:r w:rsidR="0073631F">
        <w:fldChar w:fldCharType="end"/>
      </w:r>
      <w:r w:rsidR="00F44A09">
        <w:fldChar w:fldCharType="separate"/>
      </w:r>
      <w:r w:rsidR="0073631F">
        <w:rPr>
          <w:noProof/>
        </w:rPr>
        <w:t>[8]</w:t>
      </w:r>
      <w:r w:rsidR="00F44A09">
        <w:fldChar w:fldCharType="end"/>
      </w:r>
      <w:r w:rsidR="00F44A09">
        <w:t xml:space="preserve"> recommend endocrine therapy as the preferred first-line treatment option</w:t>
      </w:r>
      <w:r w:rsidR="0081772D">
        <w:t xml:space="preserve"> </w:t>
      </w:r>
      <w:r w:rsidR="00F44A09">
        <w:t>for metastatic</w:t>
      </w:r>
      <w:r w:rsidR="00F46C74">
        <w:t xml:space="preserve"> </w:t>
      </w:r>
      <w:r w:rsidR="000774F8">
        <w:t>HER2-negative</w:t>
      </w:r>
      <w:r w:rsidR="00F46C74">
        <w:t>/HR</w:t>
      </w:r>
      <w:r w:rsidR="002A14DB">
        <w:t xml:space="preserve"> positive</w:t>
      </w:r>
      <w:r w:rsidR="00F44A09">
        <w:t xml:space="preserve"> breast cancer. For post</w:t>
      </w:r>
      <w:r w:rsidR="00F44A09">
        <w:noBreakHyphen/>
        <w:t>menopausal women, initial treatment would include:</w:t>
      </w:r>
    </w:p>
    <w:p w14:paraId="204753F7" w14:textId="66C69C51" w:rsidR="00F44A09" w:rsidRDefault="00F44A09" w:rsidP="00F44A09">
      <w:pPr>
        <w:pStyle w:val="ListParagraph"/>
        <w:numPr>
          <w:ilvl w:val="0"/>
          <w:numId w:val="18"/>
        </w:numPr>
      </w:pPr>
      <w:r>
        <w:t xml:space="preserve">aromatase inhibitor (including letrozole </w:t>
      </w:r>
      <w:r w:rsidR="00C9121D">
        <w:t>with palbociclib</w:t>
      </w:r>
      <w:r>
        <w:t xml:space="preserve"> or r</w:t>
      </w:r>
      <w:r w:rsidRPr="00F44A09">
        <w:t>ibociclib</w:t>
      </w:r>
      <w:r>
        <w:t xml:space="preserve">), or </w:t>
      </w:r>
    </w:p>
    <w:p w14:paraId="0DAB544C" w14:textId="724967B5" w:rsidR="00F44A09" w:rsidRDefault="00F44A09" w:rsidP="00F44A09">
      <w:pPr>
        <w:pStyle w:val="ListParagraph"/>
        <w:numPr>
          <w:ilvl w:val="0"/>
          <w:numId w:val="18"/>
        </w:numPr>
      </w:pPr>
      <w:r>
        <w:t>selective oestrogen receptor modulator (SERM</w:t>
      </w:r>
      <w:r w:rsidR="00C9121D">
        <w:t>), eg</w:t>
      </w:r>
      <w:r>
        <w:t>. tamoxifen, or</w:t>
      </w:r>
    </w:p>
    <w:p w14:paraId="6EADD820" w14:textId="41BAC9F6" w:rsidR="00F44A09" w:rsidRDefault="00F44A09" w:rsidP="00F44A09">
      <w:pPr>
        <w:pStyle w:val="ListParagraph"/>
        <w:numPr>
          <w:ilvl w:val="0"/>
          <w:numId w:val="18"/>
        </w:numPr>
      </w:pPr>
      <w:r>
        <w:t xml:space="preserve">selective oestrogen receptor downregulator (eg. </w:t>
      </w:r>
      <w:r w:rsidRPr="00F44A09">
        <w:t>fulvestrant</w:t>
      </w:r>
      <w:r>
        <w:t xml:space="preserve">). </w:t>
      </w:r>
    </w:p>
    <w:p w14:paraId="27A26620" w14:textId="63BDEE5A" w:rsidR="00667A93" w:rsidRDefault="00894F33" w:rsidP="00701D97">
      <w:r>
        <w:t xml:space="preserve">For pre-menopausal women, this would include </w:t>
      </w:r>
      <w:r w:rsidR="00BA4421">
        <w:t xml:space="preserve">a SERM or </w:t>
      </w:r>
      <w:r>
        <w:t xml:space="preserve">ovarian ablation/suppression and endocrine </w:t>
      </w:r>
      <w:r w:rsidR="00BA4421">
        <w:t xml:space="preserve">therapy as per post-menopausal women. </w:t>
      </w:r>
    </w:p>
    <w:p w14:paraId="7598DB1D" w14:textId="264BB80D" w:rsidR="00BA4421" w:rsidRDefault="00D7024E" w:rsidP="00701D97">
      <w:r>
        <w:t xml:space="preserve">The NCCN guidelines recommend trial of a new endocrine therapy following progression unless there is symptomatic visceral disease or no clinical benefit after three endocrine therapy regimens. </w:t>
      </w:r>
    </w:p>
    <w:p w14:paraId="27CAC46C" w14:textId="7ED6052C" w:rsidR="00D7024E" w:rsidRDefault="00F44A09" w:rsidP="00701D97">
      <w:r>
        <w:t xml:space="preserve">Chemotherapy is recommended where there is visceral crisis, immediately life-threatening disease, or concern or proof of endocrine </w:t>
      </w:r>
      <w:r w:rsidR="00F40C82">
        <w:t xml:space="preserve">resistance </w:t>
      </w:r>
      <w:r w:rsidR="00F40C82">
        <w:fldChar w:fldCharType="begin">
          <w:fldData xml:space="preserve">PEVuZE5vdGU+PENpdGU+PEF1dGhvcj5DYXJkb3NvPC9BdXRob3I+PFllYXI+MjAxNzwvWWVhcj48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</w:fldData>
        </w:fldChar>
      </w:r>
      <w:r w:rsidR="0073631F">
        <w:instrText xml:space="preserve"> ADDIN EN.CITE </w:instrText>
      </w:r>
      <w:r w:rsidR="0073631F">
        <w:fldChar w:fldCharType="begin">
          <w:fldData xml:space="preserve">PEVuZE5vdGU+PENpdGU+PEF1dGhvcj5DYXJkb3NvPC9BdXRob3I+PFllYXI+MjAxNzwvWWVhcj48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</w:fldData>
        </w:fldChar>
      </w:r>
      <w:r w:rsidR="0073631F">
        <w:instrText xml:space="preserve"> ADDIN EN.CITE.DATA </w:instrText>
      </w:r>
      <w:r w:rsidR="0073631F">
        <w:fldChar w:fldCharType="end"/>
      </w:r>
      <w:r w:rsidR="00F40C82">
        <w:fldChar w:fldCharType="separate"/>
      </w:r>
      <w:r w:rsidR="0073631F">
        <w:rPr>
          <w:noProof/>
        </w:rPr>
        <w:t>[4, 8]</w:t>
      </w:r>
      <w:r w:rsidR="00F40C82">
        <w:fldChar w:fldCharType="end"/>
      </w:r>
      <w:r w:rsidR="00F40C82">
        <w:t>.</w:t>
      </w:r>
      <w:r>
        <w:t xml:space="preserve"> </w:t>
      </w:r>
      <w:r w:rsidR="00F40C82">
        <w:t xml:space="preserve">The preferred single-agents recommended in the </w:t>
      </w:r>
      <w:r w:rsidR="00DB12F9">
        <w:t xml:space="preserve">2017 </w:t>
      </w:r>
      <w:r w:rsidR="00F40C82">
        <w:t>NCCN guidelines</w:t>
      </w:r>
      <w:r w:rsidR="002A14DB">
        <w:t xml:space="preserve"> </w:t>
      </w:r>
      <w:r w:rsidR="00F40C82">
        <w:fldChar w:fldCharType="begin"/>
      </w:r>
      <w:r w:rsidR="005305AC">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rsidR="00F40C82">
        <w:fldChar w:fldCharType="separate"/>
      </w:r>
      <w:r w:rsidR="005305AC">
        <w:rPr>
          <w:noProof/>
        </w:rPr>
        <w:t>[4]</w:t>
      </w:r>
      <w:r w:rsidR="00F40C82">
        <w:fldChar w:fldCharType="end"/>
      </w:r>
      <w:r w:rsidR="00F40C82">
        <w:t xml:space="preserve"> were:</w:t>
      </w:r>
    </w:p>
    <w:p w14:paraId="147112F0" w14:textId="6F0BCB03" w:rsidR="00F40C82" w:rsidRDefault="00F40C82" w:rsidP="00F40C82">
      <w:pPr>
        <w:pStyle w:val="ListParagraph"/>
        <w:numPr>
          <w:ilvl w:val="0"/>
          <w:numId w:val="19"/>
        </w:numPr>
      </w:pPr>
      <w:r>
        <w:t>Anthracyclines: doxorubicin (including peglyated liposomal formulation),</w:t>
      </w:r>
    </w:p>
    <w:p w14:paraId="740B3745" w14:textId="32782149" w:rsidR="00F40C82" w:rsidRDefault="00F40C82" w:rsidP="00F40C82">
      <w:pPr>
        <w:pStyle w:val="ListParagraph"/>
        <w:numPr>
          <w:ilvl w:val="0"/>
          <w:numId w:val="19"/>
        </w:numPr>
      </w:pPr>
      <w:r>
        <w:t>Taxanes: paclitaxel,</w:t>
      </w:r>
    </w:p>
    <w:p w14:paraId="6D5459E9" w14:textId="45A1B646" w:rsidR="00F40C82" w:rsidRDefault="00F40C82" w:rsidP="00F40C82">
      <w:pPr>
        <w:pStyle w:val="ListParagraph"/>
        <w:numPr>
          <w:ilvl w:val="0"/>
          <w:numId w:val="19"/>
        </w:numPr>
      </w:pPr>
      <w:r>
        <w:t>Anti-metabolites: capecitabine and gemcitabine,</w:t>
      </w:r>
    </w:p>
    <w:p w14:paraId="185226D8" w14:textId="44F6B109" w:rsidR="00F40C82" w:rsidRDefault="00F40C82" w:rsidP="00F40C82">
      <w:pPr>
        <w:pStyle w:val="ListParagraph"/>
        <w:numPr>
          <w:ilvl w:val="0"/>
          <w:numId w:val="19"/>
        </w:numPr>
      </w:pPr>
      <w:r>
        <w:t>Other microtubule inhibitors: vinorelbine and eribulin.</w:t>
      </w:r>
    </w:p>
    <w:p w14:paraId="17D5DA90" w14:textId="739166B6" w:rsidR="00C11084" w:rsidRDefault="00F40C82" w:rsidP="00701D97">
      <w:r>
        <w:t xml:space="preserve">The </w:t>
      </w:r>
      <w:r w:rsidR="00DB12F9">
        <w:t xml:space="preserve">2017 </w:t>
      </w:r>
      <w:r>
        <w:t xml:space="preserve">NCCN guidelines also listed several combination chemotherapy regimens for metastatic disease. None of the regimens listed included a combination of both an anthracycline and taxane. </w:t>
      </w:r>
      <w:r w:rsidR="00C11084">
        <w:t xml:space="preserve">Consequently, for patients diagnosed with hormone receptor positive metastatic breast and who have not received prior chemotherapy, olaparib is likely to be a fourth or later line treatment following at least one line of endocrine therapy, a taxane and an anthracycline. </w:t>
      </w:r>
      <w:r w:rsidR="001318C4">
        <w:t>Conversely, olaparib may be a first-line treatment for metastatic hormone receptor positive breast cancer if an anthracycline and a taxane were used for adjuvant or neoadjuvant treatment</w:t>
      </w:r>
      <w:r w:rsidR="00254A10">
        <w:t xml:space="preserve"> and the cancer was considered endocrine resistant due to rapid disease progression on adjuvant endocrine therapy</w:t>
      </w:r>
      <w:r w:rsidR="001318C4">
        <w:t xml:space="preserve">. </w:t>
      </w:r>
    </w:p>
    <w:p w14:paraId="3660B2D6" w14:textId="5931C756" w:rsidR="00D7024E" w:rsidRPr="00F44A09" w:rsidRDefault="002A14DB" w:rsidP="00D7024E">
      <w:pPr>
        <w:rPr>
          <w:u w:val="single"/>
        </w:rPr>
      </w:pPr>
      <w:r>
        <w:rPr>
          <w:u w:val="single"/>
        </w:rPr>
        <w:t>Metastatic t</w:t>
      </w:r>
      <w:r w:rsidR="00D7024E">
        <w:rPr>
          <w:u w:val="single"/>
        </w:rPr>
        <w:t>riple</w:t>
      </w:r>
      <w:r>
        <w:rPr>
          <w:u w:val="single"/>
        </w:rPr>
        <w:t xml:space="preserve"> </w:t>
      </w:r>
      <w:r w:rsidR="00D7024E">
        <w:rPr>
          <w:u w:val="single"/>
        </w:rPr>
        <w:t>negative breast cancer</w:t>
      </w:r>
    </w:p>
    <w:p w14:paraId="2D24A7CF" w14:textId="6F370D78" w:rsidR="00D7024E" w:rsidRDefault="00D7024E" w:rsidP="00701D97">
      <w:r>
        <w:t xml:space="preserve">The treatment algorithm for </w:t>
      </w:r>
      <w:r w:rsidRPr="001B1646">
        <w:t>metastatic</w:t>
      </w:r>
      <w:r w:rsidR="00322023" w:rsidRPr="001B1646">
        <w:t xml:space="preserve"> triple-negative</w:t>
      </w:r>
      <w:r w:rsidRPr="001B1646">
        <w:t xml:space="preserve"> breast cancer</w:t>
      </w:r>
      <w:r>
        <w:t xml:space="preserve"> was less clear. </w:t>
      </w:r>
      <w:r w:rsidR="00483FDC">
        <w:t>The 2015 ESMO guidelines for breast cancer state that chemotherapy is recommend for the vast majority of triple</w:t>
      </w:r>
      <w:r w:rsidR="00483FDC">
        <w:noBreakHyphen/>
        <w:t>negative breast can</w:t>
      </w:r>
      <w:r w:rsidR="00F40C82">
        <w:t>cers</w:t>
      </w:r>
      <w:r w:rsidR="00483FDC">
        <w:fldChar w:fldCharType="begin"/>
      </w:r>
      <w:r w:rsidR="005305AC">
        <w:instrText xml:space="preserve"> ADDIN EN.CITE &lt;EndNote&gt;&lt;Cite&gt;&lt;Author&gt;Senkus&lt;/Author&gt;&lt;Year&gt;2015&lt;/Year&gt;&lt;RecNum&gt;1&lt;/RecNum&gt;&lt;DisplayText&gt;[3]&lt;/DisplayText&gt;&lt;record&gt;&lt;rec-number&gt;1&lt;/rec-number&gt;&lt;foreign-keys&gt;&lt;key app="EN" db-id="aadaavff2002s7efdx25t0d9f9awrd0v0vxv" timestamp="1508463934"&gt;1&lt;/key&gt;&lt;/foreign-keys&gt;&lt;ref-type name="Journal Article"&gt;17&lt;/ref-type&gt;&lt;contributors&gt;&lt;authors&gt;&lt;author&gt;Senkus, E.&lt;/author&gt;&lt;author&gt;Kyriakides, S.&lt;/author&gt;&lt;author&gt;Ohno, S.&lt;/author&gt;&lt;author&gt;Penault-Llorca, F.&lt;/author&gt;&lt;author&gt;Poortmans, P.&lt;/author&gt;&lt;author&gt;Rutgers, E.&lt;/author&gt;&lt;author&gt;Zackrisson, S.&lt;/author&gt;&lt;author&gt;Cardoso, F.&lt;/author&gt;&lt;/authors&gt;&lt;/contributors&gt;&lt;titles&gt;&lt;title&gt;Primary breast cancer: ESMO Clinical Practice Guidelines for diagnosis, treatment and follow-up†&lt;/title&gt;&lt;secondary-title&gt;Annals of Oncology&lt;/secondary-title&gt;&lt;/titles&gt;&lt;periodical&gt;&lt;full-title&gt;Annals of Oncology&lt;/full-title&gt;&lt;/periodical&gt;&lt;pages&gt;v8-v30&lt;/pages&gt;&lt;volume&gt;26&lt;/volume&gt;&lt;number&gt;suppl_5&lt;/number&gt;&lt;dates&gt;&lt;year&gt;2015&lt;/year&gt;&lt;/dates&gt;&lt;isbn&gt;0923-7534&lt;/isbn&gt;&lt;urls&gt;&lt;related-urls&gt;&lt;url&gt;http://dx.doi.org/10.1093/annonc/mdv298&lt;/url&gt;&lt;url&gt;https://watermark.silverchair.com/mdv298.pdf?token=AQECAHi208BE49Ooan9kkhW_Ercy7Dm3ZL_9Cf3qfKAc485ysgAAAfowggH2BgkqhkiG9w0BBwagggHnMIIB4wIBADCCAdwGCSqGSIb3DQEHATAeBglghkgBZQMEAS4wEQQM9dl4nq26Td8A3EvyAgEQgIIBrQzjFCCevGYzrR8DmI9nJI9vxd1JQ0aRYJSQivPFK92v7rL5mCXHV3RtX8TH0xmwgIriz2do1Ai5G1jWKuu7xasu3ab8rWX2C4_zr44cCEsul7nxanTDBbXQvqTLr1459D8I5ocZl5l34DIU_VWoYtEW1sifz5OUGPOHaxGz4IS6dUMyxzQpUcWpQ1onjoU1mYkTxGtey43CqK43rgBpw3OmwPVgOGZFLLYFtUueC7oa8gI-vV-FG8huLEorP9A6AdOandhX4Sn-P6G-mY2h5tLQXF1JH5BL9nD1YB4-Tqefif7vELugd0adlR07Ds8FPg-0y75FqZU3blYhp-UgMKjP9wqUjlieoFFrOZ2fAL_0DjSDxPzSS0SaVQaYcdKxXfC52Vf3ZgTbrwuF1nSZbui8PYI07YkWjpLG3xhA5ELml1B1_lAYvHczYruXbekvzydauJJ_RyHgyR6jls2s8f1VGKNxr9cuLGejpJ796LKVMCSDkil2E005BnVOHCRtxNQnDnMEhQlmbzWgJLUM0WFtgSlXWYId_NCtTi0N-1wYitf-r9ps589Ln4k2VQ&lt;/url&gt;&lt;/related-urls&gt;&lt;/urls&gt;&lt;electronic-resource-num&gt;10.1093/annonc/mdv298&lt;/electronic-resource-num&gt;&lt;/record&gt;&lt;/Cite&gt;&lt;/EndNote&gt;</w:instrText>
      </w:r>
      <w:r w:rsidR="00483FDC">
        <w:fldChar w:fldCharType="separate"/>
      </w:r>
      <w:r w:rsidR="005305AC">
        <w:rPr>
          <w:noProof/>
        </w:rPr>
        <w:t>[3]</w:t>
      </w:r>
      <w:r w:rsidR="00483FDC">
        <w:fldChar w:fldCharType="end"/>
      </w:r>
      <w:r w:rsidR="00F40C82">
        <w:t>.</w:t>
      </w:r>
      <w:r w:rsidR="00483FDC">
        <w:t xml:space="preserve"> </w:t>
      </w:r>
      <w:r w:rsidR="00E7374A">
        <w:t>The 2017 ESMO guidelines</w:t>
      </w:r>
      <w:r w:rsidR="00E7374A" w:rsidRPr="00E7374A">
        <w:t xml:space="preserve"> considered platinum-based regimen to be the preferred option for BRCA associated triple negative metastatic breast cancer previously treated with an anthracycline (with or without a </w:t>
      </w:r>
      <w:r w:rsidR="001B1646" w:rsidRPr="00E7374A">
        <w:t xml:space="preserve">taxane) </w:t>
      </w:r>
      <w:r w:rsidR="008C4880">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instrText xml:space="preserve"> ADDIN EN.CITE </w:instrText>
      </w:r>
      <w:r w:rsidR="0073631F">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instrText xml:space="preserve"> ADDIN EN.CITE.DATA </w:instrText>
      </w:r>
      <w:r w:rsidR="0073631F">
        <w:fldChar w:fldCharType="end"/>
      </w:r>
      <w:r w:rsidR="008C4880">
        <w:fldChar w:fldCharType="separate"/>
      </w:r>
      <w:r w:rsidR="0073631F">
        <w:rPr>
          <w:noProof/>
        </w:rPr>
        <w:t>[8]</w:t>
      </w:r>
      <w:r w:rsidR="008C4880">
        <w:fldChar w:fldCharType="end"/>
      </w:r>
      <w:r w:rsidR="00E7374A" w:rsidRPr="00E7374A">
        <w:t>.</w:t>
      </w:r>
      <w:r w:rsidR="004B39E2">
        <w:t xml:space="preserve"> No specific chemotherapy regimens were recommended for triple</w:t>
      </w:r>
      <w:r w:rsidR="004B39E2">
        <w:noBreakHyphen/>
        <w:t xml:space="preserve">negative metastatic breast cancer in the NCCN guidelines (refer to </w:t>
      </w:r>
      <w:r w:rsidR="001B1646" w:rsidRPr="008C4880">
        <w:t xml:space="preserve">metastatic </w:t>
      </w:r>
      <w:r w:rsidR="004B39E2" w:rsidRPr="008C4880">
        <w:t>hormone receptor positive breast</w:t>
      </w:r>
      <w:r w:rsidR="004B39E2" w:rsidRPr="001B1646">
        <w:t xml:space="preserve"> cancer</w:t>
      </w:r>
      <w:r w:rsidR="004B39E2">
        <w:t>)</w:t>
      </w:r>
      <w:r w:rsidR="00842289">
        <w:t xml:space="preserve"> </w:t>
      </w:r>
      <w:r w:rsidR="004B39E2">
        <w:fldChar w:fldCharType="begin"/>
      </w:r>
      <w:r w:rsidR="005305AC">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rsidR="004B39E2">
        <w:fldChar w:fldCharType="separate"/>
      </w:r>
      <w:r w:rsidR="005305AC">
        <w:rPr>
          <w:noProof/>
        </w:rPr>
        <w:t>[4]</w:t>
      </w:r>
      <w:r w:rsidR="004B39E2">
        <w:fldChar w:fldCharType="end"/>
      </w:r>
      <w:r w:rsidR="004B39E2">
        <w:t xml:space="preserve">. </w:t>
      </w:r>
    </w:p>
    <w:p w14:paraId="61BC4A90" w14:textId="304E679F" w:rsidR="00701D97" w:rsidRDefault="00D7024E" w:rsidP="00701D97">
      <w:r>
        <w:lastRenderedPageBreak/>
        <w:t xml:space="preserve">Endocrine therapy is also recommended in the </w:t>
      </w:r>
      <w:r w:rsidR="001C0A1C">
        <w:t xml:space="preserve">2017 </w:t>
      </w:r>
      <w:r>
        <w:t>NCCN guidelines for patients with hormone receptor</w:t>
      </w:r>
      <w:r>
        <w:noBreakHyphen/>
        <w:t>negative disease localised to the bone or soft tissue only or with asymptomatic visceral disease</w:t>
      </w:r>
      <w:r w:rsidR="00842289">
        <w:t xml:space="preserve"> </w:t>
      </w:r>
      <w:r>
        <w:fldChar w:fldCharType="begin"/>
      </w:r>
      <w:r w:rsidR="005305AC">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fldChar w:fldCharType="separate"/>
      </w:r>
      <w:r w:rsidR="005305AC">
        <w:rPr>
          <w:noProof/>
        </w:rPr>
        <w:t>[4]</w:t>
      </w:r>
      <w:r>
        <w:fldChar w:fldCharType="end"/>
      </w:r>
      <w:r>
        <w:t>.</w:t>
      </w:r>
    </w:p>
    <w:p w14:paraId="63337ECB" w14:textId="31A6E083" w:rsidR="00F33908" w:rsidRDefault="00F33908" w:rsidP="00701D97">
      <w:r>
        <w:t xml:space="preserve">For patients diagnosed with </w:t>
      </w:r>
      <w:r w:rsidR="001B1646" w:rsidRPr="001B1646">
        <w:t xml:space="preserve">metastatic </w:t>
      </w:r>
      <w:r w:rsidRPr="001B1646">
        <w:t>triple-negative breast</w:t>
      </w:r>
      <w:r>
        <w:t xml:space="preserve"> and who have not received prior chemotherapy, olaparib is likely to be a third or later line treatment following a taxane and an anthracycline.</w:t>
      </w:r>
      <w:r w:rsidR="001B1646">
        <w:t xml:space="preserve"> Conversely, olaparib may be a first-line treatment for metastatic triple-negative breast cancer if an anthracycline and a taxane were used for </w:t>
      </w:r>
      <w:r w:rsidR="008C4880">
        <w:t>adjuvant or neoadjuvant</w:t>
      </w:r>
      <w:r w:rsidR="001B1646">
        <w:t xml:space="preserve"> treatment. </w:t>
      </w:r>
    </w:p>
    <w:p w14:paraId="11244648" w14:textId="3D357B4D" w:rsidR="00D62D00" w:rsidRDefault="00483B89" w:rsidP="00C11084">
      <w:r>
        <w:fldChar w:fldCharType="begin"/>
      </w:r>
      <w:r>
        <w:instrText xml:space="preserve"> REF _Ref497908265 \h </w:instrText>
      </w:r>
      <w:r>
        <w:fldChar w:fldCharType="separate"/>
      </w:r>
      <w:r>
        <w:t xml:space="preserve">Figure </w:t>
      </w:r>
      <w:r>
        <w:rPr>
          <w:noProof/>
        </w:rPr>
        <w:t>1</w:t>
      </w:r>
      <w:r>
        <w:fldChar w:fldCharType="end"/>
      </w:r>
      <w:r>
        <w:t xml:space="preserve"> </w:t>
      </w:r>
      <w:r w:rsidR="00F5634D">
        <w:t xml:space="preserve">presents the current treatment algorithm for metastatic HER2-negative breast cancer. </w:t>
      </w:r>
    </w:p>
    <w:p w14:paraId="7AFC910E" w14:textId="77777777" w:rsidR="00F5634D" w:rsidRDefault="00F5634D" w:rsidP="00F5634D">
      <w:pPr>
        <w:pStyle w:val="Caption"/>
      </w:pPr>
      <w:bookmarkStart w:id="3" w:name="_Ref487469456"/>
      <w:bookmarkStart w:id="4" w:name="Figure2"/>
    </w:p>
    <w:p w14:paraId="7BE51AA7" w14:textId="2984D947" w:rsidR="00F5634D" w:rsidRDefault="00F5634D" w:rsidP="00F5634D">
      <w:pPr>
        <w:pStyle w:val="Caption"/>
      </w:pPr>
      <w:bookmarkStart w:id="5" w:name="_Ref497908265"/>
      <w:r>
        <w:t xml:space="preserve">Figure </w:t>
      </w:r>
      <w:r>
        <w:fldChar w:fldCharType="begin"/>
      </w:r>
      <w:r>
        <w:instrText xml:space="preserve"> SEQ Figure \* ARABIC </w:instrText>
      </w:r>
      <w:r>
        <w:fldChar w:fldCharType="separate"/>
      </w:r>
      <w:r>
        <w:rPr>
          <w:noProof/>
        </w:rPr>
        <w:t>1</w:t>
      </w:r>
      <w:r>
        <w:fldChar w:fldCharType="end"/>
      </w:r>
      <w:bookmarkEnd w:id="3"/>
      <w:bookmarkEnd w:id="5"/>
      <w:r>
        <w:t xml:space="preserve">: </w:t>
      </w:r>
      <w:bookmarkEnd w:id="4"/>
      <w:r w:rsidR="00483B89">
        <w:t>Current</w:t>
      </w:r>
      <w:r w:rsidRPr="005A23AE">
        <w:t xml:space="preserve"> </w:t>
      </w:r>
      <w:r>
        <w:t xml:space="preserve">Clinical Management </w:t>
      </w:r>
      <w:r w:rsidRPr="005A23AE">
        <w:t>Algorithm</w:t>
      </w:r>
    </w:p>
    <w:p w14:paraId="2B20618B" w14:textId="1A18F61C" w:rsidR="00260A59" w:rsidRPr="00260A59" w:rsidRDefault="0082407A" w:rsidP="00260A59">
      <w:pPr>
        <w:rPr>
          <w:lang w:val="en-GB" w:eastAsia="ja-JP"/>
        </w:rPr>
      </w:pPr>
      <w:r>
        <w:rPr>
          <w:noProof/>
          <w:lang w:eastAsia="en-AU"/>
        </w:rPr>
        <w:drawing>
          <wp:inline distT="0" distB="0" distL="0" distR="0" wp14:anchorId="4AA6588D" wp14:editId="0C503ABB">
            <wp:extent cx="5731510" cy="5135245"/>
            <wp:effectExtent l="0" t="0" r="2540" b="8255"/>
            <wp:docPr id="8" name="Picture 8" descr="Description of current clinical management algorithm" title="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eatment algorithm - current.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5135245"/>
                    </a:xfrm>
                    <a:prstGeom prst="rect">
                      <a:avLst/>
                    </a:prstGeom>
                  </pic:spPr>
                </pic:pic>
              </a:graphicData>
            </a:graphic>
          </wp:inline>
        </w:drawing>
      </w:r>
    </w:p>
    <w:p w14:paraId="4D0B6363" w14:textId="1B3D6895" w:rsidR="00483B89" w:rsidRPr="00E049E7" w:rsidRDefault="00483B89" w:rsidP="00642878">
      <w:pPr>
        <w:spacing w:after="60"/>
        <w:rPr>
          <w:sz w:val="20"/>
          <w:szCs w:val="20"/>
        </w:rPr>
      </w:pPr>
      <w:r w:rsidRPr="00E049E7">
        <w:rPr>
          <w:sz w:val="20"/>
          <w:szCs w:val="20"/>
        </w:rPr>
        <w:t>Source: NCCN Invasive breast cancer guidelines (2.2017)</w:t>
      </w:r>
      <w:r w:rsidRPr="00E049E7">
        <w:rPr>
          <w:b/>
          <w:i/>
          <w:sz w:val="20"/>
          <w:szCs w:val="20"/>
        </w:rPr>
        <w:fldChar w:fldCharType="begin"/>
      </w:r>
      <w:r w:rsidR="005305AC" w:rsidRPr="00E049E7">
        <w:rPr>
          <w:b/>
          <w:i/>
          <w:sz w:val="20"/>
          <w:szCs w:val="20"/>
        </w:rPr>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rsidRPr="00E049E7">
        <w:rPr>
          <w:b/>
          <w:i/>
          <w:sz w:val="20"/>
          <w:szCs w:val="20"/>
        </w:rPr>
        <w:fldChar w:fldCharType="separate"/>
      </w:r>
      <w:r w:rsidR="005305AC" w:rsidRPr="00E049E7">
        <w:rPr>
          <w:noProof/>
          <w:sz w:val="20"/>
          <w:szCs w:val="20"/>
        </w:rPr>
        <w:t>[4]</w:t>
      </w:r>
      <w:r w:rsidRPr="00E049E7">
        <w:rPr>
          <w:b/>
          <w:i/>
          <w:sz w:val="20"/>
          <w:szCs w:val="20"/>
        </w:rPr>
        <w:fldChar w:fldCharType="end"/>
      </w:r>
      <w:r w:rsidRPr="00E049E7">
        <w:rPr>
          <w:sz w:val="20"/>
          <w:szCs w:val="20"/>
        </w:rPr>
        <w:t xml:space="preserve"> </w:t>
      </w:r>
      <w:r w:rsidR="0082407A" w:rsidRPr="00E049E7">
        <w:rPr>
          <w:sz w:val="20"/>
          <w:szCs w:val="20"/>
        </w:rPr>
        <w:t xml:space="preserve">and </w:t>
      </w:r>
      <w:r w:rsidRPr="00E049E7">
        <w:rPr>
          <w:sz w:val="20"/>
          <w:szCs w:val="20"/>
        </w:rPr>
        <w:t>ESMO 2017 Consensus Guidelines for Advanced Breast Cancer</w:t>
      </w:r>
      <w:r w:rsidRPr="00E049E7">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rsidRPr="00E049E7">
        <w:rPr>
          <w:sz w:val="20"/>
          <w:szCs w:val="20"/>
        </w:rPr>
        <w:instrText xml:space="preserve"> ADDIN EN.CITE </w:instrText>
      </w:r>
      <w:r w:rsidR="0073631F" w:rsidRPr="00E049E7">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rsidRPr="00E049E7">
        <w:rPr>
          <w:sz w:val="20"/>
          <w:szCs w:val="20"/>
        </w:rPr>
        <w:instrText xml:space="preserve"> ADDIN EN.CITE.DATA </w:instrText>
      </w:r>
      <w:r w:rsidR="0073631F" w:rsidRPr="00E049E7">
        <w:rPr>
          <w:sz w:val="20"/>
          <w:szCs w:val="20"/>
        </w:rPr>
      </w:r>
      <w:r w:rsidR="0073631F" w:rsidRPr="00E049E7">
        <w:rPr>
          <w:sz w:val="20"/>
          <w:szCs w:val="20"/>
        </w:rPr>
        <w:fldChar w:fldCharType="end"/>
      </w:r>
      <w:r w:rsidRPr="00E049E7">
        <w:rPr>
          <w:sz w:val="20"/>
          <w:szCs w:val="20"/>
        </w:rPr>
      </w:r>
      <w:r w:rsidRPr="00E049E7">
        <w:rPr>
          <w:sz w:val="20"/>
          <w:szCs w:val="20"/>
        </w:rPr>
        <w:fldChar w:fldCharType="separate"/>
      </w:r>
      <w:r w:rsidR="0073631F" w:rsidRPr="00E049E7">
        <w:rPr>
          <w:noProof/>
          <w:sz w:val="20"/>
          <w:szCs w:val="20"/>
        </w:rPr>
        <w:t>[8]</w:t>
      </w:r>
      <w:r w:rsidRPr="00E049E7">
        <w:rPr>
          <w:sz w:val="20"/>
          <w:szCs w:val="20"/>
        </w:rPr>
        <w:fldChar w:fldCharType="end"/>
      </w:r>
    </w:p>
    <w:p w14:paraId="614423D2" w14:textId="13C2E443" w:rsidR="00483B89" w:rsidRDefault="00483B89" w:rsidP="00642878">
      <w:pPr>
        <w:spacing w:after="60"/>
        <w:rPr>
          <w:sz w:val="20"/>
          <w:szCs w:val="20"/>
        </w:rPr>
      </w:pPr>
      <w:r w:rsidRPr="00E049E7">
        <w:rPr>
          <w:sz w:val="20"/>
          <w:szCs w:val="20"/>
        </w:rPr>
        <w:t>ESMO = European Society for Medical Oncology; HER-2 = human epidermal growth factor receptor 2; NCCN= National Comprehensive Cancer Network</w:t>
      </w:r>
    </w:p>
    <w:p w14:paraId="3FAFF6F4" w14:textId="77777777" w:rsidR="00D33B57" w:rsidRPr="00E049E7" w:rsidRDefault="00D33B57" w:rsidP="00D33B57">
      <w:pPr>
        <w:spacing w:after="60"/>
        <w:rPr>
          <w:sz w:val="20"/>
          <w:szCs w:val="20"/>
        </w:rPr>
      </w:pPr>
      <w:r w:rsidRPr="00E049E7">
        <w:rPr>
          <w:sz w:val="20"/>
          <w:szCs w:val="20"/>
          <w:vertAlign w:val="superscript"/>
        </w:rPr>
        <w:lastRenderedPageBreak/>
        <w:t xml:space="preserve">a </w:t>
      </w:r>
      <w:r w:rsidRPr="00E049E7">
        <w:rPr>
          <w:sz w:val="20"/>
          <w:szCs w:val="20"/>
        </w:rPr>
        <w:t>Some patients will have received chemotherapy for adjuvant or neoadjuvant treatment. Taxanes may be re</w:t>
      </w:r>
      <w:r w:rsidRPr="00E049E7">
        <w:rPr>
          <w:sz w:val="20"/>
          <w:szCs w:val="20"/>
        </w:rPr>
        <w:noBreakHyphen/>
        <w:t>used if there has been at least</w:t>
      </w:r>
      <w:r>
        <w:rPr>
          <w:sz w:val="20"/>
          <w:szCs w:val="20"/>
        </w:rPr>
        <w:t xml:space="preserve"> one</w:t>
      </w:r>
      <w:r w:rsidRPr="00E049E7">
        <w:rPr>
          <w:sz w:val="20"/>
          <w:szCs w:val="20"/>
        </w:rPr>
        <w:t xml:space="preserve"> year of disease-free survival. Anthracyclines may be re</w:t>
      </w:r>
      <w:r w:rsidRPr="00E049E7">
        <w:rPr>
          <w:sz w:val="20"/>
          <w:szCs w:val="20"/>
        </w:rPr>
        <w:noBreakHyphen/>
        <w:t>used if cumulative dose has not been achieved and there has been at least one year of disease</w:t>
      </w:r>
      <w:r w:rsidRPr="00E049E7">
        <w:rPr>
          <w:sz w:val="20"/>
          <w:szCs w:val="20"/>
        </w:rPr>
        <w:noBreakHyphen/>
        <w:t xml:space="preserve">free survival </w:t>
      </w:r>
      <w:r w:rsidRPr="00E049E7">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Pr="00E049E7">
        <w:rPr>
          <w:sz w:val="20"/>
          <w:szCs w:val="20"/>
        </w:rPr>
        <w:instrText xml:space="preserve"> ADDIN EN.CITE </w:instrText>
      </w:r>
      <w:r w:rsidRPr="00E049E7">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Pr="00E049E7">
        <w:rPr>
          <w:sz w:val="20"/>
          <w:szCs w:val="20"/>
        </w:rPr>
        <w:instrText xml:space="preserve"> ADDIN EN.CITE.DATA </w:instrText>
      </w:r>
      <w:r w:rsidRPr="00E049E7">
        <w:rPr>
          <w:sz w:val="20"/>
          <w:szCs w:val="20"/>
        </w:rPr>
      </w:r>
      <w:r w:rsidRPr="00E049E7">
        <w:rPr>
          <w:sz w:val="20"/>
          <w:szCs w:val="20"/>
        </w:rPr>
        <w:fldChar w:fldCharType="end"/>
      </w:r>
      <w:r w:rsidRPr="00E049E7">
        <w:rPr>
          <w:sz w:val="20"/>
          <w:szCs w:val="20"/>
        </w:rPr>
      </w:r>
      <w:r w:rsidRPr="00E049E7">
        <w:rPr>
          <w:sz w:val="20"/>
          <w:szCs w:val="20"/>
        </w:rPr>
        <w:fldChar w:fldCharType="separate"/>
      </w:r>
      <w:r w:rsidRPr="00E049E7">
        <w:rPr>
          <w:noProof/>
          <w:sz w:val="20"/>
          <w:szCs w:val="20"/>
        </w:rPr>
        <w:t>[8]</w:t>
      </w:r>
      <w:r w:rsidRPr="00E049E7">
        <w:rPr>
          <w:sz w:val="20"/>
          <w:szCs w:val="20"/>
        </w:rPr>
        <w:fldChar w:fldCharType="end"/>
      </w:r>
      <w:r w:rsidRPr="00E049E7">
        <w:rPr>
          <w:sz w:val="20"/>
          <w:szCs w:val="20"/>
        </w:rPr>
        <w:t>.</w:t>
      </w:r>
    </w:p>
    <w:p w14:paraId="5CA1D524" w14:textId="77777777" w:rsidR="00D33B57" w:rsidRPr="00E049E7" w:rsidRDefault="00D33B57" w:rsidP="00D33B57">
      <w:pPr>
        <w:spacing w:after="60"/>
        <w:rPr>
          <w:sz w:val="20"/>
          <w:szCs w:val="20"/>
        </w:rPr>
      </w:pPr>
      <w:r w:rsidRPr="00E049E7">
        <w:rPr>
          <w:sz w:val="20"/>
          <w:szCs w:val="20"/>
          <w:vertAlign w:val="superscript"/>
        </w:rPr>
        <w:t xml:space="preserve">b </w:t>
      </w:r>
      <w:r w:rsidRPr="00E049E7">
        <w:rPr>
          <w:sz w:val="20"/>
          <w:szCs w:val="20"/>
        </w:rPr>
        <w:t>The</w:t>
      </w:r>
      <w:r w:rsidRPr="00E049E7">
        <w:rPr>
          <w:sz w:val="20"/>
          <w:szCs w:val="20"/>
          <w:vertAlign w:val="superscript"/>
        </w:rPr>
        <w:t xml:space="preserve"> </w:t>
      </w:r>
      <w:r w:rsidRPr="00E049E7">
        <w:rPr>
          <w:sz w:val="20"/>
          <w:szCs w:val="20"/>
        </w:rPr>
        <w:t xml:space="preserve">2017 ESMO Consensus Guidelines stated that a platinum regimen is the preferred option for patients with BRCA-associated triple negative or endocrine-resistant metastatic breast cancer previously treated with an anthracycline with or without a taxane </w:t>
      </w:r>
      <w:r w:rsidRPr="00E049E7">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Pr="00E049E7">
        <w:rPr>
          <w:sz w:val="20"/>
          <w:szCs w:val="20"/>
        </w:rPr>
        <w:instrText xml:space="preserve"> ADDIN EN.CITE </w:instrText>
      </w:r>
      <w:r w:rsidRPr="00E049E7">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Pr="00E049E7">
        <w:rPr>
          <w:sz w:val="20"/>
          <w:szCs w:val="20"/>
        </w:rPr>
        <w:instrText xml:space="preserve"> ADDIN EN.CITE.DATA </w:instrText>
      </w:r>
      <w:r w:rsidRPr="00E049E7">
        <w:rPr>
          <w:sz w:val="20"/>
          <w:szCs w:val="20"/>
        </w:rPr>
      </w:r>
      <w:r w:rsidRPr="00E049E7">
        <w:rPr>
          <w:sz w:val="20"/>
          <w:szCs w:val="20"/>
        </w:rPr>
        <w:fldChar w:fldCharType="end"/>
      </w:r>
      <w:r w:rsidRPr="00E049E7">
        <w:rPr>
          <w:sz w:val="20"/>
          <w:szCs w:val="20"/>
        </w:rPr>
      </w:r>
      <w:r w:rsidRPr="00E049E7">
        <w:rPr>
          <w:sz w:val="20"/>
          <w:szCs w:val="20"/>
        </w:rPr>
        <w:fldChar w:fldCharType="separate"/>
      </w:r>
      <w:r w:rsidRPr="00E049E7">
        <w:rPr>
          <w:noProof/>
          <w:sz w:val="20"/>
          <w:szCs w:val="20"/>
        </w:rPr>
        <w:t>[8]</w:t>
      </w:r>
      <w:r w:rsidRPr="00E049E7">
        <w:rPr>
          <w:sz w:val="20"/>
          <w:szCs w:val="20"/>
        </w:rPr>
        <w:fldChar w:fldCharType="end"/>
      </w:r>
      <w:r w:rsidRPr="00E049E7">
        <w:rPr>
          <w:sz w:val="20"/>
          <w:szCs w:val="20"/>
        </w:rPr>
        <w:t>.</w:t>
      </w:r>
    </w:p>
    <w:p w14:paraId="0D458946" w14:textId="77777777" w:rsidR="00D33B57" w:rsidRDefault="00D33B57" w:rsidP="00642878">
      <w:pPr>
        <w:spacing w:after="60"/>
        <w:rPr>
          <w:sz w:val="20"/>
          <w:szCs w:val="20"/>
        </w:rPr>
      </w:pPr>
    </w:p>
    <w:p w14:paraId="45411AE0" w14:textId="77777777" w:rsidR="00083728" w:rsidRPr="00E049E7" w:rsidRDefault="00083728" w:rsidP="00642878">
      <w:pPr>
        <w:spacing w:after="60"/>
        <w:rPr>
          <w:sz w:val="20"/>
          <w:szCs w:val="20"/>
        </w:rPr>
      </w:pPr>
    </w:p>
    <w:p w14:paraId="62046511" w14:textId="77777777" w:rsidR="00483B89" w:rsidRDefault="00483B89" w:rsidP="00483B89">
      <w:pPr>
        <w:pStyle w:val="Heading2"/>
        <w:spacing w:line="240" w:lineRule="auto"/>
        <w:jc w:val="both"/>
        <w:rPr>
          <w:color w:val="548DD4"/>
        </w:rPr>
      </w:pPr>
      <w:r w:rsidRPr="00896845">
        <w:rPr>
          <w:color w:val="548DD4"/>
        </w:rPr>
        <w:t xml:space="preserve">Proposed </w:t>
      </w:r>
      <w:r>
        <w:rPr>
          <w:color w:val="548DD4"/>
        </w:rPr>
        <w:t>clinical</w:t>
      </w:r>
      <w:r w:rsidRPr="00896845">
        <w:rPr>
          <w:color w:val="548DD4"/>
        </w:rPr>
        <w:t xml:space="preserve"> management</w:t>
      </w:r>
      <w:r>
        <w:rPr>
          <w:color w:val="548DD4"/>
        </w:rPr>
        <w:t xml:space="preserve"> algorithm for identified population</w:t>
      </w:r>
    </w:p>
    <w:p w14:paraId="27E6F2FC" w14:textId="7227048B" w:rsidR="00483B89" w:rsidRPr="00C11084" w:rsidRDefault="00483B89" w:rsidP="00C11084">
      <w:r>
        <w:fldChar w:fldCharType="begin"/>
      </w:r>
      <w:r>
        <w:instrText xml:space="preserve"> REF _Ref497908110 \h </w:instrText>
      </w:r>
      <w:r>
        <w:fldChar w:fldCharType="separate"/>
      </w:r>
      <w:r>
        <w:t xml:space="preserve">Figure </w:t>
      </w:r>
      <w:r>
        <w:rPr>
          <w:noProof/>
        </w:rPr>
        <w:t>2</w:t>
      </w:r>
      <w:r>
        <w:fldChar w:fldCharType="end"/>
      </w:r>
      <w:r>
        <w:t xml:space="preserve"> presents the proposed clinical management algorithm. </w:t>
      </w:r>
    </w:p>
    <w:p w14:paraId="7F46D5FE" w14:textId="05D7A44B" w:rsidR="00483B89" w:rsidRDefault="00483B89" w:rsidP="00483B89">
      <w:pPr>
        <w:pStyle w:val="Caption"/>
      </w:pPr>
      <w:bookmarkStart w:id="6" w:name="_Ref497908110"/>
      <w:r>
        <w:t xml:space="preserve">Figure </w:t>
      </w:r>
      <w:r>
        <w:fldChar w:fldCharType="begin"/>
      </w:r>
      <w:r>
        <w:instrText xml:space="preserve"> SEQ Figure \* ARABIC </w:instrText>
      </w:r>
      <w:r>
        <w:fldChar w:fldCharType="separate"/>
      </w:r>
      <w:r>
        <w:rPr>
          <w:noProof/>
        </w:rPr>
        <w:t>2</w:t>
      </w:r>
      <w:r>
        <w:fldChar w:fldCharType="end"/>
      </w:r>
      <w:bookmarkEnd w:id="6"/>
      <w:r>
        <w:t>: Proposed</w:t>
      </w:r>
      <w:r w:rsidRPr="005A23AE">
        <w:t xml:space="preserve"> </w:t>
      </w:r>
      <w:r>
        <w:t xml:space="preserve">Clinical Management </w:t>
      </w:r>
      <w:r w:rsidRPr="005A23AE">
        <w:t>Algorithm</w:t>
      </w:r>
    </w:p>
    <w:p w14:paraId="65E5D109" w14:textId="08945F2A" w:rsidR="00F5634D" w:rsidRDefault="00163903" w:rsidP="00E364F7">
      <w:pPr>
        <w:rPr>
          <w:color w:val="FF0000"/>
        </w:rPr>
      </w:pPr>
      <w:r>
        <w:rPr>
          <w:noProof/>
          <w:color w:val="FF0000"/>
          <w:lang w:eastAsia="en-AU"/>
        </w:rPr>
        <w:drawing>
          <wp:inline distT="0" distB="0" distL="0" distR="0" wp14:anchorId="3F138FAC" wp14:editId="524F574F">
            <wp:extent cx="5731510" cy="5472430"/>
            <wp:effectExtent l="0" t="0" r="2540" b="0"/>
            <wp:docPr id="9" name="Picture 9" descr="Description of proposed Clinical Management Algorithm" title="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eatment algorithm - future.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5472430"/>
                    </a:xfrm>
                    <a:prstGeom prst="rect">
                      <a:avLst/>
                    </a:prstGeom>
                  </pic:spPr>
                </pic:pic>
              </a:graphicData>
            </a:graphic>
          </wp:inline>
        </w:drawing>
      </w:r>
    </w:p>
    <w:p w14:paraId="4F563FC8" w14:textId="2EE4C087" w:rsidR="00D4429B" w:rsidRPr="00E049E7" w:rsidRDefault="00483B89" w:rsidP="00D4429B">
      <w:pPr>
        <w:spacing w:after="120"/>
        <w:rPr>
          <w:sz w:val="20"/>
          <w:szCs w:val="20"/>
        </w:rPr>
      </w:pPr>
      <w:r w:rsidRPr="00E049E7">
        <w:rPr>
          <w:sz w:val="20"/>
          <w:szCs w:val="20"/>
        </w:rPr>
        <w:t>Source: NCCN Invasive breast cancer guidelines (2.2017)</w:t>
      </w:r>
      <w:r w:rsidRPr="00E049E7">
        <w:rPr>
          <w:b/>
          <w:i/>
          <w:sz w:val="20"/>
          <w:szCs w:val="20"/>
        </w:rPr>
        <w:fldChar w:fldCharType="begin"/>
      </w:r>
      <w:r w:rsidR="005305AC" w:rsidRPr="00E049E7">
        <w:rPr>
          <w:b/>
          <w:i/>
          <w:sz w:val="20"/>
          <w:szCs w:val="20"/>
        </w:rPr>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rsidRPr="00E049E7">
        <w:rPr>
          <w:b/>
          <w:i/>
          <w:sz w:val="20"/>
          <w:szCs w:val="20"/>
        </w:rPr>
        <w:fldChar w:fldCharType="separate"/>
      </w:r>
      <w:r w:rsidR="005305AC" w:rsidRPr="00E049E7">
        <w:rPr>
          <w:noProof/>
          <w:sz w:val="20"/>
          <w:szCs w:val="20"/>
        </w:rPr>
        <w:t>[4]</w:t>
      </w:r>
      <w:r w:rsidRPr="00E049E7">
        <w:rPr>
          <w:b/>
          <w:i/>
          <w:sz w:val="20"/>
          <w:szCs w:val="20"/>
        </w:rPr>
        <w:fldChar w:fldCharType="end"/>
      </w:r>
      <w:r w:rsidRPr="00E049E7">
        <w:rPr>
          <w:sz w:val="20"/>
          <w:szCs w:val="20"/>
        </w:rPr>
        <w:t xml:space="preserve"> </w:t>
      </w:r>
      <w:r w:rsidR="00E049E7">
        <w:rPr>
          <w:sz w:val="20"/>
          <w:szCs w:val="20"/>
        </w:rPr>
        <w:t xml:space="preserve">and </w:t>
      </w:r>
      <w:r w:rsidRPr="00E049E7">
        <w:rPr>
          <w:sz w:val="20"/>
          <w:szCs w:val="20"/>
        </w:rPr>
        <w:t>ESMO 2017 Consensus Guidelines for Advanced Breast Cancer</w:t>
      </w:r>
      <w:r w:rsidRPr="00E049E7">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rsidRPr="00E049E7">
        <w:rPr>
          <w:sz w:val="20"/>
          <w:szCs w:val="20"/>
        </w:rPr>
        <w:instrText xml:space="preserve"> ADDIN EN.CITE </w:instrText>
      </w:r>
      <w:r w:rsidR="0073631F" w:rsidRPr="00E049E7">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73631F" w:rsidRPr="00E049E7">
        <w:rPr>
          <w:sz w:val="20"/>
          <w:szCs w:val="20"/>
        </w:rPr>
        <w:instrText xml:space="preserve"> ADDIN EN.CITE.DATA </w:instrText>
      </w:r>
      <w:r w:rsidR="0073631F" w:rsidRPr="00E049E7">
        <w:rPr>
          <w:sz w:val="20"/>
          <w:szCs w:val="20"/>
        </w:rPr>
      </w:r>
      <w:r w:rsidR="0073631F" w:rsidRPr="00E049E7">
        <w:rPr>
          <w:sz w:val="20"/>
          <w:szCs w:val="20"/>
        </w:rPr>
        <w:fldChar w:fldCharType="end"/>
      </w:r>
      <w:r w:rsidRPr="00E049E7">
        <w:rPr>
          <w:sz w:val="20"/>
          <w:szCs w:val="20"/>
        </w:rPr>
      </w:r>
      <w:r w:rsidRPr="00E049E7">
        <w:rPr>
          <w:sz w:val="20"/>
          <w:szCs w:val="20"/>
        </w:rPr>
        <w:fldChar w:fldCharType="separate"/>
      </w:r>
      <w:r w:rsidR="0073631F" w:rsidRPr="00E049E7">
        <w:rPr>
          <w:noProof/>
          <w:sz w:val="20"/>
          <w:szCs w:val="20"/>
        </w:rPr>
        <w:t>[8]</w:t>
      </w:r>
      <w:r w:rsidRPr="00E049E7">
        <w:rPr>
          <w:sz w:val="20"/>
          <w:szCs w:val="20"/>
        </w:rPr>
        <w:fldChar w:fldCharType="end"/>
      </w:r>
    </w:p>
    <w:p w14:paraId="268F04A2" w14:textId="77777777" w:rsidR="00E610A6" w:rsidRDefault="00483B89" w:rsidP="001318C4">
      <w:pPr>
        <w:spacing w:after="120"/>
        <w:rPr>
          <w:sz w:val="20"/>
          <w:szCs w:val="20"/>
        </w:rPr>
      </w:pPr>
      <w:r w:rsidRPr="00E049E7">
        <w:rPr>
          <w:sz w:val="20"/>
          <w:szCs w:val="20"/>
        </w:rPr>
        <w:lastRenderedPageBreak/>
        <w:t>ESMO = European Society for Medical Oncology; HER-2 = human epidermal growth factor receptor 2; NCCN= National Comprehensive Cancer Network</w:t>
      </w:r>
      <w:r w:rsidR="007A2772" w:rsidRPr="00E049E7">
        <w:rPr>
          <w:sz w:val="20"/>
          <w:szCs w:val="20"/>
        </w:rPr>
        <w:t xml:space="preserve"> </w:t>
      </w:r>
    </w:p>
    <w:p w14:paraId="173C144D" w14:textId="520D3189" w:rsidR="002466C4" w:rsidRPr="00E049E7" w:rsidRDefault="002466C4" w:rsidP="00C40A3A">
      <w:pPr>
        <w:spacing w:after="60"/>
        <w:rPr>
          <w:sz w:val="20"/>
          <w:szCs w:val="20"/>
        </w:rPr>
      </w:pPr>
      <w:r w:rsidRPr="00E049E7">
        <w:rPr>
          <w:sz w:val="20"/>
          <w:szCs w:val="20"/>
          <w:vertAlign w:val="superscript"/>
        </w:rPr>
        <w:t>a</w:t>
      </w:r>
      <w:r w:rsidRPr="00E049E7">
        <w:rPr>
          <w:sz w:val="20"/>
          <w:szCs w:val="20"/>
        </w:rPr>
        <w:t xml:space="preserve"> Some patients will have received chemotherapy for adjuvant or neoadjuvant treatment. Taxanes may be re-used if there has been at least</w:t>
      </w:r>
      <w:r>
        <w:rPr>
          <w:sz w:val="20"/>
          <w:szCs w:val="20"/>
        </w:rPr>
        <w:t xml:space="preserve"> one</w:t>
      </w:r>
      <w:r w:rsidRPr="00E049E7">
        <w:rPr>
          <w:sz w:val="20"/>
          <w:szCs w:val="20"/>
        </w:rPr>
        <w:t xml:space="preserve"> year of disease-free survival. Anthracyclines may be re</w:t>
      </w:r>
      <w:r w:rsidRPr="00E049E7">
        <w:rPr>
          <w:sz w:val="20"/>
          <w:szCs w:val="20"/>
        </w:rPr>
        <w:noBreakHyphen/>
        <w:t>used if cumulative dose has not been achieved and there has been at least one year of disease</w:t>
      </w:r>
      <w:r w:rsidRPr="00E049E7">
        <w:rPr>
          <w:sz w:val="20"/>
          <w:szCs w:val="20"/>
        </w:rPr>
        <w:noBreakHyphen/>
        <w:t xml:space="preserve">free survival </w:t>
      </w:r>
      <w:r w:rsidR="00C40A3A">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C40A3A">
        <w:rPr>
          <w:sz w:val="20"/>
          <w:szCs w:val="20"/>
        </w:rPr>
        <w:instrText xml:space="preserve"> ADDIN EN.CITE </w:instrText>
      </w:r>
      <w:r w:rsidR="00C40A3A">
        <w:rPr>
          <w:sz w:val="20"/>
          <w:szCs w:val="20"/>
        </w:rPr>
        <w:fldChar w:fldCharType="begin">
          <w:fldData xml:space="preserve">PEVuZE5vdGU+PENpdGU+PEF1dGhvcj5DYXJkb3NvPC9BdXRob3I+PFllYXI+MjAxNzwvWWVhcj48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</w:fldData>
        </w:fldChar>
      </w:r>
      <w:r w:rsidR="00C40A3A">
        <w:rPr>
          <w:sz w:val="20"/>
          <w:szCs w:val="20"/>
        </w:rPr>
        <w:instrText xml:space="preserve"> ADDIN EN.CITE.DATA </w:instrText>
      </w:r>
      <w:r w:rsidR="00C40A3A">
        <w:rPr>
          <w:sz w:val="20"/>
          <w:szCs w:val="20"/>
        </w:rPr>
      </w:r>
      <w:r w:rsidR="00C40A3A">
        <w:rPr>
          <w:sz w:val="20"/>
          <w:szCs w:val="20"/>
        </w:rPr>
        <w:fldChar w:fldCharType="end"/>
      </w:r>
      <w:r w:rsidR="00C40A3A">
        <w:rPr>
          <w:sz w:val="20"/>
          <w:szCs w:val="20"/>
        </w:rPr>
      </w:r>
      <w:r w:rsidR="00C40A3A">
        <w:rPr>
          <w:sz w:val="20"/>
          <w:szCs w:val="20"/>
        </w:rPr>
        <w:fldChar w:fldCharType="separate"/>
      </w:r>
      <w:r w:rsidR="00C40A3A">
        <w:rPr>
          <w:noProof/>
          <w:sz w:val="20"/>
          <w:szCs w:val="20"/>
        </w:rPr>
        <w:t>[8]</w:t>
      </w:r>
      <w:r w:rsidR="00C40A3A">
        <w:rPr>
          <w:sz w:val="20"/>
          <w:szCs w:val="20"/>
        </w:rPr>
        <w:fldChar w:fldCharType="end"/>
      </w:r>
      <w:r w:rsidR="00C40A3A">
        <w:rPr>
          <w:sz w:val="20"/>
          <w:szCs w:val="20"/>
        </w:rPr>
        <w:t xml:space="preserve">. </w:t>
      </w:r>
    </w:p>
    <w:p w14:paraId="3A7B6B51" w14:textId="04B8FD6F" w:rsidR="00E364F7" w:rsidRPr="00014375" w:rsidRDefault="00E364F7" w:rsidP="001318C4">
      <w:pPr>
        <w:spacing w:after="120"/>
        <w:rPr>
          <w:vanish/>
          <w:color w:val="FF0000"/>
        </w:rPr>
      </w:pPr>
    </w:p>
    <w:p w14:paraId="2BD0D9CB" w14:textId="21C485F1" w:rsidR="00E968F6" w:rsidRDefault="003E0382" w:rsidP="00E968F6">
      <w:pPr>
        <w:pStyle w:val="Heading2"/>
        <w:spacing w:line="240" w:lineRule="auto"/>
        <w:jc w:val="both"/>
        <w:rPr>
          <w:color w:val="548DD4"/>
        </w:rPr>
      </w:pPr>
      <w:r>
        <w:rPr>
          <w:color w:val="548DD4"/>
        </w:rPr>
        <w:t xml:space="preserve">Proposed </w:t>
      </w:r>
      <w:r w:rsidR="002B226C">
        <w:rPr>
          <w:color w:val="548DD4"/>
        </w:rPr>
        <w:t xml:space="preserve">economic </w:t>
      </w:r>
      <w:r w:rsidR="009E5295">
        <w:rPr>
          <w:color w:val="548DD4"/>
        </w:rPr>
        <w:t>evaluation</w:t>
      </w:r>
    </w:p>
    <w:p w14:paraId="6826C375" w14:textId="52E58998" w:rsidR="00701D97" w:rsidRPr="00701D97" w:rsidRDefault="00701D97" w:rsidP="00E968F6">
      <w:r>
        <w:t>The overall clinical claim is for superiority. The applicant claimed that the proposed co-dependent technology (</w:t>
      </w:r>
      <w:r w:rsidRPr="00701D97">
        <w:t>germline BRCA mutation testing and olaparib</w:t>
      </w:r>
      <w:r>
        <w:t xml:space="preserve"> treatment) is superior </w:t>
      </w:r>
      <w:r w:rsidRPr="00701D97">
        <w:t>in terms of comparative effectiveness versus the main comparator</w:t>
      </w:r>
      <w:r>
        <w:t xml:space="preserve"> (no testing and single agent chemotherapy) in patients with metastatic </w:t>
      </w:r>
      <w:r w:rsidR="000774F8">
        <w:t>HER2-negative</w:t>
      </w:r>
      <w:r>
        <w:t xml:space="preserve"> breast cancer</w:t>
      </w:r>
      <w:r w:rsidR="00162662">
        <w:t xml:space="preserve"> (either hormone receptor positive or triple negative)</w:t>
      </w:r>
      <w:r>
        <w:t xml:space="preserve"> who have a BRCA mutation</w:t>
      </w:r>
      <w:r w:rsidR="00162662">
        <w:t xml:space="preserve"> and receiv</w:t>
      </w:r>
      <w:r w:rsidR="0041122A">
        <w:t xml:space="preserve">ed prior treatment </w:t>
      </w:r>
      <w:r w:rsidR="00162662" w:rsidRPr="000A129B">
        <w:t>with anthracycline and taxane and also refractory</w:t>
      </w:r>
      <w:r w:rsidR="00162662">
        <w:t xml:space="preserve"> to</w:t>
      </w:r>
      <w:r w:rsidR="0041122A">
        <w:t>, or inappropriate for</w:t>
      </w:r>
      <w:r w:rsidR="0081772D">
        <w:t xml:space="preserve"> </w:t>
      </w:r>
      <w:r w:rsidR="0041122A">
        <w:t xml:space="preserve">treatment with </w:t>
      </w:r>
      <w:r w:rsidR="00162662">
        <w:t>endocrine</w:t>
      </w:r>
      <w:r w:rsidR="00162662" w:rsidRPr="000A129B">
        <w:t xml:space="preserve"> therapy</w:t>
      </w:r>
      <w:r w:rsidR="004C6FCD">
        <w:t>.</w:t>
      </w:r>
      <w:r w:rsidR="00162662">
        <w:t xml:space="preserve"> </w:t>
      </w:r>
    </w:p>
    <w:p w14:paraId="2C8C523D" w14:textId="77777777" w:rsidR="00752491" w:rsidRDefault="00752491" w:rsidP="00752491">
      <w:pPr>
        <w:pStyle w:val="Heading2"/>
        <w:spacing w:line="240" w:lineRule="auto"/>
        <w:jc w:val="both"/>
        <w:rPr>
          <w:color w:val="548DD4"/>
        </w:rPr>
      </w:pPr>
      <w:r>
        <w:rPr>
          <w:color w:val="548DD4"/>
        </w:rPr>
        <w:t>Proposed item descriptor</w:t>
      </w:r>
    </w:p>
    <w:p w14:paraId="7E552B11" w14:textId="15DEDF7C" w:rsidR="00184168" w:rsidRPr="00184168" w:rsidRDefault="00184168" w:rsidP="00184168">
      <w:r>
        <w:t xml:space="preserve">The proposed item descriptor is provided below. </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8C3E5E" w:rsidRPr="00DE3D6C" w14:paraId="67D705C9" w14:textId="77777777" w:rsidTr="00F4622B">
        <w:trPr>
          <w:cantSplit/>
          <w:tblHeader/>
        </w:trPr>
        <w:tc>
          <w:tcPr>
            <w:tcW w:w="9242" w:type="dxa"/>
          </w:tcPr>
          <w:p w14:paraId="7483300B" w14:textId="68B394BF" w:rsidR="008C3E5E" w:rsidRPr="00DE3D6C" w:rsidRDefault="008C3E5E" w:rsidP="00C9121D">
            <w:pPr>
              <w:keepNext/>
              <w:jc w:val="right"/>
            </w:pPr>
            <w:r w:rsidRPr="00DE3D6C">
              <w:t>Category</w:t>
            </w:r>
            <w:r w:rsidR="0081772D">
              <w:t xml:space="preserve"> </w:t>
            </w:r>
            <w:r w:rsidRPr="00DE3D6C">
              <w:t>–</w:t>
            </w:r>
            <w:r w:rsidR="00BE2D91">
              <w:t xml:space="preserve"> </w:t>
            </w:r>
            <w:r w:rsidR="00BE2D91" w:rsidRPr="00BE2D91">
              <w:t>6 – PATHOLOGY SERVICES</w:t>
            </w:r>
            <w:r w:rsidRPr="00DE3D6C">
              <w:rPr>
                <w:vanish/>
                <w:color w:val="FF0000"/>
              </w:rPr>
              <w:t>)</w:t>
            </w:r>
          </w:p>
        </w:tc>
      </w:tr>
      <w:tr w:rsidR="008C3E5E" w:rsidRPr="00DE3D6C" w14:paraId="6D23B586" w14:textId="77777777" w:rsidTr="00F4622B">
        <w:trPr>
          <w:cantSplit/>
          <w:tblHeader/>
        </w:trPr>
        <w:tc>
          <w:tcPr>
            <w:tcW w:w="9242" w:type="dxa"/>
          </w:tcPr>
          <w:p w14:paraId="2899E07C" w14:textId="77777777" w:rsidR="008810C9" w:rsidRDefault="008810C9" w:rsidP="00BE2D91">
            <w:r w:rsidRPr="008810C9">
              <w:t>Detection of germline BRCA 1 or BRCA 2 mutation, in a patient with human epidermal growth factor-2 (HER2) negative metastatic breast cancer who have received prior chemotherapy with anthracycline and a taxane in either the adjuvant or metastatic setting. Hormone receptor positive patient must be refractory or inappropriate for treatment with endocrine therapy. Request for medical service is by a specialist or consultant physician to determine whether the eligibility criteria for olaparib under the Pharmaceutical Benefits Scheme (PBS) are fulfilled.</w:t>
            </w:r>
          </w:p>
          <w:p w14:paraId="3F05F086" w14:textId="1C7578B7" w:rsidR="008C3E5E" w:rsidRPr="00DE3D6C" w:rsidRDefault="00BE2D91" w:rsidP="00BE2D91">
            <w:pPr>
              <w:rPr>
                <w:vanish/>
                <w:color w:val="FF0000"/>
              </w:rPr>
            </w:pPr>
            <w:r w:rsidRPr="00BE2D91">
              <w:t>Maximum on</w:t>
            </w:r>
            <w:r w:rsidR="002421DA">
              <w:t>e</w:t>
            </w:r>
            <w:r w:rsidRPr="00BE2D91">
              <w:t xml:space="preserve"> test per lifetime</w:t>
            </w:r>
          </w:p>
          <w:p w14:paraId="61E90BDC" w14:textId="77777777" w:rsidR="008C3E5E" w:rsidRPr="00DE3D6C" w:rsidRDefault="008C3E5E" w:rsidP="00E364F7"/>
          <w:p w14:paraId="4478E631" w14:textId="4C5E5F3E" w:rsidR="008C3E5E" w:rsidRPr="00DE3D6C" w:rsidRDefault="008C3E5E" w:rsidP="00E364F7">
            <w:r w:rsidRPr="00DE3D6C">
              <w:t>Fee:</w:t>
            </w:r>
            <w:r w:rsidR="0081772D">
              <w:t xml:space="preserve"> </w:t>
            </w:r>
            <w:r w:rsidRPr="00DE3D6C">
              <w:t>$</w:t>
            </w:r>
            <w:r w:rsidR="00BE2D91">
              <w:t>1,200</w:t>
            </w:r>
          </w:p>
        </w:tc>
      </w:tr>
    </w:tbl>
    <w:p w14:paraId="40B00218" w14:textId="77777777" w:rsidR="00437EFF" w:rsidRDefault="00437EFF" w:rsidP="00B20BC1">
      <w:pPr>
        <w:pStyle w:val="EndNoteBibliography"/>
        <w:spacing w:after="0"/>
      </w:pPr>
    </w:p>
    <w:p w14:paraId="22304694" w14:textId="59D0DE97" w:rsidR="00757B9E" w:rsidRDefault="00184168" w:rsidP="00C9121D">
      <w:r>
        <w:t xml:space="preserve">The application sought either a new item number or an </w:t>
      </w:r>
      <w:r w:rsidR="00C9121D">
        <w:t>amendment</w:t>
      </w:r>
      <w:r>
        <w:t xml:space="preserve"> of Item </w:t>
      </w:r>
      <w:r w:rsidRPr="00184168">
        <w:t>73295</w:t>
      </w:r>
      <w:r>
        <w:t xml:space="preserve"> to include the proposed testing population. The creation of a new item will allow monitoring of utilisation for the proposed population. </w:t>
      </w:r>
    </w:p>
    <w:p w14:paraId="46568FE3" w14:textId="77777777" w:rsidR="00757B9E" w:rsidRDefault="00757B9E">
      <w:pPr>
        <w:rPr>
          <w:noProof/>
          <w:lang w:val="en-US"/>
        </w:rPr>
      </w:pPr>
      <w:r>
        <w:br w:type="page"/>
      </w:r>
    </w:p>
    <w:p w14:paraId="01DAD4FB" w14:textId="77777777" w:rsidR="00757B9E" w:rsidRPr="00757B9E" w:rsidRDefault="00757B9E" w:rsidP="00757B9E">
      <w:pPr>
        <w:keepNext/>
        <w:keepLines/>
        <w:spacing w:before="120" w:after="120" w:line="240" w:lineRule="auto"/>
        <w:jc w:val="both"/>
        <w:outlineLvl w:val="1"/>
        <w:rPr>
          <w:rFonts w:eastAsia="MS Gothic"/>
          <w:b/>
          <w:bCs/>
          <w:i/>
          <w:color w:val="548DD4"/>
          <w:szCs w:val="26"/>
        </w:rPr>
      </w:pPr>
      <w:r w:rsidRPr="00757B9E">
        <w:rPr>
          <w:rFonts w:eastAsia="MS Gothic"/>
          <w:b/>
          <w:bCs/>
          <w:i/>
          <w:color w:val="548DD4"/>
          <w:szCs w:val="26"/>
        </w:rPr>
        <w:lastRenderedPageBreak/>
        <w:t>Appendices</w:t>
      </w:r>
    </w:p>
    <w:p w14:paraId="432948AC" w14:textId="172B42C2" w:rsidR="00757B9E" w:rsidRPr="00757B9E" w:rsidRDefault="00757B9E" w:rsidP="00757B9E">
      <w:r w:rsidRPr="00757B9E">
        <w:rPr>
          <w:b/>
        </w:rPr>
        <w:t xml:space="preserve">Appendix A: TNM Classification of </w:t>
      </w:r>
      <w:r>
        <w:rPr>
          <w:b/>
        </w:rPr>
        <w:t>breast cancer</w:t>
      </w:r>
      <w:r w:rsidRPr="00757B9E">
        <w:rPr>
          <w:b/>
        </w:rPr>
        <w:t xml:space="preserve"> (abridged)</w:t>
      </w:r>
    </w:p>
    <w:tbl>
      <w:tblPr>
        <w:tblStyle w:val="TableGrid"/>
        <w:tblW w:w="0" w:type="auto"/>
        <w:tblLook w:val="04A0" w:firstRow="1" w:lastRow="0" w:firstColumn="1" w:lastColumn="0" w:noHBand="0" w:noVBand="1"/>
        <w:tblCaption w:val="TNM Classification of breast cancer"/>
        <w:tblDescription w:val="This table shows how breast cancer is classified based the the size of the tumour, infiltration of lymph nodes and the presence of metastases. "/>
      </w:tblPr>
      <w:tblGrid>
        <w:gridCol w:w="1242"/>
        <w:gridCol w:w="8000"/>
      </w:tblGrid>
      <w:tr w:rsidR="00757B9E" w14:paraId="04721354" w14:textId="77777777" w:rsidTr="00D96BDA">
        <w:trPr>
          <w:tblHeader/>
        </w:trPr>
        <w:tc>
          <w:tcPr>
            <w:tcW w:w="1242" w:type="dxa"/>
          </w:tcPr>
          <w:p w14:paraId="43CC5CDC" w14:textId="77777777" w:rsidR="00757B9E" w:rsidRPr="00757B9E" w:rsidRDefault="00757B9E" w:rsidP="00757B9E">
            <w:pPr>
              <w:spacing w:line="276" w:lineRule="auto"/>
              <w:rPr>
                <w:b/>
              </w:rPr>
            </w:pPr>
            <w:r w:rsidRPr="00757B9E">
              <w:rPr>
                <w:b/>
              </w:rPr>
              <w:t>Parameter</w:t>
            </w:r>
          </w:p>
        </w:tc>
        <w:tc>
          <w:tcPr>
            <w:tcW w:w="8000" w:type="dxa"/>
          </w:tcPr>
          <w:p w14:paraId="12132B55" w14:textId="77777777" w:rsidR="00757B9E" w:rsidRPr="00757B9E" w:rsidRDefault="00757B9E" w:rsidP="00757B9E">
            <w:pPr>
              <w:spacing w:line="276" w:lineRule="auto"/>
              <w:rPr>
                <w:b/>
              </w:rPr>
            </w:pPr>
            <w:r w:rsidRPr="00757B9E">
              <w:rPr>
                <w:b/>
              </w:rPr>
              <w:t>Description</w:t>
            </w:r>
          </w:p>
        </w:tc>
      </w:tr>
      <w:tr w:rsidR="00757B9E" w14:paraId="23343B20" w14:textId="77777777" w:rsidTr="00D96BDA">
        <w:tc>
          <w:tcPr>
            <w:tcW w:w="1242" w:type="dxa"/>
          </w:tcPr>
          <w:p w14:paraId="275C40E1" w14:textId="77777777" w:rsidR="00757B9E" w:rsidRPr="00757B9E" w:rsidRDefault="00757B9E" w:rsidP="009E4EA7">
            <w:pPr>
              <w:spacing w:line="276" w:lineRule="auto"/>
              <w:jc w:val="center"/>
              <w:rPr>
                <w:b/>
              </w:rPr>
            </w:pPr>
            <w:r w:rsidRPr="00757B9E">
              <w:rPr>
                <w:b/>
              </w:rPr>
              <w:t>T</w:t>
            </w:r>
          </w:p>
        </w:tc>
        <w:tc>
          <w:tcPr>
            <w:tcW w:w="8000" w:type="dxa"/>
          </w:tcPr>
          <w:p w14:paraId="1931B688" w14:textId="77777777" w:rsidR="00757B9E" w:rsidRPr="00757B9E" w:rsidRDefault="00757B9E" w:rsidP="00757B9E">
            <w:pPr>
              <w:spacing w:line="276" w:lineRule="auto"/>
              <w:rPr>
                <w:b/>
              </w:rPr>
            </w:pPr>
            <w:r w:rsidRPr="00757B9E">
              <w:rPr>
                <w:b/>
              </w:rPr>
              <w:t>Primary tumour</w:t>
            </w:r>
          </w:p>
        </w:tc>
      </w:tr>
      <w:tr w:rsidR="00757B9E" w14:paraId="3632EBC5" w14:textId="77777777" w:rsidTr="00D96BDA">
        <w:tc>
          <w:tcPr>
            <w:tcW w:w="1242" w:type="dxa"/>
          </w:tcPr>
          <w:p w14:paraId="40C8E568" w14:textId="35016049" w:rsidR="00757B9E" w:rsidRDefault="00757B9E" w:rsidP="00757B9E">
            <w:pPr>
              <w:spacing w:line="276" w:lineRule="auto"/>
              <w:jc w:val="center"/>
            </w:pPr>
            <w:r>
              <w:t>Tx</w:t>
            </w:r>
          </w:p>
        </w:tc>
        <w:tc>
          <w:tcPr>
            <w:tcW w:w="8000" w:type="dxa"/>
          </w:tcPr>
          <w:p w14:paraId="76159CF2" w14:textId="576B9ABB" w:rsidR="00757B9E" w:rsidRDefault="00757B9E" w:rsidP="00757B9E">
            <w:r>
              <w:t>Primary tumour cannot be assessed</w:t>
            </w:r>
          </w:p>
        </w:tc>
      </w:tr>
      <w:tr w:rsidR="00757B9E" w14:paraId="64B3F792" w14:textId="77777777" w:rsidTr="00D96BDA">
        <w:tc>
          <w:tcPr>
            <w:tcW w:w="1242" w:type="dxa"/>
          </w:tcPr>
          <w:p w14:paraId="30799A51" w14:textId="4FB9F45C" w:rsidR="00757B9E" w:rsidRDefault="00757B9E" w:rsidP="00757B9E">
            <w:pPr>
              <w:spacing w:line="276" w:lineRule="auto"/>
              <w:jc w:val="center"/>
            </w:pPr>
            <w:r>
              <w:t>T0</w:t>
            </w:r>
          </w:p>
        </w:tc>
        <w:tc>
          <w:tcPr>
            <w:tcW w:w="8000" w:type="dxa"/>
          </w:tcPr>
          <w:p w14:paraId="4421EDFE" w14:textId="7745E6F3" w:rsidR="00757B9E" w:rsidRDefault="00757B9E" w:rsidP="00757B9E">
            <w:r>
              <w:t>No evidence of primary tumour</w:t>
            </w:r>
          </w:p>
        </w:tc>
      </w:tr>
      <w:tr w:rsidR="00757B9E" w14:paraId="377DE343" w14:textId="77777777" w:rsidTr="00D96BDA">
        <w:tc>
          <w:tcPr>
            <w:tcW w:w="1242" w:type="dxa"/>
          </w:tcPr>
          <w:p w14:paraId="611EB3F0" w14:textId="7762A031" w:rsidR="00757B9E" w:rsidRDefault="00757B9E" w:rsidP="00757B9E">
            <w:pPr>
              <w:spacing w:line="276" w:lineRule="auto"/>
              <w:jc w:val="center"/>
            </w:pPr>
            <w:r>
              <w:t>Tis</w:t>
            </w:r>
          </w:p>
        </w:tc>
        <w:tc>
          <w:tcPr>
            <w:tcW w:w="8000" w:type="dxa"/>
          </w:tcPr>
          <w:p w14:paraId="71E9F58C" w14:textId="79EC6F9E" w:rsidR="00757B9E" w:rsidRDefault="00757B9E" w:rsidP="00757B9E">
            <w:r>
              <w:t>Carcinoma in situ</w:t>
            </w:r>
          </w:p>
        </w:tc>
      </w:tr>
      <w:tr w:rsidR="00757B9E" w14:paraId="654E6191" w14:textId="77777777" w:rsidTr="00D96BDA">
        <w:tc>
          <w:tcPr>
            <w:tcW w:w="1242" w:type="dxa"/>
          </w:tcPr>
          <w:p w14:paraId="1613F4F3" w14:textId="4485F86B" w:rsidR="00757B9E" w:rsidRDefault="009E4EA7" w:rsidP="00757B9E">
            <w:pPr>
              <w:jc w:val="center"/>
            </w:pPr>
            <w:r>
              <w:t>T1</w:t>
            </w:r>
          </w:p>
        </w:tc>
        <w:tc>
          <w:tcPr>
            <w:tcW w:w="8000" w:type="dxa"/>
          </w:tcPr>
          <w:p w14:paraId="16A8D05E" w14:textId="1A741C28" w:rsidR="00757B9E" w:rsidRDefault="009E4EA7" w:rsidP="00757B9E">
            <w:r>
              <w:t>Tumour ≤ 20 mm or less in greatest dimension</w:t>
            </w:r>
          </w:p>
        </w:tc>
      </w:tr>
      <w:tr w:rsidR="00757B9E" w14:paraId="35CE2237" w14:textId="77777777" w:rsidTr="00D96BDA">
        <w:tc>
          <w:tcPr>
            <w:tcW w:w="1242" w:type="dxa"/>
          </w:tcPr>
          <w:p w14:paraId="43333138" w14:textId="7368FD06" w:rsidR="00757B9E" w:rsidRDefault="009E4EA7" w:rsidP="009E4EA7">
            <w:pPr>
              <w:jc w:val="center"/>
            </w:pPr>
            <w:r>
              <w:t>T2</w:t>
            </w:r>
          </w:p>
        </w:tc>
        <w:tc>
          <w:tcPr>
            <w:tcW w:w="8000" w:type="dxa"/>
          </w:tcPr>
          <w:p w14:paraId="1DF40770" w14:textId="367745A4" w:rsidR="00757B9E" w:rsidRDefault="009E4EA7" w:rsidP="009E4EA7">
            <w:r>
              <w:t>Tumour &gt; 20 mm but ≤50 mm in greatest dimension</w:t>
            </w:r>
          </w:p>
        </w:tc>
      </w:tr>
      <w:tr w:rsidR="00757B9E" w14:paraId="1B1BC81D" w14:textId="77777777" w:rsidTr="00D96BDA">
        <w:tc>
          <w:tcPr>
            <w:tcW w:w="1242" w:type="dxa"/>
          </w:tcPr>
          <w:p w14:paraId="5F07489E" w14:textId="1DBFCEDC" w:rsidR="00757B9E" w:rsidRDefault="009E4EA7" w:rsidP="009E4EA7">
            <w:pPr>
              <w:jc w:val="center"/>
            </w:pPr>
            <w:r>
              <w:t>T3</w:t>
            </w:r>
          </w:p>
        </w:tc>
        <w:tc>
          <w:tcPr>
            <w:tcW w:w="8000" w:type="dxa"/>
          </w:tcPr>
          <w:p w14:paraId="3579C232" w14:textId="0CF7266C" w:rsidR="00757B9E" w:rsidRDefault="009E4EA7" w:rsidP="009E4EA7">
            <w:r>
              <w:t>Tumour &gt; 50 mm in greatest dimension</w:t>
            </w:r>
          </w:p>
        </w:tc>
      </w:tr>
      <w:tr w:rsidR="00757B9E" w14:paraId="0D49AAA9" w14:textId="77777777" w:rsidTr="00D96BDA">
        <w:tc>
          <w:tcPr>
            <w:tcW w:w="1242" w:type="dxa"/>
          </w:tcPr>
          <w:p w14:paraId="0942C2DC" w14:textId="626F952D" w:rsidR="00757B9E" w:rsidRDefault="009E4EA7" w:rsidP="009E4EA7">
            <w:pPr>
              <w:jc w:val="center"/>
            </w:pPr>
            <w:r>
              <w:t>T4</w:t>
            </w:r>
          </w:p>
        </w:tc>
        <w:tc>
          <w:tcPr>
            <w:tcW w:w="8000" w:type="dxa"/>
          </w:tcPr>
          <w:p w14:paraId="613A1BCE" w14:textId="47F75374" w:rsidR="00757B9E" w:rsidRDefault="009E4EA7" w:rsidP="00757B9E">
            <w:r w:rsidRPr="009E4EA7">
              <w:t>Tumour of any size with direct extension to the chest wall and/or to the skin (ulceration or skin nodules).</w:t>
            </w:r>
          </w:p>
        </w:tc>
      </w:tr>
      <w:tr w:rsidR="00757B9E" w14:paraId="15AA9059" w14:textId="77777777" w:rsidTr="00D96BDA">
        <w:tc>
          <w:tcPr>
            <w:tcW w:w="1242" w:type="dxa"/>
          </w:tcPr>
          <w:p w14:paraId="04A566F1" w14:textId="76496693" w:rsidR="00757B9E" w:rsidRPr="009E4EA7" w:rsidRDefault="009E4EA7" w:rsidP="009E4EA7">
            <w:pPr>
              <w:jc w:val="center"/>
              <w:rPr>
                <w:b/>
              </w:rPr>
            </w:pPr>
            <w:r w:rsidRPr="009E4EA7">
              <w:rPr>
                <w:b/>
              </w:rPr>
              <w:t>N</w:t>
            </w:r>
          </w:p>
        </w:tc>
        <w:tc>
          <w:tcPr>
            <w:tcW w:w="8000" w:type="dxa"/>
          </w:tcPr>
          <w:p w14:paraId="586AD642" w14:textId="78F102A5" w:rsidR="00757B9E" w:rsidRPr="009E4EA7" w:rsidRDefault="009E4EA7" w:rsidP="00757B9E">
            <w:pPr>
              <w:rPr>
                <w:b/>
              </w:rPr>
            </w:pPr>
            <w:r w:rsidRPr="009E4EA7">
              <w:rPr>
                <w:b/>
              </w:rPr>
              <w:t>Regional lymph nodes</w:t>
            </w:r>
          </w:p>
        </w:tc>
      </w:tr>
      <w:tr w:rsidR="009E4EA7" w14:paraId="60B02663" w14:textId="77777777" w:rsidTr="00D96BDA">
        <w:tc>
          <w:tcPr>
            <w:tcW w:w="1242" w:type="dxa"/>
          </w:tcPr>
          <w:p w14:paraId="10391D2D" w14:textId="60BD9C13" w:rsidR="009E4EA7" w:rsidRDefault="009E4EA7" w:rsidP="003050DC">
            <w:pPr>
              <w:jc w:val="center"/>
            </w:pPr>
            <w:r>
              <w:t>Nx</w:t>
            </w:r>
          </w:p>
        </w:tc>
        <w:tc>
          <w:tcPr>
            <w:tcW w:w="8000" w:type="dxa"/>
          </w:tcPr>
          <w:p w14:paraId="7A210B01" w14:textId="0BAA216B" w:rsidR="009E4EA7" w:rsidRDefault="009E4EA7" w:rsidP="00757B9E">
            <w:r>
              <w:t>Regional lymph nodes cannot be assessed</w:t>
            </w:r>
          </w:p>
        </w:tc>
      </w:tr>
      <w:tr w:rsidR="009E4EA7" w14:paraId="6AEB5E44" w14:textId="77777777" w:rsidTr="00D96BDA">
        <w:tc>
          <w:tcPr>
            <w:tcW w:w="1242" w:type="dxa"/>
          </w:tcPr>
          <w:p w14:paraId="4DA28155" w14:textId="18D0B860" w:rsidR="009E4EA7" w:rsidRDefault="009E4EA7" w:rsidP="003050DC">
            <w:pPr>
              <w:jc w:val="center"/>
            </w:pPr>
            <w:r>
              <w:t>N0</w:t>
            </w:r>
          </w:p>
        </w:tc>
        <w:tc>
          <w:tcPr>
            <w:tcW w:w="8000" w:type="dxa"/>
          </w:tcPr>
          <w:p w14:paraId="6E4868DA" w14:textId="2F7B1386" w:rsidR="009E4EA7" w:rsidRDefault="009E4EA7" w:rsidP="00757B9E">
            <w:r>
              <w:t>No regional lymph node metastasis</w:t>
            </w:r>
          </w:p>
        </w:tc>
      </w:tr>
      <w:tr w:rsidR="00757B9E" w14:paraId="559FADDB" w14:textId="77777777" w:rsidTr="00D96BDA">
        <w:tc>
          <w:tcPr>
            <w:tcW w:w="1242" w:type="dxa"/>
          </w:tcPr>
          <w:p w14:paraId="542DC63D" w14:textId="50FF6DD9" w:rsidR="00757B9E" w:rsidRDefault="009E4EA7" w:rsidP="003050DC">
            <w:pPr>
              <w:jc w:val="center"/>
            </w:pPr>
            <w:r>
              <w:t>N1</w:t>
            </w:r>
          </w:p>
        </w:tc>
        <w:tc>
          <w:tcPr>
            <w:tcW w:w="8000" w:type="dxa"/>
          </w:tcPr>
          <w:p w14:paraId="7B1AFE6E" w14:textId="1AA08EC7" w:rsidR="00757B9E" w:rsidRDefault="009E4EA7" w:rsidP="00757B9E">
            <w:r w:rsidRPr="009E4EA7">
              <w:t>Metastases to movable ipsilateral level I, II axillary lymph node(s)</w:t>
            </w:r>
          </w:p>
        </w:tc>
      </w:tr>
      <w:tr w:rsidR="00757B9E" w14:paraId="33E400B7" w14:textId="77777777" w:rsidTr="00D96BDA">
        <w:tc>
          <w:tcPr>
            <w:tcW w:w="1242" w:type="dxa"/>
          </w:tcPr>
          <w:p w14:paraId="1E272BD1" w14:textId="1C9234F2" w:rsidR="00757B9E" w:rsidRDefault="00757B9E" w:rsidP="003050DC">
            <w:pPr>
              <w:spacing w:line="276" w:lineRule="auto"/>
              <w:jc w:val="center"/>
            </w:pPr>
            <w:r>
              <w:t>N</w:t>
            </w:r>
            <w:r w:rsidR="009E4EA7">
              <w:t>2</w:t>
            </w:r>
          </w:p>
        </w:tc>
        <w:tc>
          <w:tcPr>
            <w:tcW w:w="8000" w:type="dxa"/>
          </w:tcPr>
          <w:p w14:paraId="5FC8C2BF" w14:textId="7D4D502A" w:rsidR="00757B9E" w:rsidRDefault="009E4EA7" w:rsidP="009E4EA7">
            <w:r>
              <w:t>Metastases in ipsilateral level I, II axillary lymph nodes that are clinically fixed or matted; or in clinical detected</w:t>
            </w:r>
            <w:r>
              <w:rPr>
                <w:vertAlign w:val="superscript"/>
              </w:rPr>
              <w:t>a</w:t>
            </w:r>
            <w:r>
              <w:t xml:space="preserve"> ipsilateral internal mammary nodes in the absence of clinically evident axillary lymph node metastases</w:t>
            </w:r>
          </w:p>
        </w:tc>
      </w:tr>
      <w:tr w:rsidR="009E4EA7" w14:paraId="24AE44DB" w14:textId="77777777" w:rsidTr="00D96BDA">
        <w:tc>
          <w:tcPr>
            <w:tcW w:w="1242" w:type="dxa"/>
          </w:tcPr>
          <w:p w14:paraId="5DE576CE" w14:textId="4C9445B2" w:rsidR="009E4EA7" w:rsidRDefault="009E4EA7" w:rsidP="003050DC">
            <w:pPr>
              <w:jc w:val="center"/>
            </w:pPr>
            <w:r>
              <w:t>N3</w:t>
            </w:r>
          </w:p>
        </w:tc>
        <w:tc>
          <w:tcPr>
            <w:tcW w:w="8000" w:type="dxa"/>
          </w:tcPr>
          <w:p w14:paraId="470BA463" w14:textId="044F87C4" w:rsidR="009E4EA7" w:rsidRDefault="009E4EA7" w:rsidP="003050DC">
            <w:r>
              <w:t xml:space="preserve">Metastases in ipsilateral infraclavicular (level III axillary) lymph node(s); </w:t>
            </w:r>
            <w:r w:rsidRPr="009E4EA7">
              <w:t>or in clinically detected</w:t>
            </w:r>
            <w:r>
              <w:rPr>
                <w:vertAlign w:val="superscript"/>
              </w:rPr>
              <w:t>a</w:t>
            </w:r>
            <w:r w:rsidRPr="009E4EA7">
              <w:t xml:space="preserve"> ipsilateral internal mammary lymph node(s) with clinically evident level I, II axillary lymph node</w:t>
            </w:r>
            <w:r w:rsidR="003050DC">
              <w:t xml:space="preserve"> metastases; or metastases in ipsilateral supraclavicular lymph node(s). </w:t>
            </w:r>
          </w:p>
        </w:tc>
      </w:tr>
      <w:tr w:rsidR="00757B9E" w14:paraId="64EA2721" w14:textId="77777777" w:rsidTr="00D96BDA">
        <w:tc>
          <w:tcPr>
            <w:tcW w:w="1242" w:type="dxa"/>
          </w:tcPr>
          <w:p w14:paraId="236590D8" w14:textId="77777777" w:rsidR="00757B9E" w:rsidRPr="003050DC" w:rsidRDefault="00757B9E" w:rsidP="003050DC">
            <w:pPr>
              <w:spacing w:line="276" w:lineRule="auto"/>
              <w:jc w:val="center"/>
              <w:rPr>
                <w:b/>
              </w:rPr>
            </w:pPr>
            <w:r w:rsidRPr="003050DC">
              <w:rPr>
                <w:b/>
              </w:rPr>
              <w:t>M</w:t>
            </w:r>
          </w:p>
        </w:tc>
        <w:tc>
          <w:tcPr>
            <w:tcW w:w="8000" w:type="dxa"/>
          </w:tcPr>
          <w:p w14:paraId="0A727B20" w14:textId="77777777" w:rsidR="00757B9E" w:rsidRPr="003050DC" w:rsidRDefault="00757B9E" w:rsidP="00757B9E">
            <w:pPr>
              <w:spacing w:line="276" w:lineRule="auto"/>
              <w:rPr>
                <w:b/>
              </w:rPr>
            </w:pPr>
            <w:r w:rsidRPr="003050DC">
              <w:rPr>
                <w:b/>
              </w:rPr>
              <w:t>Distant Metastasis</w:t>
            </w:r>
          </w:p>
        </w:tc>
      </w:tr>
      <w:tr w:rsidR="003050DC" w14:paraId="32C56E8D" w14:textId="77777777" w:rsidTr="00D96BDA">
        <w:tc>
          <w:tcPr>
            <w:tcW w:w="1242" w:type="dxa"/>
          </w:tcPr>
          <w:p w14:paraId="335BD673" w14:textId="68FD5828" w:rsidR="003050DC" w:rsidRPr="003050DC" w:rsidRDefault="003050DC" w:rsidP="003050DC">
            <w:pPr>
              <w:jc w:val="center"/>
              <w:rPr>
                <w:b/>
              </w:rPr>
            </w:pPr>
            <w:r>
              <w:rPr>
                <w:b/>
              </w:rPr>
              <w:t>M0</w:t>
            </w:r>
          </w:p>
        </w:tc>
        <w:tc>
          <w:tcPr>
            <w:tcW w:w="8000" w:type="dxa"/>
          </w:tcPr>
          <w:p w14:paraId="653EBC29" w14:textId="582828E4" w:rsidR="003050DC" w:rsidRPr="003050DC" w:rsidRDefault="003050DC" w:rsidP="00757B9E">
            <w:pPr>
              <w:rPr>
                <w:b/>
              </w:rPr>
            </w:pPr>
            <w:r>
              <w:t>No distant metastasis</w:t>
            </w:r>
          </w:p>
        </w:tc>
      </w:tr>
      <w:tr w:rsidR="003050DC" w14:paraId="4E90AA83" w14:textId="77777777" w:rsidTr="00D96BDA">
        <w:tc>
          <w:tcPr>
            <w:tcW w:w="1242" w:type="dxa"/>
          </w:tcPr>
          <w:p w14:paraId="0B90784C" w14:textId="1EEA48E5" w:rsidR="003050DC" w:rsidRDefault="003050DC" w:rsidP="003050DC">
            <w:pPr>
              <w:jc w:val="center"/>
              <w:rPr>
                <w:b/>
              </w:rPr>
            </w:pPr>
            <w:r>
              <w:rPr>
                <w:b/>
              </w:rPr>
              <w:t>M1</w:t>
            </w:r>
          </w:p>
        </w:tc>
        <w:tc>
          <w:tcPr>
            <w:tcW w:w="8000" w:type="dxa"/>
          </w:tcPr>
          <w:p w14:paraId="4063C530" w14:textId="132777AF" w:rsidR="003050DC" w:rsidRDefault="003050DC" w:rsidP="00757B9E">
            <w:r>
              <w:t>Distant metastasis</w:t>
            </w:r>
          </w:p>
        </w:tc>
      </w:tr>
    </w:tbl>
    <w:p w14:paraId="28732CDA" w14:textId="732F4C4C" w:rsidR="00664328" w:rsidRDefault="00664328" w:rsidP="00B20BC1">
      <w:pPr>
        <w:pStyle w:val="EndNoteBibliography"/>
        <w:spacing w:after="0"/>
      </w:pPr>
      <w:r>
        <w:t xml:space="preserve">Source: NCCN </w:t>
      </w:r>
      <w:r w:rsidRPr="00664328">
        <w:t>Invasive breast cancer guidelines (2017)</w:t>
      </w:r>
      <w:r w:rsidRPr="00664328">
        <w:fldChar w:fldCharType="begin"/>
      </w:r>
      <w:r w:rsidR="005305AC">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rsidRPr="00664328">
        <w:fldChar w:fldCharType="separate"/>
      </w:r>
      <w:r w:rsidR="005305AC">
        <w:t>[4]</w:t>
      </w:r>
      <w:r w:rsidRPr="00664328">
        <w:fldChar w:fldCharType="end"/>
      </w:r>
    </w:p>
    <w:p w14:paraId="001953B1" w14:textId="7168DCE4" w:rsidR="00664328" w:rsidRPr="00664328" w:rsidRDefault="00664328" w:rsidP="00B20BC1">
      <w:pPr>
        <w:pStyle w:val="EndNoteBibliography"/>
        <w:spacing w:after="0"/>
      </w:pPr>
      <w:r>
        <w:t xml:space="preserve">NCCN = </w:t>
      </w:r>
      <w:r w:rsidRPr="00664328">
        <w:t>National Comprehensive Cancer Network</w:t>
      </w:r>
      <w:r>
        <w:t>; TNM = tumour node metastases</w:t>
      </w:r>
    </w:p>
    <w:p w14:paraId="1ADCEAA4" w14:textId="48DCF228" w:rsidR="00184168" w:rsidRPr="009E4EA7" w:rsidRDefault="009E4EA7" w:rsidP="00B20BC1">
      <w:pPr>
        <w:pStyle w:val="EndNoteBibliography"/>
        <w:spacing w:after="0"/>
      </w:pPr>
      <w:r>
        <w:rPr>
          <w:vertAlign w:val="superscript"/>
        </w:rPr>
        <w:t xml:space="preserve">a </w:t>
      </w:r>
      <w:r w:rsidRPr="009E4EA7">
        <w:t xml:space="preserve">Clinically detected </w:t>
      </w:r>
      <w:r>
        <w:t xml:space="preserve">is defined as detected by imaging studies (excluding </w:t>
      </w:r>
      <w:r w:rsidRPr="009E4EA7">
        <w:t>lymphoscintigraphy) or by clinical examination and having characteristics highly suspicious for malignancy or a presumed pathologic macrometastasis based on</w:t>
      </w:r>
      <w:r>
        <w:t xml:space="preserve"> fine needle aspiration</w:t>
      </w:r>
    </w:p>
    <w:p w14:paraId="31106DE3" w14:textId="77777777" w:rsidR="00184168" w:rsidRDefault="00184168" w:rsidP="00B20BC1">
      <w:pPr>
        <w:pStyle w:val="EndNoteBibliography"/>
        <w:spacing w:after="0"/>
        <w:rPr>
          <w:u w:val="single"/>
        </w:rPr>
      </w:pPr>
    </w:p>
    <w:p w14:paraId="513C0868" w14:textId="77777777" w:rsidR="00664328" w:rsidRDefault="00664328">
      <w:pPr>
        <w:rPr>
          <w:u w:val="single"/>
        </w:rPr>
      </w:pPr>
      <w:r>
        <w:rPr>
          <w:u w:val="single"/>
        </w:rPr>
        <w:br w:type="page"/>
      </w:r>
    </w:p>
    <w:p w14:paraId="071B5155" w14:textId="302C8110" w:rsidR="00664328" w:rsidRDefault="00664328" w:rsidP="00664328">
      <w:pPr>
        <w:rPr>
          <w:b/>
        </w:rPr>
      </w:pPr>
      <w:r w:rsidRPr="00757B9E">
        <w:rPr>
          <w:b/>
        </w:rPr>
        <w:lastRenderedPageBreak/>
        <w:t xml:space="preserve">Appendix </w:t>
      </w:r>
      <w:r>
        <w:rPr>
          <w:b/>
        </w:rPr>
        <w:t>B</w:t>
      </w:r>
      <w:r w:rsidRPr="00757B9E">
        <w:rPr>
          <w:b/>
        </w:rPr>
        <w:t xml:space="preserve">: TNM </w:t>
      </w:r>
      <w:r>
        <w:rPr>
          <w:b/>
        </w:rPr>
        <w:t>staging groups for</w:t>
      </w:r>
      <w:r w:rsidRPr="00757B9E">
        <w:rPr>
          <w:b/>
        </w:rPr>
        <w:t xml:space="preserve"> </w:t>
      </w:r>
      <w:r>
        <w:rPr>
          <w:b/>
        </w:rPr>
        <w:t>breast cancer</w:t>
      </w:r>
      <w:r w:rsidRPr="00757B9E">
        <w:rPr>
          <w:b/>
        </w:rPr>
        <w:t xml:space="preserve"> (abridged)</w:t>
      </w:r>
    </w:p>
    <w:tbl>
      <w:tblPr>
        <w:tblStyle w:val="TableGrid"/>
        <w:tblW w:w="0" w:type="auto"/>
        <w:tblLook w:val="04A0" w:firstRow="1" w:lastRow="0" w:firstColumn="1" w:lastColumn="0" w:noHBand="0" w:noVBand="1"/>
        <w:tblCaption w:val="Appendix B: TNM staging groups for breast cancer (abridged)"/>
        <w:tblDescription w:val="The table presents the staging groups for breast cancer based on the tumour-node-metastases classification system. "/>
      </w:tblPr>
      <w:tblGrid>
        <w:gridCol w:w="2310"/>
        <w:gridCol w:w="2310"/>
        <w:gridCol w:w="2311"/>
        <w:gridCol w:w="2311"/>
      </w:tblGrid>
      <w:tr w:rsidR="00664328" w14:paraId="48D81B6D" w14:textId="77777777" w:rsidTr="00D96BDA">
        <w:trPr>
          <w:tblHeader/>
        </w:trPr>
        <w:tc>
          <w:tcPr>
            <w:tcW w:w="2310" w:type="dxa"/>
            <w:tcBorders>
              <w:bottom w:val="single" w:sz="4" w:space="0" w:color="auto"/>
              <w:right w:val="nil"/>
            </w:tcBorders>
          </w:tcPr>
          <w:p w14:paraId="12A8740B" w14:textId="3C335469" w:rsidR="00664328" w:rsidRPr="00664328" w:rsidRDefault="00664328" w:rsidP="00664328">
            <w:pPr>
              <w:rPr>
                <w:b/>
              </w:rPr>
            </w:pPr>
            <w:r w:rsidRPr="00664328">
              <w:rPr>
                <w:b/>
              </w:rPr>
              <w:t>Stage</w:t>
            </w:r>
          </w:p>
        </w:tc>
        <w:tc>
          <w:tcPr>
            <w:tcW w:w="2310" w:type="dxa"/>
            <w:tcBorders>
              <w:left w:val="nil"/>
              <w:bottom w:val="single" w:sz="4" w:space="0" w:color="auto"/>
              <w:right w:val="nil"/>
            </w:tcBorders>
          </w:tcPr>
          <w:p w14:paraId="63787F1E" w14:textId="183A05FB" w:rsidR="00664328" w:rsidRPr="00664328" w:rsidRDefault="00664328" w:rsidP="00664328">
            <w:pPr>
              <w:jc w:val="center"/>
              <w:rPr>
                <w:b/>
              </w:rPr>
            </w:pPr>
            <w:r w:rsidRPr="00664328">
              <w:rPr>
                <w:b/>
              </w:rPr>
              <w:t>Tumour</w:t>
            </w:r>
          </w:p>
        </w:tc>
        <w:tc>
          <w:tcPr>
            <w:tcW w:w="2311" w:type="dxa"/>
            <w:tcBorders>
              <w:left w:val="nil"/>
              <w:bottom w:val="single" w:sz="4" w:space="0" w:color="auto"/>
              <w:right w:val="nil"/>
            </w:tcBorders>
          </w:tcPr>
          <w:p w14:paraId="20B199C9" w14:textId="05042CC1" w:rsidR="00664328" w:rsidRPr="00664328" w:rsidRDefault="00664328" w:rsidP="00664328">
            <w:pPr>
              <w:jc w:val="center"/>
              <w:rPr>
                <w:b/>
              </w:rPr>
            </w:pPr>
            <w:r w:rsidRPr="00664328">
              <w:rPr>
                <w:b/>
              </w:rPr>
              <w:t>Node</w:t>
            </w:r>
          </w:p>
        </w:tc>
        <w:tc>
          <w:tcPr>
            <w:tcW w:w="2311" w:type="dxa"/>
            <w:tcBorders>
              <w:left w:val="nil"/>
              <w:bottom w:val="single" w:sz="4" w:space="0" w:color="auto"/>
            </w:tcBorders>
          </w:tcPr>
          <w:p w14:paraId="58657F79" w14:textId="3BF749E9" w:rsidR="00664328" w:rsidRPr="00664328" w:rsidRDefault="00664328" w:rsidP="00664328">
            <w:pPr>
              <w:jc w:val="center"/>
              <w:rPr>
                <w:b/>
              </w:rPr>
            </w:pPr>
            <w:r w:rsidRPr="00664328">
              <w:rPr>
                <w:b/>
              </w:rPr>
              <w:t>Metastases</w:t>
            </w:r>
          </w:p>
        </w:tc>
      </w:tr>
      <w:tr w:rsidR="00664328" w14:paraId="04BC853A" w14:textId="77777777" w:rsidTr="00622570">
        <w:tc>
          <w:tcPr>
            <w:tcW w:w="2310" w:type="dxa"/>
            <w:tcBorders>
              <w:bottom w:val="nil"/>
              <w:right w:val="nil"/>
            </w:tcBorders>
          </w:tcPr>
          <w:p w14:paraId="25A0EF9A" w14:textId="18DB4B49" w:rsidR="00664328" w:rsidRDefault="00664328" w:rsidP="00664328">
            <w:r>
              <w:t>Stage 0</w:t>
            </w:r>
          </w:p>
        </w:tc>
        <w:tc>
          <w:tcPr>
            <w:tcW w:w="2310" w:type="dxa"/>
            <w:tcBorders>
              <w:left w:val="nil"/>
              <w:bottom w:val="nil"/>
              <w:right w:val="nil"/>
            </w:tcBorders>
          </w:tcPr>
          <w:p w14:paraId="2A14B9F8" w14:textId="2FE3E89E" w:rsidR="00664328" w:rsidRDefault="00664328" w:rsidP="00664328">
            <w:pPr>
              <w:jc w:val="center"/>
            </w:pPr>
            <w:r>
              <w:t>Tis</w:t>
            </w:r>
          </w:p>
        </w:tc>
        <w:tc>
          <w:tcPr>
            <w:tcW w:w="2311" w:type="dxa"/>
            <w:tcBorders>
              <w:left w:val="nil"/>
              <w:bottom w:val="nil"/>
              <w:right w:val="nil"/>
            </w:tcBorders>
          </w:tcPr>
          <w:p w14:paraId="782F1C75" w14:textId="555FB89C" w:rsidR="00664328" w:rsidRDefault="00664328" w:rsidP="00664328">
            <w:pPr>
              <w:jc w:val="center"/>
            </w:pPr>
            <w:r>
              <w:t>N0</w:t>
            </w:r>
          </w:p>
        </w:tc>
        <w:tc>
          <w:tcPr>
            <w:tcW w:w="2311" w:type="dxa"/>
            <w:tcBorders>
              <w:left w:val="nil"/>
              <w:bottom w:val="nil"/>
            </w:tcBorders>
          </w:tcPr>
          <w:p w14:paraId="4263ABA4" w14:textId="543A0FE3" w:rsidR="00664328" w:rsidRDefault="00664328" w:rsidP="00664328">
            <w:pPr>
              <w:jc w:val="center"/>
            </w:pPr>
            <w:r>
              <w:t>M0</w:t>
            </w:r>
          </w:p>
        </w:tc>
      </w:tr>
      <w:tr w:rsidR="00664328" w14:paraId="2C69710C" w14:textId="77777777" w:rsidTr="00622570">
        <w:tc>
          <w:tcPr>
            <w:tcW w:w="2310" w:type="dxa"/>
            <w:tcBorders>
              <w:top w:val="nil"/>
              <w:bottom w:val="nil"/>
              <w:right w:val="nil"/>
            </w:tcBorders>
          </w:tcPr>
          <w:p w14:paraId="4F4FC2F5" w14:textId="406490CC" w:rsidR="00664328" w:rsidRDefault="00664328" w:rsidP="00664328">
            <w:r>
              <w:t>Stage IA</w:t>
            </w:r>
          </w:p>
        </w:tc>
        <w:tc>
          <w:tcPr>
            <w:tcW w:w="2310" w:type="dxa"/>
            <w:tcBorders>
              <w:top w:val="nil"/>
              <w:left w:val="nil"/>
              <w:bottom w:val="nil"/>
              <w:right w:val="nil"/>
            </w:tcBorders>
          </w:tcPr>
          <w:p w14:paraId="41F71662" w14:textId="6D13BDD2" w:rsidR="00664328" w:rsidRDefault="00664328" w:rsidP="00664328">
            <w:pPr>
              <w:jc w:val="center"/>
            </w:pPr>
            <w:r>
              <w:t>T1</w:t>
            </w:r>
          </w:p>
        </w:tc>
        <w:tc>
          <w:tcPr>
            <w:tcW w:w="2311" w:type="dxa"/>
            <w:tcBorders>
              <w:top w:val="nil"/>
              <w:left w:val="nil"/>
              <w:bottom w:val="nil"/>
              <w:right w:val="nil"/>
            </w:tcBorders>
          </w:tcPr>
          <w:p w14:paraId="3F227E3A" w14:textId="296607B8" w:rsidR="00664328" w:rsidRDefault="00664328" w:rsidP="00664328">
            <w:pPr>
              <w:jc w:val="center"/>
            </w:pPr>
            <w:r>
              <w:t>N0</w:t>
            </w:r>
          </w:p>
        </w:tc>
        <w:tc>
          <w:tcPr>
            <w:tcW w:w="2311" w:type="dxa"/>
            <w:tcBorders>
              <w:top w:val="nil"/>
              <w:left w:val="nil"/>
              <w:bottom w:val="nil"/>
            </w:tcBorders>
          </w:tcPr>
          <w:p w14:paraId="29513BA2" w14:textId="2ADDC7C3" w:rsidR="00664328" w:rsidRDefault="00664328" w:rsidP="00664328">
            <w:pPr>
              <w:jc w:val="center"/>
            </w:pPr>
            <w:r>
              <w:t>M0</w:t>
            </w:r>
          </w:p>
        </w:tc>
      </w:tr>
      <w:tr w:rsidR="00664328" w14:paraId="70891322" w14:textId="77777777" w:rsidTr="00622570">
        <w:tc>
          <w:tcPr>
            <w:tcW w:w="2310" w:type="dxa"/>
            <w:tcBorders>
              <w:top w:val="nil"/>
              <w:bottom w:val="nil"/>
              <w:right w:val="nil"/>
            </w:tcBorders>
          </w:tcPr>
          <w:p w14:paraId="64229FDD" w14:textId="4A42DD02" w:rsidR="00664328" w:rsidRDefault="00664328" w:rsidP="00664328">
            <w:r>
              <w:t>Stage IB</w:t>
            </w:r>
          </w:p>
        </w:tc>
        <w:tc>
          <w:tcPr>
            <w:tcW w:w="2310" w:type="dxa"/>
            <w:tcBorders>
              <w:top w:val="nil"/>
              <w:left w:val="nil"/>
              <w:bottom w:val="nil"/>
              <w:right w:val="nil"/>
            </w:tcBorders>
          </w:tcPr>
          <w:p w14:paraId="1F5BDE91" w14:textId="0225744A" w:rsidR="00664328" w:rsidRDefault="00664328" w:rsidP="00664328">
            <w:pPr>
              <w:jc w:val="center"/>
            </w:pPr>
            <w:r>
              <w:t>T0</w:t>
            </w:r>
          </w:p>
        </w:tc>
        <w:tc>
          <w:tcPr>
            <w:tcW w:w="2311" w:type="dxa"/>
            <w:tcBorders>
              <w:top w:val="nil"/>
              <w:left w:val="nil"/>
              <w:bottom w:val="nil"/>
              <w:right w:val="nil"/>
            </w:tcBorders>
          </w:tcPr>
          <w:p w14:paraId="22762F21" w14:textId="04DFA706" w:rsidR="00664328" w:rsidRDefault="00622570" w:rsidP="00622570">
            <w:pPr>
              <w:jc w:val="center"/>
            </w:pPr>
            <w:r>
              <w:t>N1</w:t>
            </w:r>
            <w:r>
              <w:rPr>
                <w:vertAlign w:val="superscript"/>
              </w:rPr>
              <w:t>a</w:t>
            </w:r>
          </w:p>
        </w:tc>
        <w:tc>
          <w:tcPr>
            <w:tcW w:w="2311" w:type="dxa"/>
            <w:tcBorders>
              <w:top w:val="nil"/>
              <w:left w:val="nil"/>
              <w:bottom w:val="nil"/>
            </w:tcBorders>
          </w:tcPr>
          <w:p w14:paraId="2AFABF49" w14:textId="19454CBF" w:rsidR="00664328" w:rsidRDefault="00664328" w:rsidP="00664328">
            <w:pPr>
              <w:jc w:val="center"/>
            </w:pPr>
            <w:r>
              <w:t>M0</w:t>
            </w:r>
          </w:p>
        </w:tc>
      </w:tr>
      <w:tr w:rsidR="00664328" w14:paraId="7E6309EB" w14:textId="77777777" w:rsidTr="00622570">
        <w:tc>
          <w:tcPr>
            <w:tcW w:w="2310" w:type="dxa"/>
            <w:tcBorders>
              <w:top w:val="nil"/>
              <w:bottom w:val="nil"/>
              <w:right w:val="nil"/>
            </w:tcBorders>
          </w:tcPr>
          <w:p w14:paraId="55AFE15B" w14:textId="77777777" w:rsidR="00664328" w:rsidRDefault="00664328" w:rsidP="00664328"/>
        </w:tc>
        <w:tc>
          <w:tcPr>
            <w:tcW w:w="2310" w:type="dxa"/>
            <w:tcBorders>
              <w:top w:val="nil"/>
              <w:left w:val="nil"/>
              <w:bottom w:val="nil"/>
              <w:right w:val="nil"/>
            </w:tcBorders>
          </w:tcPr>
          <w:p w14:paraId="57655060" w14:textId="4A11AD91" w:rsidR="00664328" w:rsidRDefault="00622570" w:rsidP="00664328">
            <w:pPr>
              <w:jc w:val="center"/>
            </w:pPr>
            <w:r>
              <w:t>T1</w:t>
            </w:r>
          </w:p>
        </w:tc>
        <w:tc>
          <w:tcPr>
            <w:tcW w:w="2311" w:type="dxa"/>
            <w:tcBorders>
              <w:top w:val="nil"/>
              <w:left w:val="nil"/>
              <w:bottom w:val="nil"/>
              <w:right w:val="nil"/>
            </w:tcBorders>
          </w:tcPr>
          <w:p w14:paraId="64C9576D" w14:textId="01E34292" w:rsidR="00664328" w:rsidRDefault="00622570" w:rsidP="00664328">
            <w:pPr>
              <w:jc w:val="center"/>
            </w:pPr>
            <w:r>
              <w:t>N1</w:t>
            </w:r>
            <w:r>
              <w:rPr>
                <w:vertAlign w:val="superscript"/>
              </w:rPr>
              <w:t>a</w:t>
            </w:r>
          </w:p>
        </w:tc>
        <w:tc>
          <w:tcPr>
            <w:tcW w:w="2311" w:type="dxa"/>
            <w:tcBorders>
              <w:top w:val="nil"/>
              <w:left w:val="nil"/>
              <w:bottom w:val="nil"/>
            </w:tcBorders>
          </w:tcPr>
          <w:p w14:paraId="1B2BE7A9" w14:textId="129E0B1D" w:rsidR="00664328" w:rsidRDefault="00664328" w:rsidP="00664328">
            <w:pPr>
              <w:jc w:val="center"/>
            </w:pPr>
            <w:r>
              <w:t>M0</w:t>
            </w:r>
          </w:p>
        </w:tc>
      </w:tr>
      <w:tr w:rsidR="00664328" w14:paraId="58ADD99F" w14:textId="77777777" w:rsidTr="00622570">
        <w:tc>
          <w:tcPr>
            <w:tcW w:w="2310" w:type="dxa"/>
            <w:tcBorders>
              <w:top w:val="nil"/>
              <w:bottom w:val="nil"/>
              <w:right w:val="nil"/>
            </w:tcBorders>
          </w:tcPr>
          <w:p w14:paraId="3880802C" w14:textId="109C04E1" w:rsidR="00664328" w:rsidRDefault="00622570" w:rsidP="00664328">
            <w:r>
              <w:t>Stage IIA</w:t>
            </w:r>
          </w:p>
        </w:tc>
        <w:tc>
          <w:tcPr>
            <w:tcW w:w="2310" w:type="dxa"/>
            <w:tcBorders>
              <w:top w:val="nil"/>
              <w:left w:val="nil"/>
              <w:bottom w:val="nil"/>
              <w:right w:val="nil"/>
            </w:tcBorders>
          </w:tcPr>
          <w:p w14:paraId="34C1DEF1" w14:textId="57CBE82D" w:rsidR="00664328" w:rsidRDefault="00622570" w:rsidP="00664328">
            <w:pPr>
              <w:jc w:val="center"/>
            </w:pPr>
            <w:r>
              <w:t>T0</w:t>
            </w:r>
          </w:p>
        </w:tc>
        <w:tc>
          <w:tcPr>
            <w:tcW w:w="2311" w:type="dxa"/>
            <w:tcBorders>
              <w:top w:val="nil"/>
              <w:left w:val="nil"/>
              <w:bottom w:val="nil"/>
              <w:right w:val="nil"/>
            </w:tcBorders>
          </w:tcPr>
          <w:p w14:paraId="0C929DEB" w14:textId="25F29D4D" w:rsidR="00664328" w:rsidRDefault="00622570" w:rsidP="00664328">
            <w:pPr>
              <w:jc w:val="center"/>
            </w:pPr>
            <w:r>
              <w:t>N1</w:t>
            </w:r>
          </w:p>
        </w:tc>
        <w:tc>
          <w:tcPr>
            <w:tcW w:w="2311" w:type="dxa"/>
            <w:tcBorders>
              <w:top w:val="nil"/>
              <w:left w:val="nil"/>
              <w:bottom w:val="nil"/>
            </w:tcBorders>
          </w:tcPr>
          <w:p w14:paraId="6FC0F618" w14:textId="541D1533" w:rsidR="00664328" w:rsidRDefault="00664328" w:rsidP="00664328">
            <w:pPr>
              <w:jc w:val="center"/>
            </w:pPr>
            <w:r>
              <w:t>M0</w:t>
            </w:r>
          </w:p>
        </w:tc>
      </w:tr>
      <w:tr w:rsidR="00664328" w14:paraId="63F6AD12" w14:textId="77777777" w:rsidTr="00622570">
        <w:tc>
          <w:tcPr>
            <w:tcW w:w="2310" w:type="dxa"/>
            <w:tcBorders>
              <w:top w:val="nil"/>
              <w:bottom w:val="nil"/>
              <w:right w:val="nil"/>
            </w:tcBorders>
          </w:tcPr>
          <w:p w14:paraId="20829FFA" w14:textId="77777777" w:rsidR="00664328" w:rsidRDefault="00664328" w:rsidP="00664328"/>
        </w:tc>
        <w:tc>
          <w:tcPr>
            <w:tcW w:w="2310" w:type="dxa"/>
            <w:tcBorders>
              <w:top w:val="nil"/>
              <w:left w:val="nil"/>
              <w:bottom w:val="nil"/>
              <w:right w:val="nil"/>
            </w:tcBorders>
          </w:tcPr>
          <w:p w14:paraId="4E3FECEC" w14:textId="5B71ACCE" w:rsidR="00664328" w:rsidRDefault="00622570" w:rsidP="00664328">
            <w:pPr>
              <w:jc w:val="center"/>
            </w:pPr>
            <w:r>
              <w:t>T1</w:t>
            </w:r>
          </w:p>
        </w:tc>
        <w:tc>
          <w:tcPr>
            <w:tcW w:w="2311" w:type="dxa"/>
            <w:tcBorders>
              <w:top w:val="nil"/>
              <w:left w:val="nil"/>
              <w:bottom w:val="nil"/>
              <w:right w:val="nil"/>
            </w:tcBorders>
          </w:tcPr>
          <w:p w14:paraId="0570EEEF" w14:textId="6C26B7C9" w:rsidR="00664328" w:rsidRDefault="00622570" w:rsidP="00664328">
            <w:pPr>
              <w:jc w:val="center"/>
            </w:pPr>
            <w:r>
              <w:t>N1</w:t>
            </w:r>
          </w:p>
        </w:tc>
        <w:tc>
          <w:tcPr>
            <w:tcW w:w="2311" w:type="dxa"/>
            <w:tcBorders>
              <w:top w:val="nil"/>
              <w:left w:val="nil"/>
              <w:bottom w:val="nil"/>
            </w:tcBorders>
          </w:tcPr>
          <w:p w14:paraId="588AE817" w14:textId="7AC3322C" w:rsidR="00664328" w:rsidRDefault="00664328" w:rsidP="00664328">
            <w:pPr>
              <w:jc w:val="center"/>
            </w:pPr>
            <w:r>
              <w:t>M0</w:t>
            </w:r>
          </w:p>
        </w:tc>
      </w:tr>
      <w:tr w:rsidR="00664328" w14:paraId="4E12A43B" w14:textId="77777777" w:rsidTr="00622570">
        <w:tc>
          <w:tcPr>
            <w:tcW w:w="2310" w:type="dxa"/>
            <w:tcBorders>
              <w:top w:val="nil"/>
              <w:bottom w:val="nil"/>
              <w:right w:val="nil"/>
            </w:tcBorders>
          </w:tcPr>
          <w:p w14:paraId="095A68E7" w14:textId="24659115" w:rsidR="00664328" w:rsidRDefault="00622570" w:rsidP="00664328">
            <w:r>
              <w:t>Stage IIB</w:t>
            </w:r>
          </w:p>
        </w:tc>
        <w:tc>
          <w:tcPr>
            <w:tcW w:w="2310" w:type="dxa"/>
            <w:tcBorders>
              <w:top w:val="nil"/>
              <w:left w:val="nil"/>
              <w:bottom w:val="nil"/>
              <w:right w:val="nil"/>
            </w:tcBorders>
          </w:tcPr>
          <w:p w14:paraId="6C7725D4" w14:textId="1188F7DF" w:rsidR="00664328" w:rsidRDefault="00622570" w:rsidP="00664328">
            <w:pPr>
              <w:jc w:val="center"/>
            </w:pPr>
            <w:r>
              <w:t>T2</w:t>
            </w:r>
          </w:p>
        </w:tc>
        <w:tc>
          <w:tcPr>
            <w:tcW w:w="2311" w:type="dxa"/>
            <w:tcBorders>
              <w:top w:val="nil"/>
              <w:left w:val="nil"/>
              <w:bottom w:val="nil"/>
              <w:right w:val="nil"/>
            </w:tcBorders>
          </w:tcPr>
          <w:p w14:paraId="31F333E5" w14:textId="732D17DF" w:rsidR="00664328" w:rsidRDefault="00622570" w:rsidP="00664328">
            <w:pPr>
              <w:jc w:val="center"/>
            </w:pPr>
            <w:r>
              <w:t>N2</w:t>
            </w:r>
          </w:p>
        </w:tc>
        <w:tc>
          <w:tcPr>
            <w:tcW w:w="2311" w:type="dxa"/>
            <w:tcBorders>
              <w:top w:val="nil"/>
              <w:left w:val="nil"/>
              <w:bottom w:val="nil"/>
            </w:tcBorders>
          </w:tcPr>
          <w:p w14:paraId="5A1AB806" w14:textId="2D68AA5C" w:rsidR="00664328" w:rsidRDefault="00664328" w:rsidP="00664328">
            <w:pPr>
              <w:jc w:val="center"/>
            </w:pPr>
            <w:r>
              <w:t>M0</w:t>
            </w:r>
          </w:p>
        </w:tc>
      </w:tr>
      <w:tr w:rsidR="00664328" w14:paraId="17D805C9" w14:textId="77777777" w:rsidTr="00622570">
        <w:tc>
          <w:tcPr>
            <w:tcW w:w="2310" w:type="dxa"/>
            <w:tcBorders>
              <w:top w:val="nil"/>
              <w:bottom w:val="nil"/>
              <w:right w:val="nil"/>
            </w:tcBorders>
          </w:tcPr>
          <w:p w14:paraId="6EC6268E" w14:textId="77777777" w:rsidR="00664328" w:rsidRDefault="00664328" w:rsidP="00664328"/>
        </w:tc>
        <w:tc>
          <w:tcPr>
            <w:tcW w:w="2310" w:type="dxa"/>
            <w:tcBorders>
              <w:top w:val="nil"/>
              <w:left w:val="nil"/>
              <w:bottom w:val="nil"/>
              <w:right w:val="nil"/>
            </w:tcBorders>
          </w:tcPr>
          <w:p w14:paraId="42C201A2" w14:textId="451FCE2D" w:rsidR="00664328" w:rsidRDefault="00622570" w:rsidP="00664328">
            <w:pPr>
              <w:jc w:val="center"/>
            </w:pPr>
            <w:r>
              <w:t>T3</w:t>
            </w:r>
          </w:p>
        </w:tc>
        <w:tc>
          <w:tcPr>
            <w:tcW w:w="2311" w:type="dxa"/>
            <w:tcBorders>
              <w:top w:val="nil"/>
              <w:left w:val="nil"/>
              <w:bottom w:val="nil"/>
              <w:right w:val="nil"/>
            </w:tcBorders>
          </w:tcPr>
          <w:p w14:paraId="27C57AFF" w14:textId="3CFF25C8" w:rsidR="00664328" w:rsidRDefault="00622570" w:rsidP="00664328">
            <w:pPr>
              <w:jc w:val="center"/>
            </w:pPr>
            <w:r>
              <w:t>N0</w:t>
            </w:r>
          </w:p>
        </w:tc>
        <w:tc>
          <w:tcPr>
            <w:tcW w:w="2311" w:type="dxa"/>
            <w:tcBorders>
              <w:top w:val="nil"/>
              <w:left w:val="nil"/>
              <w:bottom w:val="nil"/>
            </w:tcBorders>
          </w:tcPr>
          <w:p w14:paraId="5E0C45A0" w14:textId="235C6650" w:rsidR="00664328" w:rsidRDefault="00664328" w:rsidP="00664328">
            <w:pPr>
              <w:jc w:val="center"/>
            </w:pPr>
            <w:r>
              <w:t>M0</w:t>
            </w:r>
          </w:p>
        </w:tc>
      </w:tr>
      <w:tr w:rsidR="00664328" w14:paraId="6B68A182" w14:textId="77777777" w:rsidTr="00622570">
        <w:tc>
          <w:tcPr>
            <w:tcW w:w="2310" w:type="dxa"/>
            <w:tcBorders>
              <w:top w:val="nil"/>
              <w:bottom w:val="nil"/>
              <w:right w:val="nil"/>
            </w:tcBorders>
          </w:tcPr>
          <w:p w14:paraId="3238CAB2" w14:textId="23594F1C" w:rsidR="00664328" w:rsidRDefault="00622570" w:rsidP="00664328">
            <w:r>
              <w:t>Stage IIIA</w:t>
            </w:r>
          </w:p>
        </w:tc>
        <w:tc>
          <w:tcPr>
            <w:tcW w:w="2310" w:type="dxa"/>
            <w:tcBorders>
              <w:top w:val="nil"/>
              <w:left w:val="nil"/>
              <w:bottom w:val="nil"/>
              <w:right w:val="nil"/>
            </w:tcBorders>
          </w:tcPr>
          <w:p w14:paraId="47C4D805" w14:textId="49BE3601" w:rsidR="00664328" w:rsidRDefault="00622570" w:rsidP="00622570">
            <w:pPr>
              <w:jc w:val="center"/>
            </w:pPr>
            <w:r>
              <w:t>T0</w:t>
            </w:r>
          </w:p>
        </w:tc>
        <w:tc>
          <w:tcPr>
            <w:tcW w:w="2311" w:type="dxa"/>
            <w:tcBorders>
              <w:top w:val="nil"/>
              <w:left w:val="nil"/>
              <w:bottom w:val="nil"/>
              <w:right w:val="nil"/>
            </w:tcBorders>
          </w:tcPr>
          <w:p w14:paraId="65A00AFC" w14:textId="2840CD66" w:rsidR="00664328" w:rsidRDefault="00622570" w:rsidP="00664328">
            <w:pPr>
              <w:jc w:val="center"/>
            </w:pPr>
            <w:r>
              <w:t>N2</w:t>
            </w:r>
          </w:p>
        </w:tc>
        <w:tc>
          <w:tcPr>
            <w:tcW w:w="2311" w:type="dxa"/>
            <w:tcBorders>
              <w:top w:val="nil"/>
              <w:left w:val="nil"/>
              <w:bottom w:val="nil"/>
            </w:tcBorders>
          </w:tcPr>
          <w:p w14:paraId="47D25737" w14:textId="2ACDCB34" w:rsidR="00664328" w:rsidRDefault="00664328" w:rsidP="00664328">
            <w:pPr>
              <w:jc w:val="center"/>
            </w:pPr>
            <w:r>
              <w:t>M0</w:t>
            </w:r>
          </w:p>
        </w:tc>
      </w:tr>
      <w:tr w:rsidR="00664328" w14:paraId="6017DD80" w14:textId="77777777" w:rsidTr="00622570">
        <w:tc>
          <w:tcPr>
            <w:tcW w:w="2310" w:type="dxa"/>
            <w:tcBorders>
              <w:top w:val="nil"/>
              <w:bottom w:val="nil"/>
              <w:right w:val="nil"/>
            </w:tcBorders>
          </w:tcPr>
          <w:p w14:paraId="3C636A0D" w14:textId="77777777" w:rsidR="00664328" w:rsidRDefault="00664328" w:rsidP="00664328"/>
        </w:tc>
        <w:tc>
          <w:tcPr>
            <w:tcW w:w="2310" w:type="dxa"/>
            <w:tcBorders>
              <w:top w:val="nil"/>
              <w:left w:val="nil"/>
              <w:bottom w:val="nil"/>
              <w:right w:val="nil"/>
            </w:tcBorders>
          </w:tcPr>
          <w:p w14:paraId="4CE84618" w14:textId="3E917B0A" w:rsidR="00664328" w:rsidRDefault="00622570" w:rsidP="00664328">
            <w:pPr>
              <w:jc w:val="center"/>
            </w:pPr>
            <w:r>
              <w:t>T1</w:t>
            </w:r>
          </w:p>
        </w:tc>
        <w:tc>
          <w:tcPr>
            <w:tcW w:w="2311" w:type="dxa"/>
            <w:tcBorders>
              <w:top w:val="nil"/>
              <w:left w:val="nil"/>
              <w:bottom w:val="nil"/>
              <w:right w:val="nil"/>
            </w:tcBorders>
          </w:tcPr>
          <w:p w14:paraId="05D5EA9A" w14:textId="64764A7C" w:rsidR="00664328" w:rsidRDefault="00622570" w:rsidP="00664328">
            <w:pPr>
              <w:jc w:val="center"/>
            </w:pPr>
            <w:r>
              <w:t>N2</w:t>
            </w:r>
          </w:p>
        </w:tc>
        <w:tc>
          <w:tcPr>
            <w:tcW w:w="2311" w:type="dxa"/>
            <w:tcBorders>
              <w:top w:val="nil"/>
              <w:left w:val="nil"/>
              <w:bottom w:val="nil"/>
            </w:tcBorders>
          </w:tcPr>
          <w:p w14:paraId="7A95CE4A" w14:textId="33F94FF3" w:rsidR="00664328" w:rsidRDefault="00664328" w:rsidP="00664328">
            <w:pPr>
              <w:jc w:val="center"/>
            </w:pPr>
            <w:r>
              <w:t>M0</w:t>
            </w:r>
          </w:p>
        </w:tc>
      </w:tr>
      <w:tr w:rsidR="00622570" w14:paraId="12CE4D67" w14:textId="77777777" w:rsidTr="00622570">
        <w:tc>
          <w:tcPr>
            <w:tcW w:w="2310" w:type="dxa"/>
            <w:tcBorders>
              <w:top w:val="nil"/>
              <w:bottom w:val="nil"/>
              <w:right w:val="nil"/>
            </w:tcBorders>
          </w:tcPr>
          <w:p w14:paraId="19CD3814" w14:textId="77777777" w:rsidR="00622570" w:rsidRDefault="00622570" w:rsidP="00622570"/>
        </w:tc>
        <w:tc>
          <w:tcPr>
            <w:tcW w:w="2310" w:type="dxa"/>
            <w:tcBorders>
              <w:top w:val="nil"/>
              <w:left w:val="nil"/>
              <w:bottom w:val="nil"/>
              <w:right w:val="nil"/>
            </w:tcBorders>
          </w:tcPr>
          <w:p w14:paraId="70ED2796" w14:textId="1C303B00" w:rsidR="00622570" w:rsidRDefault="00622570" w:rsidP="00622570">
            <w:pPr>
              <w:jc w:val="center"/>
            </w:pPr>
            <w:r>
              <w:t>T2</w:t>
            </w:r>
          </w:p>
        </w:tc>
        <w:tc>
          <w:tcPr>
            <w:tcW w:w="2311" w:type="dxa"/>
            <w:tcBorders>
              <w:top w:val="nil"/>
              <w:left w:val="nil"/>
              <w:bottom w:val="nil"/>
              <w:right w:val="nil"/>
            </w:tcBorders>
          </w:tcPr>
          <w:p w14:paraId="5514A668" w14:textId="3A8FAE23" w:rsidR="00622570" w:rsidRDefault="00622570" w:rsidP="00622570">
            <w:pPr>
              <w:jc w:val="center"/>
            </w:pPr>
            <w:r>
              <w:t>N2</w:t>
            </w:r>
          </w:p>
        </w:tc>
        <w:tc>
          <w:tcPr>
            <w:tcW w:w="2311" w:type="dxa"/>
            <w:tcBorders>
              <w:top w:val="nil"/>
              <w:left w:val="nil"/>
              <w:bottom w:val="nil"/>
            </w:tcBorders>
          </w:tcPr>
          <w:p w14:paraId="1440BE39" w14:textId="6A19C3F4" w:rsidR="00622570" w:rsidRDefault="00622570" w:rsidP="00622570">
            <w:pPr>
              <w:jc w:val="center"/>
            </w:pPr>
            <w:r>
              <w:t>M0</w:t>
            </w:r>
          </w:p>
        </w:tc>
      </w:tr>
      <w:tr w:rsidR="00622570" w14:paraId="1831C61A" w14:textId="77777777" w:rsidTr="00622570">
        <w:tc>
          <w:tcPr>
            <w:tcW w:w="2310" w:type="dxa"/>
            <w:tcBorders>
              <w:top w:val="nil"/>
              <w:bottom w:val="nil"/>
              <w:right w:val="nil"/>
            </w:tcBorders>
          </w:tcPr>
          <w:p w14:paraId="5077BE02" w14:textId="77777777" w:rsidR="00622570" w:rsidRDefault="00622570" w:rsidP="00622570"/>
        </w:tc>
        <w:tc>
          <w:tcPr>
            <w:tcW w:w="2310" w:type="dxa"/>
            <w:tcBorders>
              <w:top w:val="nil"/>
              <w:left w:val="nil"/>
              <w:bottom w:val="nil"/>
              <w:right w:val="nil"/>
            </w:tcBorders>
          </w:tcPr>
          <w:p w14:paraId="1CC133D6" w14:textId="40414DB1" w:rsidR="00622570" w:rsidRDefault="00622570" w:rsidP="00622570">
            <w:pPr>
              <w:jc w:val="center"/>
            </w:pPr>
            <w:r>
              <w:t>T3</w:t>
            </w:r>
          </w:p>
        </w:tc>
        <w:tc>
          <w:tcPr>
            <w:tcW w:w="2311" w:type="dxa"/>
            <w:tcBorders>
              <w:top w:val="nil"/>
              <w:left w:val="nil"/>
              <w:bottom w:val="nil"/>
              <w:right w:val="nil"/>
            </w:tcBorders>
          </w:tcPr>
          <w:p w14:paraId="3AEE5BCE" w14:textId="2C68FB67" w:rsidR="00622570" w:rsidRDefault="00622570" w:rsidP="00622570">
            <w:pPr>
              <w:jc w:val="center"/>
            </w:pPr>
            <w:r>
              <w:t>N1</w:t>
            </w:r>
          </w:p>
        </w:tc>
        <w:tc>
          <w:tcPr>
            <w:tcW w:w="2311" w:type="dxa"/>
            <w:tcBorders>
              <w:top w:val="nil"/>
              <w:left w:val="nil"/>
              <w:bottom w:val="nil"/>
            </w:tcBorders>
          </w:tcPr>
          <w:p w14:paraId="6544B71D" w14:textId="797F6059" w:rsidR="00622570" w:rsidRDefault="00622570" w:rsidP="00622570">
            <w:pPr>
              <w:jc w:val="center"/>
            </w:pPr>
            <w:r>
              <w:t>M0</w:t>
            </w:r>
          </w:p>
        </w:tc>
      </w:tr>
      <w:tr w:rsidR="00622570" w14:paraId="4AF6D74E" w14:textId="77777777" w:rsidTr="00622570">
        <w:tc>
          <w:tcPr>
            <w:tcW w:w="2310" w:type="dxa"/>
            <w:tcBorders>
              <w:top w:val="nil"/>
              <w:bottom w:val="nil"/>
              <w:right w:val="nil"/>
            </w:tcBorders>
          </w:tcPr>
          <w:p w14:paraId="09C9231D" w14:textId="77777777" w:rsidR="00622570" w:rsidRDefault="00622570" w:rsidP="00622570"/>
        </w:tc>
        <w:tc>
          <w:tcPr>
            <w:tcW w:w="2310" w:type="dxa"/>
            <w:tcBorders>
              <w:top w:val="nil"/>
              <w:left w:val="nil"/>
              <w:bottom w:val="nil"/>
              <w:right w:val="nil"/>
            </w:tcBorders>
          </w:tcPr>
          <w:p w14:paraId="0454BED2" w14:textId="5B92A84F" w:rsidR="00622570" w:rsidRDefault="00622570" w:rsidP="00622570">
            <w:pPr>
              <w:jc w:val="center"/>
            </w:pPr>
            <w:r>
              <w:t>T3</w:t>
            </w:r>
          </w:p>
        </w:tc>
        <w:tc>
          <w:tcPr>
            <w:tcW w:w="2311" w:type="dxa"/>
            <w:tcBorders>
              <w:top w:val="nil"/>
              <w:left w:val="nil"/>
              <w:bottom w:val="nil"/>
              <w:right w:val="nil"/>
            </w:tcBorders>
          </w:tcPr>
          <w:p w14:paraId="42292301" w14:textId="038BA0FC" w:rsidR="00622570" w:rsidRDefault="00622570" w:rsidP="00622570">
            <w:pPr>
              <w:jc w:val="center"/>
            </w:pPr>
            <w:r>
              <w:t>N2</w:t>
            </w:r>
          </w:p>
        </w:tc>
        <w:tc>
          <w:tcPr>
            <w:tcW w:w="2311" w:type="dxa"/>
            <w:tcBorders>
              <w:top w:val="nil"/>
              <w:left w:val="nil"/>
              <w:bottom w:val="nil"/>
            </w:tcBorders>
          </w:tcPr>
          <w:p w14:paraId="3F30B75A" w14:textId="26A02813" w:rsidR="00622570" w:rsidRDefault="00622570" w:rsidP="00622570">
            <w:pPr>
              <w:jc w:val="center"/>
            </w:pPr>
            <w:r>
              <w:t>M0</w:t>
            </w:r>
          </w:p>
        </w:tc>
      </w:tr>
      <w:tr w:rsidR="00622570" w14:paraId="4CA57879" w14:textId="77777777" w:rsidTr="00622570">
        <w:tc>
          <w:tcPr>
            <w:tcW w:w="2310" w:type="dxa"/>
            <w:tcBorders>
              <w:top w:val="nil"/>
              <w:bottom w:val="nil"/>
              <w:right w:val="nil"/>
            </w:tcBorders>
          </w:tcPr>
          <w:p w14:paraId="1A024BA3" w14:textId="7200B44E" w:rsidR="00622570" w:rsidRDefault="00622570" w:rsidP="00622570">
            <w:r>
              <w:t>Stage IIIB</w:t>
            </w:r>
          </w:p>
        </w:tc>
        <w:tc>
          <w:tcPr>
            <w:tcW w:w="2310" w:type="dxa"/>
            <w:tcBorders>
              <w:top w:val="nil"/>
              <w:left w:val="nil"/>
              <w:bottom w:val="nil"/>
              <w:right w:val="nil"/>
            </w:tcBorders>
          </w:tcPr>
          <w:p w14:paraId="651C5F20" w14:textId="7BDBECC7" w:rsidR="00622570" w:rsidRDefault="00622570" w:rsidP="00622570">
            <w:pPr>
              <w:jc w:val="center"/>
            </w:pPr>
            <w:r>
              <w:t>T4</w:t>
            </w:r>
          </w:p>
        </w:tc>
        <w:tc>
          <w:tcPr>
            <w:tcW w:w="2311" w:type="dxa"/>
            <w:tcBorders>
              <w:top w:val="nil"/>
              <w:left w:val="nil"/>
              <w:bottom w:val="nil"/>
              <w:right w:val="nil"/>
            </w:tcBorders>
          </w:tcPr>
          <w:p w14:paraId="0C7A4BF2" w14:textId="79121CF5" w:rsidR="00622570" w:rsidRDefault="00622570" w:rsidP="00622570">
            <w:pPr>
              <w:jc w:val="center"/>
            </w:pPr>
            <w:r>
              <w:t>N0</w:t>
            </w:r>
          </w:p>
        </w:tc>
        <w:tc>
          <w:tcPr>
            <w:tcW w:w="2311" w:type="dxa"/>
            <w:tcBorders>
              <w:top w:val="nil"/>
              <w:left w:val="nil"/>
              <w:bottom w:val="nil"/>
            </w:tcBorders>
          </w:tcPr>
          <w:p w14:paraId="4AC041B4" w14:textId="05EA9D52" w:rsidR="00622570" w:rsidRDefault="00622570" w:rsidP="00622570">
            <w:pPr>
              <w:jc w:val="center"/>
            </w:pPr>
            <w:r>
              <w:t>M0</w:t>
            </w:r>
          </w:p>
        </w:tc>
      </w:tr>
      <w:tr w:rsidR="00622570" w14:paraId="7AD244C7" w14:textId="77777777" w:rsidTr="00622570">
        <w:tc>
          <w:tcPr>
            <w:tcW w:w="2310" w:type="dxa"/>
            <w:tcBorders>
              <w:top w:val="nil"/>
              <w:bottom w:val="nil"/>
              <w:right w:val="nil"/>
            </w:tcBorders>
          </w:tcPr>
          <w:p w14:paraId="33704781" w14:textId="77777777" w:rsidR="00622570" w:rsidRDefault="00622570" w:rsidP="00622570"/>
        </w:tc>
        <w:tc>
          <w:tcPr>
            <w:tcW w:w="2310" w:type="dxa"/>
            <w:tcBorders>
              <w:top w:val="nil"/>
              <w:left w:val="nil"/>
              <w:bottom w:val="nil"/>
              <w:right w:val="nil"/>
            </w:tcBorders>
          </w:tcPr>
          <w:p w14:paraId="7573E552" w14:textId="036544A7" w:rsidR="00622570" w:rsidRDefault="00622570" w:rsidP="00622570">
            <w:pPr>
              <w:jc w:val="center"/>
            </w:pPr>
            <w:r>
              <w:t>T4</w:t>
            </w:r>
          </w:p>
        </w:tc>
        <w:tc>
          <w:tcPr>
            <w:tcW w:w="2311" w:type="dxa"/>
            <w:tcBorders>
              <w:top w:val="nil"/>
              <w:left w:val="nil"/>
              <w:bottom w:val="nil"/>
              <w:right w:val="nil"/>
            </w:tcBorders>
          </w:tcPr>
          <w:p w14:paraId="7A31633C" w14:textId="46EDDD49" w:rsidR="00622570" w:rsidRDefault="00622570" w:rsidP="00622570">
            <w:pPr>
              <w:jc w:val="center"/>
            </w:pPr>
            <w:r>
              <w:t>N1</w:t>
            </w:r>
          </w:p>
        </w:tc>
        <w:tc>
          <w:tcPr>
            <w:tcW w:w="2311" w:type="dxa"/>
            <w:tcBorders>
              <w:top w:val="nil"/>
              <w:left w:val="nil"/>
              <w:bottom w:val="nil"/>
            </w:tcBorders>
          </w:tcPr>
          <w:p w14:paraId="53B8FD17" w14:textId="14A20EBC" w:rsidR="00622570" w:rsidRDefault="00622570" w:rsidP="00622570">
            <w:pPr>
              <w:jc w:val="center"/>
            </w:pPr>
            <w:r>
              <w:t>M0</w:t>
            </w:r>
          </w:p>
        </w:tc>
      </w:tr>
      <w:tr w:rsidR="00622570" w14:paraId="7AC8520D" w14:textId="77777777" w:rsidTr="00622570">
        <w:tc>
          <w:tcPr>
            <w:tcW w:w="2310" w:type="dxa"/>
            <w:tcBorders>
              <w:top w:val="nil"/>
              <w:bottom w:val="nil"/>
              <w:right w:val="nil"/>
            </w:tcBorders>
          </w:tcPr>
          <w:p w14:paraId="12F95322" w14:textId="77777777" w:rsidR="00622570" w:rsidRDefault="00622570" w:rsidP="00622570"/>
        </w:tc>
        <w:tc>
          <w:tcPr>
            <w:tcW w:w="2310" w:type="dxa"/>
            <w:tcBorders>
              <w:top w:val="nil"/>
              <w:left w:val="nil"/>
              <w:bottom w:val="nil"/>
              <w:right w:val="nil"/>
            </w:tcBorders>
          </w:tcPr>
          <w:p w14:paraId="01F6F933" w14:textId="24567BD5" w:rsidR="00622570" w:rsidRDefault="00622570" w:rsidP="00622570">
            <w:pPr>
              <w:jc w:val="center"/>
            </w:pPr>
            <w:r>
              <w:t>T4</w:t>
            </w:r>
          </w:p>
        </w:tc>
        <w:tc>
          <w:tcPr>
            <w:tcW w:w="2311" w:type="dxa"/>
            <w:tcBorders>
              <w:top w:val="nil"/>
              <w:left w:val="nil"/>
              <w:bottom w:val="nil"/>
              <w:right w:val="nil"/>
            </w:tcBorders>
          </w:tcPr>
          <w:p w14:paraId="7AC2D5B1" w14:textId="4E76539E" w:rsidR="00622570" w:rsidRDefault="00622570" w:rsidP="00622570">
            <w:pPr>
              <w:jc w:val="center"/>
            </w:pPr>
            <w:r>
              <w:t>N2</w:t>
            </w:r>
          </w:p>
        </w:tc>
        <w:tc>
          <w:tcPr>
            <w:tcW w:w="2311" w:type="dxa"/>
            <w:tcBorders>
              <w:top w:val="nil"/>
              <w:left w:val="nil"/>
              <w:bottom w:val="nil"/>
            </w:tcBorders>
          </w:tcPr>
          <w:p w14:paraId="1F8CE20A" w14:textId="281C01C3" w:rsidR="00622570" w:rsidRDefault="00622570" w:rsidP="00622570">
            <w:pPr>
              <w:jc w:val="center"/>
            </w:pPr>
            <w:r>
              <w:t>M0</w:t>
            </w:r>
          </w:p>
        </w:tc>
      </w:tr>
      <w:tr w:rsidR="00622570" w14:paraId="47AD52D4" w14:textId="77777777" w:rsidTr="00622570">
        <w:tc>
          <w:tcPr>
            <w:tcW w:w="2310" w:type="dxa"/>
            <w:tcBorders>
              <w:top w:val="nil"/>
              <w:bottom w:val="nil"/>
              <w:right w:val="nil"/>
            </w:tcBorders>
          </w:tcPr>
          <w:p w14:paraId="1A39B658" w14:textId="776F7F5C" w:rsidR="00622570" w:rsidRDefault="00622570" w:rsidP="00622570">
            <w:r>
              <w:t>Stage IIIC</w:t>
            </w:r>
          </w:p>
        </w:tc>
        <w:tc>
          <w:tcPr>
            <w:tcW w:w="2310" w:type="dxa"/>
            <w:tcBorders>
              <w:top w:val="nil"/>
              <w:left w:val="nil"/>
              <w:bottom w:val="nil"/>
              <w:right w:val="nil"/>
            </w:tcBorders>
          </w:tcPr>
          <w:p w14:paraId="33150172" w14:textId="06B0D4F0" w:rsidR="00622570" w:rsidRDefault="00622570" w:rsidP="00622570">
            <w:pPr>
              <w:jc w:val="center"/>
            </w:pPr>
            <w:r>
              <w:t>Any T</w:t>
            </w:r>
          </w:p>
        </w:tc>
        <w:tc>
          <w:tcPr>
            <w:tcW w:w="2311" w:type="dxa"/>
            <w:tcBorders>
              <w:top w:val="nil"/>
              <w:left w:val="nil"/>
              <w:bottom w:val="nil"/>
              <w:right w:val="nil"/>
            </w:tcBorders>
          </w:tcPr>
          <w:p w14:paraId="47E54416" w14:textId="1FB33E02" w:rsidR="00622570" w:rsidRDefault="00622570" w:rsidP="00622570">
            <w:pPr>
              <w:jc w:val="center"/>
            </w:pPr>
            <w:r>
              <w:t>N3</w:t>
            </w:r>
          </w:p>
        </w:tc>
        <w:tc>
          <w:tcPr>
            <w:tcW w:w="2311" w:type="dxa"/>
            <w:tcBorders>
              <w:top w:val="nil"/>
              <w:left w:val="nil"/>
              <w:bottom w:val="nil"/>
            </w:tcBorders>
          </w:tcPr>
          <w:p w14:paraId="4171D962" w14:textId="1BD934F0" w:rsidR="00622570" w:rsidRDefault="00622570" w:rsidP="00622570">
            <w:pPr>
              <w:jc w:val="center"/>
            </w:pPr>
            <w:r>
              <w:t>M0</w:t>
            </w:r>
          </w:p>
        </w:tc>
      </w:tr>
      <w:tr w:rsidR="00622570" w14:paraId="161AF420" w14:textId="77777777" w:rsidTr="00622570">
        <w:tc>
          <w:tcPr>
            <w:tcW w:w="2310" w:type="dxa"/>
            <w:tcBorders>
              <w:top w:val="nil"/>
              <w:right w:val="nil"/>
            </w:tcBorders>
          </w:tcPr>
          <w:p w14:paraId="5F4F5AC4" w14:textId="0B75E715" w:rsidR="00622570" w:rsidRDefault="00622570" w:rsidP="00622570">
            <w:r>
              <w:t>Stage IV</w:t>
            </w:r>
          </w:p>
        </w:tc>
        <w:tc>
          <w:tcPr>
            <w:tcW w:w="2310" w:type="dxa"/>
            <w:tcBorders>
              <w:top w:val="nil"/>
              <w:left w:val="nil"/>
              <w:right w:val="nil"/>
            </w:tcBorders>
          </w:tcPr>
          <w:p w14:paraId="025A038C" w14:textId="76D0AC08" w:rsidR="00622570" w:rsidRDefault="00622570" w:rsidP="00622570">
            <w:pPr>
              <w:jc w:val="center"/>
            </w:pPr>
            <w:r>
              <w:t>Any T</w:t>
            </w:r>
          </w:p>
        </w:tc>
        <w:tc>
          <w:tcPr>
            <w:tcW w:w="2311" w:type="dxa"/>
            <w:tcBorders>
              <w:top w:val="nil"/>
              <w:left w:val="nil"/>
              <w:right w:val="nil"/>
            </w:tcBorders>
          </w:tcPr>
          <w:p w14:paraId="5246CC61" w14:textId="3E64AEBC" w:rsidR="00622570" w:rsidRDefault="00622570" w:rsidP="00622570">
            <w:pPr>
              <w:jc w:val="center"/>
            </w:pPr>
            <w:r>
              <w:t>Any N</w:t>
            </w:r>
          </w:p>
        </w:tc>
        <w:tc>
          <w:tcPr>
            <w:tcW w:w="2311" w:type="dxa"/>
            <w:tcBorders>
              <w:top w:val="nil"/>
              <w:left w:val="nil"/>
            </w:tcBorders>
          </w:tcPr>
          <w:p w14:paraId="011B79C4" w14:textId="09EFF41F" w:rsidR="00622570" w:rsidRDefault="00622570" w:rsidP="00622570">
            <w:pPr>
              <w:jc w:val="center"/>
            </w:pPr>
            <w:r>
              <w:t xml:space="preserve">M1 </w:t>
            </w:r>
          </w:p>
        </w:tc>
      </w:tr>
    </w:tbl>
    <w:p w14:paraId="6B28E4EF" w14:textId="45E8BAF0" w:rsidR="00622570" w:rsidRDefault="00622570" w:rsidP="00622570">
      <w:pPr>
        <w:pStyle w:val="EndNoteBibliography"/>
        <w:spacing w:after="0"/>
      </w:pPr>
      <w:r>
        <w:t xml:space="preserve">Source: NCCN </w:t>
      </w:r>
      <w:r w:rsidRPr="00664328">
        <w:t>Invasive breast cancer guidelines (2017)</w:t>
      </w:r>
      <w:r w:rsidRPr="00664328">
        <w:fldChar w:fldCharType="begin"/>
      </w:r>
      <w:r w:rsidR="005305AC">
        <w:instrText xml:space="preserve"> ADDIN EN.CITE &lt;EndNote&gt;&lt;Cite&gt;&lt;Author&gt;National Comprehensive Cancer Network&lt;/Author&gt;&lt;Year&gt;2017&lt;/Year&gt;&lt;RecNum&gt;12&lt;/RecNum&gt;&lt;DisplayText&gt;[4]&lt;/DisplayText&gt;&lt;record&gt;&lt;rec-number&gt;12&lt;/rec-number&gt;&lt;foreign-keys&gt;&lt;key app="EN" db-id="aadaavff2002s7efdx25t0d9f9awrd0v0vxv" timestamp="1509061052"&gt;12&lt;/key&gt;&lt;/foreign-keys&gt;&lt;ref-type name="Web Page"&gt;12&lt;/ref-type&gt;&lt;contributors&gt;&lt;authors&gt;&lt;author&gt;National Comprehensive Cancer Network,&lt;/author&gt;&lt;/authors&gt;&lt;/contributors&gt;&lt;titles&gt;&lt;title&gt;Breast Cancer (Version 2.2017)&lt;/title&gt;&lt;/titles&gt;&lt;volume&gt;2017&lt;/volume&gt;&lt;number&gt;26 October&lt;/number&gt;&lt;dates&gt;&lt;year&gt;2017&lt;/year&gt;&lt;/dates&gt;&lt;urls&gt;&lt;related-urls&gt;&lt;url&gt;&lt;style face="underline" font="default" size="100%"&gt;https://www.nccn.org/professionals/physician_gls/f_guidelines.asp#breast&lt;/style&gt;&lt;/url&gt;&lt;/related-urls&gt;&lt;/urls&gt;&lt;custom1&gt;2017&lt;/custom1&gt;&lt;custom2&gt;26 October&lt;/custom2&gt;&lt;/record&gt;&lt;/Cite&gt;&lt;/EndNote&gt;</w:instrText>
      </w:r>
      <w:r w:rsidRPr="00664328">
        <w:fldChar w:fldCharType="separate"/>
      </w:r>
      <w:r w:rsidR="005305AC">
        <w:t>[4]</w:t>
      </w:r>
      <w:r w:rsidRPr="00664328">
        <w:fldChar w:fldCharType="end"/>
      </w:r>
    </w:p>
    <w:p w14:paraId="1AE39B70" w14:textId="77777777" w:rsidR="00622570" w:rsidRPr="00664328" w:rsidRDefault="00622570" w:rsidP="00622570">
      <w:pPr>
        <w:pStyle w:val="EndNoteBibliography"/>
        <w:spacing w:after="0"/>
      </w:pPr>
      <w:r>
        <w:t xml:space="preserve">NCCN = </w:t>
      </w:r>
      <w:r w:rsidRPr="00664328">
        <w:t>National Comprehensive Cancer Network</w:t>
      </w:r>
      <w:r>
        <w:t>; TNM = tumour node metastases</w:t>
      </w:r>
    </w:p>
    <w:p w14:paraId="0A6754C5" w14:textId="230DB0BF" w:rsidR="00664328" w:rsidRPr="00757B9E" w:rsidRDefault="00622570" w:rsidP="00622570">
      <w:r>
        <w:rPr>
          <w:vertAlign w:val="superscript"/>
        </w:rPr>
        <w:t xml:space="preserve">a </w:t>
      </w:r>
      <w:r>
        <w:t xml:space="preserve">T0 and T1 tumours with nodal micrometastases only are classified Stage IB. </w:t>
      </w:r>
    </w:p>
    <w:p w14:paraId="57AE29B0" w14:textId="75E4451B" w:rsidR="00757B9E" w:rsidRDefault="00757B9E">
      <w:pPr>
        <w:rPr>
          <w:noProof/>
          <w:u w:val="single"/>
          <w:lang w:val="en-US"/>
        </w:rPr>
      </w:pPr>
      <w:r>
        <w:rPr>
          <w:u w:val="single"/>
        </w:rPr>
        <w:br w:type="page"/>
      </w:r>
    </w:p>
    <w:p w14:paraId="3B4D2B5C" w14:textId="411EDA6C" w:rsidR="00437EFF" w:rsidRDefault="00437EFF" w:rsidP="00B20BC1">
      <w:pPr>
        <w:pStyle w:val="EndNoteBibliography"/>
        <w:spacing w:after="0"/>
        <w:rPr>
          <w:u w:val="single"/>
        </w:rPr>
      </w:pPr>
      <w:r w:rsidRPr="00437EFF">
        <w:rPr>
          <w:u w:val="single"/>
        </w:rPr>
        <w:lastRenderedPageBreak/>
        <w:t>References</w:t>
      </w:r>
    </w:p>
    <w:p w14:paraId="5698AB3F" w14:textId="77777777" w:rsidR="00483B89" w:rsidRPr="00437EFF" w:rsidRDefault="00483B89" w:rsidP="00B20BC1">
      <w:pPr>
        <w:pStyle w:val="EndNoteBibliography"/>
        <w:spacing w:after="0"/>
        <w:rPr>
          <w:u w:val="single"/>
        </w:rPr>
      </w:pPr>
    </w:p>
    <w:p w14:paraId="47D87427" w14:textId="77777777" w:rsidR="00C40A3A" w:rsidRPr="00C40A3A" w:rsidRDefault="009E69B1" w:rsidP="00C40A3A">
      <w:pPr>
        <w:pStyle w:val="EndNoteBibliography"/>
        <w:spacing w:after="0"/>
      </w:pPr>
      <w:r>
        <w:fldChar w:fldCharType="begin"/>
      </w:r>
      <w:r>
        <w:instrText xml:space="preserve"> ADDIN EN.REFLIST </w:instrText>
      </w:r>
      <w:r>
        <w:fldChar w:fldCharType="separate"/>
      </w:r>
      <w:r w:rsidR="00C40A3A" w:rsidRPr="00C40A3A">
        <w:t>1.</w:t>
      </w:r>
      <w:r w:rsidR="00C40A3A" w:rsidRPr="00C40A3A">
        <w:tab/>
        <w:t>Australian Institute of Health and Welfare. Cancer in Australia 2017. Canberra: AIHW; 2017.</w:t>
      </w:r>
    </w:p>
    <w:p w14:paraId="4C5646C8" w14:textId="1F5397C5" w:rsidR="00C40A3A" w:rsidRPr="00C40A3A" w:rsidRDefault="00C40A3A" w:rsidP="00C40A3A">
      <w:pPr>
        <w:pStyle w:val="EndNoteBibliography"/>
        <w:spacing w:after="0"/>
      </w:pPr>
      <w:r w:rsidRPr="00C40A3A">
        <w:t>2.</w:t>
      </w:r>
      <w:r w:rsidRPr="00C40A3A">
        <w:tab/>
        <w:t xml:space="preserve">Breast Cancer Network Australia. Current breast cancer statistics in Australia 2017 [updated 15 June 2017; cited 2017 23 October]. Available from: </w:t>
      </w:r>
      <w:r w:rsidRPr="0051174E">
        <w:t>https://www.bcna.org.au/media/4785/bcna-2017-current-breast-cancer-statistics-in-australia-_15jun2017.pdf</w:t>
      </w:r>
      <w:r w:rsidRPr="00C40A3A">
        <w:t>.</w:t>
      </w:r>
    </w:p>
    <w:p w14:paraId="05631D78" w14:textId="77777777" w:rsidR="00C40A3A" w:rsidRPr="00C40A3A" w:rsidRDefault="00C40A3A" w:rsidP="00C40A3A">
      <w:pPr>
        <w:pStyle w:val="EndNoteBibliography"/>
        <w:spacing w:after="0"/>
      </w:pPr>
      <w:r w:rsidRPr="00C40A3A">
        <w:t>3.</w:t>
      </w:r>
      <w:r w:rsidRPr="00C40A3A">
        <w:tab/>
        <w:t>Senkus E, Kyriakides S, Ohno S, Penault-Llorca F, Poortmans P, Rutgers E, et al. Primary breast cancer: ESMO Clinical Practice Guidelines for diagnosis, treatment and follow-up†. Annals of Oncology. 2015;26(suppl_5):v8-v30.</w:t>
      </w:r>
    </w:p>
    <w:p w14:paraId="09939158" w14:textId="3A4A69E1" w:rsidR="00C40A3A" w:rsidRPr="00C40A3A" w:rsidRDefault="00C40A3A" w:rsidP="00C40A3A">
      <w:pPr>
        <w:pStyle w:val="EndNoteBibliography"/>
        <w:spacing w:after="0"/>
      </w:pPr>
      <w:r w:rsidRPr="00C40A3A">
        <w:t>4.</w:t>
      </w:r>
      <w:r w:rsidRPr="00C40A3A">
        <w:tab/>
        <w:t xml:space="preserve">National Comprehensive Cancer Network. Breast Cancer (Version 2.2017) 2017 [cited 2017 26 October]. Available from: </w:t>
      </w:r>
      <w:r w:rsidRPr="0051174E">
        <w:t>https://www.nccn.org/professionals/physician_gls/f_guidelines.asp#breast</w:t>
      </w:r>
      <w:r w:rsidRPr="00C40A3A">
        <w:t>.</w:t>
      </w:r>
    </w:p>
    <w:p w14:paraId="70A87C84" w14:textId="77777777" w:rsidR="00C40A3A" w:rsidRPr="00C40A3A" w:rsidRDefault="00C40A3A" w:rsidP="00C40A3A">
      <w:pPr>
        <w:pStyle w:val="EndNoteBibliography"/>
        <w:spacing w:after="0"/>
      </w:pPr>
      <w:r w:rsidRPr="00C40A3A">
        <w:t>5.</w:t>
      </w:r>
      <w:r w:rsidRPr="00C40A3A">
        <w:tab/>
        <w:t>Sundquist M, Brudin L, Tejler G. Improved survival in metastatic breast cancer 1985-2016. Breast (Edinburgh, Scotland). 2017;31:46-50.</w:t>
      </w:r>
    </w:p>
    <w:p w14:paraId="35F2A424" w14:textId="77777777" w:rsidR="00C40A3A" w:rsidRPr="00C40A3A" w:rsidRDefault="00C40A3A" w:rsidP="00C40A3A">
      <w:pPr>
        <w:pStyle w:val="EndNoteBibliography"/>
        <w:spacing w:after="0"/>
      </w:pPr>
      <w:r w:rsidRPr="00C40A3A">
        <w:t>6.</w:t>
      </w:r>
      <w:r w:rsidRPr="00C40A3A">
        <w:tab/>
        <w:t>Howlader N, Altekruse SF, Li CI, Chen VW, Clarke CA, Ries LAG, et al. US Incidence of Breast Cancer Subtypes Defined by Joint Hormone Receptor and HER2 Status. JNCI: Journal of the National Cancer Institute. 2014;106(5):dju055-dju.</w:t>
      </w:r>
    </w:p>
    <w:p w14:paraId="011F8D19" w14:textId="77777777" w:rsidR="00C40A3A" w:rsidRPr="00C40A3A" w:rsidRDefault="00C40A3A" w:rsidP="00C40A3A">
      <w:pPr>
        <w:pStyle w:val="EndNoteBibliography"/>
        <w:spacing w:after="0"/>
      </w:pPr>
      <w:r w:rsidRPr="00C40A3A">
        <w:t>7.</w:t>
      </w:r>
      <w:r w:rsidRPr="00C40A3A">
        <w:tab/>
        <w:t>Foulkes  WD, Smith  IE, Reis-Filho  JS. Triple-Negative Breast Cancer. New England Journal of Medicine. 2010;363(20):1938-48.</w:t>
      </w:r>
    </w:p>
    <w:p w14:paraId="3762CC08" w14:textId="77777777" w:rsidR="00C40A3A" w:rsidRPr="00C40A3A" w:rsidRDefault="00C40A3A" w:rsidP="00C40A3A">
      <w:pPr>
        <w:pStyle w:val="EndNoteBibliography"/>
        <w:spacing w:after="0"/>
      </w:pPr>
      <w:r w:rsidRPr="00C40A3A">
        <w:t>8.</w:t>
      </w:r>
      <w:r w:rsidRPr="00C40A3A">
        <w:tab/>
        <w:t>Cardoso F, Costa A, Senkus E, Aapro M, André F, Barrios CH, et al. 3rd ESO–ESMO International Consensus Guidelines for Advanced Breast Cancer (ABC 3). Annals of Oncology. 2017;28(1):16-33.</w:t>
      </w:r>
    </w:p>
    <w:p w14:paraId="66895E37" w14:textId="77777777" w:rsidR="00C40A3A" w:rsidRPr="00C40A3A" w:rsidRDefault="00C40A3A" w:rsidP="00C40A3A">
      <w:pPr>
        <w:pStyle w:val="EndNoteBibliography"/>
        <w:spacing w:after="0"/>
      </w:pPr>
      <w:r w:rsidRPr="00C40A3A">
        <w:t>9.</w:t>
      </w:r>
      <w:r w:rsidRPr="00C40A3A">
        <w:tab/>
        <w:t>Zhu Y, Wu J, Zhang C, Sun S, Zhang J, Liu W, et al. BRCA mutations and survival in breast cancer: an updated systematic review and meta-analysis. Oncotarget. 2016;7(43):70113-27.</w:t>
      </w:r>
    </w:p>
    <w:p w14:paraId="49BC35AB" w14:textId="77777777" w:rsidR="00C40A3A" w:rsidRPr="00C40A3A" w:rsidRDefault="00C40A3A" w:rsidP="00C40A3A">
      <w:pPr>
        <w:pStyle w:val="EndNoteBibliography"/>
        <w:spacing w:after="0"/>
      </w:pPr>
      <w:r w:rsidRPr="00C40A3A">
        <w:t>10.</w:t>
      </w:r>
      <w:r w:rsidRPr="00C40A3A">
        <w:tab/>
        <w:t>Robson M, Im S-A, Senkus E, Xu B, Domchek SM, Masuda N, et al. Olaparib for Metastatic Breast Cancer in Patients with a Germline BRCA Mutation. New England Journal of Medicine. 2017;377(6):523-33.</w:t>
      </w:r>
    </w:p>
    <w:p w14:paraId="114A5E11" w14:textId="77777777" w:rsidR="00C40A3A" w:rsidRPr="00C40A3A" w:rsidRDefault="00C40A3A" w:rsidP="00C40A3A">
      <w:pPr>
        <w:pStyle w:val="EndNoteBibliography"/>
        <w:spacing w:after="0"/>
      </w:pPr>
      <w:r w:rsidRPr="00C40A3A">
        <w:t>11.</w:t>
      </w:r>
      <w:r w:rsidRPr="00C40A3A">
        <w:tab/>
        <w:t>Balmaña J, Díez O, Rubio IT, Cardoso F. BRCA in breast cancer: ESMO Clinical Practice Guidelines. Annals of Oncology. 2011;22(suppl_6):vi31-vi4.</w:t>
      </w:r>
    </w:p>
    <w:p w14:paraId="282C4519" w14:textId="77777777" w:rsidR="00C40A3A" w:rsidRPr="00C40A3A" w:rsidRDefault="00C40A3A" w:rsidP="00C40A3A">
      <w:pPr>
        <w:pStyle w:val="EndNoteBibliography"/>
        <w:spacing w:after="0"/>
      </w:pPr>
      <w:r w:rsidRPr="00C40A3A">
        <w:t>12.</w:t>
      </w:r>
      <w:r w:rsidRPr="00C40A3A">
        <w:tab/>
        <w:t>Calistri D, Zampiga V, Zoli W. Characterization of Molecular Alterations of BRCA1/2: Analysis and Interpretation Guidelines. Current Women's Health Reviews. 2012;8(1):4-11.</w:t>
      </w:r>
    </w:p>
    <w:p w14:paraId="2F854705" w14:textId="77777777" w:rsidR="00C40A3A" w:rsidRPr="00C40A3A" w:rsidRDefault="00C40A3A" w:rsidP="00C40A3A">
      <w:pPr>
        <w:pStyle w:val="EndNoteBibliography"/>
        <w:spacing w:after="0"/>
      </w:pPr>
      <w:r w:rsidRPr="00C40A3A">
        <w:t>13.</w:t>
      </w:r>
      <w:r w:rsidRPr="00C40A3A">
        <w:tab/>
        <w:t>Roy R, Chun J, Powell SN. BRCA1 and BRCA2: different roles in a common pathway of genome protection. Nature reviews Cancer. 2012;12(1):68-78.</w:t>
      </w:r>
    </w:p>
    <w:p w14:paraId="220A50A3" w14:textId="77777777" w:rsidR="00C40A3A" w:rsidRPr="00C40A3A" w:rsidRDefault="00C40A3A" w:rsidP="00C40A3A">
      <w:pPr>
        <w:pStyle w:val="EndNoteBibliography"/>
        <w:spacing w:after="0"/>
      </w:pPr>
      <w:r w:rsidRPr="00C40A3A">
        <w:t>14.</w:t>
      </w:r>
      <w:r w:rsidRPr="00C40A3A">
        <w:tab/>
        <w:t>Dziadkowiec KN, Gąsiorowska E, Nowak-Markwitz E, Jankowska A. PARP inhibitors: review of mechanisms of action and BRCA1/2 mutation targeting. Przegla̜d Menopauzalny = Menopause Review. 2016;15(4):215-9.</w:t>
      </w:r>
    </w:p>
    <w:p w14:paraId="5512BE8A" w14:textId="6D65D5E1" w:rsidR="00C40A3A" w:rsidRPr="00C40A3A" w:rsidRDefault="00C40A3A" w:rsidP="00C40A3A">
      <w:pPr>
        <w:pStyle w:val="EndNoteBibliography"/>
        <w:spacing w:after="0"/>
      </w:pPr>
      <w:r w:rsidRPr="00C40A3A">
        <w:t>15.</w:t>
      </w:r>
      <w:r w:rsidRPr="00C40A3A">
        <w:tab/>
        <w:t xml:space="preserve">Cancer Institute of NSW. Genetic testing for heritable mutations in the BRCA1 and BRCA2 genes Sydney2010 [cited 2017 07 Nov]. Available from: </w:t>
      </w:r>
      <w:r w:rsidRPr="0051174E">
        <w:t>https://www.eviq.org.au/cancer-genetics/genetic-testing-for-heritable-mutations/620-genetic-testing-for-heritable-mutations-in-the</w:t>
      </w:r>
      <w:r w:rsidRPr="00C40A3A">
        <w:t>.</w:t>
      </w:r>
    </w:p>
    <w:p w14:paraId="52F377DA" w14:textId="77777777" w:rsidR="00C40A3A" w:rsidRPr="00C40A3A" w:rsidRDefault="00C40A3A" w:rsidP="00C40A3A">
      <w:pPr>
        <w:pStyle w:val="EndNoteBibliography"/>
        <w:spacing w:after="0"/>
      </w:pPr>
      <w:r w:rsidRPr="00C40A3A">
        <w:t>16.</w:t>
      </w:r>
      <w:r w:rsidRPr="00C40A3A">
        <w:tab/>
        <w:t>Kurian AW. BRCA1 and BRCA2 mutations across race and ethnicity: distribution and clinical implications. Current Opinion in Obstetrics and Gynecology. 2010;22(1):72-8.</w:t>
      </w:r>
    </w:p>
    <w:p w14:paraId="77F90497" w14:textId="77777777" w:rsidR="00C40A3A" w:rsidRPr="00C40A3A" w:rsidRDefault="00C40A3A" w:rsidP="00C40A3A">
      <w:pPr>
        <w:pStyle w:val="EndNoteBibliography"/>
        <w:spacing w:after="0"/>
      </w:pPr>
      <w:r w:rsidRPr="00C40A3A">
        <w:t>17.</w:t>
      </w:r>
      <w:r w:rsidRPr="00C40A3A">
        <w:tab/>
        <w:t>Australian Institute of Health and Welfare. Cancer incidence projections: Australia, 2011 to 2020. Canberra: AIHW; 2012.</w:t>
      </w:r>
    </w:p>
    <w:p w14:paraId="4772D15E" w14:textId="6475362B" w:rsidR="00C40A3A" w:rsidRPr="00C40A3A" w:rsidRDefault="00C40A3A" w:rsidP="00C40A3A">
      <w:pPr>
        <w:pStyle w:val="EndNoteBibliography"/>
        <w:spacing w:after="0"/>
      </w:pPr>
      <w:r w:rsidRPr="00C40A3A">
        <w:t>18.</w:t>
      </w:r>
      <w:r w:rsidRPr="00C40A3A">
        <w:tab/>
        <w:t xml:space="preserve">Cancer Institute NSW. Cancer in NSW: Online Statistics Module 2012 Sydney: Cancer Institute NSW; 2016 [Available from: </w:t>
      </w:r>
      <w:r w:rsidRPr="0051174E">
        <w:t>http://www.statistics.cancerinstitute.org.au</w:t>
      </w:r>
      <w:r w:rsidRPr="00C40A3A">
        <w:t>.</w:t>
      </w:r>
    </w:p>
    <w:p w14:paraId="0D0F0CF0" w14:textId="77777777" w:rsidR="00C40A3A" w:rsidRPr="00C40A3A" w:rsidRDefault="00C40A3A" w:rsidP="00C40A3A">
      <w:pPr>
        <w:pStyle w:val="EndNoteBibliography"/>
        <w:spacing w:after="0"/>
      </w:pPr>
      <w:r w:rsidRPr="00C40A3A">
        <w:t>19.</w:t>
      </w:r>
      <w:r w:rsidRPr="00C40A3A">
        <w:tab/>
        <w:t>Lord SJ, Marinovich M, Patterson JA, Wilcken N, Kiely B, Gebski V, et al. Incidence of metastatic breast cancer in an Australian population-based cohort of women with non-metastatic breast cancer at diagnosis. Med J Aust. 2012;196(11):688-92.</w:t>
      </w:r>
    </w:p>
    <w:p w14:paraId="3A2F4D4A" w14:textId="01112694" w:rsidR="00C40A3A" w:rsidRPr="00C40A3A" w:rsidRDefault="00C40A3A" w:rsidP="00C40A3A">
      <w:pPr>
        <w:pStyle w:val="EndNoteBibliography"/>
        <w:spacing w:after="0"/>
      </w:pPr>
      <w:r w:rsidRPr="00C40A3A">
        <w:lastRenderedPageBreak/>
        <w:t>20.</w:t>
      </w:r>
      <w:r w:rsidRPr="00C40A3A">
        <w:tab/>
        <w:t xml:space="preserve">Medical Services Advisory Committee. Application No. 1411.1 – Genetic testing for hereditary mutations predisposing to cancer (breast and/or ovarian) (resubmission) (public summary document) Canberra: Department of Health; 2016 [Available from: </w:t>
      </w:r>
      <w:r w:rsidRPr="0051174E">
        <w:t>http://www.msac.gov.au/internet/msac/publishing.nsf/content/1411.1-public</w:t>
      </w:r>
      <w:r w:rsidRPr="00C40A3A">
        <w:t>.</w:t>
      </w:r>
    </w:p>
    <w:p w14:paraId="0E3232FC" w14:textId="7CCC7948" w:rsidR="00C40A3A" w:rsidRPr="00C40A3A" w:rsidRDefault="00C40A3A" w:rsidP="00C40A3A">
      <w:pPr>
        <w:pStyle w:val="EndNoteBibliography"/>
        <w:spacing w:after="0"/>
      </w:pPr>
      <w:r w:rsidRPr="00C40A3A">
        <w:t>21.</w:t>
      </w:r>
      <w:r w:rsidRPr="00C40A3A">
        <w:tab/>
        <w:t xml:space="preserve">Department of Health. Schedule of Pharmaceutical Benefits  (November 2017) Canberra: Department of Health; 2017 [updated 1 Nov 2017; cited 2017 7 Nov]. Available from: </w:t>
      </w:r>
      <w:r w:rsidRPr="0051174E">
        <w:t>http://www.pbs.gov.au/browse/publications</w:t>
      </w:r>
      <w:r w:rsidRPr="00C40A3A">
        <w:t>.</w:t>
      </w:r>
    </w:p>
    <w:p w14:paraId="7D9C5CE0" w14:textId="31B0E41C" w:rsidR="00C40A3A" w:rsidRPr="00C40A3A" w:rsidRDefault="00C40A3A" w:rsidP="00C40A3A">
      <w:pPr>
        <w:pStyle w:val="EndNoteBibliography"/>
        <w:spacing w:after="0"/>
      </w:pPr>
      <w:r w:rsidRPr="00C40A3A">
        <w:t>22.</w:t>
      </w:r>
      <w:r w:rsidRPr="00C40A3A">
        <w:tab/>
        <w:t xml:space="preserve">Royal College of Pathologists of Australasia. RCPA catalogue of genetic tests and laboratories BRCA1 [2 May 2017]. 2017 [Available from: </w:t>
      </w:r>
      <w:r w:rsidRPr="0051174E">
        <w:t>http://www.rcpa.edu.au/Library/Practising-Pathology/RCPA-Genetic-Testing/rgtl/Items/GeneDetail?Symbol=BRCA1</w:t>
      </w:r>
      <w:r w:rsidRPr="00C40A3A">
        <w:t>.</w:t>
      </w:r>
    </w:p>
    <w:p w14:paraId="1E388444" w14:textId="2BB738E2" w:rsidR="00C40A3A" w:rsidRPr="00C40A3A" w:rsidRDefault="00C40A3A" w:rsidP="00C40A3A">
      <w:pPr>
        <w:pStyle w:val="EndNoteBibliography"/>
        <w:spacing w:after="0"/>
      </w:pPr>
      <w:r w:rsidRPr="00C40A3A">
        <w:t>23.</w:t>
      </w:r>
      <w:r w:rsidRPr="00C40A3A">
        <w:tab/>
        <w:t xml:space="preserve">Royal College of Pathologists of Australasia. RCPA catalogue of genetic tests and laboratories BRCA2 [2 May 2017]. 2017 [Available from: </w:t>
      </w:r>
      <w:r w:rsidRPr="0051174E">
        <w:t>http://www.rcpa.edu.au/Library/Practising-Pathology/RCPA-Genetic-Testing/rgtl/Items/GeneDetail?Symbol=BRCA2</w:t>
      </w:r>
      <w:r w:rsidRPr="00C40A3A">
        <w:t>.</w:t>
      </w:r>
    </w:p>
    <w:p w14:paraId="060CD520" w14:textId="77777777" w:rsidR="00C40A3A" w:rsidRPr="00C40A3A" w:rsidRDefault="00C40A3A" w:rsidP="00C40A3A">
      <w:pPr>
        <w:pStyle w:val="EndNoteBibliography"/>
        <w:spacing w:after="0"/>
      </w:pPr>
      <w:r w:rsidRPr="00C40A3A">
        <w:t>24.</w:t>
      </w:r>
      <w:r w:rsidRPr="00C40A3A">
        <w:tab/>
        <w:t>Vail PJ, Morris B, van Kan A, Burdett BC, Moyes K, Theisen A, et al. Comparison of locus-specific databases for BRCA1 and BRCA2 variants reveals disparity in variant classification within and among databases. Journal of community genetics. 2015;6(4):351-9.</w:t>
      </w:r>
    </w:p>
    <w:p w14:paraId="6BEF6C4D" w14:textId="77777777" w:rsidR="00C40A3A" w:rsidRPr="00C40A3A" w:rsidRDefault="00C40A3A" w:rsidP="00C40A3A">
      <w:pPr>
        <w:pStyle w:val="EndNoteBibliography"/>
        <w:spacing w:after="0"/>
      </w:pPr>
      <w:r w:rsidRPr="00C40A3A">
        <w:t>25.</w:t>
      </w:r>
      <w:r w:rsidRPr="00C40A3A">
        <w:tab/>
        <w:t>D'Arcy v Myriad Genetics Inc [2015] HCA 35.</w:t>
      </w:r>
    </w:p>
    <w:p w14:paraId="7C7DBF1A" w14:textId="4561B1F2" w:rsidR="00C40A3A" w:rsidRPr="00C40A3A" w:rsidRDefault="00C40A3A" w:rsidP="00C40A3A">
      <w:pPr>
        <w:pStyle w:val="EndNoteBibliography"/>
        <w:spacing w:after="0"/>
      </w:pPr>
      <w:r w:rsidRPr="00C40A3A">
        <w:t>26.</w:t>
      </w:r>
      <w:r w:rsidRPr="00C40A3A">
        <w:tab/>
        <w:t xml:space="preserve">Therapeutic Goods Administration. Classification of IVD medical devices Canberra: Therapeutic Goods Administration; 2015 [updated 7 Dec 2015; cited 2017 8 Nov]. Available from: </w:t>
      </w:r>
      <w:r w:rsidRPr="0051174E">
        <w:t>https://www.tga.gov.au/book-page/ivd-classification-examples</w:t>
      </w:r>
      <w:r w:rsidRPr="00C40A3A">
        <w:t>.</w:t>
      </w:r>
    </w:p>
    <w:p w14:paraId="68F77045" w14:textId="6C8B387C" w:rsidR="00C40A3A" w:rsidRPr="00C40A3A" w:rsidRDefault="00C40A3A" w:rsidP="00C40A3A">
      <w:pPr>
        <w:pStyle w:val="EndNoteBibliography"/>
        <w:spacing w:after="0"/>
      </w:pPr>
      <w:r w:rsidRPr="00C40A3A">
        <w:t>27.</w:t>
      </w:r>
      <w:r w:rsidRPr="00C40A3A">
        <w:tab/>
        <w:t xml:space="preserve">Therapeutic Goods Administration. Regulatory requirements for in-house IVDs Canberra: Therapeutic Goods Administration; 2016 [updated 5 Jun 2017; cited 2017 8 Nov]. Available from: </w:t>
      </w:r>
      <w:r w:rsidRPr="0051174E">
        <w:t>https://www.tga.gov.au/publication/regulatory-requirements-house-ivds-australia</w:t>
      </w:r>
      <w:r w:rsidRPr="00C40A3A">
        <w:t>.</w:t>
      </w:r>
    </w:p>
    <w:p w14:paraId="0DB57ECF" w14:textId="77777777" w:rsidR="00C40A3A" w:rsidRPr="00C40A3A" w:rsidRDefault="00C40A3A" w:rsidP="00C40A3A">
      <w:pPr>
        <w:pStyle w:val="EndNoteBibliography"/>
      </w:pPr>
      <w:r w:rsidRPr="00C40A3A">
        <w:t>28.</w:t>
      </w:r>
      <w:r w:rsidRPr="00C40A3A">
        <w:tab/>
        <w:t>AstraZeneca. Olaparib monotherapy as maintenance treatment of patients with platinum-sensitive relapsed BRCA mutated ovarian cancer. 2.5 Clinical Overview (data on file). 2014.</w:t>
      </w:r>
    </w:p>
    <w:p w14:paraId="329396D1" w14:textId="358349B3" w:rsidR="00DE7839" w:rsidRPr="00E364F7" w:rsidRDefault="009E69B1" w:rsidP="00E364F7">
      <w:r>
        <w:fldChar w:fldCharType="end"/>
      </w:r>
    </w:p>
    <w:sectPr w:rsidR="00DE7839" w:rsidRPr="00E364F7">
      <w:headerReference w:type="even" r:id="rId14"/>
      <w:footerReference w:type="default" r:id="rId1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12ACB" w16cid:durableId="1DB3F033"/>
  <w16cid:commentId w16cid:paraId="57976159" w16cid:durableId="1DB3F60F"/>
  <w16cid:commentId w16cid:paraId="2AD7FD58" w16cid:durableId="1DB3F642"/>
  <w16cid:commentId w16cid:paraId="08CC2932" w16cid:durableId="1DB3EEAE"/>
  <w16cid:commentId w16cid:paraId="390F2C64" w16cid:durableId="1DB3EE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CD59A" w14:textId="77777777" w:rsidR="0073631F" w:rsidRDefault="0073631F" w:rsidP="003D699E">
      <w:pPr>
        <w:spacing w:after="0" w:line="240" w:lineRule="auto"/>
      </w:pPr>
      <w:r>
        <w:separator/>
      </w:r>
    </w:p>
  </w:endnote>
  <w:endnote w:type="continuationSeparator" w:id="0">
    <w:p w14:paraId="00574177" w14:textId="77777777" w:rsidR="0073631F" w:rsidRDefault="0073631F"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36886FC7" w14:textId="13C472C0" w:rsidR="0073631F" w:rsidRDefault="0073631F"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E4E4C" w:rsidRPr="00CE4E4C">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2B3501AE" w14:textId="4F65C424" w:rsidR="0073631F" w:rsidRPr="00CF2DFA" w:rsidRDefault="0073631F" w:rsidP="00ED72D8">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1507: </w:t>
        </w:r>
        <w:r w:rsidRPr="00ED72D8">
          <w:rPr>
            <w:color w:val="808080" w:themeColor="background1" w:themeShade="80"/>
            <w:spacing w:val="60"/>
            <w:sz w:val="18"/>
            <w:szCs w:val="18"/>
          </w:rPr>
          <w:t>Germline BRCA mutation testing to determine eligibility for olaparib treatment in patients with metasta</w:t>
        </w:r>
        <w:r>
          <w:rPr>
            <w:color w:val="808080" w:themeColor="background1" w:themeShade="80"/>
            <w:spacing w:val="60"/>
            <w:sz w:val="18"/>
            <w:szCs w:val="18"/>
          </w:rPr>
          <w:t xml:space="preserve">tic </w:t>
        </w:r>
        <w:r w:rsidR="00D63241">
          <w:rPr>
            <w:color w:val="808080" w:themeColor="background1" w:themeShade="80"/>
            <w:spacing w:val="60"/>
            <w:sz w:val="18"/>
            <w:szCs w:val="18"/>
          </w:rPr>
          <w:t>HER2-negativeHER2-negative</w:t>
        </w:r>
        <w:r>
          <w:rPr>
            <w:color w:val="808080" w:themeColor="background1" w:themeShade="80"/>
            <w:spacing w:val="60"/>
            <w:sz w:val="18"/>
            <w:szCs w:val="18"/>
          </w:rPr>
          <w:t xml:space="preserve"> breast cancer</w:t>
        </w:r>
      </w:p>
    </w:sdtContent>
  </w:sdt>
  <w:p w14:paraId="2B8E48A1" w14:textId="77777777" w:rsidR="0073631F" w:rsidRDefault="0073631F" w:rsidP="003D699E">
    <w:pPr>
      <w:pStyle w:val="Footer"/>
    </w:pPr>
  </w:p>
  <w:p w14:paraId="0C8508DB" w14:textId="77777777" w:rsidR="0073631F" w:rsidRDefault="00736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AC4BA" w14:textId="77777777" w:rsidR="0073631F" w:rsidRDefault="0073631F" w:rsidP="003D699E">
      <w:pPr>
        <w:spacing w:after="0" w:line="240" w:lineRule="auto"/>
      </w:pPr>
      <w:r>
        <w:separator/>
      </w:r>
    </w:p>
  </w:footnote>
  <w:footnote w:type="continuationSeparator" w:id="0">
    <w:p w14:paraId="11411BE6" w14:textId="77777777" w:rsidR="0073631F" w:rsidRDefault="0073631F"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8A37A" w14:textId="576D8513" w:rsidR="0073631F" w:rsidRDefault="0073631F">
    <w:pPr>
      <w:pStyle w:val="Header"/>
    </w:pPr>
    <w:r>
      <w:rPr>
        <w:noProof/>
        <w:lang w:eastAsia="en-AU"/>
      </w:rPr>
      <mc:AlternateContent>
        <mc:Choice Requires="wps">
          <w:drawing>
            <wp:anchor distT="0" distB="0" distL="114300" distR="114300" simplePos="0" relativeHeight="251657728" behindDoc="1" locked="0" layoutInCell="0" allowOverlap="1" wp14:anchorId="717A024C" wp14:editId="4E88212C">
              <wp:simplePos x="0" y="0"/>
              <wp:positionH relativeFrom="margin">
                <wp:align>center</wp:align>
              </wp:positionH>
              <wp:positionV relativeFrom="margin">
                <wp:align>center</wp:align>
              </wp:positionV>
              <wp:extent cx="7458710" cy="621030"/>
              <wp:effectExtent l="0" t="2486025" r="0" b="242697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E2B197" w14:textId="77777777" w:rsidR="0073631F" w:rsidRDefault="0073631F" w:rsidP="0084228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DnhgIAAPsE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NMlw&#10;54YCAAD7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14:paraId="77E2B197" w14:textId="77777777" w:rsidR="0073631F" w:rsidRDefault="0073631F" w:rsidP="0084228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0AF9"/>
    <w:multiLevelType w:val="hybridMultilevel"/>
    <w:tmpl w:val="5FF232F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FD1783E"/>
    <w:multiLevelType w:val="hybridMultilevel"/>
    <w:tmpl w:val="EC4CE080"/>
    <w:lvl w:ilvl="0" w:tplc="19566324">
      <w:start w:val="6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770F93"/>
    <w:multiLevelType w:val="hybridMultilevel"/>
    <w:tmpl w:val="65FCD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C80358"/>
    <w:multiLevelType w:val="hybridMultilevel"/>
    <w:tmpl w:val="080C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703101"/>
    <w:multiLevelType w:val="hybridMultilevel"/>
    <w:tmpl w:val="57E6A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3A6023"/>
    <w:multiLevelType w:val="hybridMultilevel"/>
    <w:tmpl w:val="D88E4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DA2248"/>
    <w:multiLevelType w:val="hybridMultilevel"/>
    <w:tmpl w:val="A5461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4A0505"/>
    <w:multiLevelType w:val="hybridMultilevel"/>
    <w:tmpl w:val="5F3CE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1E5874"/>
    <w:multiLevelType w:val="hybridMultilevel"/>
    <w:tmpl w:val="1B3C506E"/>
    <w:lvl w:ilvl="0" w:tplc="FB385D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D466D0"/>
    <w:multiLevelType w:val="hybridMultilevel"/>
    <w:tmpl w:val="04FA6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7A6323"/>
    <w:multiLevelType w:val="hybridMultilevel"/>
    <w:tmpl w:val="12E4334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5">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50482140"/>
    <w:multiLevelType w:val="hybridMultilevel"/>
    <w:tmpl w:val="B8983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1D225DB"/>
    <w:multiLevelType w:val="hybridMultilevel"/>
    <w:tmpl w:val="1D92F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740A5B"/>
    <w:multiLevelType w:val="hybridMultilevel"/>
    <w:tmpl w:val="D006F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128796B"/>
    <w:multiLevelType w:val="hybridMultilevel"/>
    <w:tmpl w:val="9FFCF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6DD7B5F"/>
    <w:multiLevelType w:val="hybridMultilevel"/>
    <w:tmpl w:val="5CF6D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837D53"/>
    <w:multiLevelType w:val="hybridMultilevel"/>
    <w:tmpl w:val="57445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AC14B6"/>
    <w:multiLevelType w:val="hybridMultilevel"/>
    <w:tmpl w:val="798C4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9742296"/>
    <w:multiLevelType w:val="hybridMultilevel"/>
    <w:tmpl w:val="1E0C3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6"/>
  </w:num>
  <w:num w:numId="4">
    <w:abstractNumId w:val="23"/>
  </w:num>
  <w:num w:numId="5">
    <w:abstractNumId w:val="26"/>
  </w:num>
  <w:num w:numId="6">
    <w:abstractNumId w:val="15"/>
  </w:num>
  <w:num w:numId="7">
    <w:abstractNumId w:val="3"/>
  </w:num>
  <w:num w:numId="8">
    <w:abstractNumId w:val="2"/>
  </w:num>
  <w:num w:numId="9">
    <w:abstractNumId w:val="17"/>
  </w:num>
  <w:num w:numId="10">
    <w:abstractNumId w:val="20"/>
  </w:num>
  <w:num w:numId="11">
    <w:abstractNumId w:val="21"/>
  </w:num>
  <w:num w:numId="12">
    <w:abstractNumId w:val="12"/>
  </w:num>
  <w:num w:numId="13">
    <w:abstractNumId w:val="5"/>
  </w:num>
  <w:num w:numId="14">
    <w:abstractNumId w:val="25"/>
  </w:num>
  <w:num w:numId="15">
    <w:abstractNumId w:val="18"/>
  </w:num>
  <w:num w:numId="16">
    <w:abstractNumId w:val="22"/>
  </w:num>
  <w:num w:numId="17">
    <w:abstractNumId w:val="11"/>
  </w:num>
  <w:num w:numId="18">
    <w:abstractNumId w:val="0"/>
  </w:num>
  <w:num w:numId="19">
    <w:abstractNumId w:val="9"/>
  </w:num>
  <w:num w:numId="20">
    <w:abstractNumId w:val="16"/>
  </w:num>
  <w:num w:numId="21">
    <w:abstractNumId w:val="10"/>
  </w:num>
  <w:num w:numId="22">
    <w:abstractNumId w:val="4"/>
  </w:num>
  <w:num w:numId="23">
    <w:abstractNumId w:val="13"/>
  </w:num>
  <w:num w:numId="24">
    <w:abstractNumId w:val="27"/>
  </w:num>
  <w:num w:numId="25">
    <w:abstractNumId w:val="14"/>
  </w:num>
  <w:num w:numId="26">
    <w:abstractNumId w:val="8"/>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daavff2002s7efdx25t0d9f9awrd0v0vxv&quot;&gt;BRCA olaparib breast cancer&lt;record-ids&gt;&lt;item&gt;1&lt;/item&gt;&lt;item&gt;2&lt;/item&gt;&lt;item&gt;3&lt;/item&gt;&lt;item&gt;4&lt;/item&gt;&lt;item&gt;5&lt;/item&gt;&lt;item&gt;7&lt;/item&gt;&lt;item&gt;8&lt;/item&gt;&lt;item&gt;9&lt;/item&gt;&lt;item&gt;10&lt;/item&gt;&lt;item&gt;12&lt;/item&gt;&lt;item&gt;17&lt;/item&gt;&lt;item&gt;18&lt;/item&gt;&lt;item&gt;19&lt;/item&gt;&lt;item&gt;20&lt;/item&gt;&lt;item&gt;22&lt;/item&gt;&lt;item&gt;23&lt;/item&gt;&lt;item&gt;24&lt;/item&gt;&lt;item&gt;25&lt;/item&gt;&lt;item&gt;26&lt;/item&gt;&lt;item&gt;27&lt;/item&gt;&lt;item&gt;28&lt;/item&gt;&lt;item&gt;29&lt;/item&gt;&lt;item&gt;30&lt;/item&gt;&lt;item&gt;31&lt;/item&gt;&lt;item&gt;32&lt;/item&gt;&lt;item&gt;34&lt;/item&gt;&lt;item&gt;35&lt;/item&gt;&lt;item&gt;36&lt;/item&gt;&lt;/record-ids&gt;&lt;/item&gt;&lt;/Libraries&gt;"/>
  </w:docVars>
  <w:rsids>
    <w:rsidRoot w:val="0044715D"/>
    <w:rsid w:val="00002118"/>
    <w:rsid w:val="00004548"/>
    <w:rsid w:val="00013A91"/>
    <w:rsid w:val="00014375"/>
    <w:rsid w:val="00015A3B"/>
    <w:rsid w:val="00022EC2"/>
    <w:rsid w:val="00027829"/>
    <w:rsid w:val="00030FFE"/>
    <w:rsid w:val="00032F32"/>
    <w:rsid w:val="000534B2"/>
    <w:rsid w:val="00055646"/>
    <w:rsid w:val="00063AC8"/>
    <w:rsid w:val="00067193"/>
    <w:rsid w:val="000773C8"/>
    <w:rsid w:val="00077474"/>
    <w:rsid w:val="000774F8"/>
    <w:rsid w:val="00077E88"/>
    <w:rsid w:val="000808AC"/>
    <w:rsid w:val="00083728"/>
    <w:rsid w:val="0008426A"/>
    <w:rsid w:val="00085786"/>
    <w:rsid w:val="0008649B"/>
    <w:rsid w:val="00091532"/>
    <w:rsid w:val="000966E8"/>
    <w:rsid w:val="000A0F94"/>
    <w:rsid w:val="000A0FBA"/>
    <w:rsid w:val="000A129B"/>
    <w:rsid w:val="000B519A"/>
    <w:rsid w:val="000C187E"/>
    <w:rsid w:val="000C47DA"/>
    <w:rsid w:val="000C6C63"/>
    <w:rsid w:val="000D3050"/>
    <w:rsid w:val="000D5F7E"/>
    <w:rsid w:val="000E1882"/>
    <w:rsid w:val="000E7192"/>
    <w:rsid w:val="000E7610"/>
    <w:rsid w:val="000E7E5C"/>
    <w:rsid w:val="000F1F21"/>
    <w:rsid w:val="000F3B0B"/>
    <w:rsid w:val="000F48D8"/>
    <w:rsid w:val="000F5F90"/>
    <w:rsid w:val="001040CB"/>
    <w:rsid w:val="001079B3"/>
    <w:rsid w:val="00112B48"/>
    <w:rsid w:val="00122318"/>
    <w:rsid w:val="0012284C"/>
    <w:rsid w:val="001318C4"/>
    <w:rsid w:val="00131C58"/>
    <w:rsid w:val="0013345D"/>
    <w:rsid w:val="00136C19"/>
    <w:rsid w:val="00140D73"/>
    <w:rsid w:val="001455EC"/>
    <w:rsid w:val="00146A2A"/>
    <w:rsid w:val="00162662"/>
    <w:rsid w:val="00162C6A"/>
    <w:rsid w:val="00163903"/>
    <w:rsid w:val="00167F9E"/>
    <w:rsid w:val="00172178"/>
    <w:rsid w:val="00180097"/>
    <w:rsid w:val="0018240C"/>
    <w:rsid w:val="00184168"/>
    <w:rsid w:val="00185026"/>
    <w:rsid w:val="00185A78"/>
    <w:rsid w:val="00191E53"/>
    <w:rsid w:val="001944BC"/>
    <w:rsid w:val="0019598F"/>
    <w:rsid w:val="00197879"/>
    <w:rsid w:val="001B1646"/>
    <w:rsid w:val="001B7D1B"/>
    <w:rsid w:val="001C0A1C"/>
    <w:rsid w:val="001C175F"/>
    <w:rsid w:val="001D33CF"/>
    <w:rsid w:val="001E5981"/>
    <w:rsid w:val="00201AD1"/>
    <w:rsid w:val="00212A38"/>
    <w:rsid w:val="00212E1F"/>
    <w:rsid w:val="00220632"/>
    <w:rsid w:val="002272B7"/>
    <w:rsid w:val="00233718"/>
    <w:rsid w:val="00237B01"/>
    <w:rsid w:val="002421DA"/>
    <w:rsid w:val="002466C4"/>
    <w:rsid w:val="002518A8"/>
    <w:rsid w:val="002521EC"/>
    <w:rsid w:val="00254A10"/>
    <w:rsid w:val="00254AB3"/>
    <w:rsid w:val="00260469"/>
    <w:rsid w:val="002608EC"/>
    <w:rsid w:val="00260A59"/>
    <w:rsid w:val="00264313"/>
    <w:rsid w:val="00265751"/>
    <w:rsid w:val="002662A5"/>
    <w:rsid w:val="0027416F"/>
    <w:rsid w:val="00276CAC"/>
    <w:rsid w:val="002777DE"/>
    <w:rsid w:val="00282B7B"/>
    <w:rsid w:val="00286DE6"/>
    <w:rsid w:val="00292DE9"/>
    <w:rsid w:val="002A03CE"/>
    <w:rsid w:val="002A14DB"/>
    <w:rsid w:val="002A4909"/>
    <w:rsid w:val="002A66BD"/>
    <w:rsid w:val="002A72FC"/>
    <w:rsid w:val="002B226C"/>
    <w:rsid w:val="002B3338"/>
    <w:rsid w:val="002B4B94"/>
    <w:rsid w:val="002C054B"/>
    <w:rsid w:val="002C436E"/>
    <w:rsid w:val="002D0DF2"/>
    <w:rsid w:val="002F6C9B"/>
    <w:rsid w:val="00300B72"/>
    <w:rsid w:val="003039C1"/>
    <w:rsid w:val="00303C94"/>
    <w:rsid w:val="00304BD5"/>
    <w:rsid w:val="003050DC"/>
    <w:rsid w:val="00320C8F"/>
    <w:rsid w:val="00322023"/>
    <w:rsid w:val="00324A4D"/>
    <w:rsid w:val="00325477"/>
    <w:rsid w:val="00331AC2"/>
    <w:rsid w:val="00346A06"/>
    <w:rsid w:val="00346D8F"/>
    <w:rsid w:val="003472C2"/>
    <w:rsid w:val="00362776"/>
    <w:rsid w:val="003655F4"/>
    <w:rsid w:val="00371137"/>
    <w:rsid w:val="0037350D"/>
    <w:rsid w:val="003735E8"/>
    <w:rsid w:val="003819A4"/>
    <w:rsid w:val="0038274A"/>
    <w:rsid w:val="00382875"/>
    <w:rsid w:val="00387E1E"/>
    <w:rsid w:val="003A1663"/>
    <w:rsid w:val="003A57C1"/>
    <w:rsid w:val="003A60A8"/>
    <w:rsid w:val="003B020B"/>
    <w:rsid w:val="003B119B"/>
    <w:rsid w:val="003C17B6"/>
    <w:rsid w:val="003C4CC7"/>
    <w:rsid w:val="003D3942"/>
    <w:rsid w:val="003D699E"/>
    <w:rsid w:val="003E0382"/>
    <w:rsid w:val="003E3281"/>
    <w:rsid w:val="003F654A"/>
    <w:rsid w:val="004037DC"/>
    <w:rsid w:val="00405746"/>
    <w:rsid w:val="00407B14"/>
    <w:rsid w:val="0041122A"/>
    <w:rsid w:val="00411511"/>
    <w:rsid w:val="0042011D"/>
    <w:rsid w:val="00421A88"/>
    <w:rsid w:val="0042483F"/>
    <w:rsid w:val="00436F36"/>
    <w:rsid w:val="00437EFF"/>
    <w:rsid w:val="00440228"/>
    <w:rsid w:val="0044715D"/>
    <w:rsid w:val="004519B8"/>
    <w:rsid w:val="004546B5"/>
    <w:rsid w:val="00460AFD"/>
    <w:rsid w:val="00467BC8"/>
    <w:rsid w:val="00470A92"/>
    <w:rsid w:val="0047138D"/>
    <w:rsid w:val="00483B89"/>
    <w:rsid w:val="00483FDC"/>
    <w:rsid w:val="00493AD7"/>
    <w:rsid w:val="004A187C"/>
    <w:rsid w:val="004B39E2"/>
    <w:rsid w:val="004B7E72"/>
    <w:rsid w:val="004C1FA9"/>
    <w:rsid w:val="004C6FCD"/>
    <w:rsid w:val="004D1D41"/>
    <w:rsid w:val="004D4B81"/>
    <w:rsid w:val="004D5812"/>
    <w:rsid w:val="004D6DD9"/>
    <w:rsid w:val="004E44F5"/>
    <w:rsid w:val="004F6F1B"/>
    <w:rsid w:val="00503757"/>
    <w:rsid w:val="00507545"/>
    <w:rsid w:val="0051174E"/>
    <w:rsid w:val="005247C1"/>
    <w:rsid w:val="005305AC"/>
    <w:rsid w:val="00532FAF"/>
    <w:rsid w:val="00540747"/>
    <w:rsid w:val="00543A25"/>
    <w:rsid w:val="005519ED"/>
    <w:rsid w:val="005640CC"/>
    <w:rsid w:val="0057318A"/>
    <w:rsid w:val="00582A10"/>
    <w:rsid w:val="00595678"/>
    <w:rsid w:val="005A3AD5"/>
    <w:rsid w:val="005C334F"/>
    <w:rsid w:val="005C7B58"/>
    <w:rsid w:val="005D1127"/>
    <w:rsid w:val="005D3A04"/>
    <w:rsid w:val="005E5FFE"/>
    <w:rsid w:val="005E7586"/>
    <w:rsid w:val="005F4D2F"/>
    <w:rsid w:val="00600045"/>
    <w:rsid w:val="00603264"/>
    <w:rsid w:val="00612439"/>
    <w:rsid w:val="00615E8E"/>
    <w:rsid w:val="00622570"/>
    <w:rsid w:val="00626478"/>
    <w:rsid w:val="006264A8"/>
    <w:rsid w:val="00627B5C"/>
    <w:rsid w:val="00631EC4"/>
    <w:rsid w:val="00632FFB"/>
    <w:rsid w:val="00642878"/>
    <w:rsid w:val="00644920"/>
    <w:rsid w:val="006465E1"/>
    <w:rsid w:val="00650447"/>
    <w:rsid w:val="00655327"/>
    <w:rsid w:val="00664328"/>
    <w:rsid w:val="00667A93"/>
    <w:rsid w:val="00675C3B"/>
    <w:rsid w:val="0068369E"/>
    <w:rsid w:val="006910EA"/>
    <w:rsid w:val="006A6593"/>
    <w:rsid w:val="006A68C5"/>
    <w:rsid w:val="006B50C2"/>
    <w:rsid w:val="006B6204"/>
    <w:rsid w:val="006B6E33"/>
    <w:rsid w:val="006B761E"/>
    <w:rsid w:val="006C0FA3"/>
    <w:rsid w:val="006C1D44"/>
    <w:rsid w:val="006C284E"/>
    <w:rsid w:val="006C291C"/>
    <w:rsid w:val="006C2E44"/>
    <w:rsid w:val="006C3579"/>
    <w:rsid w:val="006C3AFF"/>
    <w:rsid w:val="006D1643"/>
    <w:rsid w:val="006D2DDA"/>
    <w:rsid w:val="006D57D7"/>
    <w:rsid w:val="006E5CE8"/>
    <w:rsid w:val="006F0AA4"/>
    <w:rsid w:val="006F22A8"/>
    <w:rsid w:val="006F3CF3"/>
    <w:rsid w:val="006F7762"/>
    <w:rsid w:val="00701A39"/>
    <w:rsid w:val="00701B16"/>
    <w:rsid w:val="00701D97"/>
    <w:rsid w:val="00704EE9"/>
    <w:rsid w:val="0071544D"/>
    <w:rsid w:val="00721AD7"/>
    <w:rsid w:val="0072352E"/>
    <w:rsid w:val="0072559F"/>
    <w:rsid w:val="007277E3"/>
    <w:rsid w:val="00734F81"/>
    <w:rsid w:val="00735E8F"/>
    <w:rsid w:val="0073631F"/>
    <w:rsid w:val="0073757B"/>
    <w:rsid w:val="00751006"/>
    <w:rsid w:val="00752491"/>
    <w:rsid w:val="00756B67"/>
    <w:rsid w:val="00757B9E"/>
    <w:rsid w:val="0076298B"/>
    <w:rsid w:val="00766205"/>
    <w:rsid w:val="00770643"/>
    <w:rsid w:val="00773048"/>
    <w:rsid w:val="007764F5"/>
    <w:rsid w:val="007801B1"/>
    <w:rsid w:val="007838EF"/>
    <w:rsid w:val="00792FEC"/>
    <w:rsid w:val="00794F34"/>
    <w:rsid w:val="007A1401"/>
    <w:rsid w:val="007A1CD6"/>
    <w:rsid w:val="007A2772"/>
    <w:rsid w:val="007A36B3"/>
    <w:rsid w:val="007A36F8"/>
    <w:rsid w:val="007A5D29"/>
    <w:rsid w:val="007A77E8"/>
    <w:rsid w:val="007B5303"/>
    <w:rsid w:val="007B58D5"/>
    <w:rsid w:val="007B74A9"/>
    <w:rsid w:val="007E04B3"/>
    <w:rsid w:val="007E2AB2"/>
    <w:rsid w:val="007E7E23"/>
    <w:rsid w:val="007F132F"/>
    <w:rsid w:val="007F4E20"/>
    <w:rsid w:val="00803347"/>
    <w:rsid w:val="00807126"/>
    <w:rsid w:val="0081772D"/>
    <w:rsid w:val="0082407A"/>
    <w:rsid w:val="008250F9"/>
    <w:rsid w:val="008273E9"/>
    <w:rsid w:val="00830FB5"/>
    <w:rsid w:val="00831CA9"/>
    <w:rsid w:val="00842289"/>
    <w:rsid w:val="008425D2"/>
    <w:rsid w:val="00844EE7"/>
    <w:rsid w:val="00851E64"/>
    <w:rsid w:val="00852ADE"/>
    <w:rsid w:val="00853648"/>
    <w:rsid w:val="008569A6"/>
    <w:rsid w:val="00870120"/>
    <w:rsid w:val="00870245"/>
    <w:rsid w:val="008706D6"/>
    <w:rsid w:val="00871506"/>
    <w:rsid w:val="00874BA7"/>
    <w:rsid w:val="00875065"/>
    <w:rsid w:val="008757BF"/>
    <w:rsid w:val="008810C9"/>
    <w:rsid w:val="00884F36"/>
    <w:rsid w:val="008930F7"/>
    <w:rsid w:val="00894F33"/>
    <w:rsid w:val="00896845"/>
    <w:rsid w:val="008A100B"/>
    <w:rsid w:val="008A3266"/>
    <w:rsid w:val="008A4919"/>
    <w:rsid w:val="008B2270"/>
    <w:rsid w:val="008C3E5E"/>
    <w:rsid w:val="008C4880"/>
    <w:rsid w:val="008D4A28"/>
    <w:rsid w:val="008E04ED"/>
    <w:rsid w:val="008F01A3"/>
    <w:rsid w:val="008F42D1"/>
    <w:rsid w:val="00901E29"/>
    <w:rsid w:val="00904BD6"/>
    <w:rsid w:val="00905B8B"/>
    <w:rsid w:val="009151D5"/>
    <w:rsid w:val="00915AAE"/>
    <w:rsid w:val="00915FAC"/>
    <w:rsid w:val="00930212"/>
    <w:rsid w:val="00934E81"/>
    <w:rsid w:val="00935CA2"/>
    <w:rsid w:val="00953ED7"/>
    <w:rsid w:val="009557AD"/>
    <w:rsid w:val="00957D84"/>
    <w:rsid w:val="00965068"/>
    <w:rsid w:val="009760D2"/>
    <w:rsid w:val="00977EE5"/>
    <w:rsid w:val="009805A2"/>
    <w:rsid w:val="00983A0D"/>
    <w:rsid w:val="00985BEC"/>
    <w:rsid w:val="009A013D"/>
    <w:rsid w:val="009A5EF4"/>
    <w:rsid w:val="009A732E"/>
    <w:rsid w:val="009B3020"/>
    <w:rsid w:val="009B359F"/>
    <w:rsid w:val="009C3B68"/>
    <w:rsid w:val="009D0E41"/>
    <w:rsid w:val="009D253C"/>
    <w:rsid w:val="009D7A7D"/>
    <w:rsid w:val="009E4EA7"/>
    <w:rsid w:val="009E5295"/>
    <w:rsid w:val="009E69B1"/>
    <w:rsid w:val="009F48F7"/>
    <w:rsid w:val="00A001EE"/>
    <w:rsid w:val="00A012B9"/>
    <w:rsid w:val="00A05F63"/>
    <w:rsid w:val="00A12F90"/>
    <w:rsid w:val="00A16E01"/>
    <w:rsid w:val="00A22709"/>
    <w:rsid w:val="00A33E71"/>
    <w:rsid w:val="00A33FD4"/>
    <w:rsid w:val="00A42401"/>
    <w:rsid w:val="00A43F11"/>
    <w:rsid w:val="00A4465F"/>
    <w:rsid w:val="00A52DB3"/>
    <w:rsid w:val="00A601AC"/>
    <w:rsid w:val="00A60B18"/>
    <w:rsid w:val="00A61187"/>
    <w:rsid w:val="00A63A67"/>
    <w:rsid w:val="00A656A1"/>
    <w:rsid w:val="00A70EC7"/>
    <w:rsid w:val="00A766A9"/>
    <w:rsid w:val="00A77B14"/>
    <w:rsid w:val="00A77EA0"/>
    <w:rsid w:val="00A84A56"/>
    <w:rsid w:val="00A92CBF"/>
    <w:rsid w:val="00A97488"/>
    <w:rsid w:val="00AA3245"/>
    <w:rsid w:val="00AA48E1"/>
    <w:rsid w:val="00AA5F7A"/>
    <w:rsid w:val="00AA62E8"/>
    <w:rsid w:val="00AB1F47"/>
    <w:rsid w:val="00AB7084"/>
    <w:rsid w:val="00AD065A"/>
    <w:rsid w:val="00AD21C1"/>
    <w:rsid w:val="00B00399"/>
    <w:rsid w:val="00B13BEA"/>
    <w:rsid w:val="00B20BC1"/>
    <w:rsid w:val="00B26F68"/>
    <w:rsid w:val="00B27226"/>
    <w:rsid w:val="00B33103"/>
    <w:rsid w:val="00B34BD3"/>
    <w:rsid w:val="00B35D9E"/>
    <w:rsid w:val="00B37095"/>
    <w:rsid w:val="00B42A70"/>
    <w:rsid w:val="00B458C1"/>
    <w:rsid w:val="00B45971"/>
    <w:rsid w:val="00B4638B"/>
    <w:rsid w:val="00B46A0A"/>
    <w:rsid w:val="00B53B51"/>
    <w:rsid w:val="00B57B6D"/>
    <w:rsid w:val="00B57BB7"/>
    <w:rsid w:val="00B633CE"/>
    <w:rsid w:val="00B74B4D"/>
    <w:rsid w:val="00B810A4"/>
    <w:rsid w:val="00B829EC"/>
    <w:rsid w:val="00B83C0D"/>
    <w:rsid w:val="00B851BF"/>
    <w:rsid w:val="00B858F3"/>
    <w:rsid w:val="00B85D39"/>
    <w:rsid w:val="00B87E55"/>
    <w:rsid w:val="00B91E3A"/>
    <w:rsid w:val="00B92FF2"/>
    <w:rsid w:val="00B935D8"/>
    <w:rsid w:val="00B946CE"/>
    <w:rsid w:val="00B95164"/>
    <w:rsid w:val="00BA1220"/>
    <w:rsid w:val="00BA4421"/>
    <w:rsid w:val="00BA63AA"/>
    <w:rsid w:val="00BB3BFA"/>
    <w:rsid w:val="00BB5F90"/>
    <w:rsid w:val="00BC148E"/>
    <w:rsid w:val="00BC27E2"/>
    <w:rsid w:val="00BC5796"/>
    <w:rsid w:val="00BC6B7A"/>
    <w:rsid w:val="00BD2140"/>
    <w:rsid w:val="00BD611B"/>
    <w:rsid w:val="00BE16E5"/>
    <w:rsid w:val="00BE2D91"/>
    <w:rsid w:val="00BE634E"/>
    <w:rsid w:val="00BF0049"/>
    <w:rsid w:val="00BF7C9C"/>
    <w:rsid w:val="00C011CA"/>
    <w:rsid w:val="00C05CF4"/>
    <w:rsid w:val="00C05E1F"/>
    <w:rsid w:val="00C11084"/>
    <w:rsid w:val="00C112AD"/>
    <w:rsid w:val="00C14EE9"/>
    <w:rsid w:val="00C2130D"/>
    <w:rsid w:val="00C235A1"/>
    <w:rsid w:val="00C23617"/>
    <w:rsid w:val="00C25D0F"/>
    <w:rsid w:val="00C263EB"/>
    <w:rsid w:val="00C27C95"/>
    <w:rsid w:val="00C40A3A"/>
    <w:rsid w:val="00C42B3A"/>
    <w:rsid w:val="00C4540F"/>
    <w:rsid w:val="00C504CD"/>
    <w:rsid w:val="00C549A6"/>
    <w:rsid w:val="00C56BE5"/>
    <w:rsid w:val="00C574B0"/>
    <w:rsid w:val="00C61965"/>
    <w:rsid w:val="00C63A94"/>
    <w:rsid w:val="00C658DB"/>
    <w:rsid w:val="00C727FF"/>
    <w:rsid w:val="00C73077"/>
    <w:rsid w:val="00C8003E"/>
    <w:rsid w:val="00C852E8"/>
    <w:rsid w:val="00C90DD0"/>
    <w:rsid w:val="00C9121D"/>
    <w:rsid w:val="00C9596C"/>
    <w:rsid w:val="00C9630A"/>
    <w:rsid w:val="00CA1738"/>
    <w:rsid w:val="00CA331E"/>
    <w:rsid w:val="00CA7738"/>
    <w:rsid w:val="00CB2099"/>
    <w:rsid w:val="00CB607B"/>
    <w:rsid w:val="00CC60B0"/>
    <w:rsid w:val="00CE12D7"/>
    <w:rsid w:val="00CE4E4C"/>
    <w:rsid w:val="00CF3DCD"/>
    <w:rsid w:val="00CF6013"/>
    <w:rsid w:val="00D02B20"/>
    <w:rsid w:val="00D040CE"/>
    <w:rsid w:val="00D04A80"/>
    <w:rsid w:val="00D20028"/>
    <w:rsid w:val="00D263B3"/>
    <w:rsid w:val="00D26848"/>
    <w:rsid w:val="00D3045A"/>
    <w:rsid w:val="00D33B57"/>
    <w:rsid w:val="00D44147"/>
    <w:rsid w:val="00D4429B"/>
    <w:rsid w:val="00D46C89"/>
    <w:rsid w:val="00D5412C"/>
    <w:rsid w:val="00D62490"/>
    <w:rsid w:val="00D62D00"/>
    <w:rsid w:val="00D63241"/>
    <w:rsid w:val="00D6362A"/>
    <w:rsid w:val="00D638E2"/>
    <w:rsid w:val="00D64A29"/>
    <w:rsid w:val="00D652D6"/>
    <w:rsid w:val="00D67F37"/>
    <w:rsid w:val="00D7024E"/>
    <w:rsid w:val="00D7358D"/>
    <w:rsid w:val="00D77980"/>
    <w:rsid w:val="00D8120E"/>
    <w:rsid w:val="00D902EB"/>
    <w:rsid w:val="00D9129D"/>
    <w:rsid w:val="00D92748"/>
    <w:rsid w:val="00D94041"/>
    <w:rsid w:val="00D96A1D"/>
    <w:rsid w:val="00D96BDA"/>
    <w:rsid w:val="00DA1D78"/>
    <w:rsid w:val="00DB12F9"/>
    <w:rsid w:val="00DB38CB"/>
    <w:rsid w:val="00DB3CD9"/>
    <w:rsid w:val="00DB5AA3"/>
    <w:rsid w:val="00DB5FF8"/>
    <w:rsid w:val="00DB730B"/>
    <w:rsid w:val="00DC2447"/>
    <w:rsid w:val="00DC3CE3"/>
    <w:rsid w:val="00DD4035"/>
    <w:rsid w:val="00DE3D6C"/>
    <w:rsid w:val="00DE7839"/>
    <w:rsid w:val="00E049E7"/>
    <w:rsid w:val="00E14016"/>
    <w:rsid w:val="00E15CCA"/>
    <w:rsid w:val="00E15E33"/>
    <w:rsid w:val="00E15EA0"/>
    <w:rsid w:val="00E174B2"/>
    <w:rsid w:val="00E2060C"/>
    <w:rsid w:val="00E20D87"/>
    <w:rsid w:val="00E30C42"/>
    <w:rsid w:val="00E364F7"/>
    <w:rsid w:val="00E46899"/>
    <w:rsid w:val="00E46B27"/>
    <w:rsid w:val="00E46C0B"/>
    <w:rsid w:val="00E53318"/>
    <w:rsid w:val="00E54F3D"/>
    <w:rsid w:val="00E610A6"/>
    <w:rsid w:val="00E7330B"/>
    <w:rsid w:val="00E7374A"/>
    <w:rsid w:val="00E747E1"/>
    <w:rsid w:val="00E74955"/>
    <w:rsid w:val="00E76CC3"/>
    <w:rsid w:val="00E77F5A"/>
    <w:rsid w:val="00E8073F"/>
    <w:rsid w:val="00E82883"/>
    <w:rsid w:val="00E83873"/>
    <w:rsid w:val="00E83EA4"/>
    <w:rsid w:val="00E85FF2"/>
    <w:rsid w:val="00E861C6"/>
    <w:rsid w:val="00E911AB"/>
    <w:rsid w:val="00E94304"/>
    <w:rsid w:val="00E968F6"/>
    <w:rsid w:val="00EA5034"/>
    <w:rsid w:val="00EA50DD"/>
    <w:rsid w:val="00ED72D8"/>
    <w:rsid w:val="00EE1BEC"/>
    <w:rsid w:val="00EE7A1F"/>
    <w:rsid w:val="00EF0F36"/>
    <w:rsid w:val="00EF6454"/>
    <w:rsid w:val="00EF6479"/>
    <w:rsid w:val="00F00A7D"/>
    <w:rsid w:val="00F0186F"/>
    <w:rsid w:val="00F0446B"/>
    <w:rsid w:val="00F079EE"/>
    <w:rsid w:val="00F129F8"/>
    <w:rsid w:val="00F12E59"/>
    <w:rsid w:val="00F14869"/>
    <w:rsid w:val="00F21B1D"/>
    <w:rsid w:val="00F23F79"/>
    <w:rsid w:val="00F24B5E"/>
    <w:rsid w:val="00F33908"/>
    <w:rsid w:val="00F33E1C"/>
    <w:rsid w:val="00F37381"/>
    <w:rsid w:val="00F40C82"/>
    <w:rsid w:val="00F40D23"/>
    <w:rsid w:val="00F44A09"/>
    <w:rsid w:val="00F4622B"/>
    <w:rsid w:val="00F46C74"/>
    <w:rsid w:val="00F475B1"/>
    <w:rsid w:val="00F5634D"/>
    <w:rsid w:val="00F61AEB"/>
    <w:rsid w:val="00F64E40"/>
    <w:rsid w:val="00F66C65"/>
    <w:rsid w:val="00F70BA1"/>
    <w:rsid w:val="00F74AA0"/>
    <w:rsid w:val="00F8484C"/>
    <w:rsid w:val="00F869A7"/>
    <w:rsid w:val="00F86F47"/>
    <w:rsid w:val="00F9010F"/>
    <w:rsid w:val="00F903DE"/>
    <w:rsid w:val="00F95DA2"/>
    <w:rsid w:val="00F95EF1"/>
    <w:rsid w:val="00FA2195"/>
    <w:rsid w:val="00FA522E"/>
    <w:rsid w:val="00FA55E8"/>
    <w:rsid w:val="00FB3CDA"/>
    <w:rsid w:val="00FB3FE3"/>
    <w:rsid w:val="00FC1B4A"/>
    <w:rsid w:val="00FC3F20"/>
    <w:rsid w:val="00FC752E"/>
    <w:rsid w:val="00FD0D06"/>
    <w:rsid w:val="00FD5699"/>
    <w:rsid w:val="00FE2169"/>
    <w:rsid w:val="00FE417B"/>
    <w:rsid w:val="00FF2F40"/>
    <w:rsid w:val="00FF4ED8"/>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19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9E69B1"/>
    <w:pPr>
      <w:spacing w:after="0"/>
      <w:jc w:val="center"/>
    </w:pPr>
    <w:rPr>
      <w:noProof/>
      <w:lang w:val="en-US"/>
    </w:rPr>
  </w:style>
  <w:style w:type="character" w:customStyle="1" w:styleId="ListParagraphChar">
    <w:name w:val="List Paragraph Char"/>
    <w:basedOn w:val="DefaultParagraphFont"/>
    <w:link w:val="ListParagraph"/>
    <w:uiPriority w:val="34"/>
    <w:rsid w:val="009E69B1"/>
    <w:rPr>
      <w:rFonts w:ascii="Calibri" w:eastAsia="Calibri" w:hAnsi="Calibri" w:cs="Times New Roman"/>
      <w:sz w:val="22"/>
    </w:rPr>
  </w:style>
  <w:style w:type="character" w:customStyle="1" w:styleId="EndNoteBibliographyTitleChar">
    <w:name w:val="EndNote Bibliography Title Char"/>
    <w:basedOn w:val="ListParagraphChar"/>
    <w:link w:val="EndNoteBibliographyTitle"/>
    <w:rsid w:val="009E69B1"/>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9E69B1"/>
    <w:pPr>
      <w:spacing w:line="240" w:lineRule="auto"/>
    </w:pPr>
    <w:rPr>
      <w:noProof/>
      <w:lang w:val="en-US"/>
    </w:rPr>
  </w:style>
  <w:style w:type="character" w:customStyle="1" w:styleId="EndNoteBibliographyChar">
    <w:name w:val="EndNote Bibliography Char"/>
    <w:basedOn w:val="ListParagraphChar"/>
    <w:link w:val="EndNoteBibliography"/>
    <w:rsid w:val="009E69B1"/>
    <w:rPr>
      <w:rFonts w:ascii="Calibri" w:eastAsia="Calibri" w:hAnsi="Calibri" w:cs="Times New Roman"/>
      <w:noProof/>
      <w:sz w:val="22"/>
      <w:lang w:val="en-US"/>
    </w:rPr>
  </w:style>
  <w:style w:type="paragraph" w:styleId="Revision">
    <w:name w:val="Revision"/>
    <w:hidden/>
    <w:uiPriority w:val="99"/>
    <w:semiHidden/>
    <w:rsid w:val="005E7586"/>
    <w:pPr>
      <w:spacing w:after="0" w:line="240" w:lineRule="auto"/>
    </w:pPr>
    <w:rPr>
      <w:rFonts w:ascii="Calibri" w:eastAsia="Calibri" w:hAnsi="Calibri" w:cs="Times New Roman"/>
      <w:sz w:val="22"/>
    </w:rPr>
  </w:style>
  <w:style w:type="paragraph" w:styleId="NormalWeb">
    <w:name w:val="Normal (Web)"/>
    <w:basedOn w:val="Normal"/>
    <w:uiPriority w:val="99"/>
    <w:semiHidden/>
    <w:unhideWhenUsed/>
    <w:rsid w:val="00842289"/>
    <w:pPr>
      <w:spacing w:before="100" w:beforeAutospacing="1" w:after="100" w:afterAutospacing="1" w:line="240" w:lineRule="auto"/>
    </w:pPr>
    <w:rPr>
      <w:rFonts w:ascii="Times New Roman" w:eastAsiaTheme="minorEastAsia"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9E69B1"/>
    <w:pPr>
      <w:spacing w:after="0"/>
      <w:jc w:val="center"/>
    </w:pPr>
    <w:rPr>
      <w:noProof/>
      <w:lang w:val="en-US"/>
    </w:rPr>
  </w:style>
  <w:style w:type="character" w:customStyle="1" w:styleId="ListParagraphChar">
    <w:name w:val="List Paragraph Char"/>
    <w:basedOn w:val="DefaultParagraphFont"/>
    <w:link w:val="ListParagraph"/>
    <w:uiPriority w:val="34"/>
    <w:rsid w:val="009E69B1"/>
    <w:rPr>
      <w:rFonts w:ascii="Calibri" w:eastAsia="Calibri" w:hAnsi="Calibri" w:cs="Times New Roman"/>
      <w:sz w:val="22"/>
    </w:rPr>
  </w:style>
  <w:style w:type="character" w:customStyle="1" w:styleId="EndNoteBibliographyTitleChar">
    <w:name w:val="EndNote Bibliography Title Char"/>
    <w:basedOn w:val="ListParagraphChar"/>
    <w:link w:val="EndNoteBibliographyTitle"/>
    <w:rsid w:val="009E69B1"/>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9E69B1"/>
    <w:pPr>
      <w:spacing w:line="240" w:lineRule="auto"/>
    </w:pPr>
    <w:rPr>
      <w:noProof/>
      <w:lang w:val="en-US"/>
    </w:rPr>
  </w:style>
  <w:style w:type="character" w:customStyle="1" w:styleId="EndNoteBibliographyChar">
    <w:name w:val="EndNote Bibliography Char"/>
    <w:basedOn w:val="ListParagraphChar"/>
    <w:link w:val="EndNoteBibliography"/>
    <w:rsid w:val="009E69B1"/>
    <w:rPr>
      <w:rFonts w:ascii="Calibri" w:eastAsia="Calibri" w:hAnsi="Calibri" w:cs="Times New Roman"/>
      <w:noProof/>
      <w:sz w:val="22"/>
      <w:lang w:val="en-US"/>
    </w:rPr>
  </w:style>
  <w:style w:type="paragraph" w:styleId="Revision">
    <w:name w:val="Revision"/>
    <w:hidden/>
    <w:uiPriority w:val="99"/>
    <w:semiHidden/>
    <w:rsid w:val="005E7586"/>
    <w:pPr>
      <w:spacing w:after="0" w:line="240" w:lineRule="auto"/>
    </w:pPr>
    <w:rPr>
      <w:rFonts w:ascii="Calibri" w:eastAsia="Calibri" w:hAnsi="Calibri" w:cs="Times New Roman"/>
      <w:sz w:val="22"/>
    </w:rPr>
  </w:style>
  <w:style w:type="paragraph" w:styleId="NormalWeb">
    <w:name w:val="Normal (Web)"/>
    <w:basedOn w:val="Normal"/>
    <w:uiPriority w:val="99"/>
    <w:semiHidden/>
    <w:unhideWhenUsed/>
    <w:rsid w:val="00842289"/>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68623535">
      <w:bodyDiv w:val="1"/>
      <w:marLeft w:val="0"/>
      <w:marRight w:val="0"/>
      <w:marTop w:val="0"/>
      <w:marBottom w:val="0"/>
      <w:divBdr>
        <w:top w:val="none" w:sz="0" w:space="0" w:color="auto"/>
        <w:left w:val="none" w:sz="0" w:space="0" w:color="auto"/>
        <w:bottom w:val="none" w:sz="0" w:space="0" w:color="auto"/>
        <w:right w:val="none" w:sz="0" w:space="0" w:color="auto"/>
      </w:divBdr>
    </w:div>
    <w:div w:id="1201357625">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3333-5E19-4207-A420-8A054F2E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13715</Words>
  <Characters>78176</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Faraz Ghazi</cp:lastModifiedBy>
  <cp:revision>2</cp:revision>
  <cp:lastPrinted>2016-04-27T00:41:00Z</cp:lastPrinted>
  <dcterms:created xsi:type="dcterms:W3CDTF">2018-05-04T03:14:00Z</dcterms:created>
  <dcterms:modified xsi:type="dcterms:W3CDTF">2018-05-04T03:14:00Z</dcterms:modified>
</cp:coreProperties>
</file>