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55F1D"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08F35868" wp14:editId="7A9346E0">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95E868B"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7A5C665F" w14:textId="417536F9" w:rsidR="00BC1364" w:rsidRPr="00F715D1" w:rsidRDefault="00BC1364" w:rsidP="00F715D1">
      <w:pPr>
        <w:pStyle w:val="Subtitle"/>
      </w:pPr>
      <w:r w:rsidRPr="00F715D1">
        <w:t xml:space="preserve">Application No. </w:t>
      </w:r>
      <w:r w:rsidR="00B35595" w:rsidRPr="00F715D1">
        <w:t>1</w:t>
      </w:r>
      <w:r w:rsidR="006829E9">
        <w:t>510</w:t>
      </w:r>
      <w:r w:rsidRPr="00F715D1">
        <w:t xml:space="preserve"> – </w:t>
      </w:r>
      <w:r w:rsidR="006829E9" w:rsidRPr="006829E9">
        <w:t>Emicizumab for routine prophylaxis to prevent bleeding or reduce frequency of bleeding episod</w:t>
      </w:r>
      <w:r w:rsidR="00196E87">
        <w:t>es in patients with haemophilia </w:t>
      </w:r>
      <w:proofErr w:type="gramStart"/>
      <w:r w:rsidR="005E1F81">
        <w:t>A</w:t>
      </w:r>
      <w:proofErr w:type="gramEnd"/>
      <w:r w:rsidR="005E1F81">
        <w:t xml:space="preserve"> (congenital factor </w:t>
      </w:r>
      <w:r w:rsidR="006829E9" w:rsidRPr="006829E9">
        <w:t>VIII deficiency) with factor</w:t>
      </w:r>
      <w:r w:rsidR="005E1F81">
        <w:t> </w:t>
      </w:r>
      <w:r w:rsidR="006829E9" w:rsidRPr="006829E9">
        <w:t>VIII inhibitors</w:t>
      </w:r>
    </w:p>
    <w:p w14:paraId="45D04F96" w14:textId="09473515"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6829E9" w:rsidRPr="006829E9">
        <w:rPr>
          <w:rFonts w:ascii="Arial" w:hAnsi="Arial" w:cs="Arial"/>
          <w:b/>
          <w:szCs w:val="24"/>
        </w:rPr>
        <w:t>Roche Products Pty Ltd</w:t>
      </w:r>
    </w:p>
    <w:p w14:paraId="6389F7BF" w14:textId="794E10E5"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6829E9">
        <w:rPr>
          <w:rFonts w:ascii="Arial" w:hAnsi="Arial" w:cs="Arial"/>
          <w:b/>
          <w:szCs w:val="24"/>
        </w:rPr>
        <w:t>74th</w:t>
      </w:r>
      <w:r w:rsidR="00EB6B6F" w:rsidRPr="00F715D1">
        <w:rPr>
          <w:rFonts w:ascii="Arial" w:hAnsi="Arial" w:cs="Arial"/>
          <w:b/>
          <w:szCs w:val="24"/>
        </w:rPr>
        <w:t xml:space="preserve"> </w:t>
      </w:r>
      <w:r w:rsidRPr="00F715D1">
        <w:rPr>
          <w:rFonts w:ascii="Arial" w:hAnsi="Arial" w:cs="Arial"/>
          <w:b/>
          <w:szCs w:val="24"/>
        </w:rPr>
        <w:t xml:space="preserve">Meeting, </w:t>
      </w:r>
      <w:r w:rsidR="00105D40">
        <w:rPr>
          <w:rFonts w:ascii="Arial" w:hAnsi="Arial" w:cs="Arial"/>
          <w:b/>
          <w:szCs w:val="24"/>
        </w:rPr>
        <w:t>22-23</w:t>
      </w:r>
      <w:bookmarkStart w:id="0" w:name="_GoBack"/>
      <w:bookmarkEnd w:id="0"/>
      <w:r w:rsidR="006829E9">
        <w:rPr>
          <w:rFonts w:ascii="Arial" w:hAnsi="Arial" w:cs="Arial"/>
          <w:b/>
          <w:szCs w:val="24"/>
        </w:rPr>
        <w:t xml:space="preserve"> November 2018</w:t>
      </w:r>
    </w:p>
    <w:p w14:paraId="3EF23473" w14:textId="77777777" w:rsidR="0041184F" w:rsidRPr="00B03EAB" w:rsidRDefault="006A0D97" w:rsidP="00B03EAB">
      <w:pPr>
        <w:spacing w:after="360"/>
        <w:rPr>
          <w:color w:val="0000FF"/>
          <w:szCs w:val="24"/>
          <w:u w:val="single"/>
        </w:rPr>
      </w:pPr>
      <w:r w:rsidRPr="00F715D1">
        <w:rPr>
          <w:szCs w:val="24"/>
        </w:rPr>
        <w:t xml:space="preserve">Context for decision: </w:t>
      </w:r>
      <w:proofErr w:type="gramStart"/>
      <w:r w:rsidRPr="00F715D1">
        <w:rPr>
          <w:szCs w:val="24"/>
        </w:rPr>
        <w:t>MSAC makes its advice in accordance wit</w:t>
      </w:r>
      <w:r w:rsidR="00F715D1">
        <w:rPr>
          <w:szCs w:val="24"/>
        </w:rPr>
        <w:t>h its Terms of Reference</w:t>
      </w:r>
      <w:proofErr w:type="gramEnd"/>
      <w:r w:rsidR="00F715D1">
        <w:rPr>
          <w:szCs w:val="24"/>
        </w:rPr>
        <w:t>,</w:t>
      </w:r>
      <w:r w:rsidRPr="00F715D1">
        <w:rPr>
          <w:szCs w:val="24"/>
        </w:rPr>
        <w:t xml:space="preserve"> </w:t>
      </w:r>
      <w:hyperlink r:id="rId9" w:tooltip="Link to Medical Services Advisory Committee website" w:history="1">
        <w:proofErr w:type="gramStart"/>
        <w:r w:rsidR="00F715D1" w:rsidRPr="00F715D1">
          <w:rPr>
            <w:rStyle w:val="Hyperlink"/>
            <w:szCs w:val="24"/>
          </w:rPr>
          <w:t>visit the MSAC website</w:t>
        </w:r>
        <w:proofErr w:type="gramEnd"/>
      </w:hyperlink>
    </w:p>
    <w:p w14:paraId="6CD3065A" w14:textId="0BCC1457" w:rsidR="003D7F29" w:rsidRPr="00F715D1" w:rsidRDefault="003D7F29" w:rsidP="00C3575C">
      <w:pPr>
        <w:pStyle w:val="Heading1"/>
      </w:pPr>
      <w:r w:rsidRPr="00F715D1">
        <w:t>Purpose of application</w:t>
      </w:r>
    </w:p>
    <w:p w14:paraId="76A79E15" w14:textId="4E15F9D8" w:rsidR="006829E9" w:rsidRPr="005B6221" w:rsidRDefault="006829E9" w:rsidP="006829E9">
      <w:pPr>
        <w:rPr>
          <w:iCs/>
        </w:rPr>
      </w:pPr>
      <w:r w:rsidRPr="009768F4">
        <w:rPr>
          <w:iCs/>
        </w:rPr>
        <w:t xml:space="preserve">An </w:t>
      </w:r>
      <w:r w:rsidRPr="009D6BDE">
        <w:rPr>
          <w:szCs w:val="24"/>
        </w:rPr>
        <w:t>application</w:t>
      </w:r>
      <w:r w:rsidRPr="009768F4">
        <w:rPr>
          <w:iCs/>
        </w:rPr>
        <w:t xml:space="preserve"> </w:t>
      </w:r>
      <w:r w:rsidR="005B6221" w:rsidRPr="004866BD">
        <w:t xml:space="preserve">seeking public funding </w:t>
      </w:r>
      <w:r w:rsidR="005B6221">
        <w:t>through</w:t>
      </w:r>
      <w:r w:rsidR="005B6221" w:rsidRPr="004866BD">
        <w:t xml:space="preserve"> listing on the National Blood Au</w:t>
      </w:r>
      <w:r w:rsidR="005B6221">
        <w:t>thority</w:t>
      </w:r>
      <w:r w:rsidR="005E1F81">
        <w:t>’s</w:t>
      </w:r>
      <w:r w:rsidR="005B6221">
        <w:t xml:space="preserve"> (NBA</w:t>
      </w:r>
      <w:r w:rsidR="005E1F81">
        <w:t>’s</w:t>
      </w:r>
      <w:r w:rsidR="005B6221">
        <w:t xml:space="preserve">) </w:t>
      </w:r>
      <w:r w:rsidR="005B6221" w:rsidRPr="00983A8C">
        <w:t>National Product List</w:t>
      </w:r>
      <w:r w:rsidR="005B6221" w:rsidRPr="00D232B6">
        <w:rPr>
          <w:iCs/>
        </w:rPr>
        <w:t xml:space="preserve"> </w:t>
      </w:r>
      <w:r w:rsidR="005B6221">
        <w:rPr>
          <w:iCs/>
        </w:rPr>
        <w:t xml:space="preserve">(NPL) </w:t>
      </w:r>
      <w:r w:rsidRPr="009768F4">
        <w:rPr>
          <w:iCs/>
        </w:rPr>
        <w:t xml:space="preserve">for </w:t>
      </w:r>
      <w:r w:rsidRPr="00D232B6">
        <w:rPr>
          <w:iCs/>
        </w:rPr>
        <w:t>routine prophylaxis to prevent bleeding or reduce the frequency of bleeding episod</w:t>
      </w:r>
      <w:r w:rsidR="00196E87">
        <w:rPr>
          <w:iCs/>
        </w:rPr>
        <w:t>es in patients with haemophilia </w:t>
      </w:r>
      <w:r w:rsidRPr="00D232B6">
        <w:rPr>
          <w:iCs/>
        </w:rPr>
        <w:t>A (congenital factor</w:t>
      </w:r>
      <w:r w:rsidR="005E1F81">
        <w:rPr>
          <w:iCs/>
        </w:rPr>
        <w:t> </w:t>
      </w:r>
      <w:r w:rsidRPr="00D232B6">
        <w:rPr>
          <w:iCs/>
        </w:rPr>
        <w:t>VIII deficiency) with factor</w:t>
      </w:r>
      <w:r w:rsidR="005E1F81">
        <w:rPr>
          <w:iCs/>
        </w:rPr>
        <w:t> </w:t>
      </w:r>
      <w:r w:rsidRPr="00D232B6">
        <w:rPr>
          <w:iCs/>
        </w:rPr>
        <w:t xml:space="preserve">VIII inhibitors </w:t>
      </w:r>
      <w:r w:rsidRPr="009768F4">
        <w:rPr>
          <w:iCs/>
        </w:rPr>
        <w:t xml:space="preserve">was received from </w:t>
      </w:r>
      <w:r w:rsidRPr="00D232B6">
        <w:rPr>
          <w:iCs/>
        </w:rPr>
        <w:t xml:space="preserve">Roche Products Pty Ltd </w:t>
      </w:r>
      <w:r w:rsidRPr="009768F4">
        <w:rPr>
          <w:iCs/>
        </w:rPr>
        <w:t>by the Department of Health.</w:t>
      </w:r>
    </w:p>
    <w:p w14:paraId="17688158" w14:textId="77777777" w:rsidR="00E977EE" w:rsidRPr="00F715D1" w:rsidRDefault="00E977EE" w:rsidP="00C3575C">
      <w:pPr>
        <w:pStyle w:val="Heading1"/>
      </w:pPr>
      <w:r w:rsidRPr="00F715D1">
        <w:t>MSAC’s advice to the Minister</w:t>
      </w:r>
    </w:p>
    <w:p w14:paraId="1F36CE3C" w14:textId="3E7D24C2" w:rsidR="00CF7307" w:rsidRPr="0079037D" w:rsidRDefault="0079037D" w:rsidP="00F715D1">
      <w:pPr>
        <w:pStyle w:val="Default"/>
        <w:spacing w:after="240"/>
        <w:rPr>
          <w:b/>
          <w:color w:val="auto"/>
        </w:rPr>
      </w:pPr>
      <w:r w:rsidRPr="0079037D">
        <w:rPr>
          <w:color w:val="auto"/>
        </w:rPr>
        <w:t>After considering the strength of the available evidence in relation to comparative safety, clinical effectiveness and cost-effectiveness, MSAC did not support emicizumab for routine prophylaxis to prevent bleeding or reduce frequency of bleeding episodes in patients with haemophilia</w:t>
      </w:r>
      <w:r w:rsidR="00007F88">
        <w:rPr>
          <w:color w:val="auto"/>
        </w:rPr>
        <w:t> </w:t>
      </w:r>
      <w:r w:rsidRPr="0079037D">
        <w:rPr>
          <w:color w:val="auto"/>
        </w:rPr>
        <w:t>A with factor</w:t>
      </w:r>
      <w:r w:rsidR="00A82861">
        <w:rPr>
          <w:color w:val="auto"/>
        </w:rPr>
        <w:t> </w:t>
      </w:r>
      <w:r w:rsidRPr="0079037D">
        <w:rPr>
          <w:color w:val="auto"/>
        </w:rPr>
        <w:t xml:space="preserve">VIII inhibitors. MSAC accepted that there was strong evidence that emicizumab substantially reduced the frequency of bleeding episodes; however, MSAC </w:t>
      </w:r>
      <w:proofErr w:type="gramStart"/>
      <w:r w:rsidRPr="0079037D">
        <w:rPr>
          <w:color w:val="auto"/>
        </w:rPr>
        <w:t>was</w:t>
      </w:r>
      <w:proofErr w:type="gramEnd"/>
      <w:r w:rsidRPr="0079037D">
        <w:rPr>
          <w:color w:val="auto"/>
        </w:rPr>
        <w:t xml:space="preserve"> concerned that the economic justification for funding came from reductions in current practice, which has not itself been shown to be acceptably cost-effective. Rather than consolidate potentially cost-ineffective practice, MSAC requested that the cost-effectiveness of current practice be determined as a means </w:t>
      </w:r>
      <w:proofErr w:type="gramStart"/>
      <w:r w:rsidRPr="0079037D">
        <w:rPr>
          <w:color w:val="auto"/>
        </w:rPr>
        <w:t>to then determine</w:t>
      </w:r>
      <w:proofErr w:type="gramEnd"/>
      <w:r w:rsidRPr="0079037D">
        <w:rPr>
          <w:color w:val="auto"/>
        </w:rPr>
        <w:t xml:space="preserve"> the cost-effectiveness of emicizumab in the proposed population. MSAC was also concerned that there were practical difficulties in ensuring that, over time, emicizumab would remain limited to the proposed target population.</w:t>
      </w:r>
    </w:p>
    <w:p w14:paraId="14928F4B" w14:textId="1E52217F" w:rsidR="00550354" w:rsidRPr="00F715D1" w:rsidRDefault="00550354" w:rsidP="00F715D1">
      <w:pPr>
        <w:pStyle w:val="Heading1"/>
      </w:pPr>
      <w:r w:rsidRPr="00F715D1">
        <w:t xml:space="preserve">Summary of consideration </w:t>
      </w:r>
      <w:r w:rsidR="00BB1908">
        <w:t>and rationale for MSAC’s advice</w:t>
      </w:r>
    </w:p>
    <w:p w14:paraId="558FEC43" w14:textId="192717F9" w:rsidR="0079037D" w:rsidRPr="00983A8C" w:rsidRDefault="0079037D" w:rsidP="0079037D">
      <w:pPr>
        <w:spacing w:after="240"/>
      </w:pPr>
      <w:r w:rsidRPr="00983A8C">
        <w:t xml:space="preserve">MSAC noted that emicizumab is a prescription medicine and a blood-related product that has orphan drug status assigned by the Therapeutic Goods Administration (TGA). The application is therefore seeking public funding through listing on the </w:t>
      </w:r>
      <w:r w:rsidR="005B6221">
        <w:t>NBA NPL</w:t>
      </w:r>
      <w:r w:rsidRPr="00983A8C">
        <w:t xml:space="preserve"> using the MSAC process, and no MBS item is required.</w:t>
      </w:r>
    </w:p>
    <w:p w14:paraId="0D67B324" w14:textId="3B948C11" w:rsidR="0079037D" w:rsidRDefault="0079037D" w:rsidP="0079037D">
      <w:pPr>
        <w:spacing w:after="240"/>
      </w:pPr>
      <w:r w:rsidRPr="00983A8C">
        <w:lastRenderedPageBreak/>
        <w:t xml:space="preserve">MSAC noted that emicizumab is a recombinant, humanised, bispecific monoclonal antibody that mimics the function of factor VIII. </w:t>
      </w:r>
      <w:proofErr w:type="gramStart"/>
      <w:r w:rsidRPr="00983A8C">
        <w:t>It is administered at home by the patient or carer as a once-weekly subcutaneous injection</w:t>
      </w:r>
      <w:proofErr w:type="gramEnd"/>
      <w:r w:rsidRPr="00983A8C">
        <w:t xml:space="preserve">, once the person has been sufficiently trained and assessed as capable to self-administer. Emicizumab </w:t>
      </w:r>
      <w:proofErr w:type="gramStart"/>
      <w:r w:rsidRPr="00983A8C">
        <w:t>is used</w:t>
      </w:r>
      <w:proofErr w:type="gramEnd"/>
      <w:r w:rsidRPr="00983A8C">
        <w:t xml:space="preserve"> for routine prophylaxis and is not intended or indicated for on-demand treatment.</w:t>
      </w:r>
      <w:r>
        <w:t xml:space="preserve"> Breakthrough bleeds </w:t>
      </w:r>
      <w:r w:rsidR="00894D57">
        <w:t xml:space="preserve">in the requested population </w:t>
      </w:r>
      <w:r>
        <w:t>would still require management using bypass agents (BPAs). Application 1510 is for patients with inhibitors to factor</w:t>
      </w:r>
      <w:r w:rsidR="00A82861">
        <w:t> </w:t>
      </w:r>
      <w:r>
        <w:t xml:space="preserve">VIII – the Australian Bleeding Disorders Registry indicates that the </w:t>
      </w:r>
      <w:r w:rsidR="00BB1908">
        <w:t xml:space="preserve">intended </w:t>
      </w:r>
      <w:r>
        <w:t xml:space="preserve">eligible population would be 61 individuals. MSAC noted that a further application for patients </w:t>
      </w:r>
      <w:r w:rsidR="00041D3D">
        <w:t xml:space="preserve">who do not have factor VIII </w:t>
      </w:r>
      <w:r>
        <w:t xml:space="preserve">inhibitors </w:t>
      </w:r>
      <w:proofErr w:type="gramStart"/>
      <w:r>
        <w:t>is anticipated</w:t>
      </w:r>
      <w:proofErr w:type="gramEnd"/>
      <w:r>
        <w:t xml:space="preserve"> in the future.</w:t>
      </w:r>
    </w:p>
    <w:p w14:paraId="5E5015A9" w14:textId="48C14CD5" w:rsidR="0079037D" w:rsidRDefault="0079037D" w:rsidP="00C3575C">
      <w:pPr>
        <w:spacing w:after="240"/>
      </w:pPr>
      <w:r>
        <w:t xml:space="preserve">MSAC considered the comparators – </w:t>
      </w:r>
      <w:r w:rsidRPr="004866BD">
        <w:t xml:space="preserve">BPA prophylaxis plus on-demand BPAs, or no prophylaxis plus </w:t>
      </w:r>
      <w:r>
        <w:t xml:space="preserve">on-demand </w:t>
      </w:r>
      <w:r w:rsidRPr="004866BD">
        <w:t>BPAs</w:t>
      </w:r>
      <w:r>
        <w:t xml:space="preserve"> – to be appropriate. MSAC noted that b</w:t>
      </w:r>
      <w:r w:rsidRPr="00DE7519">
        <w:t>oth emicizumab and BPA prophylaxis are associated with thromboembolic and bleeding adverse events</w:t>
      </w:r>
      <w:r>
        <w:t>,</w:t>
      </w:r>
      <w:r w:rsidRPr="00DE7519">
        <w:t xml:space="preserve"> </w:t>
      </w:r>
      <w:r>
        <w:t>and the applicant’s claim of non</w:t>
      </w:r>
      <w:r w:rsidR="001F6361">
        <w:t>-</w:t>
      </w:r>
      <w:r>
        <w:t xml:space="preserve">inferior safety </w:t>
      </w:r>
      <w:proofErr w:type="gramStart"/>
      <w:r>
        <w:t>was considered</w:t>
      </w:r>
      <w:proofErr w:type="gramEnd"/>
      <w:r>
        <w:t xml:space="preserve"> appropriate. However, MSAC noted that t</w:t>
      </w:r>
      <w:r w:rsidRPr="00555979">
        <w:t>he claim of non</w:t>
      </w:r>
      <w:r w:rsidR="001F6361">
        <w:t>-</w:t>
      </w:r>
      <w:r w:rsidRPr="00555979">
        <w:t xml:space="preserve">inferior safety is subject to considerable uncertainty and </w:t>
      </w:r>
      <w:proofErr w:type="gramStart"/>
      <w:r w:rsidRPr="00555979">
        <w:t>is not supported</w:t>
      </w:r>
      <w:proofErr w:type="gramEnd"/>
      <w:r w:rsidRPr="00555979">
        <w:t xml:space="preserve"> by any statistical evaluation of frequency and severity of </w:t>
      </w:r>
      <w:r>
        <w:t>adverse events</w:t>
      </w:r>
      <w:r w:rsidRPr="00555979">
        <w:t xml:space="preserve">. The limitations of the evidence base </w:t>
      </w:r>
      <w:r>
        <w:t>(</w:t>
      </w:r>
      <w:r w:rsidRPr="00555979">
        <w:t>including infrequent events, small numbers of patient</w:t>
      </w:r>
      <w:r>
        <w:t>s</w:t>
      </w:r>
      <w:r w:rsidRPr="00555979">
        <w:t xml:space="preserve"> and short follow-up times</w:t>
      </w:r>
      <w:r>
        <w:t>)</w:t>
      </w:r>
      <w:r w:rsidRPr="00555979">
        <w:t xml:space="preserve"> suggest that any safety comparison is likely to be underpowered</w:t>
      </w:r>
      <w:r>
        <w:t>,</w:t>
      </w:r>
      <w:r w:rsidRPr="00555979">
        <w:t xml:space="preserve"> and no </w:t>
      </w:r>
      <w:r>
        <w:t>minimal clinically important difference</w:t>
      </w:r>
      <w:r w:rsidRPr="00555979">
        <w:t xml:space="preserve"> for safety outcomes </w:t>
      </w:r>
      <w:proofErr w:type="gramStart"/>
      <w:r w:rsidRPr="00555979">
        <w:t>was defined</w:t>
      </w:r>
      <w:proofErr w:type="gramEnd"/>
      <w:r w:rsidRPr="00555979">
        <w:t xml:space="preserve"> in any trial</w:t>
      </w:r>
      <w:r>
        <w:t>.</w:t>
      </w:r>
    </w:p>
    <w:p w14:paraId="415BED54" w14:textId="66355F40" w:rsidR="0079037D" w:rsidRDefault="0079037D" w:rsidP="0079037D">
      <w:pPr>
        <w:spacing w:after="240"/>
      </w:pPr>
      <w:r w:rsidRPr="00B31406">
        <w:t>Regarding clinical effectiveness, MSAC noted the large reductions in annual bleed rate</w:t>
      </w:r>
      <w:r>
        <w:t xml:space="preserve"> (ABR) from the clinical trials using emicizumab. In the HAVEN 1 trial, emicizumab reduced the ABR by 87% (</w:t>
      </w:r>
      <w:r w:rsidRPr="00B31406">
        <w:rPr>
          <w:i/>
        </w:rPr>
        <w:t>P</w:t>
      </w:r>
      <w:r>
        <w:t xml:space="preserve"> &lt; 0.0001, </w:t>
      </w:r>
      <w:r w:rsidR="00BB1908">
        <w:t>ABR</w:t>
      </w:r>
      <w:r>
        <w:t xml:space="preserve"> ratio 0.13, 95% CI</w:t>
      </w:r>
      <w:r w:rsidR="00BB1908">
        <w:t>:</w:t>
      </w:r>
      <w:r>
        <w:t xml:space="preserve"> 0.06 to 0.28), with ABR = 23.3 in the no-prophylaxis arm and ABR = 2.9 in the</w:t>
      </w:r>
      <w:r w:rsidRPr="00B31406">
        <w:t xml:space="preserve"> </w:t>
      </w:r>
      <w:r>
        <w:t xml:space="preserve">emicizumab arm. Although not subjected to statistical analysis, the randomised trial also reported 22/35 = </w:t>
      </w:r>
      <w:r w:rsidRPr="004866BD">
        <w:t xml:space="preserve">63% of patients </w:t>
      </w:r>
      <w:r>
        <w:t xml:space="preserve">in the emicizumab arm </w:t>
      </w:r>
      <w:r w:rsidRPr="004866BD">
        <w:t>had zero bleed</w:t>
      </w:r>
      <w:r>
        <w:t>ing event</w:t>
      </w:r>
      <w:r w:rsidRPr="004866BD">
        <w:t xml:space="preserve">s compared with </w:t>
      </w:r>
      <w:r>
        <w:t xml:space="preserve">1/18 = </w:t>
      </w:r>
      <w:r w:rsidRPr="004866BD">
        <w:t>6% in the no-prophylaxis arm.</w:t>
      </w:r>
      <w:r>
        <w:t xml:space="preserve"> In the HAVEN 2 trial, the ABR </w:t>
      </w:r>
      <w:proofErr w:type="gramStart"/>
      <w:r>
        <w:t>was reduced</w:t>
      </w:r>
      <w:proofErr w:type="gramEnd"/>
      <w:r>
        <w:t xml:space="preserve"> by 99% (95% CI</w:t>
      </w:r>
      <w:r w:rsidR="00007F88">
        <w:t>:</w:t>
      </w:r>
      <w:r>
        <w:t xml:space="preserve"> 97.7 to 9</w:t>
      </w:r>
      <w:r w:rsidR="00BB1908">
        <w:t>9.4).</w:t>
      </w:r>
    </w:p>
    <w:p w14:paraId="7EAC8FCC" w14:textId="77777777" w:rsidR="0079037D" w:rsidRDefault="0079037D" w:rsidP="0079037D">
      <w:pPr>
        <w:spacing w:after="240"/>
      </w:pPr>
      <w:r>
        <w:t xml:space="preserve">MSAC noted the potential for a progressive decline in effectiveness over time if the patient develops antibodies against emicizumab. MSAC noted that the rate of antibody development against emicizumab was approximately 0.7% in around 400 patients studied, but that there were currently insufficient data </w:t>
      </w:r>
      <w:proofErr w:type="gramStart"/>
      <w:r>
        <w:t>to accurately judge</w:t>
      </w:r>
      <w:proofErr w:type="gramEnd"/>
      <w:r>
        <w:t xml:space="preserve"> this risk.</w:t>
      </w:r>
    </w:p>
    <w:p w14:paraId="3D156E9C" w14:textId="3EF5C76A" w:rsidR="0079037D" w:rsidRDefault="0079037D" w:rsidP="0079037D">
      <w:pPr>
        <w:spacing w:after="240"/>
      </w:pPr>
      <w:r>
        <w:t>MSAC noted that emicizumab was dominant in the economic analysis</w:t>
      </w:r>
      <w:r w:rsidR="00A82861">
        <w:t xml:space="preserve"> against both comparators</w:t>
      </w:r>
      <w:r>
        <w:t xml:space="preserve">. ESC had requested that the assessment group conduct further sensitivity </w:t>
      </w:r>
      <w:proofErr w:type="gramStart"/>
      <w:r>
        <w:t>analyses,</w:t>
      </w:r>
      <w:proofErr w:type="gramEnd"/>
      <w:r>
        <w:t xml:space="preserve"> and emicizumab retained dominance under almost all scenarios. For dominance not to hold, the assessment group made extreme simultaneous changes to several drivers of the economic model, which were not considered to be reasonable scenarios</w:t>
      </w:r>
      <w:r w:rsidR="0020060D">
        <w:t xml:space="preserve"> overall</w:t>
      </w:r>
      <w:r>
        <w:t>.</w:t>
      </w:r>
    </w:p>
    <w:p w14:paraId="7A4126EB" w14:textId="34F620C9" w:rsidR="0079037D" w:rsidRDefault="0079037D" w:rsidP="0079037D">
      <w:pPr>
        <w:spacing w:after="240"/>
      </w:pPr>
      <w:r>
        <w:t xml:space="preserve">MSAC noted the high cost of emicizumab at </w:t>
      </w:r>
      <w:r w:rsidRPr="00CB08F3">
        <w:t>$</w:t>
      </w:r>
      <w:r w:rsidR="00442FA4" w:rsidRPr="00442FA4">
        <w:rPr>
          <w:b/>
        </w:rPr>
        <w:t>redacted</w:t>
      </w:r>
      <w:r>
        <w:t xml:space="preserve"> per patient per year, based on the undiscounted cost-effectiveness model for </w:t>
      </w:r>
      <w:r w:rsidR="0020060D">
        <w:t xml:space="preserve">the </w:t>
      </w:r>
      <w:r w:rsidR="00007F88">
        <w:t xml:space="preserve">overall estimated </w:t>
      </w:r>
      <w:r>
        <w:t xml:space="preserve">cost </w:t>
      </w:r>
      <w:r w:rsidR="00007F88">
        <w:t xml:space="preserve">of emicizumab </w:t>
      </w:r>
      <w:r>
        <w:t xml:space="preserve">per patient </w:t>
      </w:r>
      <w:r w:rsidR="00007F88">
        <w:t xml:space="preserve">divided by </w:t>
      </w:r>
      <w:r w:rsidR="0020060D">
        <w:t xml:space="preserve">the </w:t>
      </w:r>
      <w:r w:rsidR="00007F88">
        <w:t xml:space="preserve">overall estimated </w:t>
      </w:r>
      <w:r>
        <w:t xml:space="preserve">life-years per patient. MSAC acknowledged the difficulties in </w:t>
      </w:r>
      <w:r w:rsidR="00007F88">
        <w:t xml:space="preserve">requesting </w:t>
      </w:r>
      <w:r>
        <w:t xml:space="preserve">a </w:t>
      </w:r>
      <w:r w:rsidR="00007F88">
        <w:t xml:space="preserve">fair </w:t>
      </w:r>
      <w:r>
        <w:t xml:space="preserve">annual treatment cost for a rare condition, but noted that this </w:t>
      </w:r>
      <w:r w:rsidR="00007F88">
        <w:t xml:space="preserve">requested </w:t>
      </w:r>
      <w:r>
        <w:t>cost is much higher than any other subsidised medicines, including medicines</w:t>
      </w:r>
      <w:r w:rsidR="00007F88">
        <w:t xml:space="preserve"> in the Life Saving Drugs Program</w:t>
      </w:r>
      <w:r>
        <w:t xml:space="preserve">. MSAC noted the financial estimates indicating that emicizumab would have a net cost saving to the NPL compared with the cost of BPAs. However, MSAC considered that this did not necessarily mean that emicizumab was cost-effective, as BPAs had not themselves undergone cost-effectiveness analysis, and dominance itself was not sufficient for decision making in this context. MSAC also considered that it </w:t>
      </w:r>
      <w:proofErr w:type="gramStart"/>
      <w:r>
        <w:t>may</w:t>
      </w:r>
      <w:proofErr w:type="gramEnd"/>
      <w:r>
        <w:t xml:space="preserve"> not be plausible to assume that patients take lifelong BPA prophylaxis, given this is not preferred by patients, and may therefore not be a realistic comparator</w:t>
      </w:r>
      <w:r w:rsidR="00A82861">
        <w:t xml:space="preserve"> in the long-term</w:t>
      </w:r>
      <w:r>
        <w:t xml:space="preserve">. </w:t>
      </w:r>
      <w:r>
        <w:lastRenderedPageBreak/>
        <w:t xml:space="preserve">MSAC therefore requested that the cost-effectiveness of current practice should be determined first, so that </w:t>
      </w:r>
      <w:r w:rsidR="00007F88">
        <w:t xml:space="preserve">the value of </w:t>
      </w:r>
      <w:r>
        <w:t xml:space="preserve">emicizumab </w:t>
      </w:r>
      <w:proofErr w:type="gramStart"/>
      <w:r>
        <w:t xml:space="preserve">could be more accurately </w:t>
      </w:r>
      <w:r w:rsidR="00007F88">
        <w:t>assessed</w:t>
      </w:r>
      <w:proofErr w:type="gramEnd"/>
      <w:r w:rsidR="00007F88">
        <w:t xml:space="preserve"> </w:t>
      </w:r>
      <w:r>
        <w:t>in the proposed population.</w:t>
      </w:r>
    </w:p>
    <w:p w14:paraId="307EF3D1" w14:textId="46850A36" w:rsidR="0079037D" w:rsidRDefault="0079037D" w:rsidP="0079037D">
      <w:pPr>
        <w:spacing w:after="240"/>
      </w:pPr>
      <w:r>
        <w:t>MSAC recognised the clear unmet need for effective treatment strategies in haemophilia</w:t>
      </w:r>
      <w:r w:rsidR="00007F88">
        <w:t> </w:t>
      </w:r>
      <w:proofErr w:type="gramStart"/>
      <w:r w:rsidR="00007F88">
        <w:t>A</w:t>
      </w:r>
      <w:proofErr w:type="gramEnd"/>
      <w:r w:rsidR="00007F88">
        <w:t xml:space="preserve"> </w:t>
      </w:r>
      <w:r>
        <w:t>patients</w:t>
      </w:r>
      <w:r w:rsidR="00FB62B1">
        <w:t xml:space="preserve"> who</w:t>
      </w:r>
      <w:r>
        <w:t xml:space="preserve"> </w:t>
      </w:r>
      <w:r w:rsidR="00FB62B1">
        <w:t>currently have</w:t>
      </w:r>
      <w:r>
        <w:t xml:space="preserve"> inhibitors and noted the strong support from stakeholder groups. However, it was also noted that, despite this, the high cost of emicizumab may be unacceptable to consumers, and considered that the benefits of other ther</w:t>
      </w:r>
      <w:r w:rsidR="00C3575C">
        <w:t xml:space="preserve">apies </w:t>
      </w:r>
      <w:proofErr w:type="gramStart"/>
      <w:r w:rsidR="00C3575C">
        <w:t>should also be evaluated</w:t>
      </w:r>
      <w:proofErr w:type="gramEnd"/>
      <w:r w:rsidR="00C3575C">
        <w:t>.</w:t>
      </w:r>
    </w:p>
    <w:p w14:paraId="115C68E1" w14:textId="47ED1B83" w:rsidR="0079037D" w:rsidRPr="00983A8C" w:rsidRDefault="0079037D" w:rsidP="0079037D">
      <w:pPr>
        <w:spacing w:after="240"/>
      </w:pPr>
      <w:r>
        <w:t xml:space="preserve">The potential for leakage was also considered </w:t>
      </w:r>
      <w:proofErr w:type="gramStart"/>
      <w:r>
        <w:t>to be high</w:t>
      </w:r>
      <w:proofErr w:type="gramEnd"/>
      <w:r>
        <w:t>, and would have substantial implications for the size of the patient population. MSAC noted that the eligible population would need to be clearly defined as patients who currently have inhibitors (</w:t>
      </w:r>
      <w:r w:rsidRPr="00171175">
        <w:rPr>
          <w:i/>
        </w:rPr>
        <w:t>n</w:t>
      </w:r>
      <w:r>
        <w:t> = 61), rather than those who have had inhibitors in the past (</w:t>
      </w:r>
      <w:r w:rsidRPr="00171175">
        <w:rPr>
          <w:i/>
        </w:rPr>
        <w:t>n</w:t>
      </w:r>
      <w:r>
        <w:t xml:space="preserve"> = 174), or those who have not been tested or have had an equivocal test result </w:t>
      </w:r>
      <w:r w:rsidR="005E1F81">
        <w:t xml:space="preserve">for inhibitors </w:t>
      </w:r>
      <w:r>
        <w:t>(</w:t>
      </w:r>
      <w:r w:rsidRPr="00171175">
        <w:rPr>
          <w:i/>
        </w:rPr>
        <w:t>n</w:t>
      </w:r>
      <w:r>
        <w:t> = 850).</w:t>
      </w:r>
      <w:r w:rsidR="00CC1159">
        <w:t xml:space="preserve"> Based on this uncertainty, MSAC foreshadowed that a total expenditure cap </w:t>
      </w:r>
      <w:proofErr w:type="gramStart"/>
      <w:r w:rsidR="00CC1159">
        <w:t>might be needed</w:t>
      </w:r>
      <w:proofErr w:type="gramEnd"/>
      <w:r w:rsidR="00CC1159">
        <w:t xml:space="preserve"> for listing of emicizumab on the NPL.</w:t>
      </w:r>
    </w:p>
    <w:p w14:paraId="21302BF3" w14:textId="4445C293" w:rsidR="00550354" w:rsidRPr="0079037D" w:rsidRDefault="0079037D" w:rsidP="00F715D1">
      <w:pPr>
        <w:spacing w:after="240"/>
      </w:pPr>
      <w:r>
        <w:t>Overall, MSAC concluded that emicizumab is superior in effectiveness and non</w:t>
      </w:r>
      <w:r w:rsidR="001F6361">
        <w:t>-</w:t>
      </w:r>
      <w:r>
        <w:t>inferior in safety compared with BPAs, noting some data limitations and uncertainties. However, MSAC considered that the cost-effectiveness of current treatments in the total haemophilia</w:t>
      </w:r>
      <w:r w:rsidR="00007F88">
        <w:t> </w:t>
      </w:r>
      <w:proofErr w:type="gramStart"/>
      <w:r w:rsidR="00007F88">
        <w:t>A</w:t>
      </w:r>
      <w:proofErr w:type="gramEnd"/>
      <w:r>
        <w:t xml:space="preserve"> population should be evaluated before a</w:t>
      </w:r>
      <w:r w:rsidR="005E1F81">
        <w:t xml:space="preserve"> meaningful</w:t>
      </w:r>
      <w:r>
        <w:t xml:space="preserve"> comparative</w:t>
      </w:r>
      <w:r w:rsidR="00A82861">
        <w:t xml:space="preserve"> economic</w:t>
      </w:r>
      <w:r>
        <w:t xml:space="preserve"> assessment of emicizumab in the proposed population can be done.</w:t>
      </w:r>
    </w:p>
    <w:p w14:paraId="5012C332" w14:textId="77777777" w:rsidR="00BC1364" w:rsidRPr="00F715D1" w:rsidRDefault="00BC1364" w:rsidP="00C3575C">
      <w:pPr>
        <w:pStyle w:val="Heading1"/>
      </w:pPr>
      <w:r w:rsidRPr="00F715D1">
        <w:t>Background</w:t>
      </w:r>
    </w:p>
    <w:p w14:paraId="7AD73EA9" w14:textId="77777777" w:rsidR="001852E8" w:rsidRDefault="004B7C78" w:rsidP="00C3575C">
      <w:r>
        <w:t>MSAC has not previously considered this application.</w:t>
      </w:r>
    </w:p>
    <w:p w14:paraId="2E8BD002" w14:textId="77777777" w:rsidR="00BC1364" w:rsidRPr="00F715D1" w:rsidRDefault="00BC1364" w:rsidP="00F715D1">
      <w:pPr>
        <w:pStyle w:val="Heading1"/>
      </w:pPr>
      <w:r w:rsidRPr="00F715D1">
        <w:t>Prerequisites to implementation of any funding advice</w:t>
      </w:r>
    </w:p>
    <w:p w14:paraId="44B7A4E2" w14:textId="77777777" w:rsidR="00EC43A7" w:rsidRDefault="004B7C78" w:rsidP="00EC43A7">
      <w:r>
        <w:t xml:space="preserve">There are currently </w:t>
      </w:r>
      <w:r w:rsidR="00EC43A7">
        <w:t xml:space="preserve">four Australian Register of Therapeutic Goods (ARTG) listings related to this application: </w:t>
      </w:r>
      <w:r w:rsidR="00EC43A7" w:rsidRPr="00EC43A7">
        <w:t>293761, 293760, 293759 and 293758</w:t>
      </w:r>
      <w:r w:rsidR="00EC43A7">
        <w:t xml:space="preserve">; </w:t>
      </w:r>
      <w:r w:rsidR="00EC43A7" w:rsidRPr="00EC43A7">
        <w:t xml:space="preserve">corresponding to 30mg/1mL, 60mg/0.4mL, 150mg/1mL and 105mg/0.7mL of </w:t>
      </w:r>
      <w:r w:rsidR="00EC43A7">
        <w:t>emicizumab</w:t>
      </w:r>
      <w:r w:rsidR="00EC43A7" w:rsidRPr="00EC43A7">
        <w:t xml:space="preserve"> vials for injection</w:t>
      </w:r>
      <w:r w:rsidR="00EC43A7">
        <w:t>,</w:t>
      </w:r>
      <w:r w:rsidR="00EC43A7" w:rsidRPr="00EC43A7">
        <w:t xml:space="preserve"> respectively.</w:t>
      </w:r>
      <w:r w:rsidR="00EC43A7">
        <w:t xml:space="preserve"> </w:t>
      </w:r>
    </w:p>
    <w:p w14:paraId="543D48DE" w14:textId="77777777" w:rsidR="00BC1364" w:rsidRPr="00F715D1" w:rsidRDefault="00BC1364" w:rsidP="00C3575C">
      <w:pPr>
        <w:pStyle w:val="Heading1"/>
      </w:pPr>
      <w:r w:rsidRPr="00F715D1">
        <w:t>Proposal for public funding</w:t>
      </w:r>
    </w:p>
    <w:p w14:paraId="4E215386" w14:textId="67027B90" w:rsidR="00932C02" w:rsidRDefault="00932C02" w:rsidP="00F715D1">
      <w:pPr>
        <w:tabs>
          <w:tab w:val="left" w:pos="720"/>
          <w:tab w:val="left" w:pos="1140"/>
        </w:tabs>
        <w:spacing w:after="240"/>
      </w:pPr>
      <w:r>
        <w:t>E</w:t>
      </w:r>
      <w:r w:rsidRPr="004866BD">
        <w:t xml:space="preserve">micizumab is a prescription medicine and a blood-related product that has orphan drug status assigned by the </w:t>
      </w:r>
      <w:r>
        <w:t>TGA</w:t>
      </w:r>
      <w:r w:rsidRPr="004866BD">
        <w:t xml:space="preserve">. The application is therefore seeking public funding </w:t>
      </w:r>
      <w:r>
        <w:t>through</w:t>
      </w:r>
      <w:r w:rsidRPr="004866BD">
        <w:t xml:space="preserve"> listing on the National Blood Au</w:t>
      </w:r>
      <w:r w:rsidR="004B7C78">
        <w:t xml:space="preserve">thority’s </w:t>
      </w:r>
      <w:r>
        <w:t>NPL</w:t>
      </w:r>
      <w:r w:rsidRPr="004866BD">
        <w:t>, and no MBS item is required.</w:t>
      </w:r>
    </w:p>
    <w:p w14:paraId="6F8E2494" w14:textId="2B232F1A" w:rsidR="00BC1364" w:rsidRPr="00F715D1" w:rsidRDefault="00BC1364" w:rsidP="00F715D1">
      <w:pPr>
        <w:pStyle w:val="Heading1"/>
      </w:pPr>
      <w:r w:rsidRPr="00F715D1">
        <w:t xml:space="preserve">Summary of </w:t>
      </w:r>
      <w:r w:rsidR="00A82861" w:rsidRPr="00F715D1">
        <w:t>public consultation feedback/consumer is</w:t>
      </w:r>
      <w:r w:rsidR="003D7F29" w:rsidRPr="00F715D1">
        <w:t>sues</w:t>
      </w:r>
    </w:p>
    <w:p w14:paraId="0BFB76B2" w14:textId="77777777" w:rsidR="00A73FD8" w:rsidRDefault="00F305F8" w:rsidP="00A73FD8">
      <w:pPr>
        <w:spacing w:after="240"/>
      </w:pPr>
      <w:r>
        <w:t xml:space="preserve">Five responses </w:t>
      </w:r>
      <w:proofErr w:type="gramStart"/>
      <w:r>
        <w:t>were received</w:t>
      </w:r>
      <w:proofErr w:type="gramEnd"/>
      <w:r>
        <w:t xml:space="preserve"> in the consultation feedback, </w:t>
      </w:r>
      <w:r w:rsidR="005B6221">
        <w:t>two</w:t>
      </w:r>
      <w:r>
        <w:t xml:space="preserve"> from professional organisation</w:t>
      </w:r>
      <w:r w:rsidR="005B6221">
        <w:t>s</w:t>
      </w:r>
      <w:r>
        <w:t xml:space="preserve">, one from a consumer organisation, </w:t>
      </w:r>
      <w:r w:rsidR="005B6221">
        <w:t>and two haematologists</w:t>
      </w:r>
      <w:r>
        <w:t>.</w:t>
      </w:r>
      <w:r w:rsidR="00A73FD8">
        <w:t xml:space="preserve"> </w:t>
      </w:r>
      <w:r w:rsidR="0020198F">
        <w:t>The feedback was positive and supportive of public funding on the NPL for emicizumab</w:t>
      </w:r>
      <w:r w:rsidR="002D6C2A">
        <w:t xml:space="preserve">. </w:t>
      </w:r>
    </w:p>
    <w:p w14:paraId="3B1E26FF" w14:textId="1F4167BB" w:rsidR="0020198F" w:rsidRDefault="00A73FD8" w:rsidP="00A73FD8">
      <w:pPr>
        <w:spacing w:after="240"/>
      </w:pPr>
      <w:r>
        <w:t>The</w:t>
      </w:r>
      <w:r w:rsidR="002D6C2A">
        <w:t xml:space="preserve"> </w:t>
      </w:r>
      <w:r w:rsidR="005B6221">
        <w:t>application</w:t>
      </w:r>
      <w:r w:rsidR="002D6C2A">
        <w:t xml:space="preserve"> </w:t>
      </w:r>
      <w:r>
        <w:t>noted</w:t>
      </w:r>
      <w:r w:rsidR="002D6C2A" w:rsidRPr="002D6C2A">
        <w:t xml:space="preserve"> that experience has been limited to the clinical trial setting to date</w:t>
      </w:r>
      <w:r>
        <w:t xml:space="preserve"> and</w:t>
      </w:r>
      <w:r w:rsidR="002D6C2A">
        <w:t xml:space="preserve"> stated </w:t>
      </w:r>
      <w:r>
        <w:t xml:space="preserve">that </w:t>
      </w:r>
      <w:r w:rsidR="002D6C2A" w:rsidRPr="002D6C2A">
        <w:t xml:space="preserve">comprehensive educational programmes </w:t>
      </w:r>
      <w:r>
        <w:t xml:space="preserve">will be implemented </w:t>
      </w:r>
      <w:r w:rsidR="002D6C2A" w:rsidRPr="002D6C2A">
        <w:t xml:space="preserve">for healthcare professionals involved in the treatment of </w:t>
      </w:r>
      <w:r w:rsidR="005E1F81">
        <w:t>haemophilia </w:t>
      </w:r>
      <w:proofErr w:type="gramStart"/>
      <w:r w:rsidR="002D6C2A" w:rsidRPr="002D6C2A">
        <w:t>A</w:t>
      </w:r>
      <w:proofErr w:type="gramEnd"/>
      <w:r w:rsidR="002D6C2A" w:rsidRPr="002D6C2A">
        <w:t xml:space="preserve"> patients with inhibitors, including supporting patient education, to ensure the optimal and safe use of emicizumab in the Australian clinical setting.</w:t>
      </w:r>
    </w:p>
    <w:p w14:paraId="06F53764" w14:textId="77777777" w:rsidR="00BC1364" w:rsidRPr="00F715D1" w:rsidRDefault="00BC1364" w:rsidP="00F715D1">
      <w:pPr>
        <w:pStyle w:val="Heading1"/>
      </w:pPr>
      <w:r w:rsidRPr="00F715D1">
        <w:lastRenderedPageBreak/>
        <w:t>Proposed intervention’s place in clinical management</w:t>
      </w:r>
    </w:p>
    <w:p w14:paraId="085AB73F" w14:textId="25DFE8CF" w:rsidR="00196E87" w:rsidRDefault="00196E87" w:rsidP="00C3575C">
      <w:pPr>
        <w:spacing w:after="240"/>
      </w:pPr>
      <w:r>
        <w:t xml:space="preserve">The proposed clinical management algorithm for patients with </w:t>
      </w:r>
      <w:r>
        <w:rPr>
          <w:iCs/>
        </w:rPr>
        <w:t>haemophilia </w:t>
      </w:r>
      <w:r w:rsidRPr="00D232B6">
        <w:rPr>
          <w:iCs/>
        </w:rPr>
        <w:t>A</w:t>
      </w:r>
      <w:r>
        <w:t xml:space="preserve"> </w:t>
      </w:r>
      <w:proofErr w:type="gramStart"/>
      <w:r>
        <w:t>is provided</w:t>
      </w:r>
      <w:proofErr w:type="gramEnd"/>
      <w:r>
        <w:t xml:space="preserve"> in</w:t>
      </w:r>
      <w:r w:rsidR="008A2E61">
        <w:t xml:space="preserve"> Figure 1</w:t>
      </w:r>
      <w:r w:rsidR="003333EC">
        <w:t>.</w:t>
      </w:r>
    </w:p>
    <w:p w14:paraId="4C796877" w14:textId="77777777" w:rsidR="003333EC" w:rsidRDefault="003333EC" w:rsidP="003333EC">
      <w:pPr>
        <w:keepNext/>
      </w:pPr>
      <w:r w:rsidRPr="00DF2708">
        <w:rPr>
          <w:noProof/>
        </w:rPr>
        <w:drawing>
          <wp:inline distT="0" distB="0" distL="0" distR="0" wp14:anchorId="7F12E8F2" wp14:editId="137F8992">
            <wp:extent cx="5535038" cy="6709282"/>
            <wp:effectExtent l="0" t="0" r="0" b="0"/>
            <wp:docPr id="6" name="Picture 6" title="Proposed clinical management algorithm for patients with congenital 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5038" cy="6709282"/>
                    </a:xfrm>
                    <a:prstGeom prst="rect">
                      <a:avLst/>
                    </a:prstGeom>
                    <a:noFill/>
                  </pic:spPr>
                </pic:pic>
              </a:graphicData>
            </a:graphic>
          </wp:inline>
        </w:drawing>
      </w:r>
    </w:p>
    <w:p w14:paraId="68A98348" w14:textId="5099B477" w:rsidR="003333EC" w:rsidRDefault="003333EC" w:rsidP="003333EC">
      <w:pPr>
        <w:pStyle w:val="Caption"/>
        <w:rPr>
          <w:rFonts w:ascii="Arial Narrow" w:hAnsi="Arial Narrow"/>
          <w:color w:val="auto"/>
          <w:sz w:val="20"/>
        </w:rPr>
      </w:pPr>
      <w:bookmarkStart w:id="1" w:name="_Ref531245696"/>
      <w:r w:rsidRPr="003333EC">
        <w:rPr>
          <w:rFonts w:ascii="Arial Narrow" w:hAnsi="Arial Narrow"/>
          <w:color w:val="auto"/>
          <w:sz w:val="20"/>
        </w:rPr>
        <w:t xml:space="preserve">Figure </w:t>
      </w:r>
      <w:r w:rsidRPr="003333EC">
        <w:rPr>
          <w:rFonts w:ascii="Arial Narrow" w:hAnsi="Arial Narrow"/>
          <w:color w:val="auto"/>
          <w:sz w:val="20"/>
        </w:rPr>
        <w:fldChar w:fldCharType="begin"/>
      </w:r>
      <w:r w:rsidRPr="003333EC">
        <w:rPr>
          <w:rFonts w:ascii="Arial Narrow" w:hAnsi="Arial Narrow"/>
          <w:color w:val="auto"/>
          <w:sz w:val="20"/>
        </w:rPr>
        <w:instrText xml:space="preserve"> SEQ Figure \* ARABIC </w:instrText>
      </w:r>
      <w:r w:rsidRPr="003333EC">
        <w:rPr>
          <w:rFonts w:ascii="Arial Narrow" w:hAnsi="Arial Narrow"/>
          <w:color w:val="auto"/>
          <w:sz w:val="20"/>
        </w:rPr>
        <w:fldChar w:fldCharType="separate"/>
      </w:r>
      <w:r w:rsidR="00E965BA">
        <w:rPr>
          <w:rFonts w:ascii="Arial Narrow" w:hAnsi="Arial Narrow"/>
          <w:noProof/>
          <w:color w:val="auto"/>
          <w:sz w:val="20"/>
        </w:rPr>
        <w:t>1</w:t>
      </w:r>
      <w:r w:rsidRPr="003333EC">
        <w:rPr>
          <w:rFonts w:ascii="Arial Narrow" w:hAnsi="Arial Narrow"/>
          <w:color w:val="auto"/>
          <w:sz w:val="20"/>
        </w:rPr>
        <w:fldChar w:fldCharType="end"/>
      </w:r>
      <w:bookmarkEnd w:id="1"/>
      <w:r w:rsidRPr="003333EC">
        <w:rPr>
          <w:rFonts w:ascii="Arial Narrow" w:hAnsi="Arial Narrow"/>
          <w:color w:val="auto"/>
          <w:sz w:val="22"/>
        </w:rPr>
        <w:tab/>
      </w:r>
      <w:r w:rsidRPr="003333EC">
        <w:rPr>
          <w:rFonts w:ascii="Arial Narrow" w:hAnsi="Arial Narrow"/>
          <w:color w:val="auto"/>
          <w:sz w:val="20"/>
        </w:rPr>
        <w:t xml:space="preserve">Proposed clinical management algorithm for patients with congenital </w:t>
      </w:r>
      <w:r w:rsidR="005E1F81">
        <w:rPr>
          <w:rFonts w:ascii="Arial Narrow" w:hAnsi="Arial Narrow"/>
          <w:color w:val="auto"/>
          <w:sz w:val="20"/>
        </w:rPr>
        <w:t>ha</w:t>
      </w:r>
      <w:r w:rsidR="005E4220">
        <w:rPr>
          <w:rFonts w:ascii="Arial Narrow" w:hAnsi="Arial Narrow"/>
          <w:color w:val="auto"/>
          <w:sz w:val="20"/>
        </w:rPr>
        <w:t>emophil</w:t>
      </w:r>
      <w:r w:rsidR="005E1F81">
        <w:rPr>
          <w:rFonts w:ascii="Arial Narrow" w:hAnsi="Arial Narrow"/>
          <w:color w:val="auto"/>
          <w:sz w:val="20"/>
        </w:rPr>
        <w:t>ia </w:t>
      </w:r>
      <w:r w:rsidRPr="003333EC">
        <w:rPr>
          <w:rFonts w:ascii="Arial Narrow" w:hAnsi="Arial Narrow"/>
          <w:color w:val="auto"/>
          <w:sz w:val="20"/>
        </w:rPr>
        <w:t>A</w:t>
      </w:r>
      <w:r w:rsidR="005E1F81">
        <w:rPr>
          <w:rFonts w:ascii="Arial Narrow" w:hAnsi="Arial Narrow"/>
          <w:color w:val="auto"/>
          <w:sz w:val="20"/>
        </w:rPr>
        <w:t xml:space="preserve"> (HMA)</w:t>
      </w:r>
    </w:p>
    <w:p w14:paraId="5BEFB000" w14:textId="1B98E54B" w:rsidR="00371316" w:rsidRDefault="00371316" w:rsidP="00C3575C">
      <w:r>
        <w:t xml:space="preserve">The </w:t>
      </w:r>
      <w:r w:rsidR="004148F5">
        <w:t>application</w:t>
      </w:r>
      <w:r>
        <w:t xml:space="preserve"> stated that f</w:t>
      </w:r>
      <w:r w:rsidR="00196E87">
        <w:t>or patients with inhibitors</w:t>
      </w:r>
      <w:r w:rsidR="003333EC">
        <w:t xml:space="preserve"> (population 1)</w:t>
      </w:r>
      <w:r w:rsidR="00196E87">
        <w:t xml:space="preserve">, emicizumab represents a novel therapy option which would replace prophylaxis with </w:t>
      </w:r>
      <w:r w:rsidR="005E1F81">
        <w:t>factor </w:t>
      </w:r>
      <w:r w:rsidR="00420DEE">
        <w:t>VIII bypassing agents (</w:t>
      </w:r>
      <w:r w:rsidR="00196E87">
        <w:t>BPA</w:t>
      </w:r>
      <w:r w:rsidR="00420DEE">
        <w:t>)</w:t>
      </w:r>
      <w:r w:rsidR="00196E87">
        <w:t xml:space="preserve">s or provide an option for patients for whom BPAs are not a viable prophylactic regimen. While BPAs may still be required to treat bleeds and for surgical cover, usage will be greatly reduced since </w:t>
      </w:r>
      <w:proofErr w:type="gramStart"/>
      <w:r w:rsidR="00196E87">
        <w:t>breakthrough</w:t>
      </w:r>
      <w:proofErr w:type="gramEnd"/>
      <w:r w:rsidR="00196E87">
        <w:t xml:space="preserve"> bleeding while on emicizumab prophylaxis is significantly reduced, with the majority of patients experiencing no bleeds requiring BPA treatment</w:t>
      </w:r>
      <w:r>
        <w:t>.</w:t>
      </w:r>
    </w:p>
    <w:p w14:paraId="153FE38B" w14:textId="5209B41A" w:rsidR="00BC1364" w:rsidRPr="00F715D1" w:rsidRDefault="00F57FDB" w:rsidP="00C3575C">
      <w:pPr>
        <w:pStyle w:val="Heading1"/>
      </w:pPr>
      <w:r>
        <w:lastRenderedPageBreak/>
        <w:t>Comparator</w:t>
      </w:r>
    </w:p>
    <w:p w14:paraId="4F09026B" w14:textId="4A5B0B16" w:rsidR="00420DEE" w:rsidRDefault="00420DEE" w:rsidP="00561E93">
      <w:r>
        <w:t xml:space="preserve">Two comparators </w:t>
      </w:r>
      <w:proofErr w:type="gramStart"/>
      <w:r>
        <w:t>were proposed</w:t>
      </w:r>
      <w:proofErr w:type="gramEnd"/>
      <w:r>
        <w:t xml:space="preserve"> by PASC for this population: (1) p</w:t>
      </w:r>
      <w:r w:rsidRPr="00182755">
        <w:t>rophylaxis with BPAs plus on demand BPAs to treat bleeds</w:t>
      </w:r>
      <w:r>
        <w:t>;</w:t>
      </w:r>
      <w:r w:rsidRPr="00182755">
        <w:t xml:space="preserve"> </w:t>
      </w:r>
      <w:r>
        <w:t>(2) n</w:t>
      </w:r>
      <w:r w:rsidRPr="00182755">
        <w:t xml:space="preserve">o prophylaxis </w:t>
      </w:r>
      <w:r>
        <w:t xml:space="preserve">with BPAs </w:t>
      </w:r>
      <w:r w:rsidRPr="00182755">
        <w:t>plus on demand BPAs to treat bleeds or as surgical cover</w:t>
      </w:r>
      <w:r>
        <w:t xml:space="preserve">. The </w:t>
      </w:r>
      <w:r w:rsidR="004148F5">
        <w:t>application</w:t>
      </w:r>
      <w:r w:rsidR="0020198F">
        <w:t xml:space="preserve"> </w:t>
      </w:r>
      <w:r>
        <w:t>stated that</w:t>
      </w:r>
      <w:r w:rsidR="0020198F">
        <w:t xml:space="preserve"> both</w:t>
      </w:r>
      <w:r>
        <w:t xml:space="preserve"> </w:t>
      </w:r>
      <w:r w:rsidR="009E6D2A" w:rsidRPr="00DE14C8">
        <w:t>activated p</w:t>
      </w:r>
      <w:r w:rsidR="009E6D2A">
        <w:t>rothrombin complex concentrate (</w:t>
      </w:r>
      <w:proofErr w:type="spellStart"/>
      <w:r w:rsidR="009E6D2A" w:rsidRPr="00DE14C8">
        <w:t>aPCC</w:t>
      </w:r>
      <w:proofErr w:type="spellEnd"/>
      <w:r w:rsidR="009E6D2A">
        <w:t xml:space="preserve">) and </w:t>
      </w:r>
      <w:r w:rsidR="009E6D2A" w:rsidRPr="00DE14C8">
        <w:t xml:space="preserve">recombinant </w:t>
      </w:r>
      <w:r w:rsidR="005E1F81">
        <w:t>f</w:t>
      </w:r>
      <w:r w:rsidR="009E6D2A" w:rsidRPr="00DE14C8">
        <w:t>actor</w:t>
      </w:r>
      <w:r w:rsidR="005E1F81">
        <w:t> </w:t>
      </w:r>
      <w:proofErr w:type="spellStart"/>
      <w:r w:rsidR="009E6D2A" w:rsidRPr="00DE14C8">
        <w:t>VIIa</w:t>
      </w:r>
      <w:proofErr w:type="spellEnd"/>
      <w:r w:rsidR="009E6D2A">
        <w:t xml:space="preserve"> </w:t>
      </w:r>
      <w:r w:rsidR="0020198F">
        <w:t xml:space="preserve">are </w:t>
      </w:r>
      <w:r w:rsidR="00A82861" w:rsidRPr="00182755">
        <w:t xml:space="preserve">BPAs </w:t>
      </w:r>
      <w:r w:rsidR="0020198F">
        <w:t>publicly reimbursed on the NBA</w:t>
      </w:r>
      <w:r w:rsidR="00A82861">
        <w:t>’</w:t>
      </w:r>
      <w:r w:rsidR="0020198F">
        <w:t>s NPL</w:t>
      </w:r>
      <w:r w:rsidR="00932C02">
        <w:t>.</w:t>
      </w:r>
    </w:p>
    <w:p w14:paraId="27AEA22F" w14:textId="77777777" w:rsidR="00BC1364" w:rsidRPr="00F715D1" w:rsidRDefault="00BC1364" w:rsidP="00F715D1">
      <w:pPr>
        <w:pStyle w:val="Heading1"/>
      </w:pPr>
      <w:r w:rsidRPr="00F715D1">
        <w:t>Comparative safety</w:t>
      </w:r>
    </w:p>
    <w:p w14:paraId="537E27CA" w14:textId="5168CD56" w:rsidR="00E2366A" w:rsidRDefault="0087130A" w:rsidP="0084378F">
      <w:pPr>
        <w:tabs>
          <w:tab w:val="left" w:pos="284"/>
        </w:tabs>
        <w:spacing w:after="240"/>
        <w:rPr>
          <w:szCs w:val="24"/>
        </w:rPr>
      </w:pPr>
      <w:r>
        <w:rPr>
          <w:szCs w:val="24"/>
        </w:rPr>
        <w:t xml:space="preserve">The </w:t>
      </w:r>
      <w:r w:rsidR="004148F5">
        <w:rPr>
          <w:szCs w:val="24"/>
        </w:rPr>
        <w:t>application</w:t>
      </w:r>
      <w:r>
        <w:rPr>
          <w:szCs w:val="24"/>
        </w:rPr>
        <w:t xml:space="preserve"> identified one randomised </w:t>
      </w:r>
      <w:r w:rsidR="00A82861">
        <w:rPr>
          <w:szCs w:val="24"/>
        </w:rPr>
        <w:t xml:space="preserve">trial </w:t>
      </w:r>
      <w:r>
        <w:rPr>
          <w:szCs w:val="24"/>
        </w:rPr>
        <w:t>(HAVEN 1) and two</w:t>
      </w:r>
      <w:r w:rsidRPr="0087130A">
        <w:rPr>
          <w:szCs w:val="24"/>
        </w:rPr>
        <w:t xml:space="preserve"> non-randomised (HAVEN 2</w:t>
      </w:r>
      <w:r w:rsidR="00A82861">
        <w:rPr>
          <w:szCs w:val="24"/>
        </w:rPr>
        <w:t>,</w:t>
      </w:r>
      <w:r w:rsidR="005E1F81">
        <w:rPr>
          <w:szCs w:val="24"/>
        </w:rPr>
        <w:t xml:space="preserve"> </w:t>
      </w:r>
      <w:r w:rsidR="00FE4E2F">
        <w:rPr>
          <w:szCs w:val="24"/>
        </w:rPr>
        <w:t>n=63</w:t>
      </w:r>
      <w:r w:rsidRPr="0087130A">
        <w:rPr>
          <w:szCs w:val="24"/>
        </w:rPr>
        <w:t xml:space="preserve"> and NIS BH29768</w:t>
      </w:r>
      <w:r w:rsidR="00A82861">
        <w:rPr>
          <w:szCs w:val="24"/>
        </w:rPr>
        <w:t>,</w:t>
      </w:r>
      <w:r w:rsidR="00FE4E2F">
        <w:rPr>
          <w:szCs w:val="24"/>
        </w:rPr>
        <w:t xml:space="preserve"> n=24</w:t>
      </w:r>
      <w:r w:rsidRPr="0087130A">
        <w:rPr>
          <w:szCs w:val="24"/>
        </w:rPr>
        <w:t xml:space="preserve">) studies contributing clinical evidence for emicizumab prophylaxis in the treatment of </w:t>
      </w:r>
      <w:r w:rsidR="00A15655">
        <w:rPr>
          <w:szCs w:val="24"/>
        </w:rPr>
        <w:t>haemophilia A</w:t>
      </w:r>
      <w:r w:rsidRPr="0087130A">
        <w:rPr>
          <w:szCs w:val="24"/>
        </w:rPr>
        <w:t xml:space="preserve"> patients with </w:t>
      </w:r>
      <w:r w:rsidR="005E1F81">
        <w:rPr>
          <w:szCs w:val="24"/>
        </w:rPr>
        <w:t>factor </w:t>
      </w:r>
      <w:r w:rsidRPr="0087130A">
        <w:rPr>
          <w:szCs w:val="24"/>
        </w:rPr>
        <w:t>VIII inhibitors</w:t>
      </w:r>
      <w:r w:rsidR="005E1F81">
        <w:rPr>
          <w:szCs w:val="24"/>
        </w:rPr>
        <w:t>.</w:t>
      </w:r>
    </w:p>
    <w:p w14:paraId="7EB0317B" w14:textId="0A6AC330" w:rsidR="00F57FDB" w:rsidRDefault="00E2366A" w:rsidP="0084378F">
      <w:pPr>
        <w:spacing w:after="240"/>
      </w:pPr>
      <w:r w:rsidRPr="003A20F1">
        <w:t xml:space="preserve">In adult and adolescent </w:t>
      </w:r>
      <w:r w:rsidR="005E1F81">
        <w:t>haemophilia </w:t>
      </w:r>
      <w:r w:rsidRPr="003A20F1">
        <w:t>A patients</w:t>
      </w:r>
      <w:r w:rsidR="00F57FDB">
        <w:t xml:space="preserve"> ≥ 12 years of age</w:t>
      </w:r>
      <w:r w:rsidRPr="003A20F1">
        <w:t xml:space="preserve">, HAVEN 1 </w:t>
      </w:r>
      <w:r w:rsidR="00F57FDB">
        <w:t>reported</w:t>
      </w:r>
      <w:r w:rsidRPr="003A20F1">
        <w:t xml:space="preserve"> a randomised comparison of </w:t>
      </w:r>
      <w:r w:rsidR="00A82861" w:rsidRPr="003A20F1">
        <w:t>prophylactic use of emicizumab (Arm A</w:t>
      </w:r>
      <w:r w:rsidR="00A82861">
        <w:t>, n=35</w:t>
      </w:r>
      <w:r w:rsidR="00A82861" w:rsidRPr="003A20F1">
        <w:t>)</w:t>
      </w:r>
      <w:r w:rsidR="00A82861">
        <w:t xml:space="preserve"> with </w:t>
      </w:r>
      <w:r w:rsidR="00A82861" w:rsidRPr="003A20F1">
        <w:t xml:space="preserve">on demand use of BPAs </w:t>
      </w:r>
      <w:r w:rsidR="00A82861">
        <w:t xml:space="preserve">as </w:t>
      </w:r>
      <w:r w:rsidRPr="003A20F1">
        <w:t>current standard of care (Arm B</w:t>
      </w:r>
      <w:r w:rsidR="00A82861">
        <w:t>,</w:t>
      </w:r>
      <w:r>
        <w:t xml:space="preserve"> </w:t>
      </w:r>
      <w:r w:rsidR="00FE4E2F">
        <w:t>n=18</w:t>
      </w:r>
      <w:r w:rsidRPr="003A20F1">
        <w:t>)</w:t>
      </w:r>
      <w:r w:rsidR="00A82861">
        <w:t xml:space="preserve">. Other patients in the study enabled </w:t>
      </w:r>
      <w:r w:rsidRPr="003A20F1">
        <w:t>also an intra-patient comparison of emicizumab prophylaxis (Arm C</w:t>
      </w:r>
      <w:r w:rsidR="00A82861">
        <w:t>,</w:t>
      </w:r>
      <w:r>
        <w:t xml:space="preserve"> n=49</w:t>
      </w:r>
      <w:r w:rsidRPr="003A20F1">
        <w:t xml:space="preserve">) compared to prophylactic use of BPAs utilising </w:t>
      </w:r>
      <w:r w:rsidR="00DB7536" w:rsidRPr="003A20F1">
        <w:t xml:space="preserve">historical </w:t>
      </w:r>
      <w:r w:rsidRPr="003A20F1">
        <w:t xml:space="preserve">data from the same patients who participated in the non-interventional study NIS </w:t>
      </w:r>
      <w:r w:rsidR="00F57FDB">
        <w:t>BH</w:t>
      </w:r>
      <w:r w:rsidRPr="003A20F1">
        <w:t>29768.</w:t>
      </w:r>
      <w:r w:rsidR="00F57FDB">
        <w:t xml:space="preserve"> HAVEN 2 </w:t>
      </w:r>
      <w:proofErr w:type="gramStart"/>
      <w:r w:rsidR="00F57FDB">
        <w:t>was conducted</w:t>
      </w:r>
      <w:proofErr w:type="gramEnd"/>
      <w:r w:rsidR="00F57FDB">
        <w:t xml:space="preserve"> in children &lt; 12 years of age.</w:t>
      </w:r>
    </w:p>
    <w:p w14:paraId="6929ABC9" w14:textId="6F98C9EC" w:rsidR="00F57FDB" w:rsidRPr="0084378F" w:rsidRDefault="00F57FDB" w:rsidP="0084378F">
      <w:pPr>
        <w:tabs>
          <w:tab w:val="left" w:pos="284"/>
        </w:tabs>
        <w:spacing w:after="240"/>
      </w:pPr>
      <w:r>
        <w:t>To supplement the evidence from the intra-patient comparison of Arm C in HAVEN 1, an indirect treatment comparison (ITC) was undertaken comparing emicizumab prophylaxis with BPA (</w:t>
      </w:r>
      <w:proofErr w:type="spellStart"/>
      <w:r>
        <w:t>aPCC</w:t>
      </w:r>
      <w:proofErr w:type="spellEnd"/>
      <w:r>
        <w:t xml:space="preserve"> or recombinant factor </w:t>
      </w:r>
      <w:proofErr w:type="spellStart"/>
      <w:r>
        <w:t>VIIa</w:t>
      </w:r>
      <w:proofErr w:type="spellEnd"/>
      <w:r>
        <w:t xml:space="preserve">) prophylaxis (via the available randomised evidence). BPA trials </w:t>
      </w:r>
      <w:proofErr w:type="gramStart"/>
      <w:r>
        <w:t>were identified</w:t>
      </w:r>
      <w:proofErr w:type="gramEnd"/>
      <w:r>
        <w:t xml:space="preserve"> from a Cochrane review of BPA prophylaxis published by Chai-</w:t>
      </w:r>
      <w:proofErr w:type="spellStart"/>
      <w:r>
        <w:t>Adisaksopha</w:t>
      </w:r>
      <w:proofErr w:type="spellEnd"/>
      <w:r>
        <w:t xml:space="preserve"> in 2017 and supplementary literature and manual searches: </w:t>
      </w:r>
      <w:proofErr w:type="spellStart"/>
      <w:r>
        <w:t>Antunes</w:t>
      </w:r>
      <w:proofErr w:type="spellEnd"/>
      <w:r>
        <w:t xml:space="preserve"> 2014, </w:t>
      </w:r>
      <w:proofErr w:type="spellStart"/>
      <w:r>
        <w:t>Leissinger</w:t>
      </w:r>
      <w:proofErr w:type="spellEnd"/>
      <w:r>
        <w:t xml:space="preserve"> 2011 and </w:t>
      </w:r>
      <w:proofErr w:type="spellStart"/>
      <w:r>
        <w:t>Konkle</w:t>
      </w:r>
      <w:proofErr w:type="spellEnd"/>
      <w:r>
        <w:t xml:space="preserve"> 2007.</w:t>
      </w:r>
    </w:p>
    <w:p w14:paraId="2A8264A5" w14:textId="290EEB4B" w:rsidR="00F57FDB" w:rsidRDefault="00E2366A" w:rsidP="0084378F">
      <w:pPr>
        <w:spacing w:after="240"/>
      </w:pPr>
      <w:r>
        <w:t xml:space="preserve">The </w:t>
      </w:r>
      <w:r w:rsidR="004148F5">
        <w:t>application</w:t>
      </w:r>
      <w:r>
        <w:t xml:space="preserve"> stated that t</w:t>
      </w:r>
      <w:r w:rsidR="003A20F1">
        <w:t xml:space="preserve">he </w:t>
      </w:r>
      <w:proofErr w:type="gramStart"/>
      <w:r w:rsidR="003A20F1">
        <w:t>tolerability of emicizumab prophylaxis was demonstrated by the low number of withdrawals from treatment</w:t>
      </w:r>
      <w:proofErr w:type="gramEnd"/>
      <w:r w:rsidR="003A20F1">
        <w:t xml:space="preserve"> </w:t>
      </w:r>
      <w:r w:rsidR="003A20F1" w:rsidRPr="00CB08F3">
        <w:t>(4</w:t>
      </w:r>
      <w:r w:rsidR="003A20F1" w:rsidRPr="00595DAF">
        <w:t xml:space="preserve"> patients; 2.1% of 189 patients treated with emicizumab)</w:t>
      </w:r>
      <w:r w:rsidR="003A20F1">
        <w:t xml:space="preserve">. For the randomised comparison in HAVEN 1 (Arm A versus Arm </w:t>
      </w:r>
      <w:proofErr w:type="gramStart"/>
      <w:r w:rsidR="003A20F1">
        <w:t>B)</w:t>
      </w:r>
      <w:proofErr w:type="gramEnd"/>
      <w:r w:rsidR="003A20F1">
        <w:t xml:space="preserve"> the total number of adverse events (AEs) was higher in the emicizumab prophylaxis arm. The most commonly reported AEs in the emicizumab arm were injection site reactions (ISRs); for treatment with on demand BPAs</w:t>
      </w:r>
      <w:r w:rsidR="00DB7536">
        <w:t>,</w:t>
      </w:r>
      <w:r w:rsidR="003A20F1">
        <w:t xml:space="preserve"> the most common AE was upper respiratory tract infection. Four patients in each arm experienced serious AEs (SAEs) </w:t>
      </w:r>
      <w:r w:rsidR="003A20F1" w:rsidRPr="00595DAF">
        <w:t>[12% emicizumab prophylaxis and 22% on demand BPAs]. For the intra-patient comparison in Arm C, the overall incidence of AEs was similar between emicizumab and prior BPAs, whereas the incidence of clinically important AEs (SAEs and Grade ≥3 AEs) was greater with BPA</w:t>
      </w:r>
      <w:r w:rsidRPr="00595DAF">
        <w:t xml:space="preserve"> prophylaxis (37.5% vs. 12.5%). </w:t>
      </w:r>
      <w:r w:rsidR="003A20F1" w:rsidRPr="00595DAF">
        <w:t>In HAVEN 2</w:t>
      </w:r>
      <w:r w:rsidR="00DB7536" w:rsidRPr="00595DAF">
        <w:t>,</w:t>
      </w:r>
      <w:r w:rsidR="003A20F1" w:rsidRPr="00595DAF">
        <w:t xml:space="preserve"> the most common AEs rep</w:t>
      </w:r>
      <w:r w:rsidR="003A20F1">
        <w:t xml:space="preserve">orted were </w:t>
      </w:r>
      <w:proofErr w:type="spellStart"/>
      <w:r w:rsidR="003A20F1">
        <w:t>nasopharyngitis</w:t>
      </w:r>
      <w:proofErr w:type="spellEnd"/>
      <w:r w:rsidR="003A20F1">
        <w:t xml:space="preserve"> and ISRs. No patients withdrew from treatment or had their emicizumab dose </w:t>
      </w:r>
      <w:r>
        <w:t>modified/interrupted due to AEs.</w:t>
      </w:r>
    </w:p>
    <w:p w14:paraId="1FDF4352" w14:textId="6AC76724" w:rsidR="00FA2BFD" w:rsidRPr="0084378F" w:rsidRDefault="00F57FDB">
      <w:r>
        <w:t xml:space="preserve">Patients treated with emicizumab prophylaxis in HAVEN 1 reported significantly more AEs compared to the trials of BPA prophylaxis, but </w:t>
      </w:r>
      <w:proofErr w:type="gramStart"/>
      <w:r>
        <w:t>this is explained by the differing safety reporting and analysis methods and period of observation between the trials</w:t>
      </w:r>
      <w:proofErr w:type="gramEnd"/>
      <w:r>
        <w:t>. Notably, HAVEN 1 had the lowest rate of SAEs compared to the trials of BPA prophylaxis.</w:t>
      </w:r>
      <w:r w:rsidR="00FA2BFD">
        <w:br w:type="page"/>
      </w:r>
    </w:p>
    <w:p w14:paraId="3D191DB6" w14:textId="4531BAFD" w:rsidR="00BC1364" w:rsidRPr="00F715D1" w:rsidRDefault="00BC1364" w:rsidP="00C3575C">
      <w:pPr>
        <w:pStyle w:val="Heading1"/>
      </w:pPr>
      <w:r w:rsidRPr="00F715D1">
        <w:lastRenderedPageBreak/>
        <w:t>Comparative effectiveness</w:t>
      </w:r>
    </w:p>
    <w:p w14:paraId="079594E1" w14:textId="77777777" w:rsidR="00086B3C" w:rsidRPr="00086B3C" w:rsidRDefault="00086B3C" w:rsidP="00C766F2">
      <w:pPr>
        <w:spacing w:after="120"/>
        <w:rPr>
          <w:rStyle w:val="Emphasis"/>
        </w:rPr>
      </w:pPr>
      <w:r>
        <w:rPr>
          <w:rStyle w:val="Emphasis"/>
        </w:rPr>
        <w:t>HAVEN 1</w:t>
      </w:r>
    </w:p>
    <w:p w14:paraId="2E273B8A" w14:textId="50FD3775" w:rsidR="00086B3C" w:rsidRDefault="004E5E72" w:rsidP="0084378F">
      <w:pPr>
        <w:spacing w:after="240"/>
      </w:pPr>
      <w:r>
        <w:t xml:space="preserve">For the primary endpoint of treated bleeds for the randomised population, </w:t>
      </w:r>
      <w:r w:rsidR="00464F30">
        <w:t xml:space="preserve">the </w:t>
      </w:r>
      <w:r w:rsidR="00C766F2">
        <w:t>application</w:t>
      </w:r>
      <w:r w:rsidR="00464F30">
        <w:t xml:space="preserve"> stated that </w:t>
      </w:r>
      <w:r>
        <w:t xml:space="preserve">there was a statistically significant 87% reduction in </w:t>
      </w:r>
      <w:r w:rsidR="00DB7536">
        <w:t xml:space="preserve">annual </w:t>
      </w:r>
      <w:r>
        <w:t xml:space="preserve">bleed rate with emicizumab prophylaxis compared with on demand treatment with BPAs (Arm A vs. B). </w:t>
      </w:r>
      <w:proofErr w:type="gramStart"/>
      <w:r>
        <w:t>A total of 22</w:t>
      </w:r>
      <w:proofErr w:type="gramEnd"/>
      <w:r>
        <w:t xml:space="preserve"> of 35 patients (62.9%) in Arm A had no treated bleeds at all. The intra-patient comparison</w:t>
      </w:r>
      <w:r w:rsidR="00DB7536">
        <w:t>s</w:t>
      </w:r>
      <w:r>
        <w:t xml:space="preserve"> of bleed rates in Arm</w:t>
      </w:r>
      <w:r w:rsidR="00DB7536">
        <w:t>s</w:t>
      </w:r>
      <w:r>
        <w:t xml:space="preserve"> A and C showed a statistically significant reduction of ABR of 92% and 79% for emicizumab prophylaxis compared with prior on demand or prophylactic BPAs respectively, with 17 of 24 patients (70.8%) in each comparison experiencing zero treated bleeds</w:t>
      </w:r>
      <w:r w:rsidR="00086B3C">
        <w:t xml:space="preserve"> (</w:t>
      </w:r>
      <w:r w:rsidR="00C766F2">
        <w:t xml:space="preserve">Table </w:t>
      </w:r>
      <w:r w:rsidR="00DB7536">
        <w:t>1</w:t>
      </w:r>
      <w:r w:rsidR="00086B3C">
        <w:t>)</w:t>
      </w:r>
      <w:r w:rsidR="00086B3C" w:rsidRPr="00086B3C">
        <w:t>.</w:t>
      </w:r>
    </w:p>
    <w:p w14:paraId="3223FA0C" w14:textId="6467A8E9" w:rsidR="00086B3C" w:rsidRPr="00086B3C" w:rsidRDefault="00086B3C" w:rsidP="005E4220">
      <w:pPr>
        <w:keepNext/>
        <w:pBdr>
          <w:top w:val="nil"/>
          <w:left w:val="nil"/>
          <w:bottom w:val="nil"/>
          <w:right w:val="nil"/>
          <w:between w:val="nil"/>
        </w:pBdr>
        <w:spacing w:after="40"/>
        <w:rPr>
          <w:rFonts w:ascii="Arial Narrow" w:hAnsi="Arial Narrow"/>
          <w:b/>
          <w:color w:val="000000"/>
          <w:sz w:val="20"/>
        </w:rPr>
      </w:pPr>
      <w:bookmarkStart w:id="2" w:name="_Ref531254275"/>
      <w:r w:rsidRPr="00086B3C">
        <w:rPr>
          <w:rFonts w:ascii="Arial Narrow" w:hAnsi="Arial Narrow"/>
          <w:b/>
          <w:sz w:val="20"/>
        </w:rPr>
        <w:t xml:space="preserve">Table </w:t>
      </w:r>
      <w:bookmarkEnd w:id="2"/>
      <w:r w:rsidR="00DB7536">
        <w:rPr>
          <w:rFonts w:ascii="Arial Narrow" w:hAnsi="Arial Narrow"/>
          <w:b/>
          <w:sz w:val="20"/>
        </w:rPr>
        <w:t>1</w:t>
      </w:r>
      <w:r w:rsidR="00C766F2">
        <w:rPr>
          <w:rFonts w:ascii="Arial Narrow" w:hAnsi="Arial Narrow"/>
          <w:sz w:val="20"/>
        </w:rPr>
        <w:tab/>
      </w:r>
      <w:r w:rsidRPr="00086B3C">
        <w:rPr>
          <w:rFonts w:ascii="Arial Narrow" w:hAnsi="Arial Narrow"/>
          <w:b/>
          <w:color w:val="000000"/>
          <w:sz w:val="20"/>
        </w:rPr>
        <w:t xml:space="preserve">HAVEN 1 and NIS BH29768: Overview of bleeding endpoints in </w:t>
      </w:r>
      <w:proofErr w:type="gramStart"/>
      <w:r w:rsidRPr="00086B3C">
        <w:rPr>
          <w:rFonts w:ascii="Arial Narrow" w:hAnsi="Arial Narrow"/>
          <w:b/>
          <w:color w:val="000000"/>
          <w:sz w:val="20"/>
        </w:rPr>
        <w:t>patients</w:t>
      </w:r>
      <w:proofErr w:type="gramEnd"/>
      <w:r w:rsidRPr="00086B3C">
        <w:rPr>
          <w:rFonts w:ascii="Arial Narrow" w:hAnsi="Arial Narrow"/>
          <w:b/>
          <w:color w:val="000000"/>
          <w:sz w:val="20"/>
        </w:rPr>
        <w:t xml:space="preserve"> ≥ 12 years</w:t>
      </w:r>
      <w:r w:rsidR="00F57FDB">
        <w:rPr>
          <w:rFonts w:ascii="Arial Narrow" w:hAnsi="Arial Narrow"/>
          <w:b/>
          <w:color w:val="000000"/>
          <w:sz w:val="20"/>
        </w:rPr>
        <w:t xml:space="preserve"> of age</w:t>
      </w:r>
    </w:p>
    <w:tbl>
      <w:tblPr>
        <w:tblStyle w:val="TableGrid"/>
        <w:tblW w:w="5000" w:type="pct"/>
        <w:tblLook w:val="0400" w:firstRow="0" w:lastRow="0" w:firstColumn="0" w:lastColumn="0" w:noHBand="0" w:noVBand="1"/>
        <w:tblDescription w:val="Summary of the trial results for the trial arms (HAVEN 1 and NIS BH29768) for the bleeding endpoints in patients greater than or equal to 12 years of age"/>
      </w:tblPr>
      <w:tblGrid>
        <w:gridCol w:w="1627"/>
        <w:gridCol w:w="1384"/>
        <w:gridCol w:w="1105"/>
        <w:gridCol w:w="1244"/>
        <w:gridCol w:w="1105"/>
        <w:gridCol w:w="1273"/>
        <w:gridCol w:w="1278"/>
      </w:tblGrid>
      <w:tr w:rsidR="00086B3C" w:rsidRPr="00086B3C" w14:paraId="4B719D1D" w14:textId="77777777" w:rsidTr="00F81214">
        <w:trPr>
          <w:trHeight w:val="380"/>
          <w:tblHeader/>
        </w:trPr>
        <w:tc>
          <w:tcPr>
            <w:tcW w:w="902" w:type="pct"/>
          </w:tcPr>
          <w:p w14:paraId="293C5AD4" w14:textId="77777777" w:rsidR="00086B3C" w:rsidRPr="00086B3C" w:rsidRDefault="00086B3C" w:rsidP="00086B3C">
            <w:pPr>
              <w:keepNext/>
              <w:spacing w:before="20" w:after="20"/>
              <w:jc w:val="center"/>
              <w:rPr>
                <w:rFonts w:ascii="Arial Narrow" w:hAnsi="Arial Narrow"/>
                <w:b/>
                <w:sz w:val="20"/>
              </w:rPr>
            </w:pPr>
          </w:p>
        </w:tc>
        <w:tc>
          <w:tcPr>
            <w:tcW w:w="1380" w:type="pct"/>
            <w:gridSpan w:val="2"/>
          </w:tcPr>
          <w:p w14:paraId="0B7540E6" w14:textId="73D1E555" w:rsidR="00086B3C" w:rsidRPr="00086B3C" w:rsidRDefault="00DB7536" w:rsidP="00086B3C">
            <w:pPr>
              <w:keepNext/>
              <w:spacing w:before="20" w:after="20"/>
              <w:jc w:val="center"/>
              <w:rPr>
                <w:rFonts w:ascii="Arial Narrow" w:hAnsi="Arial Narrow"/>
                <w:b/>
                <w:sz w:val="20"/>
              </w:rPr>
            </w:pPr>
            <w:r>
              <w:rPr>
                <w:rFonts w:ascii="Arial Narrow" w:hAnsi="Arial Narrow"/>
                <w:b/>
                <w:sz w:val="20"/>
              </w:rPr>
              <w:t>HAVEN 1</w:t>
            </w:r>
            <w:r w:rsidR="00086B3C" w:rsidRPr="00086B3C">
              <w:rPr>
                <w:rFonts w:ascii="Arial Narrow" w:hAnsi="Arial Narrow"/>
                <w:b/>
                <w:sz w:val="20"/>
              </w:rPr>
              <w:br/>
              <w:t>Randomised comparison</w:t>
            </w:r>
          </w:p>
        </w:tc>
        <w:tc>
          <w:tcPr>
            <w:tcW w:w="2718" w:type="pct"/>
            <w:gridSpan w:val="4"/>
          </w:tcPr>
          <w:p w14:paraId="2C476EC7" w14:textId="77777777" w:rsidR="00086B3C" w:rsidRPr="00086B3C" w:rsidRDefault="00086B3C" w:rsidP="00086B3C">
            <w:pPr>
              <w:keepNext/>
              <w:spacing w:before="20" w:after="20"/>
              <w:jc w:val="center"/>
              <w:rPr>
                <w:rFonts w:ascii="Arial Narrow" w:hAnsi="Arial Narrow"/>
                <w:b/>
                <w:sz w:val="20"/>
              </w:rPr>
            </w:pPr>
            <w:r w:rsidRPr="00086B3C">
              <w:rPr>
                <w:rFonts w:ascii="Arial Narrow" w:hAnsi="Arial Narrow"/>
                <w:b/>
                <w:sz w:val="20"/>
              </w:rPr>
              <w:t>HAVEN 1 &amp; NIS BH29768</w:t>
            </w:r>
            <w:r w:rsidRPr="00086B3C">
              <w:rPr>
                <w:rFonts w:ascii="Arial Narrow" w:hAnsi="Arial Narrow"/>
                <w:b/>
                <w:sz w:val="20"/>
              </w:rPr>
              <w:br/>
              <w:t>Intra-patient comparisons</w:t>
            </w:r>
          </w:p>
        </w:tc>
      </w:tr>
      <w:tr w:rsidR="00086B3C" w:rsidRPr="00086B3C" w14:paraId="5CD0476D" w14:textId="77777777" w:rsidTr="00F81214">
        <w:trPr>
          <w:trHeight w:val="920"/>
        </w:trPr>
        <w:tc>
          <w:tcPr>
            <w:tcW w:w="902" w:type="pct"/>
          </w:tcPr>
          <w:p w14:paraId="60A52CB0" w14:textId="77777777" w:rsidR="00086B3C" w:rsidRPr="00086B3C" w:rsidRDefault="00086B3C" w:rsidP="00086B3C">
            <w:pPr>
              <w:keepNext/>
              <w:spacing w:before="20" w:after="20"/>
              <w:jc w:val="center"/>
              <w:rPr>
                <w:rFonts w:ascii="Arial Narrow" w:hAnsi="Arial Narrow"/>
                <w:b/>
                <w:sz w:val="20"/>
              </w:rPr>
            </w:pPr>
            <w:r w:rsidRPr="00086B3C">
              <w:rPr>
                <w:rFonts w:ascii="Arial Narrow" w:hAnsi="Arial Narrow"/>
                <w:b/>
                <w:sz w:val="20"/>
              </w:rPr>
              <w:t>Parameter</w:t>
            </w:r>
          </w:p>
        </w:tc>
        <w:tc>
          <w:tcPr>
            <w:tcW w:w="767" w:type="pct"/>
          </w:tcPr>
          <w:p w14:paraId="3BB03CE5" w14:textId="77777777" w:rsidR="00086B3C" w:rsidRPr="00086B3C" w:rsidRDefault="00086B3C" w:rsidP="00086B3C">
            <w:pPr>
              <w:keepNext/>
              <w:spacing w:before="20" w:after="20"/>
              <w:jc w:val="center"/>
              <w:rPr>
                <w:rFonts w:ascii="Arial Narrow" w:hAnsi="Arial Narrow"/>
                <w:b/>
                <w:sz w:val="20"/>
              </w:rPr>
            </w:pPr>
            <w:r w:rsidRPr="00086B3C">
              <w:rPr>
                <w:rFonts w:ascii="Arial Narrow" w:hAnsi="Arial Narrow"/>
                <w:b/>
                <w:sz w:val="20"/>
              </w:rPr>
              <w:t>Arm A</w:t>
            </w:r>
            <w:r w:rsidRPr="00086B3C">
              <w:rPr>
                <w:rFonts w:ascii="Arial Narrow" w:hAnsi="Arial Narrow"/>
                <w:b/>
                <w:sz w:val="20"/>
              </w:rPr>
              <w:br/>
              <w:t xml:space="preserve">emicizumab </w:t>
            </w:r>
            <w:proofErr w:type="spellStart"/>
            <w:r w:rsidRPr="00086B3C">
              <w:rPr>
                <w:rFonts w:ascii="Arial Narrow" w:hAnsi="Arial Narrow"/>
                <w:b/>
                <w:sz w:val="20"/>
              </w:rPr>
              <w:t>prophylaxis</w:t>
            </w:r>
            <w:r w:rsidRPr="00086B3C">
              <w:rPr>
                <w:rFonts w:ascii="Arial Narrow" w:hAnsi="Arial Narrow"/>
                <w:b/>
                <w:sz w:val="20"/>
                <w:vertAlign w:val="superscript"/>
              </w:rPr>
              <w:t>a</w:t>
            </w:r>
            <w:proofErr w:type="spellEnd"/>
          </w:p>
        </w:tc>
        <w:tc>
          <w:tcPr>
            <w:tcW w:w="613" w:type="pct"/>
          </w:tcPr>
          <w:p w14:paraId="731CF8AD" w14:textId="77777777" w:rsidR="00086B3C" w:rsidRPr="00086B3C" w:rsidRDefault="00086B3C" w:rsidP="00086B3C">
            <w:pPr>
              <w:keepNext/>
              <w:spacing w:before="20" w:after="20"/>
              <w:jc w:val="center"/>
              <w:rPr>
                <w:rFonts w:ascii="Arial Narrow" w:hAnsi="Arial Narrow"/>
                <w:b/>
                <w:sz w:val="20"/>
              </w:rPr>
            </w:pPr>
            <w:r w:rsidRPr="00086B3C">
              <w:rPr>
                <w:rFonts w:ascii="Arial Narrow" w:hAnsi="Arial Narrow"/>
                <w:b/>
                <w:sz w:val="20"/>
              </w:rPr>
              <w:t>Arm B</w:t>
            </w:r>
            <w:r w:rsidRPr="00086B3C">
              <w:rPr>
                <w:rFonts w:ascii="Arial Narrow" w:hAnsi="Arial Narrow"/>
                <w:b/>
                <w:sz w:val="20"/>
              </w:rPr>
              <w:br/>
              <w:t xml:space="preserve">On demand </w:t>
            </w:r>
            <w:proofErr w:type="spellStart"/>
            <w:r w:rsidRPr="00086B3C">
              <w:rPr>
                <w:rFonts w:ascii="Arial Narrow" w:hAnsi="Arial Narrow"/>
                <w:b/>
                <w:sz w:val="20"/>
              </w:rPr>
              <w:t>BPA</w:t>
            </w:r>
            <w:r w:rsidRPr="00086B3C">
              <w:rPr>
                <w:rFonts w:ascii="Arial Narrow" w:hAnsi="Arial Narrow"/>
                <w:b/>
                <w:sz w:val="20"/>
                <w:vertAlign w:val="superscript"/>
              </w:rPr>
              <w:t>a</w:t>
            </w:r>
            <w:proofErr w:type="spellEnd"/>
          </w:p>
        </w:tc>
        <w:tc>
          <w:tcPr>
            <w:tcW w:w="690" w:type="pct"/>
          </w:tcPr>
          <w:p w14:paraId="397CFCBC" w14:textId="77777777" w:rsidR="00086B3C" w:rsidRPr="00086B3C" w:rsidRDefault="00086B3C" w:rsidP="00086B3C">
            <w:pPr>
              <w:keepNext/>
              <w:spacing w:before="20" w:after="20"/>
              <w:jc w:val="center"/>
              <w:rPr>
                <w:rFonts w:ascii="Arial Narrow" w:hAnsi="Arial Narrow"/>
                <w:b/>
                <w:sz w:val="20"/>
              </w:rPr>
            </w:pPr>
            <w:r w:rsidRPr="00086B3C">
              <w:rPr>
                <w:rFonts w:ascii="Arial Narrow" w:hAnsi="Arial Narrow"/>
                <w:b/>
                <w:sz w:val="20"/>
              </w:rPr>
              <w:t>Arm A</w:t>
            </w:r>
            <w:r w:rsidRPr="00086B3C">
              <w:rPr>
                <w:rFonts w:ascii="Arial Narrow" w:hAnsi="Arial Narrow"/>
                <w:b/>
                <w:sz w:val="20"/>
              </w:rPr>
              <w:br/>
              <w:t xml:space="preserve">emicizumab </w:t>
            </w:r>
            <w:proofErr w:type="spellStart"/>
            <w:r w:rsidRPr="00086B3C">
              <w:rPr>
                <w:rFonts w:ascii="Arial Narrow" w:hAnsi="Arial Narrow"/>
                <w:b/>
                <w:sz w:val="20"/>
              </w:rPr>
              <w:t>prophylaxis</w:t>
            </w:r>
            <w:r w:rsidRPr="00086B3C">
              <w:rPr>
                <w:rFonts w:ascii="Arial Narrow" w:hAnsi="Arial Narrow"/>
                <w:b/>
                <w:sz w:val="20"/>
                <w:vertAlign w:val="superscript"/>
              </w:rPr>
              <w:t>b</w:t>
            </w:r>
            <w:proofErr w:type="spellEnd"/>
          </w:p>
        </w:tc>
        <w:tc>
          <w:tcPr>
            <w:tcW w:w="613" w:type="pct"/>
          </w:tcPr>
          <w:p w14:paraId="0AF883C1" w14:textId="77777777" w:rsidR="00086B3C" w:rsidRPr="00086B3C" w:rsidRDefault="00086B3C" w:rsidP="00086B3C">
            <w:pPr>
              <w:keepNext/>
              <w:spacing w:before="20" w:after="20"/>
              <w:jc w:val="center"/>
              <w:rPr>
                <w:rFonts w:ascii="Arial Narrow" w:hAnsi="Arial Narrow"/>
                <w:b/>
                <w:sz w:val="20"/>
              </w:rPr>
            </w:pPr>
            <w:r w:rsidRPr="00086B3C">
              <w:rPr>
                <w:rFonts w:ascii="Arial Narrow" w:hAnsi="Arial Narrow"/>
                <w:b/>
                <w:sz w:val="20"/>
              </w:rPr>
              <w:t>NIS</w:t>
            </w:r>
            <w:r w:rsidRPr="00086B3C">
              <w:rPr>
                <w:rFonts w:ascii="Arial Narrow" w:hAnsi="Arial Narrow"/>
                <w:b/>
                <w:sz w:val="20"/>
              </w:rPr>
              <w:br/>
              <w:t xml:space="preserve">On demand </w:t>
            </w:r>
            <w:proofErr w:type="spellStart"/>
            <w:r w:rsidRPr="00086B3C">
              <w:rPr>
                <w:rFonts w:ascii="Arial Narrow" w:hAnsi="Arial Narrow"/>
                <w:b/>
                <w:sz w:val="20"/>
              </w:rPr>
              <w:t>BPA</w:t>
            </w:r>
            <w:r w:rsidRPr="00086B3C">
              <w:rPr>
                <w:rFonts w:ascii="Arial Narrow" w:hAnsi="Arial Narrow"/>
                <w:b/>
                <w:sz w:val="20"/>
                <w:vertAlign w:val="superscript"/>
              </w:rPr>
              <w:t>b</w:t>
            </w:r>
            <w:proofErr w:type="spellEnd"/>
          </w:p>
        </w:tc>
        <w:tc>
          <w:tcPr>
            <w:tcW w:w="706" w:type="pct"/>
          </w:tcPr>
          <w:p w14:paraId="7AE33337" w14:textId="77777777" w:rsidR="00086B3C" w:rsidRPr="00086B3C" w:rsidRDefault="00086B3C" w:rsidP="00086B3C">
            <w:pPr>
              <w:keepNext/>
              <w:spacing w:before="20" w:after="20"/>
              <w:jc w:val="center"/>
              <w:rPr>
                <w:rFonts w:ascii="Arial Narrow" w:hAnsi="Arial Narrow"/>
                <w:b/>
                <w:sz w:val="20"/>
              </w:rPr>
            </w:pPr>
            <w:r w:rsidRPr="00086B3C">
              <w:rPr>
                <w:rFonts w:ascii="Arial Narrow" w:hAnsi="Arial Narrow"/>
                <w:b/>
                <w:sz w:val="20"/>
              </w:rPr>
              <w:t>Arm C</w:t>
            </w:r>
            <w:r w:rsidRPr="00086B3C">
              <w:rPr>
                <w:rFonts w:ascii="Arial Narrow" w:hAnsi="Arial Narrow"/>
                <w:b/>
                <w:sz w:val="20"/>
              </w:rPr>
              <w:br/>
              <w:t xml:space="preserve">emicizumab </w:t>
            </w:r>
            <w:proofErr w:type="spellStart"/>
            <w:r w:rsidRPr="00086B3C">
              <w:rPr>
                <w:rFonts w:ascii="Arial Narrow" w:hAnsi="Arial Narrow"/>
                <w:b/>
                <w:sz w:val="20"/>
              </w:rPr>
              <w:t>prophylaxis</w:t>
            </w:r>
            <w:r w:rsidRPr="00086B3C">
              <w:rPr>
                <w:rFonts w:ascii="Arial Narrow" w:hAnsi="Arial Narrow"/>
                <w:b/>
                <w:sz w:val="20"/>
                <w:vertAlign w:val="superscript"/>
              </w:rPr>
              <w:t>b</w:t>
            </w:r>
            <w:proofErr w:type="spellEnd"/>
          </w:p>
        </w:tc>
        <w:tc>
          <w:tcPr>
            <w:tcW w:w="709" w:type="pct"/>
          </w:tcPr>
          <w:p w14:paraId="7930B658" w14:textId="77777777" w:rsidR="00086B3C" w:rsidRPr="00086B3C" w:rsidRDefault="00086B3C" w:rsidP="00086B3C">
            <w:pPr>
              <w:keepNext/>
              <w:spacing w:before="20" w:after="20"/>
              <w:jc w:val="center"/>
              <w:rPr>
                <w:rFonts w:ascii="Arial Narrow" w:hAnsi="Arial Narrow"/>
                <w:b/>
                <w:sz w:val="20"/>
              </w:rPr>
            </w:pPr>
            <w:r w:rsidRPr="00086B3C">
              <w:rPr>
                <w:rFonts w:ascii="Arial Narrow" w:hAnsi="Arial Narrow"/>
                <w:b/>
                <w:sz w:val="20"/>
              </w:rPr>
              <w:t>NIS</w:t>
            </w:r>
            <w:r w:rsidRPr="00086B3C">
              <w:rPr>
                <w:rFonts w:ascii="Arial Narrow" w:hAnsi="Arial Narrow"/>
                <w:b/>
                <w:sz w:val="20"/>
              </w:rPr>
              <w:br/>
              <w:t xml:space="preserve">BPA </w:t>
            </w:r>
            <w:proofErr w:type="spellStart"/>
            <w:r w:rsidRPr="00086B3C">
              <w:rPr>
                <w:rFonts w:ascii="Arial Narrow" w:hAnsi="Arial Narrow"/>
                <w:b/>
                <w:sz w:val="20"/>
              </w:rPr>
              <w:t>prophylaxis</w:t>
            </w:r>
            <w:r w:rsidRPr="00086B3C">
              <w:rPr>
                <w:rFonts w:ascii="Arial Narrow" w:hAnsi="Arial Narrow"/>
                <w:b/>
                <w:sz w:val="20"/>
                <w:vertAlign w:val="superscript"/>
              </w:rPr>
              <w:t>b</w:t>
            </w:r>
            <w:proofErr w:type="spellEnd"/>
          </w:p>
        </w:tc>
      </w:tr>
      <w:tr w:rsidR="00086B3C" w:rsidRPr="00086B3C" w14:paraId="4AB3F137" w14:textId="77777777" w:rsidTr="00F81214">
        <w:trPr>
          <w:trHeight w:val="440"/>
        </w:trPr>
        <w:tc>
          <w:tcPr>
            <w:tcW w:w="902" w:type="pct"/>
          </w:tcPr>
          <w:p w14:paraId="3D510B5F" w14:textId="77777777" w:rsidR="00086B3C" w:rsidRPr="00086B3C" w:rsidRDefault="00086B3C" w:rsidP="00086B3C">
            <w:pPr>
              <w:keepNext/>
              <w:spacing w:before="20" w:after="20"/>
              <w:rPr>
                <w:rFonts w:ascii="Arial Narrow" w:hAnsi="Arial Narrow"/>
                <w:sz w:val="20"/>
              </w:rPr>
            </w:pPr>
            <w:r w:rsidRPr="00086B3C">
              <w:rPr>
                <w:rFonts w:ascii="Arial Narrow" w:hAnsi="Arial Narrow"/>
                <w:sz w:val="20"/>
              </w:rPr>
              <w:t>n</w:t>
            </w:r>
          </w:p>
        </w:tc>
        <w:tc>
          <w:tcPr>
            <w:tcW w:w="767" w:type="pct"/>
          </w:tcPr>
          <w:p w14:paraId="692E0F21" w14:textId="77777777" w:rsidR="00086B3C" w:rsidRPr="00086B3C" w:rsidRDefault="00086B3C" w:rsidP="00086B3C">
            <w:pPr>
              <w:keepNext/>
              <w:spacing w:before="20" w:after="20"/>
              <w:jc w:val="center"/>
              <w:rPr>
                <w:rFonts w:ascii="Arial Narrow" w:hAnsi="Arial Narrow"/>
                <w:sz w:val="20"/>
              </w:rPr>
            </w:pPr>
            <w:r w:rsidRPr="00086B3C">
              <w:rPr>
                <w:rFonts w:ascii="Arial Narrow" w:hAnsi="Arial Narrow"/>
                <w:sz w:val="20"/>
              </w:rPr>
              <w:t>35</w:t>
            </w:r>
          </w:p>
        </w:tc>
        <w:tc>
          <w:tcPr>
            <w:tcW w:w="613" w:type="pct"/>
          </w:tcPr>
          <w:p w14:paraId="27075A1A" w14:textId="77777777" w:rsidR="00086B3C" w:rsidRPr="00086B3C" w:rsidRDefault="00086B3C" w:rsidP="00086B3C">
            <w:pPr>
              <w:keepNext/>
              <w:spacing w:before="20" w:after="20"/>
              <w:jc w:val="center"/>
              <w:rPr>
                <w:rFonts w:ascii="Arial Narrow" w:hAnsi="Arial Narrow"/>
                <w:sz w:val="20"/>
              </w:rPr>
            </w:pPr>
            <w:r w:rsidRPr="00086B3C">
              <w:rPr>
                <w:rFonts w:ascii="Arial Narrow" w:hAnsi="Arial Narrow"/>
                <w:sz w:val="20"/>
              </w:rPr>
              <w:t>18</w:t>
            </w:r>
          </w:p>
        </w:tc>
        <w:tc>
          <w:tcPr>
            <w:tcW w:w="690" w:type="pct"/>
          </w:tcPr>
          <w:p w14:paraId="60186D9C" w14:textId="77777777" w:rsidR="00086B3C" w:rsidRPr="009F7837" w:rsidRDefault="00086B3C" w:rsidP="00086B3C">
            <w:pPr>
              <w:keepNext/>
              <w:spacing w:before="20" w:after="20"/>
              <w:jc w:val="center"/>
              <w:rPr>
                <w:rFonts w:ascii="Arial Narrow" w:hAnsi="Arial Narrow"/>
                <w:strike/>
                <w:sz w:val="20"/>
              </w:rPr>
            </w:pPr>
            <w:r w:rsidRPr="009F7837">
              <w:rPr>
                <w:rFonts w:ascii="Arial Narrow" w:hAnsi="Arial Narrow"/>
                <w:strike/>
                <w:sz w:val="20"/>
              </w:rPr>
              <w:t>24</w:t>
            </w:r>
          </w:p>
        </w:tc>
        <w:tc>
          <w:tcPr>
            <w:tcW w:w="613" w:type="pct"/>
          </w:tcPr>
          <w:p w14:paraId="2431F588" w14:textId="77777777" w:rsidR="00086B3C" w:rsidRPr="009F7837" w:rsidRDefault="00086B3C" w:rsidP="00086B3C">
            <w:pPr>
              <w:keepNext/>
              <w:spacing w:before="20" w:after="20"/>
              <w:jc w:val="center"/>
              <w:rPr>
                <w:rFonts w:ascii="Arial Narrow" w:hAnsi="Arial Narrow"/>
                <w:strike/>
                <w:sz w:val="20"/>
              </w:rPr>
            </w:pPr>
            <w:r w:rsidRPr="009F7837">
              <w:rPr>
                <w:rFonts w:ascii="Arial Narrow" w:hAnsi="Arial Narrow"/>
                <w:strike/>
                <w:sz w:val="20"/>
              </w:rPr>
              <w:t>24</w:t>
            </w:r>
          </w:p>
        </w:tc>
        <w:tc>
          <w:tcPr>
            <w:tcW w:w="706" w:type="pct"/>
          </w:tcPr>
          <w:p w14:paraId="2BA51F8D" w14:textId="77777777" w:rsidR="00086B3C" w:rsidRPr="00086B3C" w:rsidRDefault="00086B3C" w:rsidP="00086B3C">
            <w:pPr>
              <w:keepNext/>
              <w:spacing w:before="20" w:after="20"/>
              <w:jc w:val="center"/>
              <w:rPr>
                <w:rFonts w:ascii="Arial Narrow" w:hAnsi="Arial Narrow"/>
                <w:sz w:val="20"/>
              </w:rPr>
            </w:pPr>
            <w:r w:rsidRPr="00086B3C">
              <w:rPr>
                <w:rFonts w:ascii="Arial Narrow" w:hAnsi="Arial Narrow"/>
                <w:sz w:val="20"/>
              </w:rPr>
              <w:t>24</w:t>
            </w:r>
          </w:p>
        </w:tc>
        <w:tc>
          <w:tcPr>
            <w:tcW w:w="709" w:type="pct"/>
          </w:tcPr>
          <w:p w14:paraId="78B82016" w14:textId="77777777" w:rsidR="00086B3C" w:rsidRPr="00086B3C" w:rsidRDefault="00086B3C" w:rsidP="00086B3C">
            <w:pPr>
              <w:keepNext/>
              <w:spacing w:before="20" w:after="20"/>
              <w:jc w:val="center"/>
              <w:rPr>
                <w:rFonts w:ascii="Arial Narrow" w:hAnsi="Arial Narrow"/>
                <w:sz w:val="20"/>
              </w:rPr>
            </w:pPr>
            <w:r w:rsidRPr="00086B3C">
              <w:rPr>
                <w:rFonts w:ascii="Arial Narrow" w:hAnsi="Arial Narrow"/>
                <w:sz w:val="20"/>
              </w:rPr>
              <w:t>24</w:t>
            </w:r>
          </w:p>
        </w:tc>
      </w:tr>
      <w:tr w:rsidR="00086B3C" w:rsidRPr="00086B3C" w14:paraId="6B1A83FC" w14:textId="77777777" w:rsidTr="00F81214">
        <w:trPr>
          <w:trHeight w:val="440"/>
        </w:trPr>
        <w:tc>
          <w:tcPr>
            <w:tcW w:w="902" w:type="pct"/>
          </w:tcPr>
          <w:p w14:paraId="7439A351" w14:textId="77777777" w:rsidR="00086B3C" w:rsidRPr="00086B3C" w:rsidRDefault="00086B3C" w:rsidP="00086B3C">
            <w:pPr>
              <w:keepNext/>
              <w:spacing w:before="20" w:after="20"/>
              <w:rPr>
                <w:rFonts w:ascii="Arial Narrow" w:hAnsi="Arial Narrow"/>
                <w:sz w:val="20"/>
              </w:rPr>
            </w:pPr>
            <w:r w:rsidRPr="00086B3C">
              <w:rPr>
                <w:rFonts w:ascii="Arial Narrow" w:hAnsi="Arial Narrow"/>
                <w:sz w:val="20"/>
              </w:rPr>
              <w:t>Median efficacy period (weeks)</w:t>
            </w:r>
          </w:p>
        </w:tc>
        <w:tc>
          <w:tcPr>
            <w:tcW w:w="767" w:type="pct"/>
          </w:tcPr>
          <w:p w14:paraId="623B608C" w14:textId="77777777" w:rsidR="00086B3C" w:rsidRPr="00086B3C" w:rsidRDefault="00086B3C" w:rsidP="00086B3C">
            <w:pPr>
              <w:keepNext/>
              <w:spacing w:before="20" w:after="20"/>
              <w:jc w:val="center"/>
              <w:rPr>
                <w:rFonts w:ascii="Arial Narrow" w:hAnsi="Arial Narrow"/>
                <w:sz w:val="20"/>
              </w:rPr>
            </w:pPr>
            <w:r w:rsidRPr="00086B3C">
              <w:rPr>
                <w:rFonts w:ascii="Arial Narrow" w:hAnsi="Arial Narrow"/>
                <w:sz w:val="20"/>
              </w:rPr>
              <w:t>29.29</w:t>
            </w:r>
          </w:p>
        </w:tc>
        <w:tc>
          <w:tcPr>
            <w:tcW w:w="613" w:type="pct"/>
          </w:tcPr>
          <w:p w14:paraId="1AF3BA19" w14:textId="77777777" w:rsidR="00086B3C" w:rsidRPr="00086B3C" w:rsidRDefault="00086B3C" w:rsidP="00086B3C">
            <w:pPr>
              <w:keepNext/>
              <w:spacing w:before="20" w:after="20"/>
              <w:jc w:val="center"/>
              <w:rPr>
                <w:rFonts w:ascii="Arial Narrow" w:hAnsi="Arial Narrow"/>
                <w:sz w:val="20"/>
              </w:rPr>
            </w:pPr>
            <w:r w:rsidRPr="00086B3C">
              <w:rPr>
                <w:rFonts w:ascii="Arial Narrow" w:hAnsi="Arial Narrow"/>
                <w:sz w:val="20"/>
              </w:rPr>
              <w:t>24.14</w:t>
            </w:r>
          </w:p>
        </w:tc>
        <w:tc>
          <w:tcPr>
            <w:tcW w:w="690" w:type="pct"/>
          </w:tcPr>
          <w:p w14:paraId="1336FF64" w14:textId="77777777" w:rsidR="00086B3C" w:rsidRPr="009F7837" w:rsidRDefault="00086B3C" w:rsidP="00086B3C">
            <w:pPr>
              <w:keepNext/>
              <w:spacing w:before="20" w:after="20"/>
              <w:jc w:val="center"/>
              <w:rPr>
                <w:rFonts w:ascii="Arial Narrow" w:hAnsi="Arial Narrow"/>
                <w:strike/>
                <w:sz w:val="20"/>
              </w:rPr>
            </w:pPr>
            <w:r w:rsidRPr="009F7837">
              <w:rPr>
                <w:rFonts w:ascii="Arial Narrow" w:hAnsi="Arial Narrow"/>
                <w:strike/>
                <w:sz w:val="20"/>
              </w:rPr>
              <w:t>29.72</w:t>
            </w:r>
          </w:p>
        </w:tc>
        <w:tc>
          <w:tcPr>
            <w:tcW w:w="613" w:type="pct"/>
          </w:tcPr>
          <w:p w14:paraId="3FF05C8B" w14:textId="77777777" w:rsidR="00086B3C" w:rsidRPr="009F7837" w:rsidRDefault="00086B3C" w:rsidP="00086B3C">
            <w:pPr>
              <w:keepNext/>
              <w:spacing w:before="20" w:after="20"/>
              <w:jc w:val="center"/>
              <w:rPr>
                <w:rFonts w:ascii="Arial Narrow" w:hAnsi="Arial Narrow"/>
                <w:strike/>
                <w:sz w:val="20"/>
              </w:rPr>
            </w:pPr>
            <w:r w:rsidRPr="009F7837">
              <w:rPr>
                <w:rFonts w:ascii="Arial Narrow" w:hAnsi="Arial Narrow"/>
                <w:strike/>
                <w:sz w:val="20"/>
              </w:rPr>
              <w:t>21.14</w:t>
            </w:r>
          </w:p>
        </w:tc>
        <w:tc>
          <w:tcPr>
            <w:tcW w:w="706" w:type="pct"/>
          </w:tcPr>
          <w:p w14:paraId="031B29B3" w14:textId="77777777" w:rsidR="00086B3C" w:rsidRPr="00086B3C" w:rsidRDefault="00086B3C" w:rsidP="00086B3C">
            <w:pPr>
              <w:keepNext/>
              <w:spacing w:before="20" w:after="20"/>
              <w:jc w:val="center"/>
              <w:rPr>
                <w:rFonts w:ascii="Arial Narrow" w:hAnsi="Arial Narrow"/>
                <w:sz w:val="20"/>
              </w:rPr>
            </w:pPr>
            <w:r w:rsidRPr="00086B3C">
              <w:rPr>
                <w:rFonts w:ascii="Arial Narrow" w:hAnsi="Arial Narrow"/>
                <w:sz w:val="20"/>
              </w:rPr>
              <w:t>32.14</w:t>
            </w:r>
          </w:p>
        </w:tc>
        <w:tc>
          <w:tcPr>
            <w:tcW w:w="709" w:type="pct"/>
          </w:tcPr>
          <w:p w14:paraId="441B6C67" w14:textId="77777777" w:rsidR="00086B3C" w:rsidRPr="00086B3C" w:rsidRDefault="00086B3C" w:rsidP="00086B3C">
            <w:pPr>
              <w:keepNext/>
              <w:spacing w:before="20" w:after="20"/>
              <w:jc w:val="center"/>
              <w:rPr>
                <w:rFonts w:ascii="Arial Narrow" w:hAnsi="Arial Narrow"/>
                <w:sz w:val="20"/>
              </w:rPr>
            </w:pPr>
            <w:r w:rsidRPr="00086B3C">
              <w:rPr>
                <w:rFonts w:ascii="Arial Narrow" w:hAnsi="Arial Narrow"/>
                <w:sz w:val="20"/>
              </w:rPr>
              <w:t>30.14</w:t>
            </w:r>
          </w:p>
        </w:tc>
      </w:tr>
      <w:tr w:rsidR="00086B3C" w:rsidRPr="00086B3C" w14:paraId="690C57D9" w14:textId="77777777" w:rsidTr="00F81214">
        <w:trPr>
          <w:trHeight w:val="220"/>
        </w:trPr>
        <w:tc>
          <w:tcPr>
            <w:tcW w:w="5000" w:type="pct"/>
            <w:gridSpan w:val="7"/>
          </w:tcPr>
          <w:p w14:paraId="73463FD9" w14:textId="77777777" w:rsidR="00086B3C" w:rsidRPr="00086B3C" w:rsidRDefault="00086B3C" w:rsidP="00086B3C">
            <w:pPr>
              <w:spacing w:before="20" w:after="20"/>
              <w:rPr>
                <w:rFonts w:ascii="Arial Narrow" w:hAnsi="Arial Narrow"/>
                <w:b/>
                <w:color w:val="000000"/>
                <w:sz w:val="20"/>
              </w:rPr>
            </w:pPr>
            <w:r w:rsidRPr="00086B3C">
              <w:rPr>
                <w:rFonts w:ascii="Arial Narrow" w:hAnsi="Arial Narrow"/>
                <w:b/>
                <w:color w:val="000000"/>
                <w:sz w:val="20"/>
              </w:rPr>
              <w:t>Primary bleeding endpoint - treated bleeds</w:t>
            </w:r>
          </w:p>
        </w:tc>
      </w:tr>
      <w:tr w:rsidR="00086B3C" w:rsidRPr="00086B3C" w14:paraId="756E92AC" w14:textId="77777777" w:rsidTr="00F81214">
        <w:tc>
          <w:tcPr>
            <w:tcW w:w="902" w:type="pct"/>
          </w:tcPr>
          <w:p w14:paraId="19930EF4" w14:textId="77777777" w:rsidR="00086B3C" w:rsidRPr="00086B3C" w:rsidRDefault="00086B3C" w:rsidP="00086B3C">
            <w:pPr>
              <w:spacing w:before="20" w:after="20"/>
              <w:rPr>
                <w:rFonts w:ascii="Arial Narrow" w:hAnsi="Arial Narrow"/>
                <w:color w:val="000000"/>
                <w:sz w:val="20"/>
              </w:rPr>
            </w:pPr>
            <w:r w:rsidRPr="00086B3C">
              <w:rPr>
                <w:rFonts w:ascii="Arial Narrow" w:hAnsi="Arial Narrow"/>
                <w:color w:val="000000"/>
                <w:sz w:val="20"/>
              </w:rPr>
              <w:t>ABR</w:t>
            </w:r>
          </w:p>
        </w:tc>
        <w:tc>
          <w:tcPr>
            <w:tcW w:w="767" w:type="pct"/>
          </w:tcPr>
          <w:p w14:paraId="39B1686E" w14:textId="77777777" w:rsidR="00086B3C" w:rsidRPr="00086B3C" w:rsidRDefault="00086B3C" w:rsidP="00086B3C">
            <w:pPr>
              <w:spacing w:before="20" w:after="20"/>
              <w:jc w:val="center"/>
              <w:rPr>
                <w:rFonts w:ascii="Arial Narrow" w:hAnsi="Arial Narrow"/>
                <w:color w:val="000000"/>
                <w:sz w:val="20"/>
              </w:rPr>
            </w:pPr>
            <w:r w:rsidRPr="00086B3C">
              <w:rPr>
                <w:rFonts w:ascii="Arial Narrow" w:hAnsi="Arial Narrow"/>
                <w:color w:val="000000"/>
                <w:sz w:val="20"/>
              </w:rPr>
              <w:t>2.9</w:t>
            </w:r>
          </w:p>
        </w:tc>
        <w:tc>
          <w:tcPr>
            <w:tcW w:w="613" w:type="pct"/>
          </w:tcPr>
          <w:p w14:paraId="660009DE" w14:textId="77777777" w:rsidR="00086B3C" w:rsidRPr="00086B3C" w:rsidRDefault="00086B3C" w:rsidP="00086B3C">
            <w:pPr>
              <w:spacing w:before="20" w:after="20"/>
              <w:jc w:val="center"/>
              <w:rPr>
                <w:rFonts w:ascii="Arial Narrow" w:hAnsi="Arial Narrow"/>
                <w:color w:val="000000"/>
                <w:sz w:val="20"/>
              </w:rPr>
            </w:pPr>
            <w:r w:rsidRPr="00086B3C">
              <w:rPr>
                <w:rFonts w:ascii="Arial Narrow" w:hAnsi="Arial Narrow"/>
                <w:color w:val="000000"/>
                <w:sz w:val="20"/>
              </w:rPr>
              <w:t>23.3</w:t>
            </w:r>
          </w:p>
        </w:tc>
        <w:tc>
          <w:tcPr>
            <w:tcW w:w="690" w:type="pct"/>
          </w:tcPr>
          <w:p w14:paraId="2A87758C" w14:textId="77777777" w:rsidR="00086B3C" w:rsidRPr="009F7837" w:rsidRDefault="00086B3C" w:rsidP="00086B3C">
            <w:pPr>
              <w:spacing w:before="20" w:after="20"/>
              <w:jc w:val="center"/>
              <w:rPr>
                <w:rFonts w:ascii="Arial Narrow" w:hAnsi="Arial Narrow"/>
                <w:strike/>
                <w:color w:val="000000"/>
                <w:sz w:val="20"/>
              </w:rPr>
            </w:pPr>
            <w:r w:rsidRPr="009F7837">
              <w:rPr>
                <w:rFonts w:ascii="Arial Narrow" w:hAnsi="Arial Narrow"/>
                <w:strike/>
                <w:color w:val="000000"/>
                <w:sz w:val="20"/>
              </w:rPr>
              <w:t>1.7</w:t>
            </w:r>
          </w:p>
        </w:tc>
        <w:tc>
          <w:tcPr>
            <w:tcW w:w="613" w:type="pct"/>
          </w:tcPr>
          <w:p w14:paraId="29B544EB" w14:textId="77777777" w:rsidR="00086B3C" w:rsidRPr="009F7837" w:rsidRDefault="00086B3C" w:rsidP="00086B3C">
            <w:pPr>
              <w:spacing w:before="20" w:after="20"/>
              <w:jc w:val="center"/>
              <w:rPr>
                <w:rFonts w:ascii="Arial Narrow" w:hAnsi="Arial Narrow"/>
                <w:strike/>
                <w:color w:val="000000"/>
                <w:sz w:val="20"/>
              </w:rPr>
            </w:pPr>
            <w:r w:rsidRPr="009F7837">
              <w:rPr>
                <w:rFonts w:ascii="Arial Narrow" w:hAnsi="Arial Narrow"/>
                <w:strike/>
                <w:color w:val="000000"/>
                <w:sz w:val="20"/>
              </w:rPr>
              <w:t>21.6</w:t>
            </w:r>
          </w:p>
        </w:tc>
        <w:tc>
          <w:tcPr>
            <w:tcW w:w="706" w:type="pct"/>
          </w:tcPr>
          <w:p w14:paraId="2A21A2AB" w14:textId="77777777" w:rsidR="00086B3C" w:rsidRPr="00086B3C" w:rsidRDefault="00086B3C" w:rsidP="00086B3C">
            <w:pPr>
              <w:spacing w:before="20" w:after="20"/>
              <w:jc w:val="center"/>
              <w:rPr>
                <w:rFonts w:ascii="Arial Narrow" w:hAnsi="Arial Narrow"/>
                <w:color w:val="000000"/>
                <w:sz w:val="20"/>
              </w:rPr>
            </w:pPr>
            <w:r w:rsidRPr="00086B3C">
              <w:rPr>
                <w:rFonts w:ascii="Arial Narrow" w:hAnsi="Arial Narrow"/>
                <w:color w:val="000000"/>
                <w:sz w:val="20"/>
              </w:rPr>
              <w:t>3.3</w:t>
            </w:r>
          </w:p>
        </w:tc>
        <w:tc>
          <w:tcPr>
            <w:tcW w:w="709" w:type="pct"/>
          </w:tcPr>
          <w:p w14:paraId="676A55E8" w14:textId="77777777" w:rsidR="00086B3C" w:rsidRPr="00086B3C" w:rsidRDefault="00086B3C" w:rsidP="00086B3C">
            <w:pPr>
              <w:spacing w:before="20" w:after="20"/>
              <w:jc w:val="center"/>
              <w:rPr>
                <w:rFonts w:ascii="Arial Narrow" w:hAnsi="Arial Narrow"/>
                <w:color w:val="000000"/>
                <w:sz w:val="20"/>
              </w:rPr>
            </w:pPr>
            <w:r w:rsidRPr="00086B3C">
              <w:rPr>
                <w:rFonts w:ascii="Arial Narrow" w:hAnsi="Arial Narrow"/>
                <w:color w:val="000000"/>
                <w:sz w:val="20"/>
              </w:rPr>
              <w:t>15.7</w:t>
            </w:r>
          </w:p>
        </w:tc>
      </w:tr>
      <w:tr w:rsidR="00086B3C" w:rsidRPr="00086B3C" w14:paraId="53A8AF3A" w14:textId="77777777" w:rsidTr="00F81214">
        <w:tc>
          <w:tcPr>
            <w:tcW w:w="902" w:type="pct"/>
          </w:tcPr>
          <w:p w14:paraId="2DFDD82E" w14:textId="5A853F86" w:rsidR="00086B3C" w:rsidRPr="00086B3C" w:rsidRDefault="00086B3C" w:rsidP="00DB7536">
            <w:pPr>
              <w:spacing w:before="20" w:after="20"/>
              <w:rPr>
                <w:rFonts w:ascii="Arial Narrow" w:hAnsi="Arial Narrow"/>
                <w:color w:val="000000"/>
                <w:sz w:val="20"/>
              </w:rPr>
            </w:pPr>
            <w:r w:rsidRPr="00086B3C">
              <w:rPr>
                <w:rFonts w:ascii="Arial Narrow" w:hAnsi="Arial Narrow"/>
                <w:color w:val="000000"/>
                <w:sz w:val="20"/>
              </w:rPr>
              <w:t>ABR ratio (95% CI)</w:t>
            </w:r>
          </w:p>
        </w:tc>
        <w:tc>
          <w:tcPr>
            <w:tcW w:w="1380" w:type="pct"/>
            <w:gridSpan w:val="2"/>
          </w:tcPr>
          <w:p w14:paraId="7E5B34C0" w14:textId="77777777" w:rsidR="00086B3C" w:rsidRPr="00086B3C" w:rsidRDefault="00086B3C" w:rsidP="00086B3C">
            <w:pPr>
              <w:spacing w:before="20" w:after="20"/>
              <w:jc w:val="center"/>
              <w:rPr>
                <w:rFonts w:ascii="Arial Narrow" w:hAnsi="Arial Narrow"/>
                <w:color w:val="000000"/>
                <w:sz w:val="20"/>
              </w:rPr>
            </w:pPr>
            <w:r w:rsidRPr="00086B3C">
              <w:rPr>
                <w:rFonts w:ascii="Arial Narrow" w:hAnsi="Arial Narrow"/>
                <w:color w:val="000000"/>
                <w:sz w:val="20"/>
              </w:rPr>
              <w:t>0.13 (0.057, 0.277)</w:t>
            </w:r>
          </w:p>
        </w:tc>
        <w:tc>
          <w:tcPr>
            <w:tcW w:w="1303" w:type="pct"/>
            <w:gridSpan w:val="2"/>
          </w:tcPr>
          <w:p w14:paraId="0C039400" w14:textId="77777777" w:rsidR="00086B3C" w:rsidRPr="009F7837" w:rsidRDefault="00086B3C" w:rsidP="00086B3C">
            <w:pPr>
              <w:spacing w:before="20" w:after="20"/>
              <w:jc w:val="center"/>
              <w:rPr>
                <w:rFonts w:ascii="Arial Narrow" w:hAnsi="Arial Narrow"/>
                <w:strike/>
                <w:color w:val="000000"/>
                <w:sz w:val="20"/>
              </w:rPr>
            </w:pPr>
            <w:r w:rsidRPr="009F7837">
              <w:rPr>
                <w:rFonts w:ascii="Arial Narrow" w:hAnsi="Arial Narrow"/>
                <w:strike/>
                <w:color w:val="000000"/>
                <w:sz w:val="20"/>
              </w:rPr>
              <w:t>0.08 (0.031, 0.198)</w:t>
            </w:r>
          </w:p>
        </w:tc>
        <w:tc>
          <w:tcPr>
            <w:tcW w:w="1415" w:type="pct"/>
            <w:gridSpan w:val="2"/>
          </w:tcPr>
          <w:p w14:paraId="00518D5C" w14:textId="77777777" w:rsidR="00086B3C" w:rsidRPr="00086B3C" w:rsidRDefault="00086B3C" w:rsidP="00086B3C">
            <w:pPr>
              <w:spacing w:before="20" w:after="20"/>
              <w:jc w:val="center"/>
              <w:rPr>
                <w:rFonts w:ascii="Arial Narrow" w:hAnsi="Arial Narrow"/>
                <w:color w:val="000000"/>
                <w:sz w:val="20"/>
              </w:rPr>
            </w:pPr>
            <w:r w:rsidRPr="00086B3C">
              <w:rPr>
                <w:rFonts w:ascii="Arial Narrow" w:hAnsi="Arial Narrow"/>
                <w:color w:val="000000"/>
                <w:sz w:val="20"/>
              </w:rPr>
              <w:t>0.21 (0.089, 0.486)</w:t>
            </w:r>
          </w:p>
        </w:tc>
      </w:tr>
      <w:tr w:rsidR="00086B3C" w:rsidRPr="00086B3C" w14:paraId="0C270711" w14:textId="77777777" w:rsidTr="00F81214">
        <w:tc>
          <w:tcPr>
            <w:tcW w:w="902" w:type="pct"/>
          </w:tcPr>
          <w:p w14:paraId="095735BE" w14:textId="4D1C6685" w:rsidR="00086B3C" w:rsidRPr="00086B3C" w:rsidRDefault="00DB7536" w:rsidP="00086B3C">
            <w:pPr>
              <w:spacing w:before="20" w:after="20"/>
              <w:rPr>
                <w:rFonts w:ascii="Arial Narrow" w:hAnsi="Arial Narrow"/>
                <w:color w:val="000000"/>
                <w:sz w:val="20"/>
              </w:rPr>
            </w:pPr>
            <w:r w:rsidRPr="00DB7536">
              <w:rPr>
                <w:rFonts w:ascii="Arial Narrow" w:hAnsi="Arial Narrow"/>
                <w:i/>
                <w:color w:val="000000"/>
                <w:sz w:val="20"/>
              </w:rPr>
              <w:t>P</w:t>
            </w:r>
            <w:r w:rsidR="00086B3C" w:rsidRPr="00086B3C">
              <w:rPr>
                <w:rFonts w:ascii="Arial Narrow" w:hAnsi="Arial Narrow"/>
                <w:color w:val="000000"/>
                <w:sz w:val="20"/>
              </w:rPr>
              <w:t>-value</w:t>
            </w:r>
            <w:r w:rsidR="00086B3C" w:rsidRPr="00086B3C">
              <w:rPr>
                <w:rFonts w:ascii="Arial Narrow" w:hAnsi="Arial Narrow"/>
                <w:color w:val="000000"/>
                <w:sz w:val="20"/>
                <w:vertAlign w:val="superscript"/>
              </w:rPr>
              <w:t xml:space="preserve"> c</w:t>
            </w:r>
          </w:p>
        </w:tc>
        <w:tc>
          <w:tcPr>
            <w:tcW w:w="1380" w:type="pct"/>
            <w:gridSpan w:val="2"/>
          </w:tcPr>
          <w:p w14:paraId="71B56A93" w14:textId="77777777" w:rsidR="00086B3C" w:rsidRPr="00086B3C" w:rsidRDefault="00086B3C" w:rsidP="00086B3C">
            <w:pPr>
              <w:spacing w:before="20" w:after="20"/>
              <w:jc w:val="center"/>
              <w:rPr>
                <w:rFonts w:ascii="Arial Narrow" w:hAnsi="Arial Narrow"/>
                <w:color w:val="000000"/>
                <w:sz w:val="20"/>
              </w:rPr>
            </w:pPr>
            <w:r w:rsidRPr="00086B3C">
              <w:rPr>
                <w:rFonts w:ascii="Arial Narrow" w:hAnsi="Arial Narrow"/>
                <w:color w:val="000000"/>
                <w:sz w:val="20"/>
              </w:rPr>
              <w:t>•0.0001</w:t>
            </w:r>
          </w:p>
        </w:tc>
        <w:tc>
          <w:tcPr>
            <w:tcW w:w="1303" w:type="pct"/>
            <w:gridSpan w:val="2"/>
          </w:tcPr>
          <w:p w14:paraId="57C67E37" w14:textId="77777777" w:rsidR="00086B3C" w:rsidRPr="009F7837" w:rsidRDefault="00086B3C" w:rsidP="00086B3C">
            <w:pPr>
              <w:spacing w:before="20" w:after="20"/>
              <w:jc w:val="center"/>
              <w:rPr>
                <w:rFonts w:ascii="Arial Narrow" w:hAnsi="Arial Narrow"/>
                <w:strike/>
                <w:color w:val="000000"/>
                <w:sz w:val="20"/>
              </w:rPr>
            </w:pPr>
            <w:r w:rsidRPr="009F7837">
              <w:rPr>
                <w:rFonts w:ascii="Arial Narrow" w:hAnsi="Arial Narrow"/>
                <w:strike/>
                <w:color w:val="000000"/>
                <w:sz w:val="20"/>
              </w:rPr>
              <w:t>•0.0001</w:t>
            </w:r>
          </w:p>
        </w:tc>
        <w:tc>
          <w:tcPr>
            <w:tcW w:w="1415" w:type="pct"/>
            <w:gridSpan w:val="2"/>
          </w:tcPr>
          <w:p w14:paraId="74E4E4B6" w14:textId="77777777" w:rsidR="00086B3C" w:rsidRPr="00086B3C" w:rsidRDefault="00086B3C" w:rsidP="00086B3C">
            <w:pPr>
              <w:spacing w:before="20" w:after="20"/>
              <w:jc w:val="center"/>
              <w:rPr>
                <w:rFonts w:ascii="Arial Narrow" w:hAnsi="Arial Narrow"/>
                <w:color w:val="000000"/>
                <w:sz w:val="20"/>
              </w:rPr>
            </w:pPr>
            <w:r w:rsidRPr="00086B3C">
              <w:rPr>
                <w:rFonts w:ascii="Arial Narrow" w:hAnsi="Arial Narrow"/>
                <w:color w:val="000000"/>
                <w:sz w:val="20"/>
              </w:rPr>
              <w:t>0.0003</w:t>
            </w:r>
          </w:p>
        </w:tc>
      </w:tr>
      <w:tr w:rsidR="00086B3C" w:rsidRPr="00086B3C" w14:paraId="477A3319" w14:textId="77777777" w:rsidTr="00F81214">
        <w:tc>
          <w:tcPr>
            <w:tcW w:w="5000" w:type="pct"/>
            <w:gridSpan w:val="7"/>
          </w:tcPr>
          <w:p w14:paraId="5046CED9" w14:textId="77777777" w:rsidR="00086B3C" w:rsidRPr="00086B3C" w:rsidRDefault="00086B3C" w:rsidP="00086B3C">
            <w:pPr>
              <w:spacing w:before="20" w:after="20"/>
              <w:rPr>
                <w:rFonts w:ascii="Arial Narrow" w:hAnsi="Arial Narrow"/>
                <w:b/>
                <w:color w:val="000000"/>
                <w:sz w:val="20"/>
              </w:rPr>
            </w:pPr>
            <w:r w:rsidRPr="00086B3C">
              <w:rPr>
                <w:rFonts w:ascii="Arial Narrow" w:hAnsi="Arial Narrow"/>
                <w:b/>
                <w:color w:val="000000"/>
                <w:sz w:val="20"/>
              </w:rPr>
              <w:t>Zero treated bleeds</w:t>
            </w:r>
          </w:p>
        </w:tc>
      </w:tr>
      <w:tr w:rsidR="00086B3C" w:rsidRPr="00086B3C" w14:paraId="22842AD8" w14:textId="77777777" w:rsidTr="00F81214">
        <w:tc>
          <w:tcPr>
            <w:tcW w:w="902" w:type="pct"/>
          </w:tcPr>
          <w:p w14:paraId="36071EDF" w14:textId="77777777" w:rsidR="00086B3C" w:rsidRPr="00086B3C" w:rsidRDefault="00086B3C" w:rsidP="00086B3C">
            <w:pPr>
              <w:spacing w:before="20" w:after="20"/>
              <w:rPr>
                <w:rFonts w:ascii="Arial Narrow" w:hAnsi="Arial Narrow"/>
                <w:color w:val="000000"/>
                <w:sz w:val="20"/>
              </w:rPr>
            </w:pPr>
            <w:r w:rsidRPr="00086B3C">
              <w:rPr>
                <w:rFonts w:ascii="Arial Narrow" w:hAnsi="Arial Narrow"/>
                <w:color w:val="000000"/>
                <w:sz w:val="20"/>
              </w:rPr>
              <w:t>N (%)</w:t>
            </w:r>
          </w:p>
        </w:tc>
        <w:tc>
          <w:tcPr>
            <w:tcW w:w="767" w:type="pct"/>
          </w:tcPr>
          <w:p w14:paraId="4A383437" w14:textId="77777777" w:rsidR="00086B3C" w:rsidRPr="00086B3C" w:rsidRDefault="00086B3C" w:rsidP="00086B3C">
            <w:pPr>
              <w:spacing w:before="20" w:after="20"/>
              <w:jc w:val="center"/>
              <w:rPr>
                <w:rFonts w:ascii="Arial Narrow" w:hAnsi="Arial Narrow"/>
                <w:color w:val="000000"/>
                <w:sz w:val="20"/>
              </w:rPr>
            </w:pPr>
            <w:r w:rsidRPr="00086B3C">
              <w:rPr>
                <w:rFonts w:ascii="Arial Narrow" w:hAnsi="Arial Narrow"/>
                <w:color w:val="000000"/>
                <w:sz w:val="20"/>
              </w:rPr>
              <w:t>22 (62.9%)</w:t>
            </w:r>
          </w:p>
        </w:tc>
        <w:tc>
          <w:tcPr>
            <w:tcW w:w="613" w:type="pct"/>
          </w:tcPr>
          <w:p w14:paraId="69380EB3" w14:textId="77777777" w:rsidR="00086B3C" w:rsidRPr="00086B3C" w:rsidRDefault="00086B3C" w:rsidP="00086B3C">
            <w:pPr>
              <w:spacing w:before="20" w:after="20"/>
              <w:jc w:val="center"/>
              <w:rPr>
                <w:rFonts w:ascii="Arial Narrow" w:hAnsi="Arial Narrow"/>
                <w:color w:val="000000"/>
                <w:sz w:val="20"/>
              </w:rPr>
            </w:pPr>
            <w:r w:rsidRPr="00086B3C">
              <w:rPr>
                <w:rFonts w:ascii="Arial Narrow" w:hAnsi="Arial Narrow"/>
                <w:color w:val="000000"/>
                <w:sz w:val="20"/>
              </w:rPr>
              <w:t>1 (5.6%)</w:t>
            </w:r>
          </w:p>
        </w:tc>
        <w:tc>
          <w:tcPr>
            <w:tcW w:w="690" w:type="pct"/>
          </w:tcPr>
          <w:p w14:paraId="2698D85F" w14:textId="77777777" w:rsidR="00086B3C" w:rsidRPr="002010CD" w:rsidRDefault="00086B3C" w:rsidP="00086B3C">
            <w:pPr>
              <w:spacing w:before="20" w:after="20"/>
              <w:jc w:val="center"/>
              <w:rPr>
                <w:rFonts w:ascii="Arial Narrow" w:hAnsi="Arial Narrow"/>
                <w:color w:val="000000"/>
                <w:sz w:val="20"/>
              </w:rPr>
            </w:pPr>
            <w:r w:rsidRPr="002010CD">
              <w:rPr>
                <w:rFonts w:ascii="Arial Narrow" w:hAnsi="Arial Narrow"/>
                <w:color w:val="000000"/>
                <w:sz w:val="20"/>
              </w:rPr>
              <w:t>17 (70.8%)</w:t>
            </w:r>
          </w:p>
        </w:tc>
        <w:tc>
          <w:tcPr>
            <w:tcW w:w="613" w:type="pct"/>
          </w:tcPr>
          <w:p w14:paraId="50B18B34" w14:textId="77777777" w:rsidR="00086B3C" w:rsidRPr="002010CD" w:rsidRDefault="00086B3C" w:rsidP="00086B3C">
            <w:pPr>
              <w:spacing w:before="20" w:after="20"/>
              <w:jc w:val="center"/>
              <w:rPr>
                <w:rFonts w:ascii="Arial Narrow" w:hAnsi="Arial Narrow"/>
                <w:color w:val="000000"/>
                <w:sz w:val="20"/>
              </w:rPr>
            </w:pPr>
            <w:r w:rsidRPr="002010CD">
              <w:rPr>
                <w:rFonts w:ascii="Arial Narrow" w:hAnsi="Arial Narrow"/>
                <w:color w:val="000000"/>
                <w:sz w:val="20"/>
              </w:rPr>
              <w:t>2 (8.3%)</w:t>
            </w:r>
          </w:p>
        </w:tc>
        <w:tc>
          <w:tcPr>
            <w:tcW w:w="706" w:type="pct"/>
          </w:tcPr>
          <w:p w14:paraId="463629CC" w14:textId="77777777" w:rsidR="00086B3C" w:rsidRPr="00086B3C" w:rsidRDefault="00086B3C" w:rsidP="00086B3C">
            <w:pPr>
              <w:spacing w:before="20" w:after="20"/>
              <w:jc w:val="center"/>
              <w:rPr>
                <w:rFonts w:ascii="Arial Narrow" w:hAnsi="Arial Narrow"/>
                <w:color w:val="000000"/>
                <w:sz w:val="20"/>
              </w:rPr>
            </w:pPr>
            <w:r w:rsidRPr="00086B3C">
              <w:rPr>
                <w:rFonts w:ascii="Arial Narrow" w:hAnsi="Arial Narrow"/>
                <w:color w:val="000000"/>
                <w:sz w:val="20"/>
              </w:rPr>
              <w:t>17 (70.8%)</w:t>
            </w:r>
          </w:p>
        </w:tc>
        <w:tc>
          <w:tcPr>
            <w:tcW w:w="709" w:type="pct"/>
          </w:tcPr>
          <w:p w14:paraId="26EE6422" w14:textId="77777777" w:rsidR="00086B3C" w:rsidRPr="00086B3C" w:rsidRDefault="00086B3C" w:rsidP="00086B3C">
            <w:pPr>
              <w:spacing w:before="20" w:after="20"/>
              <w:jc w:val="center"/>
              <w:rPr>
                <w:rFonts w:ascii="Arial Narrow" w:hAnsi="Arial Narrow"/>
                <w:color w:val="000000"/>
                <w:sz w:val="20"/>
              </w:rPr>
            </w:pPr>
            <w:r w:rsidRPr="00086B3C">
              <w:rPr>
                <w:rFonts w:ascii="Arial Narrow" w:hAnsi="Arial Narrow"/>
                <w:color w:val="000000"/>
                <w:sz w:val="20"/>
              </w:rPr>
              <w:t>3 (12.5%)</w:t>
            </w:r>
          </w:p>
        </w:tc>
      </w:tr>
    </w:tbl>
    <w:p w14:paraId="436C66AD" w14:textId="687A09A3" w:rsidR="00086B3C" w:rsidRDefault="00086B3C" w:rsidP="00086B3C">
      <w:pPr>
        <w:pBdr>
          <w:top w:val="nil"/>
          <w:left w:val="nil"/>
          <w:bottom w:val="nil"/>
          <w:right w:val="nil"/>
          <w:between w:val="nil"/>
        </w:pBdr>
        <w:tabs>
          <w:tab w:val="left" w:pos="1134"/>
        </w:tabs>
        <w:ind w:left="1134" w:hanging="1134"/>
        <w:rPr>
          <w:rFonts w:ascii="Arial Narrow" w:hAnsi="Arial Narrow"/>
          <w:color w:val="000000"/>
          <w:sz w:val="18"/>
          <w:szCs w:val="18"/>
        </w:rPr>
      </w:pPr>
      <w:r w:rsidRPr="00086B3C">
        <w:rPr>
          <w:rFonts w:ascii="Arial Narrow" w:hAnsi="Arial Narrow"/>
          <w:color w:val="000000"/>
          <w:sz w:val="18"/>
          <w:szCs w:val="18"/>
        </w:rPr>
        <w:t>Source: Adapted from Table B.25, Section B.6.1.1 and Table B.26, Section B.6.1.1</w:t>
      </w:r>
      <w:r w:rsidR="00B66EB5">
        <w:rPr>
          <w:rFonts w:ascii="Arial Narrow" w:hAnsi="Arial Narrow"/>
          <w:color w:val="000000"/>
          <w:sz w:val="18"/>
          <w:szCs w:val="18"/>
        </w:rPr>
        <w:t xml:space="preserve"> of the SBA</w:t>
      </w:r>
    </w:p>
    <w:p w14:paraId="30ABDC41" w14:textId="64D6DA0C" w:rsidR="00086B3C" w:rsidRPr="00086B3C" w:rsidRDefault="00F948FB" w:rsidP="00086B3C">
      <w:pPr>
        <w:pBdr>
          <w:top w:val="nil"/>
          <w:left w:val="nil"/>
          <w:bottom w:val="nil"/>
          <w:right w:val="nil"/>
          <w:between w:val="nil"/>
        </w:pBdr>
        <w:tabs>
          <w:tab w:val="left" w:pos="1134"/>
        </w:tabs>
        <w:ind w:left="1134" w:hanging="1134"/>
        <w:rPr>
          <w:rFonts w:ascii="Arial Narrow" w:hAnsi="Arial Narrow"/>
          <w:color w:val="000000"/>
          <w:sz w:val="18"/>
          <w:szCs w:val="18"/>
        </w:rPr>
      </w:pPr>
      <w:r>
        <w:rPr>
          <w:rFonts w:ascii="Arial Narrow" w:hAnsi="Arial Narrow"/>
          <w:color w:val="000000"/>
          <w:sz w:val="18"/>
          <w:szCs w:val="18"/>
        </w:rPr>
        <w:t xml:space="preserve">Abbreviations: </w:t>
      </w:r>
      <w:r w:rsidR="00086B3C">
        <w:rPr>
          <w:rFonts w:ascii="Arial Narrow" w:hAnsi="Arial Narrow"/>
          <w:color w:val="000000"/>
          <w:sz w:val="18"/>
          <w:szCs w:val="18"/>
        </w:rPr>
        <w:t>ABR = annualised bleeding rate; BPA = bypass agents</w:t>
      </w:r>
    </w:p>
    <w:p w14:paraId="09DC4206" w14:textId="1524881B" w:rsidR="004E5E72" w:rsidRPr="0084378F" w:rsidRDefault="00086B3C" w:rsidP="0084378F">
      <w:pPr>
        <w:pBdr>
          <w:top w:val="nil"/>
          <w:left w:val="nil"/>
          <w:bottom w:val="nil"/>
          <w:right w:val="nil"/>
          <w:between w:val="nil"/>
        </w:pBdr>
        <w:tabs>
          <w:tab w:val="left" w:pos="1134"/>
        </w:tabs>
        <w:spacing w:after="240"/>
        <w:ind w:left="1134" w:hanging="1134"/>
        <w:rPr>
          <w:rFonts w:ascii="Arial Narrow" w:hAnsi="Arial Narrow"/>
          <w:color w:val="000000"/>
          <w:sz w:val="18"/>
          <w:szCs w:val="18"/>
        </w:rPr>
      </w:pPr>
      <w:r w:rsidRPr="00086B3C">
        <w:rPr>
          <w:rFonts w:ascii="Arial Narrow" w:hAnsi="Arial Narrow"/>
          <w:color w:val="000000"/>
          <w:sz w:val="18"/>
          <w:szCs w:val="18"/>
        </w:rPr>
        <w:t xml:space="preserve">Notes: </w:t>
      </w:r>
      <w:r w:rsidRPr="00086B3C">
        <w:rPr>
          <w:rFonts w:ascii="Arial Narrow" w:hAnsi="Arial Narrow"/>
          <w:color w:val="000000"/>
          <w:sz w:val="18"/>
          <w:szCs w:val="18"/>
          <w:vertAlign w:val="superscript"/>
        </w:rPr>
        <w:t>a</w:t>
      </w:r>
      <w:r w:rsidRPr="00086B3C">
        <w:rPr>
          <w:rFonts w:ascii="Arial Narrow" w:hAnsi="Arial Narrow"/>
          <w:color w:val="000000"/>
          <w:sz w:val="18"/>
          <w:szCs w:val="18"/>
        </w:rPr>
        <w:t xml:space="preserve">. ITT population. </w:t>
      </w:r>
      <w:r w:rsidRPr="00086B3C">
        <w:rPr>
          <w:rFonts w:ascii="Arial Narrow" w:hAnsi="Arial Narrow"/>
          <w:color w:val="000000"/>
          <w:sz w:val="18"/>
          <w:szCs w:val="18"/>
          <w:vertAlign w:val="superscript"/>
        </w:rPr>
        <w:t>b</w:t>
      </w:r>
      <w:r w:rsidRPr="00086B3C">
        <w:rPr>
          <w:rFonts w:ascii="Arial Narrow" w:hAnsi="Arial Narrow"/>
          <w:color w:val="000000"/>
          <w:sz w:val="18"/>
          <w:szCs w:val="18"/>
        </w:rPr>
        <w:t xml:space="preserve">. NIS population (patients previously enrolled in NIS BH29768). </w:t>
      </w:r>
      <w:proofErr w:type="gramStart"/>
      <w:r w:rsidRPr="00086B3C">
        <w:rPr>
          <w:rFonts w:ascii="Arial Narrow" w:hAnsi="Arial Narrow"/>
          <w:color w:val="000000"/>
          <w:sz w:val="18"/>
          <w:szCs w:val="18"/>
          <w:vertAlign w:val="superscript"/>
        </w:rPr>
        <w:t>c</w:t>
      </w:r>
      <w:r w:rsidRPr="00086B3C">
        <w:rPr>
          <w:rFonts w:ascii="Arial Narrow" w:hAnsi="Arial Narrow"/>
          <w:color w:val="000000"/>
          <w:sz w:val="18"/>
          <w:szCs w:val="18"/>
        </w:rPr>
        <w:t>. Non stratified</w:t>
      </w:r>
      <w:proofErr w:type="gramEnd"/>
      <w:r w:rsidRPr="00086B3C">
        <w:rPr>
          <w:rFonts w:ascii="Arial Narrow" w:hAnsi="Arial Narrow"/>
          <w:color w:val="000000"/>
          <w:sz w:val="18"/>
          <w:szCs w:val="18"/>
        </w:rPr>
        <w:t xml:space="preserve"> Wald test.</w:t>
      </w:r>
    </w:p>
    <w:p w14:paraId="61DD8784" w14:textId="62251A07" w:rsidR="004E5E72" w:rsidRDefault="00086B3C" w:rsidP="004E5E72">
      <w:r>
        <w:t>In addition, t</w:t>
      </w:r>
      <w:r w:rsidR="004E5E72">
        <w:t xml:space="preserve">he </w:t>
      </w:r>
      <w:r w:rsidR="00C766F2">
        <w:t>application</w:t>
      </w:r>
      <w:r w:rsidR="004E5E72">
        <w:t xml:space="preserve"> stated that there were statistically significant and clinically meaningful improvements in the physical subscale and total health score of the Haem-A-</w:t>
      </w:r>
      <w:proofErr w:type="spellStart"/>
      <w:r w:rsidR="004E5E72">
        <w:t>QoL</w:t>
      </w:r>
      <w:proofErr w:type="spellEnd"/>
      <w:r w:rsidR="004E5E72">
        <w:t>, a measure of health-related quality of life (</w:t>
      </w:r>
      <w:proofErr w:type="spellStart"/>
      <w:r w:rsidR="004E5E72">
        <w:t>HRQoL</w:t>
      </w:r>
      <w:proofErr w:type="spellEnd"/>
      <w:r w:rsidR="004E5E72">
        <w:t>) specific to haemophilia</w:t>
      </w:r>
      <w:r w:rsidR="00007F88">
        <w:t> A</w:t>
      </w:r>
      <w:r w:rsidR="004E5E72">
        <w:t>, and in health status, as measured by EQ-5D-5L, on emicizumab prophylaxis compared with on-demand treatment that were maintained with longer follow up.</w:t>
      </w:r>
    </w:p>
    <w:p w14:paraId="54420174" w14:textId="77777777" w:rsidR="00DB7536" w:rsidRPr="00561E93" w:rsidRDefault="00DB7536" w:rsidP="00C3575C">
      <w:pPr>
        <w:spacing w:before="240" w:after="240"/>
        <w:rPr>
          <w:i/>
        </w:rPr>
      </w:pPr>
      <w:r w:rsidRPr="00561E93">
        <w:rPr>
          <w:i/>
        </w:rPr>
        <w:t>Indirect Treatment Comparison (I</w:t>
      </w:r>
      <w:r>
        <w:rPr>
          <w:i/>
        </w:rPr>
        <w:t>TC): HAVEN 1 to BPA prophylaxis</w:t>
      </w:r>
    </w:p>
    <w:p w14:paraId="131B0B63" w14:textId="22F749C8" w:rsidR="00DB7536" w:rsidRDefault="00DB7536" w:rsidP="0084378F">
      <w:pPr>
        <w:spacing w:after="240"/>
      </w:pPr>
      <w:r>
        <w:t>The ITC presented confirm</w:t>
      </w:r>
      <w:r w:rsidR="00C3575C">
        <w:t>ed</w:t>
      </w:r>
      <w:r>
        <w:t xml:space="preserve"> that the efficacy of emicizumab prophylaxis is superior to </w:t>
      </w:r>
      <w:proofErr w:type="spellStart"/>
      <w:r>
        <w:t>aPCC</w:t>
      </w:r>
      <w:proofErr w:type="spellEnd"/>
      <w:r>
        <w:t xml:space="preserve"> and recombinant factor </w:t>
      </w:r>
      <w:proofErr w:type="spellStart"/>
      <w:r>
        <w:t>VIIa</w:t>
      </w:r>
      <w:proofErr w:type="spellEnd"/>
      <w:r>
        <w:t xml:space="preserve"> prophylaxis across the bleeding endpoints compared, with the indirect estimate of effect always favouring emicizumab</w:t>
      </w:r>
      <w:bookmarkStart w:id="3" w:name="_3rdcrjn" w:colFirst="0" w:colLast="0"/>
      <w:bookmarkEnd w:id="3"/>
      <w:r>
        <w:t xml:space="preserve"> (Table 2).</w:t>
      </w:r>
    </w:p>
    <w:p w14:paraId="0F907EC8" w14:textId="1F6F5310" w:rsidR="00DB7536" w:rsidRPr="00561E93" w:rsidRDefault="00DB7536" w:rsidP="00B66EB5">
      <w:pPr>
        <w:pStyle w:val="Caption"/>
        <w:keepNext/>
        <w:spacing w:after="40"/>
        <w:rPr>
          <w:rFonts w:ascii="Arial Narrow" w:hAnsi="Arial Narrow"/>
          <w:color w:val="auto"/>
          <w:sz w:val="20"/>
        </w:rPr>
      </w:pPr>
      <w:bookmarkStart w:id="4" w:name="_Ref531252883"/>
      <w:r w:rsidRPr="00561E93">
        <w:rPr>
          <w:rFonts w:ascii="Arial Narrow" w:hAnsi="Arial Narrow"/>
          <w:color w:val="auto"/>
          <w:sz w:val="20"/>
        </w:rPr>
        <w:t xml:space="preserve">Table </w:t>
      </w:r>
      <w:bookmarkEnd w:id="4"/>
      <w:proofErr w:type="gramStart"/>
      <w:r>
        <w:rPr>
          <w:rFonts w:ascii="Arial Narrow" w:hAnsi="Arial Narrow"/>
          <w:color w:val="auto"/>
          <w:sz w:val="20"/>
        </w:rPr>
        <w:t>2</w:t>
      </w:r>
      <w:proofErr w:type="gramEnd"/>
      <w:r>
        <w:rPr>
          <w:rFonts w:ascii="Arial Narrow" w:hAnsi="Arial Narrow"/>
          <w:color w:val="auto"/>
          <w:sz w:val="20"/>
        </w:rPr>
        <w:tab/>
      </w:r>
      <w:r w:rsidRPr="00561E93">
        <w:rPr>
          <w:rFonts w:ascii="Arial Narrow" w:hAnsi="Arial Narrow"/>
          <w:color w:val="000000"/>
          <w:sz w:val="20"/>
        </w:rPr>
        <w:t>ITC results for emicizumab versus meta-analysed BPA prophylaxis</w:t>
      </w:r>
    </w:p>
    <w:tbl>
      <w:tblPr>
        <w:tblStyle w:val="TableGrid"/>
        <w:tblW w:w="5000" w:type="pct"/>
        <w:tblLook w:val="0400" w:firstRow="0" w:lastRow="0" w:firstColumn="0" w:lastColumn="0" w:noHBand="0" w:noVBand="1"/>
        <w:tblDescription w:val="Summary of the ITC results for emicizumab vs meta-analysed BPA prophylaxis"/>
      </w:tblPr>
      <w:tblGrid>
        <w:gridCol w:w="2514"/>
        <w:gridCol w:w="1792"/>
        <w:gridCol w:w="2364"/>
        <w:gridCol w:w="2346"/>
      </w:tblGrid>
      <w:tr w:rsidR="00DB7536" w:rsidRPr="003A20F1" w14:paraId="4F85D0F8" w14:textId="77777777" w:rsidTr="00F81214">
        <w:trPr>
          <w:trHeight w:val="400"/>
          <w:tblHeader/>
        </w:trPr>
        <w:tc>
          <w:tcPr>
            <w:tcW w:w="1394" w:type="pct"/>
          </w:tcPr>
          <w:p w14:paraId="355C7069" w14:textId="77777777" w:rsidR="00DB7536" w:rsidRPr="003A20F1" w:rsidRDefault="00DB7536" w:rsidP="00533E6F">
            <w:pPr>
              <w:pStyle w:val="TableText"/>
              <w:rPr>
                <w:rFonts w:ascii="Arial Narrow" w:hAnsi="Arial Narrow"/>
                <w:b/>
                <w:sz w:val="20"/>
                <w:szCs w:val="20"/>
              </w:rPr>
            </w:pPr>
            <w:r w:rsidRPr="003A20F1">
              <w:rPr>
                <w:rFonts w:ascii="Arial Narrow" w:hAnsi="Arial Narrow"/>
                <w:b/>
                <w:sz w:val="20"/>
                <w:szCs w:val="20"/>
              </w:rPr>
              <w:t>Total bleeds</w:t>
            </w:r>
          </w:p>
        </w:tc>
        <w:tc>
          <w:tcPr>
            <w:tcW w:w="994" w:type="pct"/>
          </w:tcPr>
          <w:p w14:paraId="36513700" w14:textId="77777777" w:rsidR="00DB7536" w:rsidRPr="003A20F1" w:rsidRDefault="00DB7536" w:rsidP="00533E6F">
            <w:pPr>
              <w:pStyle w:val="TableText"/>
              <w:jc w:val="center"/>
              <w:rPr>
                <w:rFonts w:ascii="Arial Narrow" w:hAnsi="Arial Narrow"/>
                <w:b/>
                <w:sz w:val="20"/>
                <w:szCs w:val="20"/>
              </w:rPr>
            </w:pPr>
            <w:r w:rsidRPr="003A20F1">
              <w:rPr>
                <w:rFonts w:ascii="Arial Narrow" w:hAnsi="Arial Narrow"/>
                <w:b/>
                <w:sz w:val="20"/>
                <w:szCs w:val="20"/>
              </w:rPr>
              <w:t>Rate ratio</w:t>
            </w:r>
          </w:p>
        </w:tc>
        <w:tc>
          <w:tcPr>
            <w:tcW w:w="1311" w:type="pct"/>
          </w:tcPr>
          <w:p w14:paraId="64B7C015" w14:textId="5DE736DA" w:rsidR="00DB7536" w:rsidRPr="003A20F1" w:rsidRDefault="00DB7536" w:rsidP="00C3575C">
            <w:pPr>
              <w:pStyle w:val="TableText"/>
              <w:jc w:val="center"/>
              <w:rPr>
                <w:rFonts w:ascii="Arial Narrow" w:hAnsi="Arial Narrow"/>
                <w:b/>
                <w:sz w:val="20"/>
                <w:szCs w:val="20"/>
              </w:rPr>
            </w:pPr>
            <w:r w:rsidRPr="003A20F1">
              <w:rPr>
                <w:rFonts w:ascii="Arial Narrow" w:hAnsi="Arial Narrow"/>
                <w:b/>
                <w:sz w:val="20"/>
                <w:szCs w:val="20"/>
              </w:rPr>
              <w:t>Lower 95% C</w:t>
            </w:r>
            <w:r w:rsidR="00C3575C">
              <w:rPr>
                <w:rFonts w:ascii="Arial Narrow" w:hAnsi="Arial Narrow"/>
                <w:b/>
                <w:sz w:val="20"/>
                <w:szCs w:val="20"/>
              </w:rPr>
              <w:t>L</w:t>
            </w:r>
          </w:p>
        </w:tc>
        <w:tc>
          <w:tcPr>
            <w:tcW w:w="1301" w:type="pct"/>
          </w:tcPr>
          <w:p w14:paraId="7850D199" w14:textId="75D669C1" w:rsidR="00DB7536" w:rsidRPr="003A20F1" w:rsidRDefault="00DB7536" w:rsidP="00C3575C">
            <w:pPr>
              <w:pStyle w:val="TableText"/>
              <w:jc w:val="center"/>
              <w:rPr>
                <w:rFonts w:ascii="Arial Narrow" w:hAnsi="Arial Narrow"/>
                <w:b/>
                <w:sz w:val="20"/>
                <w:szCs w:val="20"/>
              </w:rPr>
            </w:pPr>
            <w:r w:rsidRPr="003A20F1">
              <w:rPr>
                <w:rFonts w:ascii="Arial Narrow" w:hAnsi="Arial Narrow"/>
                <w:b/>
                <w:sz w:val="20"/>
                <w:szCs w:val="20"/>
              </w:rPr>
              <w:t>Upper 95% C</w:t>
            </w:r>
            <w:r w:rsidR="00C3575C">
              <w:rPr>
                <w:rFonts w:ascii="Arial Narrow" w:hAnsi="Arial Narrow"/>
                <w:b/>
                <w:sz w:val="20"/>
                <w:szCs w:val="20"/>
              </w:rPr>
              <w:t>L</w:t>
            </w:r>
          </w:p>
        </w:tc>
      </w:tr>
      <w:tr w:rsidR="00DB7536" w:rsidRPr="003A20F1" w14:paraId="7A3CE057" w14:textId="77777777" w:rsidTr="00F81214">
        <w:trPr>
          <w:trHeight w:val="280"/>
        </w:trPr>
        <w:tc>
          <w:tcPr>
            <w:tcW w:w="1394" w:type="pct"/>
          </w:tcPr>
          <w:p w14:paraId="5BAE93A2" w14:textId="77777777" w:rsidR="00DB7536" w:rsidRPr="003A20F1" w:rsidRDefault="00DB7536" w:rsidP="00533E6F">
            <w:pPr>
              <w:pStyle w:val="TableText"/>
              <w:rPr>
                <w:rFonts w:ascii="Arial Narrow" w:hAnsi="Arial Narrow"/>
                <w:sz w:val="20"/>
                <w:szCs w:val="20"/>
              </w:rPr>
            </w:pPr>
            <w:r w:rsidRPr="003A20F1">
              <w:rPr>
                <w:rFonts w:ascii="Arial Narrow" w:hAnsi="Arial Narrow"/>
                <w:sz w:val="20"/>
                <w:szCs w:val="20"/>
              </w:rPr>
              <w:t>Fixed effects</w:t>
            </w:r>
          </w:p>
        </w:tc>
        <w:tc>
          <w:tcPr>
            <w:tcW w:w="994" w:type="pct"/>
          </w:tcPr>
          <w:p w14:paraId="53628A03" w14:textId="77777777" w:rsidR="00DB7536" w:rsidRPr="00253BB6" w:rsidRDefault="00DB7536" w:rsidP="00533E6F">
            <w:pPr>
              <w:pStyle w:val="TableText"/>
              <w:jc w:val="center"/>
              <w:rPr>
                <w:rFonts w:ascii="Arial Narrow" w:hAnsi="Arial Narrow"/>
                <w:sz w:val="20"/>
                <w:szCs w:val="20"/>
              </w:rPr>
            </w:pPr>
            <w:r w:rsidRPr="00253BB6">
              <w:rPr>
                <w:rFonts w:ascii="Arial Narrow" w:hAnsi="Arial Narrow"/>
                <w:sz w:val="20"/>
                <w:szCs w:val="20"/>
              </w:rPr>
              <w:t>0.32</w:t>
            </w:r>
          </w:p>
        </w:tc>
        <w:tc>
          <w:tcPr>
            <w:tcW w:w="1311" w:type="pct"/>
          </w:tcPr>
          <w:p w14:paraId="06557EF8" w14:textId="77777777" w:rsidR="00DB7536" w:rsidRPr="00253BB6" w:rsidRDefault="00DB7536" w:rsidP="00533E6F">
            <w:pPr>
              <w:pStyle w:val="TableText"/>
              <w:jc w:val="center"/>
              <w:rPr>
                <w:rFonts w:ascii="Arial Narrow" w:hAnsi="Arial Narrow"/>
                <w:sz w:val="20"/>
                <w:szCs w:val="20"/>
              </w:rPr>
            </w:pPr>
            <w:r w:rsidRPr="00253BB6">
              <w:rPr>
                <w:rFonts w:ascii="Arial Narrow" w:hAnsi="Arial Narrow"/>
                <w:sz w:val="20"/>
                <w:szCs w:val="20"/>
              </w:rPr>
              <w:t>0.30</w:t>
            </w:r>
          </w:p>
        </w:tc>
        <w:tc>
          <w:tcPr>
            <w:tcW w:w="1301" w:type="pct"/>
          </w:tcPr>
          <w:p w14:paraId="18F49676" w14:textId="77777777" w:rsidR="00DB7536" w:rsidRPr="00253BB6" w:rsidRDefault="00DB7536" w:rsidP="00533E6F">
            <w:pPr>
              <w:pStyle w:val="TableText"/>
              <w:jc w:val="center"/>
              <w:rPr>
                <w:rFonts w:ascii="Arial Narrow" w:hAnsi="Arial Narrow"/>
                <w:sz w:val="20"/>
                <w:szCs w:val="20"/>
              </w:rPr>
            </w:pPr>
            <w:r w:rsidRPr="00253BB6">
              <w:rPr>
                <w:rFonts w:ascii="Arial Narrow" w:hAnsi="Arial Narrow"/>
                <w:sz w:val="20"/>
                <w:szCs w:val="20"/>
              </w:rPr>
              <w:t>0.34</w:t>
            </w:r>
          </w:p>
        </w:tc>
      </w:tr>
      <w:tr w:rsidR="00DB7536" w:rsidRPr="003A20F1" w14:paraId="1048467A" w14:textId="77777777" w:rsidTr="00F81214">
        <w:trPr>
          <w:trHeight w:val="280"/>
        </w:trPr>
        <w:tc>
          <w:tcPr>
            <w:tcW w:w="1394" w:type="pct"/>
          </w:tcPr>
          <w:p w14:paraId="0C7761A5" w14:textId="77777777" w:rsidR="00DB7536" w:rsidRPr="003A20F1" w:rsidRDefault="00DB7536" w:rsidP="00533E6F">
            <w:pPr>
              <w:pStyle w:val="TableText"/>
              <w:rPr>
                <w:rFonts w:ascii="Arial Narrow" w:hAnsi="Arial Narrow"/>
                <w:sz w:val="20"/>
                <w:szCs w:val="20"/>
              </w:rPr>
            </w:pPr>
            <w:r w:rsidRPr="003A20F1">
              <w:rPr>
                <w:rFonts w:ascii="Arial Narrow" w:hAnsi="Arial Narrow"/>
                <w:sz w:val="20"/>
                <w:szCs w:val="20"/>
              </w:rPr>
              <w:t>Random effects</w:t>
            </w:r>
          </w:p>
        </w:tc>
        <w:tc>
          <w:tcPr>
            <w:tcW w:w="994" w:type="pct"/>
          </w:tcPr>
          <w:p w14:paraId="5AE9A9F7" w14:textId="77777777" w:rsidR="00DB7536" w:rsidRPr="00253BB6" w:rsidRDefault="00DB7536" w:rsidP="00533E6F">
            <w:pPr>
              <w:pStyle w:val="TableText"/>
              <w:jc w:val="center"/>
              <w:rPr>
                <w:rFonts w:ascii="Arial Narrow" w:hAnsi="Arial Narrow"/>
                <w:sz w:val="20"/>
                <w:szCs w:val="20"/>
              </w:rPr>
            </w:pPr>
            <w:r w:rsidRPr="00253BB6">
              <w:rPr>
                <w:rFonts w:ascii="Arial Narrow" w:hAnsi="Arial Narrow"/>
                <w:sz w:val="20"/>
                <w:szCs w:val="20"/>
              </w:rPr>
              <w:t>0.31</w:t>
            </w:r>
          </w:p>
        </w:tc>
        <w:tc>
          <w:tcPr>
            <w:tcW w:w="1311" w:type="pct"/>
          </w:tcPr>
          <w:p w14:paraId="512A5D51" w14:textId="77777777" w:rsidR="00DB7536" w:rsidRPr="00253BB6" w:rsidRDefault="00DB7536" w:rsidP="00533E6F">
            <w:pPr>
              <w:pStyle w:val="TableText"/>
              <w:jc w:val="center"/>
              <w:rPr>
                <w:rFonts w:ascii="Arial Narrow" w:hAnsi="Arial Narrow"/>
                <w:sz w:val="20"/>
                <w:szCs w:val="20"/>
              </w:rPr>
            </w:pPr>
            <w:r w:rsidRPr="00253BB6">
              <w:rPr>
                <w:rFonts w:ascii="Arial Narrow" w:hAnsi="Arial Narrow"/>
                <w:sz w:val="20"/>
                <w:szCs w:val="20"/>
              </w:rPr>
              <w:t>0.27</w:t>
            </w:r>
          </w:p>
        </w:tc>
        <w:tc>
          <w:tcPr>
            <w:tcW w:w="1301" w:type="pct"/>
          </w:tcPr>
          <w:p w14:paraId="614ADE8A" w14:textId="77777777" w:rsidR="00DB7536" w:rsidRPr="00253BB6" w:rsidRDefault="00DB7536" w:rsidP="00533E6F">
            <w:pPr>
              <w:pStyle w:val="TableText"/>
              <w:jc w:val="center"/>
              <w:rPr>
                <w:rFonts w:ascii="Arial Narrow" w:hAnsi="Arial Narrow"/>
                <w:sz w:val="20"/>
                <w:szCs w:val="20"/>
              </w:rPr>
            </w:pPr>
            <w:r w:rsidRPr="00253BB6">
              <w:rPr>
                <w:rFonts w:ascii="Arial Narrow" w:hAnsi="Arial Narrow"/>
                <w:sz w:val="20"/>
                <w:szCs w:val="20"/>
              </w:rPr>
              <w:t>0.36</w:t>
            </w:r>
          </w:p>
        </w:tc>
      </w:tr>
    </w:tbl>
    <w:p w14:paraId="3FC470D7" w14:textId="77777777" w:rsidR="00DB7536" w:rsidRPr="00FE4E2F" w:rsidRDefault="00DB7536" w:rsidP="00DB7536">
      <w:pPr>
        <w:pBdr>
          <w:top w:val="nil"/>
          <w:left w:val="nil"/>
          <w:bottom w:val="nil"/>
          <w:right w:val="nil"/>
          <w:between w:val="nil"/>
        </w:pBdr>
        <w:tabs>
          <w:tab w:val="left" w:pos="1134"/>
        </w:tabs>
        <w:ind w:left="1134" w:hanging="1134"/>
        <w:rPr>
          <w:rFonts w:ascii="Arial Narrow" w:hAnsi="Arial Narrow"/>
          <w:color w:val="000000"/>
          <w:sz w:val="18"/>
          <w:szCs w:val="18"/>
        </w:rPr>
      </w:pPr>
      <w:r w:rsidRPr="00FE4E2F">
        <w:rPr>
          <w:rFonts w:ascii="Arial Narrow" w:hAnsi="Arial Narrow"/>
          <w:color w:val="000000"/>
          <w:sz w:val="18"/>
          <w:szCs w:val="18"/>
        </w:rPr>
        <w:t>Source: Section Bi.6.4 of SBA; ‘</w:t>
      </w:r>
      <w:proofErr w:type="spellStart"/>
      <w:r w:rsidRPr="00FE4E2F">
        <w:rPr>
          <w:rFonts w:ascii="Arial Narrow" w:hAnsi="Arial Narrow"/>
          <w:color w:val="000000"/>
          <w:sz w:val="18"/>
          <w:szCs w:val="18"/>
        </w:rPr>
        <w:t>emi</w:t>
      </w:r>
      <w:proofErr w:type="spellEnd"/>
      <w:r w:rsidRPr="00FE4E2F">
        <w:rPr>
          <w:rFonts w:ascii="Arial Narrow" w:hAnsi="Arial Narrow"/>
          <w:color w:val="000000"/>
          <w:sz w:val="18"/>
          <w:szCs w:val="18"/>
        </w:rPr>
        <w:t xml:space="preserve"> vs BPAs’ worksheet in the emicizumab ITC spreadsheet, Clinical Appendix</w:t>
      </w:r>
    </w:p>
    <w:p w14:paraId="6C99817E" w14:textId="5E079EA7" w:rsidR="00086B3C" w:rsidRPr="0084378F" w:rsidRDefault="00DB7536" w:rsidP="0084378F">
      <w:pPr>
        <w:pBdr>
          <w:top w:val="nil"/>
          <w:left w:val="nil"/>
          <w:bottom w:val="nil"/>
          <w:right w:val="nil"/>
          <w:between w:val="nil"/>
        </w:pBdr>
        <w:rPr>
          <w:rStyle w:val="Emphasis"/>
          <w:rFonts w:ascii="Arial Narrow" w:hAnsi="Arial Narrow"/>
          <w:i w:val="0"/>
          <w:iCs w:val="0"/>
          <w:color w:val="000000"/>
          <w:sz w:val="18"/>
          <w:szCs w:val="18"/>
        </w:rPr>
      </w:pPr>
      <w:r w:rsidRPr="00FE4E2F">
        <w:rPr>
          <w:rFonts w:ascii="Arial Narrow" w:hAnsi="Arial Narrow"/>
          <w:color w:val="000000"/>
          <w:sz w:val="18"/>
          <w:szCs w:val="18"/>
        </w:rPr>
        <w:t>Notes: emicizumab is favoured if the rate ratio is &lt;1</w:t>
      </w:r>
      <w:r w:rsidR="00FA2BFD">
        <w:rPr>
          <w:rStyle w:val="Emphasis"/>
        </w:rPr>
        <w:br w:type="page"/>
      </w:r>
      <w:r w:rsidR="00086B3C">
        <w:rPr>
          <w:rStyle w:val="Emphasis"/>
        </w:rPr>
        <w:lastRenderedPageBreak/>
        <w:t>HAVEN 2</w:t>
      </w:r>
    </w:p>
    <w:p w14:paraId="58099D08" w14:textId="3D368F12" w:rsidR="00086B3C" w:rsidRDefault="00086B3C" w:rsidP="00C766F2">
      <w:pPr>
        <w:keepNext/>
        <w:pBdr>
          <w:top w:val="nil"/>
          <w:left w:val="nil"/>
          <w:bottom w:val="nil"/>
          <w:right w:val="nil"/>
          <w:between w:val="nil"/>
        </w:pBdr>
        <w:spacing w:after="160"/>
        <w:rPr>
          <w:color w:val="000000"/>
        </w:rPr>
      </w:pPr>
      <w:r>
        <w:rPr>
          <w:color w:val="000000"/>
        </w:rPr>
        <w:t>The</w:t>
      </w:r>
      <w:r w:rsidR="00464F30">
        <w:rPr>
          <w:color w:val="000000"/>
        </w:rPr>
        <w:t xml:space="preserve"> </w:t>
      </w:r>
      <w:r w:rsidR="00B05B59">
        <w:rPr>
          <w:color w:val="000000"/>
        </w:rPr>
        <w:t>application</w:t>
      </w:r>
      <w:r w:rsidR="00464F30">
        <w:rPr>
          <w:color w:val="000000"/>
        </w:rPr>
        <w:t xml:space="preserve"> stated that the</w:t>
      </w:r>
      <w:r>
        <w:rPr>
          <w:color w:val="000000"/>
        </w:rPr>
        <w:t xml:space="preserve"> annualised bleeding rate (ABR)</w:t>
      </w:r>
      <w:r w:rsidR="00464F30">
        <w:rPr>
          <w:color w:val="000000"/>
        </w:rPr>
        <w:t xml:space="preserve"> (treated bleeds)</w:t>
      </w:r>
      <w:r>
        <w:rPr>
          <w:color w:val="000000"/>
        </w:rPr>
        <w:t xml:space="preserve"> for treated patients aged &lt; 12 years and on the same dose for at least 12 weeks (n=59) was shown to be 0.3 (95% CI: 0.13; 0.52), with 87% of patients experiencing no treated bleeds and 90% patients without any treated joint bleeds. For the intra-patient comparison of patients previously enrolled in the NIS BH29768 and treated prophylactically or on demand with BPAs, there was a 98% reduction in the ABR for treated bleeds when patients </w:t>
      </w:r>
      <w:proofErr w:type="gramStart"/>
      <w:r>
        <w:rPr>
          <w:color w:val="000000"/>
        </w:rPr>
        <w:t>were treated</w:t>
      </w:r>
      <w:proofErr w:type="gramEnd"/>
      <w:r>
        <w:rPr>
          <w:color w:val="000000"/>
        </w:rPr>
        <w:t xml:space="preserve"> with emicizumab prophylaxis, with 78% of patients experiencing no treated blee</w:t>
      </w:r>
      <w:r w:rsidRPr="00086B3C">
        <w:t xml:space="preserve">ds </w:t>
      </w:r>
      <w:r>
        <w:t>(</w:t>
      </w:r>
      <w:r w:rsidR="00C766F2">
        <w:t>Table 3</w:t>
      </w:r>
      <w:r>
        <w:t>).</w:t>
      </w:r>
    </w:p>
    <w:p w14:paraId="03DA293B" w14:textId="33E7CB1F" w:rsidR="00086B3C" w:rsidRPr="00086B3C" w:rsidRDefault="00086B3C" w:rsidP="005E4220">
      <w:pPr>
        <w:keepNext/>
        <w:pBdr>
          <w:top w:val="nil"/>
          <w:left w:val="nil"/>
          <w:bottom w:val="nil"/>
          <w:right w:val="nil"/>
          <w:between w:val="nil"/>
        </w:pBdr>
        <w:spacing w:after="40"/>
        <w:rPr>
          <w:rFonts w:ascii="Arial Narrow" w:hAnsi="Arial Narrow"/>
          <w:b/>
          <w:color w:val="000000"/>
          <w:sz w:val="20"/>
        </w:rPr>
      </w:pPr>
      <w:bookmarkStart w:id="5" w:name="_Ref531254503"/>
      <w:r w:rsidRPr="00086B3C">
        <w:rPr>
          <w:rFonts w:ascii="Arial Narrow" w:hAnsi="Arial Narrow"/>
          <w:b/>
          <w:sz w:val="20"/>
        </w:rPr>
        <w:t xml:space="preserve">Table </w:t>
      </w:r>
      <w:bookmarkEnd w:id="5"/>
      <w:r w:rsidR="00C766F2">
        <w:rPr>
          <w:rFonts w:ascii="Arial Narrow" w:hAnsi="Arial Narrow"/>
          <w:b/>
          <w:sz w:val="20"/>
        </w:rPr>
        <w:t>3</w:t>
      </w:r>
      <w:r>
        <w:rPr>
          <w:rFonts w:ascii="Arial Narrow" w:hAnsi="Arial Narrow"/>
          <w:b/>
          <w:color w:val="000000"/>
          <w:sz w:val="20"/>
        </w:rPr>
        <w:tab/>
      </w:r>
      <w:r w:rsidRPr="00086B3C">
        <w:rPr>
          <w:rFonts w:ascii="Arial Narrow" w:hAnsi="Arial Narrow"/>
          <w:b/>
          <w:color w:val="000000"/>
          <w:sz w:val="20"/>
        </w:rPr>
        <w:t>HAVEN 2 and NIS BH29768: Overview of bleeding endpoints in patients &lt; 12 years</w:t>
      </w:r>
      <w:r w:rsidR="00F57FDB">
        <w:rPr>
          <w:rFonts w:ascii="Arial Narrow" w:hAnsi="Arial Narrow"/>
          <w:b/>
          <w:color w:val="000000"/>
          <w:sz w:val="20"/>
        </w:rPr>
        <w:t xml:space="preserve"> of age</w:t>
      </w:r>
    </w:p>
    <w:tbl>
      <w:tblPr>
        <w:tblStyle w:val="TableGrid"/>
        <w:tblW w:w="5000" w:type="pct"/>
        <w:tblLook w:val="0400" w:firstRow="0" w:lastRow="0" w:firstColumn="0" w:lastColumn="0" w:noHBand="0" w:noVBand="1"/>
        <w:tblDescription w:val="Summary of the trial results (HAVEN 2 and NIS BH29768) for bleeding endpoints in patients less than 12 years of age"/>
      </w:tblPr>
      <w:tblGrid>
        <w:gridCol w:w="1767"/>
        <w:gridCol w:w="1383"/>
        <w:gridCol w:w="1381"/>
        <w:gridCol w:w="1475"/>
        <w:gridCol w:w="1506"/>
        <w:gridCol w:w="61"/>
        <w:gridCol w:w="1443"/>
      </w:tblGrid>
      <w:tr w:rsidR="00086B3C" w:rsidRPr="00086B3C" w14:paraId="3F18800F" w14:textId="77777777" w:rsidTr="00B84150">
        <w:trPr>
          <w:tblHeader/>
        </w:trPr>
        <w:tc>
          <w:tcPr>
            <w:tcW w:w="980" w:type="pct"/>
          </w:tcPr>
          <w:p w14:paraId="636C706F" w14:textId="77777777" w:rsidR="00086B3C" w:rsidRPr="00086B3C" w:rsidRDefault="00086B3C" w:rsidP="00086B3C">
            <w:pPr>
              <w:keepNext/>
              <w:spacing w:before="20" w:after="20"/>
              <w:rPr>
                <w:rFonts w:ascii="Arial Narrow" w:hAnsi="Arial Narrow"/>
                <w:b/>
                <w:sz w:val="20"/>
              </w:rPr>
            </w:pPr>
          </w:p>
        </w:tc>
        <w:tc>
          <w:tcPr>
            <w:tcW w:w="2351" w:type="pct"/>
            <w:gridSpan w:val="3"/>
          </w:tcPr>
          <w:p w14:paraId="52222E69" w14:textId="77777777" w:rsidR="00086B3C" w:rsidRPr="00086B3C" w:rsidRDefault="00086B3C" w:rsidP="00086B3C">
            <w:pPr>
              <w:keepNext/>
              <w:spacing w:before="20" w:after="20"/>
              <w:jc w:val="center"/>
              <w:rPr>
                <w:rFonts w:ascii="Arial Narrow" w:hAnsi="Arial Narrow"/>
                <w:b/>
                <w:sz w:val="20"/>
              </w:rPr>
            </w:pPr>
            <w:r w:rsidRPr="00086B3C">
              <w:rPr>
                <w:rFonts w:ascii="Arial Narrow" w:hAnsi="Arial Narrow"/>
                <w:b/>
                <w:sz w:val="20"/>
              </w:rPr>
              <w:t>HAVEN-2</w:t>
            </w:r>
          </w:p>
          <w:p w14:paraId="045B550E" w14:textId="77777777" w:rsidR="00086B3C" w:rsidRPr="00086B3C" w:rsidRDefault="00086B3C" w:rsidP="00086B3C">
            <w:pPr>
              <w:keepNext/>
              <w:spacing w:before="20" w:after="20"/>
              <w:jc w:val="center"/>
              <w:rPr>
                <w:rFonts w:ascii="Arial Narrow" w:hAnsi="Arial Narrow"/>
                <w:b/>
                <w:sz w:val="20"/>
              </w:rPr>
            </w:pPr>
            <w:r w:rsidRPr="00086B3C">
              <w:rPr>
                <w:rFonts w:ascii="Arial Narrow" w:hAnsi="Arial Narrow"/>
                <w:b/>
                <w:sz w:val="20"/>
              </w:rPr>
              <w:t>1.5 mg/kg emicizumab weekly</w:t>
            </w:r>
          </w:p>
        </w:tc>
        <w:tc>
          <w:tcPr>
            <w:tcW w:w="1669" w:type="pct"/>
            <w:gridSpan w:val="3"/>
          </w:tcPr>
          <w:p w14:paraId="3EDAA492" w14:textId="77777777" w:rsidR="00086B3C" w:rsidRPr="00086B3C" w:rsidRDefault="00086B3C" w:rsidP="00086B3C">
            <w:pPr>
              <w:keepNext/>
              <w:spacing w:before="20" w:after="20"/>
              <w:jc w:val="center"/>
              <w:rPr>
                <w:rFonts w:ascii="Arial Narrow" w:hAnsi="Arial Narrow"/>
                <w:b/>
                <w:sz w:val="20"/>
              </w:rPr>
            </w:pPr>
            <w:r w:rsidRPr="00086B3C">
              <w:rPr>
                <w:rFonts w:ascii="Arial Narrow" w:hAnsi="Arial Narrow"/>
                <w:b/>
                <w:sz w:val="20"/>
              </w:rPr>
              <w:t>HAVEN-2 &amp; NIS BH29768</w:t>
            </w:r>
          </w:p>
          <w:p w14:paraId="64E84E80" w14:textId="77C7CE5B" w:rsidR="00086B3C" w:rsidRPr="00086B3C" w:rsidRDefault="00086B3C" w:rsidP="00086B3C">
            <w:pPr>
              <w:keepNext/>
              <w:spacing w:before="20" w:after="20"/>
              <w:jc w:val="center"/>
              <w:rPr>
                <w:rFonts w:ascii="Arial Narrow" w:hAnsi="Arial Narrow"/>
                <w:b/>
                <w:sz w:val="20"/>
              </w:rPr>
            </w:pPr>
            <w:r w:rsidRPr="00086B3C">
              <w:rPr>
                <w:rFonts w:ascii="Arial Narrow" w:hAnsi="Arial Narrow"/>
                <w:b/>
                <w:sz w:val="20"/>
              </w:rPr>
              <w:t>Intra-patient comparisons</w:t>
            </w:r>
          </w:p>
        </w:tc>
      </w:tr>
      <w:tr w:rsidR="00086B3C" w:rsidRPr="00086B3C" w14:paraId="181ABAF1" w14:textId="77777777" w:rsidTr="00F81214">
        <w:tc>
          <w:tcPr>
            <w:tcW w:w="980" w:type="pct"/>
          </w:tcPr>
          <w:p w14:paraId="29F58715" w14:textId="77777777" w:rsidR="00086B3C" w:rsidRPr="00086B3C" w:rsidRDefault="00086B3C" w:rsidP="00086B3C">
            <w:pPr>
              <w:keepNext/>
              <w:spacing w:before="20" w:after="20"/>
              <w:rPr>
                <w:rFonts w:ascii="Arial Narrow" w:hAnsi="Arial Narrow"/>
                <w:b/>
                <w:sz w:val="20"/>
              </w:rPr>
            </w:pPr>
            <w:r w:rsidRPr="00086B3C">
              <w:rPr>
                <w:rFonts w:ascii="Arial Narrow" w:hAnsi="Arial Narrow"/>
                <w:b/>
                <w:sz w:val="20"/>
              </w:rPr>
              <w:t>Endpoint</w:t>
            </w:r>
          </w:p>
        </w:tc>
        <w:tc>
          <w:tcPr>
            <w:tcW w:w="767" w:type="pct"/>
          </w:tcPr>
          <w:p w14:paraId="4B4BFCFB" w14:textId="77777777" w:rsidR="00086B3C" w:rsidRPr="00086B3C" w:rsidRDefault="00086B3C" w:rsidP="00086B3C">
            <w:pPr>
              <w:keepNext/>
              <w:spacing w:before="20" w:after="20"/>
              <w:jc w:val="center"/>
              <w:rPr>
                <w:rFonts w:ascii="Arial Narrow" w:hAnsi="Arial Narrow"/>
                <w:b/>
                <w:sz w:val="20"/>
              </w:rPr>
            </w:pPr>
            <w:r w:rsidRPr="00086B3C">
              <w:rPr>
                <w:rFonts w:ascii="Arial Narrow" w:hAnsi="Arial Narrow"/>
                <w:b/>
                <w:sz w:val="20"/>
              </w:rPr>
              <w:t>ABR* (95% CI)</w:t>
            </w:r>
          </w:p>
        </w:tc>
        <w:tc>
          <w:tcPr>
            <w:tcW w:w="766" w:type="pct"/>
          </w:tcPr>
          <w:p w14:paraId="3D35068B" w14:textId="77777777" w:rsidR="00086B3C" w:rsidRPr="00086B3C" w:rsidRDefault="00086B3C" w:rsidP="00086B3C">
            <w:pPr>
              <w:keepNext/>
              <w:spacing w:before="20" w:after="20"/>
              <w:jc w:val="center"/>
              <w:rPr>
                <w:rFonts w:ascii="Arial Narrow" w:hAnsi="Arial Narrow"/>
                <w:b/>
                <w:sz w:val="20"/>
              </w:rPr>
            </w:pPr>
            <w:r w:rsidRPr="00086B3C">
              <w:rPr>
                <w:rFonts w:ascii="Arial Narrow" w:hAnsi="Arial Narrow"/>
                <w:b/>
                <w:sz w:val="20"/>
              </w:rPr>
              <w:t>Median ABR (IQR)</w:t>
            </w:r>
          </w:p>
        </w:tc>
        <w:tc>
          <w:tcPr>
            <w:tcW w:w="818" w:type="pct"/>
          </w:tcPr>
          <w:p w14:paraId="3648E8C6" w14:textId="1C30FEB8" w:rsidR="00086B3C" w:rsidRPr="00086B3C" w:rsidRDefault="00086B3C" w:rsidP="00C3575C">
            <w:pPr>
              <w:keepNext/>
              <w:spacing w:before="20" w:after="20"/>
              <w:jc w:val="center"/>
              <w:rPr>
                <w:rFonts w:ascii="Arial Narrow" w:hAnsi="Arial Narrow"/>
                <w:b/>
                <w:sz w:val="20"/>
              </w:rPr>
            </w:pPr>
            <w:r w:rsidRPr="00086B3C">
              <w:rPr>
                <w:rFonts w:ascii="Arial Narrow" w:hAnsi="Arial Narrow"/>
                <w:b/>
                <w:sz w:val="20"/>
              </w:rPr>
              <w:t xml:space="preserve">% </w:t>
            </w:r>
            <w:r w:rsidR="00C3575C">
              <w:rPr>
                <w:rFonts w:ascii="Arial Narrow" w:hAnsi="Arial Narrow"/>
                <w:b/>
                <w:sz w:val="20"/>
              </w:rPr>
              <w:t>z</w:t>
            </w:r>
            <w:r w:rsidRPr="00086B3C">
              <w:rPr>
                <w:rFonts w:ascii="Arial Narrow" w:hAnsi="Arial Narrow"/>
                <w:b/>
                <w:sz w:val="20"/>
              </w:rPr>
              <w:t xml:space="preserve">ero </w:t>
            </w:r>
            <w:r w:rsidR="00C3575C">
              <w:rPr>
                <w:rFonts w:ascii="Arial Narrow" w:hAnsi="Arial Narrow"/>
                <w:b/>
                <w:sz w:val="20"/>
              </w:rPr>
              <w:t>b</w:t>
            </w:r>
            <w:r w:rsidRPr="00086B3C">
              <w:rPr>
                <w:rFonts w:ascii="Arial Narrow" w:hAnsi="Arial Narrow"/>
                <w:b/>
                <w:sz w:val="20"/>
              </w:rPr>
              <w:t xml:space="preserve">leeds </w:t>
            </w:r>
            <w:r w:rsidRPr="00086B3C">
              <w:rPr>
                <w:rFonts w:ascii="Arial Narrow" w:hAnsi="Arial Narrow"/>
                <w:b/>
                <w:sz w:val="20"/>
              </w:rPr>
              <w:br/>
              <w:t>(95% CI)</w:t>
            </w:r>
          </w:p>
        </w:tc>
        <w:tc>
          <w:tcPr>
            <w:tcW w:w="869" w:type="pct"/>
            <w:gridSpan w:val="2"/>
          </w:tcPr>
          <w:p w14:paraId="2616CB73" w14:textId="5316F561" w:rsidR="00086B3C" w:rsidRPr="00086B3C" w:rsidRDefault="00086B3C" w:rsidP="00C3575C">
            <w:pPr>
              <w:keepNext/>
              <w:spacing w:before="20" w:after="20"/>
              <w:jc w:val="center"/>
              <w:rPr>
                <w:rFonts w:ascii="Arial Narrow" w:hAnsi="Arial Narrow"/>
                <w:b/>
                <w:sz w:val="20"/>
              </w:rPr>
            </w:pPr>
            <w:r w:rsidRPr="00086B3C">
              <w:rPr>
                <w:rFonts w:ascii="Arial Narrow" w:hAnsi="Arial Narrow"/>
                <w:b/>
                <w:sz w:val="20"/>
              </w:rPr>
              <w:t xml:space="preserve">Previous </w:t>
            </w:r>
            <w:r w:rsidR="00C3575C">
              <w:rPr>
                <w:rFonts w:ascii="Arial Narrow" w:hAnsi="Arial Narrow"/>
                <w:b/>
                <w:sz w:val="20"/>
              </w:rPr>
              <w:t>prophylactic/o</w:t>
            </w:r>
            <w:r w:rsidRPr="00086B3C">
              <w:rPr>
                <w:rFonts w:ascii="Arial Narrow" w:hAnsi="Arial Narrow"/>
                <w:b/>
                <w:sz w:val="20"/>
              </w:rPr>
              <w:t>n demand BPAs</w:t>
            </w:r>
          </w:p>
        </w:tc>
        <w:tc>
          <w:tcPr>
            <w:tcW w:w="800" w:type="pct"/>
          </w:tcPr>
          <w:p w14:paraId="5387B43F" w14:textId="77777777" w:rsidR="00086B3C" w:rsidRPr="00086B3C" w:rsidRDefault="00086B3C" w:rsidP="00086B3C">
            <w:pPr>
              <w:keepNext/>
              <w:spacing w:before="20" w:after="20"/>
              <w:jc w:val="center"/>
              <w:rPr>
                <w:rFonts w:ascii="Arial Narrow" w:hAnsi="Arial Narrow"/>
                <w:b/>
                <w:sz w:val="20"/>
              </w:rPr>
            </w:pPr>
            <w:r w:rsidRPr="00086B3C">
              <w:rPr>
                <w:rFonts w:ascii="Arial Narrow" w:hAnsi="Arial Narrow"/>
                <w:b/>
                <w:sz w:val="20"/>
              </w:rPr>
              <w:t>Emicizumab 1.5 mg/kg weekly</w:t>
            </w:r>
          </w:p>
        </w:tc>
      </w:tr>
      <w:tr w:rsidR="00086B3C" w:rsidRPr="00086B3C" w14:paraId="5E93D6E9" w14:textId="77777777" w:rsidTr="00F81214">
        <w:tc>
          <w:tcPr>
            <w:tcW w:w="980" w:type="pct"/>
          </w:tcPr>
          <w:p w14:paraId="54827229" w14:textId="77777777" w:rsidR="00086B3C" w:rsidRPr="00086B3C" w:rsidRDefault="00086B3C" w:rsidP="00086B3C">
            <w:pPr>
              <w:keepNext/>
              <w:spacing w:before="20" w:after="20"/>
              <w:rPr>
                <w:rFonts w:ascii="Arial Narrow" w:hAnsi="Arial Narrow"/>
                <w:color w:val="000000"/>
                <w:sz w:val="20"/>
              </w:rPr>
            </w:pPr>
            <w:r w:rsidRPr="00086B3C">
              <w:rPr>
                <w:rFonts w:ascii="Arial Narrow" w:hAnsi="Arial Narrow"/>
                <w:color w:val="000000"/>
                <w:sz w:val="20"/>
              </w:rPr>
              <w:t>n</w:t>
            </w:r>
          </w:p>
        </w:tc>
        <w:tc>
          <w:tcPr>
            <w:tcW w:w="767" w:type="pct"/>
          </w:tcPr>
          <w:p w14:paraId="2B627B18"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59</w:t>
            </w:r>
          </w:p>
        </w:tc>
        <w:tc>
          <w:tcPr>
            <w:tcW w:w="766" w:type="pct"/>
          </w:tcPr>
          <w:p w14:paraId="7C190648"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59</w:t>
            </w:r>
          </w:p>
        </w:tc>
        <w:tc>
          <w:tcPr>
            <w:tcW w:w="818" w:type="pct"/>
          </w:tcPr>
          <w:p w14:paraId="6712EBB2"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59</w:t>
            </w:r>
          </w:p>
        </w:tc>
        <w:tc>
          <w:tcPr>
            <w:tcW w:w="869" w:type="pct"/>
            <w:gridSpan w:val="2"/>
          </w:tcPr>
          <w:p w14:paraId="5BE8E919"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18</w:t>
            </w:r>
          </w:p>
        </w:tc>
        <w:tc>
          <w:tcPr>
            <w:tcW w:w="800" w:type="pct"/>
          </w:tcPr>
          <w:p w14:paraId="11435155"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18</w:t>
            </w:r>
          </w:p>
        </w:tc>
      </w:tr>
      <w:tr w:rsidR="00086B3C" w:rsidRPr="00086B3C" w14:paraId="469C537C" w14:textId="77777777" w:rsidTr="00F81214">
        <w:trPr>
          <w:trHeight w:val="240"/>
        </w:trPr>
        <w:tc>
          <w:tcPr>
            <w:tcW w:w="980" w:type="pct"/>
          </w:tcPr>
          <w:p w14:paraId="68A888DA" w14:textId="249353E1" w:rsidR="00086B3C" w:rsidRPr="00086B3C" w:rsidRDefault="00086B3C" w:rsidP="00C3575C">
            <w:pPr>
              <w:keepNext/>
              <w:spacing w:before="20" w:after="20"/>
              <w:rPr>
                <w:rFonts w:ascii="Arial Narrow" w:hAnsi="Arial Narrow"/>
                <w:color w:val="000000"/>
                <w:sz w:val="20"/>
              </w:rPr>
            </w:pPr>
            <w:r w:rsidRPr="00086B3C">
              <w:rPr>
                <w:rFonts w:ascii="Arial Narrow" w:hAnsi="Arial Narrow"/>
                <w:color w:val="000000"/>
                <w:sz w:val="20"/>
              </w:rPr>
              <w:t xml:space="preserve">Treated </w:t>
            </w:r>
            <w:r w:rsidR="00C3575C">
              <w:rPr>
                <w:rFonts w:ascii="Arial Narrow" w:hAnsi="Arial Narrow"/>
                <w:color w:val="000000"/>
                <w:sz w:val="20"/>
              </w:rPr>
              <w:t>b</w:t>
            </w:r>
            <w:r w:rsidRPr="00086B3C">
              <w:rPr>
                <w:rFonts w:ascii="Arial Narrow" w:hAnsi="Arial Narrow"/>
                <w:color w:val="000000"/>
                <w:sz w:val="20"/>
              </w:rPr>
              <w:t>leeds</w:t>
            </w:r>
          </w:p>
        </w:tc>
        <w:tc>
          <w:tcPr>
            <w:tcW w:w="767" w:type="pct"/>
          </w:tcPr>
          <w:p w14:paraId="2496F5BA"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0.3 (0.13, 0.52)</w:t>
            </w:r>
          </w:p>
        </w:tc>
        <w:tc>
          <w:tcPr>
            <w:tcW w:w="766" w:type="pct"/>
          </w:tcPr>
          <w:p w14:paraId="4E5DB4F0"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0.0 (0.00, 0.00)</w:t>
            </w:r>
          </w:p>
        </w:tc>
        <w:tc>
          <w:tcPr>
            <w:tcW w:w="818" w:type="pct"/>
          </w:tcPr>
          <w:p w14:paraId="7BF34941"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86.4 (75.0, 94.0)</w:t>
            </w:r>
          </w:p>
        </w:tc>
        <w:tc>
          <w:tcPr>
            <w:tcW w:w="869" w:type="pct"/>
            <w:gridSpan w:val="2"/>
          </w:tcPr>
          <w:p w14:paraId="3F4E3C4C"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19.8 (15.31, 25.69)</w:t>
            </w:r>
          </w:p>
        </w:tc>
        <w:tc>
          <w:tcPr>
            <w:tcW w:w="800" w:type="pct"/>
          </w:tcPr>
          <w:p w14:paraId="376C08DA"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0.4 (0.15, 0.88)</w:t>
            </w:r>
          </w:p>
        </w:tc>
      </w:tr>
      <w:tr w:rsidR="00086B3C" w:rsidRPr="00086B3C" w14:paraId="08BA0975" w14:textId="77777777" w:rsidTr="00F81214">
        <w:trPr>
          <w:trHeight w:val="40"/>
        </w:trPr>
        <w:tc>
          <w:tcPr>
            <w:tcW w:w="980" w:type="pct"/>
          </w:tcPr>
          <w:p w14:paraId="763B900A" w14:textId="63139215" w:rsidR="00086B3C" w:rsidRPr="00086B3C" w:rsidRDefault="00C3575C" w:rsidP="00086B3C">
            <w:pPr>
              <w:keepNext/>
              <w:spacing w:before="20" w:after="20"/>
              <w:rPr>
                <w:rFonts w:ascii="Arial Narrow" w:hAnsi="Arial Narrow"/>
                <w:color w:val="000000"/>
                <w:sz w:val="20"/>
              </w:rPr>
            </w:pPr>
            <w:r>
              <w:rPr>
                <w:rFonts w:ascii="Arial Narrow" w:hAnsi="Arial Narrow"/>
                <w:color w:val="000000"/>
                <w:sz w:val="20"/>
              </w:rPr>
              <w:t>All b</w:t>
            </w:r>
            <w:r w:rsidR="00086B3C" w:rsidRPr="00086B3C">
              <w:rPr>
                <w:rFonts w:ascii="Arial Narrow" w:hAnsi="Arial Narrow"/>
                <w:color w:val="000000"/>
                <w:sz w:val="20"/>
              </w:rPr>
              <w:t>leeds</w:t>
            </w:r>
          </w:p>
        </w:tc>
        <w:tc>
          <w:tcPr>
            <w:tcW w:w="767" w:type="pct"/>
          </w:tcPr>
          <w:p w14:paraId="6611C139"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3.8 (2.2, 6.52)</w:t>
            </w:r>
          </w:p>
        </w:tc>
        <w:tc>
          <w:tcPr>
            <w:tcW w:w="766" w:type="pct"/>
          </w:tcPr>
          <w:p w14:paraId="522E8FA2"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0.0 (0.00, 3.42)</w:t>
            </w:r>
          </w:p>
        </w:tc>
        <w:tc>
          <w:tcPr>
            <w:tcW w:w="818" w:type="pct"/>
          </w:tcPr>
          <w:p w14:paraId="5F491137"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55.9 (42.4, 68.8)</w:t>
            </w:r>
          </w:p>
        </w:tc>
        <w:tc>
          <w:tcPr>
            <w:tcW w:w="1669" w:type="pct"/>
            <w:gridSpan w:val="3"/>
          </w:tcPr>
          <w:p w14:paraId="1126633E" w14:textId="77777777" w:rsidR="00086B3C" w:rsidRPr="00086B3C" w:rsidRDefault="00086B3C" w:rsidP="00086B3C">
            <w:pPr>
              <w:keepNext/>
              <w:spacing w:before="20" w:after="20"/>
              <w:jc w:val="center"/>
              <w:rPr>
                <w:rFonts w:ascii="Arial Narrow" w:hAnsi="Arial Narrow"/>
                <w:color w:val="000000"/>
                <w:sz w:val="20"/>
              </w:rPr>
            </w:pPr>
          </w:p>
        </w:tc>
      </w:tr>
      <w:tr w:rsidR="00086B3C" w:rsidRPr="00086B3C" w14:paraId="272CDF6A" w14:textId="77777777" w:rsidTr="00F81214">
        <w:trPr>
          <w:trHeight w:val="40"/>
        </w:trPr>
        <w:tc>
          <w:tcPr>
            <w:tcW w:w="980" w:type="pct"/>
          </w:tcPr>
          <w:p w14:paraId="64098F5D" w14:textId="7138F402" w:rsidR="00086B3C" w:rsidRPr="00086B3C" w:rsidRDefault="00086B3C" w:rsidP="00C3575C">
            <w:pPr>
              <w:keepNext/>
              <w:spacing w:before="20" w:after="20"/>
              <w:rPr>
                <w:rFonts w:ascii="Arial Narrow" w:hAnsi="Arial Narrow"/>
                <w:color w:val="000000"/>
                <w:sz w:val="20"/>
              </w:rPr>
            </w:pPr>
            <w:r w:rsidRPr="00086B3C">
              <w:rPr>
                <w:rFonts w:ascii="Arial Narrow" w:hAnsi="Arial Narrow"/>
                <w:color w:val="000000"/>
                <w:sz w:val="20"/>
              </w:rPr>
              <w:t xml:space="preserve">Treated </w:t>
            </w:r>
            <w:r w:rsidR="00C3575C">
              <w:rPr>
                <w:rFonts w:ascii="Arial Narrow" w:hAnsi="Arial Narrow"/>
                <w:color w:val="000000"/>
                <w:sz w:val="20"/>
              </w:rPr>
              <w:t>s</w:t>
            </w:r>
            <w:r w:rsidRPr="00086B3C">
              <w:rPr>
                <w:rFonts w:ascii="Arial Narrow" w:hAnsi="Arial Narrow"/>
                <w:color w:val="000000"/>
                <w:sz w:val="20"/>
              </w:rPr>
              <w:t xml:space="preserve">pontaneous </w:t>
            </w:r>
            <w:r w:rsidR="00C3575C">
              <w:rPr>
                <w:rFonts w:ascii="Arial Narrow" w:hAnsi="Arial Narrow"/>
                <w:color w:val="000000"/>
                <w:sz w:val="20"/>
              </w:rPr>
              <w:t>b</w:t>
            </w:r>
            <w:r w:rsidRPr="00086B3C">
              <w:rPr>
                <w:rFonts w:ascii="Arial Narrow" w:hAnsi="Arial Narrow"/>
                <w:color w:val="000000"/>
                <w:sz w:val="20"/>
              </w:rPr>
              <w:t>leeds</w:t>
            </w:r>
          </w:p>
        </w:tc>
        <w:tc>
          <w:tcPr>
            <w:tcW w:w="767" w:type="pct"/>
          </w:tcPr>
          <w:p w14:paraId="5DCDD606"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0.0 (0.00, 0.17)</w:t>
            </w:r>
          </w:p>
        </w:tc>
        <w:tc>
          <w:tcPr>
            <w:tcW w:w="766" w:type="pct"/>
          </w:tcPr>
          <w:p w14:paraId="3C988BF5"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0.0 (0.00, 0.00)</w:t>
            </w:r>
          </w:p>
        </w:tc>
        <w:tc>
          <w:tcPr>
            <w:tcW w:w="818" w:type="pct"/>
          </w:tcPr>
          <w:p w14:paraId="433DFF6F"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98.3 (90.9, 100.0)</w:t>
            </w:r>
          </w:p>
        </w:tc>
        <w:tc>
          <w:tcPr>
            <w:tcW w:w="1669" w:type="pct"/>
            <w:gridSpan w:val="3"/>
          </w:tcPr>
          <w:p w14:paraId="3C7D1F77" w14:textId="77777777" w:rsidR="00086B3C" w:rsidRPr="00086B3C" w:rsidRDefault="00086B3C" w:rsidP="00086B3C">
            <w:pPr>
              <w:keepNext/>
              <w:spacing w:before="20" w:after="20"/>
              <w:jc w:val="center"/>
              <w:rPr>
                <w:rFonts w:ascii="Arial Narrow" w:hAnsi="Arial Narrow"/>
                <w:color w:val="000000"/>
                <w:sz w:val="20"/>
              </w:rPr>
            </w:pPr>
          </w:p>
        </w:tc>
      </w:tr>
      <w:tr w:rsidR="00086B3C" w:rsidRPr="00086B3C" w14:paraId="5656CF6F" w14:textId="77777777" w:rsidTr="00F81214">
        <w:trPr>
          <w:trHeight w:val="40"/>
        </w:trPr>
        <w:tc>
          <w:tcPr>
            <w:tcW w:w="980" w:type="pct"/>
          </w:tcPr>
          <w:p w14:paraId="7F83AE69" w14:textId="4FA6527A" w:rsidR="00086B3C" w:rsidRPr="00086B3C" w:rsidRDefault="00086B3C" w:rsidP="00C3575C">
            <w:pPr>
              <w:keepNext/>
              <w:spacing w:before="20" w:after="20"/>
              <w:rPr>
                <w:rFonts w:ascii="Arial Narrow" w:hAnsi="Arial Narrow"/>
                <w:color w:val="000000"/>
                <w:sz w:val="20"/>
              </w:rPr>
            </w:pPr>
            <w:r w:rsidRPr="00086B3C">
              <w:rPr>
                <w:rFonts w:ascii="Arial Narrow" w:hAnsi="Arial Narrow"/>
                <w:color w:val="000000"/>
                <w:sz w:val="20"/>
              </w:rPr>
              <w:t xml:space="preserve">Treated </w:t>
            </w:r>
            <w:r w:rsidR="00C3575C">
              <w:rPr>
                <w:rFonts w:ascii="Arial Narrow" w:hAnsi="Arial Narrow"/>
                <w:color w:val="000000"/>
                <w:sz w:val="20"/>
              </w:rPr>
              <w:t>j</w:t>
            </w:r>
            <w:r w:rsidRPr="00086B3C">
              <w:rPr>
                <w:rFonts w:ascii="Arial Narrow" w:hAnsi="Arial Narrow"/>
                <w:color w:val="000000"/>
                <w:sz w:val="20"/>
              </w:rPr>
              <w:t xml:space="preserve">oint </w:t>
            </w:r>
            <w:r w:rsidR="00C3575C">
              <w:rPr>
                <w:rFonts w:ascii="Arial Narrow" w:hAnsi="Arial Narrow"/>
                <w:color w:val="000000"/>
                <w:sz w:val="20"/>
              </w:rPr>
              <w:t>b</w:t>
            </w:r>
            <w:r w:rsidRPr="00086B3C">
              <w:rPr>
                <w:rFonts w:ascii="Arial Narrow" w:hAnsi="Arial Narrow"/>
                <w:color w:val="000000"/>
                <w:sz w:val="20"/>
              </w:rPr>
              <w:t>leeds</w:t>
            </w:r>
          </w:p>
        </w:tc>
        <w:tc>
          <w:tcPr>
            <w:tcW w:w="767" w:type="pct"/>
          </w:tcPr>
          <w:p w14:paraId="79C6E83A"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0.2 (0.07, 0.39)</w:t>
            </w:r>
          </w:p>
        </w:tc>
        <w:tc>
          <w:tcPr>
            <w:tcW w:w="766" w:type="pct"/>
          </w:tcPr>
          <w:p w14:paraId="5EC80376"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0.0 (0.00, 0.00)</w:t>
            </w:r>
          </w:p>
        </w:tc>
        <w:tc>
          <w:tcPr>
            <w:tcW w:w="818" w:type="pct"/>
          </w:tcPr>
          <w:p w14:paraId="3A39B297"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89.8 (79.2, 96.2)</w:t>
            </w:r>
          </w:p>
        </w:tc>
        <w:tc>
          <w:tcPr>
            <w:tcW w:w="1669" w:type="pct"/>
            <w:gridSpan w:val="3"/>
          </w:tcPr>
          <w:p w14:paraId="528513D6" w14:textId="77777777" w:rsidR="00086B3C" w:rsidRPr="00086B3C" w:rsidRDefault="00086B3C" w:rsidP="00086B3C">
            <w:pPr>
              <w:keepNext/>
              <w:spacing w:before="20" w:after="20"/>
              <w:jc w:val="center"/>
              <w:rPr>
                <w:rFonts w:ascii="Arial Narrow" w:hAnsi="Arial Narrow"/>
                <w:color w:val="000000"/>
                <w:sz w:val="20"/>
              </w:rPr>
            </w:pPr>
          </w:p>
        </w:tc>
      </w:tr>
      <w:tr w:rsidR="00086B3C" w:rsidRPr="00086B3C" w14:paraId="17682250" w14:textId="77777777" w:rsidTr="00F81214">
        <w:trPr>
          <w:trHeight w:val="40"/>
        </w:trPr>
        <w:tc>
          <w:tcPr>
            <w:tcW w:w="980" w:type="pct"/>
          </w:tcPr>
          <w:p w14:paraId="5B60B53B" w14:textId="7AD45505" w:rsidR="00086B3C" w:rsidRPr="00086B3C" w:rsidRDefault="00086B3C" w:rsidP="00C3575C">
            <w:pPr>
              <w:keepNext/>
              <w:spacing w:before="20" w:after="20"/>
              <w:rPr>
                <w:rFonts w:ascii="Arial Narrow" w:hAnsi="Arial Narrow"/>
                <w:color w:val="000000"/>
                <w:sz w:val="20"/>
              </w:rPr>
            </w:pPr>
            <w:r w:rsidRPr="00086B3C">
              <w:rPr>
                <w:rFonts w:ascii="Arial Narrow" w:hAnsi="Arial Narrow"/>
                <w:color w:val="000000"/>
                <w:sz w:val="20"/>
              </w:rPr>
              <w:t xml:space="preserve">Treated </w:t>
            </w:r>
            <w:r w:rsidR="00C3575C">
              <w:rPr>
                <w:rFonts w:ascii="Arial Narrow" w:hAnsi="Arial Narrow"/>
                <w:color w:val="000000"/>
                <w:sz w:val="20"/>
              </w:rPr>
              <w:t>t</w:t>
            </w:r>
            <w:r w:rsidRPr="00086B3C">
              <w:rPr>
                <w:rFonts w:ascii="Arial Narrow" w:hAnsi="Arial Narrow"/>
                <w:color w:val="000000"/>
                <w:sz w:val="20"/>
              </w:rPr>
              <w:t xml:space="preserve">arget </w:t>
            </w:r>
            <w:r w:rsidR="00C3575C">
              <w:rPr>
                <w:rFonts w:ascii="Arial Narrow" w:hAnsi="Arial Narrow"/>
                <w:color w:val="000000"/>
                <w:sz w:val="20"/>
              </w:rPr>
              <w:t>j</w:t>
            </w:r>
            <w:r w:rsidRPr="00086B3C">
              <w:rPr>
                <w:rFonts w:ascii="Arial Narrow" w:hAnsi="Arial Narrow"/>
                <w:color w:val="000000"/>
                <w:sz w:val="20"/>
              </w:rPr>
              <w:t xml:space="preserve">oint </w:t>
            </w:r>
            <w:r w:rsidR="00C3575C">
              <w:rPr>
                <w:rFonts w:ascii="Arial Narrow" w:hAnsi="Arial Narrow"/>
                <w:color w:val="000000"/>
                <w:sz w:val="20"/>
              </w:rPr>
              <w:t>b</w:t>
            </w:r>
            <w:r w:rsidRPr="00086B3C">
              <w:rPr>
                <w:rFonts w:ascii="Arial Narrow" w:hAnsi="Arial Narrow"/>
                <w:color w:val="000000"/>
                <w:sz w:val="20"/>
              </w:rPr>
              <w:t>leeds</w:t>
            </w:r>
          </w:p>
        </w:tc>
        <w:tc>
          <w:tcPr>
            <w:tcW w:w="767" w:type="pct"/>
          </w:tcPr>
          <w:p w14:paraId="28158575"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0.1 (0.01, 0.65)</w:t>
            </w:r>
          </w:p>
        </w:tc>
        <w:tc>
          <w:tcPr>
            <w:tcW w:w="766" w:type="pct"/>
          </w:tcPr>
          <w:p w14:paraId="5CAD97FE"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0.0 (0.00, 0.00)</w:t>
            </w:r>
          </w:p>
        </w:tc>
        <w:tc>
          <w:tcPr>
            <w:tcW w:w="818" w:type="pct"/>
          </w:tcPr>
          <w:p w14:paraId="0AACD7D9"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96.6 (88.3, 99.6)</w:t>
            </w:r>
          </w:p>
        </w:tc>
        <w:tc>
          <w:tcPr>
            <w:tcW w:w="1669" w:type="pct"/>
            <w:gridSpan w:val="3"/>
          </w:tcPr>
          <w:p w14:paraId="23E15AE1" w14:textId="77777777" w:rsidR="00086B3C" w:rsidRPr="00086B3C" w:rsidRDefault="00086B3C" w:rsidP="00086B3C">
            <w:pPr>
              <w:keepNext/>
              <w:spacing w:before="20" w:after="20"/>
              <w:jc w:val="center"/>
              <w:rPr>
                <w:rFonts w:ascii="Arial Narrow" w:hAnsi="Arial Narrow"/>
                <w:color w:val="000000"/>
                <w:sz w:val="20"/>
              </w:rPr>
            </w:pPr>
          </w:p>
        </w:tc>
      </w:tr>
      <w:tr w:rsidR="00086B3C" w:rsidRPr="00086B3C" w14:paraId="4D2E7EB1" w14:textId="77777777" w:rsidTr="00F81214">
        <w:trPr>
          <w:trHeight w:val="40"/>
        </w:trPr>
        <w:tc>
          <w:tcPr>
            <w:tcW w:w="980" w:type="pct"/>
          </w:tcPr>
          <w:p w14:paraId="10F90FDD" w14:textId="77777777" w:rsidR="00086B3C" w:rsidRPr="00086B3C" w:rsidRDefault="00086B3C" w:rsidP="00086B3C">
            <w:pPr>
              <w:keepNext/>
              <w:spacing w:before="20" w:after="20"/>
              <w:rPr>
                <w:rFonts w:ascii="Arial Narrow" w:hAnsi="Arial Narrow"/>
                <w:color w:val="000000"/>
                <w:sz w:val="20"/>
              </w:rPr>
            </w:pPr>
            <w:r w:rsidRPr="00086B3C">
              <w:rPr>
                <w:rFonts w:ascii="Arial Narrow" w:hAnsi="Arial Narrow"/>
                <w:color w:val="000000"/>
                <w:sz w:val="20"/>
              </w:rPr>
              <w:t>% reduction</w:t>
            </w:r>
            <w:r w:rsidRPr="00086B3C">
              <w:rPr>
                <w:rFonts w:ascii="Arial Narrow" w:hAnsi="Arial Narrow"/>
                <w:color w:val="000000"/>
                <w:sz w:val="20"/>
              </w:rPr>
              <w:br/>
              <w:t>RR (95% CI)</w:t>
            </w:r>
          </w:p>
        </w:tc>
        <w:tc>
          <w:tcPr>
            <w:tcW w:w="2351" w:type="pct"/>
            <w:gridSpan w:val="3"/>
          </w:tcPr>
          <w:p w14:paraId="3DE2389F" w14:textId="77777777" w:rsidR="00086B3C" w:rsidRPr="00086B3C" w:rsidRDefault="00086B3C" w:rsidP="00086B3C">
            <w:pPr>
              <w:keepNext/>
              <w:spacing w:before="20" w:after="20"/>
              <w:jc w:val="center"/>
              <w:rPr>
                <w:rFonts w:ascii="Arial Narrow" w:hAnsi="Arial Narrow"/>
                <w:color w:val="000000"/>
                <w:sz w:val="20"/>
              </w:rPr>
            </w:pPr>
          </w:p>
        </w:tc>
        <w:tc>
          <w:tcPr>
            <w:tcW w:w="1669" w:type="pct"/>
            <w:gridSpan w:val="3"/>
          </w:tcPr>
          <w:p w14:paraId="2AA31377"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98%</w:t>
            </w:r>
            <w:r w:rsidRPr="00086B3C">
              <w:rPr>
                <w:rFonts w:ascii="Arial Narrow" w:hAnsi="Arial Narrow"/>
                <w:color w:val="000000"/>
                <w:sz w:val="20"/>
              </w:rPr>
              <w:br/>
              <w:t>0.02 (0.008, 0.043)</w:t>
            </w:r>
          </w:p>
        </w:tc>
      </w:tr>
      <w:tr w:rsidR="00086B3C" w:rsidRPr="00086B3C" w14:paraId="5D4C90DC" w14:textId="77777777" w:rsidTr="00F81214">
        <w:trPr>
          <w:trHeight w:val="40"/>
        </w:trPr>
        <w:tc>
          <w:tcPr>
            <w:tcW w:w="980" w:type="pct"/>
          </w:tcPr>
          <w:p w14:paraId="0BBF2A90" w14:textId="77777777" w:rsidR="00086B3C" w:rsidRPr="00086B3C" w:rsidRDefault="00086B3C" w:rsidP="00086B3C">
            <w:pPr>
              <w:keepNext/>
              <w:spacing w:before="20" w:after="20"/>
              <w:rPr>
                <w:rFonts w:ascii="Arial Narrow" w:hAnsi="Arial Narrow"/>
                <w:color w:val="000000"/>
                <w:sz w:val="20"/>
              </w:rPr>
            </w:pPr>
            <w:r w:rsidRPr="00086B3C">
              <w:rPr>
                <w:rFonts w:ascii="Arial Narrow" w:hAnsi="Arial Narrow"/>
                <w:color w:val="000000"/>
                <w:sz w:val="20"/>
              </w:rPr>
              <w:t>% patients with 0 bleeds (95% CI)</w:t>
            </w:r>
          </w:p>
        </w:tc>
        <w:tc>
          <w:tcPr>
            <w:tcW w:w="2351" w:type="pct"/>
            <w:gridSpan w:val="3"/>
          </w:tcPr>
          <w:p w14:paraId="3FD09D1F" w14:textId="77777777" w:rsidR="00086B3C" w:rsidRPr="00086B3C" w:rsidRDefault="00086B3C" w:rsidP="00086B3C">
            <w:pPr>
              <w:keepNext/>
              <w:spacing w:before="20" w:after="20"/>
              <w:jc w:val="center"/>
              <w:rPr>
                <w:rFonts w:ascii="Arial Narrow" w:hAnsi="Arial Narrow"/>
                <w:color w:val="000000"/>
                <w:sz w:val="20"/>
              </w:rPr>
            </w:pPr>
          </w:p>
        </w:tc>
        <w:tc>
          <w:tcPr>
            <w:tcW w:w="835" w:type="pct"/>
          </w:tcPr>
          <w:p w14:paraId="41287AB0"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5.6 (0.1, 27.3)</w:t>
            </w:r>
          </w:p>
        </w:tc>
        <w:tc>
          <w:tcPr>
            <w:tcW w:w="834" w:type="pct"/>
            <w:gridSpan w:val="2"/>
          </w:tcPr>
          <w:p w14:paraId="48F79644" w14:textId="77777777" w:rsidR="00086B3C" w:rsidRPr="00086B3C" w:rsidRDefault="00086B3C" w:rsidP="00086B3C">
            <w:pPr>
              <w:keepNext/>
              <w:spacing w:before="20" w:after="20"/>
              <w:jc w:val="center"/>
              <w:rPr>
                <w:rFonts w:ascii="Arial Narrow" w:hAnsi="Arial Narrow"/>
                <w:color w:val="000000"/>
                <w:sz w:val="20"/>
              </w:rPr>
            </w:pPr>
            <w:r w:rsidRPr="00086B3C">
              <w:rPr>
                <w:rFonts w:ascii="Arial Narrow" w:hAnsi="Arial Narrow"/>
                <w:color w:val="000000"/>
                <w:sz w:val="20"/>
              </w:rPr>
              <w:t>77.8 (52.4, 93.6)</w:t>
            </w:r>
          </w:p>
        </w:tc>
      </w:tr>
    </w:tbl>
    <w:p w14:paraId="5D5E1FD0" w14:textId="77777777" w:rsidR="00086B3C" w:rsidRDefault="00086B3C" w:rsidP="00086B3C">
      <w:pPr>
        <w:keepNext/>
        <w:pBdr>
          <w:top w:val="nil"/>
          <w:left w:val="nil"/>
          <w:bottom w:val="nil"/>
          <w:right w:val="nil"/>
          <w:between w:val="nil"/>
        </w:pBdr>
        <w:tabs>
          <w:tab w:val="left" w:pos="1134"/>
        </w:tabs>
        <w:ind w:left="1134" w:hanging="1134"/>
        <w:rPr>
          <w:rFonts w:ascii="Arial Narrow" w:hAnsi="Arial Narrow"/>
          <w:color w:val="000000"/>
          <w:sz w:val="18"/>
          <w:szCs w:val="18"/>
        </w:rPr>
      </w:pPr>
      <w:r w:rsidRPr="00086B3C">
        <w:rPr>
          <w:rFonts w:ascii="Arial Narrow" w:hAnsi="Arial Narrow"/>
          <w:color w:val="000000"/>
          <w:sz w:val="18"/>
          <w:szCs w:val="18"/>
        </w:rPr>
        <w:t>Source: Adapted from Table B.36, Section B.6.3.1 and Table B.37, Section B.6.3.1</w:t>
      </w:r>
      <w:r>
        <w:rPr>
          <w:rFonts w:ascii="Arial Narrow" w:hAnsi="Arial Narrow"/>
          <w:color w:val="000000"/>
          <w:sz w:val="18"/>
          <w:szCs w:val="18"/>
        </w:rPr>
        <w:t xml:space="preserve"> of the SBA</w:t>
      </w:r>
    </w:p>
    <w:p w14:paraId="56EA0695" w14:textId="6411FD69" w:rsidR="00C3575C" w:rsidRPr="0084378F" w:rsidRDefault="00F948FB" w:rsidP="0084378F">
      <w:pPr>
        <w:pBdr>
          <w:top w:val="nil"/>
          <w:left w:val="nil"/>
          <w:bottom w:val="nil"/>
          <w:right w:val="nil"/>
          <w:between w:val="nil"/>
        </w:pBdr>
        <w:tabs>
          <w:tab w:val="left" w:pos="1134"/>
        </w:tabs>
        <w:spacing w:after="240"/>
        <w:ind w:left="1134" w:hanging="1134"/>
        <w:rPr>
          <w:rFonts w:ascii="Arial Narrow" w:hAnsi="Arial Narrow"/>
          <w:color w:val="000000"/>
          <w:sz w:val="18"/>
          <w:szCs w:val="18"/>
        </w:rPr>
      </w:pPr>
      <w:r>
        <w:rPr>
          <w:rFonts w:ascii="Arial Narrow" w:hAnsi="Arial Narrow"/>
          <w:color w:val="000000"/>
          <w:sz w:val="18"/>
          <w:szCs w:val="18"/>
        </w:rPr>
        <w:t xml:space="preserve">Abbreviations: </w:t>
      </w:r>
      <w:r w:rsidR="00086B3C">
        <w:rPr>
          <w:rFonts w:ascii="Arial Narrow" w:hAnsi="Arial Narrow"/>
          <w:color w:val="000000"/>
          <w:sz w:val="18"/>
          <w:szCs w:val="18"/>
        </w:rPr>
        <w:t>ABR = annualised bleeding rate;</w:t>
      </w:r>
      <w:r>
        <w:rPr>
          <w:rFonts w:ascii="Arial Narrow" w:hAnsi="Arial Narrow"/>
          <w:color w:val="000000"/>
          <w:sz w:val="18"/>
          <w:szCs w:val="18"/>
        </w:rPr>
        <w:t xml:space="preserve"> </w:t>
      </w:r>
      <w:r w:rsidR="00086B3C">
        <w:rPr>
          <w:rFonts w:ascii="Arial Narrow" w:hAnsi="Arial Narrow"/>
          <w:color w:val="000000"/>
          <w:sz w:val="18"/>
          <w:szCs w:val="18"/>
        </w:rPr>
        <w:t>BPA = bypass agents</w:t>
      </w:r>
    </w:p>
    <w:p w14:paraId="555D1736" w14:textId="4280BA33" w:rsidR="004E5E72" w:rsidRPr="00086B3C" w:rsidRDefault="00086B3C" w:rsidP="00C766F2">
      <w:pPr>
        <w:pBdr>
          <w:top w:val="nil"/>
          <w:left w:val="nil"/>
          <w:bottom w:val="nil"/>
          <w:right w:val="nil"/>
          <w:between w:val="nil"/>
        </w:pBdr>
        <w:spacing w:after="160"/>
        <w:rPr>
          <w:color w:val="000000"/>
        </w:rPr>
      </w:pPr>
      <w:r>
        <w:rPr>
          <w:color w:val="000000"/>
        </w:rPr>
        <w:t xml:space="preserve">In addition, the </w:t>
      </w:r>
      <w:r w:rsidR="00C766F2">
        <w:rPr>
          <w:color w:val="000000"/>
        </w:rPr>
        <w:t>application</w:t>
      </w:r>
      <w:r>
        <w:rPr>
          <w:color w:val="000000"/>
        </w:rPr>
        <w:t xml:space="preserve"> stated that there were substantial improvements (change from baseline) in the caregiver’s perception of the child’s </w:t>
      </w:r>
      <w:proofErr w:type="spellStart"/>
      <w:r>
        <w:rPr>
          <w:color w:val="000000"/>
        </w:rPr>
        <w:t>HRQoL</w:t>
      </w:r>
      <w:proofErr w:type="spellEnd"/>
      <w:r>
        <w:rPr>
          <w:color w:val="000000"/>
        </w:rPr>
        <w:t xml:space="preserve">, in particular physical health, and improvements in the child’s own perception of </w:t>
      </w:r>
      <w:proofErr w:type="spellStart"/>
      <w:r>
        <w:rPr>
          <w:color w:val="000000"/>
        </w:rPr>
        <w:t>HRQoL</w:t>
      </w:r>
      <w:proofErr w:type="spellEnd"/>
      <w:r>
        <w:rPr>
          <w:color w:val="000000"/>
        </w:rPr>
        <w:t xml:space="preserve"> after 13 weeks of emicizumab prophylaxis that </w:t>
      </w:r>
      <w:proofErr w:type="gramStart"/>
      <w:r>
        <w:rPr>
          <w:color w:val="000000"/>
        </w:rPr>
        <w:t>were sustained</w:t>
      </w:r>
      <w:proofErr w:type="gramEnd"/>
      <w:r>
        <w:rPr>
          <w:color w:val="000000"/>
        </w:rPr>
        <w:t xml:space="preserve"> over time.</w:t>
      </w:r>
    </w:p>
    <w:p w14:paraId="6F50543F" w14:textId="5A882349" w:rsidR="00F37B9C" w:rsidRDefault="00F37B9C" w:rsidP="00C3575C">
      <w:pPr>
        <w:tabs>
          <w:tab w:val="left" w:pos="720"/>
          <w:tab w:val="left" w:pos="1140"/>
        </w:tabs>
        <w:spacing w:before="240" w:after="240"/>
        <w:rPr>
          <w:b/>
          <w:szCs w:val="24"/>
        </w:rPr>
      </w:pPr>
      <w:r w:rsidRPr="00F37B9C">
        <w:rPr>
          <w:b/>
          <w:szCs w:val="24"/>
        </w:rPr>
        <w:t xml:space="preserve">Clinical </w:t>
      </w:r>
      <w:r w:rsidR="00007F88" w:rsidRPr="00F37B9C">
        <w:rPr>
          <w:b/>
          <w:szCs w:val="24"/>
        </w:rPr>
        <w:t>c</w:t>
      </w:r>
      <w:r w:rsidRPr="00F37B9C">
        <w:rPr>
          <w:b/>
          <w:szCs w:val="24"/>
        </w:rPr>
        <w:t>laim</w:t>
      </w:r>
    </w:p>
    <w:p w14:paraId="2538FA85" w14:textId="6A7B0CB9" w:rsidR="006829E9" w:rsidRDefault="00086B3C" w:rsidP="00C766F2">
      <w:pPr>
        <w:tabs>
          <w:tab w:val="left" w:pos="284"/>
        </w:tabs>
        <w:rPr>
          <w:szCs w:val="24"/>
        </w:rPr>
      </w:pPr>
      <w:proofErr w:type="gramStart"/>
      <w:r>
        <w:rPr>
          <w:szCs w:val="24"/>
        </w:rPr>
        <w:t xml:space="preserve">The </w:t>
      </w:r>
      <w:r w:rsidR="00C766F2">
        <w:rPr>
          <w:szCs w:val="24"/>
        </w:rPr>
        <w:t>application</w:t>
      </w:r>
      <w:r>
        <w:rPr>
          <w:szCs w:val="24"/>
        </w:rPr>
        <w:t xml:space="preserve"> stated that p</w:t>
      </w:r>
      <w:r w:rsidR="006829E9" w:rsidRPr="006829E9">
        <w:rPr>
          <w:szCs w:val="24"/>
        </w:rPr>
        <w:t xml:space="preserve">rophylaxis with weekly subcutaneous emicizumab </w:t>
      </w:r>
      <w:r w:rsidR="00464F30">
        <w:rPr>
          <w:szCs w:val="24"/>
        </w:rPr>
        <w:t>was</w:t>
      </w:r>
      <w:r w:rsidR="006829E9" w:rsidRPr="006829E9">
        <w:rPr>
          <w:szCs w:val="24"/>
        </w:rPr>
        <w:t xml:space="preserve"> associated with superior health outcomes for congenital </w:t>
      </w:r>
      <w:r w:rsidR="00CB0E15">
        <w:rPr>
          <w:szCs w:val="24"/>
        </w:rPr>
        <w:t>haemophilia A</w:t>
      </w:r>
      <w:r w:rsidR="006829E9" w:rsidRPr="006829E9">
        <w:rPr>
          <w:szCs w:val="24"/>
        </w:rPr>
        <w:t xml:space="preserve"> patients with factor VIII inhibitors through improved efficacy (reduction in bleeds and improved quality of life) and at least non</w:t>
      </w:r>
      <w:r w:rsidR="001F6361">
        <w:rPr>
          <w:szCs w:val="24"/>
        </w:rPr>
        <w:t>-</w:t>
      </w:r>
      <w:r w:rsidR="006829E9" w:rsidRPr="006829E9">
        <w:rPr>
          <w:szCs w:val="24"/>
        </w:rPr>
        <w:t xml:space="preserve">inferior safety, if not superior safety, in comparison to treatment with the BPAs </w:t>
      </w:r>
      <w:r w:rsidR="00CB0E15">
        <w:rPr>
          <w:szCs w:val="24"/>
        </w:rPr>
        <w:t>(</w:t>
      </w:r>
      <w:proofErr w:type="spellStart"/>
      <w:r w:rsidR="00CB0E15">
        <w:rPr>
          <w:szCs w:val="24"/>
        </w:rPr>
        <w:t>aPCC</w:t>
      </w:r>
      <w:proofErr w:type="spellEnd"/>
      <w:r w:rsidR="006829E9" w:rsidRPr="006829E9">
        <w:rPr>
          <w:szCs w:val="24"/>
        </w:rPr>
        <w:t xml:space="preserve"> and </w:t>
      </w:r>
      <w:r w:rsidR="00CB0E15">
        <w:t>r</w:t>
      </w:r>
      <w:r w:rsidR="005E1F81">
        <w:t>ecombinant factor </w:t>
      </w:r>
      <w:proofErr w:type="spellStart"/>
      <w:r w:rsidR="00CB0E15">
        <w:t>VIIa</w:t>
      </w:r>
      <w:proofErr w:type="spellEnd"/>
      <w:r w:rsidR="006829E9" w:rsidRPr="006829E9">
        <w:rPr>
          <w:szCs w:val="24"/>
        </w:rPr>
        <w:t>) administered in either an on</w:t>
      </w:r>
      <w:r w:rsidR="00C766F2">
        <w:rPr>
          <w:szCs w:val="24"/>
        </w:rPr>
        <w:t xml:space="preserve"> demand or prophylactic manner.</w:t>
      </w:r>
      <w:proofErr w:type="gramEnd"/>
    </w:p>
    <w:p w14:paraId="15EF76CB" w14:textId="77777777" w:rsidR="00BC1364" w:rsidRPr="00F715D1" w:rsidRDefault="00BC1364" w:rsidP="00F715D1">
      <w:pPr>
        <w:pStyle w:val="Heading1"/>
      </w:pPr>
      <w:r w:rsidRPr="00F715D1">
        <w:t>Economic evaluation</w:t>
      </w:r>
    </w:p>
    <w:p w14:paraId="4EA0AD86" w14:textId="6DAD3584" w:rsidR="00FA2BFD" w:rsidRPr="0084378F" w:rsidRDefault="00CB0E15" w:rsidP="0084378F">
      <w:pPr>
        <w:spacing w:before="240"/>
      </w:pPr>
      <w:r>
        <w:t xml:space="preserve">The </w:t>
      </w:r>
      <w:r w:rsidR="00C766F2">
        <w:t>application</w:t>
      </w:r>
      <w:r>
        <w:t xml:space="preserve"> presented a cost utility analysis comparing emicizumab prophylaxis with on demand BPAs and BPA </w:t>
      </w:r>
      <w:r w:rsidRPr="008A638C">
        <w:t>prophylaxis</w:t>
      </w:r>
      <w:r w:rsidR="008A638C" w:rsidRPr="008A638C">
        <w:t xml:space="preserve"> </w:t>
      </w:r>
      <w:r w:rsidR="008A638C">
        <w:t>(</w:t>
      </w:r>
      <w:r w:rsidR="00C766F2">
        <w:t>Table 4</w:t>
      </w:r>
      <w:r w:rsidR="008A638C">
        <w:t>)</w:t>
      </w:r>
      <w:r w:rsidRPr="008A638C">
        <w:t>.</w:t>
      </w:r>
      <w:bookmarkStart w:id="6" w:name="_Ref531255343"/>
      <w:r w:rsidR="00FA2BFD">
        <w:rPr>
          <w:rFonts w:ascii="Arial Narrow" w:hAnsi="Arial Narrow"/>
          <w:sz w:val="20"/>
        </w:rPr>
        <w:br w:type="page"/>
      </w:r>
    </w:p>
    <w:p w14:paraId="4E8E9EAD" w14:textId="0E82E53A" w:rsidR="008A638C" w:rsidRPr="008A638C" w:rsidRDefault="008A638C" w:rsidP="00B66EB5">
      <w:pPr>
        <w:pStyle w:val="Caption"/>
        <w:keepNext/>
        <w:spacing w:after="40"/>
        <w:rPr>
          <w:rFonts w:ascii="Arial Narrow" w:hAnsi="Arial Narrow"/>
          <w:color w:val="auto"/>
          <w:sz w:val="20"/>
          <w:szCs w:val="20"/>
        </w:rPr>
      </w:pPr>
      <w:r w:rsidRPr="008A638C">
        <w:rPr>
          <w:rFonts w:ascii="Arial Narrow" w:hAnsi="Arial Narrow"/>
          <w:color w:val="auto"/>
          <w:sz w:val="20"/>
          <w:szCs w:val="20"/>
        </w:rPr>
        <w:lastRenderedPageBreak/>
        <w:t xml:space="preserve">Table </w:t>
      </w:r>
      <w:bookmarkEnd w:id="6"/>
      <w:r w:rsidR="00C766F2">
        <w:rPr>
          <w:rFonts w:ascii="Arial Narrow" w:hAnsi="Arial Narrow"/>
          <w:color w:val="auto"/>
          <w:sz w:val="20"/>
          <w:szCs w:val="20"/>
        </w:rPr>
        <w:t>4</w:t>
      </w:r>
      <w:r w:rsidRPr="008A638C">
        <w:rPr>
          <w:rFonts w:ascii="Arial Narrow" w:hAnsi="Arial Narrow"/>
          <w:color w:val="auto"/>
          <w:sz w:val="20"/>
          <w:szCs w:val="20"/>
        </w:rPr>
        <w:tab/>
      </w:r>
      <w:r w:rsidRPr="008A638C">
        <w:rPr>
          <w:rFonts w:ascii="Arial Narrow" w:hAnsi="Arial Narrow"/>
          <w:color w:val="000000"/>
          <w:sz w:val="20"/>
          <w:szCs w:val="20"/>
        </w:rPr>
        <w:t>Summary of economic evaluation</w:t>
      </w:r>
    </w:p>
    <w:tbl>
      <w:tblPr>
        <w:tblStyle w:val="TableGrid"/>
        <w:tblW w:w="5000" w:type="pct"/>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3637"/>
        <w:gridCol w:w="5379"/>
      </w:tblGrid>
      <w:tr w:rsidR="008A638C" w:rsidRPr="00E341A0" w14:paraId="05FF4D40" w14:textId="77777777" w:rsidTr="00B84150">
        <w:trPr>
          <w:trHeight w:val="20"/>
          <w:tblHeader/>
        </w:trPr>
        <w:tc>
          <w:tcPr>
            <w:tcW w:w="2017" w:type="pct"/>
          </w:tcPr>
          <w:p w14:paraId="506A2B30" w14:textId="77777777" w:rsidR="008A638C" w:rsidRPr="00E341A0" w:rsidRDefault="008A638C" w:rsidP="0079037D">
            <w:pPr>
              <w:pStyle w:val="TableHeading"/>
              <w:rPr>
                <w:rFonts w:eastAsia="SimSun"/>
                <w:b w:val="0"/>
                <w:lang w:eastAsia="zh-CN"/>
              </w:rPr>
            </w:pPr>
            <w:bookmarkStart w:id="7" w:name="_Toc523234056"/>
            <w:bookmarkStart w:id="8" w:name="_Toc523234551"/>
            <w:r w:rsidRPr="00E341A0">
              <w:rPr>
                <w:lang w:eastAsia="zh-CN"/>
              </w:rPr>
              <w:t>Element of economic evaluation</w:t>
            </w:r>
            <w:bookmarkEnd w:id="7"/>
            <w:bookmarkEnd w:id="8"/>
          </w:p>
        </w:tc>
        <w:tc>
          <w:tcPr>
            <w:tcW w:w="2983" w:type="pct"/>
          </w:tcPr>
          <w:p w14:paraId="1407B033" w14:textId="77777777" w:rsidR="008A638C" w:rsidRPr="00E341A0" w:rsidRDefault="008A638C" w:rsidP="0079037D">
            <w:pPr>
              <w:pStyle w:val="TableHeading"/>
              <w:rPr>
                <w:rFonts w:eastAsia="SimSun"/>
                <w:b w:val="0"/>
                <w:lang w:eastAsia="zh-CN"/>
              </w:rPr>
            </w:pPr>
            <w:bookmarkStart w:id="9" w:name="_Toc523234057"/>
            <w:bookmarkStart w:id="10" w:name="_Toc523234552"/>
            <w:r w:rsidRPr="00E341A0">
              <w:rPr>
                <w:lang w:eastAsia="zh-CN"/>
              </w:rPr>
              <w:t>MSAC’s preference for the base-case scenario</w:t>
            </w:r>
            <w:bookmarkEnd w:id="9"/>
            <w:bookmarkEnd w:id="10"/>
          </w:p>
        </w:tc>
      </w:tr>
      <w:tr w:rsidR="008A638C" w:rsidRPr="00E341A0" w14:paraId="301B59D1" w14:textId="77777777" w:rsidTr="00B84150">
        <w:trPr>
          <w:trHeight w:val="20"/>
        </w:trPr>
        <w:tc>
          <w:tcPr>
            <w:tcW w:w="2017" w:type="pct"/>
          </w:tcPr>
          <w:p w14:paraId="2E4356FC" w14:textId="77777777" w:rsidR="008A638C" w:rsidRPr="00E341A0" w:rsidRDefault="008A638C" w:rsidP="0079037D">
            <w:pPr>
              <w:pStyle w:val="Tabletext0"/>
            </w:pPr>
            <w:r w:rsidRPr="00E341A0">
              <w:t>Perspective</w:t>
            </w:r>
          </w:p>
        </w:tc>
        <w:tc>
          <w:tcPr>
            <w:tcW w:w="2983" w:type="pct"/>
          </w:tcPr>
          <w:p w14:paraId="686CC701" w14:textId="77777777" w:rsidR="008A638C" w:rsidRPr="00E341A0" w:rsidRDefault="008A638C" w:rsidP="0079037D">
            <w:pPr>
              <w:pStyle w:val="Tabletext0"/>
              <w:rPr>
                <w:rFonts w:eastAsia="SimSun"/>
                <w:lang w:eastAsia="zh-CN"/>
              </w:rPr>
            </w:pPr>
            <w:r w:rsidRPr="00E341A0">
              <w:rPr>
                <w:rFonts w:eastAsia="SimSun"/>
                <w:lang w:eastAsia="zh-CN"/>
              </w:rPr>
              <w:t>Australian government perspective</w:t>
            </w:r>
          </w:p>
        </w:tc>
      </w:tr>
      <w:tr w:rsidR="008A638C" w:rsidRPr="00E341A0" w14:paraId="08736B29" w14:textId="77777777" w:rsidTr="00B84150">
        <w:trPr>
          <w:trHeight w:val="20"/>
        </w:trPr>
        <w:tc>
          <w:tcPr>
            <w:tcW w:w="2017" w:type="pct"/>
          </w:tcPr>
          <w:p w14:paraId="24516259" w14:textId="77777777" w:rsidR="008A638C" w:rsidRPr="00E341A0" w:rsidRDefault="008A638C" w:rsidP="0079037D">
            <w:pPr>
              <w:pStyle w:val="Tabletext0"/>
            </w:pPr>
            <w:r w:rsidRPr="00E341A0">
              <w:t>Comparator</w:t>
            </w:r>
          </w:p>
        </w:tc>
        <w:tc>
          <w:tcPr>
            <w:tcW w:w="2983" w:type="pct"/>
          </w:tcPr>
          <w:p w14:paraId="6136A561" w14:textId="77777777" w:rsidR="008A638C" w:rsidRPr="00E341A0" w:rsidRDefault="008A638C" w:rsidP="0079037D">
            <w:pPr>
              <w:pStyle w:val="Tabletext0"/>
              <w:rPr>
                <w:rFonts w:eastAsia="SimSun"/>
                <w:lang w:eastAsia="zh-CN"/>
              </w:rPr>
            </w:pPr>
            <w:r w:rsidRPr="00E341A0">
              <w:rPr>
                <w:rFonts w:eastAsia="SimSun"/>
                <w:lang w:eastAsia="zh-CN"/>
              </w:rPr>
              <w:t>BPA on-demand &amp; BPA prophylaxis</w:t>
            </w:r>
          </w:p>
        </w:tc>
      </w:tr>
      <w:tr w:rsidR="008A638C" w:rsidRPr="00E341A0" w14:paraId="4E69FE71" w14:textId="77777777" w:rsidTr="00B84150">
        <w:trPr>
          <w:trHeight w:val="20"/>
        </w:trPr>
        <w:tc>
          <w:tcPr>
            <w:tcW w:w="2017" w:type="pct"/>
          </w:tcPr>
          <w:p w14:paraId="4EE2AD1B" w14:textId="77777777" w:rsidR="008A638C" w:rsidRPr="00E341A0" w:rsidRDefault="008A638C" w:rsidP="0079037D">
            <w:pPr>
              <w:pStyle w:val="Tabletext0"/>
            </w:pPr>
            <w:r w:rsidRPr="00E341A0">
              <w:t>Type of economic evaluation</w:t>
            </w:r>
          </w:p>
        </w:tc>
        <w:tc>
          <w:tcPr>
            <w:tcW w:w="2983" w:type="pct"/>
          </w:tcPr>
          <w:p w14:paraId="6917BAE6" w14:textId="77777777" w:rsidR="008A638C" w:rsidRPr="00E341A0" w:rsidRDefault="008A638C" w:rsidP="0079037D">
            <w:pPr>
              <w:pStyle w:val="Tabletext0"/>
              <w:rPr>
                <w:rFonts w:eastAsia="SimSun"/>
                <w:lang w:eastAsia="zh-CN"/>
              </w:rPr>
            </w:pPr>
            <w:r w:rsidRPr="00E341A0">
              <w:rPr>
                <w:rFonts w:eastAsia="SimSun"/>
                <w:lang w:eastAsia="zh-CN"/>
              </w:rPr>
              <w:t>C</w:t>
            </w:r>
            <w:r w:rsidRPr="00E341A0">
              <w:t>ost-utility</w:t>
            </w:r>
            <w:r w:rsidRPr="00E341A0">
              <w:rPr>
                <w:rFonts w:eastAsia="SimSun"/>
                <w:lang w:eastAsia="zh-CN"/>
              </w:rPr>
              <w:t xml:space="preserve"> analysis</w:t>
            </w:r>
          </w:p>
        </w:tc>
      </w:tr>
      <w:tr w:rsidR="008A638C" w:rsidRPr="00E341A0" w14:paraId="0CA844DF" w14:textId="77777777" w:rsidTr="00B84150">
        <w:trPr>
          <w:trHeight w:val="20"/>
        </w:trPr>
        <w:tc>
          <w:tcPr>
            <w:tcW w:w="2017" w:type="pct"/>
          </w:tcPr>
          <w:p w14:paraId="53531CAD" w14:textId="77777777" w:rsidR="008A638C" w:rsidRPr="00E341A0" w:rsidRDefault="008A638C" w:rsidP="0079037D">
            <w:pPr>
              <w:pStyle w:val="Tabletext0"/>
            </w:pPr>
            <w:r w:rsidRPr="00E341A0">
              <w:t>Sources of evidence</w:t>
            </w:r>
          </w:p>
        </w:tc>
        <w:tc>
          <w:tcPr>
            <w:tcW w:w="2983" w:type="pct"/>
          </w:tcPr>
          <w:p w14:paraId="367FFAB4" w14:textId="510BC336" w:rsidR="008A638C" w:rsidRPr="00E341A0" w:rsidRDefault="008A638C" w:rsidP="0079037D">
            <w:pPr>
              <w:pStyle w:val="Tabletext0"/>
              <w:rPr>
                <w:rFonts w:eastAsia="SimSun"/>
                <w:lang w:eastAsia="zh-CN"/>
              </w:rPr>
            </w:pPr>
            <w:r w:rsidRPr="00E341A0">
              <w:rPr>
                <w:rFonts w:eastAsia="SimSun"/>
                <w:lang w:eastAsia="zh-CN"/>
              </w:rPr>
              <w:t>Overall model structur</w:t>
            </w:r>
            <w:r w:rsidR="00B66EB5">
              <w:rPr>
                <w:rFonts w:eastAsia="SimSun"/>
                <w:lang w:eastAsia="zh-CN"/>
              </w:rPr>
              <w:t>e: systematic literature review</w:t>
            </w:r>
          </w:p>
          <w:p w14:paraId="66C1ADC5" w14:textId="5F61D7C1" w:rsidR="008A638C" w:rsidRPr="00E341A0" w:rsidRDefault="008A638C" w:rsidP="0079037D">
            <w:pPr>
              <w:pStyle w:val="Tabletext0"/>
              <w:rPr>
                <w:rFonts w:eastAsia="SimSun"/>
                <w:lang w:eastAsia="zh-CN"/>
              </w:rPr>
            </w:pPr>
            <w:r w:rsidRPr="00E341A0">
              <w:rPr>
                <w:rFonts w:eastAsia="SimSun"/>
                <w:lang w:eastAsia="zh-CN"/>
              </w:rPr>
              <w:t>Mortality: systematic</w:t>
            </w:r>
            <w:r w:rsidR="00B66EB5">
              <w:rPr>
                <w:rFonts w:eastAsia="SimSun"/>
                <w:lang w:eastAsia="zh-CN"/>
              </w:rPr>
              <w:t xml:space="preserve"> literature review</w:t>
            </w:r>
          </w:p>
          <w:p w14:paraId="2F344B5D" w14:textId="397E5065" w:rsidR="008A638C" w:rsidRPr="00E341A0" w:rsidRDefault="008A638C" w:rsidP="0079037D">
            <w:pPr>
              <w:pStyle w:val="Tabletext0"/>
              <w:rPr>
                <w:rFonts w:eastAsia="SimSun"/>
                <w:lang w:eastAsia="zh-CN"/>
              </w:rPr>
            </w:pPr>
            <w:r w:rsidRPr="00E341A0">
              <w:rPr>
                <w:rFonts w:eastAsia="SimSun"/>
                <w:lang w:eastAsia="zh-CN"/>
              </w:rPr>
              <w:t>Bleed</w:t>
            </w:r>
            <w:r w:rsidR="00B66EB5">
              <w:rPr>
                <w:rFonts w:eastAsia="SimSun"/>
                <w:lang w:eastAsia="zh-CN"/>
              </w:rPr>
              <w:t>ing events: trial-based results</w:t>
            </w:r>
          </w:p>
          <w:p w14:paraId="043BFEBD" w14:textId="4722E6CD" w:rsidR="008A638C" w:rsidRPr="00E341A0" w:rsidRDefault="008A638C" w:rsidP="0079037D">
            <w:pPr>
              <w:pStyle w:val="Tabletext0"/>
              <w:rPr>
                <w:rFonts w:eastAsia="SimSun"/>
                <w:lang w:eastAsia="zh-CN"/>
              </w:rPr>
            </w:pPr>
            <w:r w:rsidRPr="00E341A0">
              <w:rPr>
                <w:rFonts w:eastAsia="SimSun"/>
                <w:lang w:eastAsia="zh-CN"/>
              </w:rPr>
              <w:t xml:space="preserve">Hospitalisation: </w:t>
            </w:r>
            <w:r w:rsidR="00442FA4">
              <w:rPr>
                <w:rFonts w:eastAsia="SimSun"/>
                <w:lang w:eastAsia="zh-CN"/>
              </w:rPr>
              <w:t>trial-based results</w:t>
            </w:r>
          </w:p>
        </w:tc>
      </w:tr>
      <w:tr w:rsidR="008A638C" w:rsidRPr="00E341A0" w14:paraId="35E0AC9E" w14:textId="77777777" w:rsidTr="00B84150">
        <w:trPr>
          <w:trHeight w:val="20"/>
        </w:trPr>
        <w:tc>
          <w:tcPr>
            <w:tcW w:w="2017" w:type="pct"/>
            <w:hideMark/>
          </w:tcPr>
          <w:p w14:paraId="2E66D8EF" w14:textId="77777777" w:rsidR="008A638C" w:rsidRPr="00E341A0" w:rsidRDefault="008A638C" w:rsidP="0079037D">
            <w:pPr>
              <w:pStyle w:val="Tabletext0"/>
            </w:pPr>
            <w:r w:rsidRPr="00E341A0">
              <w:t>Time horizon</w:t>
            </w:r>
          </w:p>
        </w:tc>
        <w:tc>
          <w:tcPr>
            <w:tcW w:w="2983" w:type="pct"/>
            <w:hideMark/>
          </w:tcPr>
          <w:p w14:paraId="3A9D0BF6" w14:textId="77777777" w:rsidR="008A638C" w:rsidRPr="00E341A0" w:rsidRDefault="008A638C" w:rsidP="0079037D">
            <w:pPr>
              <w:pStyle w:val="Tabletext0"/>
              <w:rPr>
                <w:rFonts w:eastAsia="SimSun"/>
                <w:lang w:eastAsia="zh-CN"/>
              </w:rPr>
            </w:pPr>
            <w:r w:rsidRPr="00E341A0">
              <w:rPr>
                <w:rFonts w:eastAsia="SimSun"/>
                <w:lang w:eastAsia="zh-CN"/>
              </w:rPr>
              <w:t>Lifetime (from birth to death, assuming 100 years)</w:t>
            </w:r>
          </w:p>
        </w:tc>
      </w:tr>
      <w:tr w:rsidR="008A638C" w:rsidRPr="00E341A0" w14:paraId="757118AE" w14:textId="77777777" w:rsidTr="00B84150">
        <w:trPr>
          <w:trHeight w:val="20"/>
        </w:trPr>
        <w:tc>
          <w:tcPr>
            <w:tcW w:w="2017" w:type="pct"/>
            <w:hideMark/>
          </w:tcPr>
          <w:p w14:paraId="074AF17C" w14:textId="77777777" w:rsidR="008A638C" w:rsidRPr="00E341A0" w:rsidRDefault="008A638C" w:rsidP="0079037D">
            <w:pPr>
              <w:pStyle w:val="Tabletext0"/>
            </w:pPr>
            <w:r w:rsidRPr="00E341A0">
              <w:t>Outcomes</w:t>
            </w:r>
          </w:p>
        </w:tc>
        <w:tc>
          <w:tcPr>
            <w:tcW w:w="2983" w:type="pct"/>
          </w:tcPr>
          <w:p w14:paraId="611ECB7B" w14:textId="77777777" w:rsidR="008A638C" w:rsidRPr="00E341A0" w:rsidRDefault="008A638C" w:rsidP="0079037D">
            <w:pPr>
              <w:pStyle w:val="Tabletext0"/>
              <w:rPr>
                <w:rFonts w:eastAsia="SimSun"/>
                <w:lang w:eastAsia="zh-CN"/>
              </w:rPr>
            </w:pPr>
            <w:r w:rsidRPr="00E341A0">
              <w:rPr>
                <w:rFonts w:eastAsia="SimSun"/>
                <w:lang w:eastAsia="zh-CN"/>
              </w:rPr>
              <w:t>Quality adjusted life years (QALYs)</w:t>
            </w:r>
          </w:p>
        </w:tc>
      </w:tr>
      <w:tr w:rsidR="008A638C" w:rsidRPr="00E341A0" w14:paraId="5DFBAF85" w14:textId="77777777" w:rsidTr="00B84150">
        <w:trPr>
          <w:trHeight w:val="20"/>
        </w:trPr>
        <w:tc>
          <w:tcPr>
            <w:tcW w:w="2017" w:type="pct"/>
            <w:hideMark/>
          </w:tcPr>
          <w:p w14:paraId="0ECCB3BD" w14:textId="77777777" w:rsidR="008A638C" w:rsidRPr="00E341A0" w:rsidRDefault="008A638C" w:rsidP="0079037D">
            <w:pPr>
              <w:pStyle w:val="Tabletext0"/>
            </w:pPr>
            <w:r w:rsidRPr="00E341A0">
              <w:t>Methods used to generate results</w:t>
            </w:r>
          </w:p>
        </w:tc>
        <w:tc>
          <w:tcPr>
            <w:tcW w:w="2983" w:type="pct"/>
          </w:tcPr>
          <w:p w14:paraId="5E181C1F" w14:textId="77777777" w:rsidR="008A638C" w:rsidRPr="00E341A0" w:rsidRDefault="008A638C" w:rsidP="0079037D">
            <w:pPr>
              <w:pStyle w:val="Tabletext0"/>
            </w:pPr>
            <w:r w:rsidRPr="00E341A0">
              <w:t>Markov model</w:t>
            </w:r>
          </w:p>
        </w:tc>
      </w:tr>
      <w:tr w:rsidR="008A638C" w:rsidRPr="00E341A0" w14:paraId="52289F32" w14:textId="77777777" w:rsidTr="00B84150">
        <w:trPr>
          <w:trHeight w:val="20"/>
        </w:trPr>
        <w:tc>
          <w:tcPr>
            <w:tcW w:w="2017" w:type="pct"/>
          </w:tcPr>
          <w:p w14:paraId="1B896E7D" w14:textId="77777777" w:rsidR="008A638C" w:rsidRPr="00E341A0" w:rsidRDefault="008A638C" w:rsidP="0079037D">
            <w:pPr>
              <w:pStyle w:val="Tabletext0"/>
              <w:rPr>
                <w:rFonts w:eastAsia="SimSun"/>
                <w:lang w:eastAsia="zh-CN"/>
              </w:rPr>
            </w:pPr>
            <w:r w:rsidRPr="00E341A0">
              <w:t>Health states</w:t>
            </w:r>
          </w:p>
        </w:tc>
        <w:tc>
          <w:tcPr>
            <w:tcW w:w="2983" w:type="pct"/>
          </w:tcPr>
          <w:p w14:paraId="02607DD7" w14:textId="77777777" w:rsidR="008A638C" w:rsidRPr="00E341A0" w:rsidRDefault="008A638C" w:rsidP="0079037D">
            <w:pPr>
              <w:pStyle w:val="Tabletext0"/>
              <w:rPr>
                <w:rFonts w:eastAsia="SimSun"/>
                <w:lang w:eastAsia="zh-CN"/>
              </w:rPr>
            </w:pPr>
            <w:r w:rsidRPr="00E341A0">
              <w:rPr>
                <w:rFonts w:eastAsia="SimSun"/>
                <w:lang w:eastAsia="zh-CN"/>
              </w:rPr>
              <w:t>Alive</w:t>
            </w:r>
          </w:p>
          <w:p w14:paraId="4AC85F12" w14:textId="77777777" w:rsidR="008A638C" w:rsidRPr="00E341A0" w:rsidRDefault="008A638C" w:rsidP="0079037D">
            <w:pPr>
              <w:pStyle w:val="Tabletext0"/>
              <w:rPr>
                <w:rFonts w:eastAsia="SimSun"/>
                <w:lang w:eastAsia="zh-CN"/>
              </w:rPr>
            </w:pPr>
            <w:r w:rsidRPr="00E341A0">
              <w:rPr>
                <w:rFonts w:eastAsia="SimSun"/>
                <w:lang w:eastAsia="zh-CN"/>
              </w:rPr>
              <w:t>Dead</w:t>
            </w:r>
          </w:p>
          <w:p w14:paraId="03F417B4" w14:textId="77777777" w:rsidR="008A638C" w:rsidRPr="00E341A0" w:rsidRDefault="008A638C" w:rsidP="0079037D">
            <w:pPr>
              <w:pStyle w:val="Tabletext0"/>
              <w:rPr>
                <w:rFonts w:eastAsia="SimSun"/>
                <w:lang w:eastAsia="zh-CN"/>
              </w:rPr>
            </w:pPr>
            <w:r w:rsidRPr="00E341A0">
              <w:rPr>
                <w:rFonts w:eastAsia="SimSun"/>
                <w:lang w:eastAsia="zh-CN"/>
              </w:rPr>
              <w:t>Bleeding events (transient)</w:t>
            </w:r>
          </w:p>
          <w:p w14:paraId="463DF68F" w14:textId="77777777" w:rsidR="008A638C" w:rsidRPr="00E341A0" w:rsidRDefault="008A638C" w:rsidP="0079037D">
            <w:pPr>
              <w:pStyle w:val="Tabletext0"/>
              <w:rPr>
                <w:rFonts w:eastAsia="SimSun"/>
                <w:lang w:eastAsia="zh-CN"/>
              </w:rPr>
            </w:pPr>
            <w:r w:rsidRPr="00E341A0">
              <w:rPr>
                <w:rFonts w:eastAsia="SimSun"/>
                <w:lang w:eastAsia="zh-CN"/>
              </w:rPr>
              <w:t>Arthroplasty (transient)</w:t>
            </w:r>
          </w:p>
        </w:tc>
      </w:tr>
      <w:tr w:rsidR="008A638C" w:rsidRPr="00E341A0" w14:paraId="2DC0B6C7" w14:textId="77777777" w:rsidTr="00B84150">
        <w:trPr>
          <w:trHeight w:val="20"/>
        </w:trPr>
        <w:tc>
          <w:tcPr>
            <w:tcW w:w="2017" w:type="pct"/>
            <w:hideMark/>
          </w:tcPr>
          <w:p w14:paraId="7B70136F" w14:textId="77777777" w:rsidR="008A638C" w:rsidRPr="00E341A0" w:rsidRDefault="008A638C" w:rsidP="0079037D">
            <w:pPr>
              <w:pStyle w:val="Tabletext0"/>
              <w:rPr>
                <w:rFonts w:eastAsia="SimSun"/>
                <w:lang w:eastAsia="zh-CN"/>
              </w:rPr>
            </w:pPr>
            <w:r w:rsidRPr="00E341A0">
              <w:t>Cycle length</w:t>
            </w:r>
          </w:p>
        </w:tc>
        <w:tc>
          <w:tcPr>
            <w:tcW w:w="2983" w:type="pct"/>
          </w:tcPr>
          <w:p w14:paraId="15A6741A" w14:textId="77777777" w:rsidR="008A638C" w:rsidRPr="00E341A0" w:rsidRDefault="008A638C" w:rsidP="0079037D">
            <w:pPr>
              <w:pStyle w:val="Tabletext0"/>
              <w:rPr>
                <w:rFonts w:eastAsia="SimSun"/>
                <w:lang w:eastAsia="zh-CN"/>
              </w:rPr>
            </w:pPr>
            <w:r w:rsidRPr="00E341A0">
              <w:rPr>
                <w:rFonts w:eastAsia="SimSun"/>
                <w:lang w:eastAsia="zh-CN"/>
              </w:rPr>
              <w:t>One year</w:t>
            </w:r>
          </w:p>
        </w:tc>
      </w:tr>
      <w:tr w:rsidR="008A638C" w:rsidRPr="00E341A0" w14:paraId="069B9B96" w14:textId="77777777" w:rsidTr="00B84150">
        <w:trPr>
          <w:trHeight w:val="20"/>
        </w:trPr>
        <w:tc>
          <w:tcPr>
            <w:tcW w:w="2017" w:type="pct"/>
            <w:hideMark/>
          </w:tcPr>
          <w:p w14:paraId="5530C603" w14:textId="77777777" w:rsidR="008A638C" w:rsidRPr="00E341A0" w:rsidRDefault="008A638C" w:rsidP="0079037D">
            <w:pPr>
              <w:pStyle w:val="Tabletext0"/>
            </w:pPr>
            <w:r w:rsidRPr="00E341A0">
              <w:t>Discount rate</w:t>
            </w:r>
          </w:p>
        </w:tc>
        <w:tc>
          <w:tcPr>
            <w:tcW w:w="2983" w:type="pct"/>
          </w:tcPr>
          <w:p w14:paraId="4B293323" w14:textId="77777777" w:rsidR="008A638C" w:rsidRPr="00E341A0" w:rsidRDefault="008A638C" w:rsidP="0079037D">
            <w:pPr>
              <w:pStyle w:val="Tabletext0"/>
              <w:rPr>
                <w:rFonts w:eastAsia="SimSun"/>
                <w:lang w:eastAsia="zh-CN"/>
              </w:rPr>
            </w:pPr>
            <w:r w:rsidRPr="00E341A0">
              <w:rPr>
                <w:rFonts w:eastAsia="SimSun"/>
                <w:lang w:eastAsia="zh-CN"/>
              </w:rPr>
              <w:t>5% per annum</w:t>
            </w:r>
          </w:p>
        </w:tc>
      </w:tr>
      <w:tr w:rsidR="008A638C" w:rsidRPr="00E341A0" w14:paraId="071BAEA1" w14:textId="77777777" w:rsidTr="00B84150">
        <w:trPr>
          <w:trHeight w:val="20"/>
        </w:trPr>
        <w:tc>
          <w:tcPr>
            <w:tcW w:w="2017" w:type="pct"/>
            <w:hideMark/>
          </w:tcPr>
          <w:p w14:paraId="1AAC831D" w14:textId="77777777" w:rsidR="008A638C" w:rsidRPr="00E341A0" w:rsidRDefault="008A638C" w:rsidP="0079037D">
            <w:pPr>
              <w:pStyle w:val="Tabletext0"/>
            </w:pPr>
            <w:r w:rsidRPr="00E341A0">
              <w:t>Software packages used</w:t>
            </w:r>
          </w:p>
        </w:tc>
        <w:tc>
          <w:tcPr>
            <w:tcW w:w="2983" w:type="pct"/>
          </w:tcPr>
          <w:p w14:paraId="672EBD29" w14:textId="77777777" w:rsidR="008A638C" w:rsidRPr="00E341A0" w:rsidRDefault="008A638C" w:rsidP="0079037D">
            <w:pPr>
              <w:pStyle w:val="Tabletext0"/>
              <w:rPr>
                <w:rFonts w:eastAsia="SimSun"/>
                <w:lang w:eastAsia="zh-CN"/>
              </w:rPr>
            </w:pPr>
            <w:r w:rsidRPr="00E341A0">
              <w:rPr>
                <w:rFonts w:eastAsia="SimSun"/>
                <w:lang w:eastAsia="zh-CN"/>
              </w:rPr>
              <w:t>Excel</w:t>
            </w:r>
          </w:p>
        </w:tc>
      </w:tr>
    </w:tbl>
    <w:p w14:paraId="4C071D12" w14:textId="77777777" w:rsidR="008A638C" w:rsidRDefault="008A638C" w:rsidP="00CB0E15">
      <w:pPr>
        <w:keepNext/>
        <w:keepLines/>
        <w:tabs>
          <w:tab w:val="left" w:pos="1134"/>
        </w:tabs>
        <w:ind w:left="1134" w:hanging="1134"/>
        <w:rPr>
          <w:rFonts w:ascii="Arial Narrow" w:hAnsi="Arial Narrow"/>
          <w:sz w:val="18"/>
          <w:szCs w:val="18"/>
        </w:rPr>
      </w:pPr>
      <w:r>
        <w:rPr>
          <w:rFonts w:ascii="Arial Narrow" w:hAnsi="Arial Narrow"/>
          <w:sz w:val="18"/>
          <w:szCs w:val="18"/>
        </w:rPr>
        <w:t>Source: Critique for 1510</w:t>
      </w:r>
    </w:p>
    <w:p w14:paraId="542334ED" w14:textId="6CB6D745" w:rsidR="00CB0E15" w:rsidRPr="0084378F" w:rsidRDefault="00CB0E15" w:rsidP="0084378F">
      <w:pPr>
        <w:keepNext/>
        <w:keepLines/>
        <w:tabs>
          <w:tab w:val="left" w:pos="1134"/>
        </w:tabs>
        <w:spacing w:after="240"/>
        <w:ind w:left="1134" w:hanging="1134"/>
        <w:rPr>
          <w:rFonts w:ascii="Arial Narrow" w:hAnsi="Arial Narrow"/>
          <w:sz w:val="18"/>
          <w:szCs w:val="18"/>
        </w:rPr>
      </w:pPr>
      <w:r w:rsidRPr="00CB0E15">
        <w:rPr>
          <w:rFonts w:ascii="Arial Narrow" w:hAnsi="Arial Narrow"/>
          <w:sz w:val="18"/>
          <w:szCs w:val="18"/>
        </w:rPr>
        <w:t>Abbreviations: ABR, Annualised b</w:t>
      </w:r>
      <w:r w:rsidR="00B66EB5">
        <w:rPr>
          <w:rFonts w:ascii="Arial Narrow" w:hAnsi="Arial Narrow"/>
          <w:sz w:val="18"/>
          <w:szCs w:val="18"/>
        </w:rPr>
        <w:t>leed rate; BPA, bypassing agent</w:t>
      </w:r>
    </w:p>
    <w:p w14:paraId="03AC5973" w14:textId="28781DD9" w:rsidR="00F948FB" w:rsidRDefault="00B05B59" w:rsidP="0084378F">
      <w:pPr>
        <w:spacing w:after="240"/>
      </w:pPr>
      <w:r>
        <w:t>The results from the</w:t>
      </w:r>
      <w:r w:rsidR="00F948FB">
        <w:t xml:space="preserve"> economic analysis (discounted) </w:t>
      </w:r>
      <w:r>
        <w:t>are</w:t>
      </w:r>
      <w:r w:rsidR="00F948FB">
        <w:t xml:space="preserve"> summarised</w:t>
      </w:r>
      <w:r w:rsidR="00F948FB" w:rsidRPr="00F948FB">
        <w:t xml:space="preserve"> in </w:t>
      </w:r>
      <w:r w:rsidR="00C766F2">
        <w:t>Table 5</w:t>
      </w:r>
      <w:r w:rsidR="00F948FB">
        <w:t>.</w:t>
      </w:r>
    </w:p>
    <w:p w14:paraId="05F037D2" w14:textId="429A9FF7" w:rsidR="00F948FB" w:rsidRPr="00F948FB" w:rsidRDefault="00F948FB" w:rsidP="005E4220">
      <w:pPr>
        <w:keepNext/>
        <w:pBdr>
          <w:top w:val="nil"/>
          <w:left w:val="nil"/>
          <w:bottom w:val="nil"/>
          <w:right w:val="nil"/>
          <w:between w:val="nil"/>
        </w:pBdr>
        <w:spacing w:after="40"/>
        <w:rPr>
          <w:rFonts w:ascii="Arial Narrow" w:hAnsi="Arial Narrow"/>
          <w:b/>
          <w:color w:val="000000"/>
          <w:sz w:val="20"/>
        </w:rPr>
      </w:pPr>
      <w:bookmarkStart w:id="11" w:name="_Ref531256455"/>
      <w:r w:rsidRPr="00F948FB">
        <w:rPr>
          <w:rFonts w:ascii="Arial Narrow" w:hAnsi="Arial Narrow"/>
          <w:b/>
          <w:sz w:val="20"/>
        </w:rPr>
        <w:t xml:space="preserve">Table </w:t>
      </w:r>
      <w:bookmarkEnd w:id="11"/>
      <w:r w:rsidR="00C766F2">
        <w:rPr>
          <w:rFonts w:ascii="Arial Narrow" w:hAnsi="Arial Narrow"/>
          <w:b/>
          <w:sz w:val="20"/>
        </w:rPr>
        <w:t>5</w:t>
      </w:r>
      <w:r w:rsidRPr="00F948FB">
        <w:rPr>
          <w:rFonts w:ascii="Arial Narrow" w:hAnsi="Arial Narrow"/>
          <w:b/>
          <w:sz w:val="20"/>
        </w:rPr>
        <w:tab/>
      </w:r>
      <w:r w:rsidRPr="00F948FB">
        <w:rPr>
          <w:rFonts w:ascii="Arial Narrow" w:hAnsi="Arial Narrow"/>
          <w:b/>
          <w:color w:val="000000"/>
          <w:sz w:val="20"/>
        </w:rPr>
        <w:t>Incremental cost-effectiveness: discounted</w:t>
      </w:r>
    </w:p>
    <w:tbl>
      <w:tblPr>
        <w:tblStyle w:val="TableGrid"/>
        <w:tblW w:w="0" w:type="auto"/>
        <w:tblLayout w:type="fixed"/>
        <w:tblLook w:val="0400" w:firstRow="0" w:lastRow="0" w:firstColumn="0" w:lastColumn="0" w:noHBand="0" w:noVBand="1"/>
        <w:tblDescription w:val="Summary of the economic analysis results. The ICER for emicizumab prophylaxis vs on demand BPAs, emicizumab is dominant. The ICER for emicizumab prophylaxis vs BPA prophylaxis, emicizumab is dominant. "/>
      </w:tblPr>
      <w:tblGrid>
        <w:gridCol w:w="2093"/>
        <w:gridCol w:w="1134"/>
        <w:gridCol w:w="1276"/>
        <w:gridCol w:w="1701"/>
        <w:gridCol w:w="1275"/>
        <w:gridCol w:w="1763"/>
      </w:tblGrid>
      <w:tr w:rsidR="00F948FB" w:rsidRPr="00F948FB" w14:paraId="5FAC8BDF" w14:textId="77777777" w:rsidTr="00606234">
        <w:trPr>
          <w:tblHeader/>
        </w:trPr>
        <w:tc>
          <w:tcPr>
            <w:tcW w:w="2093" w:type="dxa"/>
          </w:tcPr>
          <w:p w14:paraId="6B9A18C0" w14:textId="77777777" w:rsidR="00F948FB" w:rsidRPr="00F948FB" w:rsidRDefault="00F948FB" w:rsidP="0079037D">
            <w:pPr>
              <w:keepNext/>
              <w:keepLines/>
              <w:spacing w:before="20" w:after="20"/>
              <w:jc w:val="center"/>
              <w:rPr>
                <w:rFonts w:ascii="Arial Narrow" w:hAnsi="Arial Narrow"/>
                <w:b/>
                <w:sz w:val="20"/>
              </w:rPr>
            </w:pPr>
          </w:p>
        </w:tc>
        <w:tc>
          <w:tcPr>
            <w:tcW w:w="1134" w:type="dxa"/>
          </w:tcPr>
          <w:p w14:paraId="11B47710" w14:textId="77777777" w:rsidR="00F948FB" w:rsidRPr="00F948FB" w:rsidRDefault="00F948FB" w:rsidP="0079037D">
            <w:pPr>
              <w:keepNext/>
              <w:keepLines/>
              <w:spacing w:before="20" w:after="20"/>
              <w:jc w:val="center"/>
              <w:rPr>
                <w:rFonts w:ascii="Arial Narrow" w:hAnsi="Arial Narrow"/>
                <w:b/>
                <w:sz w:val="20"/>
              </w:rPr>
            </w:pPr>
            <w:r w:rsidRPr="00F948FB">
              <w:rPr>
                <w:rFonts w:ascii="Arial Narrow" w:hAnsi="Arial Narrow"/>
                <w:b/>
                <w:sz w:val="20"/>
              </w:rPr>
              <w:t>Cost</w:t>
            </w:r>
          </w:p>
        </w:tc>
        <w:tc>
          <w:tcPr>
            <w:tcW w:w="1276" w:type="dxa"/>
          </w:tcPr>
          <w:p w14:paraId="53485749" w14:textId="77777777" w:rsidR="00F948FB" w:rsidRPr="00F948FB" w:rsidRDefault="00F948FB" w:rsidP="0079037D">
            <w:pPr>
              <w:keepNext/>
              <w:keepLines/>
              <w:spacing w:before="20" w:after="20"/>
              <w:jc w:val="center"/>
              <w:rPr>
                <w:rFonts w:ascii="Arial Narrow" w:hAnsi="Arial Narrow"/>
                <w:b/>
                <w:sz w:val="20"/>
              </w:rPr>
            </w:pPr>
            <w:r w:rsidRPr="00F948FB">
              <w:rPr>
                <w:rFonts w:ascii="Arial Narrow" w:hAnsi="Arial Narrow"/>
                <w:b/>
                <w:sz w:val="20"/>
              </w:rPr>
              <w:t>Incremental cost</w:t>
            </w:r>
          </w:p>
        </w:tc>
        <w:tc>
          <w:tcPr>
            <w:tcW w:w="1701" w:type="dxa"/>
          </w:tcPr>
          <w:p w14:paraId="19496762" w14:textId="77777777" w:rsidR="00F948FB" w:rsidRPr="00F948FB" w:rsidRDefault="00F948FB" w:rsidP="0079037D">
            <w:pPr>
              <w:keepNext/>
              <w:keepLines/>
              <w:spacing w:before="20" w:after="20"/>
              <w:jc w:val="center"/>
              <w:rPr>
                <w:rFonts w:ascii="Arial Narrow" w:hAnsi="Arial Narrow"/>
                <w:b/>
                <w:sz w:val="20"/>
              </w:rPr>
            </w:pPr>
            <w:r w:rsidRPr="00F948FB">
              <w:rPr>
                <w:rFonts w:ascii="Arial Narrow" w:hAnsi="Arial Narrow"/>
                <w:b/>
                <w:sz w:val="20"/>
              </w:rPr>
              <w:t>Effectiveness (QALYs)</w:t>
            </w:r>
          </w:p>
        </w:tc>
        <w:tc>
          <w:tcPr>
            <w:tcW w:w="1275" w:type="dxa"/>
          </w:tcPr>
          <w:p w14:paraId="300FE89A" w14:textId="77777777" w:rsidR="00F948FB" w:rsidRPr="00F948FB" w:rsidRDefault="00F948FB" w:rsidP="0079037D">
            <w:pPr>
              <w:keepNext/>
              <w:keepLines/>
              <w:spacing w:before="20" w:after="20"/>
              <w:jc w:val="center"/>
              <w:rPr>
                <w:rFonts w:ascii="Arial Narrow" w:hAnsi="Arial Narrow"/>
                <w:b/>
                <w:sz w:val="20"/>
              </w:rPr>
            </w:pPr>
            <w:r w:rsidRPr="00F948FB">
              <w:rPr>
                <w:rFonts w:ascii="Arial Narrow" w:hAnsi="Arial Narrow"/>
                <w:b/>
                <w:sz w:val="20"/>
              </w:rPr>
              <w:t>Incremental effectiveness</w:t>
            </w:r>
          </w:p>
        </w:tc>
        <w:tc>
          <w:tcPr>
            <w:tcW w:w="1763" w:type="dxa"/>
          </w:tcPr>
          <w:p w14:paraId="6D5B3927" w14:textId="77777777" w:rsidR="00F948FB" w:rsidRPr="00F948FB" w:rsidRDefault="00F948FB" w:rsidP="0079037D">
            <w:pPr>
              <w:keepNext/>
              <w:keepLines/>
              <w:spacing w:before="20" w:after="20"/>
              <w:jc w:val="center"/>
              <w:rPr>
                <w:rFonts w:ascii="Arial Narrow" w:hAnsi="Arial Narrow"/>
                <w:b/>
                <w:sz w:val="20"/>
              </w:rPr>
            </w:pPr>
            <w:r w:rsidRPr="00F948FB">
              <w:rPr>
                <w:rFonts w:ascii="Arial Narrow" w:hAnsi="Arial Narrow"/>
                <w:b/>
                <w:sz w:val="20"/>
              </w:rPr>
              <w:t>ICER</w:t>
            </w:r>
          </w:p>
        </w:tc>
      </w:tr>
      <w:tr w:rsidR="00F948FB" w:rsidRPr="002010CD" w14:paraId="10124986" w14:textId="77777777" w:rsidTr="00606234">
        <w:tc>
          <w:tcPr>
            <w:tcW w:w="9242" w:type="dxa"/>
            <w:gridSpan w:val="6"/>
          </w:tcPr>
          <w:p w14:paraId="797EC9D8" w14:textId="29B7D2F3" w:rsidR="00F948FB" w:rsidRPr="00F948FB" w:rsidRDefault="00F948FB" w:rsidP="00B66EB5">
            <w:pPr>
              <w:keepNext/>
              <w:keepLines/>
              <w:spacing w:before="40" w:after="40"/>
              <w:rPr>
                <w:rFonts w:ascii="Arial Narrow" w:hAnsi="Arial Narrow"/>
                <w:b/>
                <w:color w:val="000000"/>
                <w:sz w:val="20"/>
                <w:lang w:val="fr-FR"/>
              </w:rPr>
            </w:pPr>
            <w:r w:rsidRPr="00F948FB">
              <w:rPr>
                <w:rFonts w:ascii="Arial Narrow" w:hAnsi="Arial Narrow"/>
                <w:b/>
                <w:color w:val="000000"/>
                <w:sz w:val="20"/>
                <w:lang w:val="fr-FR"/>
              </w:rPr>
              <w:t>Emicizuma</w:t>
            </w:r>
            <w:r w:rsidR="00B66EB5">
              <w:rPr>
                <w:rFonts w:ascii="Arial Narrow" w:hAnsi="Arial Narrow"/>
                <w:b/>
                <w:color w:val="000000"/>
                <w:sz w:val="20"/>
                <w:lang w:val="fr-FR"/>
              </w:rPr>
              <w:t xml:space="preserve">b </w:t>
            </w:r>
            <w:proofErr w:type="spellStart"/>
            <w:r w:rsidR="00B66EB5">
              <w:rPr>
                <w:rFonts w:ascii="Arial Narrow" w:hAnsi="Arial Narrow"/>
                <w:b/>
                <w:color w:val="000000"/>
                <w:sz w:val="20"/>
                <w:lang w:val="fr-FR"/>
              </w:rPr>
              <w:t>prophylaxis</w:t>
            </w:r>
            <w:proofErr w:type="spellEnd"/>
            <w:r w:rsidRPr="00F948FB">
              <w:rPr>
                <w:rFonts w:ascii="Arial Narrow" w:hAnsi="Arial Narrow"/>
                <w:b/>
                <w:color w:val="000000"/>
                <w:sz w:val="20"/>
                <w:lang w:val="fr-FR"/>
              </w:rPr>
              <w:t xml:space="preserve"> vs. on </w:t>
            </w:r>
            <w:proofErr w:type="spellStart"/>
            <w:r w:rsidRPr="00F948FB">
              <w:rPr>
                <w:rFonts w:ascii="Arial Narrow" w:hAnsi="Arial Narrow"/>
                <w:b/>
                <w:color w:val="000000"/>
                <w:sz w:val="20"/>
                <w:lang w:val="fr-FR"/>
              </w:rPr>
              <w:t>demand</w:t>
            </w:r>
            <w:proofErr w:type="spellEnd"/>
            <w:r w:rsidRPr="00F948FB">
              <w:rPr>
                <w:rFonts w:ascii="Arial Narrow" w:hAnsi="Arial Narrow"/>
                <w:b/>
                <w:color w:val="000000"/>
                <w:sz w:val="20"/>
                <w:lang w:val="fr-FR"/>
              </w:rPr>
              <w:t xml:space="preserve"> </w:t>
            </w:r>
            <w:proofErr w:type="spellStart"/>
            <w:r w:rsidRPr="00F948FB">
              <w:rPr>
                <w:rFonts w:ascii="Arial Narrow" w:hAnsi="Arial Narrow"/>
                <w:b/>
                <w:color w:val="000000"/>
                <w:sz w:val="20"/>
                <w:lang w:val="fr-FR"/>
              </w:rPr>
              <w:t>BPAs</w:t>
            </w:r>
            <w:proofErr w:type="spellEnd"/>
          </w:p>
        </w:tc>
      </w:tr>
      <w:tr w:rsidR="00F948FB" w:rsidRPr="00F948FB" w14:paraId="5F4B80DD" w14:textId="77777777" w:rsidTr="00606234">
        <w:tc>
          <w:tcPr>
            <w:tcW w:w="2093" w:type="dxa"/>
          </w:tcPr>
          <w:p w14:paraId="289B5C71" w14:textId="77777777" w:rsidR="00F948FB" w:rsidRPr="00F948FB" w:rsidRDefault="00F948FB" w:rsidP="0079037D">
            <w:pPr>
              <w:keepNext/>
              <w:keepLines/>
              <w:spacing w:before="40" w:after="40"/>
              <w:rPr>
                <w:rFonts w:ascii="Arial Narrow" w:hAnsi="Arial Narrow"/>
                <w:color w:val="000000"/>
                <w:sz w:val="20"/>
              </w:rPr>
            </w:pPr>
            <w:r w:rsidRPr="00F948FB">
              <w:rPr>
                <w:rFonts w:ascii="Arial Narrow" w:hAnsi="Arial Narrow"/>
                <w:color w:val="000000"/>
                <w:sz w:val="20"/>
              </w:rPr>
              <w:t>Emicizumab prophylaxis</w:t>
            </w:r>
          </w:p>
        </w:tc>
        <w:tc>
          <w:tcPr>
            <w:tcW w:w="1134" w:type="dxa"/>
          </w:tcPr>
          <w:p w14:paraId="6B362ED1" w14:textId="04AC8649" w:rsidR="00F948FB" w:rsidRPr="00AB371B" w:rsidRDefault="00F948FB" w:rsidP="00442FA4">
            <w:pPr>
              <w:keepNext/>
              <w:keepLines/>
              <w:spacing w:before="40" w:after="40"/>
              <w:jc w:val="center"/>
              <w:rPr>
                <w:rFonts w:ascii="Arial Narrow" w:hAnsi="Arial Narrow"/>
                <w:strike/>
                <w:color w:val="000000"/>
                <w:sz w:val="20"/>
              </w:rPr>
            </w:pPr>
            <w:r w:rsidRPr="004D60DA">
              <w:rPr>
                <w:rFonts w:ascii="Arial Narrow" w:hAnsi="Arial Narrow"/>
                <w:color w:val="000000"/>
                <w:sz w:val="20"/>
              </w:rPr>
              <w:t>$</w:t>
            </w:r>
            <w:r w:rsidR="00442FA4" w:rsidRPr="00442FA4">
              <w:rPr>
                <w:rFonts w:ascii="Arial Narrow" w:hAnsi="Arial Narrow"/>
                <w:b/>
                <w:color w:val="000000"/>
                <w:sz w:val="20"/>
              </w:rPr>
              <w:t>redacted</w:t>
            </w:r>
          </w:p>
        </w:tc>
        <w:tc>
          <w:tcPr>
            <w:tcW w:w="1276" w:type="dxa"/>
            <w:vMerge w:val="restart"/>
          </w:tcPr>
          <w:p w14:paraId="18AF0AFA" w14:textId="77777777" w:rsidR="00F948FB" w:rsidRPr="00F948FB" w:rsidRDefault="00F948FB" w:rsidP="0079037D">
            <w:pPr>
              <w:keepNext/>
              <w:keepLines/>
              <w:spacing w:before="40" w:after="40"/>
              <w:jc w:val="center"/>
              <w:rPr>
                <w:rFonts w:ascii="Arial Narrow" w:hAnsi="Arial Narrow"/>
                <w:color w:val="000000"/>
                <w:sz w:val="20"/>
              </w:rPr>
            </w:pPr>
            <w:r w:rsidRPr="00F948FB">
              <w:rPr>
                <w:rFonts w:ascii="Arial Narrow" w:hAnsi="Arial Narrow"/>
                <w:color w:val="000000"/>
                <w:sz w:val="20"/>
              </w:rPr>
              <w:t>–$2,371,277</w:t>
            </w:r>
          </w:p>
        </w:tc>
        <w:tc>
          <w:tcPr>
            <w:tcW w:w="1701" w:type="dxa"/>
          </w:tcPr>
          <w:p w14:paraId="0E44E6D3" w14:textId="77777777" w:rsidR="00F948FB" w:rsidRPr="00F948FB" w:rsidRDefault="00F948FB" w:rsidP="0079037D">
            <w:pPr>
              <w:keepNext/>
              <w:keepLines/>
              <w:spacing w:before="40" w:after="40"/>
              <w:jc w:val="center"/>
              <w:rPr>
                <w:rFonts w:ascii="Arial Narrow" w:hAnsi="Arial Narrow"/>
                <w:color w:val="000000"/>
                <w:sz w:val="20"/>
              </w:rPr>
            </w:pPr>
            <w:r w:rsidRPr="00F948FB">
              <w:rPr>
                <w:rFonts w:ascii="Arial Narrow" w:hAnsi="Arial Narrow"/>
                <w:color w:val="000000"/>
                <w:sz w:val="20"/>
              </w:rPr>
              <w:t>16.1</w:t>
            </w:r>
          </w:p>
        </w:tc>
        <w:tc>
          <w:tcPr>
            <w:tcW w:w="1275" w:type="dxa"/>
            <w:vMerge w:val="restart"/>
          </w:tcPr>
          <w:p w14:paraId="0457E381" w14:textId="77777777" w:rsidR="00F948FB" w:rsidRPr="00F948FB" w:rsidRDefault="00F948FB" w:rsidP="0079037D">
            <w:pPr>
              <w:keepNext/>
              <w:keepLines/>
              <w:spacing w:before="40" w:after="40"/>
              <w:jc w:val="center"/>
              <w:rPr>
                <w:rFonts w:ascii="Arial Narrow" w:hAnsi="Arial Narrow"/>
                <w:color w:val="000000"/>
                <w:sz w:val="20"/>
              </w:rPr>
            </w:pPr>
            <w:r w:rsidRPr="00F948FB">
              <w:rPr>
                <w:rFonts w:ascii="Arial Narrow" w:hAnsi="Arial Narrow"/>
                <w:color w:val="000000"/>
                <w:sz w:val="20"/>
              </w:rPr>
              <w:t>3.7</w:t>
            </w:r>
          </w:p>
        </w:tc>
        <w:tc>
          <w:tcPr>
            <w:tcW w:w="1763" w:type="dxa"/>
            <w:vMerge w:val="restart"/>
          </w:tcPr>
          <w:p w14:paraId="3ABF7DD7" w14:textId="5CAE48C8" w:rsidR="00F948FB" w:rsidRPr="00F948FB" w:rsidRDefault="00F948FB" w:rsidP="0079037D">
            <w:pPr>
              <w:keepNext/>
              <w:keepLines/>
              <w:spacing w:before="40" w:after="40"/>
              <w:jc w:val="center"/>
              <w:rPr>
                <w:rFonts w:ascii="Arial Narrow" w:hAnsi="Arial Narrow"/>
                <w:b/>
                <w:color w:val="000000"/>
                <w:sz w:val="20"/>
              </w:rPr>
            </w:pPr>
            <w:r>
              <w:rPr>
                <w:rFonts w:ascii="Arial Narrow" w:hAnsi="Arial Narrow"/>
                <w:b/>
                <w:color w:val="000000"/>
                <w:sz w:val="20"/>
              </w:rPr>
              <w:t>Emicizumab dominant</w:t>
            </w:r>
          </w:p>
        </w:tc>
      </w:tr>
      <w:tr w:rsidR="00F948FB" w:rsidRPr="00F948FB" w14:paraId="5AE84E2E" w14:textId="77777777" w:rsidTr="00606234">
        <w:tc>
          <w:tcPr>
            <w:tcW w:w="2093" w:type="dxa"/>
          </w:tcPr>
          <w:p w14:paraId="6E9B7D5E" w14:textId="77777777" w:rsidR="00F948FB" w:rsidRPr="00F948FB" w:rsidRDefault="00F948FB" w:rsidP="0079037D">
            <w:pPr>
              <w:keepNext/>
              <w:keepLines/>
              <w:spacing w:before="40" w:after="40"/>
              <w:rPr>
                <w:rFonts w:ascii="Arial Narrow" w:hAnsi="Arial Narrow"/>
                <w:color w:val="000000"/>
                <w:sz w:val="20"/>
              </w:rPr>
            </w:pPr>
            <w:r w:rsidRPr="00F948FB">
              <w:rPr>
                <w:rFonts w:ascii="Arial Narrow" w:hAnsi="Arial Narrow"/>
                <w:color w:val="000000"/>
                <w:sz w:val="20"/>
              </w:rPr>
              <w:t>On demand BPAs</w:t>
            </w:r>
          </w:p>
        </w:tc>
        <w:tc>
          <w:tcPr>
            <w:tcW w:w="1134" w:type="dxa"/>
          </w:tcPr>
          <w:p w14:paraId="5E256C3E" w14:textId="76A226A1" w:rsidR="00F948FB" w:rsidRPr="00AB371B" w:rsidRDefault="00F948FB" w:rsidP="0079037D">
            <w:pPr>
              <w:keepNext/>
              <w:keepLines/>
              <w:spacing w:before="40" w:after="40"/>
              <w:jc w:val="center"/>
              <w:rPr>
                <w:rFonts w:ascii="Arial Narrow" w:hAnsi="Arial Narrow"/>
                <w:strike/>
                <w:color w:val="000000"/>
                <w:sz w:val="20"/>
              </w:rPr>
            </w:pPr>
            <w:r w:rsidRPr="004D60DA">
              <w:rPr>
                <w:rFonts w:ascii="Arial Narrow" w:hAnsi="Arial Narrow"/>
                <w:color w:val="000000"/>
                <w:sz w:val="20"/>
              </w:rPr>
              <w:t>$</w:t>
            </w:r>
            <w:r w:rsidR="00442FA4" w:rsidRPr="00442FA4">
              <w:rPr>
                <w:rFonts w:ascii="Arial Narrow" w:hAnsi="Arial Narrow"/>
                <w:b/>
                <w:color w:val="000000"/>
                <w:sz w:val="20"/>
              </w:rPr>
              <w:t>redacted</w:t>
            </w:r>
          </w:p>
        </w:tc>
        <w:tc>
          <w:tcPr>
            <w:tcW w:w="1276" w:type="dxa"/>
            <w:vMerge/>
          </w:tcPr>
          <w:p w14:paraId="5CB67258" w14:textId="77777777" w:rsidR="00F948FB" w:rsidRPr="00F948FB" w:rsidRDefault="00F948FB" w:rsidP="0079037D">
            <w:pPr>
              <w:widowControl w:val="0"/>
              <w:pBdr>
                <w:top w:val="nil"/>
                <w:left w:val="nil"/>
                <w:bottom w:val="nil"/>
                <w:right w:val="nil"/>
                <w:between w:val="nil"/>
              </w:pBdr>
              <w:spacing w:line="276" w:lineRule="auto"/>
              <w:rPr>
                <w:rFonts w:ascii="Arial Narrow" w:hAnsi="Arial Narrow"/>
                <w:color w:val="000000"/>
                <w:sz w:val="20"/>
              </w:rPr>
            </w:pPr>
          </w:p>
        </w:tc>
        <w:tc>
          <w:tcPr>
            <w:tcW w:w="1701" w:type="dxa"/>
          </w:tcPr>
          <w:p w14:paraId="5E4D826B" w14:textId="77777777" w:rsidR="00F948FB" w:rsidRPr="00F948FB" w:rsidRDefault="00F948FB" w:rsidP="0079037D">
            <w:pPr>
              <w:keepNext/>
              <w:keepLines/>
              <w:spacing w:before="40" w:after="40"/>
              <w:jc w:val="center"/>
              <w:rPr>
                <w:rFonts w:ascii="Arial Narrow" w:hAnsi="Arial Narrow"/>
                <w:color w:val="000000"/>
                <w:sz w:val="20"/>
              </w:rPr>
            </w:pPr>
            <w:r w:rsidRPr="00F948FB">
              <w:rPr>
                <w:rFonts w:ascii="Arial Narrow" w:hAnsi="Arial Narrow"/>
                <w:color w:val="000000"/>
                <w:sz w:val="20"/>
              </w:rPr>
              <w:t>12.4</w:t>
            </w:r>
          </w:p>
        </w:tc>
        <w:tc>
          <w:tcPr>
            <w:tcW w:w="1275" w:type="dxa"/>
            <w:vMerge/>
          </w:tcPr>
          <w:p w14:paraId="5E9124A7" w14:textId="77777777" w:rsidR="00F948FB" w:rsidRPr="00F948FB" w:rsidRDefault="00F948FB" w:rsidP="0079037D">
            <w:pPr>
              <w:widowControl w:val="0"/>
              <w:pBdr>
                <w:top w:val="nil"/>
                <w:left w:val="nil"/>
                <w:bottom w:val="nil"/>
                <w:right w:val="nil"/>
                <w:between w:val="nil"/>
              </w:pBdr>
              <w:spacing w:line="276" w:lineRule="auto"/>
              <w:rPr>
                <w:rFonts w:ascii="Arial Narrow" w:hAnsi="Arial Narrow"/>
                <w:color w:val="000000"/>
                <w:sz w:val="20"/>
              </w:rPr>
            </w:pPr>
          </w:p>
        </w:tc>
        <w:tc>
          <w:tcPr>
            <w:tcW w:w="1763" w:type="dxa"/>
            <w:vMerge/>
          </w:tcPr>
          <w:p w14:paraId="0137F616" w14:textId="77777777" w:rsidR="00F948FB" w:rsidRPr="00F948FB" w:rsidRDefault="00F948FB" w:rsidP="0079037D">
            <w:pPr>
              <w:widowControl w:val="0"/>
              <w:pBdr>
                <w:top w:val="nil"/>
                <w:left w:val="nil"/>
                <w:bottom w:val="nil"/>
                <w:right w:val="nil"/>
                <w:between w:val="nil"/>
              </w:pBdr>
              <w:spacing w:line="276" w:lineRule="auto"/>
              <w:rPr>
                <w:rFonts w:ascii="Arial Narrow" w:hAnsi="Arial Narrow"/>
                <w:color w:val="000000"/>
                <w:sz w:val="20"/>
              </w:rPr>
            </w:pPr>
          </w:p>
        </w:tc>
      </w:tr>
      <w:tr w:rsidR="00F948FB" w:rsidRPr="00F948FB" w14:paraId="77B331DC" w14:textId="77777777" w:rsidTr="00606234">
        <w:tc>
          <w:tcPr>
            <w:tcW w:w="9242" w:type="dxa"/>
            <w:gridSpan w:val="6"/>
          </w:tcPr>
          <w:p w14:paraId="1D0C30A7" w14:textId="77777777" w:rsidR="00F948FB" w:rsidRPr="00F948FB" w:rsidRDefault="00F948FB" w:rsidP="0079037D">
            <w:pPr>
              <w:keepNext/>
              <w:keepLines/>
              <w:spacing w:before="40" w:after="40"/>
              <w:rPr>
                <w:rFonts w:ascii="Arial Narrow" w:hAnsi="Arial Narrow"/>
                <w:b/>
                <w:color w:val="000000"/>
                <w:sz w:val="20"/>
              </w:rPr>
            </w:pPr>
            <w:r w:rsidRPr="00F948FB">
              <w:rPr>
                <w:rFonts w:ascii="Arial Narrow" w:hAnsi="Arial Narrow"/>
                <w:b/>
                <w:color w:val="000000"/>
                <w:sz w:val="20"/>
              </w:rPr>
              <w:t>Emicizumab prophylaxis vs. BPA prophylaxis</w:t>
            </w:r>
          </w:p>
        </w:tc>
      </w:tr>
      <w:tr w:rsidR="00F948FB" w:rsidRPr="00F948FB" w14:paraId="5F1F4D77" w14:textId="77777777" w:rsidTr="00606234">
        <w:tc>
          <w:tcPr>
            <w:tcW w:w="2093" w:type="dxa"/>
          </w:tcPr>
          <w:p w14:paraId="308CB1CB" w14:textId="77777777" w:rsidR="00F948FB" w:rsidRPr="00F948FB" w:rsidRDefault="00F948FB" w:rsidP="0079037D">
            <w:pPr>
              <w:keepNext/>
              <w:keepLines/>
              <w:spacing w:before="40" w:after="40"/>
              <w:rPr>
                <w:rFonts w:ascii="Arial Narrow" w:hAnsi="Arial Narrow"/>
                <w:color w:val="000000"/>
                <w:sz w:val="20"/>
              </w:rPr>
            </w:pPr>
            <w:r w:rsidRPr="00F948FB">
              <w:rPr>
                <w:rFonts w:ascii="Arial Narrow" w:hAnsi="Arial Narrow"/>
                <w:color w:val="000000"/>
                <w:sz w:val="20"/>
              </w:rPr>
              <w:t>Emicizumab prophylaxis</w:t>
            </w:r>
          </w:p>
        </w:tc>
        <w:tc>
          <w:tcPr>
            <w:tcW w:w="1134" w:type="dxa"/>
          </w:tcPr>
          <w:p w14:paraId="208D8FBD" w14:textId="62272ACC" w:rsidR="00F948FB" w:rsidRPr="00AB371B" w:rsidRDefault="00442FA4" w:rsidP="0079037D">
            <w:pPr>
              <w:keepNext/>
              <w:keepLines/>
              <w:spacing w:before="40" w:after="40"/>
              <w:jc w:val="center"/>
              <w:rPr>
                <w:rFonts w:ascii="Arial Narrow" w:hAnsi="Arial Narrow"/>
                <w:strike/>
                <w:color w:val="000000"/>
                <w:sz w:val="20"/>
              </w:rPr>
            </w:pPr>
            <w:r w:rsidRPr="001671D2">
              <w:rPr>
                <w:rFonts w:ascii="Arial Narrow" w:hAnsi="Arial Narrow"/>
                <w:color w:val="000000"/>
                <w:sz w:val="20"/>
              </w:rPr>
              <w:t>$</w:t>
            </w:r>
            <w:r w:rsidRPr="00442FA4">
              <w:rPr>
                <w:rFonts w:ascii="Arial Narrow" w:hAnsi="Arial Narrow"/>
                <w:b/>
                <w:color w:val="000000"/>
                <w:sz w:val="20"/>
              </w:rPr>
              <w:t>redacted</w:t>
            </w:r>
          </w:p>
        </w:tc>
        <w:tc>
          <w:tcPr>
            <w:tcW w:w="1276" w:type="dxa"/>
            <w:vMerge w:val="restart"/>
          </w:tcPr>
          <w:p w14:paraId="71D01B13" w14:textId="77777777" w:rsidR="00F948FB" w:rsidRPr="00F948FB" w:rsidRDefault="00F948FB" w:rsidP="0079037D">
            <w:pPr>
              <w:keepNext/>
              <w:keepLines/>
              <w:spacing w:before="40" w:after="40"/>
              <w:jc w:val="center"/>
              <w:rPr>
                <w:rFonts w:ascii="Arial Narrow" w:hAnsi="Arial Narrow"/>
                <w:color w:val="000000"/>
                <w:sz w:val="20"/>
              </w:rPr>
            </w:pPr>
            <w:r w:rsidRPr="00F948FB">
              <w:rPr>
                <w:rFonts w:ascii="Arial Narrow" w:hAnsi="Arial Narrow"/>
                <w:color w:val="000000"/>
                <w:sz w:val="20"/>
              </w:rPr>
              <w:t>–$37,130,313</w:t>
            </w:r>
          </w:p>
        </w:tc>
        <w:tc>
          <w:tcPr>
            <w:tcW w:w="1701" w:type="dxa"/>
          </w:tcPr>
          <w:p w14:paraId="57ABAACD" w14:textId="77777777" w:rsidR="00F948FB" w:rsidRPr="00F948FB" w:rsidRDefault="00F948FB" w:rsidP="0079037D">
            <w:pPr>
              <w:keepNext/>
              <w:keepLines/>
              <w:spacing w:before="40" w:after="40"/>
              <w:jc w:val="center"/>
              <w:rPr>
                <w:rFonts w:ascii="Arial Narrow" w:hAnsi="Arial Narrow"/>
                <w:color w:val="000000"/>
                <w:sz w:val="20"/>
              </w:rPr>
            </w:pPr>
            <w:r w:rsidRPr="00F948FB">
              <w:rPr>
                <w:rFonts w:ascii="Arial Narrow" w:hAnsi="Arial Narrow"/>
                <w:color w:val="000000"/>
                <w:sz w:val="20"/>
              </w:rPr>
              <w:t>16.1</w:t>
            </w:r>
          </w:p>
        </w:tc>
        <w:tc>
          <w:tcPr>
            <w:tcW w:w="1275" w:type="dxa"/>
            <w:vMerge w:val="restart"/>
          </w:tcPr>
          <w:p w14:paraId="6FC460E6" w14:textId="77777777" w:rsidR="00F948FB" w:rsidRPr="00F948FB" w:rsidRDefault="00F948FB" w:rsidP="0079037D">
            <w:pPr>
              <w:keepNext/>
              <w:keepLines/>
              <w:spacing w:before="40" w:after="40"/>
              <w:jc w:val="center"/>
              <w:rPr>
                <w:rFonts w:ascii="Arial Narrow" w:hAnsi="Arial Narrow"/>
                <w:color w:val="000000"/>
                <w:sz w:val="20"/>
              </w:rPr>
            </w:pPr>
            <w:r w:rsidRPr="00F948FB">
              <w:rPr>
                <w:rFonts w:ascii="Arial Narrow" w:hAnsi="Arial Narrow"/>
                <w:color w:val="000000"/>
                <w:sz w:val="20"/>
              </w:rPr>
              <w:t>2.8</w:t>
            </w:r>
          </w:p>
        </w:tc>
        <w:tc>
          <w:tcPr>
            <w:tcW w:w="1763" w:type="dxa"/>
            <w:vMerge w:val="restart"/>
          </w:tcPr>
          <w:p w14:paraId="5BC63D02" w14:textId="252AFBB2" w:rsidR="00F948FB" w:rsidRPr="00F948FB" w:rsidRDefault="00F948FB" w:rsidP="0079037D">
            <w:pPr>
              <w:keepNext/>
              <w:keepLines/>
              <w:spacing w:before="40" w:after="40"/>
              <w:jc w:val="center"/>
              <w:rPr>
                <w:rFonts w:ascii="Arial Narrow" w:hAnsi="Arial Narrow"/>
                <w:b/>
                <w:color w:val="000000"/>
                <w:sz w:val="20"/>
              </w:rPr>
            </w:pPr>
            <w:r>
              <w:rPr>
                <w:rFonts w:ascii="Arial Narrow" w:hAnsi="Arial Narrow"/>
                <w:b/>
                <w:color w:val="000000"/>
                <w:sz w:val="20"/>
              </w:rPr>
              <w:t>Emicizumab dominant</w:t>
            </w:r>
          </w:p>
        </w:tc>
      </w:tr>
      <w:tr w:rsidR="00F948FB" w:rsidRPr="00F948FB" w14:paraId="1CDE4933" w14:textId="77777777" w:rsidTr="00606234">
        <w:tc>
          <w:tcPr>
            <w:tcW w:w="2093" w:type="dxa"/>
          </w:tcPr>
          <w:p w14:paraId="4EEBC2F8" w14:textId="77777777" w:rsidR="00F948FB" w:rsidRPr="00F948FB" w:rsidRDefault="00F948FB" w:rsidP="0079037D">
            <w:pPr>
              <w:keepNext/>
              <w:keepLines/>
              <w:spacing w:before="40" w:after="40"/>
              <w:rPr>
                <w:rFonts w:ascii="Arial Narrow" w:hAnsi="Arial Narrow"/>
                <w:color w:val="000000"/>
                <w:sz w:val="20"/>
              </w:rPr>
            </w:pPr>
            <w:r w:rsidRPr="00F948FB">
              <w:rPr>
                <w:rFonts w:ascii="Arial Narrow" w:hAnsi="Arial Narrow"/>
                <w:color w:val="000000"/>
                <w:sz w:val="20"/>
              </w:rPr>
              <w:t>BPA prophylaxis</w:t>
            </w:r>
          </w:p>
        </w:tc>
        <w:tc>
          <w:tcPr>
            <w:tcW w:w="1134" w:type="dxa"/>
          </w:tcPr>
          <w:p w14:paraId="45A37DC8" w14:textId="03F9A68C" w:rsidR="00F948FB" w:rsidRPr="00AB371B" w:rsidRDefault="00442FA4" w:rsidP="0079037D">
            <w:pPr>
              <w:keepNext/>
              <w:keepLines/>
              <w:spacing w:before="40" w:after="40"/>
              <w:jc w:val="center"/>
              <w:rPr>
                <w:rFonts w:ascii="Arial Narrow" w:hAnsi="Arial Narrow"/>
                <w:strike/>
                <w:color w:val="000000"/>
                <w:sz w:val="20"/>
              </w:rPr>
            </w:pPr>
            <w:r w:rsidRPr="001671D2">
              <w:rPr>
                <w:rFonts w:ascii="Arial Narrow" w:hAnsi="Arial Narrow"/>
                <w:color w:val="000000"/>
                <w:sz w:val="20"/>
              </w:rPr>
              <w:t>$</w:t>
            </w:r>
            <w:r w:rsidRPr="00442FA4">
              <w:rPr>
                <w:rFonts w:ascii="Arial Narrow" w:hAnsi="Arial Narrow"/>
                <w:b/>
                <w:color w:val="000000"/>
                <w:sz w:val="20"/>
              </w:rPr>
              <w:t>redacted</w:t>
            </w:r>
          </w:p>
        </w:tc>
        <w:tc>
          <w:tcPr>
            <w:tcW w:w="1276" w:type="dxa"/>
            <w:vMerge/>
          </w:tcPr>
          <w:p w14:paraId="2C1D4BC2" w14:textId="77777777" w:rsidR="00F948FB" w:rsidRPr="00F948FB" w:rsidRDefault="00F948FB" w:rsidP="0079037D">
            <w:pPr>
              <w:widowControl w:val="0"/>
              <w:pBdr>
                <w:top w:val="nil"/>
                <w:left w:val="nil"/>
                <w:bottom w:val="nil"/>
                <w:right w:val="nil"/>
                <w:between w:val="nil"/>
              </w:pBdr>
              <w:spacing w:line="276" w:lineRule="auto"/>
              <w:rPr>
                <w:rFonts w:ascii="Arial Narrow" w:hAnsi="Arial Narrow"/>
                <w:color w:val="000000"/>
                <w:sz w:val="20"/>
              </w:rPr>
            </w:pPr>
          </w:p>
        </w:tc>
        <w:tc>
          <w:tcPr>
            <w:tcW w:w="1701" w:type="dxa"/>
          </w:tcPr>
          <w:p w14:paraId="7AF00CBE" w14:textId="77777777" w:rsidR="00F948FB" w:rsidRPr="00F948FB" w:rsidRDefault="00F948FB" w:rsidP="0079037D">
            <w:pPr>
              <w:keepNext/>
              <w:keepLines/>
              <w:spacing w:before="40" w:after="40"/>
              <w:jc w:val="center"/>
              <w:rPr>
                <w:rFonts w:ascii="Arial Narrow" w:hAnsi="Arial Narrow"/>
                <w:color w:val="000000"/>
                <w:sz w:val="20"/>
              </w:rPr>
            </w:pPr>
            <w:r w:rsidRPr="00F948FB">
              <w:rPr>
                <w:rFonts w:ascii="Arial Narrow" w:hAnsi="Arial Narrow"/>
                <w:color w:val="000000"/>
                <w:sz w:val="20"/>
              </w:rPr>
              <w:t>13.2</w:t>
            </w:r>
          </w:p>
        </w:tc>
        <w:tc>
          <w:tcPr>
            <w:tcW w:w="1275" w:type="dxa"/>
            <w:vMerge/>
          </w:tcPr>
          <w:p w14:paraId="6625C8DC" w14:textId="77777777" w:rsidR="00F948FB" w:rsidRPr="00F948FB" w:rsidRDefault="00F948FB" w:rsidP="0079037D">
            <w:pPr>
              <w:widowControl w:val="0"/>
              <w:pBdr>
                <w:top w:val="nil"/>
                <w:left w:val="nil"/>
                <w:bottom w:val="nil"/>
                <w:right w:val="nil"/>
                <w:between w:val="nil"/>
              </w:pBdr>
              <w:spacing w:line="276" w:lineRule="auto"/>
              <w:rPr>
                <w:rFonts w:ascii="Arial Narrow" w:hAnsi="Arial Narrow"/>
                <w:color w:val="000000"/>
                <w:sz w:val="20"/>
              </w:rPr>
            </w:pPr>
          </w:p>
        </w:tc>
        <w:tc>
          <w:tcPr>
            <w:tcW w:w="1763" w:type="dxa"/>
            <w:vMerge/>
          </w:tcPr>
          <w:p w14:paraId="5297993B" w14:textId="77777777" w:rsidR="00F948FB" w:rsidRPr="00F948FB" w:rsidRDefault="00F948FB" w:rsidP="0079037D">
            <w:pPr>
              <w:widowControl w:val="0"/>
              <w:pBdr>
                <w:top w:val="nil"/>
                <w:left w:val="nil"/>
                <w:bottom w:val="nil"/>
                <w:right w:val="nil"/>
                <w:between w:val="nil"/>
              </w:pBdr>
              <w:spacing w:line="276" w:lineRule="auto"/>
              <w:rPr>
                <w:rFonts w:ascii="Arial Narrow" w:hAnsi="Arial Narrow"/>
                <w:color w:val="000000"/>
                <w:sz w:val="20"/>
              </w:rPr>
            </w:pPr>
          </w:p>
        </w:tc>
      </w:tr>
    </w:tbl>
    <w:p w14:paraId="16AAD810" w14:textId="0A05FB6B" w:rsidR="00F948FB" w:rsidRDefault="00F948FB" w:rsidP="00F948FB">
      <w:pPr>
        <w:tabs>
          <w:tab w:val="left" w:pos="1134"/>
        </w:tabs>
        <w:ind w:left="1134" w:hanging="1134"/>
        <w:rPr>
          <w:sz w:val="18"/>
          <w:szCs w:val="18"/>
        </w:rPr>
      </w:pPr>
      <w:r>
        <w:rPr>
          <w:sz w:val="18"/>
          <w:szCs w:val="18"/>
        </w:rPr>
        <w:t>Source: ‘Results Table’ tab of Section D workbook</w:t>
      </w:r>
      <w:r w:rsidR="00B66EB5">
        <w:rPr>
          <w:sz w:val="18"/>
          <w:szCs w:val="18"/>
        </w:rPr>
        <w:t xml:space="preserve"> accompanying the SBA</w:t>
      </w:r>
    </w:p>
    <w:p w14:paraId="41BD82E0" w14:textId="25B65923" w:rsidR="00F948FB" w:rsidRPr="0084378F" w:rsidRDefault="00F948FB" w:rsidP="0084378F">
      <w:pPr>
        <w:tabs>
          <w:tab w:val="left" w:pos="1134"/>
        </w:tabs>
        <w:spacing w:after="240"/>
        <w:ind w:left="1134" w:hanging="1134"/>
        <w:rPr>
          <w:sz w:val="18"/>
          <w:szCs w:val="18"/>
        </w:rPr>
      </w:pPr>
      <w:r>
        <w:rPr>
          <w:sz w:val="18"/>
          <w:szCs w:val="18"/>
        </w:rPr>
        <w:t>Abbreviations: BPAs, by passing agents; ICER, incremental cost-effectiveness ratio; QALYs, quality-adjusted life years</w:t>
      </w:r>
    </w:p>
    <w:p w14:paraId="63E69D29" w14:textId="6F38B418" w:rsidR="00502FB8" w:rsidRDefault="006A2A19" w:rsidP="006A2A19">
      <w:r>
        <w:t xml:space="preserve">The </w:t>
      </w:r>
      <w:r w:rsidR="00C766F2">
        <w:t>application</w:t>
      </w:r>
      <w:r w:rsidR="00B66EB5">
        <w:t>’s</w:t>
      </w:r>
      <w:r>
        <w:t xml:space="preserve"> sensitivity </w:t>
      </w:r>
      <w:r w:rsidR="00C766F2">
        <w:t>analysis</w:t>
      </w:r>
      <w:r>
        <w:t xml:space="preserve"> results </w:t>
      </w:r>
      <w:proofErr w:type="gramStart"/>
      <w:r>
        <w:t>are presented</w:t>
      </w:r>
      <w:proofErr w:type="gramEnd"/>
      <w:r>
        <w:t xml:space="preserve"> for the comparison with on demand BPAs</w:t>
      </w:r>
      <w:r w:rsidR="00502FB8">
        <w:t xml:space="preserve"> (</w:t>
      </w:r>
      <w:r w:rsidR="009E2F92">
        <w:t>Figure 2</w:t>
      </w:r>
      <w:r w:rsidR="00502FB8">
        <w:t>)</w:t>
      </w:r>
      <w:r w:rsidRPr="00502FB8">
        <w:t xml:space="preserve"> and</w:t>
      </w:r>
      <w:r>
        <w:t xml:space="preserve"> BPA prophylaxis</w:t>
      </w:r>
      <w:r w:rsidR="00502FB8">
        <w:t xml:space="preserve"> (</w:t>
      </w:r>
      <w:r w:rsidR="009E2F92">
        <w:t>Figure 3</w:t>
      </w:r>
      <w:r w:rsidR="00502FB8">
        <w:t>).</w:t>
      </w:r>
    </w:p>
    <w:p w14:paraId="21280B1C" w14:textId="77777777" w:rsidR="00502FB8" w:rsidRDefault="00502FB8" w:rsidP="00502FB8">
      <w:pPr>
        <w:keepNext/>
      </w:pPr>
      <w:r>
        <w:rPr>
          <w:noProof/>
        </w:rPr>
        <w:lastRenderedPageBreak/>
        <w:drawing>
          <wp:inline distT="0" distB="0" distL="0" distR="0" wp14:anchorId="1ECD710B" wp14:editId="4A768604">
            <wp:extent cx="5731510" cy="2495641"/>
            <wp:effectExtent l="0" t="0" r="2540" b="0"/>
            <wp:docPr id="1" name="image2.png" title="Tornado plots of one-way sensitivity analyses: discounted ICER ($/QALY); vs. on demand BPAs"/>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31510" cy="2495641"/>
                    </a:xfrm>
                    <a:prstGeom prst="rect">
                      <a:avLst/>
                    </a:prstGeom>
                    <a:ln/>
                  </pic:spPr>
                </pic:pic>
              </a:graphicData>
            </a:graphic>
          </wp:inline>
        </w:drawing>
      </w:r>
    </w:p>
    <w:p w14:paraId="183EE327" w14:textId="48D71078" w:rsidR="00502FB8" w:rsidRDefault="00502FB8" w:rsidP="00502FB8">
      <w:pPr>
        <w:pStyle w:val="Caption"/>
        <w:rPr>
          <w:rFonts w:ascii="Arial Narrow" w:hAnsi="Arial Narrow"/>
          <w:color w:val="000000"/>
          <w:sz w:val="20"/>
        </w:rPr>
      </w:pPr>
      <w:r w:rsidRPr="00502FB8">
        <w:rPr>
          <w:rFonts w:ascii="Arial Narrow" w:hAnsi="Arial Narrow"/>
          <w:color w:val="auto"/>
          <w:sz w:val="20"/>
        </w:rPr>
        <w:t xml:space="preserve">Figure </w:t>
      </w:r>
      <w:r w:rsidRPr="00502FB8">
        <w:rPr>
          <w:rFonts w:ascii="Arial Narrow" w:hAnsi="Arial Narrow"/>
          <w:color w:val="auto"/>
          <w:sz w:val="20"/>
        </w:rPr>
        <w:fldChar w:fldCharType="begin"/>
      </w:r>
      <w:r w:rsidRPr="00502FB8">
        <w:rPr>
          <w:rFonts w:ascii="Arial Narrow" w:hAnsi="Arial Narrow"/>
          <w:color w:val="auto"/>
          <w:sz w:val="20"/>
        </w:rPr>
        <w:instrText xml:space="preserve"> SEQ Figure \* ARABIC </w:instrText>
      </w:r>
      <w:r w:rsidRPr="00502FB8">
        <w:rPr>
          <w:rFonts w:ascii="Arial Narrow" w:hAnsi="Arial Narrow"/>
          <w:color w:val="auto"/>
          <w:sz w:val="20"/>
        </w:rPr>
        <w:fldChar w:fldCharType="separate"/>
      </w:r>
      <w:r w:rsidR="00E965BA">
        <w:rPr>
          <w:rFonts w:ascii="Arial Narrow" w:hAnsi="Arial Narrow"/>
          <w:noProof/>
          <w:color w:val="auto"/>
          <w:sz w:val="20"/>
        </w:rPr>
        <w:t>2</w:t>
      </w:r>
      <w:r w:rsidRPr="00502FB8">
        <w:rPr>
          <w:rFonts w:ascii="Arial Narrow" w:hAnsi="Arial Narrow"/>
          <w:color w:val="auto"/>
          <w:sz w:val="20"/>
        </w:rPr>
        <w:fldChar w:fldCharType="end"/>
      </w:r>
      <w:r>
        <w:rPr>
          <w:rFonts w:ascii="Arial Narrow" w:hAnsi="Arial Narrow"/>
          <w:color w:val="auto"/>
          <w:sz w:val="20"/>
        </w:rPr>
        <w:tab/>
      </w:r>
      <w:r w:rsidRPr="00502FB8">
        <w:rPr>
          <w:rFonts w:ascii="Arial Narrow" w:hAnsi="Arial Narrow"/>
          <w:color w:val="000000"/>
          <w:sz w:val="20"/>
        </w:rPr>
        <w:t>Tornado plots of one-way sensitivity analyses: discounted ICER ($/QALY)</w:t>
      </w:r>
      <w:r>
        <w:rPr>
          <w:rFonts w:ascii="Arial Narrow" w:hAnsi="Arial Narrow"/>
          <w:color w:val="000000"/>
          <w:sz w:val="20"/>
        </w:rPr>
        <w:t>; vs. on demand BPAs</w:t>
      </w:r>
    </w:p>
    <w:p w14:paraId="6CE51EC9" w14:textId="1BD8DD50" w:rsidR="006A2A19" w:rsidRPr="0084378F" w:rsidRDefault="00502FB8" w:rsidP="0084378F">
      <w:pPr>
        <w:pStyle w:val="TableNotes"/>
        <w:spacing w:after="240"/>
        <w:rPr>
          <w:rFonts w:ascii="Arial Narrow" w:hAnsi="Arial Narrow"/>
        </w:rPr>
      </w:pPr>
      <w:r w:rsidRPr="00502FB8">
        <w:rPr>
          <w:rFonts w:ascii="Arial Narrow" w:hAnsi="Arial Narrow"/>
        </w:rPr>
        <w:t>Abbreviations: BPA = bypass agents</w:t>
      </w:r>
      <w:r>
        <w:rPr>
          <w:rFonts w:ascii="Arial Narrow" w:hAnsi="Arial Narrow"/>
        </w:rPr>
        <w:t>; ICER = incremental cost-effectiveness ratio; QALY = quality-adjusted life year</w:t>
      </w:r>
    </w:p>
    <w:p w14:paraId="2CDAF0D8" w14:textId="77777777" w:rsidR="00502FB8" w:rsidRDefault="00502FB8" w:rsidP="00502FB8">
      <w:pPr>
        <w:pStyle w:val="Default"/>
        <w:keepNext/>
        <w:spacing w:after="240"/>
      </w:pPr>
      <w:r>
        <w:rPr>
          <w:noProof/>
          <w:lang w:eastAsia="en-AU"/>
        </w:rPr>
        <w:drawing>
          <wp:inline distT="0" distB="0" distL="0" distR="0" wp14:anchorId="40002B2F" wp14:editId="7E742CDA">
            <wp:extent cx="5731510" cy="2481347"/>
            <wp:effectExtent l="0" t="0" r="2540" b="0"/>
            <wp:docPr id="3" name="image6.png" descr="Tornado plots of one-way sensitivity analyses: discounted ICER ($/QALY); vs. on BPA prophylaxis"/>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731510" cy="2481347"/>
                    </a:xfrm>
                    <a:prstGeom prst="rect">
                      <a:avLst/>
                    </a:prstGeom>
                    <a:ln/>
                  </pic:spPr>
                </pic:pic>
              </a:graphicData>
            </a:graphic>
          </wp:inline>
        </w:drawing>
      </w:r>
    </w:p>
    <w:p w14:paraId="665650A1" w14:textId="52BD0315" w:rsidR="00502FB8" w:rsidRDefault="00502FB8" w:rsidP="00502FB8">
      <w:pPr>
        <w:pStyle w:val="Caption"/>
        <w:rPr>
          <w:rFonts w:ascii="Arial Narrow" w:hAnsi="Arial Narrow"/>
          <w:color w:val="000000"/>
          <w:sz w:val="20"/>
        </w:rPr>
      </w:pPr>
      <w:bookmarkStart w:id="12" w:name="_Ref531257269"/>
      <w:r w:rsidRPr="00502FB8">
        <w:rPr>
          <w:rFonts w:ascii="Arial Narrow" w:hAnsi="Arial Narrow"/>
          <w:color w:val="auto"/>
          <w:sz w:val="20"/>
        </w:rPr>
        <w:t xml:space="preserve">Figure </w:t>
      </w:r>
      <w:r w:rsidRPr="00502FB8">
        <w:rPr>
          <w:rFonts w:ascii="Arial Narrow" w:hAnsi="Arial Narrow"/>
          <w:color w:val="auto"/>
          <w:sz w:val="20"/>
        </w:rPr>
        <w:fldChar w:fldCharType="begin"/>
      </w:r>
      <w:r w:rsidRPr="00502FB8">
        <w:rPr>
          <w:rFonts w:ascii="Arial Narrow" w:hAnsi="Arial Narrow"/>
          <w:color w:val="auto"/>
          <w:sz w:val="20"/>
        </w:rPr>
        <w:instrText xml:space="preserve"> SEQ Figure \* ARABIC </w:instrText>
      </w:r>
      <w:r w:rsidRPr="00502FB8">
        <w:rPr>
          <w:rFonts w:ascii="Arial Narrow" w:hAnsi="Arial Narrow"/>
          <w:color w:val="auto"/>
          <w:sz w:val="20"/>
        </w:rPr>
        <w:fldChar w:fldCharType="separate"/>
      </w:r>
      <w:r w:rsidR="00E965BA">
        <w:rPr>
          <w:rFonts w:ascii="Arial Narrow" w:hAnsi="Arial Narrow"/>
          <w:noProof/>
          <w:color w:val="auto"/>
          <w:sz w:val="20"/>
        </w:rPr>
        <w:t>3</w:t>
      </w:r>
      <w:r w:rsidRPr="00502FB8">
        <w:rPr>
          <w:rFonts w:ascii="Arial Narrow" w:hAnsi="Arial Narrow"/>
          <w:color w:val="auto"/>
          <w:sz w:val="20"/>
        </w:rPr>
        <w:fldChar w:fldCharType="end"/>
      </w:r>
      <w:bookmarkEnd w:id="12"/>
      <w:r>
        <w:rPr>
          <w:rFonts w:ascii="Arial Narrow" w:hAnsi="Arial Narrow"/>
          <w:color w:val="auto"/>
          <w:sz w:val="20"/>
        </w:rPr>
        <w:tab/>
      </w:r>
      <w:r w:rsidRPr="00502FB8">
        <w:rPr>
          <w:rFonts w:ascii="Arial Narrow" w:hAnsi="Arial Narrow"/>
          <w:color w:val="000000"/>
          <w:sz w:val="20"/>
        </w:rPr>
        <w:t>Tornado plots of one-way sensitivity analyses: discounted ICER ($/QALY)</w:t>
      </w:r>
      <w:proofErr w:type="gramStart"/>
      <w:r>
        <w:rPr>
          <w:rFonts w:ascii="Arial Narrow" w:hAnsi="Arial Narrow"/>
          <w:color w:val="000000"/>
          <w:sz w:val="20"/>
        </w:rPr>
        <w:t>;</w:t>
      </w:r>
      <w:proofErr w:type="gramEnd"/>
      <w:r>
        <w:rPr>
          <w:rFonts w:ascii="Arial Narrow" w:hAnsi="Arial Narrow"/>
          <w:color w:val="000000"/>
          <w:sz w:val="20"/>
        </w:rPr>
        <w:t xml:space="preserve"> vs. BPA prophylaxis</w:t>
      </w:r>
    </w:p>
    <w:p w14:paraId="7244FD11" w14:textId="77777777" w:rsidR="00BC1364" w:rsidRPr="00F715D1" w:rsidRDefault="00BC1364" w:rsidP="00F715D1">
      <w:pPr>
        <w:pStyle w:val="Heading1"/>
      </w:pPr>
      <w:r w:rsidRPr="00F715D1">
        <w:t>Financial/budgetary impacts</w:t>
      </w:r>
    </w:p>
    <w:p w14:paraId="7DE01AFF" w14:textId="47E92E63" w:rsidR="00FA2BFD" w:rsidRPr="0084378F" w:rsidRDefault="00156338">
      <w:r>
        <w:t xml:space="preserve">The </w:t>
      </w:r>
      <w:r w:rsidR="00C766F2">
        <w:t>application</w:t>
      </w:r>
      <w:r>
        <w:t xml:space="preserve"> stated a</w:t>
      </w:r>
      <w:r w:rsidRPr="00E341A0">
        <w:t xml:space="preserve">n epidemiological </w:t>
      </w:r>
      <w:r>
        <w:t>(</w:t>
      </w:r>
      <w:r w:rsidRPr="00E341A0">
        <w:rPr>
          <w:rFonts w:eastAsia="SimSun"/>
          <w:lang w:eastAsia="zh-CN"/>
        </w:rPr>
        <w:t>and a stakeholder engagement</w:t>
      </w:r>
      <w:r>
        <w:rPr>
          <w:rFonts w:eastAsia="SimSun"/>
          <w:lang w:eastAsia="zh-CN"/>
        </w:rPr>
        <w:t>)</w:t>
      </w:r>
      <w:r w:rsidRPr="00E341A0">
        <w:rPr>
          <w:rFonts w:eastAsia="SimSun"/>
          <w:lang w:eastAsia="zh-CN"/>
        </w:rPr>
        <w:t xml:space="preserve"> </w:t>
      </w:r>
      <w:r w:rsidRPr="00E341A0">
        <w:t xml:space="preserve">approach </w:t>
      </w:r>
      <w:r w:rsidRPr="00E341A0">
        <w:rPr>
          <w:rFonts w:eastAsia="SimSun"/>
          <w:lang w:eastAsia="zh-CN"/>
        </w:rPr>
        <w:t>were</w:t>
      </w:r>
      <w:r w:rsidRPr="00E341A0">
        <w:t xml:space="preserve"> used to estimate the financial implications of the introduction </w:t>
      </w:r>
      <w:r>
        <w:rPr>
          <w:rFonts w:eastAsia="SimSun"/>
          <w:lang w:eastAsia="zh-CN"/>
        </w:rPr>
        <w:t xml:space="preserve">of </w:t>
      </w:r>
      <w:r w:rsidRPr="00156338">
        <w:rPr>
          <w:rFonts w:eastAsia="SimSun"/>
        </w:rPr>
        <w:t xml:space="preserve">emicizumab </w:t>
      </w:r>
      <w:r>
        <w:rPr>
          <w:rFonts w:eastAsia="SimSun"/>
        </w:rPr>
        <w:t>(</w:t>
      </w:r>
      <w:r w:rsidR="00093DF4">
        <w:rPr>
          <w:rFonts w:eastAsia="SimSun"/>
        </w:rPr>
        <w:t>Table 6</w:t>
      </w:r>
      <w:r>
        <w:rPr>
          <w:rFonts w:eastAsia="SimSun"/>
        </w:rPr>
        <w:t>).</w:t>
      </w:r>
      <w:bookmarkStart w:id="13" w:name="_Ref404372077"/>
      <w:bookmarkStart w:id="14" w:name="_Toc393197779"/>
      <w:bookmarkStart w:id="15" w:name="_Toc393378192"/>
      <w:bookmarkStart w:id="16" w:name="_Toc399251128"/>
      <w:bookmarkStart w:id="17" w:name="_Toc523234833"/>
      <w:bookmarkStart w:id="18" w:name="_Toc523381351"/>
      <w:bookmarkStart w:id="19" w:name="_Toc523407657"/>
      <w:r w:rsidR="00FA2BFD">
        <w:rPr>
          <w:rFonts w:ascii="Arial Narrow" w:hAnsi="Arial Narrow"/>
          <w:sz w:val="20"/>
        </w:rPr>
        <w:br w:type="page"/>
      </w:r>
    </w:p>
    <w:p w14:paraId="16741707" w14:textId="7F1FB142" w:rsidR="00156338" w:rsidRPr="00156338" w:rsidRDefault="00156338" w:rsidP="00156338">
      <w:pPr>
        <w:pStyle w:val="Caption"/>
        <w:rPr>
          <w:rFonts w:ascii="Arial Narrow" w:hAnsi="Arial Narrow"/>
          <w:color w:val="auto"/>
          <w:sz w:val="20"/>
        </w:rPr>
      </w:pPr>
      <w:r w:rsidRPr="00156338">
        <w:rPr>
          <w:rFonts w:ascii="Arial Narrow" w:hAnsi="Arial Narrow"/>
          <w:color w:val="auto"/>
          <w:sz w:val="20"/>
        </w:rPr>
        <w:lastRenderedPageBreak/>
        <w:t xml:space="preserve">Table </w:t>
      </w:r>
      <w:bookmarkEnd w:id="13"/>
      <w:r w:rsidR="00093DF4">
        <w:rPr>
          <w:rFonts w:ascii="Arial Narrow" w:hAnsi="Arial Narrow"/>
          <w:noProof/>
          <w:color w:val="auto"/>
          <w:sz w:val="20"/>
        </w:rPr>
        <w:t>6</w:t>
      </w:r>
      <w:r>
        <w:rPr>
          <w:rFonts w:ascii="Arial Narrow" w:hAnsi="Arial Narrow"/>
          <w:color w:val="auto"/>
          <w:sz w:val="20"/>
        </w:rPr>
        <w:tab/>
      </w:r>
      <w:r w:rsidRPr="00156338">
        <w:rPr>
          <w:rFonts w:ascii="Arial Narrow" w:hAnsi="Arial Narrow"/>
          <w:color w:val="auto"/>
          <w:sz w:val="20"/>
        </w:rPr>
        <w:t xml:space="preserve">Total costs to the </w:t>
      </w:r>
      <w:bookmarkEnd w:id="14"/>
      <w:bookmarkEnd w:id="15"/>
      <w:bookmarkEnd w:id="16"/>
      <w:r w:rsidRPr="00156338">
        <w:rPr>
          <w:rFonts w:ascii="Arial Narrow" w:hAnsi="Arial Narrow"/>
          <w:color w:val="auto"/>
          <w:sz w:val="20"/>
        </w:rPr>
        <w:t>NPL for listing emicizumab compared to BPA (both on-demand and prophylaxis)</w:t>
      </w:r>
      <w:bookmarkEnd w:id="17"/>
      <w:bookmarkEnd w:id="18"/>
      <w:bookmarkEnd w:id="19"/>
    </w:p>
    <w:tbl>
      <w:tblPr>
        <w:tblStyle w:val="TableGrid"/>
        <w:tblW w:w="5000" w:type="pct"/>
        <w:tblLook w:val="04A0" w:firstRow="1" w:lastRow="0" w:firstColumn="1" w:lastColumn="0" w:noHBand="0" w:noVBand="1"/>
        <w:tblCaption w:val="Table 9 Total costs to the MBS associated with XXX"/>
        <w:tblDescription w:val="This table provides a summary of the financial impact of the proposed new medical service over the next five years."/>
      </w:tblPr>
      <w:tblGrid>
        <w:gridCol w:w="1502"/>
        <w:gridCol w:w="1504"/>
        <w:gridCol w:w="1504"/>
        <w:gridCol w:w="1502"/>
        <w:gridCol w:w="1504"/>
        <w:gridCol w:w="1500"/>
      </w:tblGrid>
      <w:tr w:rsidR="00156338" w:rsidRPr="00E341A0" w14:paraId="721B7B90" w14:textId="77777777" w:rsidTr="00606234">
        <w:trPr>
          <w:trHeight w:val="300"/>
          <w:tblHeader/>
        </w:trPr>
        <w:tc>
          <w:tcPr>
            <w:tcW w:w="833" w:type="pct"/>
          </w:tcPr>
          <w:p w14:paraId="7EA41313" w14:textId="77777777" w:rsidR="00156338" w:rsidRPr="00E341A0" w:rsidRDefault="00156338" w:rsidP="0079037D">
            <w:pPr>
              <w:pStyle w:val="TableHeading"/>
              <w:rPr>
                <w:lang w:eastAsia="zh-CN"/>
              </w:rPr>
            </w:pPr>
          </w:p>
        </w:tc>
        <w:tc>
          <w:tcPr>
            <w:tcW w:w="834" w:type="pct"/>
          </w:tcPr>
          <w:p w14:paraId="777CAE32" w14:textId="77777777" w:rsidR="00156338" w:rsidRPr="00E341A0" w:rsidRDefault="00156338" w:rsidP="0079037D">
            <w:pPr>
              <w:pStyle w:val="TableHeading"/>
              <w:jc w:val="right"/>
            </w:pPr>
            <w:bookmarkStart w:id="20" w:name="_Toc523234064"/>
            <w:bookmarkStart w:id="21" w:name="_Toc523234559"/>
            <w:r w:rsidRPr="00E341A0">
              <w:rPr>
                <w:lang w:eastAsia="zh-CN"/>
              </w:rPr>
              <w:t>Year 1</w:t>
            </w:r>
            <w:bookmarkEnd w:id="20"/>
            <w:bookmarkEnd w:id="21"/>
          </w:p>
        </w:tc>
        <w:tc>
          <w:tcPr>
            <w:tcW w:w="834" w:type="pct"/>
          </w:tcPr>
          <w:p w14:paraId="05339C65" w14:textId="77777777" w:rsidR="00156338" w:rsidRPr="00E341A0" w:rsidRDefault="00156338" w:rsidP="0079037D">
            <w:pPr>
              <w:pStyle w:val="TableHeading"/>
              <w:jc w:val="right"/>
            </w:pPr>
            <w:bookmarkStart w:id="22" w:name="_Toc523234065"/>
            <w:bookmarkStart w:id="23" w:name="_Toc523234560"/>
            <w:r w:rsidRPr="00E341A0">
              <w:rPr>
                <w:lang w:eastAsia="zh-CN"/>
              </w:rPr>
              <w:t>Y</w:t>
            </w:r>
            <w:r w:rsidRPr="00E341A0">
              <w:t>ear 2</w:t>
            </w:r>
            <w:bookmarkEnd w:id="22"/>
            <w:bookmarkEnd w:id="23"/>
          </w:p>
        </w:tc>
        <w:tc>
          <w:tcPr>
            <w:tcW w:w="833" w:type="pct"/>
          </w:tcPr>
          <w:p w14:paraId="28037548" w14:textId="77777777" w:rsidR="00156338" w:rsidRPr="00E341A0" w:rsidRDefault="00156338" w:rsidP="0079037D">
            <w:pPr>
              <w:pStyle w:val="TableHeading"/>
              <w:jc w:val="right"/>
            </w:pPr>
            <w:bookmarkStart w:id="24" w:name="_Toc523234066"/>
            <w:bookmarkStart w:id="25" w:name="_Toc523234561"/>
            <w:r w:rsidRPr="00E341A0">
              <w:rPr>
                <w:lang w:eastAsia="zh-CN"/>
              </w:rPr>
              <w:t>Y</w:t>
            </w:r>
            <w:r w:rsidRPr="00E341A0">
              <w:t>ear 3</w:t>
            </w:r>
            <w:bookmarkEnd w:id="24"/>
            <w:bookmarkEnd w:id="25"/>
          </w:p>
        </w:tc>
        <w:tc>
          <w:tcPr>
            <w:tcW w:w="834" w:type="pct"/>
          </w:tcPr>
          <w:p w14:paraId="27B7138A" w14:textId="77777777" w:rsidR="00156338" w:rsidRPr="00E341A0" w:rsidRDefault="00156338" w:rsidP="0079037D">
            <w:pPr>
              <w:pStyle w:val="TableHeading"/>
              <w:jc w:val="right"/>
            </w:pPr>
            <w:bookmarkStart w:id="26" w:name="_Toc523234067"/>
            <w:bookmarkStart w:id="27" w:name="_Toc523234562"/>
            <w:r w:rsidRPr="00E341A0">
              <w:rPr>
                <w:lang w:eastAsia="zh-CN"/>
              </w:rPr>
              <w:t>Y</w:t>
            </w:r>
            <w:r w:rsidRPr="00E341A0">
              <w:t>ear 4</w:t>
            </w:r>
            <w:bookmarkEnd w:id="26"/>
            <w:bookmarkEnd w:id="27"/>
          </w:p>
        </w:tc>
        <w:tc>
          <w:tcPr>
            <w:tcW w:w="832" w:type="pct"/>
          </w:tcPr>
          <w:p w14:paraId="35755A71" w14:textId="77777777" w:rsidR="00156338" w:rsidRPr="00E341A0" w:rsidRDefault="00156338" w:rsidP="0079037D">
            <w:pPr>
              <w:pStyle w:val="TableHeading"/>
              <w:jc w:val="right"/>
            </w:pPr>
            <w:bookmarkStart w:id="28" w:name="_Toc523234068"/>
            <w:bookmarkStart w:id="29" w:name="_Toc523234563"/>
            <w:r w:rsidRPr="00E341A0">
              <w:rPr>
                <w:lang w:eastAsia="zh-CN"/>
              </w:rPr>
              <w:t>Y</w:t>
            </w:r>
            <w:r w:rsidRPr="00E341A0">
              <w:t>ear 5</w:t>
            </w:r>
            <w:bookmarkEnd w:id="28"/>
            <w:bookmarkEnd w:id="29"/>
          </w:p>
        </w:tc>
      </w:tr>
      <w:tr w:rsidR="00156338" w:rsidRPr="00E341A0" w14:paraId="3BB816FB" w14:textId="77777777" w:rsidTr="00606234">
        <w:trPr>
          <w:trHeight w:val="300"/>
        </w:trPr>
        <w:tc>
          <w:tcPr>
            <w:tcW w:w="5000" w:type="pct"/>
            <w:gridSpan w:val="6"/>
          </w:tcPr>
          <w:p w14:paraId="23602D57" w14:textId="77777777" w:rsidR="00156338" w:rsidRPr="00E341A0" w:rsidRDefault="00156338" w:rsidP="0079037D">
            <w:pPr>
              <w:pStyle w:val="TableHeading"/>
              <w:rPr>
                <w:rFonts w:eastAsia="SimSun"/>
                <w:b w:val="0"/>
                <w:lang w:eastAsia="zh-CN"/>
              </w:rPr>
            </w:pPr>
            <w:bookmarkStart w:id="30" w:name="_Toc523234069"/>
            <w:bookmarkStart w:id="31" w:name="_Toc523234564"/>
            <w:r w:rsidRPr="00E341A0">
              <w:rPr>
                <w:lang w:eastAsia="zh-CN"/>
              </w:rPr>
              <w:t>Emicizumab</w:t>
            </w:r>
            <w:r w:rsidRPr="00E341A0">
              <w:t xml:space="preserve"> costs</w:t>
            </w:r>
            <w:bookmarkEnd w:id="30"/>
            <w:bookmarkEnd w:id="31"/>
            <w:r w:rsidRPr="00E341A0">
              <w:t xml:space="preserve"> </w:t>
            </w:r>
            <w:bookmarkStart w:id="32" w:name="_Toc523234070"/>
            <w:bookmarkStart w:id="33" w:name="_Toc523234565"/>
            <w:r w:rsidRPr="00E341A0">
              <w:rPr>
                <w:lang w:eastAsia="zh-CN"/>
              </w:rPr>
              <w:t>to the NPL</w:t>
            </w:r>
            <w:bookmarkEnd w:id="32"/>
            <w:bookmarkEnd w:id="33"/>
          </w:p>
        </w:tc>
      </w:tr>
      <w:tr w:rsidR="00156338" w:rsidRPr="00E341A0" w14:paraId="7B169334" w14:textId="77777777" w:rsidTr="00606234">
        <w:trPr>
          <w:trHeight w:val="300"/>
        </w:trPr>
        <w:tc>
          <w:tcPr>
            <w:tcW w:w="833" w:type="pct"/>
          </w:tcPr>
          <w:p w14:paraId="205673C0" w14:textId="77777777" w:rsidR="00156338" w:rsidRPr="00E341A0" w:rsidRDefault="00156338" w:rsidP="0079037D">
            <w:pPr>
              <w:pStyle w:val="Tabletext0"/>
              <w:rPr>
                <w:rFonts w:eastAsia="SimSun"/>
                <w:lang w:eastAsia="zh-CN"/>
              </w:rPr>
            </w:pPr>
            <w:r w:rsidRPr="00E341A0">
              <w:rPr>
                <w:rFonts w:eastAsia="SimSun"/>
                <w:lang w:eastAsia="zh-CN"/>
              </w:rPr>
              <w:t>Patient numbers</w:t>
            </w:r>
          </w:p>
        </w:tc>
        <w:tc>
          <w:tcPr>
            <w:tcW w:w="834" w:type="pct"/>
          </w:tcPr>
          <w:p w14:paraId="2FA35B0D" w14:textId="77777777" w:rsidR="00156338" w:rsidRPr="00E341A0" w:rsidRDefault="00156338" w:rsidP="0079037D">
            <w:pPr>
              <w:pStyle w:val="Tabletext0"/>
              <w:jc w:val="right"/>
            </w:pPr>
            <w:r w:rsidRPr="00E341A0">
              <w:t>16</w:t>
            </w:r>
          </w:p>
        </w:tc>
        <w:tc>
          <w:tcPr>
            <w:tcW w:w="834" w:type="pct"/>
          </w:tcPr>
          <w:p w14:paraId="28E8D472" w14:textId="77777777" w:rsidR="00156338" w:rsidRPr="00E341A0" w:rsidRDefault="00156338" w:rsidP="0079037D">
            <w:pPr>
              <w:pStyle w:val="Tabletext0"/>
              <w:jc w:val="right"/>
            </w:pPr>
            <w:r w:rsidRPr="00E341A0">
              <w:t>33</w:t>
            </w:r>
          </w:p>
        </w:tc>
        <w:tc>
          <w:tcPr>
            <w:tcW w:w="833" w:type="pct"/>
          </w:tcPr>
          <w:p w14:paraId="072AE146" w14:textId="77777777" w:rsidR="00156338" w:rsidRPr="00E341A0" w:rsidRDefault="00156338" w:rsidP="0079037D">
            <w:pPr>
              <w:pStyle w:val="Tabletext0"/>
              <w:jc w:val="right"/>
            </w:pPr>
            <w:r w:rsidRPr="00E341A0">
              <w:t>34</w:t>
            </w:r>
          </w:p>
        </w:tc>
        <w:tc>
          <w:tcPr>
            <w:tcW w:w="834" w:type="pct"/>
          </w:tcPr>
          <w:p w14:paraId="1310F554" w14:textId="77777777" w:rsidR="00156338" w:rsidRPr="00E341A0" w:rsidRDefault="00156338" w:rsidP="0079037D">
            <w:pPr>
              <w:pStyle w:val="Tabletext0"/>
              <w:jc w:val="right"/>
            </w:pPr>
            <w:r w:rsidRPr="00E341A0">
              <w:t>35</w:t>
            </w:r>
          </w:p>
        </w:tc>
        <w:tc>
          <w:tcPr>
            <w:tcW w:w="832" w:type="pct"/>
          </w:tcPr>
          <w:p w14:paraId="0CA04227" w14:textId="77777777" w:rsidR="00156338" w:rsidRPr="00E341A0" w:rsidRDefault="00156338" w:rsidP="0079037D">
            <w:pPr>
              <w:pStyle w:val="Tabletext0"/>
              <w:jc w:val="right"/>
            </w:pPr>
            <w:r w:rsidRPr="00E341A0">
              <w:t>35</w:t>
            </w:r>
          </w:p>
        </w:tc>
      </w:tr>
      <w:tr w:rsidR="00156338" w:rsidRPr="00E341A0" w14:paraId="3E73915D" w14:textId="77777777" w:rsidTr="00606234">
        <w:trPr>
          <w:trHeight w:val="300"/>
        </w:trPr>
        <w:tc>
          <w:tcPr>
            <w:tcW w:w="833" w:type="pct"/>
          </w:tcPr>
          <w:p w14:paraId="2C1A2535" w14:textId="77777777" w:rsidR="00156338" w:rsidRPr="00E341A0" w:rsidRDefault="00156338" w:rsidP="0079037D">
            <w:pPr>
              <w:pStyle w:val="Tabletext0"/>
              <w:rPr>
                <w:rFonts w:eastAsia="SimSun"/>
                <w:lang w:eastAsia="zh-CN"/>
              </w:rPr>
            </w:pPr>
            <w:r w:rsidRPr="00E341A0">
              <w:t>Adult</w:t>
            </w:r>
          </w:p>
        </w:tc>
        <w:tc>
          <w:tcPr>
            <w:tcW w:w="834" w:type="pct"/>
          </w:tcPr>
          <w:p w14:paraId="02122AB7" w14:textId="1B4746D2"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4" w:type="pct"/>
          </w:tcPr>
          <w:p w14:paraId="0DFD5466" w14:textId="300967F7"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3" w:type="pct"/>
          </w:tcPr>
          <w:p w14:paraId="4A9B7D16" w14:textId="0476CA78"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4" w:type="pct"/>
          </w:tcPr>
          <w:p w14:paraId="4A1A9008" w14:textId="093BA022"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2" w:type="pct"/>
          </w:tcPr>
          <w:p w14:paraId="781450FA" w14:textId="66085724" w:rsidR="00156338" w:rsidRPr="007A45A3" w:rsidRDefault="00442FA4" w:rsidP="0079037D">
            <w:pPr>
              <w:pStyle w:val="Tabletext0"/>
              <w:jc w:val="right"/>
              <w:rPr>
                <w:strike/>
              </w:rPr>
            </w:pPr>
            <w:r w:rsidRPr="001671D2">
              <w:rPr>
                <w:color w:val="000000"/>
              </w:rPr>
              <w:t>$</w:t>
            </w:r>
            <w:r w:rsidRPr="00442FA4">
              <w:rPr>
                <w:b/>
                <w:color w:val="000000"/>
              </w:rPr>
              <w:t>redacted</w:t>
            </w:r>
          </w:p>
        </w:tc>
      </w:tr>
      <w:tr w:rsidR="00156338" w:rsidRPr="00E341A0" w14:paraId="0DE962A6" w14:textId="77777777" w:rsidTr="00606234">
        <w:trPr>
          <w:trHeight w:val="300"/>
        </w:trPr>
        <w:tc>
          <w:tcPr>
            <w:tcW w:w="833" w:type="pct"/>
          </w:tcPr>
          <w:p w14:paraId="729C7114" w14:textId="77777777" w:rsidR="00156338" w:rsidRPr="00E341A0" w:rsidRDefault="00156338" w:rsidP="0079037D">
            <w:pPr>
              <w:pStyle w:val="Tabletext0"/>
              <w:rPr>
                <w:rFonts w:eastAsia="SimSun"/>
                <w:lang w:eastAsia="zh-CN"/>
              </w:rPr>
            </w:pPr>
            <w:r w:rsidRPr="00E341A0">
              <w:t>Paediatric</w:t>
            </w:r>
          </w:p>
        </w:tc>
        <w:tc>
          <w:tcPr>
            <w:tcW w:w="834" w:type="pct"/>
          </w:tcPr>
          <w:p w14:paraId="76AAF35D" w14:textId="7FED2CD9"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4" w:type="pct"/>
          </w:tcPr>
          <w:p w14:paraId="17473498" w14:textId="7464F356"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3" w:type="pct"/>
          </w:tcPr>
          <w:p w14:paraId="21B95DCC" w14:textId="423E4F30"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4" w:type="pct"/>
          </w:tcPr>
          <w:p w14:paraId="5F5025E3" w14:textId="16991012"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2" w:type="pct"/>
          </w:tcPr>
          <w:p w14:paraId="20CA59F2" w14:textId="6810DB4B" w:rsidR="00156338" w:rsidRPr="007A45A3" w:rsidRDefault="00442FA4" w:rsidP="0079037D">
            <w:pPr>
              <w:pStyle w:val="Tabletext0"/>
              <w:jc w:val="right"/>
              <w:rPr>
                <w:strike/>
              </w:rPr>
            </w:pPr>
            <w:r w:rsidRPr="001671D2">
              <w:rPr>
                <w:color w:val="000000"/>
              </w:rPr>
              <w:t>$</w:t>
            </w:r>
            <w:r w:rsidRPr="00442FA4">
              <w:rPr>
                <w:b/>
                <w:color w:val="000000"/>
              </w:rPr>
              <w:t>redacted</w:t>
            </w:r>
          </w:p>
        </w:tc>
      </w:tr>
      <w:tr w:rsidR="00156338" w:rsidRPr="00E341A0" w14:paraId="47D5EBC5" w14:textId="77777777" w:rsidTr="00606234">
        <w:trPr>
          <w:trHeight w:val="315"/>
        </w:trPr>
        <w:tc>
          <w:tcPr>
            <w:tcW w:w="833" w:type="pct"/>
          </w:tcPr>
          <w:p w14:paraId="4D7A2397" w14:textId="77777777" w:rsidR="00156338" w:rsidRPr="00E341A0" w:rsidRDefault="00156338" w:rsidP="0079037D">
            <w:pPr>
              <w:pStyle w:val="Tabletext0"/>
            </w:pPr>
            <w:r w:rsidRPr="00E341A0">
              <w:t>Sub-total cost</w:t>
            </w:r>
          </w:p>
        </w:tc>
        <w:tc>
          <w:tcPr>
            <w:tcW w:w="834" w:type="pct"/>
          </w:tcPr>
          <w:p w14:paraId="61B434EA" w14:textId="1EE437AD"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4" w:type="pct"/>
          </w:tcPr>
          <w:p w14:paraId="595EE5C6" w14:textId="0D621B7B"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3" w:type="pct"/>
          </w:tcPr>
          <w:p w14:paraId="28A1C4EF" w14:textId="6CE62FDC"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4" w:type="pct"/>
          </w:tcPr>
          <w:p w14:paraId="610CBCCB" w14:textId="00AA0E14"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2" w:type="pct"/>
          </w:tcPr>
          <w:p w14:paraId="40B3ABE3" w14:textId="0EB83973" w:rsidR="00156338" w:rsidRPr="007A45A3" w:rsidRDefault="00442FA4" w:rsidP="0079037D">
            <w:pPr>
              <w:pStyle w:val="Tabletext0"/>
              <w:jc w:val="right"/>
              <w:rPr>
                <w:strike/>
              </w:rPr>
            </w:pPr>
            <w:r w:rsidRPr="001671D2">
              <w:rPr>
                <w:color w:val="000000"/>
              </w:rPr>
              <w:t>$</w:t>
            </w:r>
            <w:r w:rsidRPr="00442FA4">
              <w:rPr>
                <w:b/>
                <w:color w:val="000000"/>
              </w:rPr>
              <w:t>redacted</w:t>
            </w:r>
          </w:p>
        </w:tc>
      </w:tr>
      <w:tr w:rsidR="00156338" w:rsidRPr="00E341A0" w14:paraId="6FB03AB3" w14:textId="77777777" w:rsidTr="00606234">
        <w:trPr>
          <w:trHeight w:val="300"/>
        </w:trPr>
        <w:tc>
          <w:tcPr>
            <w:tcW w:w="5000" w:type="pct"/>
            <w:gridSpan w:val="6"/>
          </w:tcPr>
          <w:p w14:paraId="74C2C944" w14:textId="77777777" w:rsidR="00156338" w:rsidRPr="00E341A0" w:rsidRDefault="00156338" w:rsidP="0079037D">
            <w:pPr>
              <w:pStyle w:val="TableHeading"/>
              <w:rPr>
                <w:rFonts w:eastAsia="SimSun"/>
                <w:b w:val="0"/>
                <w:lang w:eastAsia="zh-CN"/>
              </w:rPr>
            </w:pPr>
            <w:bookmarkStart w:id="34" w:name="_Toc523234071"/>
            <w:bookmarkStart w:id="35" w:name="_Toc523234566"/>
            <w:r w:rsidRPr="00E341A0">
              <w:rPr>
                <w:lang w:eastAsia="zh-CN"/>
              </w:rPr>
              <w:t>BPA on-demand</w:t>
            </w:r>
            <w:bookmarkEnd w:id="34"/>
            <w:bookmarkEnd w:id="35"/>
            <w:r w:rsidRPr="00E341A0">
              <w:rPr>
                <w:lang w:eastAsia="zh-CN"/>
              </w:rPr>
              <w:t xml:space="preserve"> </w:t>
            </w:r>
            <w:bookmarkStart w:id="36" w:name="_Toc523234072"/>
            <w:bookmarkStart w:id="37" w:name="_Toc523234567"/>
            <w:r w:rsidRPr="00E341A0">
              <w:rPr>
                <w:lang w:eastAsia="zh-CN"/>
              </w:rPr>
              <w:t>(as episodic treatment in the presence of emicizumab)</w:t>
            </w:r>
            <w:bookmarkEnd w:id="36"/>
            <w:bookmarkEnd w:id="37"/>
          </w:p>
        </w:tc>
      </w:tr>
      <w:tr w:rsidR="00156338" w:rsidRPr="00E341A0" w14:paraId="0E060FFC" w14:textId="77777777" w:rsidTr="00606234">
        <w:trPr>
          <w:trHeight w:val="315"/>
        </w:trPr>
        <w:tc>
          <w:tcPr>
            <w:tcW w:w="833" w:type="pct"/>
          </w:tcPr>
          <w:p w14:paraId="56C8CEC0" w14:textId="77777777" w:rsidR="00156338" w:rsidRPr="00E341A0" w:rsidRDefault="00156338" w:rsidP="0079037D">
            <w:pPr>
              <w:pStyle w:val="Tabletext0"/>
            </w:pPr>
            <w:r w:rsidRPr="00E341A0">
              <w:t>Adult</w:t>
            </w:r>
          </w:p>
        </w:tc>
        <w:tc>
          <w:tcPr>
            <w:tcW w:w="834" w:type="pct"/>
          </w:tcPr>
          <w:p w14:paraId="70B080FA" w14:textId="490E4BE2"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4" w:type="pct"/>
          </w:tcPr>
          <w:p w14:paraId="3E50DFDF" w14:textId="1E965AF2"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3" w:type="pct"/>
          </w:tcPr>
          <w:p w14:paraId="3FA93AF7" w14:textId="57C66E36"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4" w:type="pct"/>
          </w:tcPr>
          <w:p w14:paraId="5A47DE1C" w14:textId="063AD59A"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2" w:type="pct"/>
          </w:tcPr>
          <w:p w14:paraId="1220C3D9" w14:textId="2AE01B25" w:rsidR="00156338" w:rsidRPr="007A45A3" w:rsidRDefault="00442FA4" w:rsidP="0079037D">
            <w:pPr>
              <w:pStyle w:val="Tabletext0"/>
              <w:jc w:val="right"/>
              <w:rPr>
                <w:strike/>
              </w:rPr>
            </w:pPr>
            <w:r w:rsidRPr="001671D2">
              <w:rPr>
                <w:color w:val="000000"/>
              </w:rPr>
              <w:t>$</w:t>
            </w:r>
            <w:r w:rsidRPr="00442FA4">
              <w:rPr>
                <w:b/>
                <w:color w:val="000000"/>
              </w:rPr>
              <w:t>redacted</w:t>
            </w:r>
          </w:p>
        </w:tc>
      </w:tr>
      <w:tr w:rsidR="00156338" w:rsidRPr="00E341A0" w14:paraId="5135E432" w14:textId="77777777" w:rsidTr="00606234">
        <w:trPr>
          <w:trHeight w:val="315"/>
        </w:trPr>
        <w:tc>
          <w:tcPr>
            <w:tcW w:w="833" w:type="pct"/>
          </w:tcPr>
          <w:p w14:paraId="199FFA36" w14:textId="77777777" w:rsidR="00156338" w:rsidRPr="00E341A0" w:rsidRDefault="00156338" w:rsidP="0079037D">
            <w:pPr>
              <w:pStyle w:val="Tabletext0"/>
            </w:pPr>
            <w:r w:rsidRPr="00E341A0">
              <w:t>Paediatric</w:t>
            </w:r>
          </w:p>
        </w:tc>
        <w:tc>
          <w:tcPr>
            <w:tcW w:w="834" w:type="pct"/>
          </w:tcPr>
          <w:p w14:paraId="294E9DEB" w14:textId="22267C1C"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4" w:type="pct"/>
          </w:tcPr>
          <w:p w14:paraId="480D11F8" w14:textId="5856BD35"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3" w:type="pct"/>
          </w:tcPr>
          <w:p w14:paraId="38772984" w14:textId="2F897DEB"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4" w:type="pct"/>
          </w:tcPr>
          <w:p w14:paraId="4E807F4C" w14:textId="09CFBD61"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2" w:type="pct"/>
          </w:tcPr>
          <w:p w14:paraId="32A0785A" w14:textId="329ED276" w:rsidR="00156338" w:rsidRPr="007A45A3" w:rsidRDefault="00442FA4" w:rsidP="0079037D">
            <w:pPr>
              <w:pStyle w:val="Tabletext0"/>
              <w:jc w:val="right"/>
              <w:rPr>
                <w:strike/>
              </w:rPr>
            </w:pPr>
            <w:r w:rsidRPr="001671D2">
              <w:rPr>
                <w:color w:val="000000"/>
              </w:rPr>
              <w:t>$</w:t>
            </w:r>
            <w:r w:rsidRPr="00442FA4">
              <w:rPr>
                <w:b/>
                <w:color w:val="000000"/>
              </w:rPr>
              <w:t>redacted</w:t>
            </w:r>
          </w:p>
        </w:tc>
      </w:tr>
      <w:tr w:rsidR="00156338" w:rsidRPr="00E341A0" w14:paraId="6705CE41" w14:textId="77777777" w:rsidTr="00606234">
        <w:trPr>
          <w:trHeight w:val="315"/>
        </w:trPr>
        <w:tc>
          <w:tcPr>
            <w:tcW w:w="833" w:type="pct"/>
          </w:tcPr>
          <w:p w14:paraId="1B80214A" w14:textId="77777777" w:rsidR="00156338" w:rsidRPr="00E341A0" w:rsidRDefault="00156338" w:rsidP="0079037D">
            <w:pPr>
              <w:pStyle w:val="Tabletext0"/>
            </w:pPr>
            <w:r w:rsidRPr="00E341A0">
              <w:t>Sub-total cost</w:t>
            </w:r>
          </w:p>
        </w:tc>
        <w:tc>
          <w:tcPr>
            <w:tcW w:w="834" w:type="pct"/>
          </w:tcPr>
          <w:p w14:paraId="1D89E688" w14:textId="2FB992C7"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4" w:type="pct"/>
          </w:tcPr>
          <w:p w14:paraId="4E5DB04B" w14:textId="3982B9D2"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3" w:type="pct"/>
          </w:tcPr>
          <w:p w14:paraId="7B41129F" w14:textId="65C4DCC7"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4" w:type="pct"/>
          </w:tcPr>
          <w:p w14:paraId="0A7454C0" w14:textId="58A69EE1"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2" w:type="pct"/>
          </w:tcPr>
          <w:p w14:paraId="2BE40E50" w14:textId="3420575F" w:rsidR="00156338" w:rsidRPr="007A45A3" w:rsidRDefault="00442FA4" w:rsidP="0079037D">
            <w:pPr>
              <w:pStyle w:val="Tabletext0"/>
              <w:jc w:val="right"/>
              <w:rPr>
                <w:strike/>
              </w:rPr>
            </w:pPr>
            <w:r w:rsidRPr="001671D2">
              <w:rPr>
                <w:color w:val="000000"/>
              </w:rPr>
              <w:t>$</w:t>
            </w:r>
            <w:r w:rsidRPr="00442FA4">
              <w:rPr>
                <w:b/>
                <w:color w:val="000000"/>
              </w:rPr>
              <w:t>redacted</w:t>
            </w:r>
          </w:p>
        </w:tc>
      </w:tr>
      <w:tr w:rsidR="00156338" w:rsidRPr="00E341A0" w14:paraId="2E3BEBF7" w14:textId="77777777" w:rsidTr="00606234">
        <w:trPr>
          <w:trHeight w:val="300"/>
        </w:trPr>
        <w:tc>
          <w:tcPr>
            <w:tcW w:w="5000" w:type="pct"/>
            <w:gridSpan w:val="6"/>
          </w:tcPr>
          <w:p w14:paraId="64C6807B" w14:textId="77777777" w:rsidR="00156338" w:rsidRPr="00E341A0" w:rsidRDefault="00156338" w:rsidP="0079037D">
            <w:pPr>
              <w:pStyle w:val="TableHeading"/>
              <w:rPr>
                <w:b w:val="0"/>
              </w:rPr>
            </w:pPr>
            <w:bookmarkStart w:id="38" w:name="_Toc523234073"/>
            <w:bookmarkStart w:id="39" w:name="_Toc523234568"/>
            <w:r w:rsidRPr="00E341A0">
              <w:rPr>
                <w:lang w:eastAsia="zh-CN"/>
              </w:rPr>
              <w:t>Total costs</w:t>
            </w:r>
            <w:bookmarkEnd w:id="38"/>
            <w:bookmarkEnd w:id="39"/>
            <w:r w:rsidRPr="00E341A0">
              <w:rPr>
                <w:lang w:eastAsia="zh-CN"/>
              </w:rPr>
              <w:t xml:space="preserve"> </w:t>
            </w:r>
            <w:bookmarkStart w:id="40" w:name="_Toc523234074"/>
            <w:bookmarkStart w:id="41" w:name="_Toc523234569"/>
            <w:r w:rsidRPr="00E341A0">
              <w:rPr>
                <w:lang w:eastAsia="zh-CN"/>
              </w:rPr>
              <w:t>of the intervention</w:t>
            </w:r>
            <w:bookmarkEnd w:id="40"/>
            <w:bookmarkEnd w:id="41"/>
            <w:r w:rsidRPr="00E341A0">
              <w:rPr>
                <w:lang w:eastAsia="zh-CN"/>
              </w:rPr>
              <w:t xml:space="preserve"> </w:t>
            </w:r>
          </w:p>
        </w:tc>
      </w:tr>
      <w:tr w:rsidR="00156338" w:rsidRPr="00E341A0" w14:paraId="00AF7B08" w14:textId="77777777" w:rsidTr="00606234">
        <w:trPr>
          <w:trHeight w:val="315"/>
        </w:trPr>
        <w:tc>
          <w:tcPr>
            <w:tcW w:w="833" w:type="pct"/>
          </w:tcPr>
          <w:p w14:paraId="4BD8312E" w14:textId="77777777" w:rsidR="00156338" w:rsidRPr="00E341A0" w:rsidRDefault="00156338" w:rsidP="0079037D">
            <w:pPr>
              <w:pStyle w:val="Tabletext0"/>
            </w:pPr>
            <w:r w:rsidRPr="00E341A0">
              <w:rPr>
                <w:rFonts w:eastAsia="SimSun"/>
                <w:lang w:eastAsia="zh-CN"/>
              </w:rPr>
              <w:t>T</w:t>
            </w:r>
            <w:r w:rsidRPr="00E341A0">
              <w:t>otal cost</w:t>
            </w:r>
          </w:p>
        </w:tc>
        <w:tc>
          <w:tcPr>
            <w:tcW w:w="834" w:type="pct"/>
          </w:tcPr>
          <w:p w14:paraId="3FE3925E" w14:textId="79E16F9B"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4" w:type="pct"/>
          </w:tcPr>
          <w:p w14:paraId="18730621" w14:textId="3C0EAD11"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3" w:type="pct"/>
          </w:tcPr>
          <w:p w14:paraId="0FBEDBA2" w14:textId="09CC4F0D"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4" w:type="pct"/>
          </w:tcPr>
          <w:p w14:paraId="27FC9FCF" w14:textId="60CB1296"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2" w:type="pct"/>
          </w:tcPr>
          <w:p w14:paraId="218B8664" w14:textId="01B56F79" w:rsidR="00156338" w:rsidRPr="007A45A3" w:rsidRDefault="00442FA4" w:rsidP="0079037D">
            <w:pPr>
              <w:pStyle w:val="Tabletext0"/>
              <w:jc w:val="right"/>
              <w:rPr>
                <w:strike/>
              </w:rPr>
            </w:pPr>
            <w:r w:rsidRPr="001671D2">
              <w:rPr>
                <w:color w:val="000000"/>
              </w:rPr>
              <w:t>$</w:t>
            </w:r>
            <w:r w:rsidRPr="00442FA4">
              <w:rPr>
                <w:b/>
                <w:color w:val="000000"/>
              </w:rPr>
              <w:t>redacted</w:t>
            </w:r>
          </w:p>
        </w:tc>
      </w:tr>
      <w:tr w:rsidR="00156338" w:rsidRPr="00E341A0" w14:paraId="59BD9AF9" w14:textId="77777777" w:rsidTr="00606234">
        <w:trPr>
          <w:trHeight w:val="300"/>
        </w:trPr>
        <w:tc>
          <w:tcPr>
            <w:tcW w:w="5000" w:type="pct"/>
            <w:gridSpan w:val="6"/>
          </w:tcPr>
          <w:p w14:paraId="670F8712" w14:textId="77777777" w:rsidR="00156338" w:rsidRPr="00E341A0" w:rsidRDefault="00156338" w:rsidP="0079037D">
            <w:pPr>
              <w:pStyle w:val="TableHeading"/>
              <w:rPr>
                <w:b w:val="0"/>
              </w:rPr>
            </w:pPr>
            <w:bookmarkStart w:id="42" w:name="_Toc523234075"/>
            <w:bookmarkStart w:id="43" w:name="_Toc523234570"/>
            <w:r w:rsidRPr="00E341A0">
              <w:rPr>
                <w:lang w:eastAsia="zh-CN"/>
              </w:rPr>
              <w:t>Total costs of the comparator</w:t>
            </w:r>
            <w:bookmarkEnd w:id="42"/>
            <w:bookmarkEnd w:id="43"/>
            <w:r w:rsidRPr="00E341A0">
              <w:rPr>
                <w:lang w:eastAsia="zh-CN"/>
              </w:rPr>
              <w:t xml:space="preserve"> </w:t>
            </w:r>
            <w:bookmarkStart w:id="44" w:name="_Toc523234076"/>
            <w:bookmarkStart w:id="45" w:name="_Toc523234571"/>
            <w:r w:rsidRPr="00E341A0">
              <w:rPr>
                <w:lang w:eastAsia="zh-CN"/>
              </w:rPr>
              <w:t>(BPA prophylaxis plus on-demand)</w:t>
            </w:r>
            <w:bookmarkEnd w:id="44"/>
            <w:bookmarkEnd w:id="45"/>
          </w:p>
        </w:tc>
      </w:tr>
      <w:tr w:rsidR="00156338" w:rsidRPr="00E341A0" w14:paraId="140BCB4F" w14:textId="77777777" w:rsidTr="00606234">
        <w:trPr>
          <w:trHeight w:val="315"/>
        </w:trPr>
        <w:tc>
          <w:tcPr>
            <w:tcW w:w="833" w:type="pct"/>
          </w:tcPr>
          <w:p w14:paraId="59EF3B2A" w14:textId="77777777" w:rsidR="00156338" w:rsidRPr="00E341A0" w:rsidRDefault="00156338" w:rsidP="0079037D">
            <w:pPr>
              <w:pStyle w:val="Tabletext0"/>
              <w:rPr>
                <w:rFonts w:eastAsia="SimSun"/>
                <w:lang w:eastAsia="zh-CN"/>
              </w:rPr>
            </w:pPr>
            <w:r w:rsidRPr="00E341A0">
              <w:t>Adult</w:t>
            </w:r>
          </w:p>
        </w:tc>
        <w:tc>
          <w:tcPr>
            <w:tcW w:w="834" w:type="pct"/>
          </w:tcPr>
          <w:p w14:paraId="49BDAC00" w14:textId="399A9297"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4" w:type="pct"/>
          </w:tcPr>
          <w:p w14:paraId="0C7C4B81" w14:textId="569D2FAF"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3" w:type="pct"/>
          </w:tcPr>
          <w:p w14:paraId="17693CA1" w14:textId="09A01B5F"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4" w:type="pct"/>
          </w:tcPr>
          <w:p w14:paraId="3B4798C6" w14:textId="79D8A470"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2" w:type="pct"/>
          </w:tcPr>
          <w:p w14:paraId="44BCA4D1" w14:textId="5FC4C9AB" w:rsidR="00156338" w:rsidRPr="007A45A3" w:rsidRDefault="00442FA4" w:rsidP="0079037D">
            <w:pPr>
              <w:pStyle w:val="Tabletext0"/>
              <w:jc w:val="right"/>
              <w:rPr>
                <w:strike/>
              </w:rPr>
            </w:pPr>
            <w:r w:rsidRPr="001671D2">
              <w:rPr>
                <w:color w:val="000000"/>
              </w:rPr>
              <w:t>$</w:t>
            </w:r>
            <w:r w:rsidRPr="00442FA4">
              <w:rPr>
                <w:b/>
                <w:color w:val="000000"/>
              </w:rPr>
              <w:t>redacted</w:t>
            </w:r>
          </w:p>
        </w:tc>
      </w:tr>
      <w:tr w:rsidR="00156338" w:rsidRPr="00E341A0" w14:paraId="1320CACB" w14:textId="77777777" w:rsidTr="00606234">
        <w:trPr>
          <w:trHeight w:val="315"/>
        </w:trPr>
        <w:tc>
          <w:tcPr>
            <w:tcW w:w="833" w:type="pct"/>
          </w:tcPr>
          <w:p w14:paraId="23833FF6" w14:textId="77777777" w:rsidR="00156338" w:rsidRPr="00E341A0" w:rsidRDefault="00156338" w:rsidP="0079037D">
            <w:pPr>
              <w:pStyle w:val="Tabletext0"/>
              <w:rPr>
                <w:rFonts w:eastAsia="SimSun"/>
                <w:lang w:eastAsia="zh-CN"/>
              </w:rPr>
            </w:pPr>
            <w:r w:rsidRPr="00E341A0">
              <w:t>Paediatric</w:t>
            </w:r>
          </w:p>
        </w:tc>
        <w:tc>
          <w:tcPr>
            <w:tcW w:w="834" w:type="pct"/>
          </w:tcPr>
          <w:p w14:paraId="7D3984EC" w14:textId="2099AEC2"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4" w:type="pct"/>
          </w:tcPr>
          <w:p w14:paraId="22AD59A8" w14:textId="3F5B1B65"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3" w:type="pct"/>
          </w:tcPr>
          <w:p w14:paraId="6F5548B0" w14:textId="22DA7B36"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4" w:type="pct"/>
          </w:tcPr>
          <w:p w14:paraId="35D26CCB" w14:textId="45630932"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2" w:type="pct"/>
          </w:tcPr>
          <w:p w14:paraId="64A46E1A" w14:textId="66C5438B" w:rsidR="00156338" w:rsidRPr="007A45A3" w:rsidRDefault="00442FA4" w:rsidP="0079037D">
            <w:pPr>
              <w:pStyle w:val="Tabletext0"/>
              <w:jc w:val="right"/>
              <w:rPr>
                <w:strike/>
              </w:rPr>
            </w:pPr>
            <w:r w:rsidRPr="001671D2">
              <w:rPr>
                <w:color w:val="000000"/>
              </w:rPr>
              <w:t>$</w:t>
            </w:r>
            <w:r w:rsidRPr="00442FA4">
              <w:rPr>
                <w:b/>
                <w:color w:val="000000"/>
              </w:rPr>
              <w:t>redacted</w:t>
            </w:r>
          </w:p>
        </w:tc>
      </w:tr>
      <w:tr w:rsidR="00156338" w:rsidRPr="00E341A0" w14:paraId="7FA65032" w14:textId="77777777" w:rsidTr="00606234">
        <w:trPr>
          <w:trHeight w:val="315"/>
        </w:trPr>
        <w:tc>
          <w:tcPr>
            <w:tcW w:w="833" w:type="pct"/>
          </w:tcPr>
          <w:p w14:paraId="6C107E13" w14:textId="77777777" w:rsidR="00156338" w:rsidRPr="00E341A0" w:rsidRDefault="00156338" w:rsidP="0079037D">
            <w:pPr>
              <w:pStyle w:val="Tabletext0"/>
            </w:pPr>
            <w:r w:rsidRPr="00E341A0">
              <w:rPr>
                <w:rFonts w:eastAsia="SimSun"/>
                <w:lang w:eastAsia="zh-CN"/>
              </w:rPr>
              <w:t>T</w:t>
            </w:r>
            <w:r w:rsidRPr="00E341A0">
              <w:t>otal cost</w:t>
            </w:r>
          </w:p>
        </w:tc>
        <w:tc>
          <w:tcPr>
            <w:tcW w:w="834" w:type="pct"/>
          </w:tcPr>
          <w:p w14:paraId="4FC17ECF" w14:textId="7F49990B"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4" w:type="pct"/>
          </w:tcPr>
          <w:p w14:paraId="4D2AB838" w14:textId="097F04BB"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3" w:type="pct"/>
          </w:tcPr>
          <w:p w14:paraId="7AEA2132" w14:textId="3B37414E"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4" w:type="pct"/>
          </w:tcPr>
          <w:p w14:paraId="030867BD" w14:textId="306ED992"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2" w:type="pct"/>
          </w:tcPr>
          <w:p w14:paraId="748078C7" w14:textId="1B8A6B6D" w:rsidR="00156338" w:rsidRPr="007A45A3" w:rsidRDefault="00442FA4" w:rsidP="0079037D">
            <w:pPr>
              <w:pStyle w:val="Tabletext0"/>
              <w:jc w:val="right"/>
              <w:rPr>
                <w:strike/>
              </w:rPr>
            </w:pPr>
            <w:r w:rsidRPr="001671D2">
              <w:rPr>
                <w:color w:val="000000"/>
              </w:rPr>
              <w:t>$</w:t>
            </w:r>
            <w:r w:rsidRPr="00442FA4">
              <w:rPr>
                <w:b/>
                <w:color w:val="000000"/>
              </w:rPr>
              <w:t>redacted</w:t>
            </w:r>
          </w:p>
        </w:tc>
      </w:tr>
      <w:tr w:rsidR="00156338" w:rsidRPr="00E341A0" w14:paraId="2CC91636" w14:textId="77777777" w:rsidTr="00606234">
        <w:trPr>
          <w:trHeight w:val="315"/>
        </w:trPr>
        <w:tc>
          <w:tcPr>
            <w:tcW w:w="5000" w:type="pct"/>
            <w:gridSpan w:val="6"/>
          </w:tcPr>
          <w:p w14:paraId="2A5F8048" w14:textId="77777777" w:rsidR="00156338" w:rsidRPr="00E341A0" w:rsidRDefault="00156338" w:rsidP="0079037D">
            <w:pPr>
              <w:pStyle w:val="TableHeading"/>
              <w:rPr>
                <w:b w:val="0"/>
              </w:rPr>
            </w:pPr>
            <w:bookmarkStart w:id="46" w:name="_Toc523234077"/>
            <w:bookmarkStart w:id="47" w:name="_Toc523234572"/>
            <w:r w:rsidRPr="00E341A0">
              <w:rPr>
                <w:lang w:eastAsia="zh-CN"/>
              </w:rPr>
              <w:t>Net costs to the NPL</w:t>
            </w:r>
            <w:bookmarkStart w:id="48" w:name="_Toc523234078"/>
            <w:bookmarkStart w:id="49" w:name="_Toc523234573"/>
            <w:bookmarkEnd w:id="46"/>
            <w:bookmarkEnd w:id="47"/>
            <w:r w:rsidRPr="00E341A0">
              <w:rPr>
                <w:lang w:eastAsia="zh-CN"/>
              </w:rPr>
              <w:t xml:space="preserve">(Cost differences </w:t>
            </w:r>
            <w:r w:rsidRPr="00E341A0">
              <w:t>between the intervention and the comparator)</w:t>
            </w:r>
            <w:bookmarkEnd w:id="48"/>
            <w:bookmarkEnd w:id="49"/>
          </w:p>
        </w:tc>
      </w:tr>
      <w:tr w:rsidR="00156338" w:rsidRPr="00E341A0" w14:paraId="7BC78878" w14:textId="77777777" w:rsidTr="00606234">
        <w:trPr>
          <w:trHeight w:val="315"/>
        </w:trPr>
        <w:tc>
          <w:tcPr>
            <w:tcW w:w="833" w:type="pct"/>
          </w:tcPr>
          <w:p w14:paraId="3965D71B" w14:textId="77777777" w:rsidR="00156338" w:rsidRPr="00E341A0" w:rsidRDefault="00156338" w:rsidP="0079037D">
            <w:pPr>
              <w:pStyle w:val="Tabletext0"/>
              <w:rPr>
                <w:rFonts w:eastAsia="SimSun"/>
                <w:lang w:eastAsia="zh-CN"/>
              </w:rPr>
            </w:pPr>
            <w:r w:rsidRPr="00E341A0">
              <w:t>Net adult</w:t>
            </w:r>
          </w:p>
        </w:tc>
        <w:tc>
          <w:tcPr>
            <w:tcW w:w="834" w:type="pct"/>
          </w:tcPr>
          <w:p w14:paraId="12F9F736" w14:textId="1D439841" w:rsidR="00156338" w:rsidRPr="007A45A3" w:rsidRDefault="00442FA4" w:rsidP="0079037D">
            <w:pPr>
              <w:pStyle w:val="Tabletext0"/>
              <w:jc w:val="right"/>
              <w:rPr>
                <w:strike/>
              </w:rPr>
            </w:pPr>
            <w:r w:rsidRPr="001671D2">
              <w:rPr>
                <w:color w:val="000000"/>
              </w:rPr>
              <w:t>$</w:t>
            </w:r>
            <w:r w:rsidRPr="00442FA4">
              <w:rPr>
                <w:b/>
                <w:color w:val="000000"/>
              </w:rPr>
              <w:t>redacted</w:t>
            </w:r>
          </w:p>
        </w:tc>
        <w:tc>
          <w:tcPr>
            <w:tcW w:w="834" w:type="pct"/>
          </w:tcPr>
          <w:p w14:paraId="1A8D8246" w14:textId="603D3B5F" w:rsidR="00156338" w:rsidRPr="007A45A3" w:rsidRDefault="00E965BA" w:rsidP="0079037D">
            <w:pPr>
              <w:pStyle w:val="Tabletext0"/>
              <w:jc w:val="right"/>
              <w:rPr>
                <w:strike/>
              </w:rPr>
            </w:pPr>
            <w:r w:rsidRPr="001671D2">
              <w:rPr>
                <w:color w:val="000000"/>
              </w:rPr>
              <w:t>$</w:t>
            </w:r>
            <w:r w:rsidRPr="00442FA4">
              <w:rPr>
                <w:b/>
                <w:color w:val="000000"/>
              </w:rPr>
              <w:t>redacted</w:t>
            </w:r>
          </w:p>
        </w:tc>
        <w:tc>
          <w:tcPr>
            <w:tcW w:w="833" w:type="pct"/>
          </w:tcPr>
          <w:p w14:paraId="41CB7EFD" w14:textId="2831B93E" w:rsidR="00156338" w:rsidRPr="007A45A3" w:rsidRDefault="00E965BA" w:rsidP="0079037D">
            <w:pPr>
              <w:pStyle w:val="Tabletext0"/>
              <w:jc w:val="right"/>
              <w:rPr>
                <w:strike/>
              </w:rPr>
            </w:pPr>
            <w:r w:rsidRPr="001671D2">
              <w:rPr>
                <w:color w:val="000000"/>
              </w:rPr>
              <w:t>$</w:t>
            </w:r>
            <w:r w:rsidRPr="00442FA4">
              <w:rPr>
                <w:b/>
                <w:color w:val="000000"/>
              </w:rPr>
              <w:t>redacted</w:t>
            </w:r>
          </w:p>
        </w:tc>
        <w:tc>
          <w:tcPr>
            <w:tcW w:w="834" w:type="pct"/>
          </w:tcPr>
          <w:p w14:paraId="36D3754B" w14:textId="686CE583" w:rsidR="00156338" w:rsidRPr="007A45A3" w:rsidRDefault="00E965BA" w:rsidP="0079037D">
            <w:pPr>
              <w:pStyle w:val="Tabletext0"/>
              <w:jc w:val="right"/>
              <w:rPr>
                <w:strike/>
              </w:rPr>
            </w:pPr>
            <w:r w:rsidRPr="001671D2">
              <w:rPr>
                <w:color w:val="000000"/>
              </w:rPr>
              <w:t>$</w:t>
            </w:r>
            <w:r w:rsidRPr="00442FA4">
              <w:rPr>
                <w:b/>
                <w:color w:val="000000"/>
              </w:rPr>
              <w:t>redacted</w:t>
            </w:r>
          </w:p>
        </w:tc>
        <w:tc>
          <w:tcPr>
            <w:tcW w:w="832" w:type="pct"/>
          </w:tcPr>
          <w:p w14:paraId="69479FBA" w14:textId="4F8CD56B" w:rsidR="00156338" w:rsidRPr="007A45A3" w:rsidRDefault="00E965BA" w:rsidP="0079037D">
            <w:pPr>
              <w:pStyle w:val="Tabletext0"/>
              <w:jc w:val="right"/>
              <w:rPr>
                <w:strike/>
              </w:rPr>
            </w:pPr>
            <w:r w:rsidRPr="001671D2">
              <w:rPr>
                <w:color w:val="000000"/>
              </w:rPr>
              <w:t>$</w:t>
            </w:r>
            <w:r w:rsidRPr="00442FA4">
              <w:rPr>
                <w:b/>
                <w:color w:val="000000"/>
              </w:rPr>
              <w:t>redacted</w:t>
            </w:r>
          </w:p>
        </w:tc>
      </w:tr>
      <w:tr w:rsidR="00156338" w:rsidRPr="00E341A0" w14:paraId="1373CC8C" w14:textId="77777777" w:rsidTr="00606234">
        <w:trPr>
          <w:trHeight w:val="315"/>
        </w:trPr>
        <w:tc>
          <w:tcPr>
            <w:tcW w:w="833" w:type="pct"/>
          </w:tcPr>
          <w:p w14:paraId="30CB64FF" w14:textId="77777777" w:rsidR="00156338" w:rsidRPr="00E341A0" w:rsidRDefault="00156338" w:rsidP="0079037D">
            <w:pPr>
              <w:pStyle w:val="Tabletext0"/>
              <w:rPr>
                <w:rFonts w:eastAsia="SimSun"/>
                <w:lang w:eastAsia="zh-CN"/>
              </w:rPr>
            </w:pPr>
            <w:r w:rsidRPr="00E341A0">
              <w:t>Net paediatric</w:t>
            </w:r>
          </w:p>
        </w:tc>
        <w:tc>
          <w:tcPr>
            <w:tcW w:w="834" w:type="pct"/>
          </w:tcPr>
          <w:p w14:paraId="05EE58CA" w14:textId="475FB17F" w:rsidR="00156338" w:rsidRPr="007A45A3" w:rsidRDefault="00E965BA" w:rsidP="0079037D">
            <w:pPr>
              <w:pStyle w:val="Tabletext0"/>
              <w:jc w:val="right"/>
              <w:rPr>
                <w:strike/>
              </w:rPr>
            </w:pPr>
            <w:r w:rsidRPr="001671D2">
              <w:rPr>
                <w:color w:val="000000"/>
              </w:rPr>
              <w:t>$</w:t>
            </w:r>
            <w:r w:rsidRPr="00442FA4">
              <w:rPr>
                <w:b/>
                <w:color w:val="000000"/>
              </w:rPr>
              <w:t>redacted</w:t>
            </w:r>
          </w:p>
        </w:tc>
        <w:tc>
          <w:tcPr>
            <w:tcW w:w="834" w:type="pct"/>
          </w:tcPr>
          <w:p w14:paraId="23D1022B" w14:textId="4ACD6F19" w:rsidR="00156338" w:rsidRPr="007A45A3" w:rsidRDefault="00E965BA" w:rsidP="0079037D">
            <w:pPr>
              <w:pStyle w:val="Tabletext0"/>
              <w:jc w:val="right"/>
              <w:rPr>
                <w:strike/>
              </w:rPr>
            </w:pPr>
            <w:r w:rsidRPr="001671D2">
              <w:rPr>
                <w:color w:val="000000"/>
              </w:rPr>
              <w:t>$</w:t>
            </w:r>
            <w:r w:rsidRPr="00442FA4">
              <w:rPr>
                <w:b/>
                <w:color w:val="000000"/>
              </w:rPr>
              <w:t>redacted</w:t>
            </w:r>
          </w:p>
        </w:tc>
        <w:tc>
          <w:tcPr>
            <w:tcW w:w="833" w:type="pct"/>
          </w:tcPr>
          <w:p w14:paraId="244CFBB9" w14:textId="081CF03A" w:rsidR="00156338" w:rsidRPr="007A45A3" w:rsidRDefault="00E965BA" w:rsidP="0079037D">
            <w:pPr>
              <w:pStyle w:val="Tabletext0"/>
              <w:jc w:val="right"/>
              <w:rPr>
                <w:strike/>
              </w:rPr>
            </w:pPr>
            <w:r w:rsidRPr="001671D2">
              <w:rPr>
                <w:color w:val="000000"/>
              </w:rPr>
              <w:t>$</w:t>
            </w:r>
            <w:r w:rsidRPr="00442FA4">
              <w:rPr>
                <w:b/>
                <w:color w:val="000000"/>
              </w:rPr>
              <w:t>redacted</w:t>
            </w:r>
          </w:p>
        </w:tc>
        <w:tc>
          <w:tcPr>
            <w:tcW w:w="834" w:type="pct"/>
          </w:tcPr>
          <w:p w14:paraId="3861A25A" w14:textId="61B1CF04" w:rsidR="00156338" w:rsidRPr="007A45A3" w:rsidRDefault="00E965BA" w:rsidP="0079037D">
            <w:pPr>
              <w:pStyle w:val="Tabletext0"/>
              <w:jc w:val="right"/>
              <w:rPr>
                <w:strike/>
              </w:rPr>
            </w:pPr>
            <w:r w:rsidRPr="001671D2">
              <w:rPr>
                <w:color w:val="000000"/>
              </w:rPr>
              <w:t>$</w:t>
            </w:r>
            <w:r w:rsidRPr="00442FA4">
              <w:rPr>
                <w:b/>
                <w:color w:val="000000"/>
              </w:rPr>
              <w:t>redacted</w:t>
            </w:r>
          </w:p>
        </w:tc>
        <w:tc>
          <w:tcPr>
            <w:tcW w:w="832" w:type="pct"/>
          </w:tcPr>
          <w:p w14:paraId="149E2EBD" w14:textId="0C9FEC80" w:rsidR="00156338" w:rsidRPr="007A45A3" w:rsidRDefault="00E965BA" w:rsidP="0079037D">
            <w:pPr>
              <w:pStyle w:val="Tabletext0"/>
              <w:jc w:val="right"/>
              <w:rPr>
                <w:strike/>
              </w:rPr>
            </w:pPr>
            <w:r w:rsidRPr="001671D2">
              <w:rPr>
                <w:color w:val="000000"/>
              </w:rPr>
              <w:t>$</w:t>
            </w:r>
            <w:r w:rsidRPr="00442FA4">
              <w:rPr>
                <w:b/>
                <w:color w:val="000000"/>
              </w:rPr>
              <w:t>redacted</w:t>
            </w:r>
          </w:p>
        </w:tc>
      </w:tr>
      <w:tr w:rsidR="00156338" w:rsidRPr="00E341A0" w14:paraId="0FB2A7A5" w14:textId="77777777" w:rsidTr="00606234">
        <w:trPr>
          <w:trHeight w:val="315"/>
        </w:trPr>
        <w:tc>
          <w:tcPr>
            <w:tcW w:w="833" w:type="pct"/>
          </w:tcPr>
          <w:p w14:paraId="5C7AE010" w14:textId="77777777" w:rsidR="00156338" w:rsidRPr="00E341A0" w:rsidRDefault="00156338" w:rsidP="0079037D">
            <w:pPr>
              <w:pStyle w:val="Tabletext0"/>
              <w:rPr>
                <w:rFonts w:eastAsia="SimSun"/>
                <w:lang w:eastAsia="zh-CN"/>
              </w:rPr>
            </w:pPr>
            <w:r w:rsidRPr="00E341A0">
              <w:rPr>
                <w:rFonts w:eastAsia="SimSun"/>
                <w:lang w:eastAsia="zh-CN"/>
              </w:rPr>
              <w:t>Net costs</w:t>
            </w:r>
          </w:p>
        </w:tc>
        <w:tc>
          <w:tcPr>
            <w:tcW w:w="834" w:type="pct"/>
          </w:tcPr>
          <w:p w14:paraId="70F2B168" w14:textId="77777777" w:rsidR="00156338" w:rsidRPr="00E341A0" w:rsidRDefault="00156338" w:rsidP="0079037D">
            <w:pPr>
              <w:pStyle w:val="Tabletext0"/>
              <w:jc w:val="right"/>
            </w:pPr>
            <w:r w:rsidRPr="00E341A0">
              <w:t>–$591,313</w:t>
            </w:r>
          </w:p>
        </w:tc>
        <w:tc>
          <w:tcPr>
            <w:tcW w:w="834" w:type="pct"/>
          </w:tcPr>
          <w:p w14:paraId="298CDCB1" w14:textId="77777777" w:rsidR="00156338" w:rsidRPr="00E341A0" w:rsidRDefault="00156338" w:rsidP="0079037D">
            <w:pPr>
              <w:pStyle w:val="Tabletext0"/>
              <w:jc w:val="right"/>
            </w:pPr>
            <w:r w:rsidRPr="00E341A0">
              <w:t>–$1,898,310</w:t>
            </w:r>
          </w:p>
        </w:tc>
        <w:tc>
          <w:tcPr>
            <w:tcW w:w="833" w:type="pct"/>
          </w:tcPr>
          <w:p w14:paraId="1BFB3A29" w14:textId="77777777" w:rsidR="00156338" w:rsidRPr="00E341A0" w:rsidRDefault="00156338" w:rsidP="0079037D">
            <w:pPr>
              <w:pStyle w:val="Tabletext0"/>
              <w:jc w:val="right"/>
            </w:pPr>
            <w:r w:rsidRPr="00E341A0">
              <w:t>–$2,649,465</w:t>
            </w:r>
          </w:p>
        </w:tc>
        <w:tc>
          <w:tcPr>
            <w:tcW w:w="834" w:type="pct"/>
          </w:tcPr>
          <w:p w14:paraId="0FF2F1CB" w14:textId="77777777" w:rsidR="00156338" w:rsidRPr="00E341A0" w:rsidRDefault="00156338" w:rsidP="0079037D">
            <w:pPr>
              <w:pStyle w:val="Tabletext0"/>
              <w:jc w:val="right"/>
            </w:pPr>
            <w:r w:rsidRPr="00E341A0">
              <w:t>–$2,668,944</w:t>
            </w:r>
          </w:p>
        </w:tc>
        <w:tc>
          <w:tcPr>
            <w:tcW w:w="832" w:type="pct"/>
          </w:tcPr>
          <w:p w14:paraId="7632A361" w14:textId="77777777" w:rsidR="00156338" w:rsidRPr="00E341A0" w:rsidRDefault="00156338" w:rsidP="0079037D">
            <w:pPr>
              <w:pStyle w:val="Tabletext0"/>
              <w:jc w:val="right"/>
            </w:pPr>
            <w:r w:rsidRPr="00E341A0">
              <w:t>–$2,688,423</w:t>
            </w:r>
          </w:p>
        </w:tc>
      </w:tr>
    </w:tbl>
    <w:p w14:paraId="53D60B87" w14:textId="57630315" w:rsidR="00156338" w:rsidRPr="00E341A0" w:rsidRDefault="00156338" w:rsidP="00156338">
      <w:pPr>
        <w:pStyle w:val="Tablenotes0"/>
      </w:pPr>
      <w:r w:rsidRPr="00156338">
        <w:rPr>
          <w:b/>
        </w:rPr>
        <w:t>Note</w:t>
      </w:r>
      <w:r w:rsidRPr="00156338">
        <w:rPr>
          <w:lang w:eastAsia="zh-CN"/>
        </w:rPr>
        <w:t xml:space="preserve">: </w:t>
      </w:r>
      <w:r>
        <w:rPr>
          <w:rFonts w:hint="eastAsia"/>
          <w:lang w:eastAsia="zh-CN"/>
        </w:rPr>
        <w:t xml:space="preserve">adult patients referred by </w:t>
      </w:r>
      <w:r>
        <w:rPr>
          <w:lang w:eastAsia="zh-CN"/>
        </w:rPr>
        <w:t>the</w:t>
      </w:r>
      <w:r>
        <w:rPr>
          <w:rFonts w:hint="eastAsia"/>
          <w:lang w:eastAsia="zh-CN"/>
        </w:rPr>
        <w:t xml:space="preserve"> </w:t>
      </w:r>
      <w:r w:rsidR="00C3575C">
        <w:rPr>
          <w:lang w:eastAsia="zh-CN"/>
        </w:rPr>
        <w:t>application</w:t>
      </w:r>
      <w:r>
        <w:rPr>
          <w:rFonts w:hint="eastAsia"/>
          <w:lang w:eastAsia="zh-CN"/>
        </w:rPr>
        <w:t xml:space="preserve"> were the patient cohort age </w:t>
      </w:r>
      <w:r>
        <w:rPr>
          <w:lang w:eastAsia="zh-CN"/>
        </w:rPr>
        <w:t>&gt;</w:t>
      </w:r>
      <w:r>
        <w:rPr>
          <w:rFonts w:hint="eastAsia"/>
          <w:lang w:eastAsia="zh-CN"/>
        </w:rPr>
        <w:t xml:space="preserve">12 years old. Paediatric patients were </w:t>
      </w:r>
      <w:r>
        <w:rPr>
          <w:lang w:eastAsia="zh-CN"/>
        </w:rPr>
        <w:t>&lt;</w:t>
      </w:r>
      <w:r w:rsidR="00B66EB5">
        <w:rPr>
          <w:rFonts w:hint="eastAsia"/>
          <w:lang w:eastAsia="zh-CN"/>
        </w:rPr>
        <w:t xml:space="preserve"> 12 years old.</w:t>
      </w:r>
    </w:p>
    <w:p w14:paraId="707A92B0" w14:textId="77777777" w:rsidR="006A0D97" w:rsidRPr="00F715D1" w:rsidRDefault="006A0D97" w:rsidP="00F715D1">
      <w:pPr>
        <w:pStyle w:val="Heading1"/>
      </w:pPr>
      <w:r w:rsidRPr="00F715D1">
        <w:lastRenderedPageBreak/>
        <w:t>Key issues from ESC for MSAC</w:t>
      </w:r>
    </w:p>
    <w:tbl>
      <w:tblPr>
        <w:tblStyle w:val="TableGrid"/>
        <w:tblW w:w="0" w:type="auto"/>
        <w:tblLook w:val="04A0" w:firstRow="1" w:lastRow="0" w:firstColumn="1" w:lastColumn="0" w:noHBand="0" w:noVBand="1"/>
        <w:tblCaption w:val="Key issues from ESC to MSAC"/>
      </w:tblPr>
      <w:tblGrid>
        <w:gridCol w:w="3709"/>
        <w:gridCol w:w="5307"/>
      </w:tblGrid>
      <w:tr w:rsidR="003333EC" w:rsidRPr="00093DF4" w14:paraId="11384022" w14:textId="77777777" w:rsidTr="005756E1">
        <w:trPr>
          <w:tblHeader/>
        </w:trPr>
        <w:tc>
          <w:tcPr>
            <w:tcW w:w="3794" w:type="dxa"/>
          </w:tcPr>
          <w:p w14:paraId="0CC09797" w14:textId="77777777" w:rsidR="003333EC" w:rsidRPr="00093DF4" w:rsidRDefault="003333EC" w:rsidP="00086B3C">
            <w:pPr>
              <w:pStyle w:val="TableHeading"/>
              <w:rPr>
                <w:rFonts w:ascii="Times New Roman" w:hAnsi="Times New Roman" w:cs="Times New Roman"/>
                <w:sz w:val="24"/>
                <w:szCs w:val="24"/>
              </w:rPr>
            </w:pPr>
            <w:r w:rsidRPr="00093DF4">
              <w:rPr>
                <w:rFonts w:ascii="Times New Roman" w:hAnsi="Times New Roman" w:cs="Times New Roman"/>
                <w:sz w:val="24"/>
                <w:szCs w:val="24"/>
              </w:rPr>
              <w:t>ESC key issue</w:t>
            </w:r>
          </w:p>
        </w:tc>
        <w:tc>
          <w:tcPr>
            <w:tcW w:w="5448" w:type="dxa"/>
          </w:tcPr>
          <w:p w14:paraId="53843028" w14:textId="77777777" w:rsidR="003333EC" w:rsidRPr="00093DF4" w:rsidRDefault="003333EC" w:rsidP="00086B3C">
            <w:pPr>
              <w:pStyle w:val="TableHeading"/>
              <w:rPr>
                <w:rFonts w:ascii="Times New Roman" w:hAnsi="Times New Roman" w:cs="Times New Roman"/>
                <w:sz w:val="24"/>
                <w:szCs w:val="24"/>
              </w:rPr>
            </w:pPr>
            <w:r w:rsidRPr="00093DF4">
              <w:rPr>
                <w:rFonts w:ascii="Times New Roman" w:hAnsi="Times New Roman" w:cs="Times New Roman"/>
                <w:sz w:val="24"/>
                <w:szCs w:val="24"/>
              </w:rPr>
              <w:t>ESC advice to MSAC</w:t>
            </w:r>
          </w:p>
        </w:tc>
      </w:tr>
      <w:tr w:rsidR="003333EC" w:rsidRPr="00093DF4" w14:paraId="54536726" w14:textId="77777777" w:rsidTr="005756E1">
        <w:tc>
          <w:tcPr>
            <w:tcW w:w="3794" w:type="dxa"/>
          </w:tcPr>
          <w:p w14:paraId="36010469" w14:textId="67D5EC1B" w:rsidR="003333EC" w:rsidRPr="00093DF4" w:rsidRDefault="003333EC" w:rsidP="007C5EDB">
            <w:pPr>
              <w:pStyle w:val="TableText"/>
              <w:rPr>
                <w:rFonts w:ascii="Times New Roman" w:hAnsi="Times New Roman" w:cs="Times New Roman"/>
                <w:sz w:val="24"/>
                <w:szCs w:val="24"/>
              </w:rPr>
            </w:pPr>
            <w:r w:rsidRPr="00093DF4">
              <w:rPr>
                <w:rFonts w:ascii="Times New Roman" w:hAnsi="Times New Roman" w:cs="Times New Roman"/>
                <w:sz w:val="24"/>
                <w:szCs w:val="24"/>
              </w:rPr>
              <w:t>Findings from direct evidence and indirect evidence of effectiveness, and uncertainty surrounding the safety profile of emicizumab</w:t>
            </w:r>
          </w:p>
        </w:tc>
        <w:tc>
          <w:tcPr>
            <w:tcW w:w="5448" w:type="dxa"/>
          </w:tcPr>
          <w:p w14:paraId="6013027D" w14:textId="6A0A176F" w:rsidR="003333EC" w:rsidRPr="00093DF4" w:rsidRDefault="003333EC" w:rsidP="00F57FDB">
            <w:pPr>
              <w:pStyle w:val="TableText"/>
              <w:rPr>
                <w:rFonts w:ascii="Times New Roman" w:hAnsi="Times New Roman" w:cs="Times New Roman"/>
                <w:sz w:val="24"/>
                <w:szCs w:val="24"/>
              </w:rPr>
            </w:pPr>
            <w:r w:rsidRPr="00093DF4">
              <w:rPr>
                <w:rFonts w:ascii="Times New Roman" w:hAnsi="Times New Roman" w:cs="Times New Roman"/>
                <w:sz w:val="24"/>
                <w:szCs w:val="24"/>
              </w:rPr>
              <w:t>Emicizumab is superior in effectiveness and appears to be non</w:t>
            </w:r>
            <w:r w:rsidR="001F6361">
              <w:rPr>
                <w:rFonts w:ascii="Times New Roman" w:hAnsi="Times New Roman" w:cs="Times New Roman"/>
                <w:sz w:val="24"/>
                <w:szCs w:val="24"/>
              </w:rPr>
              <w:t>-</w:t>
            </w:r>
            <w:r w:rsidRPr="00093DF4">
              <w:rPr>
                <w:rFonts w:ascii="Times New Roman" w:hAnsi="Times New Roman" w:cs="Times New Roman"/>
                <w:sz w:val="24"/>
                <w:szCs w:val="24"/>
              </w:rPr>
              <w:t>inferior in safety relative to bypass agents, although the duration of follow-up in clinical trials is only 24 weeks and there is a possibility of adverse events (such as the development of antibodies to emicizumab) emerging beyond this period.</w:t>
            </w:r>
          </w:p>
        </w:tc>
      </w:tr>
      <w:tr w:rsidR="003333EC" w:rsidRPr="00093DF4" w14:paraId="719CB28E" w14:textId="77777777" w:rsidTr="005756E1">
        <w:tc>
          <w:tcPr>
            <w:tcW w:w="3794" w:type="dxa"/>
          </w:tcPr>
          <w:p w14:paraId="1EA912AB" w14:textId="14CFBC1A" w:rsidR="003333EC" w:rsidRPr="00093DF4" w:rsidRDefault="003333EC" w:rsidP="007C5EDB">
            <w:pPr>
              <w:pStyle w:val="TableText"/>
              <w:rPr>
                <w:rFonts w:ascii="Times New Roman" w:hAnsi="Times New Roman" w:cs="Times New Roman"/>
                <w:sz w:val="24"/>
                <w:szCs w:val="24"/>
              </w:rPr>
            </w:pPr>
            <w:r w:rsidRPr="00093DF4">
              <w:rPr>
                <w:rFonts w:ascii="Times New Roman" w:hAnsi="Times New Roman" w:cs="Times New Roman"/>
                <w:sz w:val="24"/>
                <w:szCs w:val="24"/>
              </w:rPr>
              <w:t>Lack of exact alignment between the proposed eligible population in the PASC-approved PICO and the available RCT evidence</w:t>
            </w:r>
          </w:p>
        </w:tc>
        <w:tc>
          <w:tcPr>
            <w:tcW w:w="5448" w:type="dxa"/>
          </w:tcPr>
          <w:p w14:paraId="573DF93F" w14:textId="43F5C986" w:rsidR="003333EC" w:rsidRPr="00093DF4" w:rsidRDefault="003333EC" w:rsidP="00086B3C">
            <w:pPr>
              <w:pStyle w:val="TableText"/>
              <w:rPr>
                <w:rFonts w:ascii="Times New Roman" w:hAnsi="Times New Roman" w:cs="Times New Roman"/>
                <w:sz w:val="24"/>
                <w:szCs w:val="24"/>
              </w:rPr>
            </w:pPr>
            <w:r w:rsidRPr="00093DF4">
              <w:rPr>
                <w:rFonts w:ascii="Times New Roman" w:hAnsi="Times New Roman" w:cs="Times New Roman"/>
                <w:sz w:val="24"/>
                <w:szCs w:val="24"/>
              </w:rPr>
              <w:t xml:space="preserve">Suggest using an alternative description of the population that is consistent with the intention of the application and consistent with the TGA-approved indication, but which specifies neither severity of haemophilia A nor inhibitor titre: </w:t>
            </w:r>
          </w:p>
          <w:p w14:paraId="7F8FB887" w14:textId="2FD1ECE7" w:rsidR="003333EC" w:rsidRPr="00093DF4" w:rsidRDefault="003333EC" w:rsidP="00086B3C">
            <w:pPr>
              <w:pStyle w:val="TableText"/>
              <w:rPr>
                <w:rFonts w:ascii="Times New Roman" w:hAnsi="Times New Roman" w:cs="Times New Roman"/>
                <w:sz w:val="24"/>
                <w:szCs w:val="24"/>
              </w:rPr>
            </w:pPr>
            <w:r w:rsidRPr="00093DF4">
              <w:rPr>
                <w:rFonts w:ascii="Times New Roman" w:hAnsi="Times New Roman" w:cs="Times New Roman"/>
                <w:sz w:val="24"/>
                <w:szCs w:val="24"/>
              </w:rPr>
              <w:t xml:space="preserve">‘Patients with </w:t>
            </w:r>
            <w:r w:rsidR="005E1F81">
              <w:rPr>
                <w:rFonts w:ascii="Times New Roman" w:hAnsi="Times New Roman" w:cs="Times New Roman"/>
                <w:sz w:val="24"/>
                <w:szCs w:val="24"/>
              </w:rPr>
              <w:t>haemophilia </w:t>
            </w:r>
            <w:r w:rsidRPr="00093DF4">
              <w:rPr>
                <w:rFonts w:ascii="Times New Roman" w:hAnsi="Times New Roman" w:cs="Times New Roman"/>
                <w:sz w:val="24"/>
                <w:szCs w:val="24"/>
              </w:rPr>
              <w:t xml:space="preserve">A with </w:t>
            </w:r>
            <w:r w:rsidR="005E1F81">
              <w:rPr>
                <w:rFonts w:ascii="Times New Roman" w:hAnsi="Times New Roman" w:cs="Times New Roman"/>
                <w:sz w:val="24"/>
                <w:szCs w:val="24"/>
              </w:rPr>
              <w:t>factor </w:t>
            </w:r>
            <w:r w:rsidRPr="00093DF4">
              <w:rPr>
                <w:rFonts w:ascii="Times New Roman" w:hAnsi="Times New Roman" w:cs="Times New Roman"/>
                <w:sz w:val="24"/>
                <w:szCs w:val="24"/>
              </w:rPr>
              <w:t xml:space="preserve">VIII inhibitors considered (by the AHCDO </w:t>
            </w:r>
            <w:proofErr w:type="spellStart"/>
            <w:r w:rsidRPr="00093DF4">
              <w:rPr>
                <w:rFonts w:ascii="Times New Roman" w:hAnsi="Times New Roman" w:cs="Times New Roman"/>
                <w:sz w:val="24"/>
                <w:szCs w:val="24"/>
              </w:rPr>
              <w:t>Tolerisation</w:t>
            </w:r>
            <w:proofErr w:type="spellEnd"/>
            <w:r w:rsidRPr="00093DF4">
              <w:rPr>
                <w:rFonts w:ascii="Times New Roman" w:hAnsi="Times New Roman" w:cs="Times New Roman"/>
                <w:sz w:val="24"/>
                <w:szCs w:val="24"/>
              </w:rPr>
              <w:t xml:space="preserve"> Committee) to be eligible for routine prophylaxis’.</w:t>
            </w:r>
          </w:p>
          <w:p w14:paraId="47A720A8" w14:textId="77777777" w:rsidR="003333EC" w:rsidRPr="00093DF4" w:rsidRDefault="003333EC" w:rsidP="00086B3C">
            <w:pPr>
              <w:pStyle w:val="TableText"/>
              <w:rPr>
                <w:rFonts w:ascii="Times New Roman" w:hAnsi="Times New Roman" w:cs="Times New Roman"/>
                <w:sz w:val="24"/>
                <w:szCs w:val="24"/>
              </w:rPr>
            </w:pPr>
            <w:r w:rsidRPr="00093DF4">
              <w:rPr>
                <w:rFonts w:ascii="Times New Roman" w:hAnsi="Times New Roman" w:cs="Times New Roman"/>
                <w:sz w:val="24"/>
                <w:szCs w:val="24"/>
              </w:rPr>
              <w:t>However, this description would limit use to patients who currently have inhibitors, and would exclude patients with a history of inhibitors that has resolved, and this would be contrary to the intention of PASC.</w:t>
            </w:r>
          </w:p>
        </w:tc>
      </w:tr>
      <w:tr w:rsidR="003333EC" w:rsidRPr="00093DF4" w14:paraId="70EE5553" w14:textId="77777777" w:rsidTr="005756E1">
        <w:tc>
          <w:tcPr>
            <w:tcW w:w="3794" w:type="dxa"/>
          </w:tcPr>
          <w:p w14:paraId="237AF683" w14:textId="006FE154" w:rsidR="003333EC" w:rsidRPr="00093DF4" w:rsidRDefault="003333EC" w:rsidP="007C5EDB">
            <w:pPr>
              <w:pStyle w:val="TableText"/>
              <w:rPr>
                <w:rFonts w:ascii="Times New Roman" w:hAnsi="Times New Roman" w:cs="Times New Roman"/>
                <w:sz w:val="24"/>
                <w:szCs w:val="24"/>
              </w:rPr>
            </w:pPr>
            <w:r w:rsidRPr="00093DF4">
              <w:rPr>
                <w:rFonts w:ascii="Times New Roman" w:hAnsi="Times New Roman" w:cs="Times New Roman"/>
                <w:sz w:val="24"/>
                <w:szCs w:val="24"/>
              </w:rPr>
              <w:t>Uncertainty regarding data from patients aged 12 years and younger</w:t>
            </w:r>
          </w:p>
        </w:tc>
        <w:tc>
          <w:tcPr>
            <w:tcW w:w="5448" w:type="dxa"/>
          </w:tcPr>
          <w:p w14:paraId="3F4FBC0F" w14:textId="77777777" w:rsidR="003333EC" w:rsidRPr="00093DF4" w:rsidRDefault="003333EC" w:rsidP="00086B3C">
            <w:pPr>
              <w:pStyle w:val="TableText"/>
              <w:rPr>
                <w:rFonts w:ascii="Times New Roman" w:hAnsi="Times New Roman" w:cs="Times New Roman"/>
                <w:sz w:val="24"/>
                <w:szCs w:val="24"/>
              </w:rPr>
            </w:pPr>
            <w:r w:rsidRPr="00093DF4">
              <w:rPr>
                <w:rFonts w:ascii="Times New Roman" w:hAnsi="Times New Roman" w:cs="Times New Roman"/>
                <w:sz w:val="24"/>
                <w:szCs w:val="24"/>
              </w:rPr>
              <w:t xml:space="preserve">Subcutaneous injection of emicizumab provides clear advantages in children as it would avoid the need to insert a central venous access device, and uncertainty regarding the safety of emicizumab </w:t>
            </w:r>
            <w:proofErr w:type="gramStart"/>
            <w:r w:rsidRPr="00093DF4">
              <w:rPr>
                <w:rFonts w:ascii="Times New Roman" w:hAnsi="Times New Roman" w:cs="Times New Roman"/>
                <w:sz w:val="24"/>
                <w:szCs w:val="24"/>
              </w:rPr>
              <w:t>can be addressed</w:t>
            </w:r>
            <w:proofErr w:type="gramEnd"/>
            <w:r w:rsidRPr="00093DF4">
              <w:rPr>
                <w:rFonts w:ascii="Times New Roman" w:hAnsi="Times New Roman" w:cs="Times New Roman"/>
                <w:sz w:val="24"/>
                <w:szCs w:val="24"/>
              </w:rPr>
              <w:t xml:space="preserve"> by established haemophilia treatment centre arrangements and the Risk Management Plan proposed by the applicant.</w:t>
            </w:r>
          </w:p>
        </w:tc>
      </w:tr>
      <w:tr w:rsidR="00420DEE" w:rsidRPr="00093DF4" w14:paraId="7F792ABA" w14:textId="77777777" w:rsidTr="005756E1">
        <w:tc>
          <w:tcPr>
            <w:tcW w:w="3794" w:type="dxa"/>
          </w:tcPr>
          <w:p w14:paraId="024C551B" w14:textId="5F24099D" w:rsidR="00420DEE" w:rsidRPr="00093DF4" w:rsidRDefault="00420DEE" w:rsidP="007C5EDB">
            <w:pPr>
              <w:pStyle w:val="TableText"/>
              <w:rPr>
                <w:rFonts w:ascii="Times New Roman" w:hAnsi="Times New Roman" w:cs="Times New Roman"/>
                <w:sz w:val="24"/>
                <w:szCs w:val="24"/>
              </w:rPr>
            </w:pPr>
            <w:r w:rsidRPr="00093DF4">
              <w:rPr>
                <w:rFonts w:ascii="Times New Roman" w:hAnsi="Times New Roman" w:cs="Times New Roman"/>
                <w:sz w:val="24"/>
                <w:szCs w:val="24"/>
              </w:rPr>
              <w:t>Simplistic model</w:t>
            </w:r>
          </w:p>
        </w:tc>
        <w:tc>
          <w:tcPr>
            <w:tcW w:w="5448" w:type="dxa"/>
          </w:tcPr>
          <w:p w14:paraId="45699B57" w14:textId="77777777" w:rsidR="00420DEE" w:rsidRPr="00093DF4" w:rsidRDefault="00420DEE" w:rsidP="00086B3C">
            <w:pPr>
              <w:pStyle w:val="TableText"/>
              <w:rPr>
                <w:rFonts w:ascii="Times New Roman" w:hAnsi="Times New Roman" w:cs="Times New Roman"/>
                <w:sz w:val="24"/>
                <w:szCs w:val="24"/>
              </w:rPr>
            </w:pPr>
            <w:r w:rsidRPr="00093DF4">
              <w:rPr>
                <w:rFonts w:ascii="Times New Roman" w:hAnsi="Times New Roman" w:cs="Times New Roman"/>
                <w:sz w:val="24"/>
                <w:szCs w:val="24"/>
              </w:rPr>
              <w:t>The critique expressed uncertainty about the appropriateness of the simplistic model, but the rejoinder seems to allay these concerns.</w:t>
            </w:r>
          </w:p>
        </w:tc>
      </w:tr>
      <w:tr w:rsidR="00420DEE" w:rsidRPr="00093DF4" w14:paraId="59ACBF1E" w14:textId="77777777" w:rsidTr="005756E1">
        <w:tc>
          <w:tcPr>
            <w:tcW w:w="3794" w:type="dxa"/>
          </w:tcPr>
          <w:p w14:paraId="66691568" w14:textId="0491AB6D" w:rsidR="00420DEE" w:rsidRPr="00093DF4" w:rsidRDefault="00420DEE" w:rsidP="007C5EDB">
            <w:pPr>
              <w:pStyle w:val="TableText"/>
              <w:rPr>
                <w:rFonts w:ascii="Times New Roman" w:hAnsi="Times New Roman" w:cs="Times New Roman"/>
                <w:sz w:val="24"/>
                <w:szCs w:val="24"/>
              </w:rPr>
            </w:pPr>
            <w:r w:rsidRPr="00093DF4">
              <w:rPr>
                <w:rFonts w:ascii="Times New Roman" w:hAnsi="Times New Roman" w:cs="Times New Roman"/>
                <w:sz w:val="24"/>
                <w:szCs w:val="24"/>
              </w:rPr>
              <w:t>Sensitivity of ICERs to inputs</w:t>
            </w:r>
          </w:p>
        </w:tc>
        <w:tc>
          <w:tcPr>
            <w:tcW w:w="5448" w:type="dxa"/>
          </w:tcPr>
          <w:p w14:paraId="68673017" w14:textId="1A7D38AE" w:rsidR="00420DEE" w:rsidRPr="00093DF4" w:rsidRDefault="00420DEE" w:rsidP="00C3575C">
            <w:pPr>
              <w:pStyle w:val="TableText"/>
              <w:rPr>
                <w:rFonts w:ascii="Times New Roman" w:hAnsi="Times New Roman" w:cs="Times New Roman"/>
                <w:sz w:val="24"/>
                <w:szCs w:val="24"/>
              </w:rPr>
            </w:pPr>
            <w:r w:rsidRPr="00093DF4">
              <w:rPr>
                <w:rFonts w:ascii="Times New Roman" w:hAnsi="Times New Roman" w:cs="Times New Roman"/>
                <w:sz w:val="24"/>
                <w:szCs w:val="24"/>
              </w:rPr>
              <w:t xml:space="preserve">Uncertainties around annualised bleeding rates, days hospitalised, mortality ratios and utility values </w:t>
            </w:r>
            <w:proofErr w:type="gramStart"/>
            <w:r w:rsidRPr="00093DF4">
              <w:rPr>
                <w:rFonts w:ascii="Times New Roman" w:hAnsi="Times New Roman" w:cs="Times New Roman"/>
                <w:sz w:val="24"/>
                <w:szCs w:val="24"/>
              </w:rPr>
              <w:t>were largely dealt with</w:t>
            </w:r>
            <w:proofErr w:type="gramEnd"/>
            <w:r w:rsidRPr="00093DF4">
              <w:rPr>
                <w:rFonts w:ascii="Times New Roman" w:hAnsi="Times New Roman" w:cs="Times New Roman"/>
                <w:sz w:val="24"/>
                <w:szCs w:val="24"/>
              </w:rPr>
              <w:t xml:space="preserve"> in the </w:t>
            </w:r>
            <w:r w:rsidR="00C3575C">
              <w:rPr>
                <w:rFonts w:ascii="Times New Roman" w:hAnsi="Times New Roman" w:cs="Times New Roman"/>
                <w:sz w:val="24"/>
                <w:szCs w:val="24"/>
              </w:rPr>
              <w:t>application</w:t>
            </w:r>
            <w:r w:rsidRPr="00093DF4">
              <w:rPr>
                <w:rFonts w:ascii="Times New Roman" w:hAnsi="Times New Roman" w:cs="Times New Roman"/>
                <w:sz w:val="24"/>
                <w:szCs w:val="24"/>
              </w:rPr>
              <w:t xml:space="preserve"> and rejoinder.</w:t>
            </w:r>
          </w:p>
        </w:tc>
      </w:tr>
    </w:tbl>
    <w:p w14:paraId="27D2E0FC" w14:textId="53C99D04" w:rsidR="00196E87" w:rsidRPr="0084378F" w:rsidRDefault="00196E87" w:rsidP="0084378F">
      <w:pPr>
        <w:pStyle w:val="Heading2"/>
        <w:keepLines w:val="0"/>
        <w:spacing w:after="240"/>
        <w:rPr>
          <w:rFonts w:ascii="Times New Roman" w:hAnsi="Times New Roman" w:cs="Times New Roman"/>
          <w:color w:val="auto"/>
          <w:sz w:val="24"/>
          <w:szCs w:val="24"/>
          <w:u w:val="single"/>
        </w:rPr>
      </w:pPr>
      <w:r w:rsidRPr="00800126">
        <w:rPr>
          <w:rFonts w:ascii="Times New Roman" w:hAnsi="Times New Roman" w:cs="Times New Roman"/>
          <w:color w:val="auto"/>
          <w:sz w:val="24"/>
          <w:szCs w:val="24"/>
          <w:u w:val="single"/>
        </w:rPr>
        <w:t xml:space="preserve">ESC </w:t>
      </w:r>
      <w:r>
        <w:rPr>
          <w:rFonts w:ascii="Times New Roman" w:hAnsi="Times New Roman" w:cs="Times New Roman"/>
          <w:color w:val="auto"/>
          <w:sz w:val="24"/>
          <w:szCs w:val="24"/>
          <w:u w:val="single"/>
        </w:rPr>
        <w:t>d</w:t>
      </w:r>
      <w:r w:rsidRPr="00800126">
        <w:rPr>
          <w:rFonts w:ascii="Times New Roman" w:hAnsi="Times New Roman" w:cs="Times New Roman"/>
          <w:color w:val="auto"/>
          <w:sz w:val="24"/>
          <w:szCs w:val="24"/>
          <w:u w:val="single"/>
        </w:rPr>
        <w:t>iscussion</w:t>
      </w:r>
    </w:p>
    <w:p w14:paraId="130698EB" w14:textId="364A9845" w:rsidR="00196E87" w:rsidRPr="004866BD" w:rsidRDefault="00196E87" w:rsidP="0084378F">
      <w:pPr>
        <w:keepNext/>
        <w:spacing w:after="240"/>
      </w:pPr>
      <w:r w:rsidRPr="004866BD">
        <w:t>ESC noted that emicizumab is a prescription medicine and a blood-related product that has orphan drug status assigned by the Therapeutic Goods Administration</w:t>
      </w:r>
      <w:r>
        <w:t xml:space="preserve"> (TGA)</w:t>
      </w:r>
      <w:r w:rsidRPr="004866BD">
        <w:t xml:space="preserve">. The application is therefore seeking public funding </w:t>
      </w:r>
      <w:r>
        <w:t>through</w:t>
      </w:r>
      <w:r w:rsidRPr="004866BD">
        <w:t xml:space="preserve"> listing on the National Blood Authority’s </w:t>
      </w:r>
      <w:r w:rsidR="0020198F">
        <w:t xml:space="preserve">NPL </w:t>
      </w:r>
      <w:r w:rsidRPr="004866BD">
        <w:t>using the MSAC process, and no MBS item is required.</w:t>
      </w:r>
    </w:p>
    <w:p w14:paraId="7F251D99" w14:textId="77777777" w:rsidR="00196E87" w:rsidRPr="004866BD" w:rsidRDefault="00196E87" w:rsidP="00196E87">
      <w:r w:rsidRPr="004866BD">
        <w:t>ESC noted that the current application is for management of haemophilia</w:t>
      </w:r>
      <w:r>
        <w:t> </w:t>
      </w:r>
      <w:proofErr w:type="gramStart"/>
      <w:r w:rsidRPr="004866BD">
        <w:t>A</w:t>
      </w:r>
      <w:proofErr w:type="gramEnd"/>
      <w:r w:rsidRPr="004866BD">
        <w:t xml:space="preserve"> in patients who have </w:t>
      </w:r>
      <w:r>
        <w:t>factor VIII</w:t>
      </w:r>
      <w:r w:rsidRPr="004866BD">
        <w:t xml:space="preserve"> inhibitors, but a future application is anticipated for patients with haemophilia</w:t>
      </w:r>
      <w:r>
        <w:t> </w:t>
      </w:r>
      <w:r w:rsidRPr="004866BD">
        <w:t xml:space="preserve">A </w:t>
      </w:r>
      <w:r>
        <w:t xml:space="preserve">and </w:t>
      </w:r>
      <w:r w:rsidRPr="004866BD">
        <w:t xml:space="preserve">no </w:t>
      </w:r>
      <w:r>
        <w:t xml:space="preserve">factor VIII </w:t>
      </w:r>
      <w:r w:rsidRPr="004866BD">
        <w:t>inhibitors.</w:t>
      </w:r>
    </w:p>
    <w:p w14:paraId="531D83A5" w14:textId="2D528EB0" w:rsidR="00196E87" w:rsidRDefault="00196E87" w:rsidP="0084378F">
      <w:pPr>
        <w:spacing w:before="240" w:after="240"/>
      </w:pPr>
      <w:r w:rsidRPr="004866BD">
        <w:t xml:space="preserve">ESC noted that emicizumab is a recombinant, humanised, bispecific monoclonal antibody that mimics the function of </w:t>
      </w:r>
      <w:r>
        <w:t>factor VIII</w:t>
      </w:r>
      <w:r w:rsidRPr="004866BD">
        <w:t xml:space="preserve">. </w:t>
      </w:r>
      <w:proofErr w:type="gramStart"/>
      <w:r w:rsidRPr="004866BD">
        <w:t xml:space="preserve">It is administered at home by the patient or carer as a </w:t>
      </w:r>
      <w:r w:rsidRPr="004866BD">
        <w:lastRenderedPageBreak/>
        <w:t>once-weekly subcutaneous injection</w:t>
      </w:r>
      <w:proofErr w:type="gramEnd"/>
      <w:r>
        <w:t>, once the person has been sufficiently trained and assessed as capable to self-administer</w:t>
      </w:r>
      <w:r w:rsidRPr="004866BD">
        <w:t xml:space="preserve">. Emicizumab </w:t>
      </w:r>
      <w:proofErr w:type="gramStart"/>
      <w:r w:rsidRPr="004866BD">
        <w:t>is used</w:t>
      </w:r>
      <w:proofErr w:type="gramEnd"/>
      <w:r w:rsidRPr="004866BD">
        <w:t xml:space="preserve"> for routine prophylaxis and is not intended or indicated for on-demand treatment.</w:t>
      </w:r>
    </w:p>
    <w:p w14:paraId="54DC4873" w14:textId="10B4C922" w:rsidR="00196E87" w:rsidRDefault="00196E87" w:rsidP="0084378F">
      <w:pPr>
        <w:spacing w:after="240"/>
      </w:pPr>
      <w:r w:rsidRPr="004866BD">
        <w:t>ESC noted that Australia has a well-established system for managing haemophilia patients. This includes national clinical practice guidelines, organisations such as the National Blood Authority and the Australian Haemophilia Centre Directors’ Organisation</w:t>
      </w:r>
      <w:r>
        <w:t xml:space="preserve"> (AHCDO)</w:t>
      </w:r>
      <w:r w:rsidRPr="004866BD">
        <w:t xml:space="preserve">, and data collection through the Australian Bleeding Disorders Registry. The majority of patients </w:t>
      </w:r>
      <w:proofErr w:type="gramStart"/>
      <w:r w:rsidRPr="004866BD">
        <w:t>are managed</w:t>
      </w:r>
      <w:proofErr w:type="gramEnd"/>
      <w:r w:rsidRPr="004866BD">
        <w:t xml:space="preserve"> through 18</w:t>
      </w:r>
      <w:r>
        <w:t> </w:t>
      </w:r>
      <w:r w:rsidRPr="004866BD">
        <w:t>haem</w:t>
      </w:r>
      <w:r>
        <w:t>ophilia</w:t>
      </w:r>
      <w:r w:rsidRPr="004866BD">
        <w:t xml:space="preserve"> treatment centres.</w:t>
      </w:r>
    </w:p>
    <w:p w14:paraId="64F3B796" w14:textId="29323F36" w:rsidR="00196E87" w:rsidRDefault="00196E87" w:rsidP="0084378F">
      <w:pPr>
        <w:spacing w:after="240"/>
      </w:pPr>
      <w:r w:rsidRPr="004866BD">
        <w:t xml:space="preserve">ESC noted that the combined prevalence of </w:t>
      </w:r>
      <w:r>
        <w:t>haemophilia A</w:t>
      </w:r>
      <w:r w:rsidRPr="004866BD">
        <w:t xml:space="preserve"> and B in Australia is 13 per 100,000. In 2016, the total number of </w:t>
      </w:r>
      <w:r>
        <w:t>haemophilia </w:t>
      </w:r>
      <w:proofErr w:type="gramStart"/>
      <w:r>
        <w:t>A</w:t>
      </w:r>
      <w:proofErr w:type="gramEnd"/>
      <w:r w:rsidRPr="004866BD">
        <w:t xml:space="preserve"> patients was 2298. ESC noted that patients with </w:t>
      </w:r>
      <w:r>
        <w:t xml:space="preserve">currently confirmed </w:t>
      </w:r>
      <w:r w:rsidRPr="004866BD">
        <w:t>inhibitors represent only a small proportion of this (3% of these patients, or 61 individuals).</w:t>
      </w:r>
    </w:p>
    <w:p w14:paraId="74EA475A" w14:textId="558B6108" w:rsidR="00196E87" w:rsidRDefault="00196E87" w:rsidP="0084378F">
      <w:pPr>
        <w:spacing w:after="240"/>
      </w:pPr>
      <w:r w:rsidRPr="004866BD">
        <w:t xml:space="preserve">ESC noted that clinical management of </w:t>
      </w:r>
      <w:r>
        <w:t>haemophilia A</w:t>
      </w:r>
      <w:r w:rsidRPr="004866BD">
        <w:t xml:space="preserve"> involves prophylaxis to reduce the chance of serious bleeding, plus on-demand treatment of bleeds when they do occur. Prophylaxis and on-demand treatment use replacement </w:t>
      </w:r>
      <w:r>
        <w:t>factor VIII</w:t>
      </w:r>
      <w:r w:rsidRPr="004866BD">
        <w:t xml:space="preserve">; however, some patients develop antibodies to </w:t>
      </w:r>
      <w:r>
        <w:t>factor VIII</w:t>
      </w:r>
      <w:r w:rsidRPr="004866BD">
        <w:t xml:space="preserve">, known as inhibitors. The risk of developing inhibitors is 13% in patients with mild or moderate </w:t>
      </w:r>
      <w:r>
        <w:t>haemophilia A</w:t>
      </w:r>
      <w:r w:rsidRPr="004866BD">
        <w:t xml:space="preserve">, and 30% in patients with severe disease. These inhibitors reduce the effectiveness of </w:t>
      </w:r>
      <w:r>
        <w:t>factor VIII</w:t>
      </w:r>
      <w:r w:rsidRPr="004866BD">
        <w:t xml:space="preserve"> and make bleeds more difficult to control. </w:t>
      </w:r>
      <w:r>
        <w:t>The r</w:t>
      </w:r>
      <w:r w:rsidRPr="004866BD">
        <w:t xml:space="preserve">ate of hospitalisation for major bleeds in patients with inhibitors </w:t>
      </w:r>
      <w:proofErr w:type="gramStart"/>
      <w:r w:rsidRPr="004866BD">
        <w:t xml:space="preserve">is </w:t>
      </w:r>
      <w:r>
        <w:t>claimed</w:t>
      </w:r>
      <w:proofErr w:type="gramEnd"/>
      <w:r>
        <w:t xml:space="preserve"> to be two </w:t>
      </w:r>
      <w:r w:rsidRPr="004866BD">
        <w:t xml:space="preserve">times </w:t>
      </w:r>
      <w:r>
        <w:t>higher than</w:t>
      </w:r>
      <w:r w:rsidRPr="004866BD">
        <w:t xml:space="preserve"> the rate f</w:t>
      </w:r>
      <w:r>
        <w:t>or patients without inhibitors.</w:t>
      </w:r>
    </w:p>
    <w:p w14:paraId="1B8DAB95" w14:textId="123CFE68" w:rsidR="00196E87" w:rsidRDefault="00196E87" w:rsidP="0084378F">
      <w:pPr>
        <w:spacing w:after="240"/>
      </w:pPr>
      <w:r w:rsidRPr="004866BD">
        <w:t xml:space="preserve">Patients with inhibitors </w:t>
      </w:r>
      <w:proofErr w:type="gramStart"/>
      <w:r>
        <w:t>can be treated</w:t>
      </w:r>
      <w:proofErr w:type="gramEnd"/>
      <w:r>
        <w:t xml:space="preserve"> with </w:t>
      </w:r>
      <w:r w:rsidRPr="004866BD">
        <w:t xml:space="preserve">increased doses of </w:t>
      </w:r>
      <w:r>
        <w:t>factor VIII. If they no longer respond to these increased doses, they</w:t>
      </w:r>
      <w:r w:rsidRPr="004866BD">
        <w:t xml:space="preserve"> </w:t>
      </w:r>
      <w:proofErr w:type="gramStart"/>
      <w:r w:rsidRPr="004866BD">
        <w:t>can be treated</w:t>
      </w:r>
      <w:proofErr w:type="gramEnd"/>
      <w:r w:rsidRPr="004866BD">
        <w:t xml:space="preserve"> with </w:t>
      </w:r>
      <w:r w:rsidR="00420DEE">
        <w:t>BPAs</w:t>
      </w:r>
      <w:r w:rsidRPr="004866BD">
        <w:t xml:space="preserve">, which are administered frequently via slow intravenous injection. Prophylaxis with BPAs is much less effective than prophylaxis with </w:t>
      </w:r>
      <w:r>
        <w:t>factor VIII</w:t>
      </w:r>
      <w:r w:rsidRPr="004866BD">
        <w:t xml:space="preserve"> in patients without inhibitors. Patients </w:t>
      </w:r>
      <w:r>
        <w:t xml:space="preserve">with inhibitors </w:t>
      </w:r>
      <w:r w:rsidRPr="004866BD">
        <w:t xml:space="preserve">do not prefer using BPAs for prophylaxis, and the majority of </w:t>
      </w:r>
      <w:r>
        <w:t xml:space="preserve">these </w:t>
      </w:r>
      <w:r w:rsidRPr="004866BD">
        <w:t>patients use no prophylaxis, but use BPAs on demand.</w:t>
      </w:r>
      <w:r>
        <w:t xml:space="preserve"> </w:t>
      </w:r>
      <w:r w:rsidRPr="004866BD">
        <w:t xml:space="preserve">Patients with inhibitors can also be treated using immune </w:t>
      </w:r>
      <w:proofErr w:type="spellStart"/>
      <w:r w:rsidRPr="004866BD">
        <w:t>tolerisation</w:t>
      </w:r>
      <w:proofErr w:type="spellEnd"/>
      <w:r w:rsidRPr="004866BD">
        <w:t xml:space="preserve"> induction (ITI), which </w:t>
      </w:r>
      <w:proofErr w:type="gramStart"/>
      <w:r w:rsidRPr="004866BD">
        <w:t>is administered</w:t>
      </w:r>
      <w:proofErr w:type="gramEnd"/>
      <w:r w:rsidRPr="004866BD">
        <w:t xml:space="preserve"> regularly over months to years via a central venous access device. ESC noted that ITI is not a comparator for emicizumab, but the impact of emicizumab on ITI utilisation may be relevant for financial estimates.</w:t>
      </w:r>
    </w:p>
    <w:p w14:paraId="7B4A587B" w14:textId="5B6A62E3" w:rsidR="00196E87" w:rsidRDefault="00196E87" w:rsidP="0084378F">
      <w:pPr>
        <w:spacing w:after="240"/>
      </w:pPr>
      <w:r>
        <w:t>ESC noted that a patient’s inhibitor status is not fixed – inhibitors can resolve spontaneously or following ITI. Although the potential eligible population defined by PASC included patients with a history of using BPAs for inhibitors, the applicant has clearly limited the requested population to those currently with inhibitors (</w:t>
      </w:r>
      <w:proofErr w:type="spellStart"/>
      <w:r>
        <w:t>i.e</w:t>
      </w:r>
      <w:proofErr w:type="spellEnd"/>
      <w:r>
        <w:t xml:space="preserve">, by limiting the financial estimates to the ~61 individuals cited above). ESC noted that if the eligible population is limited to patients who currently use BPAs for inhibitors (and excludes those with a history of using BPAs for inhibitors) then there is stronger alignment with the available evidence. Patients who develop inhibitors, but </w:t>
      </w:r>
      <w:proofErr w:type="gramStart"/>
      <w:r>
        <w:t>are yet</w:t>
      </w:r>
      <w:proofErr w:type="gramEnd"/>
      <w:r>
        <w:t xml:space="preserve"> to start BPAs, might start emicizumab earlier than they would start BPAs.</w:t>
      </w:r>
    </w:p>
    <w:p w14:paraId="2D285113" w14:textId="0FACABC3" w:rsidR="005756E1" w:rsidRPr="004866BD" w:rsidRDefault="00196E87" w:rsidP="0084378F">
      <w:pPr>
        <w:spacing w:after="240"/>
      </w:pPr>
      <w:r w:rsidRPr="004866BD">
        <w:t>ESC noted the applicant’s clinical claim that emicizumab in patients with inhibitors has superior effectiveness and non</w:t>
      </w:r>
      <w:r w:rsidR="001F6361">
        <w:t>-</w:t>
      </w:r>
      <w:r w:rsidRPr="004866BD">
        <w:t>inferior safety compared with BPA prophylaxis plus on-demand BPAs, or no prophylaxis plus BPAs on demand. Outcome measures were annualised bleed rate</w:t>
      </w:r>
      <w:r>
        <w:t xml:space="preserve"> (ABR, primarily defined as bleeding </w:t>
      </w:r>
      <w:proofErr w:type="gramStart"/>
      <w:r>
        <w:t>events which</w:t>
      </w:r>
      <w:proofErr w:type="gramEnd"/>
      <w:r>
        <w:t xml:space="preserve"> required treatment by BPAs)</w:t>
      </w:r>
      <w:r w:rsidRPr="004866BD">
        <w:t>, responder status (percentage of patients with zero bleeds), health-related quality of life, incidence and severity of adverse events, and mortality.</w:t>
      </w:r>
    </w:p>
    <w:p w14:paraId="13DFD8FA" w14:textId="11A95AAC" w:rsidR="00BB1908" w:rsidRDefault="00196E87" w:rsidP="0084378F">
      <w:pPr>
        <w:spacing w:after="240"/>
      </w:pPr>
      <w:r w:rsidRPr="004866BD">
        <w:t>ESC noted the clinical trial data for emicizumab. The HAVEN</w:t>
      </w:r>
      <w:r>
        <w:t> </w:t>
      </w:r>
      <w:r w:rsidRPr="004866BD">
        <w:t xml:space="preserve">1 </w:t>
      </w:r>
      <w:r>
        <w:t xml:space="preserve">study included </w:t>
      </w:r>
      <w:r w:rsidRPr="004866BD">
        <w:t xml:space="preserve">a randomised </w:t>
      </w:r>
      <w:r>
        <w:t>trial</w:t>
      </w:r>
      <w:r w:rsidRPr="004866BD">
        <w:t xml:space="preserve"> of emicizumab </w:t>
      </w:r>
      <w:r>
        <w:t xml:space="preserve">prophylaxis </w:t>
      </w:r>
      <w:r w:rsidRPr="004866BD">
        <w:t>versus no prophylaxis</w:t>
      </w:r>
      <w:r>
        <w:t xml:space="preserve"> (on demand BPAs)</w:t>
      </w:r>
      <w:r w:rsidRPr="004866BD">
        <w:t xml:space="preserve"> in males </w:t>
      </w:r>
      <w:r w:rsidRPr="004866BD">
        <w:sym w:font="Symbol" w:char="F0B3"/>
      </w:r>
      <w:r w:rsidRPr="004866BD">
        <w:t>12</w:t>
      </w:r>
      <w:r>
        <w:t> </w:t>
      </w:r>
      <w:r w:rsidRPr="004866BD">
        <w:t xml:space="preserve">years </w:t>
      </w:r>
      <w:r w:rsidRPr="004866BD">
        <w:lastRenderedPageBreak/>
        <w:t xml:space="preserve">of age with inhibitors, </w:t>
      </w:r>
      <w:r>
        <w:t>and</w:t>
      </w:r>
      <w:r w:rsidRPr="004866BD">
        <w:t xml:space="preserve"> two additional non</w:t>
      </w:r>
      <w:r>
        <w:t>-</w:t>
      </w:r>
      <w:r w:rsidRPr="004866BD">
        <w:t>randomised arms. It included 109</w:t>
      </w:r>
      <w:r>
        <w:t> </w:t>
      </w:r>
      <w:r w:rsidRPr="004866BD">
        <w:t>patients, 5</w:t>
      </w:r>
      <w:r>
        <w:t>3</w:t>
      </w:r>
      <w:r w:rsidRPr="004866BD">
        <w:t xml:space="preserve"> of wh</w:t>
      </w:r>
      <w:r>
        <w:t>om</w:t>
      </w:r>
      <w:r w:rsidRPr="004866BD">
        <w:t xml:space="preserve"> </w:t>
      </w:r>
      <w:proofErr w:type="gramStart"/>
      <w:r w:rsidRPr="004866BD">
        <w:t>were randomised</w:t>
      </w:r>
      <w:proofErr w:type="gramEnd"/>
      <w:r>
        <w:t>, with 35 patients receiving emicizumab and 18 patients continuing on demand BPAs</w:t>
      </w:r>
      <w:r w:rsidRPr="004866BD">
        <w:t xml:space="preserve">. In this </w:t>
      </w:r>
      <w:r>
        <w:t xml:space="preserve">randomised </w:t>
      </w:r>
      <w:r w:rsidRPr="004866BD">
        <w:t xml:space="preserve">trial, emicizumab reduced the </w:t>
      </w:r>
      <w:r>
        <w:t>ABR</w:t>
      </w:r>
      <w:r w:rsidRPr="004866BD">
        <w:t xml:space="preserve"> by 87%</w:t>
      </w:r>
      <w:r>
        <w:t xml:space="preserve"> (</w:t>
      </w:r>
      <w:r w:rsidR="00BB1908" w:rsidRPr="00BB1908">
        <w:rPr>
          <w:i/>
        </w:rPr>
        <w:t>P</w:t>
      </w:r>
      <w:r w:rsidR="00BB1908">
        <w:t> </w:t>
      </w:r>
      <w:r>
        <w:t>&lt;</w:t>
      </w:r>
      <w:r w:rsidR="00BB1908">
        <w:t> </w:t>
      </w:r>
      <w:r>
        <w:t xml:space="preserve">0.0001, ABR ratio = 0.13, 95% CI: 0.06 to 0.28), with ABR = </w:t>
      </w:r>
      <w:r w:rsidR="00E965BA">
        <w:t>2.9</w:t>
      </w:r>
      <w:r>
        <w:t xml:space="preserve"> in the emicizumab arm and ABR = </w:t>
      </w:r>
      <w:r w:rsidR="00E965BA">
        <w:t>23.3</w:t>
      </w:r>
      <w:r>
        <w:t xml:space="preserve"> in the no-prophylaxis arm. Although not subjected to statistical analysis, the randomised trial also reported 22/35 = </w:t>
      </w:r>
      <w:r w:rsidRPr="004866BD">
        <w:t xml:space="preserve">63% of patients </w:t>
      </w:r>
      <w:r>
        <w:t xml:space="preserve">in the emicizumab arm </w:t>
      </w:r>
      <w:r w:rsidRPr="004866BD">
        <w:t>had zero bleed</w:t>
      </w:r>
      <w:r>
        <w:t>ing event</w:t>
      </w:r>
      <w:r w:rsidRPr="004866BD">
        <w:t xml:space="preserve">s compared with </w:t>
      </w:r>
      <w:r>
        <w:t xml:space="preserve">1/18 = </w:t>
      </w:r>
      <w:r w:rsidRPr="004866BD">
        <w:t>6% in the no-prophylaxis arm.</w:t>
      </w:r>
    </w:p>
    <w:p w14:paraId="1EF81738" w14:textId="7DE61655" w:rsidR="00196E87" w:rsidRDefault="00196E87" w:rsidP="00196E87">
      <w:r w:rsidRPr="00253BB6">
        <w:t>The critique of the application used an alternative statistical method</w:t>
      </w:r>
      <w:r w:rsidR="00E965BA">
        <w:t>.</w:t>
      </w:r>
      <w:r w:rsidRPr="00253BB6">
        <w:t xml:space="preserve"> </w:t>
      </w:r>
      <w:r w:rsidRPr="004866BD">
        <w:t xml:space="preserve">ESC noted that </w:t>
      </w:r>
      <w:r w:rsidR="00E965BA">
        <w:t>the result</w:t>
      </w:r>
      <w:r w:rsidR="00E965BA" w:rsidRPr="004866BD">
        <w:t xml:space="preserve"> </w:t>
      </w:r>
      <w:r w:rsidRPr="004866BD">
        <w:t xml:space="preserve">was still </w:t>
      </w:r>
      <w:r>
        <w:t>three </w:t>
      </w:r>
      <w:r w:rsidRPr="004866BD">
        <w:t>times the minimum clinically important difference (MCID)</w:t>
      </w:r>
      <w:r>
        <w:t xml:space="preserve"> of 20% to 25% accepted by PASC</w:t>
      </w:r>
      <w:r w:rsidRPr="004866BD">
        <w:t>.</w:t>
      </w:r>
    </w:p>
    <w:p w14:paraId="51FE791D" w14:textId="702C6F59" w:rsidR="00196E87" w:rsidRPr="004866BD" w:rsidRDefault="00196E87" w:rsidP="0084378F">
      <w:pPr>
        <w:spacing w:before="240" w:after="240"/>
      </w:pPr>
      <w:r w:rsidRPr="004866BD">
        <w:t>HAVEN 2 was a non</w:t>
      </w:r>
      <w:r>
        <w:t>-</w:t>
      </w:r>
      <w:r w:rsidRPr="004866BD">
        <w:t>randomised study in children under 12</w:t>
      </w:r>
      <w:r>
        <w:t> </w:t>
      </w:r>
      <w:r w:rsidRPr="004866BD">
        <w:t>years of age who were receiving treatment with BPAs. Another non</w:t>
      </w:r>
      <w:r>
        <w:t>-</w:t>
      </w:r>
      <w:r w:rsidRPr="004866BD">
        <w:t xml:space="preserve">interventional study documented the number and type of bleeds in patients with inhibitors under routine clinical practice and estimated </w:t>
      </w:r>
      <w:r>
        <w:t xml:space="preserve">the number of bleeds over time. ESC considered that the claim of clinical superiority </w:t>
      </w:r>
      <w:proofErr w:type="gramStart"/>
      <w:r>
        <w:t>had been established</w:t>
      </w:r>
      <w:proofErr w:type="gramEnd"/>
      <w:r>
        <w:t xml:space="preserve"> in the </w:t>
      </w:r>
      <w:r w:rsidR="00B05B59">
        <w:t>application</w:t>
      </w:r>
      <w:r>
        <w:t>, and that the large effect size across the randomised comparison counterbalanced the risk of bias in the results reported from the non-randomised studies.</w:t>
      </w:r>
    </w:p>
    <w:p w14:paraId="2A792FC5" w14:textId="677EFE94" w:rsidR="00196E87" w:rsidRDefault="00196E87" w:rsidP="00196E87">
      <w:r w:rsidRPr="004866BD">
        <w:t xml:space="preserve">Regarding safety, ESC noted the most common adverse events following emicizumab were low grade or injection site reactions. ESC noted the low numbers of patient withdrawals from the studies, indicating emicizumab has high acceptability. However, emicizumab was associated with serious adverse events including thromboembolic events and thrombotic </w:t>
      </w:r>
      <w:proofErr w:type="spellStart"/>
      <w:r w:rsidRPr="004866BD">
        <w:t>microangiopathy</w:t>
      </w:r>
      <w:proofErr w:type="spellEnd"/>
      <w:r w:rsidRPr="004866BD">
        <w:t>, in association with concurre</w:t>
      </w:r>
      <w:r w:rsidR="005756E1">
        <w:t>nt use of BPAs.</w:t>
      </w:r>
    </w:p>
    <w:p w14:paraId="2074AB01" w14:textId="06AC940C" w:rsidR="00196E87" w:rsidRDefault="00196E87" w:rsidP="0084378F">
      <w:pPr>
        <w:spacing w:before="240" w:after="240"/>
      </w:pPr>
      <w:r w:rsidRPr="004866BD">
        <w:t>In the pre-ESC response, the applicant noted that</w:t>
      </w:r>
      <w:r>
        <w:t xml:space="preserve"> </w:t>
      </w:r>
      <w:r w:rsidRPr="004866BD">
        <w:t>these</w:t>
      </w:r>
      <w:r>
        <w:t xml:space="preserve"> serious</w:t>
      </w:r>
      <w:r w:rsidRPr="004866BD">
        <w:t xml:space="preserve"> adverse events occurred</w:t>
      </w:r>
      <w:r>
        <w:t xml:space="preserve"> early in the clinical development program and that since then</w:t>
      </w:r>
      <w:r w:rsidRPr="004866BD">
        <w:t xml:space="preserve"> guidance and instructions about concurrent use of BPAs </w:t>
      </w:r>
      <w:proofErr w:type="gramStart"/>
      <w:r>
        <w:t>has been</w:t>
      </w:r>
      <w:r w:rsidRPr="004866BD">
        <w:t xml:space="preserve"> developed</w:t>
      </w:r>
      <w:proofErr w:type="gramEnd"/>
      <w:r w:rsidRPr="004866BD">
        <w:t xml:space="preserve"> as part of a detailed risk mitigation strategy. No further thrombotic events have been reported since these measures were implemented. ESC also noted that the TGA-approved product information has a black box warning to avoid concurrent use of BPAs unless no other alternatives are available. Additional </w:t>
      </w:r>
      <w:proofErr w:type="gramStart"/>
      <w:r w:rsidRPr="004866BD">
        <w:t>risk management plan activities</w:t>
      </w:r>
      <w:proofErr w:type="gramEnd"/>
      <w:r w:rsidRPr="004866BD">
        <w:t xml:space="preserve"> have also been developed to address safety concerns.</w:t>
      </w:r>
    </w:p>
    <w:p w14:paraId="0E734D67" w14:textId="7C0C83F9" w:rsidR="00196E87" w:rsidRDefault="00196E87" w:rsidP="0084378F">
      <w:pPr>
        <w:spacing w:after="240"/>
      </w:pPr>
      <w:r w:rsidRPr="004866BD">
        <w:t>The critique noted that the claim of non</w:t>
      </w:r>
      <w:r w:rsidR="001F6361">
        <w:t>-</w:t>
      </w:r>
      <w:r w:rsidRPr="004866BD">
        <w:t xml:space="preserve">inferior safety compared with BPA prophylaxis is appropriate, but is subject to considerable uncertainty and </w:t>
      </w:r>
      <w:proofErr w:type="gramStart"/>
      <w:r w:rsidRPr="004866BD">
        <w:t>is not supported</w:t>
      </w:r>
      <w:proofErr w:type="gramEnd"/>
      <w:r w:rsidRPr="004866BD">
        <w:t xml:space="preserve"> by any </w:t>
      </w:r>
      <w:r>
        <w:t xml:space="preserve">pre-specified </w:t>
      </w:r>
      <w:r w:rsidRPr="004866BD">
        <w:t>statistical evaluation of frequency and severity of adverse events. The limitations of the evidence base (including infrequent events, small numbers of patient</w:t>
      </w:r>
      <w:r>
        <w:t>s</w:t>
      </w:r>
      <w:r w:rsidRPr="004866BD">
        <w:t xml:space="preserve"> and short follow-up times) suggest that any safety comparison is likely to be underpowered and no MCID for safety out</w:t>
      </w:r>
      <w:r>
        <w:t xml:space="preserve">comes </w:t>
      </w:r>
      <w:proofErr w:type="gramStart"/>
      <w:r>
        <w:t>was defined</w:t>
      </w:r>
      <w:proofErr w:type="gramEnd"/>
      <w:r>
        <w:t xml:space="preserve"> in any trial.</w:t>
      </w:r>
    </w:p>
    <w:p w14:paraId="0F99F1EC" w14:textId="0C1AE594" w:rsidR="00196E87" w:rsidRDefault="00196E87" w:rsidP="0084378F">
      <w:pPr>
        <w:spacing w:after="240"/>
      </w:pPr>
      <w:r w:rsidRPr="004866BD">
        <w:t>ESC noted that the GRADE asses</w:t>
      </w:r>
      <w:r>
        <w:t>sments in the critique assesses the included trials as being at</w:t>
      </w:r>
      <w:r w:rsidRPr="004866BD">
        <w:t xml:space="preserve"> moderate to high risk of bias; however, </w:t>
      </w:r>
      <w:r>
        <w:t xml:space="preserve">ESC noted that </w:t>
      </w:r>
      <w:r w:rsidRPr="004866BD">
        <w:t xml:space="preserve">the critique did not take into account the large effect size, which </w:t>
      </w:r>
      <w:r>
        <w:t>could have been applied</w:t>
      </w:r>
      <w:r w:rsidRPr="004866BD">
        <w:t xml:space="preserve"> to </w:t>
      </w:r>
      <w:r>
        <w:t xml:space="preserve">assign </w:t>
      </w:r>
      <w:r w:rsidRPr="004866BD">
        <w:t>a higher GRADE level</w:t>
      </w:r>
      <w:r>
        <w:t xml:space="preserve"> (i.e. offset the concerns about bias</w:t>
      </w:r>
      <w:r w:rsidRPr="006B79F9">
        <w:t xml:space="preserve">). ESC noted that extensive advice </w:t>
      </w:r>
      <w:proofErr w:type="gramStart"/>
      <w:r w:rsidRPr="006B79F9">
        <w:t>had been received</w:t>
      </w:r>
      <w:proofErr w:type="gramEnd"/>
      <w:r w:rsidRPr="006B79F9">
        <w:t xml:space="preserve"> </w:t>
      </w:r>
      <w:r w:rsidR="00E965BA" w:rsidRPr="00E965BA">
        <w:rPr>
          <w:b/>
        </w:rPr>
        <w:t>redacted</w:t>
      </w:r>
      <w:r w:rsidR="00E965BA">
        <w:t xml:space="preserve"> </w:t>
      </w:r>
      <w:r w:rsidRPr="006B79F9">
        <w:t>from the Committee for Medicinal Products for Human use regarding the design and conduct of the HAVEN 1 and 2 trials</w:t>
      </w:r>
      <w:r w:rsidRPr="007A45A3">
        <w:rPr>
          <w:strike/>
        </w:rPr>
        <w:t>.</w:t>
      </w:r>
      <w:r w:rsidRPr="004866BD">
        <w:t xml:space="preserve"> In addition, the TGA delegate considered the design of HAVEN</w:t>
      </w:r>
      <w:r>
        <w:t> </w:t>
      </w:r>
      <w:r w:rsidRPr="004866BD">
        <w:t>1 to be strong relative to requirements for studies of factor products to treat haemophilia.</w:t>
      </w:r>
    </w:p>
    <w:p w14:paraId="567CF107" w14:textId="27B793C1" w:rsidR="00196E87" w:rsidRDefault="00196E87" w:rsidP="0084378F">
      <w:pPr>
        <w:spacing w:after="240"/>
      </w:pPr>
      <w:r>
        <w:t xml:space="preserve">ESC noted that the proposed population is an ‘orphan’ population with high clinical need, where randomised controlled trial evidence is difficult to generate. ESC also noted that there is a well-established context for monitoring safety and use of blood products in Australia. ESC noted that, </w:t>
      </w:r>
      <w:r w:rsidRPr="00ED23D9">
        <w:t>although there are residual concerns regarding the longer</w:t>
      </w:r>
      <w:r>
        <w:t>-</w:t>
      </w:r>
      <w:r w:rsidRPr="00ED23D9">
        <w:t xml:space="preserve">term safety profile </w:t>
      </w:r>
      <w:r w:rsidRPr="00ED23D9">
        <w:lastRenderedPageBreak/>
        <w:t>of emicizumab and some uncertainty regarding its effectiveness in children under 12</w:t>
      </w:r>
      <w:r>
        <w:t> </w:t>
      </w:r>
      <w:r w:rsidRPr="00ED23D9">
        <w:t>years of age, the magnitude of its effectiveness in adolescents and adults is highly clinically significant</w:t>
      </w:r>
      <w:r>
        <w:t>, and uncertainties would likely be mitigated by the well-established policy and monitoring mechanisms.</w:t>
      </w:r>
    </w:p>
    <w:p w14:paraId="7377D219" w14:textId="10C6ABB3" w:rsidR="00196E87" w:rsidRPr="00E82934" w:rsidRDefault="00196E87" w:rsidP="0084378F">
      <w:pPr>
        <w:spacing w:after="240"/>
      </w:pPr>
      <w:r>
        <w:t xml:space="preserve">ESC noted that although a continuation rule was not required to achieve acceptable cost-effectiveness, there </w:t>
      </w:r>
      <w:proofErr w:type="gramStart"/>
      <w:r>
        <w:t>may</w:t>
      </w:r>
      <w:proofErr w:type="gramEnd"/>
      <w:r>
        <w:t xml:space="preserve"> be a case for ceasing emicizumab in patients whose inhibitors have resolved.</w:t>
      </w:r>
    </w:p>
    <w:p w14:paraId="56C40F21" w14:textId="77777777" w:rsidR="00196E87" w:rsidRDefault="00196E87" w:rsidP="00196E87">
      <w:pPr>
        <w:pStyle w:val="NormalBeforeBullet"/>
      </w:pPr>
      <w:r>
        <w:t>ESC noted the following clinical policy issues for MSAC:</w:t>
      </w:r>
    </w:p>
    <w:p w14:paraId="3A853D2E" w14:textId="77777777" w:rsidR="00196E87" w:rsidRDefault="00196E87" w:rsidP="00196E87">
      <w:pPr>
        <w:pStyle w:val="Bullet"/>
      </w:pPr>
      <w:r>
        <w:t xml:space="preserve">Haemophilia A patients with inhibitors typically have a severe phenotype, for which best-practice management is prophylaxis. </w:t>
      </w:r>
      <w:r w:rsidRPr="00DE5444">
        <w:t xml:space="preserve">Administration of emicizumab </w:t>
      </w:r>
      <w:r>
        <w:t xml:space="preserve">as prophylaxis </w:t>
      </w:r>
      <w:r w:rsidRPr="00DE5444">
        <w:t>is significantly less burdensome on patients and their carers than administration of BPAs or ITI</w:t>
      </w:r>
      <w:r>
        <w:t xml:space="preserve">. However, BPAs would still be required to manage breakthrough </w:t>
      </w:r>
      <w:proofErr w:type="gramStart"/>
      <w:r>
        <w:t>bleeds</w:t>
      </w:r>
      <w:proofErr w:type="gramEnd"/>
      <w:r>
        <w:t xml:space="preserve"> as emicizumab is not indicated for on-demand use.</w:t>
      </w:r>
    </w:p>
    <w:p w14:paraId="2488DF89" w14:textId="77777777" w:rsidR="00196E87" w:rsidRDefault="00196E87" w:rsidP="00196E87">
      <w:pPr>
        <w:pStyle w:val="Bullet"/>
      </w:pPr>
      <w:r w:rsidRPr="00DE5444">
        <w:t xml:space="preserve">Haemophilia is a highly specialised area of care with well-established management frameworks, and the AHCDO </w:t>
      </w:r>
      <w:proofErr w:type="spellStart"/>
      <w:r w:rsidRPr="00DE5444">
        <w:t>Tolerisation</w:t>
      </w:r>
      <w:proofErr w:type="spellEnd"/>
      <w:r w:rsidRPr="00DE5444">
        <w:t xml:space="preserve"> Committee is </w:t>
      </w:r>
      <w:proofErr w:type="gramStart"/>
      <w:r w:rsidRPr="00DE5444">
        <w:t>best-placed</w:t>
      </w:r>
      <w:proofErr w:type="gramEnd"/>
      <w:r w:rsidRPr="00DE5444">
        <w:t xml:space="preserve"> to make patient-specific decisions regarding the use of emicizumab in the proposed population</w:t>
      </w:r>
      <w:r>
        <w:t>.</w:t>
      </w:r>
    </w:p>
    <w:p w14:paraId="31F44BBC" w14:textId="77777777" w:rsidR="00196E87" w:rsidRDefault="00196E87" w:rsidP="00196E87">
      <w:pPr>
        <w:pStyle w:val="Bullet"/>
      </w:pPr>
      <w:r w:rsidRPr="00DE5444">
        <w:t xml:space="preserve">The availability of emicizumab might displace use of ITI – except that emicizumab </w:t>
      </w:r>
      <w:r>
        <w:t>c</w:t>
      </w:r>
      <w:r w:rsidRPr="00DE5444">
        <w:t xml:space="preserve">ould </w:t>
      </w:r>
      <w:r>
        <w:t xml:space="preserve">be lifelong, whereas ITI </w:t>
      </w:r>
      <w:proofErr w:type="gramStart"/>
      <w:r>
        <w:t>is typically administered</w:t>
      </w:r>
      <w:proofErr w:type="gramEnd"/>
      <w:r>
        <w:t xml:space="preserve"> for 1 to </w:t>
      </w:r>
      <w:r w:rsidRPr="00DE5444">
        <w:t>2</w:t>
      </w:r>
      <w:r>
        <w:t> </w:t>
      </w:r>
      <w:r w:rsidRPr="00DE5444">
        <w:t>years</w:t>
      </w:r>
      <w:r>
        <w:t>.</w:t>
      </w:r>
    </w:p>
    <w:p w14:paraId="040A3149" w14:textId="77777777" w:rsidR="00196E87" w:rsidRPr="00DE5444" w:rsidRDefault="00196E87" w:rsidP="00196E87">
      <w:pPr>
        <w:pStyle w:val="Bullet"/>
      </w:pPr>
      <w:r w:rsidRPr="00DE5444">
        <w:t>Emicizumab potentially interferes</w:t>
      </w:r>
      <w:r>
        <w:t xml:space="preserve"> with current assays measuring factor VIII</w:t>
      </w:r>
      <w:r w:rsidRPr="00DE5444">
        <w:t xml:space="preserve"> activity and inhibitor levels. It is unclear whether existing tests would need to be modified or new tests created </w:t>
      </w:r>
      <w:proofErr w:type="gramStart"/>
      <w:r w:rsidRPr="00DE5444">
        <w:t>to accurately measure</w:t>
      </w:r>
      <w:proofErr w:type="gramEnd"/>
      <w:r w:rsidRPr="00DE5444">
        <w:t xml:space="preserve"> these levels in emicizumab-treated patients.</w:t>
      </w:r>
    </w:p>
    <w:p w14:paraId="161163A9" w14:textId="77777777" w:rsidR="00196E87" w:rsidRPr="004866BD" w:rsidRDefault="00196E87" w:rsidP="00196E87">
      <w:pPr>
        <w:pStyle w:val="BulletLast"/>
      </w:pPr>
      <w:r w:rsidRPr="00DE5444">
        <w:t>It is unclear whether an investigative test is required to measure the presence of antibodies against emicizumab</w:t>
      </w:r>
      <w:r>
        <w:t>.</w:t>
      </w:r>
    </w:p>
    <w:p w14:paraId="263DE78D" w14:textId="29E81AB5" w:rsidR="00196E87" w:rsidRDefault="00196E87" w:rsidP="0084378F">
      <w:pPr>
        <w:spacing w:after="240"/>
      </w:pPr>
      <w:r>
        <w:t>ESC noted the economic evaluation, which was a cost-utility analysis. ESC noted the relatively simple structure of the model, but acknowledged that more complex modelling provided by the applicant yielded similar outcomes. ESC also noted that the critique had identified 11 additional published economic analyses, which took various approaches to including arthroplasty in their models.</w:t>
      </w:r>
    </w:p>
    <w:p w14:paraId="14926834" w14:textId="0CED3E29" w:rsidR="00196E87" w:rsidRDefault="00196E87" w:rsidP="0084378F">
      <w:pPr>
        <w:spacing w:after="240"/>
      </w:pPr>
      <w:r>
        <w:t xml:space="preserve">ESC noted that emicizumab was dominant and cost saving compared with prophylactic BPAs and on-demand BPAs. Sensitivity analyses did not change this finding. </w:t>
      </w:r>
      <w:r w:rsidRPr="006B79F9">
        <w:t xml:space="preserve">However, ESC noted that not all sensitivity analyses appeared in the tornado plots in the </w:t>
      </w:r>
      <w:r w:rsidR="00B05B59" w:rsidRPr="006B79F9">
        <w:t>application</w:t>
      </w:r>
      <w:r w:rsidRPr="006B79F9">
        <w:t xml:space="preserve">, and recommended that </w:t>
      </w:r>
      <w:proofErr w:type="gramStart"/>
      <w:r w:rsidRPr="006B79F9">
        <w:t>this is addressed by the applicant</w:t>
      </w:r>
      <w:proofErr w:type="gramEnd"/>
      <w:r w:rsidRPr="006B79F9">
        <w:t>.</w:t>
      </w:r>
    </w:p>
    <w:p w14:paraId="5363A5A7" w14:textId="4AC5F5D7" w:rsidR="00196E87" w:rsidRDefault="00196E87" w:rsidP="0084378F">
      <w:pPr>
        <w:spacing w:after="240"/>
      </w:pPr>
      <w:r>
        <w:t>ESC noted the translation issues raised in the critique. These included the applicability to the Australian population of the BPA on-demand data from the HAVEN trials, and the appropriateness of annualising trial data on the number of bleeds, which is subject to substantial uncertainties and potential biases due to short trial duration. ESC considered that t</w:t>
      </w:r>
      <w:r w:rsidRPr="000F5343">
        <w:t xml:space="preserve">his uncertainty </w:t>
      </w:r>
      <w:proofErr w:type="gramStart"/>
      <w:r w:rsidRPr="000F5343">
        <w:t xml:space="preserve">is largely overridden by the certain clinical benefit and </w:t>
      </w:r>
      <w:r>
        <w:t xml:space="preserve">overall </w:t>
      </w:r>
      <w:r w:rsidRPr="000F5343">
        <w:t>cost savings</w:t>
      </w:r>
      <w:proofErr w:type="gramEnd"/>
      <w:r>
        <w:t>.</w:t>
      </w:r>
    </w:p>
    <w:p w14:paraId="3F6934C8" w14:textId="7CF7E9F5" w:rsidR="00196E87" w:rsidRDefault="00196E87" w:rsidP="0084378F">
      <w:pPr>
        <w:spacing w:after="240"/>
      </w:pPr>
      <w:r>
        <w:t xml:space="preserve">ESC noted that the ICERs were highly variable depending on the age group and the source data used to calculate annualised bleed rates. The model was sensitive to changes in consumption and price, and the simplicity of the model most likely underestimated the clinical benefit. ESC considered that from the on demand arm there is the potential for leakage, in that patients who are not taking BPA may do so for a short time in order to access emicizumab. ESC recommended that the costings for the on-demand arm </w:t>
      </w:r>
      <w:proofErr w:type="gramStart"/>
      <w:r>
        <w:t>are</w:t>
      </w:r>
      <w:proofErr w:type="gramEnd"/>
      <w:r>
        <w:t xml:space="preserve"> rechecked </w:t>
      </w:r>
      <w:r>
        <w:lastRenderedPageBreak/>
        <w:t>before the MSAC meeting to ensure the cost per episode of bleeding and the overall cost are correct.</w:t>
      </w:r>
    </w:p>
    <w:p w14:paraId="16C0CD56" w14:textId="3E7AD3A1" w:rsidR="00196E87" w:rsidRDefault="00196E87" w:rsidP="0084378F">
      <w:pPr>
        <w:spacing w:after="240"/>
      </w:pPr>
      <w:r>
        <w:t xml:space="preserve">ESC noted that the cost of emicizumab to the NPL was estimated to increase from </w:t>
      </w:r>
      <w:r w:rsidRPr="00AB371B">
        <w:t>$</w:t>
      </w:r>
      <w:r w:rsidR="00E965BA" w:rsidRPr="00E965BA">
        <w:rPr>
          <w:b/>
        </w:rPr>
        <w:t>redacted</w:t>
      </w:r>
      <w:r w:rsidR="00E965BA" w:rsidRPr="00AB371B" w:rsidDel="00E965BA">
        <w:rPr>
          <w:strike/>
        </w:rPr>
        <w:t xml:space="preserve"> </w:t>
      </w:r>
      <w:r>
        <w:t>million in year 1 to $</w:t>
      </w:r>
      <w:r w:rsidR="00E965BA" w:rsidRPr="00E965BA">
        <w:rPr>
          <w:b/>
        </w:rPr>
        <w:t>redacted</w:t>
      </w:r>
      <w:r>
        <w:t> million in year 5, but that cost offsets were larger and were also likely to be underestimated. ESC noted that listing emicizumab was estimated to save the NPL overall between $0.6 million in year 1 and $2.7 million in year 5.</w:t>
      </w:r>
    </w:p>
    <w:p w14:paraId="69186481" w14:textId="77340402" w:rsidR="00196E87" w:rsidRDefault="00196E87" w:rsidP="0084378F">
      <w:pPr>
        <w:spacing w:after="240"/>
      </w:pPr>
      <w:r>
        <w:t>ESC noted strong support for the application from Haemophilia Foundation Australia, which included case studies of substantially increased quality of life in individuals who had received emicizumab. ESC noted the perceived advantages from the consumer perspective of reduced hospitalisations, greater adheren</w:t>
      </w:r>
      <w:bookmarkStart w:id="50" w:name="Editing"/>
      <w:bookmarkEnd w:id="50"/>
      <w:r>
        <w:t>ce, and improved health and social outcomes.</w:t>
      </w:r>
    </w:p>
    <w:p w14:paraId="67D48A58" w14:textId="62F6A1D2" w:rsidR="00196E87" w:rsidRPr="00541F30" w:rsidRDefault="00196E87" w:rsidP="00196E87">
      <w:r>
        <w:t>In summary, ESC noted the large clinical benefit and associated cost savings for emicizumab. ESC considered that safety was non</w:t>
      </w:r>
      <w:r w:rsidR="001F6361">
        <w:t>-</w:t>
      </w:r>
      <w:r>
        <w:t xml:space="preserve">inferior to the comparators and that any adverse events </w:t>
      </w:r>
      <w:proofErr w:type="gramStart"/>
      <w:r>
        <w:t>could be managed</w:t>
      </w:r>
      <w:proofErr w:type="gramEnd"/>
      <w:r>
        <w:t xml:space="preserve"> in the context of Australia’s well-established systems for people with bleeding disorders.</w:t>
      </w:r>
    </w:p>
    <w:p w14:paraId="5FCC37DF" w14:textId="77777777" w:rsidR="00D90A38" w:rsidRDefault="00BC1364" w:rsidP="00F715D1">
      <w:pPr>
        <w:pStyle w:val="Heading1"/>
      </w:pPr>
      <w:r w:rsidRPr="00F715D1">
        <w:t>Other significant factors</w:t>
      </w:r>
    </w:p>
    <w:p w14:paraId="3888410D" w14:textId="21FDDC46" w:rsidR="00196E87" w:rsidRPr="00093DF4" w:rsidRDefault="00093DF4" w:rsidP="00196E87">
      <w:pPr>
        <w:spacing w:after="240"/>
        <w:rPr>
          <w:szCs w:val="24"/>
        </w:rPr>
      </w:pPr>
      <w:r w:rsidRPr="00093DF4">
        <w:rPr>
          <w:szCs w:val="24"/>
        </w:rPr>
        <w:t>Nil</w:t>
      </w:r>
    </w:p>
    <w:p w14:paraId="5E345DCC" w14:textId="77777777" w:rsidR="00BC1364" w:rsidRPr="00F715D1" w:rsidRDefault="00BC1364" w:rsidP="00F715D1">
      <w:pPr>
        <w:pStyle w:val="Heading1"/>
      </w:pPr>
      <w:r w:rsidRPr="00F715D1">
        <w:t xml:space="preserve">Applicant’s comments on MSAC’s </w:t>
      </w:r>
      <w:r w:rsidR="00DA56AA" w:rsidRPr="00F715D1">
        <w:t>Public Summary Document</w:t>
      </w:r>
    </w:p>
    <w:p w14:paraId="78C4FEEC" w14:textId="1697FB73" w:rsidR="00E42EBF" w:rsidRPr="00253BB6" w:rsidRDefault="00E42EBF" w:rsidP="00F715D1">
      <w:pPr>
        <w:spacing w:after="240"/>
        <w:rPr>
          <w:szCs w:val="24"/>
        </w:rPr>
      </w:pPr>
      <w:r w:rsidRPr="00253BB6">
        <w:rPr>
          <w:szCs w:val="24"/>
        </w:rPr>
        <w:t xml:space="preserve">Roche </w:t>
      </w:r>
      <w:proofErr w:type="gramStart"/>
      <w:r w:rsidRPr="00253BB6">
        <w:rPr>
          <w:szCs w:val="24"/>
        </w:rPr>
        <w:t>is disappointed</w:t>
      </w:r>
      <w:proofErr w:type="gramEnd"/>
      <w:r w:rsidRPr="00253BB6">
        <w:rPr>
          <w:szCs w:val="24"/>
        </w:rPr>
        <w:t xml:space="preserve"> by MSAC's recommendation, particularly since PASC proposed in the ratified PICO Confirmation that </w:t>
      </w:r>
      <w:proofErr w:type="spellStart"/>
      <w:r w:rsidRPr="00253BB6">
        <w:rPr>
          <w:szCs w:val="24"/>
        </w:rPr>
        <w:t>emicizumab's</w:t>
      </w:r>
      <w:proofErr w:type="spellEnd"/>
      <w:r w:rsidRPr="00253BB6">
        <w:rPr>
          <w:szCs w:val="24"/>
        </w:rPr>
        <w:t xml:space="preserve"> cost-effectiveness be determined in a cost-utility analysis versus bypassing agents.  Despite recognising that access to emicizumab will offer superior health outcomes for patients with </w:t>
      </w:r>
      <w:proofErr w:type="gramStart"/>
      <w:r w:rsidRPr="00253BB6">
        <w:rPr>
          <w:szCs w:val="24"/>
        </w:rPr>
        <w:t>high unmet</w:t>
      </w:r>
      <w:proofErr w:type="gramEnd"/>
      <w:r w:rsidRPr="00253BB6">
        <w:rPr>
          <w:szCs w:val="24"/>
        </w:rPr>
        <w:t xml:space="preserve"> need and deliver savings to government compared with current practice, the recommendation proposes to delay access in order to conduct a review of the cost-effectiveness of the current standard of care currently funded on the National Products List. Roche believes this will be complex, lengthy and unlikely to result in a better outcome for patients, clinicians and government. </w:t>
      </w:r>
      <w:r w:rsidR="005670B7" w:rsidRPr="00253BB6">
        <w:rPr>
          <w:szCs w:val="24"/>
        </w:rPr>
        <w:t xml:space="preserve">Regrettably, </w:t>
      </w:r>
      <w:r w:rsidR="002010CD" w:rsidRPr="00253BB6">
        <w:rPr>
          <w:szCs w:val="24"/>
        </w:rPr>
        <w:t xml:space="preserve">patients will forgo the benefits associated with emicizumab treatment </w:t>
      </w:r>
      <w:r w:rsidR="002010CD">
        <w:rPr>
          <w:szCs w:val="24"/>
        </w:rPr>
        <w:t xml:space="preserve">and </w:t>
      </w:r>
      <w:r w:rsidR="005670B7" w:rsidRPr="00253BB6">
        <w:rPr>
          <w:szCs w:val="24"/>
        </w:rPr>
        <w:t xml:space="preserve">the government will forego the savings whilst any review is undertaken. </w:t>
      </w:r>
      <w:r w:rsidRPr="00253BB6">
        <w:rPr>
          <w:szCs w:val="24"/>
        </w:rPr>
        <w:t>Roche is hopeful that a pragmatic solution can be found to enable access to emicizumab and will continue to work with MSAC and the National Blood Authority to this end.</w:t>
      </w:r>
    </w:p>
    <w:p w14:paraId="702BCE19" w14:textId="77777777" w:rsidR="00BC1364" w:rsidRPr="00F715D1" w:rsidRDefault="00271F18" w:rsidP="00F715D1">
      <w:pPr>
        <w:pStyle w:val="Heading1"/>
      </w:pPr>
      <w:r w:rsidRPr="00F715D1">
        <w:t>Further information on MSAC</w:t>
      </w:r>
    </w:p>
    <w:p w14:paraId="5B8E9B94"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3"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4"/>
      <w:headerReference w:type="default" r:id="rId15"/>
      <w:footerReference w:type="even" r:id="rId16"/>
      <w:footerReference w:type="default" r:id="rId17"/>
      <w:headerReference w:type="first" r:id="rId18"/>
      <w:footerReference w:type="first" r:id="rId19"/>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A1BCE" w16cid:durableId="1FF9807D"/>
  <w16cid:commentId w16cid:paraId="33730E60" w16cid:durableId="1FF9807E"/>
  <w16cid:commentId w16cid:paraId="34B9C8CE" w16cid:durableId="1FF9807F"/>
  <w16cid:commentId w16cid:paraId="51FC79A2" w16cid:durableId="1FF98080"/>
  <w16cid:commentId w16cid:paraId="50CE8274" w16cid:durableId="1FF98081"/>
  <w16cid:commentId w16cid:paraId="5361C227" w16cid:durableId="1FF98082"/>
  <w16cid:commentId w16cid:paraId="508445F8" w16cid:durableId="1FF98083"/>
  <w16cid:commentId w16cid:paraId="042960A9" w16cid:durableId="1FF98084"/>
  <w16cid:commentId w16cid:paraId="7AE2F9D9" w16cid:durableId="1FF98085"/>
  <w16cid:commentId w16cid:paraId="09FC0DC1" w16cid:durableId="1FF98086"/>
  <w16cid:commentId w16cid:paraId="021DA245" w16cid:durableId="1FF98087"/>
  <w16cid:commentId w16cid:paraId="4D2C9D0E" w16cid:durableId="1FF98088"/>
  <w16cid:commentId w16cid:paraId="6AE2EE49" w16cid:durableId="1FF985A3"/>
  <w16cid:commentId w16cid:paraId="52ACFBBB" w16cid:durableId="1FF98089"/>
  <w16cid:commentId w16cid:paraId="2F270D8C" w16cid:durableId="1FF9808A"/>
  <w16cid:commentId w16cid:paraId="1668C522" w16cid:durableId="1FF98511"/>
  <w16cid:commentId w16cid:paraId="5A02846E" w16cid:durableId="1FF9808B"/>
  <w16cid:commentId w16cid:paraId="10D4047C" w16cid:durableId="1FF9808C"/>
  <w16cid:commentId w16cid:paraId="59BA7A47" w16cid:durableId="1FF9808D"/>
  <w16cid:commentId w16cid:paraId="19A261AA" w16cid:durableId="1FF9808E"/>
  <w16cid:commentId w16cid:paraId="13D96A33" w16cid:durableId="1FF9808F"/>
  <w16cid:commentId w16cid:paraId="770C65AC" w16cid:durableId="1FF98090"/>
  <w16cid:commentId w16cid:paraId="0BB7B5E5" w16cid:durableId="1FF98091"/>
  <w16cid:commentId w16cid:paraId="6B9095F4" w16cid:durableId="1FF987ED"/>
  <w16cid:commentId w16cid:paraId="09532BAA" w16cid:durableId="1FF98092"/>
  <w16cid:commentId w16cid:paraId="6F3F4627" w16cid:durableId="1FF98960"/>
  <w16cid:commentId w16cid:paraId="5524606F" w16cid:durableId="1FF98093"/>
  <w16cid:commentId w16cid:paraId="7B77D57A" w16cid:durableId="1FF98B06"/>
  <w16cid:commentId w16cid:paraId="71ABB3CF" w16cid:durableId="1FF98094"/>
  <w16cid:commentId w16cid:paraId="5B2124B4" w16cid:durableId="1FF98095"/>
  <w16cid:commentId w16cid:paraId="48AB024D" w16cid:durableId="1FF98096"/>
  <w16cid:commentId w16cid:paraId="304C3445" w16cid:durableId="1FF98BBE"/>
  <w16cid:commentId w16cid:paraId="1BDB3366" w16cid:durableId="1FF98C95"/>
  <w16cid:commentId w16cid:paraId="79561532" w16cid:durableId="1FF98097"/>
  <w16cid:commentId w16cid:paraId="648A40C5" w16cid:durableId="1FF980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C7A6B" w14:textId="77777777" w:rsidR="00F81214" w:rsidRDefault="00F81214" w:rsidP="00065623">
      <w:r>
        <w:separator/>
      </w:r>
    </w:p>
  </w:endnote>
  <w:endnote w:type="continuationSeparator" w:id="0">
    <w:p w14:paraId="369FF5A4" w14:textId="77777777" w:rsidR="00F81214" w:rsidRDefault="00F81214"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C40A9" w14:textId="77777777" w:rsidR="00F81214" w:rsidRDefault="00F81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79DF1489" w14:textId="7B1DEA8B" w:rsidR="00F81214" w:rsidRDefault="00F81214">
        <w:pPr>
          <w:pStyle w:val="Footer"/>
          <w:jc w:val="right"/>
        </w:pPr>
        <w:r>
          <w:fldChar w:fldCharType="begin"/>
        </w:r>
        <w:r>
          <w:instrText xml:space="preserve"> PAGE   \* MERGEFORMAT </w:instrText>
        </w:r>
        <w:r>
          <w:fldChar w:fldCharType="separate"/>
        </w:r>
        <w:r w:rsidR="00105D40">
          <w:rPr>
            <w:noProof/>
          </w:rPr>
          <w:t>1</w:t>
        </w:r>
        <w:r>
          <w:rPr>
            <w:noProof/>
          </w:rPr>
          <w:fldChar w:fldCharType="end"/>
        </w:r>
      </w:p>
    </w:sdtContent>
  </w:sdt>
  <w:p w14:paraId="7E23D423" w14:textId="77777777" w:rsidR="00F81214" w:rsidRDefault="00F812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2C540" w14:textId="77777777" w:rsidR="00F81214" w:rsidRDefault="00F81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0B255" w14:textId="77777777" w:rsidR="00F81214" w:rsidRDefault="00F81214" w:rsidP="00065623">
      <w:r>
        <w:separator/>
      </w:r>
    </w:p>
  </w:footnote>
  <w:footnote w:type="continuationSeparator" w:id="0">
    <w:p w14:paraId="5AC81489" w14:textId="77777777" w:rsidR="00F81214" w:rsidRDefault="00F81214"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D5B94" w14:textId="77777777" w:rsidR="00F81214" w:rsidRDefault="00F81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F97C" w14:textId="77777777" w:rsidR="00F81214" w:rsidRDefault="00F81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6985D" w14:textId="77777777" w:rsidR="00F81214" w:rsidRDefault="00F81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172455"/>
    <w:multiLevelType w:val="multilevel"/>
    <w:tmpl w:val="184A3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7472378"/>
    <w:multiLevelType w:val="multilevel"/>
    <w:tmpl w:val="293A0E08"/>
    <w:lvl w:ilvl="0">
      <w:start w:val="1"/>
      <w:numFmt w:val="decimal"/>
      <w:lvlText w:val="%1"/>
      <w:lvlJc w:val="left"/>
      <w:pPr>
        <w:ind w:left="1125" w:hanging="720"/>
      </w:pPr>
      <w:rPr>
        <w:sz w:val="20"/>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1A0BD4"/>
    <w:multiLevelType w:val="hybridMultilevel"/>
    <w:tmpl w:val="9E6E72A4"/>
    <w:lvl w:ilvl="0" w:tplc="8874449A">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31150D9"/>
    <w:multiLevelType w:val="multilevel"/>
    <w:tmpl w:val="903CE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54E24FD"/>
    <w:multiLevelType w:val="multilevel"/>
    <w:tmpl w:val="4B8EE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1B8642F"/>
    <w:multiLevelType w:val="multilevel"/>
    <w:tmpl w:val="68866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
  </w:num>
  <w:num w:numId="4">
    <w:abstractNumId w:val="18"/>
  </w:num>
  <w:num w:numId="5">
    <w:abstractNumId w:val="11"/>
  </w:num>
  <w:num w:numId="6">
    <w:abstractNumId w:val="17"/>
  </w:num>
  <w:num w:numId="7">
    <w:abstractNumId w:val="22"/>
  </w:num>
  <w:num w:numId="8">
    <w:abstractNumId w:val="12"/>
  </w:num>
  <w:num w:numId="9">
    <w:abstractNumId w:val="31"/>
  </w:num>
  <w:num w:numId="10">
    <w:abstractNumId w:val="0"/>
  </w:num>
  <w:num w:numId="11">
    <w:abstractNumId w:val="20"/>
  </w:num>
  <w:num w:numId="12">
    <w:abstractNumId w:val="23"/>
  </w:num>
  <w:num w:numId="13">
    <w:abstractNumId w:val="6"/>
  </w:num>
  <w:num w:numId="14">
    <w:abstractNumId w:val="28"/>
  </w:num>
  <w:num w:numId="15">
    <w:abstractNumId w:val="19"/>
  </w:num>
  <w:num w:numId="16">
    <w:abstractNumId w:val="25"/>
  </w:num>
  <w:num w:numId="17">
    <w:abstractNumId w:val="13"/>
  </w:num>
  <w:num w:numId="18">
    <w:abstractNumId w:val="15"/>
  </w:num>
  <w:num w:numId="19">
    <w:abstractNumId w:val="27"/>
  </w:num>
  <w:num w:numId="20">
    <w:abstractNumId w:val="26"/>
  </w:num>
  <w:num w:numId="21">
    <w:abstractNumId w:val="4"/>
  </w:num>
  <w:num w:numId="22">
    <w:abstractNumId w:val="10"/>
  </w:num>
  <w:num w:numId="23">
    <w:abstractNumId w:val="3"/>
  </w:num>
  <w:num w:numId="24">
    <w:abstractNumId w:val="9"/>
  </w:num>
  <w:num w:numId="25">
    <w:abstractNumId w:val="7"/>
  </w:num>
  <w:num w:numId="26">
    <w:abstractNumId w:val="30"/>
  </w:num>
  <w:num w:numId="27">
    <w:abstractNumId w:val="14"/>
  </w:num>
  <w:num w:numId="28">
    <w:abstractNumId w:val="5"/>
  </w:num>
  <w:num w:numId="29">
    <w:abstractNumId w:val="24"/>
  </w:num>
  <w:num w:numId="30">
    <w:abstractNumId w:val="21"/>
  </w:num>
  <w:num w:numId="31">
    <w:abstractNumId w:val="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6" w:nlCheck="1" w:checkStyle="0"/>
  <w:activeWritingStyle w:appName="MSWord" w:lang="en-AU" w:vendorID="64" w:dllVersion="0" w:nlCheck="1" w:checkStyle="0"/>
  <w:activeWritingStyle w:appName="MSWord" w:lang="fr-FR" w:vendorID="64" w:dllVersion="0" w:nlCheck="1" w:checkStyle="0"/>
  <w:activeWritingStyle w:appName="MSWord" w:lang="en-AU" w:vendorID="64" w:dllVersion="131078" w:nlCheck="1" w:checkStyle="0"/>
  <w:activeWritingStyle w:appName="MSWord" w:lang="fr-FR" w:vendorID="64" w:dllVersion="131078" w:nlCheck="1" w:checkStyle="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07DB0"/>
    <w:rsid w:val="00007F88"/>
    <w:rsid w:val="00011A36"/>
    <w:rsid w:val="00015D09"/>
    <w:rsid w:val="000317F2"/>
    <w:rsid w:val="00041D3D"/>
    <w:rsid w:val="00047606"/>
    <w:rsid w:val="0005722E"/>
    <w:rsid w:val="00065623"/>
    <w:rsid w:val="00066FFC"/>
    <w:rsid w:val="0007502E"/>
    <w:rsid w:val="000756B9"/>
    <w:rsid w:val="00086B3C"/>
    <w:rsid w:val="00093DF4"/>
    <w:rsid w:val="00096B67"/>
    <w:rsid w:val="00096DAF"/>
    <w:rsid w:val="000C2F47"/>
    <w:rsid w:val="000D2B9A"/>
    <w:rsid w:val="000D6C00"/>
    <w:rsid w:val="000E4E04"/>
    <w:rsid w:val="000F14B4"/>
    <w:rsid w:val="000F75D6"/>
    <w:rsid w:val="000F75DF"/>
    <w:rsid w:val="001023DC"/>
    <w:rsid w:val="00105D40"/>
    <w:rsid w:val="001107D2"/>
    <w:rsid w:val="001328FA"/>
    <w:rsid w:val="00147AAF"/>
    <w:rsid w:val="001552C0"/>
    <w:rsid w:val="00156338"/>
    <w:rsid w:val="001640B1"/>
    <w:rsid w:val="0018435E"/>
    <w:rsid w:val="001852E8"/>
    <w:rsid w:val="00196E87"/>
    <w:rsid w:val="001C680C"/>
    <w:rsid w:val="001F6361"/>
    <w:rsid w:val="0020060D"/>
    <w:rsid w:val="002010CD"/>
    <w:rsid w:val="0020198F"/>
    <w:rsid w:val="002041A1"/>
    <w:rsid w:val="002054F0"/>
    <w:rsid w:val="00230D6B"/>
    <w:rsid w:val="00232068"/>
    <w:rsid w:val="002330F2"/>
    <w:rsid w:val="00233EFF"/>
    <w:rsid w:val="00243D9E"/>
    <w:rsid w:val="00253B66"/>
    <w:rsid w:val="00253BB6"/>
    <w:rsid w:val="00261DF1"/>
    <w:rsid w:val="00271F18"/>
    <w:rsid w:val="00282779"/>
    <w:rsid w:val="0028334D"/>
    <w:rsid w:val="002B7FFA"/>
    <w:rsid w:val="002C2BCF"/>
    <w:rsid w:val="002C7353"/>
    <w:rsid w:val="002D6C2A"/>
    <w:rsid w:val="002E44F6"/>
    <w:rsid w:val="002F279D"/>
    <w:rsid w:val="002F3E48"/>
    <w:rsid w:val="002F43B8"/>
    <w:rsid w:val="0032476D"/>
    <w:rsid w:val="003333EC"/>
    <w:rsid w:val="00336856"/>
    <w:rsid w:val="0034554D"/>
    <w:rsid w:val="003461DE"/>
    <w:rsid w:val="00352224"/>
    <w:rsid w:val="00363511"/>
    <w:rsid w:val="003671E6"/>
    <w:rsid w:val="00371316"/>
    <w:rsid w:val="00384272"/>
    <w:rsid w:val="00386D67"/>
    <w:rsid w:val="003945B8"/>
    <w:rsid w:val="003A20F1"/>
    <w:rsid w:val="003C12FA"/>
    <w:rsid w:val="003D7F29"/>
    <w:rsid w:val="003E08B6"/>
    <w:rsid w:val="003F46F1"/>
    <w:rsid w:val="004027CB"/>
    <w:rsid w:val="00405A6B"/>
    <w:rsid w:val="00407B1F"/>
    <w:rsid w:val="0041184F"/>
    <w:rsid w:val="004148F5"/>
    <w:rsid w:val="00414C57"/>
    <w:rsid w:val="0041758C"/>
    <w:rsid w:val="00420DEE"/>
    <w:rsid w:val="00427A93"/>
    <w:rsid w:val="004358A7"/>
    <w:rsid w:val="00442FA4"/>
    <w:rsid w:val="00444111"/>
    <w:rsid w:val="004539DE"/>
    <w:rsid w:val="00464F30"/>
    <w:rsid w:val="004807D8"/>
    <w:rsid w:val="004833EA"/>
    <w:rsid w:val="004A2CF1"/>
    <w:rsid w:val="004B7C78"/>
    <w:rsid w:val="004C3035"/>
    <w:rsid w:val="004C307F"/>
    <w:rsid w:val="004D60DA"/>
    <w:rsid w:val="004E3BAF"/>
    <w:rsid w:val="004E4BA8"/>
    <w:rsid w:val="004E5E72"/>
    <w:rsid w:val="004E70C5"/>
    <w:rsid w:val="004F340F"/>
    <w:rsid w:val="004F7B7C"/>
    <w:rsid w:val="00502FB8"/>
    <w:rsid w:val="005152E6"/>
    <w:rsid w:val="0052243D"/>
    <w:rsid w:val="005306BF"/>
    <w:rsid w:val="00532435"/>
    <w:rsid w:val="00533E6F"/>
    <w:rsid w:val="00544DA9"/>
    <w:rsid w:val="00550354"/>
    <w:rsid w:val="00560CD5"/>
    <w:rsid w:val="00561E93"/>
    <w:rsid w:val="005670B7"/>
    <w:rsid w:val="00571236"/>
    <w:rsid w:val="005756E1"/>
    <w:rsid w:val="005931E0"/>
    <w:rsid w:val="005953A1"/>
    <w:rsid w:val="00595DAF"/>
    <w:rsid w:val="005A4362"/>
    <w:rsid w:val="005A734E"/>
    <w:rsid w:val="005B4743"/>
    <w:rsid w:val="005B5434"/>
    <w:rsid w:val="005B6221"/>
    <w:rsid w:val="005D0332"/>
    <w:rsid w:val="005D0D8C"/>
    <w:rsid w:val="005E1F81"/>
    <w:rsid w:val="005E4220"/>
    <w:rsid w:val="00606234"/>
    <w:rsid w:val="00636B1B"/>
    <w:rsid w:val="00637D9B"/>
    <w:rsid w:val="006776AE"/>
    <w:rsid w:val="006829E9"/>
    <w:rsid w:val="006A0D97"/>
    <w:rsid w:val="006A2A19"/>
    <w:rsid w:val="006B1F86"/>
    <w:rsid w:val="006B79F9"/>
    <w:rsid w:val="006C0A91"/>
    <w:rsid w:val="006F6ABC"/>
    <w:rsid w:val="007054BB"/>
    <w:rsid w:val="00707064"/>
    <w:rsid w:val="007158DD"/>
    <w:rsid w:val="00730683"/>
    <w:rsid w:val="0075261F"/>
    <w:rsid w:val="0075468E"/>
    <w:rsid w:val="007665D8"/>
    <w:rsid w:val="00766E36"/>
    <w:rsid w:val="007765F4"/>
    <w:rsid w:val="00776633"/>
    <w:rsid w:val="00784D53"/>
    <w:rsid w:val="0079037D"/>
    <w:rsid w:val="00792CE0"/>
    <w:rsid w:val="00797797"/>
    <w:rsid w:val="007A45A3"/>
    <w:rsid w:val="007A63C9"/>
    <w:rsid w:val="007B32D1"/>
    <w:rsid w:val="007B7095"/>
    <w:rsid w:val="007C5EDB"/>
    <w:rsid w:val="007D24E1"/>
    <w:rsid w:val="007D6288"/>
    <w:rsid w:val="007F18D2"/>
    <w:rsid w:val="007F4CE9"/>
    <w:rsid w:val="007F4E20"/>
    <w:rsid w:val="00802234"/>
    <w:rsid w:val="008131C4"/>
    <w:rsid w:val="00822C7E"/>
    <w:rsid w:val="008261E1"/>
    <w:rsid w:val="0083174E"/>
    <w:rsid w:val="0084378F"/>
    <w:rsid w:val="00847060"/>
    <w:rsid w:val="00847A36"/>
    <w:rsid w:val="00856A33"/>
    <w:rsid w:val="0087130A"/>
    <w:rsid w:val="00892620"/>
    <w:rsid w:val="00894D57"/>
    <w:rsid w:val="008A2E61"/>
    <w:rsid w:val="008A638C"/>
    <w:rsid w:val="008C07DC"/>
    <w:rsid w:val="008C5521"/>
    <w:rsid w:val="008C7D37"/>
    <w:rsid w:val="008D5885"/>
    <w:rsid w:val="008D61A7"/>
    <w:rsid w:val="008D669B"/>
    <w:rsid w:val="008D68F1"/>
    <w:rsid w:val="00923FA2"/>
    <w:rsid w:val="00932C02"/>
    <w:rsid w:val="0093572D"/>
    <w:rsid w:val="0096060D"/>
    <w:rsid w:val="00974A50"/>
    <w:rsid w:val="0097545D"/>
    <w:rsid w:val="0097585A"/>
    <w:rsid w:val="009924B0"/>
    <w:rsid w:val="009942C9"/>
    <w:rsid w:val="009B35C4"/>
    <w:rsid w:val="009C630A"/>
    <w:rsid w:val="009C705A"/>
    <w:rsid w:val="009E0D98"/>
    <w:rsid w:val="009E2F92"/>
    <w:rsid w:val="009E6D2A"/>
    <w:rsid w:val="009F16C8"/>
    <w:rsid w:val="009F7837"/>
    <w:rsid w:val="00A068A1"/>
    <w:rsid w:val="00A1207D"/>
    <w:rsid w:val="00A12FD8"/>
    <w:rsid w:val="00A15655"/>
    <w:rsid w:val="00A16AEC"/>
    <w:rsid w:val="00A17F73"/>
    <w:rsid w:val="00A346FC"/>
    <w:rsid w:val="00A46D77"/>
    <w:rsid w:val="00A73FD8"/>
    <w:rsid w:val="00A82861"/>
    <w:rsid w:val="00A846F2"/>
    <w:rsid w:val="00A84F93"/>
    <w:rsid w:val="00AB1AC5"/>
    <w:rsid w:val="00AB371B"/>
    <w:rsid w:val="00AB3BFC"/>
    <w:rsid w:val="00AC4F2E"/>
    <w:rsid w:val="00AD0C37"/>
    <w:rsid w:val="00AD385F"/>
    <w:rsid w:val="00AE6E2A"/>
    <w:rsid w:val="00AE7A7A"/>
    <w:rsid w:val="00B01517"/>
    <w:rsid w:val="00B03D70"/>
    <w:rsid w:val="00B03EAB"/>
    <w:rsid w:val="00B05B59"/>
    <w:rsid w:val="00B065B8"/>
    <w:rsid w:val="00B2409E"/>
    <w:rsid w:val="00B31E9C"/>
    <w:rsid w:val="00B35595"/>
    <w:rsid w:val="00B51C6D"/>
    <w:rsid w:val="00B66EB5"/>
    <w:rsid w:val="00B83DD2"/>
    <w:rsid w:val="00B84150"/>
    <w:rsid w:val="00B86D64"/>
    <w:rsid w:val="00BA4AC5"/>
    <w:rsid w:val="00BB1908"/>
    <w:rsid w:val="00BC1364"/>
    <w:rsid w:val="00BC2667"/>
    <w:rsid w:val="00BC7DE9"/>
    <w:rsid w:val="00BF479B"/>
    <w:rsid w:val="00C02577"/>
    <w:rsid w:val="00C02B48"/>
    <w:rsid w:val="00C204FB"/>
    <w:rsid w:val="00C20BEE"/>
    <w:rsid w:val="00C2158D"/>
    <w:rsid w:val="00C322D4"/>
    <w:rsid w:val="00C3575C"/>
    <w:rsid w:val="00C4129E"/>
    <w:rsid w:val="00C67DD2"/>
    <w:rsid w:val="00C725CB"/>
    <w:rsid w:val="00C7617C"/>
    <w:rsid w:val="00C766F2"/>
    <w:rsid w:val="00C76F5C"/>
    <w:rsid w:val="00C96BAD"/>
    <w:rsid w:val="00CA6944"/>
    <w:rsid w:val="00CB08F3"/>
    <w:rsid w:val="00CB0E15"/>
    <w:rsid w:val="00CB0F8E"/>
    <w:rsid w:val="00CB7E7D"/>
    <w:rsid w:val="00CC097F"/>
    <w:rsid w:val="00CC1159"/>
    <w:rsid w:val="00CC2911"/>
    <w:rsid w:val="00CE3AD0"/>
    <w:rsid w:val="00CF0C6D"/>
    <w:rsid w:val="00CF7307"/>
    <w:rsid w:val="00CF7C68"/>
    <w:rsid w:val="00D124FA"/>
    <w:rsid w:val="00D340DE"/>
    <w:rsid w:val="00D55723"/>
    <w:rsid w:val="00D62FAD"/>
    <w:rsid w:val="00D64355"/>
    <w:rsid w:val="00D70450"/>
    <w:rsid w:val="00D83BFD"/>
    <w:rsid w:val="00D90A38"/>
    <w:rsid w:val="00D95BCC"/>
    <w:rsid w:val="00DA0515"/>
    <w:rsid w:val="00DA171E"/>
    <w:rsid w:val="00DA56AA"/>
    <w:rsid w:val="00DB5833"/>
    <w:rsid w:val="00DB7536"/>
    <w:rsid w:val="00DD2858"/>
    <w:rsid w:val="00DF524C"/>
    <w:rsid w:val="00E03E33"/>
    <w:rsid w:val="00E059E0"/>
    <w:rsid w:val="00E2366A"/>
    <w:rsid w:val="00E3642A"/>
    <w:rsid w:val="00E36BBF"/>
    <w:rsid w:val="00E415C4"/>
    <w:rsid w:val="00E42EBF"/>
    <w:rsid w:val="00E50016"/>
    <w:rsid w:val="00E50E7A"/>
    <w:rsid w:val="00E50EAA"/>
    <w:rsid w:val="00E5194B"/>
    <w:rsid w:val="00E656D6"/>
    <w:rsid w:val="00E92E35"/>
    <w:rsid w:val="00E961F1"/>
    <w:rsid w:val="00E965BA"/>
    <w:rsid w:val="00E977EE"/>
    <w:rsid w:val="00EA17E2"/>
    <w:rsid w:val="00EA2F24"/>
    <w:rsid w:val="00EA67A2"/>
    <w:rsid w:val="00EB630F"/>
    <w:rsid w:val="00EB6B6F"/>
    <w:rsid w:val="00EC43A7"/>
    <w:rsid w:val="00EC4F98"/>
    <w:rsid w:val="00ED1800"/>
    <w:rsid w:val="00EF6ABC"/>
    <w:rsid w:val="00F12F02"/>
    <w:rsid w:val="00F305F8"/>
    <w:rsid w:val="00F32E0D"/>
    <w:rsid w:val="00F35134"/>
    <w:rsid w:val="00F37B9C"/>
    <w:rsid w:val="00F414DD"/>
    <w:rsid w:val="00F41812"/>
    <w:rsid w:val="00F57FDB"/>
    <w:rsid w:val="00F715D1"/>
    <w:rsid w:val="00F72715"/>
    <w:rsid w:val="00F73333"/>
    <w:rsid w:val="00F81214"/>
    <w:rsid w:val="00F812B8"/>
    <w:rsid w:val="00F948FB"/>
    <w:rsid w:val="00F95D8F"/>
    <w:rsid w:val="00FA2BFD"/>
    <w:rsid w:val="00FB350A"/>
    <w:rsid w:val="00FB4C5D"/>
    <w:rsid w:val="00FB62B1"/>
    <w:rsid w:val="00FD42C6"/>
    <w:rsid w:val="00FE1C3F"/>
    <w:rsid w:val="00FE4C88"/>
    <w:rsid w:val="00FE4E2F"/>
    <w:rsid w:val="00FE73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4F19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uiPriority w:val="9"/>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BulletBeforeDash">
    <w:name w:val="BulletBeforeDash"/>
    <w:basedOn w:val="Normal"/>
    <w:rsid w:val="006829E9"/>
    <w:pPr>
      <w:numPr>
        <w:numId w:val="26"/>
      </w:numPr>
    </w:pPr>
    <w:rPr>
      <w:color w:val="000000"/>
    </w:rPr>
  </w:style>
  <w:style w:type="paragraph" w:customStyle="1" w:styleId="Bullet">
    <w:name w:val="Bullet"/>
    <w:basedOn w:val="BulletBeforeDash"/>
    <w:qFormat/>
    <w:rsid w:val="006829E9"/>
    <w:pPr>
      <w:spacing w:after="120"/>
    </w:pPr>
  </w:style>
  <w:style w:type="paragraph" w:customStyle="1" w:styleId="BulletLast">
    <w:name w:val="BulletLast"/>
    <w:basedOn w:val="Bullet"/>
    <w:qFormat/>
    <w:rsid w:val="006829E9"/>
    <w:pPr>
      <w:spacing w:after="240"/>
    </w:pPr>
  </w:style>
  <w:style w:type="paragraph" w:customStyle="1" w:styleId="NormalBeforeBullet">
    <w:name w:val="NormalBeforeBullet"/>
    <w:basedOn w:val="Normal"/>
    <w:qFormat/>
    <w:rsid w:val="006829E9"/>
    <w:pPr>
      <w:keepNext/>
      <w:spacing w:after="120"/>
    </w:pPr>
    <w:rPr>
      <w:color w:val="000000"/>
    </w:rPr>
  </w:style>
  <w:style w:type="paragraph" w:styleId="Caption">
    <w:name w:val="caption"/>
    <w:aliases w:val="Table and Figure Name,Caption Char2 Char,Caption Char Char Char2,Caption Char1 Char Char Char1,Caption Char2 Char Char Char1 Char1,Caption Char Char1 Char Char Char1 Char1,Caption Char1 Char Char Char Char Char Char,Caption Char Char1"/>
    <w:basedOn w:val="Normal"/>
    <w:next w:val="Normal"/>
    <w:uiPriority w:val="35"/>
    <w:unhideWhenUsed/>
    <w:qFormat/>
    <w:locked/>
    <w:rsid w:val="003333EC"/>
    <w:pPr>
      <w:spacing w:after="200"/>
    </w:pPr>
    <w:rPr>
      <w:b/>
      <w:bCs/>
      <w:color w:val="4F81BD" w:themeColor="accent1"/>
      <w:sz w:val="18"/>
      <w:szCs w:val="18"/>
    </w:rPr>
  </w:style>
  <w:style w:type="table" w:styleId="TableGrid">
    <w:name w:val="Table Grid"/>
    <w:basedOn w:val="TableNormal"/>
    <w:uiPriority w:val="59"/>
    <w:locked/>
    <w:rsid w:val="003333E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3333EC"/>
    <w:pPr>
      <w:keepNext/>
      <w:spacing w:before="40" w:after="40"/>
    </w:pPr>
    <w:rPr>
      <w:rFonts w:ascii="Arial Narrow" w:hAnsi="Arial Narrow" w:cs="Tahoma"/>
      <w:b/>
      <w:sz w:val="20"/>
    </w:rPr>
  </w:style>
  <w:style w:type="character" w:customStyle="1" w:styleId="TableHeadingChar">
    <w:name w:val="TableHeading Char"/>
    <w:link w:val="TableHeading"/>
    <w:rsid w:val="003333EC"/>
    <w:rPr>
      <w:rFonts w:ascii="Arial Narrow" w:eastAsia="Times New Roman" w:hAnsi="Arial Narrow" w:cs="Tahoma"/>
      <w:b/>
      <w:sz w:val="20"/>
      <w:szCs w:val="20"/>
    </w:rPr>
  </w:style>
  <w:style w:type="paragraph" w:customStyle="1" w:styleId="TableText">
    <w:name w:val="TableText"/>
    <w:basedOn w:val="Normal"/>
    <w:link w:val="TableTextChar"/>
    <w:uiPriority w:val="3"/>
    <w:qFormat/>
    <w:rsid w:val="003333EC"/>
    <w:pPr>
      <w:keepNext/>
      <w:spacing w:before="60" w:after="60"/>
    </w:pPr>
    <w:rPr>
      <w:color w:val="000000"/>
      <w:sz w:val="21"/>
      <w:szCs w:val="21"/>
    </w:rPr>
  </w:style>
  <w:style w:type="paragraph" w:customStyle="1" w:styleId="TableHeadingRow">
    <w:name w:val="TableHeadingRow"/>
    <w:basedOn w:val="Normal"/>
    <w:uiPriority w:val="3"/>
    <w:qFormat/>
    <w:rsid w:val="0020198F"/>
    <w:pPr>
      <w:keepNext/>
      <w:spacing w:before="20" w:after="20"/>
    </w:pPr>
    <w:rPr>
      <w:rFonts w:ascii="Calibri" w:hAnsi="Calibri" w:cstheme="minorHAnsi"/>
      <w:b/>
      <w:sz w:val="20"/>
      <w:lang w:eastAsia="en-US"/>
    </w:rPr>
  </w:style>
  <w:style w:type="paragraph" w:customStyle="1" w:styleId="TableNotes">
    <w:name w:val="TableNotes"/>
    <w:basedOn w:val="Normal"/>
    <w:next w:val="Normal"/>
    <w:uiPriority w:val="3"/>
    <w:qFormat/>
    <w:rsid w:val="0020198F"/>
    <w:pPr>
      <w:tabs>
        <w:tab w:val="left" w:pos="1134"/>
      </w:tabs>
      <w:ind w:left="1134" w:hanging="1134"/>
    </w:pPr>
    <w:rPr>
      <w:rFonts w:ascii="Calibri" w:eastAsiaTheme="minorEastAsia" w:hAnsi="Calibri" w:cstheme="minorBidi"/>
      <w:sz w:val="18"/>
      <w:szCs w:val="18"/>
      <w:lang w:eastAsia="en-US"/>
    </w:rPr>
  </w:style>
  <w:style w:type="character" w:customStyle="1" w:styleId="TableTextChar">
    <w:name w:val="TableText Char"/>
    <w:basedOn w:val="DefaultParagraphFont"/>
    <w:link w:val="TableText"/>
    <w:uiPriority w:val="3"/>
    <w:rsid w:val="0020198F"/>
    <w:rPr>
      <w:rFonts w:eastAsia="Times New Roman"/>
      <w:color w:val="000000"/>
      <w:sz w:val="21"/>
      <w:szCs w:val="21"/>
    </w:rPr>
  </w:style>
  <w:style w:type="paragraph" w:customStyle="1" w:styleId="Tablebullet">
    <w:name w:val="Table bullet"/>
    <w:basedOn w:val="TableText"/>
    <w:link w:val="TablebulletChar"/>
    <w:qFormat/>
    <w:rsid w:val="0020198F"/>
    <w:pPr>
      <w:keepNext w:val="0"/>
      <w:numPr>
        <w:numId w:val="27"/>
      </w:numPr>
      <w:spacing w:before="0" w:after="0"/>
      <w:ind w:left="442" w:hanging="329"/>
    </w:pPr>
    <w:rPr>
      <w:rFonts w:ascii="Calibri" w:hAnsi="Calibri" w:cstheme="minorHAnsi"/>
      <w:bCs/>
      <w:sz w:val="20"/>
      <w:szCs w:val="20"/>
      <w:lang w:eastAsia="en-US"/>
    </w:rPr>
  </w:style>
  <w:style w:type="character" w:customStyle="1" w:styleId="TablebulletChar">
    <w:name w:val="Table bullet Char"/>
    <w:basedOn w:val="TableTextChar"/>
    <w:link w:val="Tablebullet"/>
    <w:rsid w:val="0020198F"/>
    <w:rPr>
      <w:rFonts w:ascii="Calibri" w:eastAsia="Times New Roman" w:hAnsi="Calibri" w:cstheme="minorHAnsi"/>
      <w:bCs/>
      <w:color w:val="000000"/>
      <w:sz w:val="20"/>
      <w:szCs w:val="20"/>
      <w:lang w:eastAsia="en-US"/>
    </w:rPr>
  </w:style>
  <w:style w:type="paragraph" w:customStyle="1" w:styleId="ESNormal">
    <w:name w:val="ES_Normal"/>
    <w:basedOn w:val="Normal"/>
    <w:link w:val="ESNormalChar"/>
    <w:qFormat/>
    <w:rsid w:val="003A20F1"/>
    <w:pPr>
      <w:spacing w:before="120" w:after="120" w:line="264" w:lineRule="auto"/>
      <w:jc w:val="both"/>
    </w:pPr>
    <w:rPr>
      <w:rFonts w:ascii="Calibri" w:eastAsiaTheme="minorEastAsia" w:hAnsi="Calibri" w:cstheme="minorBidi"/>
      <w:sz w:val="22"/>
      <w:szCs w:val="22"/>
      <w:lang w:eastAsia="zh-CN"/>
    </w:rPr>
  </w:style>
  <w:style w:type="character" w:customStyle="1" w:styleId="ESNormalChar">
    <w:name w:val="ES_Normal Char"/>
    <w:basedOn w:val="DefaultParagraphFont"/>
    <w:link w:val="ESNormal"/>
    <w:rsid w:val="003A20F1"/>
    <w:rPr>
      <w:rFonts w:ascii="Calibri" w:eastAsiaTheme="minorEastAsia" w:hAnsi="Calibri" w:cstheme="minorBidi"/>
      <w:lang w:eastAsia="zh-CN"/>
    </w:rPr>
  </w:style>
  <w:style w:type="paragraph" w:customStyle="1" w:styleId="ESHeading4">
    <w:name w:val="ESHeading4"/>
    <w:basedOn w:val="Normal"/>
    <w:link w:val="ESHeading4Char"/>
    <w:qFormat/>
    <w:rsid w:val="003A20F1"/>
    <w:pPr>
      <w:keepNext/>
      <w:pBdr>
        <w:top w:val="nil"/>
        <w:left w:val="nil"/>
        <w:bottom w:val="nil"/>
        <w:right w:val="nil"/>
        <w:between w:val="nil"/>
      </w:pBdr>
      <w:spacing w:before="120" w:after="40" w:line="264" w:lineRule="auto"/>
      <w:jc w:val="both"/>
    </w:pPr>
    <w:rPr>
      <w:rFonts w:ascii="Calibri" w:eastAsia="Calibri" w:hAnsi="Calibri" w:cs="Calibri"/>
      <w:color w:val="000000"/>
      <w:sz w:val="22"/>
      <w:szCs w:val="22"/>
      <w:u w:val="single"/>
      <w:lang w:eastAsia="zh-CN"/>
    </w:rPr>
  </w:style>
  <w:style w:type="character" w:customStyle="1" w:styleId="ESHeading4Char">
    <w:name w:val="ESHeading4 Char"/>
    <w:basedOn w:val="DefaultParagraphFont"/>
    <w:link w:val="ESHeading4"/>
    <w:rsid w:val="003A20F1"/>
    <w:rPr>
      <w:rFonts w:ascii="Calibri" w:hAnsi="Calibri" w:cs="Calibri"/>
      <w:color w:val="000000"/>
      <w:u w:val="single"/>
      <w:lang w:eastAsia="zh-CN"/>
    </w:rPr>
  </w:style>
  <w:style w:type="character" w:styleId="Emphasis">
    <w:name w:val="Emphasis"/>
    <w:basedOn w:val="DefaultParagraphFont"/>
    <w:qFormat/>
    <w:locked/>
    <w:rsid w:val="00086B3C"/>
    <w:rPr>
      <w:i/>
      <w:iCs/>
    </w:rPr>
  </w:style>
  <w:style w:type="paragraph" w:customStyle="1" w:styleId="Tabletext0">
    <w:name w:val="Table text"/>
    <w:basedOn w:val="Normal"/>
    <w:link w:val="TabletextChar0"/>
    <w:qFormat/>
    <w:rsid w:val="008A638C"/>
    <w:pPr>
      <w:spacing w:before="40" w:after="40"/>
    </w:pPr>
    <w:rPr>
      <w:rFonts w:ascii="Arial Narrow" w:eastAsiaTheme="minorEastAsia" w:hAnsi="Arial Narrow" w:cs="Tahoma"/>
      <w:sz w:val="20"/>
    </w:rPr>
  </w:style>
  <w:style w:type="character" w:customStyle="1" w:styleId="TabletextChar0">
    <w:name w:val="Table text Char"/>
    <w:link w:val="Tabletext0"/>
    <w:rsid w:val="008A638C"/>
    <w:rPr>
      <w:rFonts w:ascii="Arial Narrow" w:eastAsiaTheme="minorEastAsia" w:hAnsi="Arial Narrow" w:cs="Tahoma"/>
      <w:sz w:val="20"/>
      <w:szCs w:val="20"/>
    </w:rPr>
  </w:style>
  <w:style w:type="paragraph" w:customStyle="1" w:styleId="Tablenotes0">
    <w:name w:val="Tablenotes"/>
    <w:basedOn w:val="Normal"/>
    <w:link w:val="TablenotesChar"/>
    <w:qFormat/>
    <w:rsid w:val="00156338"/>
    <w:pPr>
      <w:widowControl w:val="0"/>
      <w:spacing w:after="240"/>
      <w:contextualSpacing/>
      <w:jc w:val="both"/>
    </w:pPr>
    <w:rPr>
      <w:rFonts w:ascii="Arial Narrow" w:eastAsiaTheme="minorEastAsia" w:hAnsi="Arial Narrow" w:cs="Arial"/>
      <w:snapToGrid w:val="0"/>
      <w:sz w:val="18"/>
      <w:lang w:eastAsia="en-US"/>
    </w:rPr>
  </w:style>
  <w:style w:type="character" w:customStyle="1" w:styleId="TablenotesChar">
    <w:name w:val="Tablenotes Char"/>
    <w:basedOn w:val="DefaultParagraphFont"/>
    <w:link w:val="Tablenotes0"/>
    <w:rsid w:val="00156338"/>
    <w:rPr>
      <w:rFonts w:ascii="Arial Narrow" w:eastAsiaTheme="minorEastAsia" w:hAnsi="Arial Narrow" w:cs="Arial"/>
      <w:snapToGrid w:val="0"/>
      <w:sz w:val="18"/>
      <w:szCs w:val="20"/>
      <w:lang w:eastAsia="en-US"/>
    </w:rPr>
  </w:style>
  <w:style w:type="paragraph" w:styleId="Revision">
    <w:name w:val="Revision"/>
    <w:hidden/>
    <w:uiPriority w:val="99"/>
    <w:semiHidden/>
    <w:rsid w:val="00DF524C"/>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B284E-82E8-4A2A-A419-813AC376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5703</Words>
  <Characters>32707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1510 - Final PSD</dc:title>
  <dc:creator/>
  <cp:lastModifiedBy/>
  <cp:revision>1</cp:revision>
  <dcterms:created xsi:type="dcterms:W3CDTF">2019-01-31T02:18:00Z</dcterms:created>
  <dcterms:modified xsi:type="dcterms:W3CDTF">2019-06-20T22:17:00Z</dcterms:modified>
</cp:coreProperties>
</file>