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09F55"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0A173506" wp14:editId="3759ECB7">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C2D6662"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14BD83AA" w14:textId="77777777" w:rsidR="00BC1364" w:rsidRPr="00F54186" w:rsidRDefault="00BC1364" w:rsidP="00694E31">
      <w:pPr>
        <w:pStyle w:val="Subtitle"/>
      </w:pPr>
      <w:r w:rsidRPr="00F715D1">
        <w:t xml:space="preserve">Application No. </w:t>
      </w:r>
      <w:r w:rsidR="00694E31">
        <w:t>1519</w:t>
      </w:r>
      <w:r w:rsidRPr="00F715D1">
        <w:t xml:space="preserve"> – </w:t>
      </w:r>
      <w:r w:rsidR="00694E31">
        <w:t xml:space="preserve">Tisagenlecleucel (CTL019) for treatment of </w:t>
      </w:r>
      <w:r w:rsidR="00694E31" w:rsidRPr="00F54186">
        <w:t>refractory CD19-positive leukaemia and lymphoma</w:t>
      </w:r>
    </w:p>
    <w:p w14:paraId="4570BDDD" w14:textId="77777777" w:rsidR="00BC1364" w:rsidRPr="00F54186" w:rsidRDefault="00B35595" w:rsidP="00D64355">
      <w:pPr>
        <w:tabs>
          <w:tab w:val="left" w:pos="3686"/>
        </w:tabs>
        <w:spacing w:after="240"/>
        <w:rPr>
          <w:rFonts w:ascii="Arial" w:hAnsi="Arial" w:cs="Arial"/>
          <w:b/>
          <w:szCs w:val="24"/>
        </w:rPr>
      </w:pPr>
      <w:r w:rsidRPr="00F54186">
        <w:rPr>
          <w:rFonts w:ascii="Arial" w:hAnsi="Arial" w:cs="Arial"/>
          <w:b/>
          <w:szCs w:val="24"/>
        </w:rPr>
        <w:t>Applicant</w:t>
      </w:r>
      <w:r w:rsidR="00D64355" w:rsidRPr="00F54186">
        <w:rPr>
          <w:rFonts w:ascii="Arial" w:hAnsi="Arial" w:cs="Arial"/>
          <w:b/>
          <w:szCs w:val="24"/>
        </w:rPr>
        <w:t>:</w:t>
      </w:r>
      <w:r w:rsidR="00D64355" w:rsidRPr="00F54186">
        <w:rPr>
          <w:rFonts w:ascii="Arial" w:hAnsi="Arial" w:cs="Arial"/>
          <w:b/>
          <w:szCs w:val="24"/>
        </w:rPr>
        <w:tab/>
      </w:r>
      <w:r w:rsidR="00694E31" w:rsidRPr="00F54186">
        <w:rPr>
          <w:rFonts w:ascii="Arial" w:hAnsi="Arial" w:cs="Arial"/>
          <w:b/>
          <w:szCs w:val="24"/>
        </w:rPr>
        <w:t>Novartis Pharmaceuticals Australia Pty Ltd</w:t>
      </w:r>
    </w:p>
    <w:p w14:paraId="1130AE77" w14:textId="77777777" w:rsidR="00B756EB" w:rsidRPr="00F54186" w:rsidRDefault="00BC1364" w:rsidP="00DA7B6B">
      <w:pPr>
        <w:tabs>
          <w:tab w:val="left" w:pos="3686"/>
        </w:tabs>
        <w:rPr>
          <w:rFonts w:ascii="Arial" w:hAnsi="Arial" w:cs="Arial"/>
          <w:b/>
          <w:szCs w:val="24"/>
        </w:rPr>
      </w:pPr>
      <w:r w:rsidRPr="00F54186">
        <w:rPr>
          <w:rFonts w:ascii="Arial" w:hAnsi="Arial" w:cs="Arial"/>
          <w:b/>
          <w:szCs w:val="24"/>
        </w:rPr>
        <w:t>Date of MSAC consideration:</w:t>
      </w:r>
      <w:r w:rsidRPr="00F54186">
        <w:rPr>
          <w:rFonts w:ascii="Arial" w:hAnsi="Arial" w:cs="Arial"/>
          <w:b/>
          <w:szCs w:val="24"/>
        </w:rPr>
        <w:tab/>
      </w:r>
      <w:r w:rsidR="00B756EB" w:rsidRPr="00F54186">
        <w:rPr>
          <w:rFonts w:ascii="Arial" w:hAnsi="Arial" w:cs="Arial"/>
          <w:b/>
          <w:szCs w:val="24"/>
        </w:rPr>
        <w:t>MSAC out-of-session Meeting, 9 April 2019</w:t>
      </w:r>
    </w:p>
    <w:p w14:paraId="13A1C348" w14:textId="77777777" w:rsidR="00A128C4" w:rsidRPr="00F54186" w:rsidRDefault="00B756EB" w:rsidP="00DA7B6B">
      <w:pPr>
        <w:tabs>
          <w:tab w:val="left" w:pos="3686"/>
        </w:tabs>
        <w:rPr>
          <w:rFonts w:ascii="Arial" w:hAnsi="Arial" w:cs="Arial"/>
          <w:b/>
          <w:szCs w:val="24"/>
        </w:rPr>
      </w:pPr>
      <w:r w:rsidRPr="00F54186">
        <w:rPr>
          <w:rFonts w:ascii="Arial" w:hAnsi="Arial" w:cs="Arial"/>
          <w:b/>
          <w:szCs w:val="24"/>
        </w:rPr>
        <w:tab/>
      </w:r>
      <w:r w:rsidR="00A128C4" w:rsidRPr="00F54186">
        <w:rPr>
          <w:rFonts w:ascii="Arial" w:hAnsi="Arial" w:cs="Arial"/>
          <w:b/>
          <w:szCs w:val="24"/>
        </w:rPr>
        <w:t>MSAC 75</w:t>
      </w:r>
      <w:r w:rsidR="00A128C4" w:rsidRPr="00F54186">
        <w:rPr>
          <w:rFonts w:ascii="Arial" w:hAnsi="Arial" w:cs="Arial"/>
          <w:b/>
          <w:szCs w:val="24"/>
          <w:vertAlign w:val="superscript"/>
        </w:rPr>
        <w:t>th</w:t>
      </w:r>
      <w:r w:rsidR="00A128C4" w:rsidRPr="00F54186">
        <w:rPr>
          <w:rFonts w:ascii="Arial" w:hAnsi="Arial" w:cs="Arial"/>
          <w:b/>
          <w:szCs w:val="24"/>
        </w:rPr>
        <w:t xml:space="preserve"> Meeting, 28-29 March 2019</w:t>
      </w:r>
    </w:p>
    <w:p w14:paraId="3FCD4F8A" w14:textId="77777777" w:rsidR="00BC1364" w:rsidRPr="00F54186" w:rsidRDefault="00A128C4" w:rsidP="00DA7B6B">
      <w:pPr>
        <w:tabs>
          <w:tab w:val="left" w:pos="3686"/>
        </w:tabs>
        <w:spacing w:after="240"/>
        <w:rPr>
          <w:rFonts w:ascii="Arial" w:hAnsi="Arial" w:cs="Arial"/>
          <w:b/>
          <w:szCs w:val="24"/>
        </w:rPr>
      </w:pPr>
      <w:r w:rsidRPr="00F54186">
        <w:rPr>
          <w:rFonts w:ascii="Arial" w:hAnsi="Arial" w:cs="Arial"/>
          <w:b/>
          <w:szCs w:val="24"/>
        </w:rPr>
        <w:tab/>
      </w:r>
      <w:r w:rsidR="00C67DD2" w:rsidRPr="00F54186">
        <w:rPr>
          <w:rFonts w:ascii="Arial" w:hAnsi="Arial" w:cs="Arial"/>
          <w:b/>
          <w:szCs w:val="24"/>
        </w:rPr>
        <w:t xml:space="preserve">MSAC </w:t>
      </w:r>
      <w:r w:rsidR="00AC00A0" w:rsidRPr="00F54186">
        <w:rPr>
          <w:rFonts w:ascii="Arial" w:hAnsi="Arial" w:cs="Arial"/>
          <w:b/>
          <w:szCs w:val="24"/>
        </w:rPr>
        <w:t>74</w:t>
      </w:r>
      <w:r w:rsidR="008E37FF" w:rsidRPr="00F54186">
        <w:rPr>
          <w:rFonts w:ascii="Arial" w:hAnsi="Arial" w:cs="Arial"/>
          <w:b/>
          <w:szCs w:val="24"/>
          <w:vertAlign w:val="superscript"/>
        </w:rPr>
        <w:t>th</w:t>
      </w:r>
      <w:r w:rsidR="00EB6B6F" w:rsidRPr="00F54186">
        <w:rPr>
          <w:rFonts w:ascii="Arial" w:hAnsi="Arial" w:cs="Arial"/>
          <w:b/>
          <w:szCs w:val="24"/>
        </w:rPr>
        <w:t xml:space="preserve"> </w:t>
      </w:r>
      <w:r w:rsidR="00BC1364" w:rsidRPr="00F54186">
        <w:rPr>
          <w:rFonts w:ascii="Arial" w:hAnsi="Arial" w:cs="Arial"/>
          <w:b/>
          <w:szCs w:val="24"/>
        </w:rPr>
        <w:t xml:space="preserve">Meeting, </w:t>
      </w:r>
      <w:r w:rsidR="006169C6" w:rsidRPr="00F54186">
        <w:rPr>
          <w:rFonts w:ascii="Arial" w:hAnsi="Arial" w:cs="Arial"/>
          <w:b/>
          <w:szCs w:val="24"/>
        </w:rPr>
        <w:t>22-23</w:t>
      </w:r>
      <w:r w:rsidR="00AC00A0" w:rsidRPr="00F54186">
        <w:rPr>
          <w:rFonts w:ascii="Arial" w:hAnsi="Arial" w:cs="Arial"/>
          <w:b/>
          <w:szCs w:val="24"/>
        </w:rPr>
        <w:t xml:space="preserve"> November 2018</w:t>
      </w:r>
    </w:p>
    <w:p w14:paraId="42712551" w14:textId="77777777" w:rsidR="0041184F" w:rsidRPr="00F54186" w:rsidRDefault="006A0D97" w:rsidP="00B03EAB">
      <w:pPr>
        <w:spacing w:after="360"/>
        <w:rPr>
          <w:color w:val="0000FF"/>
          <w:szCs w:val="24"/>
          <w:u w:val="single"/>
        </w:rPr>
      </w:pPr>
      <w:r w:rsidRPr="00F54186">
        <w:rPr>
          <w:szCs w:val="24"/>
        </w:rPr>
        <w:t xml:space="preserve">Context for decision: </w:t>
      </w:r>
      <w:proofErr w:type="gramStart"/>
      <w:r w:rsidRPr="00F54186">
        <w:rPr>
          <w:szCs w:val="24"/>
        </w:rPr>
        <w:t>MSAC makes its advice in accordance wit</w:t>
      </w:r>
      <w:r w:rsidR="00F715D1" w:rsidRPr="00F54186">
        <w:rPr>
          <w:szCs w:val="24"/>
        </w:rPr>
        <w:t>h its Terms of Reference</w:t>
      </w:r>
      <w:proofErr w:type="gramEnd"/>
      <w:r w:rsidR="00F715D1" w:rsidRPr="00F54186">
        <w:rPr>
          <w:szCs w:val="24"/>
        </w:rPr>
        <w:t>,</w:t>
      </w:r>
      <w:r w:rsidRPr="00F54186">
        <w:rPr>
          <w:szCs w:val="24"/>
        </w:rPr>
        <w:t xml:space="preserve"> </w:t>
      </w:r>
      <w:hyperlink r:id="rId9" w:tooltip="Link to Medical Services Advisory Committee website" w:history="1">
        <w:proofErr w:type="gramStart"/>
        <w:r w:rsidR="00F715D1" w:rsidRPr="00F54186">
          <w:rPr>
            <w:rStyle w:val="Hyperlink"/>
            <w:szCs w:val="24"/>
          </w:rPr>
          <w:t>visit the MSAC website</w:t>
        </w:r>
        <w:proofErr w:type="gramEnd"/>
      </w:hyperlink>
    </w:p>
    <w:p w14:paraId="09B17982" w14:textId="77777777" w:rsidR="003D7F29" w:rsidRPr="00F54186" w:rsidRDefault="003D7F29" w:rsidP="00F715D1">
      <w:pPr>
        <w:pStyle w:val="Heading1"/>
      </w:pPr>
      <w:r w:rsidRPr="00F54186">
        <w:t>Purpose of application</w:t>
      </w:r>
    </w:p>
    <w:p w14:paraId="788F24F9" w14:textId="77777777" w:rsidR="00154DFE" w:rsidRPr="00F54186" w:rsidRDefault="00154DFE" w:rsidP="008E358C">
      <w:pPr>
        <w:pStyle w:val="NormalBeforeBullet"/>
        <w:spacing w:before="240"/>
        <w:rPr>
          <w:b/>
          <w:i/>
          <w:iCs/>
        </w:rPr>
      </w:pPr>
      <w:r w:rsidRPr="00F54186">
        <w:rPr>
          <w:b/>
          <w:i/>
          <w:iCs/>
        </w:rPr>
        <w:t>April 2019 MSAC consideration</w:t>
      </w:r>
    </w:p>
    <w:p w14:paraId="268A5FDE" w14:textId="77777777" w:rsidR="00154DFE" w:rsidRPr="00F54186" w:rsidRDefault="00154DFE" w:rsidP="00F70170">
      <w:pPr>
        <w:pStyle w:val="NormalBeforeBullet"/>
        <w:rPr>
          <w:iCs/>
        </w:rPr>
      </w:pPr>
      <w:r w:rsidRPr="00F54186">
        <w:rPr>
          <w:iCs/>
        </w:rPr>
        <w:t xml:space="preserve">The Department of Health and Novartis negotiated the details of </w:t>
      </w:r>
      <w:r w:rsidR="00A0393A" w:rsidRPr="003A29D8">
        <w:rPr>
          <w:iCs/>
        </w:rPr>
        <w:t>a</w:t>
      </w:r>
      <w:r w:rsidRPr="003A29D8">
        <w:rPr>
          <w:iCs/>
        </w:rPr>
        <w:t xml:space="preserve"> risk share arrangement for</w:t>
      </w:r>
      <w:r w:rsidRPr="00F54186">
        <w:rPr>
          <w:iCs/>
        </w:rPr>
        <w:t xml:space="preserve"> tisag</w:t>
      </w:r>
      <w:r w:rsidR="00A0393A" w:rsidRPr="00F54186">
        <w:rPr>
          <w:iCs/>
        </w:rPr>
        <w:t>e</w:t>
      </w:r>
      <w:r w:rsidRPr="00F54186">
        <w:rPr>
          <w:iCs/>
        </w:rPr>
        <w:t>nlecleucel (TIS) for the treatment of confirmed relapsed/refractory CD19-positive acute lymphoblastic leukaemia in children and young adults up to 25 years old (ALL), reconsidered out-of-session by the MSAC in April 2019.</w:t>
      </w:r>
    </w:p>
    <w:p w14:paraId="258C816C" w14:textId="77777777" w:rsidR="008E37FF" w:rsidRPr="00F54186" w:rsidRDefault="008E37FF" w:rsidP="00F70170">
      <w:pPr>
        <w:pStyle w:val="NormalBeforeBullet"/>
        <w:rPr>
          <w:b/>
          <w:i/>
          <w:iCs/>
        </w:rPr>
      </w:pPr>
      <w:r w:rsidRPr="00F54186">
        <w:rPr>
          <w:b/>
          <w:i/>
          <w:iCs/>
        </w:rPr>
        <w:t>March 2019 MSAC consideration</w:t>
      </w:r>
    </w:p>
    <w:p w14:paraId="1A4DC170" w14:textId="77777777" w:rsidR="008E37FF" w:rsidRPr="00F54186" w:rsidRDefault="008E37FF" w:rsidP="00F70170">
      <w:pPr>
        <w:pStyle w:val="NormalBeforeBullet"/>
        <w:rPr>
          <w:iCs/>
        </w:rPr>
      </w:pPr>
      <w:r w:rsidRPr="00F54186">
        <w:rPr>
          <w:iCs/>
        </w:rPr>
        <w:t xml:space="preserve">A revised application received from Novartis by the Department of Health for </w:t>
      </w:r>
      <w:r w:rsidR="00154DFE" w:rsidRPr="00F54186">
        <w:rPr>
          <w:iCs/>
        </w:rPr>
        <w:t>TIS</w:t>
      </w:r>
      <w:r w:rsidRPr="00F54186">
        <w:rPr>
          <w:iCs/>
        </w:rPr>
        <w:t xml:space="preserve"> for treatment of confirmed relapsed/refractory CD19-positive </w:t>
      </w:r>
      <w:r w:rsidR="00154DFE" w:rsidRPr="00F54186">
        <w:rPr>
          <w:iCs/>
        </w:rPr>
        <w:t xml:space="preserve">ALL </w:t>
      </w:r>
      <w:r w:rsidRPr="00F54186">
        <w:rPr>
          <w:iCs/>
        </w:rPr>
        <w:t xml:space="preserve">in children and young adults up to 25 years old </w:t>
      </w:r>
      <w:r w:rsidR="00EE56B7" w:rsidRPr="00F54186">
        <w:rPr>
          <w:iCs/>
        </w:rPr>
        <w:t xml:space="preserve">(ALL) </w:t>
      </w:r>
      <w:r w:rsidRPr="00F54186">
        <w:rPr>
          <w:iCs/>
        </w:rPr>
        <w:t>was considered by the MSAC in March 2019.</w:t>
      </w:r>
    </w:p>
    <w:p w14:paraId="340297D1" w14:textId="77777777" w:rsidR="008E37FF" w:rsidRPr="00F54186" w:rsidRDefault="008E37FF" w:rsidP="00F70170">
      <w:pPr>
        <w:pStyle w:val="NormalBeforeBullet"/>
        <w:rPr>
          <w:iCs/>
        </w:rPr>
      </w:pPr>
      <w:r w:rsidRPr="00F54186">
        <w:rPr>
          <w:iCs/>
        </w:rPr>
        <w:t xml:space="preserve">A revised application received from Novartis by the Department of Health for TIS for diffuse large B-cell lymphoma (DLBCL) in adults </w:t>
      </w:r>
      <w:proofErr w:type="gramStart"/>
      <w:r w:rsidRPr="00F54186">
        <w:rPr>
          <w:iCs/>
        </w:rPr>
        <w:t xml:space="preserve">will be </w:t>
      </w:r>
      <w:r w:rsidR="00EE56B7" w:rsidRPr="00F54186">
        <w:rPr>
          <w:iCs/>
        </w:rPr>
        <w:t>considered</w:t>
      </w:r>
      <w:proofErr w:type="gramEnd"/>
      <w:r w:rsidR="00EE56B7" w:rsidRPr="00F54186">
        <w:rPr>
          <w:iCs/>
        </w:rPr>
        <w:t xml:space="preserve"> at the June 2019 ESC and the August 2019 MSAC.</w:t>
      </w:r>
    </w:p>
    <w:p w14:paraId="6286F441" w14:textId="77777777" w:rsidR="008E37FF" w:rsidRPr="00F54186" w:rsidRDefault="008E37FF" w:rsidP="0083734C">
      <w:pPr>
        <w:pStyle w:val="NormalBeforeBullet"/>
        <w:spacing w:before="240"/>
        <w:rPr>
          <w:b/>
          <w:i/>
          <w:iCs/>
        </w:rPr>
      </w:pPr>
      <w:r w:rsidRPr="00F54186">
        <w:rPr>
          <w:b/>
          <w:i/>
          <w:iCs/>
        </w:rPr>
        <w:t>November 2018 MSAC consideration</w:t>
      </w:r>
    </w:p>
    <w:p w14:paraId="6E555ED1" w14:textId="77777777" w:rsidR="00F70170" w:rsidRPr="00F54186" w:rsidRDefault="00F70170" w:rsidP="00F70170">
      <w:pPr>
        <w:pStyle w:val="NormalBeforeBullet"/>
      </w:pPr>
      <w:r w:rsidRPr="00F54186">
        <w:rPr>
          <w:iCs/>
        </w:rPr>
        <w:t xml:space="preserve">An application </w:t>
      </w:r>
      <w:proofErr w:type="gramStart"/>
      <w:r w:rsidRPr="00F54186">
        <w:rPr>
          <w:iCs/>
        </w:rPr>
        <w:t>was received</w:t>
      </w:r>
      <w:proofErr w:type="gramEnd"/>
      <w:r w:rsidRPr="00F54186">
        <w:rPr>
          <w:iCs/>
        </w:rPr>
        <w:t xml:space="preserve"> from Novartis by the Department of Health requesting funding </w:t>
      </w:r>
      <w:r w:rsidR="0083734C" w:rsidRPr="00F54186">
        <w:t xml:space="preserve">of </w:t>
      </w:r>
      <w:r w:rsidRPr="00F54186">
        <w:t>TIS</w:t>
      </w:r>
      <w:r w:rsidRPr="00F54186">
        <w:rPr>
          <w:iCs/>
        </w:rPr>
        <w:t xml:space="preserve"> for </w:t>
      </w:r>
      <w:r w:rsidRPr="00F54186">
        <w:t xml:space="preserve">the treatment of </w:t>
      </w:r>
      <w:r w:rsidR="00141304" w:rsidRPr="00F54186">
        <w:t xml:space="preserve">confirmed </w:t>
      </w:r>
      <w:r w:rsidRPr="00F54186">
        <w:t>refractory or relapsed (r/r):</w:t>
      </w:r>
    </w:p>
    <w:p w14:paraId="5C2365C5" w14:textId="77777777" w:rsidR="00F70170" w:rsidRPr="00F54186" w:rsidRDefault="00F70170" w:rsidP="009B2406">
      <w:pPr>
        <w:pStyle w:val="Bullet"/>
        <w:ind w:left="720"/>
      </w:pPr>
      <w:r w:rsidRPr="00F54186">
        <w:t xml:space="preserve">B-cell acute lymphoblastic leukaemia (ALL) in </w:t>
      </w:r>
      <w:r w:rsidR="0069270C" w:rsidRPr="00F54186">
        <w:t xml:space="preserve">paediatric </w:t>
      </w:r>
      <w:r w:rsidRPr="00F54186">
        <w:t>and young adult patients (aged 3–25 years)</w:t>
      </w:r>
      <w:r w:rsidR="00A15CF6" w:rsidRPr="00F54186">
        <w:t xml:space="preserve"> (</w:t>
      </w:r>
      <w:proofErr w:type="spellStart"/>
      <w:r w:rsidR="00A15CF6" w:rsidRPr="00F54186">
        <w:t>pALL</w:t>
      </w:r>
      <w:proofErr w:type="spellEnd"/>
      <w:r w:rsidR="00A15CF6" w:rsidRPr="00F54186">
        <w:t>)</w:t>
      </w:r>
      <w:r w:rsidR="006009D1" w:rsidRPr="00F54186">
        <w:t>; and</w:t>
      </w:r>
    </w:p>
    <w:p w14:paraId="55041B7E" w14:textId="77777777" w:rsidR="00F70170" w:rsidRPr="00F54186" w:rsidRDefault="00F70170" w:rsidP="009B2406">
      <w:pPr>
        <w:pStyle w:val="Bullet"/>
        <w:ind w:left="720"/>
      </w:pPr>
      <w:proofErr w:type="gramStart"/>
      <w:r w:rsidRPr="00F54186">
        <w:t>diffuse</w:t>
      </w:r>
      <w:proofErr w:type="gramEnd"/>
      <w:r w:rsidRPr="00F54186">
        <w:t xml:space="preserve"> large B-cell lymphoma (DLBCL) in adults.</w:t>
      </w:r>
    </w:p>
    <w:p w14:paraId="199FA451" w14:textId="77777777" w:rsidR="00F70170" w:rsidRPr="00F54186" w:rsidRDefault="00F70170" w:rsidP="0095109F">
      <w:pPr>
        <w:pStyle w:val="NoSpacing"/>
        <w:spacing w:before="240" w:after="120"/>
        <w:rPr>
          <w:rFonts w:ascii="Times New Roman" w:hAnsi="Times New Roman" w:cs="Times New Roman"/>
          <w:sz w:val="24"/>
          <w:szCs w:val="24"/>
        </w:rPr>
      </w:pPr>
      <w:r w:rsidRPr="00F54186">
        <w:rPr>
          <w:rFonts w:ascii="Times New Roman" w:hAnsi="Times New Roman" w:cs="Times New Roman"/>
          <w:sz w:val="24"/>
          <w:szCs w:val="24"/>
        </w:rPr>
        <w:t>The application proposed that the new funding program have two distinct components:</w:t>
      </w:r>
    </w:p>
    <w:p w14:paraId="1C6F6E5A" w14:textId="77777777" w:rsidR="006009D1" w:rsidRPr="00F54186" w:rsidRDefault="004429A2" w:rsidP="009B2406">
      <w:pPr>
        <w:pStyle w:val="Bullet"/>
        <w:ind w:left="720"/>
        <w:rPr>
          <w:szCs w:val="24"/>
        </w:rPr>
      </w:pPr>
      <w:r w:rsidRPr="00F54186">
        <w:t>o</w:t>
      </w:r>
      <w:r w:rsidR="00F70170" w:rsidRPr="00F54186">
        <w:t>ne</w:t>
      </w:r>
      <w:r w:rsidR="00F70170" w:rsidRPr="00F54186">
        <w:rPr>
          <w:szCs w:val="24"/>
        </w:rPr>
        <w:t xml:space="preserve"> </w:t>
      </w:r>
      <w:r w:rsidR="00F70170" w:rsidRPr="00F54186">
        <w:t>encompassing</w:t>
      </w:r>
      <w:r w:rsidR="00F70170" w:rsidRPr="00F54186">
        <w:rPr>
          <w:szCs w:val="24"/>
        </w:rPr>
        <w:t xml:space="preserve"> those aspects of the proposed therapeutic process performed entirely within an Australian treatment setting; </w:t>
      </w:r>
      <w:r w:rsidRPr="00F54186">
        <w:rPr>
          <w:szCs w:val="24"/>
        </w:rPr>
        <w:t>and</w:t>
      </w:r>
    </w:p>
    <w:p w14:paraId="79E92BA3" w14:textId="77777777" w:rsidR="00F70170" w:rsidRPr="00F54186" w:rsidRDefault="004429A2" w:rsidP="009B2406">
      <w:pPr>
        <w:pStyle w:val="Bullet"/>
        <w:ind w:left="720"/>
        <w:rPr>
          <w:szCs w:val="24"/>
        </w:rPr>
      </w:pPr>
      <w:r w:rsidRPr="00F54186">
        <w:lastRenderedPageBreak/>
        <w:t>a</w:t>
      </w:r>
      <w:r w:rsidR="00F70170" w:rsidRPr="00F54186">
        <w:t>nother</w:t>
      </w:r>
      <w:r w:rsidR="00F70170" w:rsidRPr="00F54186">
        <w:rPr>
          <w:szCs w:val="24"/>
        </w:rPr>
        <w:t xml:space="preserve"> </w:t>
      </w:r>
      <w:r w:rsidR="00F70170" w:rsidRPr="00F54186">
        <w:t>comprising</w:t>
      </w:r>
      <w:r w:rsidR="00F70170" w:rsidRPr="00F54186">
        <w:rPr>
          <w:szCs w:val="24"/>
        </w:rPr>
        <w:t xml:space="preserve"> the totality of the process of transportation of cryopreserved T</w:t>
      </w:r>
      <w:r w:rsidR="0095109F" w:rsidRPr="00F54186">
        <w:rPr>
          <w:szCs w:val="24"/>
        </w:rPr>
        <w:t> </w:t>
      </w:r>
      <w:r w:rsidR="00F70170" w:rsidRPr="00F54186">
        <w:rPr>
          <w:szCs w:val="24"/>
        </w:rPr>
        <w:t>cells to a centralised manufacturing facility, genetic reprogramming and expansion of the T cells to create TIS, strict quality control and release procedures, and transportation of finished product back to the hospital site for reinfusion into the patient.</w:t>
      </w:r>
    </w:p>
    <w:p w14:paraId="77FA3383" w14:textId="77777777" w:rsidR="00154DFE" w:rsidRPr="00F54186" w:rsidRDefault="00154DFE" w:rsidP="00AB1B01">
      <w:pPr>
        <w:pStyle w:val="Heading1"/>
      </w:pPr>
      <w:r w:rsidRPr="00F54186">
        <w:t>MSAC’s advice to the Minister-</w:t>
      </w:r>
      <w:r w:rsidR="00F70ABE">
        <w:t xml:space="preserve"> </w:t>
      </w:r>
      <w:r w:rsidRPr="00F54186">
        <w:t>April 2019 consideration</w:t>
      </w:r>
    </w:p>
    <w:p w14:paraId="54971922" w14:textId="77777777" w:rsidR="00585936" w:rsidRPr="003A29D8" w:rsidRDefault="00154DFE" w:rsidP="00154DFE">
      <w:pPr>
        <w:spacing w:after="240"/>
        <w:rPr>
          <w:szCs w:val="24"/>
        </w:rPr>
      </w:pPr>
      <w:r w:rsidRPr="00F54186">
        <w:rPr>
          <w:szCs w:val="24"/>
        </w:rPr>
        <w:t>Following the MSAC</w:t>
      </w:r>
      <w:r w:rsidR="00585936" w:rsidRPr="00F54186">
        <w:rPr>
          <w:szCs w:val="24"/>
        </w:rPr>
        <w:t xml:space="preserve">’s decision to defer its advice on the public funding of TIS for treatment of ALL in children </w:t>
      </w:r>
      <w:r w:rsidR="00585936" w:rsidRPr="003A29D8">
        <w:rPr>
          <w:szCs w:val="24"/>
        </w:rPr>
        <w:t>and young adults up to 25 years old at the</w:t>
      </w:r>
      <w:r w:rsidRPr="003A29D8">
        <w:rPr>
          <w:szCs w:val="24"/>
        </w:rPr>
        <w:t xml:space="preserve"> March 2019 meeting, the Department and the applicant negotiated the details of a risk share arrangement for TIS </w:t>
      </w:r>
      <w:r w:rsidR="00585936" w:rsidRPr="003A29D8">
        <w:t>in the ALL population</w:t>
      </w:r>
      <w:r w:rsidRPr="003A29D8">
        <w:rPr>
          <w:szCs w:val="24"/>
        </w:rPr>
        <w:t xml:space="preserve">. </w:t>
      </w:r>
    </w:p>
    <w:p w14:paraId="43AC0BFC" w14:textId="77777777" w:rsidR="00154DFE" w:rsidRPr="003A29D8" w:rsidRDefault="00154DFE" w:rsidP="00154DFE">
      <w:pPr>
        <w:spacing w:after="240"/>
        <w:rPr>
          <w:szCs w:val="24"/>
        </w:rPr>
      </w:pPr>
      <w:r w:rsidRPr="003A29D8">
        <w:rPr>
          <w:szCs w:val="24"/>
        </w:rPr>
        <w:t>The MSAC reviewed the risk share arrangement in an out-of-session MSAC reconsideration. The MSAC supported the negotiated risk share arrangement, considering it appropriately managed the clinical, economic and financial uncertainty existing in the</w:t>
      </w:r>
      <w:r w:rsidR="001F2D01" w:rsidRPr="003A29D8">
        <w:rPr>
          <w:szCs w:val="24"/>
        </w:rPr>
        <w:t xml:space="preserve"> March 2019 </w:t>
      </w:r>
      <w:r w:rsidR="006F79E4" w:rsidRPr="003A29D8">
        <w:rPr>
          <w:szCs w:val="24"/>
        </w:rPr>
        <w:t>application funding</w:t>
      </w:r>
      <w:r w:rsidRPr="003A29D8">
        <w:rPr>
          <w:szCs w:val="24"/>
        </w:rPr>
        <w:t xml:space="preserve"> proposal and </w:t>
      </w:r>
      <w:proofErr w:type="gramStart"/>
      <w:r w:rsidRPr="003A29D8">
        <w:rPr>
          <w:szCs w:val="24"/>
        </w:rPr>
        <w:t>recommended</w:t>
      </w:r>
      <w:proofErr w:type="gramEnd"/>
      <w:r w:rsidRPr="003A29D8">
        <w:rPr>
          <w:szCs w:val="24"/>
        </w:rPr>
        <w:t xml:space="preserve"> the public funding of TIS for treatment of ALL in children and young adults up to 25 years old. </w:t>
      </w:r>
    </w:p>
    <w:p w14:paraId="3A54AC32" w14:textId="77777777" w:rsidR="00585936" w:rsidRPr="003A29D8" w:rsidRDefault="00585936" w:rsidP="008E358C">
      <w:pPr>
        <w:pStyle w:val="Heading1"/>
        <w:numPr>
          <w:ilvl w:val="0"/>
          <w:numId w:val="0"/>
        </w:numPr>
        <w:ind w:left="720" w:hanging="720"/>
      </w:pPr>
      <w:r w:rsidRPr="003A29D8">
        <w:t>Summary of consideration and rationale for MSAC’s advice – April 2019</w:t>
      </w:r>
    </w:p>
    <w:p w14:paraId="5D5ED859" w14:textId="77777777" w:rsidR="00585936" w:rsidRPr="00F54186" w:rsidRDefault="00585936" w:rsidP="00585936">
      <w:pPr>
        <w:keepNext/>
        <w:spacing w:before="120" w:after="120"/>
      </w:pPr>
      <w:r w:rsidRPr="003A29D8">
        <w:t xml:space="preserve">The MSAC considered the following negotiated risk share agreement between the </w:t>
      </w:r>
      <w:r w:rsidR="00FC4788" w:rsidRPr="003A29D8">
        <w:t xml:space="preserve">applicant </w:t>
      </w:r>
      <w:r w:rsidRPr="003A29D8">
        <w:t>and the Department</w:t>
      </w:r>
      <w:r w:rsidR="008E358C" w:rsidRPr="003A29D8">
        <w:t xml:space="preserve"> for an in</w:t>
      </w:r>
      <w:r w:rsidR="00B756EB" w:rsidRPr="003A29D8">
        <w:t>itial 2 years of public funding</w:t>
      </w:r>
      <w:r w:rsidR="00F70ABE" w:rsidRPr="003A29D8">
        <w:t>,</w:t>
      </w:r>
      <w:r w:rsidRPr="003A29D8">
        <w:t xml:space="preserve"> w</w:t>
      </w:r>
      <w:r w:rsidR="00FC4788" w:rsidRPr="003A29D8">
        <w:t xml:space="preserve">ould </w:t>
      </w:r>
      <w:r w:rsidRPr="003A29D8">
        <w:t>appropriate</w:t>
      </w:r>
      <w:r w:rsidR="00FC4788" w:rsidRPr="003A29D8">
        <w:t>ly</w:t>
      </w:r>
      <w:r w:rsidR="001F2D01" w:rsidRPr="00F54186">
        <w:t xml:space="preserve"> manage the uncertainty existing in the </w:t>
      </w:r>
      <w:r w:rsidR="00FC4788" w:rsidRPr="00F54186">
        <w:t xml:space="preserve">applicant’s </w:t>
      </w:r>
      <w:r w:rsidR="001F2D01" w:rsidRPr="00F54186">
        <w:t>March 2019 funding proposal</w:t>
      </w:r>
      <w:r w:rsidRPr="00F54186">
        <w:t>:</w:t>
      </w:r>
    </w:p>
    <w:p w14:paraId="1A9EB489" w14:textId="77777777" w:rsidR="00585936" w:rsidRPr="002306D6" w:rsidRDefault="00BD4B6F" w:rsidP="008E358C">
      <w:pPr>
        <w:pStyle w:val="Bullet"/>
        <w:ind w:left="720"/>
      </w:pPr>
      <w:r w:rsidRPr="002306D6">
        <w:t>a</w:t>
      </w:r>
      <w:r w:rsidR="00585936" w:rsidRPr="002306D6">
        <w:t xml:space="preserve"> pay only on successful infusion</w:t>
      </w:r>
      <w:r w:rsidR="00FC4788" w:rsidRPr="002306D6">
        <w:t>*</w:t>
      </w:r>
      <w:r w:rsidR="00585936" w:rsidRPr="002306D6">
        <w:t xml:space="preserve"> arrangement;</w:t>
      </w:r>
    </w:p>
    <w:p w14:paraId="5580BC51" w14:textId="24E4E5D9" w:rsidR="00BD4B6F" w:rsidRPr="002306D6" w:rsidRDefault="00377B8F" w:rsidP="008E358C">
      <w:pPr>
        <w:pStyle w:val="Bullet"/>
        <w:ind w:left="720"/>
      </w:pPr>
      <w:r w:rsidRPr="002306D6">
        <w:rPr>
          <w:b/>
        </w:rPr>
        <w:t>Redacted</w:t>
      </w:r>
      <w:r w:rsidR="006736A6" w:rsidRPr="002306D6">
        <w:t>;</w:t>
      </w:r>
    </w:p>
    <w:p w14:paraId="46C55361" w14:textId="2B8B2AA1" w:rsidR="00585936" w:rsidRPr="002306D6" w:rsidRDefault="006F1F40" w:rsidP="008E358C">
      <w:pPr>
        <w:pStyle w:val="Bullet"/>
        <w:ind w:left="720"/>
      </w:pPr>
      <w:r w:rsidRPr="002306D6">
        <w:rPr>
          <w:b/>
        </w:rPr>
        <w:t>Redacted</w:t>
      </w:r>
      <w:r w:rsidR="006736A6" w:rsidRPr="002306D6">
        <w:t>;</w:t>
      </w:r>
    </w:p>
    <w:p w14:paraId="1B1C95EB" w14:textId="64CCC5A9" w:rsidR="00585936" w:rsidRPr="002306D6" w:rsidRDefault="006F1F40" w:rsidP="008E358C">
      <w:pPr>
        <w:pStyle w:val="Bullet"/>
        <w:ind w:left="720"/>
      </w:pPr>
      <w:r w:rsidRPr="002306D6">
        <w:rPr>
          <w:b/>
        </w:rPr>
        <w:t>Redacted</w:t>
      </w:r>
      <w:r w:rsidR="006736A6" w:rsidRPr="002306D6">
        <w:t>;</w:t>
      </w:r>
      <w:r w:rsidR="00BD4B6F" w:rsidRPr="002306D6">
        <w:t xml:space="preserve"> </w:t>
      </w:r>
    </w:p>
    <w:p w14:paraId="32B01E81" w14:textId="280D7E63" w:rsidR="00585936" w:rsidRPr="002306D6" w:rsidRDefault="006F1F40" w:rsidP="008E358C">
      <w:pPr>
        <w:pStyle w:val="Bullet"/>
        <w:ind w:left="720"/>
      </w:pPr>
      <w:r w:rsidRPr="002306D6">
        <w:rPr>
          <w:b/>
        </w:rPr>
        <w:t>Redacted</w:t>
      </w:r>
      <w:r w:rsidR="006736A6" w:rsidRPr="002306D6">
        <w:t>;</w:t>
      </w:r>
    </w:p>
    <w:p w14:paraId="298F154E" w14:textId="2B80F904" w:rsidR="001F2D01" w:rsidRPr="002306D6" w:rsidRDefault="008E358C" w:rsidP="008E358C">
      <w:pPr>
        <w:pStyle w:val="Bullet"/>
        <w:ind w:left="720"/>
      </w:pPr>
      <w:r w:rsidRPr="002306D6">
        <w:t>t</w:t>
      </w:r>
      <w:r w:rsidR="001F2D01" w:rsidRPr="002306D6">
        <w:t>reatment</w:t>
      </w:r>
      <w:r w:rsidRPr="002306D6">
        <w:t xml:space="preserve"> to be limited</w:t>
      </w:r>
      <w:r w:rsidR="001F2D01" w:rsidRPr="002306D6">
        <w:t xml:space="preserve"> to a single </w:t>
      </w:r>
      <w:r w:rsidR="004014A6" w:rsidRPr="002306D6">
        <w:t xml:space="preserve">dose </w:t>
      </w:r>
      <w:r w:rsidR="001F2D01" w:rsidRPr="002306D6">
        <w:t xml:space="preserve">of TIS, as there is no evidence currently available informing the effectiveness </w:t>
      </w:r>
      <w:r w:rsidR="00D325FF" w:rsidRPr="002306D6">
        <w:t xml:space="preserve">or safety of multiple </w:t>
      </w:r>
      <w:r w:rsidR="00F105EE" w:rsidRPr="002306D6">
        <w:t>doses</w:t>
      </w:r>
      <w:r w:rsidR="00D325FF" w:rsidRPr="002306D6">
        <w:t>;</w:t>
      </w:r>
      <w:r w:rsidR="00DE586A" w:rsidRPr="002306D6">
        <w:t xml:space="preserve"> and</w:t>
      </w:r>
    </w:p>
    <w:p w14:paraId="01F40155" w14:textId="3072D52F" w:rsidR="00BD4B6F" w:rsidRPr="002306D6" w:rsidRDefault="008E358C" w:rsidP="002306D6">
      <w:pPr>
        <w:pStyle w:val="Bullet"/>
        <w:spacing w:after="360"/>
        <w:ind w:left="714" w:hanging="357"/>
      </w:pPr>
      <w:r w:rsidRPr="002306D6">
        <w:t>a</w:t>
      </w:r>
      <w:r w:rsidR="00BD4B6F" w:rsidRPr="002306D6">
        <w:t xml:space="preserve"> full review of clinical effectiveness, cost- effectiveness and budget impact will be conducted by the MSAC no later than 2 years </w:t>
      </w:r>
      <w:r w:rsidR="00DE586A" w:rsidRPr="002306D6">
        <w:t xml:space="preserve">post </w:t>
      </w:r>
      <w:r w:rsidR="00BD4B6F" w:rsidRPr="002306D6">
        <w:t xml:space="preserve">the commencement of </w:t>
      </w:r>
      <w:r w:rsidR="00DE586A" w:rsidRPr="002306D6">
        <w:t xml:space="preserve"> public </w:t>
      </w:r>
      <w:r w:rsidR="00BD4B6F" w:rsidRPr="002306D6">
        <w:t>subsidy (note: Novartis will provide a submission to initiate this review).  </w:t>
      </w:r>
      <w:r w:rsidR="006F1F40" w:rsidRPr="002306D6">
        <w:rPr>
          <w:b/>
        </w:rPr>
        <w:t>Redacted</w:t>
      </w:r>
      <w:r w:rsidR="00BD4B6F" w:rsidRPr="002306D6">
        <w:t>.</w:t>
      </w:r>
    </w:p>
    <w:p w14:paraId="25023C7A" w14:textId="2A41D2B7" w:rsidR="00585936" w:rsidRPr="00F54186" w:rsidRDefault="00F70ABE" w:rsidP="002306D6">
      <w:pPr>
        <w:spacing w:after="240"/>
      </w:pPr>
      <w:r w:rsidRPr="002306D6">
        <w:rPr>
          <w:vertAlign w:val="superscript"/>
        </w:rPr>
        <w:t>*</w:t>
      </w:r>
      <w:r w:rsidR="004A089A" w:rsidRPr="002306D6">
        <w:t>successful</w:t>
      </w:r>
      <w:r w:rsidR="004A089A" w:rsidRPr="00F54186">
        <w:t xml:space="preserve"> infusion: patient is infused with </w:t>
      </w:r>
      <w:proofErr w:type="spellStart"/>
      <w:r w:rsidR="004A089A" w:rsidRPr="00F54186">
        <w:t>Kymriah</w:t>
      </w:r>
      <w:proofErr w:type="spellEnd"/>
      <w:r w:rsidR="004A089A" w:rsidRPr="00F54186">
        <w:t xml:space="preserve"> with a clinically acceptable cell </w:t>
      </w:r>
      <w:proofErr w:type="gramStart"/>
      <w:r w:rsidR="004A089A" w:rsidRPr="00F54186">
        <w:t>dose which</w:t>
      </w:r>
      <w:proofErr w:type="gramEnd"/>
      <w:r w:rsidR="004A089A" w:rsidRPr="00F54186">
        <w:t xml:space="preserve"> is consistent with the expected cell dos</w:t>
      </w:r>
      <w:r w:rsidR="002306D6">
        <w:t>e specified prior to apheresis.</w:t>
      </w:r>
    </w:p>
    <w:p w14:paraId="61D6E7C8" w14:textId="42750712" w:rsidR="004A089A" w:rsidRPr="00F54186" w:rsidRDefault="00AD68B3" w:rsidP="008E358C">
      <w:bookmarkStart w:id="0" w:name="_GoBack"/>
      <w:r w:rsidRPr="002306D6">
        <w:rPr>
          <w:b/>
        </w:rPr>
        <w:t>Redacted</w:t>
      </w:r>
      <w:bookmarkEnd w:id="0"/>
      <w:r w:rsidR="004A089A" w:rsidRPr="00F54186">
        <w:t>.</w:t>
      </w:r>
    </w:p>
    <w:p w14:paraId="27D73612" w14:textId="77777777" w:rsidR="00AB1B01" w:rsidRPr="00F54186" w:rsidRDefault="00AB1B01" w:rsidP="00AB1B01">
      <w:pPr>
        <w:pStyle w:val="Heading1"/>
      </w:pPr>
      <w:r w:rsidRPr="00F54186">
        <w:t>MSAC’s advice to the Minister– March 2019 consideration</w:t>
      </w:r>
    </w:p>
    <w:p w14:paraId="06421C72" w14:textId="77777777" w:rsidR="00DA7B6B" w:rsidRPr="00F54186" w:rsidRDefault="00DA7B6B" w:rsidP="006C769C">
      <w:pPr>
        <w:spacing w:after="240"/>
      </w:pPr>
      <w:r w:rsidRPr="00F54186">
        <w:t xml:space="preserve">The MSAC considered the revised subsidy proposal for TIS (CTL019 – CAR-T therapy) for treatment of confirmed relapsed/refractory CD19-positive acute </w:t>
      </w:r>
      <w:r w:rsidR="008D7CB2" w:rsidRPr="00F54186">
        <w:t xml:space="preserve">lymphoblastic </w:t>
      </w:r>
      <w:r w:rsidRPr="00F54186">
        <w:t>leukaemia (ALL) in children and young adults up to 25 years old received from the applicant.</w:t>
      </w:r>
    </w:p>
    <w:p w14:paraId="3149F4F7" w14:textId="77777777" w:rsidR="00EE56B7" w:rsidRPr="00F54186" w:rsidRDefault="00DA7B6B" w:rsidP="006C769C">
      <w:pPr>
        <w:spacing w:after="240"/>
      </w:pPr>
      <w:r w:rsidRPr="00F54186">
        <w:t>After considering the strength of the available evidence in relation to comparative safety, clinical effectiveness and cost-effectiveness, MSAC deferred its advice on public funding of TIS for treatment of ALL in children and y</w:t>
      </w:r>
      <w:r w:rsidR="006C769C" w:rsidRPr="00F54186">
        <w:t>oung adults up to 25 years old.</w:t>
      </w:r>
    </w:p>
    <w:p w14:paraId="7D47805E" w14:textId="77777777" w:rsidR="00DA7B6B" w:rsidRPr="00F54186" w:rsidRDefault="00DA7B6B" w:rsidP="006C769C">
      <w:pPr>
        <w:spacing w:after="240"/>
        <w:rPr>
          <w:bCs/>
          <w:szCs w:val="24"/>
        </w:rPr>
      </w:pPr>
      <w:r w:rsidRPr="00F54186">
        <w:lastRenderedPageBreak/>
        <w:t xml:space="preserve">MSAC recognised the large unmet clinical need for a small group of patients and the preliminary supportive evidence of a clinically important treatment effect. </w:t>
      </w:r>
    </w:p>
    <w:p w14:paraId="3B1491C8" w14:textId="77777777" w:rsidR="00DA7B6B" w:rsidRPr="00F54186" w:rsidRDefault="00DA7B6B" w:rsidP="006C769C">
      <w:pPr>
        <w:spacing w:after="240"/>
        <w:rPr>
          <w:szCs w:val="24"/>
        </w:rPr>
      </w:pPr>
      <w:r w:rsidRPr="00F54186">
        <w:rPr>
          <w:bCs/>
          <w:szCs w:val="24"/>
        </w:rPr>
        <w:t xml:space="preserve">MSAC considered that TIS would be acceptably cost-effective in the ALL population with additional risk share measures in place to those proposed in the application to manage the remaining areas of clinical, economic and financial uncertainty that exist in the funding proposal. These include uncertainty about the proportion of, and durability of, responses in clinical practice; uncertainty about the number of patients going on to stem cell transplantation; uncertainty about the duration of immunoglobulin (intravenous, </w:t>
      </w:r>
      <w:proofErr w:type="spellStart"/>
      <w:r w:rsidRPr="00F54186">
        <w:rPr>
          <w:bCs/>
          <w:szCs w:val="24"/>
        </w:rPr>
        <w:t>IVIg</w:t>
      </w:r>
      <w:proofErr w:type="spellEnd"/>
      <w:r w:rsidRPr="00F54186">
        <w:rPr>
          <w:bCs/>
          <w:szCs w:val="24"/>
        </w:rPr>
        <w:t xml:space="preserve">, or subcutaneous, </w:t>
      </w:r>
      <w:proofErr w:type="spellStart"/>
      <w:r w:rsidRPr="00F54186">
        <w:rPr>
          <w:bCs/>
          <w:szCs w:val="24"/>
        </w:rPr>
        <w:t>SCIg</w:t>
      </w:r>
      <w:proofErr w:type="spellEnd"/>
      <w:r w:rsidRPr="00F54186">
        <w:rPr>
          <w:bCs/>
          <w:szCs w:val="24"/>
        </w:rPr>
        <w:t xml:space="preserve">) treatment; and uncertainty in the number of patients who will selected for treatment, and the number of patients who will ultimately receive treatment. </w:t>
      </w:r>
      <w:r w:rsidRPr="00F54186">
        <w:rPr>
          <w:szCs w:val="24"/>
        </w:rPr>
        <w:t xml:space="preserve">MSAC requested that the detail of a risk share arrangement </w:t>
      </w:r>
      <w:proofErr w:type="gramStart"/>
      <w:r w:rsidRPr="00F54186">
        <w:rPr>
          <w:szCs w:val="24"/>
        </w:rPr>
        <w:t>be negotiated</w:t>
      </w:r>
      <w:proofErr w:type="gramEnd"/>
      <w:r w:rsidRPr="00F54186">
        <w:rPr>
          <w:szCs w:val="24"/>
        </w:rPr>
        <w:t xml:space="preserve"> between the Department and the applicant. MSAC further requested that this information </w:t>
      </w:r>
      <w:proofErr w:type="gramStart"/>
      <w:r w:rsidRPr="00F54186">
        <w:rPr>
          <w:szCs w:val="24"/>
        </w:rPr>
        <w:t>be provided</w:t>
      </w:r>
      <w:proofErr w:type="gramEnd"/>
      <w:r w:rsidRPr="00F54186">
        <w:rPr>
          <w:szCs w:val="24"/>
        </w:rPr>
        <w:t xml:space="preserve"> to the MSAC Executive for review with MSAC out-of-session reconsideration if considered necessary by the MSAC Executive.</w:t>
      </w:r>
    </w:p>
    <w:p w14:paraId="1F297469" w14:textId="77777777" w:rsidR="00AB1B01" w:rsidRPr="00F54186" w:rsidRDefault="00AB1B01" w:rsidP="00AB1B01">
      <w:pPr>
        <w:pStyle w:val="Heading1"/>
        <w:numPr>
          <w:ilvl w:val="0"/>
          <w:numId w:val="0"/>
        </w:numPr>
        <w:ind w:left="720" w:hanging="720"/>
      </w:pPr>
      <w:r w:rsidRPr="00F54186">
        <w:t>Summary of consideration and rationale for MSAC’s advice – March 2019</w:t>
      </w:r>
    </w:p>
    <w:p w14:paraId="14638FF4" w14:textId="77777777" w:rsidR="00EE56B7" w:rsidRPr="00F54186" w:rsidRDefault="00EE56B7" w:rsidP="006C769C">
      <w:pPr>
        <w:spacing w:after="240"/>
      </w:pPr>
      <w:r w:rsidRPr="00F54186">
        <w:t>MSAC noted that the purpose of the application is to seek national funding for TIS for the treatment of refractory or relapsed ALL</w:t>
      </w:r>
      <w:r w:rsidRPr="00F54186">
        <w:rPr>
          <w:color w:val="000000"/>
        </w:rPr>
        <w:t xml:space="preserve"> </w:t>
      </w:r>
      <w:r w:rsidRPr="00F54186">
        <w:t xml:space="preserve">in children and young adults up to 25 years old. The MSAC recalled it had deferred its decision at the November 2018 MSAC meeting, as the incremental cost effectiveness ratio per quality-adjusted life-year gained (ICER/QALY) was both unacceptably high and underestimated. At that time, the MSAC advised that the economic evaluation for ALL needed to </w:t>
      </w:r>
      <w:proofErr w:type="gramStart"/>
      <w:r w:rsidRPr="00F54186">
        <w:t>be revised</w:t>
      </w:r>
      <w:proofErr w:type="gramEnd"/>
      <w:r w:rsidRPr="00F54186">
        <w:t xml:space="preserve"> and a price for TIS ascertained at which it is acceptably cost-effective. The MSAC also considered the financial estimates too high.</w:t>
      </w:r>
    </w:p>
    <w:p w14:paraId="4A9632C5" w14:textId="77777777" w:rsidR="00EE56B7" w:rsidRPr="00F54186" w:rsidRDefault="00EE56B7" w:rsidP="006C769C">
      <w:pPr>
        <w:keepNext/>
        <w:spacing w:after="240"/>
      </w:pPr>
      <w:r w:rsidRPr="00F54186">
        <w:t>The MSAC noted that the revised application did not provide any additional clinical data but appropriately endeavoured to address the uncertainties in the economic model and financial estimates and proposed a new lower price.</w:t>
      </w:r>
    </w:p>
    <w:p w14:paraId="7F269311" w14:textId="77777777" w:rsidR="00EE56B7" w:rsidRPr="00EE56B7" w:rsidRDefault="00EE56B7" w:rsidP="006C769C">
      <w:pPr>
        <w:keepNext/>
        <w:spacing w:after="240"/>
      </w:pPr>
      <w:r w:rsidRPr="00F54186">
        <w:t xml:space="preserve">The MSAC noted that the main changes to economic model were a reduction in the effective price of TIS; an increase in the duration of </w:t>
      </w:r>
      <w:proofErr w:type="spellStart"/>
      <w:r w:rsidRPr="00F54186">
        <w:t>IVIg</w:t>
      </w:r>
      <w:proofErr w:type="spellEnd"/>
      <w:r w:rsidRPr="00F54186">
        <w:t xml:space="preserve"> use in both the treatment and comparator arms </w:t>
      </w:r>
      <w:r w:rsidRPr="001A729B">
        <w:t>to 36 months;</w:t>
      </w:r>
      <w:r w:rsidRPr="00F54186">
        <w:t xml:space="preserve"> and adoption of blinatumomab as the single comparator. The Critique presented a respecified base case in wh</w:t>
      </w:r>
      <w:r w:rsidRPr="00E04ADC">
        <w:t>ich 6 years</w:t>
      </w:r>
      <w:r w:rsidRPr="00F54186">
        <w:t xml:space="preserve"> of IV1g use was assumed for all TIS infused patients who do not go on to stem cell transplantation together with a reduced duration of </w:t>
      </w:r>
      <w:proofErr w:type="spellStart"/>
      <w:r w:rsidRPr="00F54186">
        <w:t>IVIg</w:t>
      </w:r>
      <w:proofErr w:type="spellEnd"/>
      <w:r w:rsidRPr="00F54186">
        <w:t xml:space="preserve"> use in the comparator arm. The Critique also presented the ICER/QALY using a weighted comparator of blinatumomab (75%) and salvage che</w:t>
      </w:r>
      <w:r w:rsidRPr="00EE56B7">
        <w:t>motherapy (25%)</w:t>
      </w:r>
      <w:r w:rsidRPr="00EE56B7">
        <w:rPr>
          <w:color w:val="000000"/>
        </w:rPr>
        <w:t xml:space="preserve"> </w:t>
      </w:r>
      <w:r w:rsidRPr="00EE56B7">
        <w:t xml:space="preserve">as per the original version of the application considered at the November 2018 meeting of the MSAC. </w:t>
      </w:r>
    </w:p>
    <w:p w14:paraId="05E4FBC6" w14:textId="51E3539E" w:rsidR="00EE56B7" w:rsidRPr="002306D6" w:rsidRDefault="00EE56B7" w:rsidP="006C769C">
      <w:pPr>
        <w:keepNext/>
        <w:spacing w:after="240"/>
      </w:pPr>
      <w:r w:rsidRPr="00EE56B7">
        <w:t xml:space="preserve">The effective price of TIS was lowered by applicant </w:t>
      </w:r>
      <w:r w:rsidRPr="002306D6">
        <w:t>from $</w:t>
      </w:r>
      <w:r w:rsidR="006F1F40" w:rsidRPr="002306D6">
        <w:rPr>
          <w:b/>
        </w:rPr>
        <w:t>redacted</w:t>
      </w:r>
      <w:r w:rsidR="006F1F40" w:rsidRPr="002306D6">
        <w:t xml:space="preserve"> </w:t>
      </w:r>
      <w:r w:rsidRPr="002306D6">
        <w:t>to $</w:t>
      </w:r>
      <w:r w:rsidR="006F1F40" w:rsidRPr="002306D6">
        <w:rPr>
          <w:b/>
        </w:rPr>
        <w:t>redacted</w:t>
      </w:r>
      <w:r w:rsidRPr="002306D6">
        <w:t>. The MSAC noted that at the proposed new price, the ICER is $</w:t>
      </w:r>
      <w:r w:rsidR="006F1F40" w:rsidRPr="002306D6">
        <w:rPr>
          <w:b/>
        </w:rPr>
        <w:t>redacted</w:t>
      </w:r>
      <w:r w:rsidR="006F1F40" w:rsidRPr="002306D6">
        <w:t xml:space="preserve"> </w:t>
      </w:r>
      <w:r w:rsidRPr="002306D6">
        <w:t>/QALY using the revised application’s economic model with a weighted comparator, and $</w:t>
      </w:r>
      <w:r w:rsidR="006F1F40" w:rsidRPr="002306D6">
        <w:rPr>
          <w:b/>
        </w:rPr>
        <w:t>redacted</w:t>
      </w:r>
      <w:r w:rsidR="006F1F40" w:rsidRPr="002306D6">
        <w:t xml:space="preserve"> </w:t>
      </w:r>
      <w:r w:rsidRPr="002306D6">
        <w:t xml:space="preserve">/QALY using the </w:t>
      </w:r>
      <w:proofErr w:type="gramStart"/>
      <w:r w:rsidRPr="002306D6">
        <w:t>Critique’s</w:t>
      </w:r>
      <w:proofErr w:type="gramEnd"/>
      <w:r w:rsidRPr="002306D6">
        <w:t xml:space="preserve"> re-specified model with a weighted comparator. The MSAC </w:t>
      </w:r>
      <w:proofErr w:type="gramStart"/>
      <w:r w:rsidRPr="002306D6">
        <w:t>was reassured</w:t>
      </w:r>
      <w:proofErr w:type="gramEnd"/>
      <w:r w:rsidRPr="002306D6">
        <w:t xml:space="preserve"> by the concordance of the ICERs from both versions of the model.</w:t>
      </w:r>
    </w:p>
    <w:p w14:paraId="3C9B9380" w14:textId="6E75E7C1" w:rsidR="00EE56B7" w:rsidRPr="002306D6" w:rsidRDefault="00EE56B7" w:rsidP="006C769C">
      <w:pPr>
        <w:keepNext/>
        <w:spacing w:after="240"/>
      </w:pPr>
      <w:r w:rsidRPr="002306D6">
        <w:t xml:space="preserve">The MSAC noted that the high ICER </w:t>
      </w:r>
      <w:proofErr w:type="gramStart"/>
      <w:r w:rsidRPr="002306D6">
        <w:t>is driven</w:t>
      </w:r>
      <w:proofErr w:type="gramEnd"/>
      <w:r w:rsidRPr="002306D6">
        <w:t xml:space="preserve"> primarily by the high cost of TIS. The MSAC further noted the ICER is only slightly reduced from the base case of </w:t>
      </w:r>
      <w:r w:rsidR="000E6323" w:rsidRPr="002306D6">
        <w:t>$</w:t>
      </w:r>
      <w:r w:rsidR="006F1F40" w:rsidRPr="002306D6">
        <w:rPr>
          <w:b/>
        </w:rPr>
        <w:t>redacted</w:t>
      </w:r>
      <w:r w:rsidR="006F1F40" w:rsidRPr="002306D6">
        <w:t xml:space="preserve"> </w:t>
      </w:r>
      <w:r w:rsidR="000E6323" w:rsidRPr="002306D6">
        <w:t>/QALY with a w</w:t>
      </w:r>
      <w:r w:rsidRPr="002306D6">
        <w:t xml:space="preserve">eighted comparator estimated by the economic model considered in November 2018 </w:t>
      </w:r>
      <w:proofErr w:type="gramStart"/>
      <w:r w:rsidRPr="002306D6">
        <w:t xml:space="preserve">on </w:t>
      </w:r>
      <w:r w:rsidRPr="002306D6">
        <w:lastRenderedPageBreak/>
        <w:t>the basis of</w:t>
      </w:r>
      <w:proofErr w:type="gramEnd"/>
      <w:r w:rsidRPr="002306D6">
        <w:t xml:space="preserve"> a price of $</w:t>
      </w:r>
      <w:r w:rsidR="006F1F40" w:rsidRPr="002306D6">
        <w:rPr>
          <w:b/>
        </w:rPr>
        <w:t>redacted</w:t>
      </w:r>
      <w:r w:rsidRPr="002306D6">
        <w:t>. At that time, the MSAC considered the ICER was both unacceptably high and underestimated.</w:t>
      </w:r>
    </w:p>
    <w:p w14:paraId="377674A9" w14:textId="2F5FCBD5" w:rsidR="00EE56B7" w:rsidRPr="002306D6" w:rsidRDefault="00EE56B7" w:rsidP="006C769C">
      <w:pPr>
        <w:keepNext/>
        <w:spacing w:after="240"/>
      </w:pPr>
      <w:r w:rsidRPr="002306D6">
        <w:t xml:space="preserve">The MSAC advised </w:t>
      </w:r>
      <w:r w:rsidR="006F1F40" w:rsidRPr="002306D6">
        <w:rPr>
          <w:b/>
        </w:rPr>
        <w:t>redacted</w:t>
      </w:r>
      <w:r w:rsidR="006F1F40" w:rsidRPr="002306D6">
        <w:t xml:space="preserve"> </w:t>
      </w:r>
      <w:r w:rsidRPr="002306D6">
        <w:t xml:space="preserve">price and to manage the remaining uncertainty that the outcomes observed in the small clinical trials </w:t>
      </w:r>
      <w:proofErr w:type="gramStart"/>
      <w:r w:rsidRPr="002306D6">
        <w:t>will be achieved</w:t>
      </w:r>
      <w:proofErr w:type="gramEnd"/>
      <w:r w:rsidRPr="002306D6">
        <w:t xml:space="preserve"> in practice, </w:t>
      </w:r>
      <w:r w:rsidR="006F1F40" w:rsidRPr="002306D6">
        <w:rPr>
          <w:b/>
        </w:rPr>
        <w:t>redacted</w:t>
      </w:r>
      <w:r w:rsidRPr="002306D6">
        <w:t xml:space="preserve">. In this context, the MSAC noted </w:t>
      </w:r>
      <w:r w:rsidR="006F1F40" w:rsidRPr="002306D6">
        <w:rPr>
          <w:b/>
        </w:rPr>
        <w:t>redacted</w:t>
      </w:r>
      <w:r w:rsidRPr="002306D6">
        <w:t>.</w:t>
      </w:r>
    </w:p>
    <w:p w14:paraId="56664518" w14:textId="51B35D29" w:rsidR="00EE56B7" w:rsidRPr="00EE56B7" w:rsidRDefault="00EE56B7" w:rsidP="006C769C">
      <w:pPr>
        <w:keepNext/>
        <w:spacing w:after="240"/>
      </w:pPr>
      <w:r w:rsidRPr="002306D6">
        <w:t xml:space="preserve">The MSAC noted the applicant had revised its financial estimates for ALL in response to the concerns raised by the MSAC in November 2018. The applicant did not agree with the MSAC suggestion that the estimate should be based on the number of Australians with ALL receiving </w:t>
      </w:r>
      <w:proofErr w:type="spellStart"/>
      <w:r w:rsidRPr="002306D6">
        <w:t>allo</w:t>
      </w:r>
      <w:proofErr w:type="spellEnd"/>
      <w:r w:rsidRPr="002306D6">
        <w:t>-SCT who subsequently relapsed. The revised application considered that the proposed population criteria is broader than just patients who relapse after</w:t>
      </w:r>
      <w:r w:rsidRPr="00EE56B7">
        <w:t xml:space="preserve"> receiving </w:t>
      </w:r>
      <w:proofErr w:type="spellStart"/>
      <w:r w:rsidRPr="00EE56B7">
        <w:t>allo</w:t>
      </w:r>
      <w:proofErr w:type="spellEnd"/>
      <w:r w:rsidRPr="00EE56B7">
        <w:t xml:space="preserve">-SCT and this would therefore be an underestimate. A comparison of the applicant’s patient number estimates from the November 2018 and March 2019 versions of its applications </w:t>
      </w:r>
      <w:proofErr w:type="gramStart"/>
      <w:r w:rsidRPr="00EE56B7">
        <w:t>is provided</w:t>
      </w:r>
      <w:proofErr w:type="gramEnd"/>
      <w:r w:rsidRPr="00EE56B7">
        <w:t xml:space="preserve"> in </w:t>
      </w:r>
      <w:r w:rsidR="003D5816">
        <w:fldChar w:fldCharType="begin"/>
      </w:r>
      <w:r w:rsidR="003D5816">
        <w:instrText xml:space="preserve"> REF _Ref5276031 \h </w:instrText>
      </w:r>
      <w:r w:rsidR="003D5816">
        <w:fldChar w:fldCharType="separate"/>
      </w:r>
      <w:r w:rsidR="001E1B42" w:rsidRPr="003D5816">
        <w:t xml:space="preserve">Table </w:t>
      </w:r>
      <w:r w:rsidR="001E1B42">
        <w:rPr>
          <w:noProof/>
        </w:rPr>
        <w:t>1</w:t>
      </w:r>
      <w:r w:rsidR="003D5816">
        <w:fldChar w:fldCharType="end"/>
      </w:r>
      <w:r w:rsidRPr="00EE56B7">
        <w:t>.</w:t>
      </w:r>
    </w:p>
    <w:p w14:paraId="2C75916C" w14:textId="51E51C05" w:rsidR="0083734C" w:rsidRPr="003D5816" w:rsidRDefault="00441A16" w:rsidP="00441A16">
      <w:pPr>
        <w:pStyle w:val="Caption"/>
      </w:pPr>
      <w:bookmarkStart w:id="1" w:name="_Ref5276031"/>
      <w:r w:rsidRPr="003D5816">
        <w:t xml:space="preserve">Table </w:t>
      </w:r>
      <w:r w:rsidR="00154DFE">
        <w:rPr>
          <w:noProof/>
        </w:rPr>
        <w:fldChar w:fldCharType="begin"/>
      </w:r>
      <w:r w:rsidR="00154DFE">
        <w:rPr>
          <w:noProof/>
        </w:rPr>
        <w:instrText xml:space="preserve"> SEQ Table \* ARABIC </w:instrText>
      </w:r>
      <w:r w:rsidR="00154DFE">
        <w:rPr>
          <w:noProof/>
        </w:rPr>
        <w:fldChar w:fldCharType="separate"/>
      </w:r>
      <w:r w:rsidR="001E1B42">
        <w:rPr>
          <w:noProof/>
        </w:rPr>
        <w:t>1</w:t>
      </w:r>
      <w:r w:rsidR="00154DFE">
        <w:rPr>
          <w:noProof/>
        </w:rPr>
        <w:fldChar w:fldCharType="end"/>
      </w:r>
      <w:bookmarkEnd w:id="1"/>
      <w:r w:rsidR="0083734C" w:rsidRPr="003D5816">
        <w:rPr>
          <w:noProof/>
        </w:rPr>
        <w:tab/>
        <w:t>Applicant estimates of numbers of pALL patients infused</w:t>
      </w:r>
    </w:p>
    <w:tbl>
      <w:tblPr>
        <w:tblStyle w:val="TableGrid1"/>
        <w:tblW w:w="5000" w:type="pct"/>
        <w:tblLook w:val="04A0" w:firstRow="1" w:lastRow="0" w:firstColumn="1" w:lastColumn="0" w:noHBand="0" w:noVBand="1"/>
        <w:tblDescription w:val="Estimated number of pALL patients, provided by the applicant, infused with tisagenlecleucel"/>
      </w:tblPr>
      <w:tblGrid>
        <w:gridCol w:w="1822"/>
        <w:gridCol w:w="1014"/>
        <w:gridCol w:w="1013"/>
        <w:gridCol w:w="1013"/>
        <w:gridCol w:w="1013"/>
        <w:gridCol w:w="1015"/>
        <w:gridCol w:w="1015"/>
        <w:gridCol w:w="1111"/>
      </w:tblGrid>
      <w:tr w:rsidR="0083734C" w:rsidRPr="001F4BE2" w14:paraId="3CD83D74" w14:textId="77777777" w:rsidTr="00B429BD">
        <w:trPr>
          <w:tblHeader/>
        </w:trPr>
        <w:tc>
          <w:tcPr>
            <w:tcW w:w="1010" w:type="pct"/>
            <w:noWrap/>
          </w:tcPr>
          <w:p w14:paraId="35589EB2" w14:textId="77777777" w:rsidR="0083734C" w:rsidRPr="001F4BE2" w:rsidRDefault="0083734C" w:rsidP="0083734C">
            <w:pPr>
              <w:spacing w:before="40" w:after="40"/>
              <w:rPr>
                <w:rFonts w:ascii="Arial Narrow" w:hAnsi="Arial Narrow" w:cs="Arial"/>
                <w:bCs/>
                <w:sz w:val="20"/>
              </w:rPr>
            </w:pPr>
          </w:p>
        </w:tc>
        <w:tc>
          <w:tcPr>
            <w:tcW w:w="562" w:type="pct"/>
            <w:noWrap/>
            <w:hideMark/>
          </w:tcPr>
          <w:p w14:paraId="23CCF0ED" w14:textId="77777777" w:rsidR="0083734C" w:rsidRPr="001F4BE2" w:rsidRDefault="0083734C" w:rsidP="0083734C">
            <w:pPr>
              <w:spacing w:before="40" w:after="40"/>
              <w:jc w:val="center"/>
              <w:rPr>
                <w:rFonts w:ascii="Arial Narrow" w:hAnsi="Arial Narrow" w:cs="Arial"/>
                <w:bCs/>
                <w:sz w:val="20"/>
              </w:rPr>
            </w:pPr>
            <w:r w:rsidRPr="001F4BE2">
              <w:rPr>
                <w:rFonts w:ascii="Arial Narrow" w:hAnsi="Arial Narrow" w:cs="Arial"/>
                <w:bCs/>
                <w:sz w:val="20"/>
              </w:rPr>
              <w:t>Year 1</w:t>
            </w:r>
          </w:p>
        </w:tc>
        <w:tc>
          <w:tcPr>
            <w:tcW w:w="562" w:type="pct"/>
            <w:noWrap/>
            <w:hideMark/>
          </w:tcPr>
          <w:p w14:paraId="08437AE9" w14:textId="77777777" w:rsidR="0083734C" w:rsidRPr="001F4BE2" w:rsidRDefault="0083734C" w:rsidP="0083734C">
            <w:pPr>
              <w:spacing w:before="40" w:after="40"/>
              <w:jc w:val="center"/>
              <w:rPr>
                <w:rFonts w:ascii="Arial Narrow" w:hAnsi="Arial Narrow" w:cs="Arial"/>
                <w:bCs/>
                <w:sz w:val="20"/>
              </w:rPr>
            </w:pPr>
            <w:r w:rsidRPr="001F4BE2">
              <w:rPr>
                <w:rFonts w:ascii="Arial Narrow" w:hAnsi="Arial Narrow" w:cs="Arial"/>
                <w:bCs/>
                <w:sz w:val="20"/>
              </w:rPr>
              <w:t>Year 2</w:t>
            </w:r>
          </w:p>
        </w:tc>
        <w:tc>
          <w:tcPr>
            <w:tcW w:w="562" w:type="pct"/>
            <w:noWrap/>
            <w:hideMark/>
          </w:tcPr>
          <w:p w14:paraId="1FCEE2B6" w14:textId="77777777" w:rsidR="0083734C" w:rsidRPr="001F4BE2" w:rsidRDefault="0083734C" w:rsidP="0083734C">
            <w:pPr>
              <w:spacing w:before="40" w:after="40"/>
              <w:jc w:val="center"/>
              <w:rPr>
                <w:rFonts w:ascii="Arial Narrow" w:hAnsi="Arial Narrow" w:cs="Arial"/>
                <w:bCs/>
                <w:sz w:val="20"/>
              </w:rPr>
            </w:pPr>
            <w:r w:rsidRPr="001F4BE2">
              <w:rPr>
                <w:rFonts w:ascii="Arial Narrow" w:hAnsi="Arial Narrow" w:cs="Arial"/>
                <w:bCs/>
                <w:sz w:val="20"/>
              </w:rPr>
              <w:t>Year 3</w:t>
            </w:r>
          </w:p>
        </w:tc>
        <w:tc>
          <w:tcPr>
            <w:tcW w:w="562" w:type="pct"/>
            <w:noWrap/>
            <w:hideMark/>
          </w:tcPr>
          <w:p w14:paraId="5EDC1E15" w14:textId="77777777" w:rsidR="0083734C" w:rsidRPr="001F4BE2" w:rsidRDefault="0083734C" w:rsidP="0083734C">
            <w:pPr>
              <w:spacing w:before="40" w:after="40"/>
              <w:jc w:val="center"/>
              <w:rPr>
                <w:rFonts w:ascii="Arial Narrow" w:hAnsi="Arial Narrow" w:cs="Arial"/>
                <w:bCs/>
                <w:sz w:val="20"/>
              </w:rPr>
            </w:pPr>
            <w:r w:rsidRPr="001F4BE2">
              <w:rPr>
                <w:rFonts w:ascii="Arial Narrow" w:hAnsi="Arial Narrow" w:cs="Arial"/>
                <w:bCs/>
                <w:sz w:val="20"/>
              </w:rPr>
              <w:t>Year 4</w:t>
            </w:r>
          </w:p>
        </w:tc>
        <w:tc>
          <w:tcPr>
            <w:tcW w:w="563" w:type="pct"/>
            <w:noWrap/>
            <w:hideMark/>
          </w:tcPr>
          <w:p w14:paraId="3D7AEDC9" w14:textId="77777777" w:rsidR="0083734C" w:rsidRPr="001F4BE2" w:rsidRDefault="0083734C" w:rsidP="0083734C">
            <w:pPr>
              <w:spacing w:before="40" w:after="40"/>
              <w:jc w:val="center"/>
              <w:rPr>
                <w:rFonts w:ascii="Arial Narrow" w:hAnsi="Arial Narrow" w:cs="Arial"/>
                <w:bCs/>
                <w:sz w:val="20"/>
              </w:rPr>
            </w:pPr>
            <w:r w:rsidRPr="001F4BE2">
              <w:rPr>
                <w:rFonts w:ascii="Arial Narrow" w:hAnsi="Arial Narrow" w:cs="Arial"/>
                <w:bCs/>
                <w:sz w:val="20"/>
              </w:rPr>
              <w:t>Year 5</w:t>
            </w:r>
          </w:p>
        </w:tc>
        <w:tc>
          <w:tcPr>
            <w:tcW w:w="563" w:type="pct"/>
            <w:noWrap/>
            <w:hideMark/>
          </w:tcPr>
          <w:p w14:paraId="30010FE9" w14:textId="77777777" w:rsidR="0083734C" w:rsidRPr="001F4BE2" w:rsidRDefault="0083734C" w:rsidP="0083734C">
            <w:pPr>
              <w:spacing w:before="40" w:after="40"/>
              <w:jc w:val="center"/>
              <w:rPr>
                <w:rFonts w:ascii="Arial Narrow" w:hAnsi="Arial Narrow" w:cs="Arial"/>
                <w:bCs/>
                <w:sz w:val="20"/>
              </w:rPr>
            </w:pPr>
            <w:r w:rsidRPr="001F4BE2">
              <w:rPr>
                <w:rFonts w:ascii="Arial Narrow" w:hAnsi="Arial Narrow" w:cs="Arial"/>
                <w:bCs/>
                <w:sz w:val="20"/>
              </w:rPr>
              <w:t>Year 6</w:t>
            </w:r>
          </w:p>
        </w:tc>
        <w:tc>
          <w:tcPr>
            <w:tcW w:w="616" w:type="pct"/>
          </w:tcPr>
          <w:p w14:paraId="33CC39F5" w14:textId="77777777" w:rsidR="0083734C" w:rsidRPr="001F4BE2" w:rsidRDefault="0083734C" w:rsidP="0083734C">
            <w:pPr>
              <w:spacing w:before="40" w:after="40"/>
              <w:jc w:val="center"/>
              <w:rPr>
                <w:rFonts w:ascii="Arial Narrow" w:hAnsi="Arial Narrow" w:cs="Arial"/>
                <w:bCs/>
                <w:sz w:val="20"/>
              </w:rPr>
            </w:pPr>
            <w:r w:rsidRPr="001F4BE2">
              <w:rPr>
                <w:rFonts w:ascii="Arial Narrow" w:hAnsi="Arial Narrow" w:cs="Arial"/>
                <w:bCs/>
                <w:sz w:val="20"/>
              </w:rPr>
              <w:t>Total</w:t>
            </w:r>
          </w:p>
        </w:tc>
      </w:tr>
      <w:tr w:rsidR="0083734C" w:rsidRPr="001F4BE2" w14:paraId="5C8D87B6" w14:textId="77777777" w:rsidTr="00B429BD">
        <w:tc>
          <w:tcPr>
            <w:tcW w:w="5000" w:type="pct"/>
            <w:gridSpan w:val="8"/>
            <w:noWrap/>
          </w:tcPr>
          <w:p w14:paraId="4EBA4FA0" w14:textId="77777777" w:rsidR="0083734C" w:rsidRPr="001F4BE2" w:rsidRDefault="0083734C" w:rsidP="0083734C">
            <w:pPr>
              <w:spacing w:before="40" w:after="40"/>
              <w:rPr>
                <w:rFonts w:ascii="Arial Narrow" w:hAnsi="Arial Narrow" w:cs="Arial"/>
                <w:sz w:val="20"/>
              </w:rPr>
            </w:pPr>
            <w:r w:rsidRPr="001F4BE2">
              <w:rPr>
                <w:rFonts w:ascii="Arial Narrow" w:hAnsi="Arial Narrow" w:cs="Arial"/>
                <w:sz w:val="20"/>
              </w:rPr>
              <w:t xml:space="preserve">Estimates in the pre-ESC response </w:t>
            </w:r>
            <w:r>
              <w:rPr>
                <w:rFonts w:ascii="Arial Narrow" w:hAnsi="Arial Narrow" w:cs="Arial"/>
                <w:sz w:val="20"/>
              </w:rPr>
              <w:t>before the November 2018 MSAC meeting</w:t>
            </w:r>
          </w:p>
        </w:tc>
      </w:tr>
      <w:tr w:rsidR="0083734C" w:rsidRPr="001F4BE2" w14:paraId="52D49FC7" w14:textId="77777777" w:rsidTr="00B429BD">
        <w:tc>
          <w:tcPr>
            <w:tcW w:w="1010" w:type="pct"/>
            <w:noWrap/>
          </w:tcPr>
          <w:p w14:paraId="3C9C421C" w14:textId="77777777" w:rsidR="0083734C" w:rsidRPr="001F4BE2" w:rsidRDefault="0083734C" w:rsidP="0083734C">
            <w:pPr>
              <w:spacing w:before="40" w:after="40"/>
              <w:jc w:val="both"/>
              <w:rPr>
                <w:rFonts w:ascii="Arial Narrow" w:hAnsi="Arial Narrow" w:cs="Calibri"/>
                <w:i/>
                <w:sz w:val="20"/>
              </w:rPr>
            </w:pPr>
            <w:r>
              <w:rPr>
                <w:rFonts w:ascii="Arial Narrow" w:hAnsi="Arial Narrow" w:cs="Calibri"/>
                <w:sz w:val="20"/>
              </w:rPr>
              <w:t xml:space="preserve">Number </w:t>
            </w:r>
            <w:r w:rsidRPr="001F4BE2">
              <w:rPr>
                <w:rFonts w:ascii="Arial Narrow" w:hAnsi="Arial Narrow" w:cs="Calibri"/>
                <w:sz w:val="20"/>
              </w:rPr>
              <w:t>infused</w:t>
            </w:r>
          </w:p>
        </w:tc>
        <w:tc>
          <w:tcPr>
            <w:tcW w:w="562" w:type="pct"/>
          </w:tcPr>
          <w:p w14:paraId="51A102B7" w14:textId="76148EF8" w:rsidR="0083734C" w:rsidRPr="006F1F40" w:rsidRDefault="006F1F40" w:rsidP="0083734C">
            <w:pPr>
              <w:spacing w:before="40" w:after="40"/>
              <w:jc w:val="center"/>
              <w:rPr>
                <w:rFonts w:ascii="Arial Narrow" w:hAnsi="Arial Narrow" w:cs="Arial"/>
                <w:b/>
                <w:sz w:val="20"/>
                <w:highlight w:val="green"/>
              </w:rPr>
            </w:pPr>
            <w:r w:rsidRPr="006F1F40">
              <w:rPr>
                <w:rFonts w:ascii="Arial Narrow" w:hAnsi="Arial Narrow" w:cs="Arial"/>
                <w:b/>
                <w:sz w:val="20"/>
              </w:rPr>
              <w:t>redacted</w:t>
            </w:r>
          </w:p>
        </w:tc>
        <w:tc>
          <w:tcPr>
            <w:tcW w:w="562" w:type="pct"/>
          </w:tcPr>
          <w:p w14:paraId="28F1F874" w14:textId="50A9E113" w:rsidR="0083734C" w:rsidRPr="001E77E4" w:rsidRDefault="006F1F40" w:rsidP="0083734C">
            <w:pPr>
              <w:spacing w:before="40" w:after="40"/>
              <w:jc w:val="center"/>
              <w:rPr>
                <w:rFonts w:ascii="Arial Narrow" w:hAnsi="Arial Narrow" w:cs="Arial"/>
                <w:sz w:val="20"/>
                <w:highlight w:val="green"/>
              </w:rPr>
            </w:pPr>
            <w:r w:rsidRPr="006F1F40">
              <w:rPr>
                <w:rFonts w:ascii="Arial Narrow" w:hAnsi="Arial Narrow" w:cs="Arial"/>
                <w:b/>
                <w:sz w:val="20"/>
              </w:rPr>
              <w:t>redacted</w:t>
            </w:r>
          </w:p>
        </w:tc>
        <w:tc>
          <w:tcPr>
            <w:tcW w:w="562" w:type="pct"/>
          </w:tcPr>
          <w:p w14:paraId="65D5490A" w14:textId="58636286" w:rsidR="0083734C" w:rsidRPr="001E77E4" w:rsidRDefault="006F1F40" w:rsidP="0083734C">
            <w:pPr>
              <w:spacing w:before="40" w:after="40"/>
              <w:jc w:val="center"/>
              <w:rPr>
                <w:rFonts w:ascii="Arial Narrow" w:hAnsi="Arial Narrow" w:cs="Arial"/>
                <w:sz w:val="20"/>
                <w:highlight w:val="green"/>
              </w:rPr>
            </w:pPr>
            <w:r w:rsidRPr="006F1F40">
              <w:rPr>
                <w:rFonts w:ascii="Arial Narrow" w:hAnsi="Arial Narrow" w:cs="Arial"/>
                <w:b/>
                <w:sz w:val="20"/>
              </w:rPr>
              <w:t>redacted</w:t>
            </w:r>
          </w:p>
        </w:tc>
        <w:tc>
          <w:tcPr>
            <w:tcW w:w="562" w:type="pct"/>
            <w:noWrap/>
          </w:tcPr>
          <w:p w14:paraId="425FE8BD" w14:textId="1883C976" w:rsidR="0083734C" w:rsidRPr="001E77E4" w:rsidRDefault="006F1F40" w:rsidP="0083734C">
            <w:pPr>
              <w:spacing w:before="40" w:after="40"/>
              <w:jc w:val="center"/>
              <w:rPr>
                <w:rFonts w:ascii="Arial Narrow" w:hAnsi="Arial Narrow" w:cs="Arial"/>
                <w:sz w:val="20"/>
                <w:highlight w:val="green"/>
              </w:rPr>
            </w:pPr>
            <w:r w:rsidRPr="006F1F40">
              <w:rPr>
                <w:rFonts w:ascii="Arial Narrow" w:hAnsi="Arial Narrow" w:cs="Arial"/>
                <w:b/>
                <w:sz w:val="20"/>
              </w:rPr>
              <w:t>redacted</w:t>
            </w:r>
          </w:p>
        </w:tc>
        <w:tc>
          <w:tcPr>
            <w:tcW w:w="563" w:type="pct"/>
            <w:noWrap/>
          </w:tcPr>
          <w:p w14:paraId="747067E9" w14:textId="29E102FE" w:rsidR="0083734C" w:rsidRPr="001E77E4" w:rsidRDefault="006F1F40" w:rsidP="0083734C">
            <w:pPr>
              <w:spacing w:before="40" w:after="40"/>
              <w:jc w:val="center"/>
              <w:rPr>
                <w:rFonts w:ascii="Arial Narrow" w:hAnsi="Arial Narrow" w:cs="Arial"/>
                <w:sz w:val="20"/>
                <w:highlight w:val="green"/>
              </w:rPr>
            </w:pPr>
            <w:r w:rsidRPr="006F1F40">
              <w:rPr>
                <w:rFonts w:ascii="Arial Narrow" w:hAnsi="Arial Narrow" w:cs="Arial"/>
                <w:b/>
                <w:sz w:val="20"/>
              </w:rPr>
              <w:t>redacted</w:t>
            </w:r>
          </w:p>
        </w:tc>
        <w:tc>
          <w:tcPr>
            <w:tcW w:w="563" w:type="pct"/>
            <w:noWrap/>
          </w:tcPr>
          <w:p w14:paraId="174F39E7" w14:textId="53B7F6CB" w:rsidR="0083734C" w:rsidRPr="001E77E4" w:rsidRDefault="006F1F40" w:rsidP="0083734C">
            <w:pPr>
              <w:spacing w:before="40" w:after="40"/>
              <w:jc w:val="center"/>
              <w:rPr>
                <w:rFonts w:ascii="Arial Narrow" w:hAnsi="Arial Narrow" w:cs="Arial"/>
                <w:sz w:val="20"/>
                <w:highlight w:val="green"/>
              </w:rPr>
            </w:pPr>
            <w:r w:rsidRPr="006F1F40">
              <w:rPr>
                <w:rFonts w:ascii="Arial Narrow" w:hAnsi="Arial Narrow" w:cs="Arial"/>
                <w:b/>
                <w:sz w:val="20"/>
              </w:rPr>
              <w:t>redacted</w:t>
            </w:r>
          </w:p>
        </w:tc>
        <w:tc>
          <w:tcPr>
            <w:tcW w:w="616" w:type="pct"/>
          </w:tcPr>
          <w:p w14:paraId="556D07E4" w14:textId="481350EB" w:rsidR="0083734C" w:rsidRPr="001E77E4" w:rsidRDefault="006F1F40" w:rsidP="0083734C">
            <w:pPr>
              <w:spacing w:before="40" w:after="40"/>
              <w:jc w:val="center"/>
              <w:rPr>
                <w:rFonts w:ascii="Arial Narrow" w:hAnsi="Arial Narrow" w:cs="Arial"/>
                <w:sz w:val="20"/>
                <w:highlight w:val="green"/>
              </w:rPr>
            </w:pPr>
            <w:r w:rsidRPr="006F1F40">
              <w:rPr>
                <w:rFonts w:ascii="Arial Narrow" w:hAnsi="Arial Narrow" w:cs="Arial"/>
                <w:b/>
                <w:sz w:val="20"/>
              </w:rPr>
              <w:t>redacted</w:t>
            </w:r>
          </w:p>
        </w:tc>
      </w:tr>
      <w:tr w:rsidR="0083734C" w:rsidRPr="001F4BE2" w14:paraId="718287A0" w14:textId="77777777" w:rsidTr="00B429BD">
        <w:tc>
          <w:tcPr>
            <w:tcW w:w="5000" w:type="pct"/>
            <w:gridSpan w:val="8"/>
            <w:noWrap/>
          </w:tcPr>
          <w:p w14:paraId="420268FD" w14:textId="77777777" w:rsidR="0083734C" w:rsidRPr="001F4BE2" w:rsidRDefault="0083734C" w:rsidP="0083734C">
            <w:pPr>
              <w:spacing w:before="40" w:after="40"/>
              <w:rPr>
                <w:rFonts w:ascii="Arial Narrow" w:hAnsi="Arial Narrow" w:cs="Arial"/>
                <w:sz w:val="20"/>
              </w:rPr>
            </w:pPr>
            <w:r w:rsidRPr="001F4BE2">
              <w:rPr>
                <w:rFonts w:ascii="Arial Narrow" w:hAnsi="Arial Narrow" w:cs="Arial"/>
                <w:sz w:val="20"/>
              </w:rPr>
              <w:t>Estimates in the re</w:t>
            </w:r>
            <w:r>
              <w:rPr>
                <w:rFonts w:ascii="Arial Narrow" w:hAnsi="Arial Narrow" w:cs="Arial"/>
                <w:sz w:val="20"/>
              </w:rPr>
              <w:t xml:space="preserve">vised </w:t>
            </w:r>
            <w:r w:rsidRPr="001F4BE2">
              <w:rPr>
                <w:rFonts w:ascii="Arial Narrow" w:hAnsi="Arial Narrow" w:cs="Arial"/>
                <w:sz w:val="20"/>
              </w:rPr>
              <w:t>application</w:t>
            </w:r>
            <w:r>
              <w:rPr>
                <w:rFonts w:ascii="Arial Narrow" w:hAnsi="Arial Narrow" w:cs="Arial"/>
                <w:sz w:val="20"/>
              </w:rPr>
              <w:t xml:space="preserve"> to the March 2019 MSAC meeting</w:t>
            </w:r>
          </w:p>
        </w:tc>
      </w:tr>
      <w:tr w:rsidR="0083734C" w:rsidRPr="001F4BE2" w14:paraId="45ED6734" w14:textId="77777777" w:rsidTr="00B429BD">
        <w:tc>
          <w:tcPr>
            <w:tcW w:w="1010" w:type="pct"/>
            <w:noWrap/>
          </w:tcPr>
          <w:p w14:paraId="3799FD89" w14:textId="77777777" w:rsidR="0083734C" w:rsidRPr="001F4BE2" w:rsidRDefault="0083734C" w:rsidP="0083734C">
            <w:pPr>
              <w:spacing w:before="40" w:after="40"/>
              <w:jc w:val="both"/>
              <w:rPr>
                <w:rFonts w:ascii="Arial Narrow" w:hAnsi="Arial Narrow" w:cs="Calibri"/>
                <w:sz w:val="20"/>
              </w:rPr>
            </w:pPr>
            <w:r>
              <w:rPr>
                <w:rFonts w:ascii="Arial Narrow" w:hAnsi="Arial Narrow" w:cs="Calibri"/>
                <w:sz w:val="20"/>
              </w:rPr>
              <w:t>Number</w:t>
            </w:r>
            <w:r w:rsidRPr="001F4BE2">
              <w:rPr>
                <w:rFonts w:ascii="Arial Narrow" w:hAnsi="Arial Narrow" w:cs="Calibri"/>
                <w:sz w:val="20"/>
              </w:rPr>
              <w:t xml:space="preserve"> infused</w:t>
            </w:r>
          </w:p>
        </w:tc>
        <w:tc>
          <w:tcPr>
            <w:tcW w:w="562" w:type="pct"/>
          </w:tcPr>
          <w:p w14:paraId="29A046B7" w14:textId="18D939A1" w:rsidR="0083734C" w:rsidRPr="001E77E4" w:rsidRDefault="006F1F40" w:rsidP="0083734C">
            <w:pPr>
              <w:spacing w:before="40" w:after="40"/>
              <w:jc w:val="center"/>
              <w:rPr>
                <w:rFonts w:ascii="Arial Narrow" w:hAnsi="Arial Narrow" w:cs="Arial"/>
                <w:sz w:val="20"/>
                <w:highlight w:val="green"/>
              </w:rPr>
            </w:pPr>
            <w:r w:rsidRPr="006F1F40">
              <w:rPr>
                <w:rFonts w:ascii="Arial Narrow" w:hAnsi="Arial Narrow" w:cs="Arial"/>
                <w:b/>
                <w:sz w:val="20"/>
              </w:rPr>
              <w:t>redacted</w:t>
            </w:r>
          </w:p>
        </w:tc>
        <w:tc>
          <w:tcPr>
            <w:tcW w:w="562" w:type="pct"/>
          </w:tcPr>
          <w:p w14:paraId="04C59B13" w14:textId="6CAFC1A9" w:rsidR="0083734C" w:rsidRPr="001E77E4" w:rsidRDefault="006F1F40" w:rsidP="0083734C">
            <w:pPr>
              <w:spacing w:before="40" w:after="40"/>
              <w:jc w:val="center"/>
              <w:rPr>
                <w:rFonts w:ascii="Arial Narrow" w:hAnsi="Arial Narrow" w:cs="Arial"/>
                <w:sz w:val="20"/>
                <w:highlight w:val="green"/>
              </w:rPr>
            </w:pPr>
            <w:r w:rsidRPr="006F1F40">
              <w:rPr>
                <w:rFonts w:ascii="Arial Narrow" w:hAnsi="Arial Narrow" w:cs="Arial"/>
                <w:b/>
                <w:sz w:val="20"/>
              </w:rPr>
              <w:t>redacted</w:t>
            </w:r>
          </w:p>
        </w:tc>
        <w:tc>
          <w:tcPr>
            <w:tcW w:w="562" w:type="pct"/>
          </w:tcPr>
          <w:p w14:paraId="2BDACB0C" w14:textId="04661707" w:rsidR="0083734C" w:rsidRPr="001E77E4" w:rsidRDefault="006F1F40" w:rsidP="0083734C">
            <w:pPr>
              <w:spacing w:before="40" w:after="40"/>
              <w:jc w:val="center"/>
              <w:rPr>
                <w:rFonts w:ascii="Arial Narrow" w:hAnsi="Arial Narrow" w:cs="Arial"/>
                <w:sz w:val="20"/>
                <w:highlight w:val="green"/>
              </w:rPr>
            </w:pPr>
            <w:r w:rsidRPr="006F1F40">
              <w:rPr>
                <w:rFonts w:ascii="Arial Narrow" w:hAnsi="Arial Narrow" w:cs="Arial"/>
                <w:b/>
                <w:sz w:val="20"/>
              </w:rPr>
              <w:t>redacted</w:t>
            </w:r>
          </w:p>
        </w:tc>
        <w:tc>
          <w:tcPr>
            <w:tcW w:w="562" w:type="pct"/>
            <w:noWrap/>
          </w:tcPr>
          <w:p w14:paraId="03AC461B" w14:textId="3A433B6B" w:rsidR="0083734C" w:rsidRPr="001E77E4" w:rsidRDefault="006F1F40" w:rsidP="0083734C">
            <w:pPr>
              <w:spacing w:before="40" w:after="40"/>
              <w:jc w:val="center"/>
              <w:rPr>
                <w:rFonts w:ascii="Arial Narrow" w:hAnsi="Arial Narrow" w:cs="Calibri"/>
                <w:sz w:val="20"/>
                <w:highlight w:val="green"/>
              </w:rPr>
            </w:pPr>
            <w:r w:rsidRPr="006F1F40">
              <w:rPr>
                <w:rFonts w:ascii="Arial Narrow" w:hAnsi="Arial Narrow" w:cs="Arial"/>
                <w:b/>
                <w:sz w:val="20"/>
              </w:rPr>
              <w:t>redacted</w:t>
            </w:r>
          </w:p>
        </w:tc>
        <w:tc>
          <w:tcPr>
            <w:tcW w:w="563" w:type="pct"/>
            <w:noWrap/>
          </w:tcPr>
          <w:p w14:paraId="030A3CE0" w14:textId="0D032F7C" w:rsidR="0083734C" w:rsidRPr="001E77E4" w:rsidRDefault="006F1F40" w:rsidP="0083734C">
            <w:pPr>
              <w:spacing w:before="40" w:after="40"/>
              <w:jc w:val="center"/>
              <w:rPr>
                <w:rFonts w:ascii="Arial Narrow" w:hAnsi="Arial Narrow" w:cs="Calibri"/>
                <w:sz w:val="20"/>
                <w:highlight w:val="green"/>
              </w:rPr>
            </w:pPr>
            <w:r w:rsidRPr="006F1F40">
              <w:rPr>
                <w:rFonts w:ascii="Arial Narrow" w:hAnsi="Arial Narrow" w:cs="Arial"/>
                <w:b/>
                <w:sz w:val="20"/>
              </w:rPr>
              <w:t>redacted</w:t>
            </w:r>
          </w:p>
        </w:tc>
        <w:tc>
          <w:tcPr>
            <w:tcW w:w="563" w:type="pct"/>
            <w:noWrap/>
          </w:tcPr>
          <w:p w14:paraId="3ACE004B" w14:textId="040230AC" w:rsidR="0083734C" w:rsidRPr="001E77E4" w:rsidRDefault="006F1F40" w:rsidP="0083734C">
            <w:pPr>
              <w:spacing w:before="40" w:after="40"/>
              <w:jc w:val="center"/>
              <w:rPr>
                <w:rFonts w:ascii="Arial Narrow" w:hAnsi="Arial Narrow" w:cs="Calibri"/>
                <w:sz w:val="20"/>
                <w:highlight w:val="green"/>
              </w:rPr>
            </w:pPr>
            <w:r w:rsidRPr="006F1F40">
              <w:rPr>
                <w:rFonts w:ascii="Arial Narrow" w:hAnsi="Arial Narrow" w:cs="Arial"/>
                <w:b/>
                <w:sz w:val="20"/>
              </w:rPr>
              <w:t>redacted</w:t>
            </w:r>
          </w:p>
        </w:tc>
        <w:tc>
          <w:tcPr>
            <w:tcW w:w="616" w:type="pct"/>
          </w:tcPr>
          <w:p w14:paraId="0BEE0974" w14:textId="1804B535" w:rsidR="0083734C" w:rsidRPr="001E77E4" w:rsidRDefault="006F1F40" w:rsidP="0083734C">
            <w:pPr>
              <w:spacing w:before="40" w:after="40"/>
              <w:jc w:val="center"/>
              <w:rPr>
                <w:rFonts w:ascii="Arial Narrow" w:hAnsi="Arial Narrow" w:cs="Calibri"/>
                <w:sz w:val="20"/>
                <w:highlight w:val="green"/>
              </w:rPr>
            </w:pPr>
            <w:r w:rsidRPr="006F1F40">
              <w:rPr>
                <w:rFonts w:ascii="Arial Narrow" w:hAnsi="Arial Narrow" w:cs="Arial"/>
                <w:b/>
                <w:sz w:val="20"/>
              </w:rPr>
              <w:t>redacted</w:t>
            </w:r>
          </w:p>
        </w:tc>
      </w:tr>
    </w:tbl>
    <w:p w14:paraId="3F9D1B58" w14:textId="000772EF" w:rsidR="00EE56B7" w:rsidRPr="00EE56B7" w:rsidRDefault="00EE56B7" w:rsidP="006C769C">
      <w:pPr>
        <w:keepNext/>
        <w:spacing w:before="240" w:after="240"/>
      </w:pPr>
      <w:r w:rsidRPr="00EE56B7">
        <w:t xml:space="preserve">The MSAC considered the revised patient numbers continue to be </w:t>
      </w:r>
      <w:proofErr w:type="gramStart"/>
      <w:r w:rsidRPr="00EE56B7">
        <w:t>overestimated</w:t>
      </w:r>
      <w:proofErr w:type="gramEnd"/>
      <w:r w:rsidRPr="00EE56B7">
        <w:t xml:space="preserve"> and remained of the view that a more realistic estimate of the number of patients eligible for treatment is that provided in </w:t>
      </w:r>
      <w:r w:rsidR="003D5816">
        <w:fldChar w:fldCharType="begin"/>
      </w:r>
      <w:r w:rsidR="003D5816">
        <w:instrText xml:space="preserve"> REF _Ref5276039 \h </w:instrText>
      </w:r>
      <w:r w:rsidR="003D5816">
        <w:fldChar w:fldCharType="separate"/>
      </w:r>
      <w:r w:rsidR="001E1B42" w:rsidRPr="003D5816">
        <w:t xml:space="preserve">Table </w:t>
      </w:r>
      <w:r w:rsidR="001E1B42">
        <w:rPr>
          <w:noProof/>
        </w:rPr>
        <w:t>2</w:t>
      </w:r>
      <w:r w:rsidR="003D5816">
        <w:fldChar w:fldCharType="end"/>
      </w:r>
      <w:r w:rsidRPr="00EE56B7">
        <w:t xml:space="preserve">. The MSAC advised that the uncertainty in patient numbers </w:t>
      </w:r>
      <w:proofErr w:type="gramStart"/>
      <w:r w:rsidRPr="00EE56B7">
        <w:t>could be managed</w:t>
      </w:r>
      <w:proofErr w:type="gramEnd"/>
      <w:r w:rsidRPr="00EE56B7">
        <w:t xml:space="preserve"> though </w:t>
      </w:r>
      <w:r w:rsidRPr="003A29D8">
        <w:t xml:space="preserve">a risk share arrangement </w:t>
      </w:r>
      <w:r w:rsidR="006F1F40" w:rsidRPr="006F1F40">
        <w:rPr>
          <w:b/>
        </w:rPr>
        <w:t>redacted</w:t>
      </w:r>
      <w:r w:rsidR="006F1F40" w:rsidRPr="006F1F40">
        <w:t xml:space="preserve"> </w:t>
      </w:r>
      <w:r w:rsidRPr="00EE56B7">
        <w:t>(see below for further detail).</w:t>
      </w:r>
    </w:p>
    <w:p w14:paraId="092ED690" w14:textId="6BC676A3" w:rsidR="0083734C" w:rsidRPr="003D5816" w:rsidRDefault="003D5816" w:rsidP="003D5816">
      <w:pPr>
        <w:pStyle w:val="Caption"/>
      </w:pPr>
      <w:bookmarkStart w:id="2" w:name="_Ref5276039"/>
      <w:r w:rsidRPr="003D5816">
        <w:t xml:space="preserve">Table </w:t>
      </w:r>
      <w:r w:rsidR="00154DFE">
        <w:rPr>
          <w:noProof/>
        </w:rPr>
        <w:fldChar w:fldCharType="begin"/>
      </w:r>
      <w:r w:rsidR="00154DFE">
        <w:rPr>
          <w:noProof/>
        </w:rPr>
        <w:instrText xml:space="preserve"> SEQ Table \* ARABIC </w:instrText>
      </w:r>
      <w:r w:rsidR="00154DFE">
        <w:rPr>
          <w:noProof/>
        </w:rPr>
        <w:fldChar w:fldCharType="separate"/>
      </w:r>
      <w:r w:rsidR="001E1B42">
        <w:rPr>
          <w:noProof/>
        </w:rPr>
        <w:t>2</w:t>
      </w:r>
      <w:r w:rsidR="00154DFE">
        <w:rPr>
          <w:noProof/>
        </w:rPr>
        <w:fldChar w:fldCharType="end"/>
      </w:r>
      <w:bookmarkEnd w:id="2"/>
      <w:r w:rsidR="0083734C" w:rsidRPr="003D5816">
        <w:rPr>
          <w:noProof/>
        </w:rPr>
        <w:tab/>
        <w:t>MSAC estimates of numbers of pALL patients infused</w:t>
      </w:r>
    </w:p>
    <w:tbl>
      <w:tblPr>
        <w:tblStyle w:val="TableGrid1"/>
        <w:tblW w:w="5000" w:type="pct"/>
        <w:tblLook w:val="04A0" w:firstRow="1" w:lastRow="0" w:firstColumn="1" w:lastColumn="0" w:noHBand="0" w:noVBand="1"/>
        <w:tblDescription w:val="MSAC estimated number of pALL patients infused with tisagenlecleucel"/>
      </w:tblPr>
      <w:tblGrid>
        <w:gridCol w:w="1822"/>
        <w:gridCol w:w="1014"/>
        <w:gridCol w:w="1013"/>
        <w:gridCol w:w="1013"/>
        <w:gridCol w:w="1013"/>
        <w:gridCol w:w="1015"/>
        <w:gridCol w:w="1015"/>
        <w:gridCol w:w="1111"/>
      </w:tblGrid>
      <w:tr w:rsidR="0083734C" w:rsidRPr="001F4BE2" w14:paraId="3CFE69C5" w14:textId="77777777" w:rsidTr="00B429BD">
        <w:trPr>
          <w:tblHeader/>
        </w:trPr>
        <w:tc>
          <w:tcPr>
            <w:tcW w:w="1010" w:type="pct"/>
            <w:noWrap/>
          </w:tcPr>
          <w:p w14:paraId="64EA12C0" w14:textId="77777777" w:rsidR="0083734C" w:rsidRPr="001F4BE2" w:rsidRDefault="0083734C" w:rsidP="0083734C">
            <w:pPr>
              <w:spacing w:before="40" w:after="40"/>
              <w:rPr>
                <w:rFonts w:ascii="Arial Narrow" w:hAnsi="Arial Narrow" w:cs="Arial"/>
                <w:bCs/>
                <w:sz w:val="20"/>
              </w:rPr>
            </w:pPr>
          </w:p>
        </w:tc>
        <w:tc>
          <w:tcPr>
            <w:tcW w:w="562" w:type="pct"/>
            <w:noWrap/>
            <w:hideMark/>
          </w:tcPr>
          <w:p w14:paraId="02DE31AF" w14:textId="77777777" w:rsidR="0083734C" w:rsidRPr="001F4BE2" w:rsidRDefault="0083734C" w:rsidP="0083734C">
            <w:pPr>
              <w:spacing w:before="40" w:after="40"/>
              <w:jc w:val="center"/>
              <w:rPr>
                <w:rFonts w:ascii="Arial Narrow" w:hAnsi="Arial Narrow" w:cs="Arial"/>
                <w:bCs/>
                <w:sz w:val="20"/>
              </w:rPr>
            </w:pPr>
            <w:r w:rsidRPr="001F4BE2">
              <w:rPr>
                <w:rFonts w:ascii="Arial Narrow" w:hAnsi="Arial Narrow" w:cs="Arial"/>
                <w:bCs/>
                <w:sz w:val="20"/>
              </w:rPr>
              <w:t>Year 1</w:t>
            </w:r>
          </w:p>
        </w:tc>
        <w:tc>
          <w:tcPr>
            <w:tcW w:w="562" w:type="pct"/>
            <w:noWrap/>
            <w:hideMark/>
          </w:tcPr>
          <w:p w14:paraId="2124C990" w14:textId="77777777" w:rsidR="0083734C" w:rsidRPr="001F4BE2" w:rsidRDefault="0083734C" w:rsidP="0083734C">
            <w:pPr>
              <w:spacing w:before="40" w:after="40"/>
              <w:jc w:val="center"/>
              <w:rPr>
                <w:rFonts w:ascii="Arial Narrow" w:hAnsi="Arial Narrow" w:cs="Arial"/>
                <w:bCs/>
                <w:sz w:val="20"/>
              </w:rPr>
            </w:pPr>
            <w:r w:rsidRPr="001F4BE2">
              <w:rPr>
                <w:rFonts w:ascii="Arial Narrow" w:hAnsi="Arial Narrow" w:cs="Arial"/>
                <w:bCs/>
                <w:sz w:val="20"/>
              </w:rPr>
              <w:t>Year 2</w:t>
            </w:r>
          </w:p>
        </w:tc>
        <w:tc>
          <w:tcPr>
            <w:tcW w:w="562" w:type="pct"/>
            <w:noWrap/>
            <w:hideMark/>
          </w:tcPr>
          <w:p w14:paraId="1B555BA1" w14:textId="77777777" w:rsidR="0083734C" w:rsidRPr="001F4BE2" w:rsidRDefault="0083734C" w:rsidP="0083734C">
            <w:pPr>
              <w:spacing w:before="40" w:after="40"/>
              <w:jc w:val="center"/>
              <w:rPr>
                <w:rFonts w:ascii="Arial Narrow" w:hAnsi="Arial Narrow" w:cs="Arial"/>
                <w:bCs/>
                <w:sz w:val="20"/>
              </w:rPr>
            </w:pPr>
            <w:r w:rsidRPr="001F4BE2">
              <w:rPr>
                <w:rFonts w:ascii="Arial Narrow" w:hAnsi="Arial Narrow" w:cs="Arial"/>
                <w:bCs/>
                <w:sz w:val="20"/>
              </w:rPr>
              <w:t>Year 3</w:t>
            </w:r>
          </w:p>
        </w:tc>
        <w:tc>
          <w:tcPr>
            <w:tcW w:w="562" w:type="pct"/>
            <w:noWrap/>
            <w:hideMark/>
          </w:tcPr>
          <w:p w14:paraId="34A8F074" w14:textId="77777777" w:rsidR="0083734C" w:rsidRPr="001F4BE2" w:rsidRDefault="0083734C" w:rsidP="0083734C">
            <w:pPr>
              <w:spacing w:before="40" w:after="40"/>
              <w:jc w:val="center"/>
              <w:rPr>
                <w:rFonts w:ascii="Arial Narrow" w:hAnsi="Arial Narrow" w:cs="Arial"/>
                <w:bCs/>
                <w:sz w:val="20"/>
              </w:rPr>
            </w:pPr>
            <w:r w:rsidRPr="001F4BE2">
              <w:rPr>
                <w:rFonts w:ascii="Arial Narrow" w:hAnsi="Arial Narrow" w:cs="Arial"/>
                <w:bCs/>
                <w:sz w:val="20"/>
              </w:rPr>
              <w:t>Year 4</w:t>
            </w:r>
          </w:p>
        </w:tc>
        <w:tc>
          <w:tcPr>
            <w:tcW w:w="563" w:type="pct"/>
            <w:noWrap/>
            <w:hideMark/>
          </w:tcPr>
          <w:p w14:paraId="501D581F" w14:textId="77777777" w:rsidR="0083734C" w:rsidRPr="001F4BE2" w:rsidRDefault="0083734C" w:rsidP="0083734C">
            <w:pPr>
              <w:spacing w:before="40" w:after="40"/>
              <w:jc w:val="center"/>
              <w:rPr>
                <w:rFonts w:ascii="Arial Narrow" w:hAnsi="Arial Narrow" w:cs="Arial"/>
                <w:bCs/>
                <w:sz w:val="20"/>
              </w:rPr>
            </w:pPr>
            <w:r w:rsidRPr="001F4BE2">
              <w:rPr>
                <w:rFonts w:ascii="Arial Narrow" w:hAnsi="Arial Narrow" w:cs="Arial"/>
                <w:bCs/>
                <w:sz w:val="20"/>
              </w:rPr>
              <w:t>Year 5</w:t>
            </w:r>
          </w:p>
        </w:tc>
        <w:tc>
          <w:tcPr>
            <w:tcW w:w="563" w:type="pct"/>
            <w:noWrap/>
            <w:hideMark/>
          </w:tcPr>
          <w:p w14:paraId="10CA9021" w14:textId="77777777" w:rsidR="0083734C" w:rsidRPr="001F4BE2" w:rsidRDefault="0083734C" w:rsidP="0083734C">
            <w:pPr>
              <w:spacing w:before="40" w:after="40"/>
              <w:jc w:val="center"/>
              <w:rPr>
                <w:rFonts w:ascii="Arial Narrow" w:hAnsi="Arial Narrow" w:cs="Arial"/>
                <w:bCs/>
                <w:sz w:val="20"/>
              </w:rPr>
            </w:pPr>
            <w:r w:rsidRPr="001F4BE2">
              <w:rPr>
                <w:rFonts w:ascii="Arial Narrow" w:hAnsi="Arial Narrow" w:cs="Arial"/>
                <w:bCs/>
                <w:sz w:val="20"/>
              </w:rPr>
              <w:t>Year 6</w:t>
            </w:r>
          </w:p>
        </w:tc>
        <w:tc>
          <w:tcPr>
            <w:tcW w:w="616" w:type="pct"/>
          </w:tcPr>
          <w:p w14:paraId="460806EC" w14:textId="77777777" w:rsidR="0083734C" w:rsidRPr="001F4BE2" w:rsidRDefault="0083734C" w:rsidP="0083734C">
            <w:pPr>
              <w:spacing w:before="40" w:after="40"/>
              <w:jc w:val="center"/>
              <w:rPr>
                <w:rFonts w:ascii="Arial Narrow" w:hAnsi="Arial Narrow" w:cs="Arial"/>
                <w:bCs/>
                <w:sz w:val="20"/>
              </w:rPr>
            </w:pPr>
            <w:r w:rsidRPr="001F4BE2">
              <w:rPr>
                <w:rFonts w:ascii="Arial Narrow" w:hAnsi="Arial Narrow" w:cs="Arial"/>
                <w:bCs/>
                <w:sz w:val="20"/>
              </w:rPr>
              <w:t>Total</w:t>
            </w:r>
          </w:p>
        </w:tc>
      </w:tr>
      <w:tr w:rsidR="0083734C" w:rsidRPr="001F4BE2" w14:paraId="51A3FE2B" w14:textId="77777777" w:rsidTr="00B429BD">
        <w:tc>
          <w:tcPr>
            <w:tcW w:w="5000" w:type="pct"/>
            <w:gridSpan w:val="8"/>
            <w:noWrap/>
          </w:tcPr>
          <w:p w14:paraId="072C82D6" w14:textId="77777777" w:rsidR="0083734C" w:rsidRPr="001F4BE2" w:rsidRDefault="0083734C" w:rsidP="0083734C">
            <w:pPr>
              <w:spacing w:before="40" w:after="40"/>
              <w:rPr>
                <w:rFonts w:ascii="Arial Narrow" w:hAnsi="Arial Narrow" w:cs="Arial"/>
                <w:sz w:val="20"/>
              </w:rPr>
            </w:pPr>
            <w:r w:rsidRPr="001F4BE2">
              <w:rPr>
                <w:rFonts w:ascii="Arial Narrow" w:hAnsi="Arial Narrow" w:cs="Arial"/>
                <w:sz w:val="20"/>
              </w:rPr>
              <w:t xml:space="preserve">MSAC </w:t>
            </w:r>
            <w:r>
              <w:rPr>
                <w:rFonts w:ascii="Arial Narrow" w:hAnsi="Arial Narrow" w:cs="Arial"/>
                <w:sz w:val="20"/>
              </w:rPr>
              <w:t>e</w:t>
            </w:r>
            <w:r w:rsidRPr="001F4BE2">
              <w:rPr>
                <w:rFonts w:ascii="Arial Narrow" w:hAnsi="Arial Narrow" w:cs="Arial"/>
                <w:sz w:val="20"/>
              </w:rPr>
              <w:t>stimate</w:t>
            </w:r>
          </w:p>
        </w:tc>
      </w:tr>
      <w:tr w:rsidR="0083734C" w:rsidRPr="001F4BE2" w14:paraId="5EEA8A2D" w14:textId="77777777" w:rsidTr="00B429BD">
        <w:tc>
          <w:tcPr>
            <w:tcW w:w="1010" w:type="pct"/>
            <w:noWrap/>
          </w:tcPr>
          <w:p w14:paraId="1B5A9AD4" w14:textId="77777777" w:rsidR="0083734C" w:rsidRPr="001F4BE2" w:rsidRDefault="0083734C" w:rsidP="0083734C">
            <w:pPr>
              <w:spacing w:before="40" w:after="40"/>
              <w:jc w:val="both"/>
              <w:rPr>
                <w:rFonts w:ascii="Arial Narrow" w:hAnsi="Arial Narrow" w:cs="Calibri"/>
                <w:i/>
                <w:sz w:val="20"/>
              </w:rPr>
            </w:pPr>
            <w:r>
              <w:rPr>
                <w:rFonts w:ascii="Arial Narrow" w:hAnsi="Arial Narrow" w:cs="Calibri"/>
                <w:sz w:val="20"/>
              </w:rPr>
              <w:t>Number</w:t>
            </w:r>
            <w:r w:rsidRPr="001F4BE2">
              <w:rPr>
                <w:rFonts w:ascii="Arial Narrow" w:hAnsi="Arial Narrow" w:cs="Calibri"/>
                <w:sz w:val="20"/>
              </w:rPr>
              <w:t xml:space="preserve"> infused</w:t>
            </w:r>
          </w:p>
        </w:tc>
        <w:tc>
          <w:tcPr>
            <w:tcW w:w="562" w:type="pct"/>
          </w:tcPr>
          <w:p w14:paraId="7DF27D5F" w14:textId="4E79EBB7" w:rsidR="0083734C" w:rsidRPr="00C2228F" w:rsidRDefault="006F1F40" w:rsidP="0083734C">
            <w:pPr>
              <w:spacing w:before="40" w:after="40"/>
              <w:jc w:val="center"/>
              <w:rPr>
                <w:rFonts w:ascii="Arial Narrow" w:hAnsi="Arial Narrow" w:cs="Arial"/>
                <w:sz w:val="20"/>
                <w:highlight w:val="green"/>
              </w:rPr>
            </w:pPr>
            <w:r w:rsidRPr="006F1F40">
              <w:rPr>
                <w:rFonts w:ascii="Arial Narrow" w:hAnsi="Arial Narrow" w:cs="Arial"/>
                <w:b/>
                <w:sz w:val="20"/>
              </w:rPr>
              <w:t>redacted</w:t>
            </w:r>
          </w:p>
        </w:tc>
        <w:tc>
          <w:tcPr>
            <w:tcW w:w="562" w:type="pct"/>
          </w:tcPr>
          <w:p w14:paraId="5AC094DB" w14:textId="14187260" w:rsidR="0083734C" w:rsidRPr="00C2228F" w:rsidRDefault="006F1F40" w:rsidP="0083734C">
            <w:pPr>
              <w:spacing w:before="40" w:after="40"/>
              <w:jc w:val="center"/>
              <w:rPr>
                <w:rFonts w:ascii="Arial Narrow" w:hAnsi="Arial Narrow" w:cs="Arial"/>
                <w:sz w:val="20"/>
                <w:highlight w:val="green"/>
              </w:rPr>
            </w:pPr>
            <w:r w:rsidRPr="006F1F40">
              <w:rPr>
                <w:rFonts w:ascii="Arial Narrow" w:hAnsi="Arial Narrow" w:cs="Arial"/>
                <w:b/>
                <w:sz w:val="20"/>
              </w:rPr>
              <w:t>redacted</w:t>
            </w:r>
          </w:p>
        </w:tc>
        <w:tc>
          <w:tcPr>
            <w:tcW w:w="562" w:type="pct"/>
          </w:tcPr>
          <w:p w14:paraId="291B6C67" w14:textId="1A4C1F5B" w:rsidR="0083734C" w:rsidRPr="00C2228F" w:rsidRDefault="006F1F40" w:rsidP="0083734C">
            <w:pPr>
              <w:spacing w:before="40" w:after="40"/>
              <w:jc w:val="center"/>
              <w:rPr>
                <w:rFonts w:ascii="Arial Narrow" w:hAnsi="Arial Narrow" w:cs="Arial"/>
                <w:sz w:val="20"/>
                <w:highlight w:val="green"/>
              </w:rPr>
            </w:pPr>
            <w:r w:rsidRPr="006F1F40">
              <w:rPr>
                <w:rFonts w:ascii="Arial Narrow" w:hAnsi="Arial Narrow" w:cs="Arial"/>
                <w:b/>
                <w:sz w:val="20"/>
              </w:rPr>
              <w:t>redacted</w:t>
            </w:r>
          </w:p>
        </w:tc>
        <w:tc>
          <w:tcPr>
            <w:tcW w:w="562" w:type="pct"/>
            <w:noWrap/>
          </w:tcPr>
          <w:p w14:paraId="1C1A72E7" w14:textId="41B226C2" w:rsidR="0083734C" w:rsidRPr="00C2228F" w:rsidRDefault="006F1F40" w:rsidP="0083734C">
            <w:pPr>
              <w:spacing w:before="40" w:after="40"/>
              <w:jc w:val="center"/>
              <w:rPr>
                <w:rFonts w:ascii="Arial Narrow" w:hAnsi="Arial Narrow" w:cs="Arial"/>
                <w:sz w:val="20"/>
                <w:highlight w:val="green"/>
              </w:rPr>
            </w:pPr>
            <w:r w:rsidRPr="006F1F40">
              <w:rPr>
                <w:rFonts w:ascii="Arial Narrow" w:hAnsi="Arial Narrow" w:cs="Arial"/>
                <w:b/>
                <w:sz w:val="20"/>
              </w:rPr>
              <w:t>redacted</w:t>
            </w:r>
          </w:p>
        </w:tc>
        <w:tc>
          <w:tcPr>
            <w:tcW w:w="563" w:type="pct"/>
            <w:noWrap/>
          </w:tcPr>
          <w:p w14:paraId="3DB6C655" w14:textId="1C48A69B" w:rsidR="0083734C" w:rsidRPr="00C2228F" w:rsidRDefault="006F1F40" w:rsidP="0083734C">
            <w:pPr>
              <w:spacing w:before="40" w:after="40"/>
              <w:jc w:val="center"/>
              <w:rPr>
                <w:rFonts w:ascii="Arial Narrow" w:hAnsi="Arial Narrow" w:cs="Arial"/>
                <w:sz w:val="20"/>
                <w:highlight w:val="green"/>
              </w:rPr>
            </w:pPr>
            <w:r w:rsidRPr="006F1F40">
              <w:rPr>
                <w:rFonts w:ascii="Arial Narrow" w:hAnsi="Arial Narrow" w:cs="Arial"/>
                <w:b/>
                <w:sz w:val="20"/>
              </w:rPr>
              <w:t>redacted</w:t>
            </w:r>
          </w:p>
        </w:tc>
        <w:tc>
          <w:tcPr>
            <w:tcW w:w="563" w:type="pct"/>
            <w:noWrap/>
          </w:tcPr>
          <w:p w14:paraId="27E3907C" w14:textId="6C1C5A57" w:rsidR="0083734C" w:rsidRPr="00C2228F" w:rsidRDefault="006F1F40" w:rsidP="0083734C">
            <w:pPr>
              <w:spacing w:before="40" w:after="40"/>
              <w:jc w:val="center"/>
              <w:rPr>
                <w:rFonts w:ascii="Arial Narrow" w:hAnsi="Arial Narrow" w:cs="Arial"/>
                <w:sz w:val="20"/>
                <w:highlight w:val="green"/>
              </w:rPr>
            </w:pPr>
            <w:r w:rsidRPr="006F1F40">
              <w:rPr>
                <w:rFonts w:ascii="Arial Narrow" w:hAnsi="Arial Narrow" w:cs="Arial"/>
                <w:b/>
                <w:sz w:val="20"/>
              </w:rPr>
              <w:t>redacted</w:t>
            </w:r>
          </w:p>
        </w:tc>
        <w:tc>
          <w:tcPr>
            <w:tcW w:w="616" w:type="pct"/>
          </w:tcPr>
          <w:p w14:paraId="602AA436" w14:textId="5C75E0AC" w:rsidR="0083734C" w:rsidRPr="00C2228F" w:rsidRDefault="006F1F40" w:rsidP="0083734C">
            <w:pPr>
              <w:spacing w:before="40" w:after="40"/>
              <w:jc w:val="center"/>
              <w:rPr>
                <w:rFonts w:ascii="Arial Narrow" w:hAnsi="Arial Narrow" w:cs="Arial"/>
                <w:sz w:val="20"/>
                <w:highlight w:val="green"/>
              </w:rPr>
            </w:pPr>
            <w:r w:rsidRPr="006F1F40">
              <w:rPr>
                <w:rFonts w:ascii="Arial Narrow" w:hAnsi="Arial Narrow" w:cs="Arial"/>
                <w:b/>
                <w:sz w:val="20"/>
              </w:rPr>
              <w:t>redacted</w:t>
            </w:r>
          </w:p>
        </w:tc>
      </w:tr>
    </w:tbl>
    <w:p w14:paraId="66C3C307" w14:textId="33B0A0A2" w:rsidR="00EE56B7" w:rsidRPr="00EE56B7" w:rsidRDefault="00EE56B7" w:rsidP="002306D6">
      <w:pPr>
        <w:spacing w:before="240"/>
        <w:rPr>
          <w:b/>
          <w:i/>
        </w:rPr>
      </w:pPr>
      <w:r w:rsidRPr="00EE56B7">
        <w:rPr>
          <w:b/>
          <w:i/>
        </w:rPr>
        <w:t xml:space="preserve">Risk Share </w:t>
      </w:r>
      <w:r w:rsidR="006F1F40" w:rsidRPr="006F1F40">
        <w:rPr>
          <w:b/>
        </w:rPr>
        <w:t>redacted</w:t>
      </w:r>
    </w:p>
    <w:p w14:paraId="7F1DC5D8" w14:textId="77777777" w:rsidR="00EE56B7" w:rsidRPr="00EE56B7" w:rsidRDefault="00EE56B7" w:rsidP="006C769C">
      <w:pPr>
        <w:spacing w:after="120"/>
        <w:rPr>
          <w:snapToGrid w:val="0"/>
          <w:lang w:val="en-US" w:eastAsia="en-US"/>
        </w:rPr>
      </w:pPr>
      <w:r w:rsidRPr="00EE56B7">
        <w:rPr>
          <w:snapToGrid w:val="0"/>
          <w:lang w:val="en-US" w:eastAsia="en-US"/>
        </w:rPr>
        <w:t>The MSAC noted the applicant agreed to</w:t>
      </w:r>
      <w:r w:rsidR="006C769C">
        <w:rPr>
          <w:snapToGrid w:val="0"/>
          <w:lang w:val="en-US" w:eastAsia="en-US"/>
        </w:rPr>
        <w:t>:</w:t>
      </w:r>
    </w:p>
    <w:p w14:paraId="343BFBA9" w14:textId="00F24B96" w:rsidR="00EE56B7" w:rsidRPr="00EE56B7" w:rsidRDefault="00EE56B7" w:rsidP="006C769C">
      <w:pPr>
        <w:numPr>
          <w:ilvl w:val="0"/>
          <w:numId w:val="45"/>
        </w:numPr>
        <w:spacing w:after="120"/>
        <w:ind w:left="714" w:hanging="357"/>
        <w:rPr>
          <w:snapToGrid w:val="0"/>
          <w:lang w:val="en-US" w:eastAsia="en-US"/>
        </w:rPr>
      </w:pPr>
      <w:r w:rsidRPr="00EE56B7">
        <w:rPr>
          <w:snapToGrid w:val="0"/>
          <w:lang w:val="en-US" w:eastAsia="en-US"/>
        </w:rPr>
        <w:t xml:space="preserve">Limit treatment to a single </w:t>
      </w:r>
      <w:r w:rsidR="004014A6">
        <w:rPr>
          <w:snapToGrid w:val="0"/>
          <w:lang w:val="en-US" w:eastAsia="en-US"/>
        </w:rPr>
        <w:t>dose</w:t>
      </w:r>
      <w:r w:rsidR="00325039" w:rsidRPr="00EE56B7">
        <w:rPr>
          <w:snapToGrid w:val="0"/>
          <w:lang w:val="en-US" w:eastAsia="en-US"/>
        </w:rPr>
        <w:t xml:space="preserve"> </w:t>
      </w:r>
      <w:r w:rsidRPr="00EE56B7">
        <w:rPr>
          <w:snapToGrid w:val="0"/>
          <w:lang w:val="en-US" w:eastAsia="en-US"/>
        </w:rPr>
        <w:t xml:space="preserve">of TIS, as there is no evidence currently available informing the effectiveness or safety of multiple </w:t>
      </w:r>
      <w:r w:rsidR="00F105EE">
        <w:rPr>
          <w:snapToGrid w:val="0"/>
          <w:lang w:val="en-US" w:eastAsia="en-US"/>
        </w:rPr>
        <w:t>doses</w:t>
      </w:r>
      <w:r w:rsidRPr="00EE56B7">
        <w:rPr>
          <w:snapToGrid w:val="0"/>
          <w:lang w:val="en-US" w:eastAsia="en-US"/>
        </w:rPr>
        <w:t>;</w:t>
      </w:r>
    </w:p>
    <w:p w14:paraId="322EC54C" w14:textId="0EA00E23" w:rsidR="006C769C" w:rsidRPr="009C1DCD" w:rsidRDefault="00EE56B7" w:rsidP="009C1DCD">
      <w:pPr>
        <w:pStyle w:val="ListParagraph"/>
        <w:numPr>
          <w:ilvl w:val="0"/>
          <w:numId w:val="45"/>
        </w:numPr>
      </w:pPr>
      <w:r w:rsidRPr="009C1DCD">
        <w:rPr>
          <w:snapToGrid w:val="0"/>
          <w:lang w:val="en-US" w:eastAsia="en-US"/>
        </w:rPr>
        <w:t xml:space="preserve">Only receiving reimbursement for the cost of TIS where patients are ultimately infused with TIS with a clinically acceptable cell </w:t>
      </w:r>
      <w:proofErr w:type="gramStart"/>
      <w:r w:rsidRPr="009C1DCD">
        <w:rPr>
          <w:snapToGrid w:val="0"/>
          <w:lang w:val="en-US" w:eastAsia="en-US"/>
        </w:rPr>
        <w:t>dose which</w:t>
      </w:r>
      <w:proofErr w:type="gramEnd"/>
      <w:r w:rsidRPr="009C1DCD">
        <w:rPr>
          <w:snapToGrid w:val="0"/>
          <w:lang w:val="en-US" w:eastAsia="en-US"/>
        </w:rPr>
        <w:t xml:space="preserve"> is consistent with the </w:t>
      </w:r>
      <w:r w:rsidRPr="009C1DCD">
        <w:t xml:space="preserve">expected cell dose specified prior to apheresis. </w:t>
      </w:r>
    </w:p>
    <w:p w14:paraId="2B0654DE" w14:textId="65D5CD04" w:rsidR="009C1DCD" w:rsidRDefault="00EE56B7" w:rsidP="009C1DCD">
      <w:pPr>
        <w:spacing w:before="240" w:after="240"/>
        <w:rPr>
          <w:snapToGrid w:val="0"/>
          <w:lang w:val="en-US" w:eastAsia="en-US"/>
        </w:rPr>
      </w:pPr>
      <w:r w:rsidRPr="009C1DCD">
        <w:t>The MSAC considered these were not the only areas of risk associated with public subsidy of</w:t>
      </w:r>
      <w:r w:rsidRPr="00EE56B7">
        <w:rPr>
          <w:snapToGrid w:val="0"/>
          <w:lang w:val="en-US" w:eastAsia="en-US"/>
        </w:rPr>
        <w:t xml:space="preserve"> TIS for ALL. The risks identified by the MSAC and methods for mitigating these risks </w:t>
      </w:r>
      <w:proofErr w:type="gramStart"/>
      <w:r w:rsidRPr="00EE56B7">
        <w:rPr>
          <w:snapToGrid w:val="0"/>
          <w:lang w:val="en-US" w:eastAsia="en-US"/>
        </w:rPr>
        <w:t>are detailed</w:t>
      </w:r>
      <w:proofErr w:type="gramEnd"/>
      <w:r w:rsidRPr="00EE56B7">
        <w:rPr>
          <w:snapToGrid w:val="0"/>
          <w:lang w:val="en-US" w:eastAsia="en-US"/>
        </w:rPr>
        <w:t xml:space="preserve"> in </w:t>
      </w:r>
      <w:r w:rsidR="003D5816">
        <w:rPr>
          <w:snapToGrid w:val="0"/>
          <w:lang w:val="en-US" w:eastAsia="en-US"/>
        </w:rPr>
        <w:fldChar w:fldCharType="begin"/>
      </w:r>
      <w:r w:rsidR="003D5816">
        <w:rPr>
          <w:snapToGrid w:val="0"/>
          <w:lang w:val="en-US" w:eastAsia="en-US"/>
        </w:rPr>
        <w:instrText xml:space="preserve"> REF _Ref5276049 \h </w:instrText>
      </w:r>
      <w:r w:rsidR="003D5816">
        <w:rPr>
          <w:snapToGrid w:val="0"/>
          <w:lang w:val="en-US" w:eastAsia="en-US"/>
        </w:rPr>
      </w:r>
      <w:r w:rsidR="003D5816">
        <w:rPr>
          <w:snapToGrid w:val="0"/>
          <w:lang w:val="en-US" w:eastAsia="en-US"/>
        </w:rPr>
        <w:fldChar w:fldCharType="separate"/>
      </w:r>
      <w:r w:rsidR="001E1B42" w:rsidRPr="003D5816">
        <w:t xml:space="preserve">Table </w:t>
      </w:r>
      <w:r w:rsidR="001E1B42">
        <w:rPr>
          <w:noProof/>
        </w:rPr>
        <w:t>3</w:t>
      </w:r>
      <w:r w:rsidR="003D5816">
        <w:rPr>
          <w:snapToGrid w:val="0"/>
          <w:lang w:val="en-US" w:eastAsia="en-US"/>
        </w:rPr>
        <w:fldChar w:fldCharType="end"/>
      </w:r>
      <w:r w:rsidR="009C1DCD">
        <w:rPr>
          <w:snapToGrid w:val="0"/>
          <w:lang w:val="en-US" w:eastAsia="en-US"/>
        </w:rPr>
        <w:t>.</w:t>
      </w:r>
      <w:r w:rsidR="009C1DCD">
        <w:rPr>
          <w:snapToGrid w:val="0"/>
          <w:lang w:val="en-US" w:eastAsia="en-US"/>
        </w:rPr>
        <w:br w:type="page"/>
      </w:r>
    </w:p>
    <w:p w14:paraId="72DAA36B" w14:textId="50E48C49" w:rsidR="00EE56B7" w:rsidRPr="003D5816" w:rsidRDefault="003D5816" w:rsidP="003D5816">
      <w:pPr>
        <w:pStyle w:val="Caption"/>
        <w:rPr>
          <w:snapToGrid w:val="0"/>
          <w:lang w:val="en-US" w:eastAsia="en-US"/>
        </w:rPr>
      </w:pPr>
      <w:bookmarkStart w:id="3" w:name="_Ref5276049"/>
      <w:r w:rsidRPr="003D5816">
        <w:lastRenderedPageBreak/>
        <w:t xml:space="preserve">Table </w:t>
      </w:r>
      <w:r w:rsidR="00154DFE">
        <w:rPr>
          <w:noProof/>
        </w:rPr>
        <w:fldChar w:fldCharType="begin"/>
      </w:r>
      <w:r w:rsidR="00154DFE">
        <w:rPr>
          <w:noProof/>
        </w:rPr>
        <w:instrText xml:space="preserve"> SEQ Table \* ARABIC </w:instrText>
      </w:r>
      <w:r w:rsidR="00154DFE">
        <w:rPr>
          <w:noProof/>
        </w:rPr>
        <w:fldChar w:fldCharType="separate"/>
      </w:r>
      <w:r w:rsidR="001E1B42">
        <w:rPr>
          <w:noProof/>
        </w:rPr>
        <w:t>3</w:t>
      </w:r>
      <w:r w:rsidR="00154DFE">
        <w:rPr>
          <w:noProof/>
        </w:rPr>
        <w:fldChar w:fldCharType="end"/>
      </w:r>
      <w:bookmarkEnd w:id="3"/>
      <w:r w:rsidRPr="003D5816">
        <w:tab/>
      </w:r>
      <w:r w:rsidR="00EE56B7" w:rsidRPr="003D5816">
        <w:rPr>
          <w:snapToGrid w:val="0"/>
          <w:lang w:val="en-US" w:eastAsia="en-US"/>
        </w:rPr>
        <w:t>Risks and mitigations</w:t>
      </w:r>
    </w:p>
    <w:tbl>
      <w:tblPr>
        <w:tblStyle w:val="TableGrid11"/>
        <w:tblW w:w="0" w:type="auto"/>
        <w:tblLook w:val="04A0" w:firstRow="1" w:lastRow="0" w:firstColumn="1" w:lastColumn="0" w:noHBand="0" w:noVBand="1"/>
        <w:tblDescription w:val="Summary of the risks and mitigations associated with the risk share agreement"/>
      </w:tblPr>
      <w:tblGrid>
        <w:gridCol w:w="3005"/>
        <w:gridCol w:w="3005"/>
        <w:gridCol w:w="3006"/>
      </w:tblGrid>
      <w:tr w:rsidR="00EE56B7" w:rsidRPr="00EE56B7" w14:paraId="088D67EE" w14:textId="77777777" w:rsidTr="00261A53">
        <w:trPr>
          <w:trHeight w:val="167"/>
          <w:tblHeader/>
        </w:trPr>
        <w:tc>
          <w:tcPr>
            <w:tcW w:w="3005" w:type="dxa"/>
          </w:tcPr>
          <w:p w14:paraId="48BC2C24" w14:textId="77777777" w:rsidR="00EE56B7" w:rsidRPr="00EE56B7" w:rsidRDefault="00EE56B7" w:rsidP="00EE56B7">
            <w:pPr>
              <w:rPr>
                <w:b/>
                <w:snapToGrid w:val="0"/>
                <w:sz w:val="20"/>
                <w:lang w:val="en-US"/>
              </w:rPr>
            </w:pPr>
            <w:r w:rsidRPr="00EE56B7">
              <w:rPr>
                <w:b/>
                <w:snapToGrid w:val="0"/>
                <w:sz w:val="20"/>
                <w:lang w:val="en-US"/>
              </w:rPr>
              <w:t>Issue</w:t>
            </w:r>
          </w:p>
        </w:tc>
        <w:tc>
          <w:tcPr>
            <w:tcW w:w="3005" w:type="dxa"/>
          </w:tcPr>
          <w:p w14:paraId="75F64D0C" w14:textId="77777777" w:rsidR="00EE56B7" w:rsidRPr="00EE56B7" w:rsidRDefault="00EE56B7" w:rsidP="00EE56B7">
            <w:pPr>
              <w:rPr>
                <w:b/>
                <w:snapToGrid w:val="0"/>
                <w:sz w:val="20"/>
                <w:lang w:val="en-US"/>
              </w:rPr>
            </w:pPr>
            <w:r w:rsidRPr="00EE56B7">
              <w:rPr>
                <w:b/>
                <w:snapToGrid w:val="0"/>
                <w:sz w:val="20"/>
                <w:lang w:val="en-US"/>
              </w:rPr>
              <w:t>Impact</w:t>
            </w:r>
          </w:p>
        </w:tc>
        <w:tc>
          <w:tcPr>
            <w:tcW w:w="3006" w:type="dxa"/>
          </w:tcPr>
          <w:p w14:paraId="04F6BBC0" w14:textId="77777777" w:rsidR="00EE56B7" w:rsidRPr="00EE56B7" w:rsidRDefault="00EE56B7" w:rsidP="00EE56B7">
            <w:pPr>
              <w:rPr>
                <w:b/>
                <w:snapToGrid w:val="0"/>
                <w:sz w:val="20"/>
                <w:lang w:val="en-US"/>
              </w:rPr>
            </w:pPr>
            <w:r w:rsidRPr="00EE56B7">
              <w:rPr>
                <w:b/>
                <w:snapToGrid w:val="0"/>
                <w:sz w:val="20"/>
                <w:lang w:val="en-US"/>
              </w:rPr>
              <w:t>Mitigation</w:t>
            </w:r>
          </w:p>
        </w:tc>
      </w:tr>
      <w:tr w:rsidR="00EE56B7" w:rsidRPr="00EE56B7" w14:paraId="7A725E92" w14:textId="77777777" w:rsidTr="0083734C">
        <w:tc>
          <w:tcPr>
            <w:tcW w:w="3005" w:type="dxa"/>
          </w:tcPr>
          <w:p w14:paraId="33D8CB43" w14:textId="77777777" w:rsidR="00EE56B7" w:rsidRPr="00EE56B7" w:rsidRDefault="00EE56B7" w:rsidP="00EE56B7">
            <w:pPr>
              <w:rPr>
                <w:snapToGrid w:val="0"/>
                <w:sz w:val="20"/>
                <w:lang w:val="en-US"/>
              </w:rPr>
            </w:pPr>
            <w:r w:rsidRPr="00EE56B7">
              <w:rPr>
                <w:snapToGrid w:val="0"/>
                <w:sz w:val="20"/>
                <w:lang w:val="en-US"/>
              </w:rPr>
              <w:t>Patient not successfully infused with TIS</w:t>
            </w:r>
          </w:p>
        </w:tc>
        <w:tc>
          <w:tcPr>
            <w:tcW w:w="3005" w:type="dxa"/>
          </w:tcPr>
          <w:p w14:paraId="1EFA8CDA" w14:textId="77777777" w:rsidR="00EE56B7" w:rsidRPr="00EE56B7" w:rsidRDefault="00EE56B7" w:rsidP="00EE56B7">
            <w:pPr>
              <w:rPr>
                <w:snapToGrid w:val="0"/>
                <w:sz w:val="20"/>
                <w:lang w:val="en-US"/>
              </w:rPr>
            </w:pPr>
            <w:r w:rsidRPr="00EE56B7">
              <w:rPr>
                <w:snapToGrid w:val="0"/>
                <w:sz w:val="20"/>
                <w:lang w:val="en-US"/>
              </w:rPr>
              <w:t>Potential to pay for product that is not delivered</w:t>
            </w:r>
          </w:p>
        </w:tc>
        <w:tc>
          <w:tcPr>
            <w:tcW w:w="3006" w:type="dxa"/>
          </w:tcPr>
          <w:p w14:paraId="0CFA53ED" w14:textId="77777777" w:rsidR="00EE56B7" w:rsidRPr="00EE56B7" w:rsidRDefault="00EE56B7" w:rsidP="00EE56B7">
            <w:pPr>
              <w:rPr>
                <w:snapToGrid w:val="0"/>
                <w:sz w:val="20"/>
                <w:lang w:val="en-US"/>
              </w:rPr>
            </w:pPr>
            <w:r w:rsidRPr="007410AB">
              <w:rPr>
                <w:snapToGrid w:val="0"/>
                <w:sz w:val="20"/>
                <w:lang w:val="en-US"/>
              </w:rPr>
              <w:t>Novartis agreed to only</w:t>
            </w:r>
            <w:r w:rsidRPr="00EE56B7">
              <w:rPr>
                <w:snapToGrid w:val="0"/>
                <w:sz w:val="20"/>
                <w:lang w:val="en-US"/>
              </w:rPr>
              <w:t xml:space="preserve"> invoice on successful infusion of TIS</w:t>
            </w:r>
          </w:p>
        </w:tc>
      </w:tr>
      <w:tr w:rsidR="00EE56B7" w:rsidRPr="00EE56B7" w14:paraId="04143C2C" w14:textId="77777777" w:rsidTr="0083734C">
        <w:tc>
          <w:tcPr>
            <w:tcW w:w="3005" w:type="dxa"/>
          </w:tcPr>
          <w:p w14:paraId="10A2FF14" w14:textId="77777777" w:rsidR="00EE56B7" w:rsidRPr="007410AB" w:rsidRDefault="00EE56B7" w:rsidP="00EE56B7">
            <w:pPr>
              <w:rPr>
                <w:snapToGrid w:val="0"/>
                <w:sz w:val="20"/>
                <w:lang w:val="fr-FR"/>
              </w:rPr>
            </w:pPr>
            <w:r w:rsidRPr="007410AB">
              <w:rPr>
                <w:snapToGrid w:val="0"/>
                <w:sz w:val="20"/>
                <w:lang w:val="fr-FR"/>
              </w:rPr>
              <w:t xml:space="preserve">Patient </w:t>
            </w:r>
            <w:proofErr w:type="spellStart"/>
            <w:r w:rsidRPr="007410AB">
              <w:rPr>
                <w:snapToGrid w:val="0"/>
                <w:sz w:val="20"/>
                <w:lang w:val="fr-FR"/>
              </w:rPr>
              <w:t>receives</w:t>
            </w:r>
            <w:proofErr w:type="spellEnd"/>
            <w:r w:rsidRPr="007410AB">
              <w:rPr>
                <w:snapToGrid w:val="0"/>
                <w:sz w:val="20"/>
                <w:lang w:val="fr-FR"/>
              </w:rPr>
              <w:t xml:space="preserve"> second TIS infusion</w:t>
            </w:r>
          </w:p>
        </w:tc>
        <w:tc>
          <w:tcPr>
            <w:tcW w:w="3005" w:type="dxa"/>
          </w:tcPr>
          <w:p w14:paraId="6B7AAC36" w14:textId="23681BD1" w:rsidR="00EE56B7" w:rsidRPr="00EE56B7" w:rsidRDefault="00EE56B7" w:rsidP="009C1DCD">
            <w:pPr>
              <w:spacing w:after="240"/>
              <w:rPr>
                <w:snapToGrid w:val="0"/>
                <w:sz w:val="20"/>
                <w:lang w:val="en-US"/>
              </w:rPr>
            </w:pPr>
            <w:r w:rsidRPr="00EE56B7">
              <w:rPr>
                <w:snapToGrid w:val="0"/>
                <w:sz w:val="20"/>
                <w:lang w:val="en-US"/>
              </w:rPr>
              <w:t>Cos</w:t>
            </w:r>
            <w:r w:rsidR="009C1DCD">
              <w:rPr>
                <w:snapToGrid w:val="0"/>
                <w:sz w:val="20"/>
                <w:lang w:val="en-US"/>
              </w:rPr>
              <w:t xml:space="preserve">t-effectiveness less </w:t>
            </w:r>
            <w:proofErr w:type="spellStart"/>
            <w:r w:rsidR="009C1DCD">
              <w:rPr>
                <w:snapToGrid w:val="0"/>
                <w:sz w:val="20"/>
                <w:lang w:val="en-US"/>
              </w:rPr>
              <w:t>favourable</w:t>
            </w:r>
            <w:proofErr w:type="spellEnd"/>
          </w:p>
          <w:p w14:paraId="5C2D7D7D" w14:textId="77777777" w:rsidR="00EE56B7" w:rsidRPr="00EE56B7" w:rsidRDefault="00EE56B7" w:rsidP="00EE56B7">
            <w:pPr>
              <w:rPr>
                <w:snapToGrid w:val="0"/>
                <w:sz w:val="20"/>
                <w:lang w:val="en-US"/>
              </w:rPr>
            </w:pPr>
            <w:r w:rsidRPr="00EE56B7">
              <w:rPr>
                <w:snapToGrid w:val="0"/>
                <w:sz w:val="20"/>
                <w:lang w:val="en-US"/>
              </w:rPr>
              <w:t>Increase overall spend</w:t>
            </w:r>
          </w:p>
        </w:tc>
        <w:tc>
          <w:tcPr>
            <w:tcW w:w="3006" w:type="dxa"/>
          </w:tcPr>
          <w:p w14:paraId="58341793" w14:textId="77777777" w:rsidR="00EE56B7" w:rsidRPr="00EE56B7" w:rsidRDefault="00EE56B7" w:rsidP="00EE56B7">
            <w:pPr>
              <w:rPr>
                <w:snapToGrid w:val="0"/>
                <w:sz w:val="20"/>
                <w:lang w:val="en-US"/>
              </w:rPr>
            </w:pPr>
            <w:r w:rsidRPr="007410AB">
              <w:rPr>
                <w:snapToGrid w:val="0"/>
                <w:sz w:val="20"/>
                <w:lang w:val="en-US"/>
              </w:rPr>
              <w:t>Novartis agreed to limit treatment to once per lifetime through</w:t>
            </w:r>
            <w:r w:rsidRPr="00EE56B7">
              <w:rPr>
                <w:snapToGrid w:val="0"/>
                <w:sz w:val="20"/>
                <w:lang w:val="en-US"/>
              </w:rPr>
              <w:t xml:space="preserve"> guidelines. </w:t>
            </w:r>
          </w:p>
          <w:p w14:paraId="61794335" w14:textId="5C291BCB" w:rsidR="00EE56B7" w:rsidRPr="006F1F40" w:rsidRDefault="006F1F40" w:rsidP="00EE56B7">
            <w:pPr>
              <w:rPr>
                <w:b/>
                <w:snapToGrid w:val="0"/>
                <w:sz w:val="20"/>
                <w:lang w:val="en-US"/>
              </w:rPr>
            </w:pPr>
            <w:r w:rsidRPr="006F1F40">
              <w:rPr>
                <w:b/>
                <w:snapToGrid w:val="0"/>
                <w:sz w:val="20"/>
                <w:lang w:val="en-US"/>
              </w:rPr>
              <w:t>Redacted</w:t>
            </w:r>
            <w:r w:rsidR="00EE56B7" w:rsidRPr="006F1F40">
              <w:rPr>
                <w:b/>
                <w:snapToGrid w:val="0"/>
                <w:sz w:val="20"/>
                <w:lang w:val="en-US"/>
              </w:rPr>
              <w:t xml:space="preserve"> </w:t>
            </w:r>
          </w:p>
        </w:tc>
      </w:tr>
      <w:tr w:rsidR="00EE56B7" w:rsidRPr="00EE56B7" w14:paraId="1C5C18AB" w14:textId="77777777" w:rsidTr="0083734C">
        <w:tc>
          <w:tcPr>
            <w:tcW w:w="3005" w:type="dxa"/>
          </w:tcPr>
          <w:p w14:paraId="17551763" w14:textId="77777777" w:rsidR="00EE56B7" w:rsidRPr="00EE56B7" w:rsidRDefault="00EE56B7" w:rsidP="00EE56B7">
            <w:pPr>
              <w:rPr>
                <w:snapToGrid w:val="0"/>
                <w:sz w:val="20"/>
                <w:lang w:val="en-US"/>
              </w:rPr>
            </w:pPr>
            <w:r w:rsidRPr="00EE56B7">
              <w:rPr>
                <w:snapToGrid w:val="0"/>
                <w:sz w:val="20"/>
                <w:lang w:val="en-US"/>
              </w:rPr>
              <w:t>Patient numbers overestimated</w:t>
            </w:r>
          </w:p>
        </w:tc>
        <w:tc>
          <w:tcPr>
            <w:tcW w:w="3005" w:type="dxa"/>
          </w:tcPr>
          <w:p w14:paraId="366EFBAB" w14:textId="4434F60A" w:rsidR="00EE56B7" w:rsidRPr="00EE56B7" w:rsidRDefault="00EE56B7" w:rsidP="00EE56B7">
            <w:pPr>
              <w:rPr>
                <w:snapToGrid w:val="0"/>
                <w:sz w:val="20"/>
                <w:lang w:val="en-US"/>
              </w:rPr>
            </w:pPr>
            <w:r w:rsidRPr="00EE56B7">
              <w:rPr>
                <w:snapToGrid w:val="0"/>
                <w:sz w:val="20"/>
                <w:lang w:val="en-US"/>
              </w:rPr>
              <w:t xml:space="preserve">Financials </w:t>
            </w:r>
            <w:r w:rsidR="006F1F40">
              <w:rPr>
                <w:b/>
                <w:snapToGrid w:val="0"/>
                <w:sz w:val="20"/>
                <w:lang w:val="en-US"/>
              </w:rPr>
              <w:t>r</w:t>
            </w:r>
            <w:r w:rsidR="006F1F40" w:rsidRPr="006F1F40">
              <w:rPr>
                <w:b/>
                <w:snapToGrid w:val="0"/>
                <w:sz w:val="20"/>
                <w:lang w:val="en-US"/>
              </w:rPr>
              <w:t>edacted</w:t>
            </w:r>
            <w:r w:rsidR="006F1F40" w:rsidRPr="00EE56B7">
              <w:rPr>
                <w:snapToGrid w:val="0"/>
                <w:sz w:val="20"/>
                <w:lang w:val="en-US"/>
              </w:rPr>
              <w:t xml:space="preserve"> </w:t>
            </w:r>
            <w:r w:rsidRPr="00EE56B7">
              <w:rPr>
                <w:snapToGrid w:val="0"/>
                <w:sz w:val="20"/>
                <w:lang w:val="en-US"/>
              </w:rPr>
              <w:t>too high</w:t>
            </w:r>
          </w:p>
        </w:tc>
        <w:tc>
          <w:tcPr>
            <w:tcW w:w="3006" w:type="dxa"/>
          </w:tcPr>
          <w:p w14:paraId="5AB9ACA1" w14:textId="77777777" w:rsidR="00EE56B7" w:rsidRPr="00EE56B7" w:rsidRDefault="00EE56B7" w:rsidP="00EE56B7">
            <w:pPr>
              <w:rPr>
                <w:snapToGrid w:val="0"/>
                <w:sz w:val="20"/>
                <w:lang w:val="en-US"/>
              </w:rPr>
            </w:pPr>
            <w:r w:rsidRPr="00EE56B7">
              <w:rPr>
                <w:snapToGrid w:val="0"/>
                <w:sz w:val="20"/>
                <w:lang w:val="en-US"/>
              </w:rPr>
              <w:t>Time limited subsidy agreement</w:t>
            </w:r>
          </w:p>
          <w:p w14:paraId="202090B4" w14:textId="053D3406" w:rsidR="00EE56B7" w:rsidRPr="00EE56B7" w:rsidRDefault="006F1F40" w:rsidP="00EE56B7">
            <w:pPr>
              <w:rPr>
                <w:snapToGrid w:val="0"/>
                <w:sz w:val="20"/>
                <w:lang w:val="en-US"/>
              </w:rPr>
            </w:pPr>
            <w:r w:rsidRPr="006F1F40">
              <w:rPr>
                <w:b/>
                <w:snapToGrid w:val="0"/>
                <w:sz w:val="20"/>
                <w:lang w:val="en-US"/>
              </w:rPr>
              <w:t>Redacted</w:t>
            </w:r>
          </w:p>
        </w:tc>
      </w:tr>
      <w:tr w:rsidR="00EE56B7" w:rsidRPr="00EE56B7" w14:paraId="554F0CD1" w14:textId="77777777" w:rsidTr="0083734C">
        <w:tc>
          <w:tcPr>
            <w:tcW w:w="3005" w:type="dxa"/>
          </w:tcPr>
          <w:p w14:paraId="142B1258" w14:textId="77777777" w:rsidR="00EE56B7" w:rsidRPr="00EE56B7" w:rsidRDefault="00EE56B7" w:rsidP="00EE56B7">
            <w:pPr>
              <w:rPr>
                <w:snapToGrid w:val="0"/>
                <w:sz w:val="20"/>
                <w:lang w:val="en-US"/>
              </w:rPr>
            </w:pPr>
            <w:r w:rsidRPr="00EE56B7">
              <w:rPr>
                <w:snapToGrid w:val="0"/>
                <w:sz w:val="20"/>
                <w:lang w:val="en-US"/>
              </w:rPr>
              <w:t>Durability of response</w:t>
            </w:r>
          </w:p>
        </w:tc>
        <w:tc>
          <w:tcPr>
            <w:tcW w:w="3005" w:type="dxa"/>
          </w:tcPr>
          <w:p w14:paraId="536B729D" w14:textId="77777777" w:rsidR="00EE56B7" w:rsidRPr="00EE56B7" w:rsidRDefault="00EE56B7" w:rsidP="00EE56B7">
            <w:pPr>
              <w:rPr>
                <w:snapToGrid w:val="0"/>
                <w:sz w:val="20"/>
                <w:lang w:val="en-US"/>
              </w:rPr>
            </w:pPr>
            <w:r w:rsidRPr="00EE56B7">
              <w:rPr>
                <w:snapToGrid w:val="0"/>
                <w:sz w:val="20"/>
                <w:lang w:val="en-US"/>
              </w:rPr>
              <w:t>Changes cost-effectiveness</w:t>
            </w:r>
          </w:p>
        </w:tc>
        <w:tc>
          <w:tcPr>
            <w:tcW w:w="3006" w:type="dxa"/>
          </w:tcPr>
          <w:p w14:paraId="5C18D729" w14:textId="77777777" w:rsidR="00EE56B7" w:rsidRPr="00EE56B7" w:rsidRDefault="00EE56B7" w:rsidP="00EE56B7">
            <w:pPr>
              <w:rPr>
                <w:snapToGrid w:val="0"/>
                <w:sz w:val="20"/>
                <w:lang w:val="en-US"/>
              </w:rPr>
            </w:pPr>
            <w:r w:rsidRPr="00EE56B7">
              <w:rPr>
                <w:snapToGrid w:val="0"/>
                <w:sz w:val="20"/>
                <w:lang w:val="en-US"/>
              </w:rPr>
              <w:t>Time limited subsidy agreement</w:t>
            </w:r>
          </w:p>
          <w:p w14:paraId="40032FD6" w14:textId="7C5C2B29" w:rsidR="00EE56B7" w:rsidRPr="00EE56B7" w:rsidRDefault="006F1F40" w:rsidP="00EE56B7">
            <w:pPr>
              <w:rPr>
                <w:snapToGrid w:val="0"/>
                <w:sz w:val="20"/>
                <w:lang w:val="en-US"/>
              </w:rPr>
            </w:pPr>
            <w:r w:rsidRPr="006F1F40">
              <w:rPr>
                <w:b/>
                <w:snapToGrid w:val="0"/>
                <w:sz w:val="20"/>
                <w:lang w:val="en-US"/>
              </w:rPr>
              <w:t>Redacted</w:t>
            </w:r>
          </w:p>
        </w:tc>
      </w:tr>
      <w:tr w:rsidR="00EE56B7" w:rsidRPr="009C1DCD" w14:paraId="749EB93E" w14:textId="77777777" w:rsidTr="0083734C">
        <w:tc>
          <w:tcPr>
            <w:tcW w:w="3005" w:type="dxa"/>
          </w:tcPr>
          <w:p w14:paraId="54AB933A" w14:textId="56BCD824" w:rsidR="00EE56B7" w:rsidRPr="009C1DCD" w:rsidRDefault="00EE56B7" w:rsidP="00EE56B7">
            <w:pPr>
              <w:rPr>
                <w:snapToGrid w:val="0"/>
                <w:sz w:val="20"/>
                <w:lang w:val="en-US"/>
              </w:rPr>
            </w:pPr>
            <w:r w:rsidRPr="009C1DCD">
              <w:rPr>
                <w:snapToGrid w:val="0"/>
                <w:sz w:val="20"/>
                <w:lang w:val="en-US"/>
              </w:rPr>
              <w:t xml:space="preserve">Proportion receiving stem cell transplant post TIS (model assumed </w:t>
            </w:r>
            <w:r w:rsidR="006F1F40" w:rsidRPr="009C1DCD">
              <w:rPr>
                <w:b/>
                <w:snapToGrid w:val="0"/>
                <w:sz w:val="20"/>
                <w:lang w:val="en-US"/>
              </w:rPr>
              <w:t>redacted</w:t>
            </w:r>
            <w:r w:rsidRPr="009C1DCD">
              <w:rPr>
                <w:snapToGrid w:val="0"/>
                <w:sz w:val="20"/>
                <w:lang w:val="en-US"/>
              </w:rPr>
              <w:t>)</w:t>
            </w:r>
          </w:p>
        </w:tc>
        <w:tc>
          <w:tcPr>
            <w:tcW w:w="3005" w:type="dxa"/>
          </w:tcPr>
          <w:p w14:paraId="553C0816" w14:textId="77777777" w:rsidR="00EE56B7" w:rsidRPr="009C1DCD" w:rsidRDefault="00EE56B7" w:rsidP="00EE56B7">
            <w:pPr>
              <w:rPr>
                <w:snapToGrid w:val="0"/>
                <w:sz w:val="20"/>
                <w:lang w:val="en-US"/>
              </w:rPr>
            </w:pPr>
            <w:r w:rsidRPr="009C1DCD">
              <w:rPr>
                <w:snapToGrid w:val="0"/>
                <w:sz w:val="20"/>
                <w:lang w:val="en-US"/>
              </w:rPr>
              <w:t>Changes cost-effectiveness</w:t>
            </w:r>
          </w:p>
        </w:tc>
        <w:tc>
          <w:tcPr>
            <w:tcW w:w="3006" w:type="dxa"/>
          </w:tcPr>
          <w:p w14:paraId="7B0F2308" w14:textId="77777777" w:rsidR="00EE56B7" w:rsidRPr="009C1DCD" w:rsidRDefault="00EE56B7" w:rsidP="00EE56B7">
            <w:pPr>
              <w:rPr>
                <w:snapToGrid w:val="0"/>
                <w:sz w:val="20"/>
                <w:lang w:val="en-US"/>
              </w:rPr>
            </w:pPr>
            <w:r w:rsidRPr="009C1DCD">
              <w:rPr>
                <w:snapToGrid w:val="0"/>
                <w:sz w:val="20"/>
                <w:lang w:val="en-US"/>
              </w:rPr>
              <w:t>Time limited subsidy agreement</w:t>
            </w:r>
          </w:p>
          <w:p w14:paraId="0EBFF174" w14:textId="08286A31" w:rsidR="00EE56B7" w:rsidRPr="009C1DCD" w:rsidRDefault="006F1F40" w:rsidP="00EE56B7">
            <w:pPr>
              <w:rPr>
                <w:snapToGrid w:val="0"/>
                <w:sz w:val="20"/>
                <w:lang w:val="en-US"/>
              </w:rPr>
            </w:pPr>
            <w:r w:rsidRPr="009C1DCD">
              <w:rPr>
                <w:b/>
                <w:snapToGrid w:val="0"/>
                <w:sz w:val="20"/>
                <w:lang w:val="en-US"/>
              </w:rPr>
              <w:t>Redacted</w:t>
            </w:r>
          </w:p>
        </w:tc>
      </w:tr>
      <w:tr w:rsidR="00EE56B7" w:rsidRPr="009C1DCD" w14:paraId="078970BD" w14:textId="77777777" w:rsidTr="0083734C">
        <w:tc>
          <w:tcPr>
            <w:tcW w:w="3005" w:type="dxa"/>
          </w:tcPr>
          <w:p w14:paraId="08357205" w14:textId="77777777" w:rsidR="00EE56B7" w:rsidRPr="009C1DCD" w:rsidRDefault="00EE56B7" w:rsidP="00EE56B7">
            <w:pPr>
              <w:rPr>
                <w:snapToGrid w:val="0"/>
                <w:sz w:val="20"/>
                <w:lang w:val="en-US"/>
              </w:rPr>
            </w:pPr>
            <w:r w:rsidRPr="009C1DCD">
              <w:rPr>
                <w:snapToGrid w:val="0"/>
                <w:sz w:val="20"/>
                <w:lang w:val="en-US"/>
              </w:rPr>
              <w:t xml:space="preserve">Need for ongoing </w:t>
            </w:r>
            <w:proofErr w:type="spellStart"/>
            <w:r w:rsidRPr="009C1DCD">
              <w:rPr>
                <w:snapToGrid w:val="0"/>
                <w:sz w:val="20"/>
                <w:lang w:val="en-US"/>
              </w:rPr>
              <w:t>IVIg</w:t>
            </w:r>
            <w:proofErr w:type="spellEnd"/>
          </w:p>
          <w:p w14:paraId="0563CBEA" w14:textId="77777777" w:rsidR="00EE56B7" w:rsidRPr="009C1DCD" w:rsidRDefault="00EE56B7" w:rsidP="00EE56B7">
            <w:pPr>
              <w:rPr>
                <w:snapToGrid w:val="0"/>
                <w:sz w:val="20"/>
                <w:lang w:val="en-US"/>
              </w:rPr>
            </w:pPr>
            <w:r w:rsidRPr="009C1DCD">
              <w:rPr>
                <w:snapToGrid w:val="0"/>
                <w:sz w:val="20"/>
                <w:lang w:val="en-US"/>
              </w:rPr>
              <w:t>(Revised application model assumed 3 years. Department model assumed 6 years)</w:t>
            </w:r>
          </w:p>
        </w:tc>
        <w:tc>
          <w:tcPr>
            <w:tcW w:w="3005" w:type="dxa"/>
          </w:tcPr>
          <w:p w14:paraId="6DC2B520" w14:textId="7B3B52B7" w:rsidR="00EE56B7" w:rsidRPr="009C1DCD" w:rsidRDefault="00EE56B7" w:rsidP="009C1DCD">
            <w:pPr>
              <w:spacing w:after="240"/>
              <w:rPr>
                <w:snapToGrid w:val="0"/>
                <w:sz w:val="20"/>
                <w:lang w:val="en-US"/>
              </w:rPr>
            </w:pPr>
            <w:r w:rsidRPr="009C1DCD">
              <w:rPr>
                <w:snapToGrid w:val="0"/>
                <w:sz w:val="20"/>
                <w:lang w:val="en-US"/>
              </w:rPr>
              <w:t>Changes cost</w:t>
            </w:r>
            <w:r w:rsidR="009C1DCD" w:rsidRPr="009C1DCD">
              <w:rPr>
                <w:snapToGrid w:val="0"/>
                <w:sz w:val="20"/>
                <w:lang w:val="en-US"/>
              </w:rPr>
              <w:t>-effectiveness</w:t>
            </w:r>
          </w:p>
          <w:p w14:paraId="61AB7705" w14:textId="77777777" w:rsidR="00EE56B7" w:rsidRPr="009C1DCD" w:rsidRDefault="00EE56B7" w:rsidP="00EE56B7">
            <w:pPr>
              <w:rPr>
                <w:snapToGrid w:val="0"/>
                <w:sz w:val="20"/>
                <w:lang w:val="en-US"/>
              </w:rPr>
            </w:pPr>
            <w:r w:rsidRPr="009C1DCD">
              <w:rPr>
                <w:snapToGrid w:val="0"/>
                <w:sz w:val="20"/>
                <w:lang w:val="en-US"/>
              </w:rPr>
              <w:t>Changes overall spend</w:t>
            </w:r>
          </w:p>
        </w:tc>
        <w:tc>
          <w:tcPr>
            <w:tcW w:w="3006" w:type="dxa"/>
          </w:tcPr>
          <w:p w14:paraId="0A01F853" w14:textId="77777777" w:rsidR="00EE56B7" w:rsidRPr="009C1DCD" w:rsidRDefault="00EE56B7" w:rsidP="00EE56B7">
            <w:pPr>
              <w:rPr>
                <w:snapToGrid w:val="0"/>
                <w:sz w:val="20"/>
                <w:lang w:val="en-US"/>
              </w:rPr>
            </w:pPr>
            <w:r w:rsidRPr="009C1DCD">
              <w:rPr>
                <w:snapToGrid w:val="0"/>
                <w:sz w:val="20"/>
                <w:lang w:val="en-US"/>
              </w:rPr>
              <w:t>Time limited subsidy agreement</w:t>
            </w:r>
          </w:p>
          <w:p w14:paraId="08A04526" w14:textId="61F0ABFD" w:rsidR="00EE56B7" w:rsidRPr="009C1DCD" w:rsidRDefault="006F1F40" w:rsidP="00EE56B7">
            <w:pPr>
              <w:rPr>
                <w:snapToGrid w:val="0"/>
                <w:sz w:val="20"/>
                <w:lang w:val="en-US"/>
              </w:rPr>
            </w:pPr>
            <w:r w:rsidRPr="009C1DCD">
              <w:rPr>
                <w:b/>
                <w:snapToGrid w:val="0"/>
                <w:sz w:val="20"/>
                <w:lang w:val="en-US"/>
              </w:rPr>
              <w:t>Redacted</w:t>
            </w:r>
          </w:p>
        </w:tc>
      </w:tr>
    </w:tbl>
    <w:p w14:paraId="3EB6C366" w14:textId="77777777" w:rsidR="00EE56B7" w:rsidRPr="009C1DCD" w:rsidRDefault="00EE56B7" w:rsidP="006C769C">
      <w:pPr>
        <w:keepNext/>
        <w:spacing w:before="120" w:after="120"/>
      </w:pPr>
      <w:r w:rsidRPr="009C1DCD">
        <w:t xml:space="preserve">The MSAC advised the following risk share measures </w:t>
      </w:r>
      <w:proofErr w:type="gramStart"/>
      <w:r w:rsidRPr="009C1DCD">
        <w:t>be put</w:t>
      </w:r>
      <w:proofErr w:type="gramEnd"/>
      <w:r w:rsidRPr="009C1DCD">
        <w:t xml:space="preserve"> in place during an initial 2 years of public funding:</w:t>
      </w:r>
    </w:p>
    <w:p w14:paraId="0472F780" w14:textId="77777777" w:rsidR="00EE56B7" w:rsidRPr="009C1DCD" w:rsidRDefault="00EE56B7" w:rsidP="006C769C">
      <w:pPr>
        <w:pStyle w:val="ListParagraph"/>
        <w:keepNext/>
        <w:numPr>
          <w:ilvl w:val="0"/>
          <w:numId w:val="48"/>
        </w:numPr>
        <w:spacing w:after="120"/>
        <w:ind w:left="777" w:hanging="357"/>
        <w:contextualSpacing w:val="0"/>
      </w:pPr>
      <w:r w:rsidRPr="009C1DCD">
        <w:t>A pay only on successful infusion arrangement;</w:t>
      </w:r>
    </w:p>
    <w:p w14:paraId="498D9C00" w14:textId="77777777" w:rsidR="00EE56B7" w:rsidRPr="009C1DCD" w:rsidRDefault="00EE56B7" w:rsidP="006C769C">
      <w:pPr>
        <w:pStyle w:val="ListParagraph"/>
        <w:keepNext/>
        <w:numPr>
          <w:ilvl w:val="0"/>
          <w:numId w:val="48"/>
        </w:numPr>
        <w:spacing w:after="120"/>
        <w:ind w:left="777" w:hanging="357"/>
        <w:contextualSpacing w:val="0"/>
      </w:pPr>
      <w:r w:rsidRPr="009C1DCD">
        <w:t>A limit of one CAR-T treatment per patient;</w:t>
      </w:r>
    </w:p>
    <w:p w14:paraId="58A6962C" w14:textId="62CC7CF0" w:rsidR="00EE56B7" w:rsidRPr="009C1DCD" w:rsidRDefault="006F1F40" w:rsidP="006F1F40">
      <w:pPr>
        <w:pStyle w:val="ListParagraph"/>
        <w:keepNext/>
        <w:numPr>
          <w:ilvl w:val="0"/>
          <w:numId w:val="48"/>
        </w:numPr>
        <w:spacing w:after="120"/>
        <w:contextualSpacing w:val="0"/>
      </w:pPr>
      <w:r w:rsidRPr="009C1DCD">
        <w:rPr>
          <w:b/>
        </w:rPr>
        <w:t>Redacted</w:t>
      </w:r>
      <w:r w:rsidRPr="009C1DCD">
        <w:t xml:space="preserve"> </w:t>
      </w:r>
      <w:r w:rsidR="00EE56B7" w:rsidRPr="009C1DCD">
        <w:t>and</w:t>
      </w:r>
    </w:p>
    <w:p w14:paraId="09DBFE97" w14:textId="4A6CD979" w:rsidR="00EE56B7" w:rsidRPr="009C1DCD" w:rsidRDefault="006F1F40" w:rsidP="006F1F40">
      <w:pPr>
        <w:pStyle w:val="ListParagraph"/>
        <w:keepNext/>
        <w:numPr>
          <w:ilvl w:val="0"/>
          <w:numId w:val="48"/>
        </w:numPr>
        <w:spacing w:after="240"/>
        <w:contextualSpacing w:val="0"/>
      </w:pPr>
      <w:r w:rsidRPr="009C1DCD">
        <w:rPr>
          <w:b/>
        </w:rPr>
        <w:t>Redacted</w:t>
      </w:r>
      <w:r w:rsidR="00EE56B7" w:rsidRPr="009C1DCD">
        <w:t>.</w:t>
      </w:r>
    </w:p>
    <w:p w14:paraId="57C289D9" w14:textId="77DB2901" w:rsidR="00EE56B7" w:rsidRPr="00EE56B7" w:rsidRDefault="00EE56B7" w:rsidP="004E09E3">
      <w:pPr>
        <w:keepNext/>
        <w:spacing w:after="240"/>
      </w:pPr>
      <w:r w:rsidRPr="009C1DCD">
        <w:t>The MSAC noted that using</w:t>
      </w:r>
      <w:r w:rsidRPr="00EE56B7">
        <w:t xml:space="preserve"> the available survival data from the pooled analysis of results from the ELIANA/ENSIGN studies, the proportion of patients surviving at 12 months was estimated to be 71.0% (95%CI: </w:t>
      </w:r>
      <w:r w:rsidR="006F1F40" w:rsidRPr="006F1F40">
        <w:rPr>
          <w:b/>
        </w:rPr>
        <w:t>redacted</w:t>
      </w:r>
      <w:r w:rsidRPr="00EE56B7">
        <w:t xml:space="preserve">). The MSAC considered the </w:t>
      </w:r>
      <w:r w:rsidR="00962E24">
        <w:rPr>
          <w:b/>
        </w:rPr>
        <w:t>r</w:t>
      </w:r>
      <w:r w:rsidR="006F1F40" w:rsidRPr="006F1F40">
        <w:rPr>
          <w:b/>
        </w:rPr>
        <w:t>edacted</w:t>
      </w:r>
      <w:r w:rsidRPr="00EE56B7">
        <w:t xml:space="preserve">, such that the resulting ICER from either the applicants or the Critique’s economic model considered at the March 2019 MSAC is no more </w:t>
      </w:r>
      <w:r w:rsidRPr="009C1DCD">
        <w:t>than $</w:t>
      </w:r>
      <w:r w:rsidR="00962E24" w:rsidRPr="009C1DCD">
        <w:rPr>
          <w:b/>
        </w:rPr>
        <w:t>redacted</w:t>
      </w:r>
      <w:r w:rsidR="00962E24" w:rsidRPr="009C1DCD">
        <w:t xml:space="preserve"> </w:t>
      </w:r>
      <w:r w:rsidRPr="009C1DCD">
        <w:t xml:space="preserve">/QALY. The MSAC considered that the </w:t>
      </w:r>
      <w:r w:rsidR="00962E24" w:rsidRPr="009C1DCD">
        <w:rPr>
          <w:b/>
        </w:rPr>
        <w:t>redacted</w:t>
      </w:r>
      <w:r w:rsidRPr="009C1DCD">
        <w:t xml:space="preserve">. The MSAC considered that supplies of TIS for </w:t>
      </w:r>
      <w:r w:rsidR="00962E24" w:rsidRPr="009C1DCD">
        <w:rPr>
          <w:b/>
        </w:rPr>
        <w:t>redacted</w:t>
      </w:r>
      <w:r w:rsidRPr="009C1DCD">
        <w:t>.</w:t>
      </w:r>
    </w:p>
    <w:p w14:paraId="5D2F1D00" w14:textId="77777777" w:rsidR="00EE56B7" w:rsidRPr="00EE56B7" w:rsidRDefault="00EE56B7" w:rsidP="004E09E3">
      <w:pPr>
        <w:keepNext/>
        <w:spacing w:after="240"/>
      </w:pPr>
      <w:r w:rsidRPr="00EE56B7">
        <w:t>The MSAC advised these measures be supplemented by a requirement for a full review of the clinical and cost-effectiveness of TIS a maximum of 2 years after the commencement of public funding in Australia. This review should allow for a renegotiation of the conditions of public funding if considered appropriate by the MSAC at that time.</w:t>
      </w:r>
    </w:p>
    <w:p w14:paraId="73787AAA" w14:textId="77777777" w:rsidR="00EE56B7" w:rsidRPr="00EE56B7" w:rsidRDefault="00EE56B7" w:rsidP="004E09E3">
      <w:pPr>
        <w:keepNext/>
        <w:spacing w:after="240"/>
      </w:pPr>
      <w:r w:rsidRPr="00EE56B7">
        <w:t xml:space="preserve">The MSAC considered any future CAR-T therapies that </w:t>
      </w:r>
      <w:proofErr w:type="gramStart"/>
      <w:r w:rsidRPr="00EE56B7">
        <w:t>are nationally funded</w:t>
      </w:r>
      <w:proofErr w:type="gramEnd"/>
      <w:r w:rsidRPr="00EE56B7">
        <w:t xml:space="preserve"> should be required to join the same </w:t>
      </w:r>
      <w:r w:rsidRPr="003A29D8">
        <w:t>risk share arrangements</w:t>
      </w:r>
      <w:r w:rsidRPr="00EE56B7">
        <w:t>.</w:t>
      </w:r>
    </w:p>
    <w:p w14:paraId="7006BAA6" w14:textId="77777777" w:rsidR="00EE56B7" w:rsidRPr="00EE56B7" w:rsidRDefault="00EE56B7" w:rsidP="00EE56B7">
      <w:pPr>
        <w:keepNext/>
        <w:spacing w:after="120"/>
        <w:rPr>
          <w:b/>
          <w:i/>
        </w:rPr>
      </w:pPr>
      <w:r w:rsidRPr="00EE56B7">
        <w:rPr>
          <w:b/>
          <w:i/>
        </w:rPr>
        <w:t>Patient eligibility, treatment centres and data collection</w:t>
      </w:r>
    </w:p>
    <w:p w14:paraId="4D336BEA" w14:textId="77777777" w:rsidR="00EE56B7" w:rsidRPr="00EE56B7" w:rsidRDefault="00EE56B7" w:rsidP="00EE56B7">
      <w:pPr>
        <w:spacing w:after="240"/>
      </w:pPr>
      <w:r w:rsidRPr="00EE56B7">
        <w:t xml:space="preserve">The MSAC considered patient eligibility for subsidy for ALL </w:t>
      </w:r>
      <w:proofErr w:type="gramStart"/>
      <w:r w:rsidRPr="00EE56B7">
        <w:t>should be aligned</w:t>
      </w:r>
      <w:proofErr w:type="gramEnd"/>
      <w:r w:rsidRPr="00EE56B7">
        <w:t xml:space="preserve"> with the Therapeutic Goods Administration (TGA) registered indication. </w:t>
      </w:r>
    </w:p>
    <w:p w14:paraId="48BFC25B" w14:textId="77777777" w:rsidR="00EE56B7" w:rsidRPr="00EE56B7" w:rsidRDefault="00EE56B7" w:rsidP="00EE56B7">
      <w:pPr>
        <w:spacing w:after="240"/>
      </w:pPr>
      <w:r w:rsidRPr="00EE56B7">
        <w:t xml:space="preserve">The MSAC </w:t>
      </w:r>
      <w:proofErr w:type="gramStart"/>
      <w:r w:rsidRPr="00EE56B7">
        <w:t>advised</w:t>
      </w:r>
      <w:proofErr w:type="gramEnd"/>
      <w:r w:rsidRPr="00EE56B7">
        <w:t xml:space="preserve"> </w:t>
      </w:r>
      <w:proofErr w:type="gramStart"/>
      <w:r w:rsidRPr="00EE56B7">
        <w:t>that patients who receive TIS need</w:t>
      </w:r>
      <w:proofErr w:type="gramEnd"/>
      <w:r w:rsidRPr="00EE56B7">
        <w:t xml:space="preserve"> to be managed at co-located adult/paediatric tertiary public hospital sites so that the patients can be managed in the appropriate clinical setting for that individual. The MSAC also reaffirmed its earlier advice of the need to limit treatment to highly specialised tertiary centres. In keeping with a national program, there needs to be a co-ordinated approach to patient referral and selection to ensure equitable access.</w:t>
      </w:r>
    </w:p>
    <w:p w14:paraId="7F8FE86F" w14:textId="77777777" w:rsidR="00EE56B7" w:rsidRPr="00EE56B7" w:rsidRDefault="00EE56B7" w:rsidP="00EE56B7">
      <w:pPr>
        <w:spacing w:after="240"/>
      </w:pPr>
      <w:r w:rsidRPr="00EE56B7">
        <w:lastRenderedPageBreak/>
        <w:t>Facilities must meet the requirements set out in the Risk Management Plan agreed between the applicant and the TGA</w:t>
      </w:r>
    </w:p>
    <w:p w14:paraId="4ED4E030" w14:textId="77777777" w:rsidR="00EE56B7" w:rsidRPr="00EE56B7" w:rsidRDefault="00EE56B7" w:rsidP="00EE56B7">
      <w:pPr>
        <w:keepNext/>
        <w:spacing w:after="120"/>
      </w:pPr>
      <w:r w:rsidRPr="00EE56B7">
        <w:t xml:space="preserve">The MSAC considered that data on the use of TIS in Australia </w:t>
      </w:r>
      <w:proofErr w:type="gramStart"/>
      <w:r w:rsidRPr="00EE56B7">
        <w:t>should be recorded</w:t>
      </w:r>
      <w:proofErr w:type="gramEnd"/>
      <w:r w:rsidRPr="00EE56B7">
        <w:t xml:space="preserve"> by the Australian Bone Marrow Transplant Recipient Registry, with the cost of data collection met by the applicant. This would ensure a single Australia source of data for all CAR-T therapies in all indications and from all treatment centres. The data collected in the registry should align with international data collections to ensure comparability and access and thus contribute to global knowledge. The registry should include the following minimum data:</w:t>
      </w:r>
    </w:p>
    <w:p w14:paraId="57A960A3" w14:textId="77777777" w:rsidR="00EE56B7" w:rsidRPr="00970827" w:rsidRDefault="00EE56B7" w:rsidP="004E09E3">
      <w:pPr>
        <w:pStyle w:val="ListParagraph"/>
        <w:numPr>
          <w:ilvl w:val="0"/>
          <w:numId w:val="47"/>
        </w:numPr>
        <w:tabs>
          <w:tab w:val="num" w:pos="360"/>
        </w:tabs>
        <w:spacing w:after="80"/>
        <w:ind w:left="1077" w:hanging="357"/>
        <w:contextualSpacing w:val="0"/>
        <w:rPr>
          <w:color w:val="000000"/>
        </w:rPr>
      </w:pPr>
      <w:r w:rsidRPr="00970827">
        <w:rPr>
          <w:color w:val="000000"/>
        </w:rPr>
        <w:t>patient-reported outcomes;</w:t>
      </w:r>
    </w:p>
    <w:p w14:paraId="17ED26D5" w14:textId="77777777" w:rsidR="00EE56B7" w:rsidRPr="00970827" w:rsidRDefault="00EE56B7" w:rsidP="004E09E3">
      <w:pPr>
        <w:pStyle w:val="ListParagraph"/>
        <w:numPr>
          <w:ilvl w:val="0"/>
          <w:numId w:val="47"/>
        </w:numPr>
        <w:tabs>
          <w:tab w:val="num" w:pos="360"/>
        </w:tabs>
        <w:spacing w:after="80"/>
        <w:ind w:left="1077" w:hanging="357"/>
        <w:contextualSpacing w:val="0"/>
        <w:rPr>
          <w:color w:val="000000"/>
        </w:rPr>
      </w:pPr>
      <w:r w:rsidRPr="00970827">
        <w:rPr>
          <w:color w:val="000000"/>
        </w:rPr>
        <w:t>leukaemia-free survival (morphological complete remission and complete molecular remission);</w:t>
      </w:r>
    </w:p>
    <w:p w14:paraId="7FF77624" w14:textId="77777777" w:rsidR="00EE56B7" w:rsidRPr="00970827" w:rsidRDefault="00EE56B7" w:rsidP="004E09E3">
      <w:pPr>
        <w:pStyle w:val="ListParagraph"/>
        <w:numPr>
          <w:ilvl w:val="0"/>
          <w:numId w:val="47"/>
        </w:numPr>
        <w:tabs>
          <w:tab w:val="num" w:pos="360"/>
        </w:tabs>
        <w:spacing w:after="80"/>
        <w:ind w:left="1077" w:hanging="357"/>
        <w:contextualSpacing w:val="0"/>
        <w:rPr>
          <w:color w:val="000000"/>
        </w:rPr>
      </w:pPr>
      <w:r w:rsidRPr="00970827">
        <w:rPr>
          <w:color w:val="000000"/>
        </w:rPr>
        <w:t>complications, use of high cost medicines, late-onset adverse events and adverse events requiring hospitalisation admission and adverse events including those requiring ICU admission;</w:t>
      </w:r>
    </w:p>
    <w:p w14:paraId="537C4F31" w14:textId="77777777" w:rsidR="00EE56B7" w:rsidRPr="00970827" w:rsidRDefault="00EE56B7" w:rsidP="004E09E3">
      <w:pPr>
        <w:pStyle w:val="ListParagraph"/>
        <w:numPr>
          <w:ilvl w:val="0"/>
          <w:numId w:val="47"/>
        </w:numPr>
        <w:tabs>
          <w:tab w:val="num" w:pos="360"/>
        </w:tabs>
        <w:spacing w:after="80"/>
        <w:ind w:left="1077" w:hanging="357"/>
        <w:contextualSpacing w:val="0"/>
        <w:rPr>
          <w:color w:val="000000"/>
        </w:rPr>
      </w:pPr>
      <w:r w:rsidRPr="00970827">
        <w:rPr>
          <w:color w:val="000000"/>
        </w:rPr>
        <w:t xml:space="preserve">use and duration of immunoglobulin; </w:t>
      </w:r>
    </w:p>
    <w:p w14:paraId="62F6FE6A" w14:textId="77777777" w:rsidR="00EE56B7" w:rsidRPr="00970827" w:rsidRDefault="00EE56B7" w:rsidP="004E09E3">
      <w:pPr>
        <w:pStyle w:val="ListParagraph"/>
        <w:numPr>
          <w:ilvl w:val="0"/>
          <w:numId w:val="47"/>
        </w:numPr>
        <w:tabs>
          <w:tab w:val="num" w:pos="360"/>
        </w:tabs>
        <w:spacing w:after="80"/>
        <w:ind w:left="1077" w:hanging="357"/>
        <w:contextualSpacing w:val="0"/>
        <w:rPr>
          <w:color w:val="000000"/>
        </w:rPr>
      </w:pPr>
      <w:r w:rsidRPr="00970827">
        <w:rPr>
          <w:color w:val="000000"/>
        </w:rPr>
        <w:t>rate of reinfusion with any CAR-T therapy (noting the cost of reinfusion of such therapy will not be funded under the proposed arrangement);</w:t>
      </w:r>
    </w:p>
    <w:p w14:paraId="388B0CC3" w14:textId="77777777" w:rsidR="00EE56B7" w:rsidRPr="00970827" w:rsidRDefault="00EE56B7" w:rsidP="004E09E3">
      <w:pPr>
        <w:pStyle w:val="ListParagraph"/>
        <w:numPr>
          <w:ilvl w:val="0"/>
          <w:numId w:val="47"/>
        </w:numPr>
        <w:tabs>
          <w:tab w:val="num" w:pos="360"/>
        </w:tabs>
        <w:spacing w:after="80"/>
        <w:ind w:left="1077" w:hanging="357"/>
        <w:contextualSpacing w:val="0"/>
        <w:rPr>
          <w:color w:val="000000"/>
        </w:rPr>
      </w:pPr>
      <w:r w:rsidRPr="00970827">
        <w:rPr>
          <w:color w:val="000000"/>
        </w:rPr>
        <w:t>indication for use of CAR-T – for example bridge to stem cell transplant, following transplant; and</w:t>
      </w:r>
    </w:p>
    <w:p w14:paraId="49757007" w14:textId="77777777" w:rsidR="00EE56B7" w:rsidRPr="00EE56B7" w:rsidRDefault="00EE56B7" w:rsidP="004E09E3">
      <w:pPr>
        <w:pStyle w:val="ListParagraph"/>
        <w:numPr>
          <w:ilvl w:val="0"/>
          <w:numId w:val="47"/>
        </w:numPr>
        <w:tabs>
          <w:tab w:val="num" w:pos="360"/>
        </w:tabs>
        <w:spacing w:after="80"/>
        <w:ind w:left="1077" w:hanging="357"/>
        <w:contextualSpacing w:val="0"/>
      </w:pPr>
      <w:proofErr w:type="gramStart"/>
      <w:r w:rsidRPr="00970827">
        <w:rPr>
          <w:color w:val="000000"/>
        </w:rPr>
        <w:t>results</w:t>
      </w:r>
      <w:proofErr w:type="gramEnd"/>
      <w:r w:rsidRPr="00970827">
        <w:rPr>
          <w:color w:val="000000"/>
        </w:rPr>
        <w:t xml:space="preserve"> for patients infused with non-optimal cell numbers (noting that for the purposes of subsidy, this is considered an unsuccessful infusion). </w:t>
      </w:r>
    </w:p>
    <w:p w14:paraId="3957988E" w14:textId="77777777" w:rsidR="00E977EE" w:rsidRPr="00F715D1" w:rsidRDefault="00E977EE" w:rsidP="00F715D1">
      <w:pPr>
        <w:pStyle w:val="Heading1"/>
      </w:pPr>
      <w:r w:rsidRPr="00F715D1">
        <w:t>MSAC’s advice to the Minister</w:t>
      </w:r>
      <w:r w:rsidR="00AE5A81">
        <w:t xml:space="preserve"> – November 2018 consideration</w:t>
      </w:r>
    </w:p>
    <w:p w14:paraId="70845B85" w14:textId="77777777" w:rsidR="0095109F" w:rsidRPr="00083E53" w:rsidRDefault="0095109F" w:rsidP="0095109F">
      <w:pPr>
        <w:pStyle w:val="NormalBeforeBullet"/>
      </w:pPr>
      <w:r w:rsidRPr="00083E53">
        <w:t xml:space="preserve">After considering the strength of the available evidence in </w:t>
      </w:r>
      <w:r w:rsidR="000C0372">
        <w:t xml:space="preserve">relation to comparative safety, </w:t>
      </w:r>
      <w:r w:rsidRPr="00083E53">
        <w:t>clinical effectiveness and cost</w:t>
      </w:r>
      <w:r>
        <w:t>-</w:t>
      </w:r>
      <w:r w:rsidRPr="00083E53">
        <w:t xml:space="preserve">effectiveness, MSAC: </w:t>
      </w:r>
    </w:p>
    <w:p w14:paraId="20B7F8A7" w14:textId="77777777" w:rsidR="0095109F" w:rsidRPr="00083E53" w:rsidRDefault="0095109F" w:rsidP="0095109F">
      <w:pPr>
        <w:pStyle w:val="Bullet"/>
        <w:ind w:left="720"/>
      </w:pPr>
      <w:r w:rsidRPr="00083E53">
        <w:t xml:space="preserve">deferred its decision on public funding of TIS for treatment of </w:t>
      </w:r>
      <w:r w:rsidR="00E8735F">
        <w:t xml:space="preserve">children and young adults with </w:t>
      </w:r>
      <w:r w:rsidRPr="006C64BA">
        <w:t xml:space="preserve">confirmed relapsed/refractory </w:t>
      </w:r>
      <w:r w:rsidRPr="00083E53">
        <w:t xml:space="preserve">CD19-positive </w:t>
      </w:r>
      <w:r>
        <w:t>ALL; and</w:t>
      </w:r>
    </w:p>
    <w:p w14:paraId="4CCAD18B" w14:textId="77777777" w:rsidR="0095109F" w:rsidRPr="00083E53" w:rsidRDefault="0095109F" w:rsidP="0095109F">
      <w:pPr>
        <w:pStyle w:val="BulletLast"/>
        <w:ind w:left="720"/>
      </w:pPr>
      <w:proofErr w:type="gramStart"/>
      <w:r>
        <w:t>did</w:t>
      </w:r>
      <w:proofErr w:type="gramEnd"/>
      <w:r>
        <w:t xml:space="preserve"> not support</w:t>
      </w:r>
      <w:r w:rsidRPr="00083E53">
        <w:t xml:space="preserve"> public funding for TIS for </w:t>
      </w:r>
      <w:r w:rsidRPr="006C64BA">
        <w:t xml:space="preserve">adults with confirmed relapsed/refractory </w:t>
      </w:r>
      <w:r>
        <w:t>DLBCL</w:t>
      </w:r>
      <w:r w:rsidRPr="00083E53">
        <w:t>.</w:t>
      </w:r>
    </w:p>
    <w:p w14:paraId="1BD5A826" w14:textId="77777777" w:rsidR="0095109F" w:rsidRDefault="0095109F" w:rsidP="004E09E3">
      <w:pPr>
        <w:spacing w:after="240"/>
      </w:pPr>
      <w:r w:rsidRPr="006C64BA">
        <w:t xml:space="preserve">For both conditions, MSAC recognised the large unmet clinical need and the preliminary supportive evidence of a clinically important treatment effect, but the incremental cost-effectiveness ratio </w:t>
      </w:r>
      <w:r>
        <w:t xml:space="preserve">(ICER) </w:t>
      </w:r>
      <w:r w:rsidRPr="006C64BA">
        <w:t xml:space="preserve">was both unacceptably high and underestimated. For </w:t>
      </w:r>
      <w:proofErr w:type="spellStart"/>
      <w:r w:rsidR="00E8735F">
        <w:t>p</w:t>
      </w:r>
      <w:r w:rsidRPr="006C64BA">
        <w:t>ALL</w:t>
      </w:r>
      <w:proofErr w:type="spellEnd"/>
      <w:r w:rsidRPr="006C64BA">
        <w:t xml:space="preserve">, the economic evaluation needed </w:t>
      </w:r>
      <w:r w:rsidR="00F81492">
        <w:t>revisions</w:t>
      </w:r>
      <w:r w:rsidRPr="006C64BA">
        <w:t xml:space="preserve"> and a price for </w:t>
      </w:r>
      <w:r>
        <w:t>TIS</w:t>
      </w:r>
      <w:r w:rsidRPr="006C64BA">
        <w:t xml:space="preserve"> ascertained at which it is acceptably cost-effective. For DLBCL, the definition of the appropriate eligible population needed to </w:t>
      </w:r>
      <w:proofErr w:type="gramStart"/>
      <w:r w:rsidRPr="006C64BA">
        <w:t>be redefined</w:t>
      </w:r>
      <w:proofErr w:type="gramEnd"/>
      <w:r w:rsidR="00141304">
        <w:rPr>
          <w:szCs w:val="24"/>
        </w:rPr>
        <w:t xml:space="preserve">, as well as amendments made to the economic evaluation and </w:t>
      </w:r>
      <w:r w:rsidR="00141304" w:rsidRPr="00760018">
        <w:rPr>
          <w:szCs w:val="24"/>
        </w:rPr>
        <w:t xml:space="preserve">a reduced price for </w:t>
      </w:r>
      <w:r w:rsidR="007C4F27">
        <w:rPr>
          <w:szCs w:val="24"/>
        </w:rPr>
        <w:t>TIS</w:t>
      </w:r>
      <w:r w:rsidR="00141304" w:rsidRPr="00760018">
        <w:rPr>
          <w:szCs w:val="24"/>
        </w:rPr>
        <w:t xml:space="preserve"> ascertained</w:t>
      </w:r>
      <w:r w:rsidR="00141304">
        <w:t xml:space="preserve"> </w:t>
      </w:r>
      <w:r w:rsidR="00141304" w:rsidRPr="00760018">
        <w:rPr>
          <w:szCs w:val="24"/>
        </w:rPr>
        <w:t>at which it is acceptably cost-effective</w:t>
      </w:r>
      <w:r w:rsidRPr="006C64BA">
        <w:t>.</w:t>
      </w:r>
    </w:p>
    <w:p w14:paraId="6EA08DCC" w14:textId="77777777" w:rsidR="0095109F" w:rsidRDefault="0095109F" w:rsidP="004E09E3">
      <w:pPr>
        <w:spacing w:after="240"/>
      </w:pPr>
      <w:r>
        <w:t xml:space="preserve">MSAC noted the differences in the scope of further work required between the </w:t>
      </w:r>
      <w:proofErr w:type="spellStart"/>
      <w:r w:rsidR="00E8735F">
        <w:t>p</w:t>
      </w:r>
      <w:r>
        <w:t>ALL</w:t>
      </w:r>
      <w:proofErr w:type="spellEnd"/>
      <w:r>
        <w:t xml:space="preserve"> and DLBCL populations, and recommended that the</w:t>
      </w:r>
      <w:r w:rsidR="00141304">
        <w:t xml:space="preserve"> applicant</w:t>
      </w:r>
      <w:r>
        <w:t xml:space="preserve"> split </w:t>
      </w:r>
      <w:r w:rsidR="00141304">
        <w:t xml:space="preserve">them </w:t>
      </w:r>
      <w:r>
        <w:t xml:space="preserve">into two separate </w:t>
      </w:r>
      <w:r w:rsidR="00284A14">
        <w:t>re-</w:t>
      </w:r>
      <w:r>
        <w:t>applications to allow them to progress at different paces.</w:t>
      </w:r>
    </w:p>
    <w:p w14:paraId="206CBCB4" w14:textId="77777777" w:rsidR="00E717D4" w:rsidRDefault="00E717D4" w:rsidP="004E09E3">
      <w:pPr>
        <w:spacing w:after="240"/>
      </w:pPr>
      <w:r>
        <w:t>The applicant subsequently advised its intention to make a single resubmission for both populations.</w:t>
      </w:r>
    </w:p>
    <w:p w14:paraId="069006F5" w14:textId="77777777" w:rsidR="00550354" w:rsidRPr="00F715D1" w:rsidRDefault="00550354" w:rsidP="00DA7B6B">
      <w:pPr>
        <w:pStyle w:val="Heading1"/>
        <w:numPr>
          <w:ilvl w:val="0"/>
          <w:numId w:val="0"/>
        </w:numPr>
        <w:ind w:left="720" w:hanging="720"/>
      </w:pPr>
      <w:r w:rsidRPr="00F715D1">
        <w:lastRenderedPageBreak/>
        <w:t xml:space="preserve">Summary of consideration </w:t>
      </w:r>
      <w:r w:rsidR="00141304">
        <w:t>and rationale for MSAC’s advice</w:t>
      </w:r>
      <w:r w:rsidR="00AE5A81">
        <w:t xml:space="preserve"> – November 2018</w:t>
      </w:r>
    </w:p>
    <w:p w14:paraId="5E679601" w14:textId="77777777" w:rsidR="0095109F" w:rsidRPr="00B40D83" w:rsidRDefault="0095109F" w:rsidP="004E09E3">
      <w:pPr>
        <w:spacing w:after="240"/>
        <w:rPr>
          <w:b/>
        </w:rPr>
      </w:pPr>
      <w:r>
        <w:t xml:space="preserve">At the hearing, the applicant noted comments from the critique regarding analysis of the population that had received TIS, rather than the intention-to-treat (ITT) population. </w:t>
      </w:r>
      <w:r w:rsidRPr="00B40D83">
        <w:t>The applicant claimed that the infused population was more relevant than the ITT population (although data from both populations had been provided to MSAC) because manufacturing capacity had expanded and improved</w:t>
      </w:r>
      <w:r w:rsidR="00F81492" w:rsidRPr="00B40D83">
        <w:t>. The applicant</w:t>
      </w:r>
      <w:r w:rsidR="005B338D" w:rsidRPr="00B40D83">
        <w:t>’</w:t>
      </w:r>
      <w:r w:rsidR="00F81492" w:rsidRPr="00B40D83">
        <w:t>s estimate that the manufacturing failure rate is now around 7%</w:t>
      </w:r>
      <w:r w:rsidR="005B338D" w:rsidRPr="00B40D83">
        <w:t>, which</w:t>
      </w:r>
      <w:r w:rsidR="00F81492" w:rsidRPr="00B40D83">
        <w:t xml:space="preserve"> mean</w:t>
      </w:r>
      <w:r w:rsidR="005B338D" w:rsidRPr="00B40D83">
        <w:t>s</w:t>
      </w:r>
      <w:r w:rsidR="00F81492" w:rsidRPr="00B40D83">
        <w:t xml:space="preserve"> that 93% of the “intention to treat” patients are </w:t>
      </w:r>
      <w:r w:rsidRPr="00B40D83">
        <w:t>treated</w:t>
      </w:r>
      <w:r w:rsidR="00F81492" w:rsidRPr="00B40D83">
        <w:t xml:space="preserve">. </w:t>
      </w:r>
      <w:r w:rsidRPr="00B40D83">
        <w:t xml:space="preserve"> </w:t>
      </w:r>
      <w:r w:rsidR="00B40D83" w:rsidRPr="00B40D83">
        <w:rPr>
          <w:b/>
        </w:rPr>
        <w:t>Redacted</w:t>
      </w:r>
      <w:r w:rsidRPr="00B40D83">
        <w:rPr>
          <w:b/>
        </w:rPr>
        <w:t>.</w:t>
      </w:r>
    </w:p>
    <w:p w14:paraId="46F29CA0" w14:textId="77777777" w:rsidR="0095109F" w:rsidRDefault="0095109F" w:rsidP="006C769C">
      <w:pPr>
        <w:pStyle w:val="NormalBeforeBullet"/>
      </w:pPr>
      <w:r>
        <w:t xml:space="preserve">The independent expert informed MSAC </w:t>
      </w:r>
      <w:r w:rsidR="0075704D">
        <w:t xml:space="preserve">during the hearing </w:t>
      </w:r>
      <w:r>
        <w:t>that:</w:t>
      </w:r>
    </w:p>
    <w:p w14:paraId="646F6E0E" w14:textId="77777777" w:rsidR="0095109F" w:rsidRDefault="0095109F" w:rsidP="0095109F">
      <w:pPr>
        <w:pStyle w:val="Bullet"/>
        <w:ind w:left="720"/>
      </w:pPr>
      <w:r>
        <w:t>the plateau in the survival curves and the persistence of T cells at 6 and 12 months post-infusion are encouraging; TIS may be an alternative to transplant in some patients, and a bridge to transplant for others</w:t>
      </w:r>
    </w:p>
    <w:p w14:paraId="21DDF750" w14:textId="77777777" w:rsidR="0095109F" w:rsidRDefault="0095109F" w:rsidP="0095109F">
      <w:pPr>
        <w:pStyle w:val="Bullet"/>
        <w:ind w:left="720"/>
      </w:pPr>
      <w:r>
        <w:t xml:space="preserve">patients who have had previous CD19 therapy, and infants under 3 years of age, should </w:t>
      </w:r>
      <w:r w:rsidR="00383199">
        <w:t xml:space="preserve">both </w:t>
      </w:r>
      <w:r>
        <w:t>be included in the eligible population</w:t>
      </w:r>
    </w:p>
    <w:p w14:paraId="5B6584F0" w14:textId="77777777" w:rsidR="0095109F" w:rsidRDefault="0095109F" w:rsidP="0095109F">
      <w:pPr>
        <w:pStyle w:val="Bullet"/>
        <w:ind w:left="720"/>
      </w:pPr>
      <w:r>
        <w:t>eligible patients should be those with morphological evidence of disease (&gt;5% </w:t>
      </w:r>
      <w:r w:rsidR="00A15A06">
        <w:t>lympho</w:t>
      </w:r>
      <w:r>
        <w:t>blasts) rather than minimal residual disease (0.01–5% </w:t>
      </w:r>
      <w:r w:rsidR="00A15A06">
        <w:t>lympho</w:t>
      </w:r>
      <w:r>
        <w:t xml:space="preserve">blasts); overseas </w:t>
      </w:r>
      <w:r w:rsidR="006A6F9D">
        <w:t>studie</w:t>
      </w:r>
      <w:r>
        <w:t>s are underway for patients with minimal residual disease</w:t>
      </w:r>
    </w:p>
    <w:p w14:paraId="60A9D2F6" w14:textId="77777777" w:rsidR="0095109F" w:rsidRDefault="0075704D" w:rsidP="0095109F">
      <w:pPr>
        <w:pStyle w:val="Bullet"/>
        <w:ind w:left="720"/>
      </w:pPr>
      <w:r>
        <w:t xml:space="preserve">all </w:t>
      </w:r>
      <w:proofErr w:type="spellStart"/>
      <w:r w:rsidR="00AE16AC">
        <w:t>p</w:t>
      </w:r>
      <w:r w:rsidR="0095109F">
        <w:t>ALL</w:t>
      </w:r>
      <w:proofErr w:type="spellEnd"/>
      <w:r w:rsidR="0095109F">
        <w:t xml:space="preserve"> patients w</w:t>
      </w:r>
      <w:r>
        <w:t>ould</w:t>
      </w:r>
      <w:r w:rsidR="0095109F">
        <w:t xml:space="preserve"> require lifelong intravenous immunoglobulin (</w:t>
      </w:r>
      <w:proofErr w:type="spellStart"/>
      <w:r w:rsidR="0095109F">
        <w:t>IVI</w:t>
      </w:r>
      <w:r w:rsidR="00383199">
        <w:t>g</w:t>
      </w:r>
      <w:proofErr w:type="spellEnd"/>
      <w:r w:rsidR="0095109F">
        <w:t>)</w:t>
      </w:r>
      <w:r>
        <w:t xml:space="preserve"> following TIS infusion</w:t>
      </w:r>
      <w:r w:rsidR="0095109F">
        <w:t xml:space="preserve">, </w:t>
      </w:r>
      <w:r w:rsidR="00B410F2">
        <w:t xml:space="preserve">and </w:t>
      </w:r>
      <w:r w:rsidR="0095109F">
        <w:t>30% of DLBCL patients</w:t>
      </w:r>
      <w:r w:rsidR="00B410F2">
        <w:t xml:space="preserve"> would also require </w:t>
      </w:r>
      <w:proofErr w:type="spellStart"/>
      <w:r w:rsidR="00B410F2">
        <w:t>IVIg</w:t>
      </w:r>
      <w:proofErr w:type="spellEnd"/>
      <w:r w:rsidR="00B410F2">
        <w:t xml:space="preserve">, although </w:t>
      </w:r>
      <w:r w:rsidR="007106A3">
        <w:t xml:space="preserve">it </w:t>
      </w:r>
      <w:r w:rsidR="00B410F2">
        <w:t xml:space="preserve">is unlikely </w:t>
      </w:r>
      <w:r w:rsidR="007106A3">
        <w:t xml:space="preserve">that </w:t>
      </w:r>
      <w:r w:rsidR="00B410F2">
        <w:t>lifelong</w:t>
      </w:r>
      <w:r w:rsidR="007106A3">
        <w:t xml:space="preserve"> </w:t>
      </w:r>
      <w:proofErr w:type="spellStart"/>
      <w:r w:rsidR="00665242">
        <w:t>IVIg</w:t>
      </w:r>
      <w:proofErr w:type="spellEnd"/>
      <w:r w:rsidR="00665242">
        <w:t xml:space="preserve"> </w:t>
      </w:r>
      <w:r w:rsidR="007106A3">
        <w:t>treatment will be needed in this group</w:t>
      </w:r>
    </w:p>
    <w:p w14:paraId="6E0F1728" w14:textId="77777777" w:rsidR="0095109F" w:rsidRDefault="0095109F" w:rsidP="0095109F">
      <w:pPr>
        <w:pStyle w:val="BulletLast"/>
        <w:ind w:left="720"/>
      </w:pPr>
      <w:proofErr w:type="gramStart"/>
      <w:r>
        <w:t>the</w:t>
      </w:r>
      <w:proofErr w:type="gramEnd"/>
      <w:r>
        <w:t xml:space="preserve"> only proven long-term cure for refractory disease is allogeneic stem cell transplant (</w:t>
      </w:r>
      <w:proofErr w:type="spellStart"/>
      <w:r>
        <w:t>allo</w:t>
      </w:r>
      <w:proofErr w:type="spellEnd"/>
      <w:r>
        <w:t xml:space="preserve">-SCT), and CAR-T therapies could achieve the remission necessary to </w:t>
      </w:r>
      <w:r w:rsidR="007106A3">
        <w:t xml:space="preserve">confirm eligibility for </w:t>
      </w:r>
      <w:r>
        <w:t xml:space="preserve">an </w:t>
      </w:r>
      <w:proofErr w:type="spellStart"/>
      <w:r>
        <w:t>allo</w:t>
      </w:r>
      <w:proofErr w:type="spellEnd"/>
      <w:r>
        <w:t>-SCT.</w:t>
      </w:r>
    </w:p>
    <w:p w14:paraId="53F85A08" w14:textId="77777777" w:rsidR="0075704D" w:rsidRPr="00624506" w:rsidRDefault="0075704D" w:rsidP="0075704D">
      <w:pPr>
        <w:spacing w:after="240"/>
      </w:pPr>
      <w:r>
        <w:t xml:space="preserve">MSAC noted that TIS is a chimeric antigen receptor T-cell (CAR-T) therapy and a Class 4 Biological Product. </w:t>
      </w:r>
      <w:r w:rsidR="00EB167B">
        <w:t xml:space="preserve">Prior to MSAC consideration, </w:t>
      </w:r>
      <w:r w:rsidR="008575F3">
        <w:t>TIS</w:t>
      </w:r>
      <w:r>
        <w:t xml:space="preserve"> was deemed </w:t>
      </w:r>
      <w:proofErr w:type="gramStart"/>
      <w:r>
        <w:t>to be not</w:t>
      </w:r>
      <w:proofErr w:type="gramEnd"/>
      <w:r>
        <w:t xml:space="preserve"> suitable for </w:t>
      </w:r>
      <w:r w:rsidR="00EB167B">
        <w:t xml:space="preserve">public funding via either </w:t>
      </w:r>
      <w:r>
        <w:t>the Medicare Benefits Schedule (MBS) or the Pharmaceutical Benefits Scheme (PBS)</w:t>
      </w:r>
      <w:r w:rsidR="00640FCD">
        <w:t>.</w:t>
      </w:r>
      <w:r>
        <w:t xml:space="preserve"> MSAC </w:t>
      </w:r>
      <w:proofErr w:type="gramStart"/>
      <w:r>
        <w:t>was considered</w:t>
      </w:r>
      <w:proofErr w:type="gramEnd"/>
      <w:r>
        <w:t xml:space="preserve"> the most appropriate channel for the health technology assessment </w:t>
      </w:r>
      <w:r w:rsidR="00EB167B">
        <w:t xml:space="preserve">and </w:t>
      </w:r>
      <w:r w:rsidR="00640FCD">
        <w:t xml:space="preserve">for </w:t>
      </w:r>
      <w:r w:rsidR="007106A3">
        <w:t xml:space="preserve">advising </w:t>
      </w:r>
      <w:r w:rsidR="00665242">
        <w:t>with reference to a</w:t>
      </w:r>
      <w:r w:rsidR="00C2065F">
        <w:t xml:space="preserve"> </w:t>
      </w:r>
      <w:r>
        <w:t>funding mechanism</w:t>
      </w:r>
      <w:r w:rsidR="007106A3">
        <w:t xml:space="preserve"> outside the MBS</w:t>
      </w:r>
      <w:r>
        <w:t>.</w:t>
      </w:r>
      <w:r w:rsidR="00640FCD">
        <w:t xml:space="preserve"> MSAC noted that a parallel evaluation was being conducted by the Therapeutic Goods Administration (TGA) for the purpose of deciding on marketing approval, and that the TGA Delegate’s overview supported registering TIS.</w:t>
      </w:r>
      <w:r w:rsidR="0036519A">
        <w:t xml:space="preserve"> MSAC accepted the proposed comparators as being appropriate.</w:t>
      </w:r>
    </w:p>
    <w:p w14:paraId="79A2D286" w14:textId="77777777" w:rsidR="0095109F" w:rsidRDefault="0095109F" w:rsidP="0095109F">
      <w:pPr>
        <w:spacing w:after="240"/>
      </w:pPr>
      <w:r>
        <w:t>MSAC considered that, f</w:t>
      </w:r>
      <w:r w:rsidRPr="004F4858">
        <w:t xml:space="preserve">or both indications, </w:t>
      </w:r>
      <w:r w:rsidR="002C73BA">
        <w:t xml:space="preserve">small </w:t>
      </w:r>
      <w:r w:rsidRPr="004F4858">
        <w:t>single</w:t>
      </w:r>
      <w:r>
        <w:t>-</w:t>
      </w:r>
      <w:r w:rsidRPr="004F4858">
        <w:t xml:space="preserve">arm studies show promising </w:t>
      </w:r>
      <w:r w:rsidR="00A72ACC">
        <w:t xml:space="preserve">rates of </w:t>
      </w:r>
      <w:r w:rsidRPr="004F4858">
        <w:t>remission (up to 2 years)</w:t>
      </w:r>
      <w:r>
        <w:t>.</w:t>
      </w:r>
      <w:r w:rsidR="00EB167B">
        <w:t xml:space="preserve"> </w:t>
      </w:r>
      <w:r w:rsidR="002A25F1">
        <w:t xml:space="preserve">MSAC preferred that the ITT approach </w:t>
      </w:r>
      <w:proofErr w:type="gramStart"/>
      <w:r w:rsidR="002A25F1">
        <w:t>be adopted</w:t>
      </w:r>
      <w:proofErr w:type="gramEnd"/>
      <w:r w:rsidR="002A25F1">
        <w:t xml:space="preserve"> for the comparative clinical and economic evaluation</w:t>
      </w:r>
      <w:r w:rsidR="00C2065F">
        <w:t>s</w:t>
      </w:r>
      <w:r w:rsidR="002A25F1">
        <w:t xml:space="preserve"> on the grounds of this being standard practice, consistency with the reporting of the single-arm studies of the comparators, and</w:t>
      </w:r>
      <w:r w:rsidR="00C61B28">
        <w:t>, from the pre-MSAC response</w:t>
      </w:r>
      <w:r w:rsidR="00C61B28" w:rsidRPr="00EC05E8">
        <w:rPr>
          <w:b/>
        </w:rPr>
        <w:t>,</w:t>
      </w:r>
      <w:r w:rsidR="002A25F1" w:rsidRPr="00EC05E8">
        <w:rPr>
          <w:b/>
        </w:rPr>
        <w:t xml:space="preserve"> </w:t>
      </w:r>
      <w:r w:rsidR="00EC05E8" w:rsidRPr="00EC05E8">
        <w:rPr>
          <w:b/>
        </w:rPr>
        <w:t>redacted</w:t>
      </w:r>
      <w:r w:rsidR="002A25F1" w:rsidRPr="00EC05E8">
        <w:t xml:space="preserve">. </w:t>
      </w:r>
      <w:r w:rsidR="00EB167B" w:rsidRPr="00EC05E8">
        <w:t>MSAC</w:t>
      </w:r>
      <w:r w:rsidR="00EB167B">
        <w:t xml:space="preserve"> also </w:t>
      </w:r>
      <w:r w:rsidR="00A72ACC">
        <w:t xml:space="preserve">concluded, in the absence </w:t>
      </w:r>
      <w:r w:rsidR="00EB167B">
        <w:t>of prospective comparative data on safety</w:t>
      </w:r>
      <w:r w:rsidR="00A72ACC">
        <w:t xml:space="preserve">, that for many patients TIS causes </w:t>
      </w:r>
      <w:r w:rsidR="00EB167B">
        <w:t xml:space="preserve">substantial adverse </w:t>
      </w:r>
      <w:r w:rsidR="00A72ACC">
        <w:t>effects</w:t>
      </w:r>
      <w:r w:rsidR="00EB167B">
        <w:t xml:space="preserve">, and an ongoing need for </w:t>
      </w:r>
      <w:proofErr w:type="spellStart"/>
      <w:r w:rsidR="00EB167B">
        <w:t>IVIg</w:t>
      </w:r>
      <w:proofErr w:type="spellEnd"/>
      <w:r w:rsidR="00EB167B">
        <w:t>.</w:t>
      </w:r>
    </w:p>
    <w:p w14:paraId="767354EA" w14:textId="77777777" w:rsidR="0095109F" w:rsidRDefault="0095109F" w:rsidP="0095109F">
      <w:pPr>
        <w:spacing w:after="240"/>
      </w:pPr>
      <w:r>
        <w:t>MSAC noted the substantial clinical uncertainties in the application</w:t>
      </w:r>
      <w:r w:rsidR="00692F9D">
        <w:t xml:space="preserve"> </w:t>
      </w:r>
      <w:r w:rsidR="00A72ACC">
        <w:t>flowed on to the economic evaluation</w:t>
      </w:r>
      <w:r>
        <w:t xml:space="preserve">. Data on the </w:t>
      </w:r>
      <w:r w:rsidR="00383199">
        <w:t xml:space="preserve">duration of response </w:t>
      </w:r>
      <w:r w:rsidR="007106A3">
        <w:t>are evolving as the</w:t>
      </w:r>
      <w:r>
        <w:t xml:space="preserve"> </w:t>
      </w:r>
      <w:r w:rsidR="007106A3">
        <w:t>follow-up in the</w:t>
      </w:r>
      <w:r>
        <w:t xml:space="preserve"> single-arm studies</w:t>
      </w:r>
      <w:r w:rsidR="0089676B">
        <w:t xml:space="preserve"> </w:t>
      </w:r>
      <w:r w:rsidR="007106A3">
        <w:t>matures. For this reason</w:t>
      </w:r>
      <w:r w:rsidR="00665242">
        <w:t>,</w:t>
      </w:r>
      <w:r w:rsidR="007106A3">
        <w:t xml:space="preserve"> the </w:t>
      </w:r>
      <w:r w:rsidR="0089676B">
        <w:t>results from the data cut with the longest follow-up of each study are generally preferred</w:t>
      </w:r>
      <w:r>
        <w:t xml:space="preserve">. The </w:t>
      </w:r>
      <w:r w:rsidR="00A72ACC">
        <w:t xml:space="preserve">changes </w:t>
      </w:r>
      <w:r w:rsidR="00AB2724">
        <w:t>from</w:t>
      </w:r>
      <w:r w:rsidR="00A72ACC">
        <w:t xml:space="preserve"> the </w:t>
      </w:r>
      <w:r w:rsidR="00AB2724">
        <w:t xml:space="preserve">current </w:t>
      </w:r>
      <w:r>
        <w:t xml:space="preserve">treatment pathway </w:t>
      </w:r>
      <w:r w:rsidR="00A72ACC">
        <w:t>are</w:t>
      </w:r>
      <w:r>
        <w:t xml:space="preserve"> complex and expensive</w:t>
      </w:r>
      <w:r w:rsidR="00A72ACC" w:rsidRPr="004F4858">
        <w:t xml:space="preserve">, </w:t>
      </w:r>
      <w:r w:rsidR="00A72ACC">
        <w:t xml:space="preserve">and </w:t>
      </w:r>
      <w:r w:rsidR="00A72ACC" w:rsidRPr="004F4858">
        <w:t xml:space="preserve">the economic models </w:t>
      </w:r>
      <w:r w:rsidR="00AB2724">
        <w:t>we</w:t>
      </w:r>
      <w:r w:rsidR="00A72ACC" w:rsidRPr="004F4858">
        <w:t xml:space="preserve">re unreliable </w:t>
      </w:r>
      <w:r w:rsidR="00A72ACC">
        <w:t xml:space="preserve">when </w:t>
      </w:r>
      <w:r w:rsidR="00A72ACC" w:rsidRPr="004F4858">
        <w:t xml:space="preserve">they </w:t>
      </w:r>
      <w:proofErr w:type="gramStart"/>
      <w:r w:rsidR="00AB2724">
        <w:t>we</w:t>
      </w:r>
      <w:r w:rsidR="00A72ACC" w:rsidRPr="004F4858">
        <w:t>re driven</w:t>
      </w:r>
      <w:proofErr w:type="gramEnd"/>
      <w:r w:rsidR="00A72ACC" w:rsidRPr="004F4858">
        <w:t xml:space="preserve"> by </w:t>
      </w:r>
      <w:r w:rsidR="007106A3">
        <w:t xml:space="preserve">uncertain </w:t>
      </w:r>
      <w:r w:rsidR="00A72ACC" w:rsidRPr="004F4858">
        <w:t>extrapolations of event-free survival and overall survival</w:t>
      </w:r>
      <w:r>
        <w:t xml:space="preserve">. The </w:t>
      </w:r>
      <w:r w:rsidR="002C73BA">
        <w:lastRenderedPageBreak/>
        <w:t xml:space="preserve">revised </w:t>
      </w:r>
      <w:r>
        <w:t xml:space="preserve">economic model </w:t>
      </w:r>
      <w:r w:rsidR="0089676B">
        <w:t xml:space="preserve">in the pre-MSAC response </w:t>
      </w:r>
      <w:r w:rsidR="007F6E8A">
        <w:t xml:space="preserve">and pre-ESC response (for </w:t>
      </w:r>
      <w:proofErr w:type="spellStart"/>
      <w:r w:rsidR="007F6E8A">
        <w:t>pALL</w:t>
      </w:r>
      <w:proofErr w:type="spellEnd"/>
      <w:r w:rsidR="007F6E8A">
        <w:t xml:space="preserve"> and DLBCL, respectively) </w:t>
      </w:r>
      <w:r w:rsidR="00AB2724">
        <w:t xml:space="preserve">adopted a more acceptable lognormal basis for the extrapolation to report </w:t>
      </w:r>
      <w:r>
        <w:t xml:space="preserve">high ICERs </w:t>
      </w:r>
      <w:r w:rsidRPr="00EC05E8">
        <w:t>($</w:t>
      </w:r>
      <w:r w:rsidR="00EC05E8" w:rsidRPr="00EC05E8">
        <w:rPr>
          <w:b/>
        </w:rPr>
        <w:t>redacted</w:t>
      </w:r>
      <w:r w:rsidRPr="00EC05E8">
        <w:t xml:space="preserve"> to $</w:t>
      </w:r>
      <w:r w:rsidR="00EC05E8" w:rsidRPr="00EC05E8">
        <w:rPr>
          <w:b/>
        </w:rPr>
        <w:t>redacted</w:t>
      </w:r>
      <w:r w:rsidR="00EC05E8">
        <w:t xml:space="preserve"> </w:t>
      </w:r>
      <w:r>
        <w:t>per QALY gained</w:t>
      </w:r>
      <w:r w:rsidR="007B10E6">
        <w:t xml:space="preserve"> for </w:t>
      </w:r>
      <w:proofErr w:type="spellStart"/>
      <w:r w:rsidR="007B10E6">
        <w:t>pALL</w:t>
      </w:r>
      <w:proofErr w:type="spellEnd"/>
      <w:r w:rsidR="007B10E6">
        <w:t xml:space="preserve"> and DLBCL, respectively</w:t>
      </w:r>
      <w:r>
        <w:t>)</w:t>
      </w:r>
      <w:r w:rsidR="007106A3">
        <w:t xml:space="preserve">. These ICERs </w:t>
      </w:r>
      <w:r w:rsidR="0097370E">
        <w:t xml:space="preserve">were </w:t>
      </w:r>
      <w:r>
        <w:t xml:space="preserve">likely to </w:t>
      </w:r>
      <w:proofErr w:type="gramStart"/>
      <w:r>
        <w:t>be underestimated</w:t>
      </w:r>
      <w:proofErr w:type="gramEnd"/>
      <w:r>
        <w:t xml:space="preserve"> as the full costs of </w:t>
      </w:r>
      <w:proofErr w:type="spellStart"/>
      <w:r>
        <w:t>IVI</w:t>
      </w:r>
      <w:r w:rsidR="00383199">
        <w:t>g</w:t>
      </w:r>
      <w:proofErr w:type="spellEnd"/>
      <w:r>
        <w:t xml:space="preserve"> were not included</w:t>
      </w:r>
      <w:r w:rsidR="00BB138F">
        <w:t xml:space="preserve"> for </w:t>
      </w:r>
      <w:proofErr w:type="spellStart"/>
      <w:r w:rsidR="00BB138F">
        <w:t>pALL</w:t>
      </w:r>
      <w:proofErr w:type="spellEnd"/>
      <w:r w:rsidR="00BB138F">
        <w:t xml:space="preserve">, and the start age of patients in the DLBCL model </w:t>
      </w:r>
      <w:r w:rsidR="00BB138F" w:rsidRPr="00EC05E8">
        <w:t>(</w:t>
      </w:r>
      <w:r w:rsidR="00EC05E8" w:rsidRPr="00EC05E8">
        <w:rPr>
          <w:b/>
        </w:rPr>
        <w:t>redacted</w:t>
      </w:r>
      <w:r w:rsidR="00BB138F">
        <w:t>) is younger than the expected Australian population</w:t>
      </w:r>
      <w:r>
        <w:t xml:space="preserve">. The </w:t>
      </w:r>
      <w:r w:rsidR="002C73BA">
        <w:t xml:space="preserve">possibility of late onset, severe and expensive </w:t>
      </w:r>
      <w:r w:rsidR="007B10E6">
        <w:t>adverse effects</w:t>
      </w:r>
      <w:r w:rsidR="002C73BA">
        <w:t xml:space="preserve"> </w:t>
      </w:r>
      <w:r w:rsidR="007B10E6">
        <w:t xml:space="preserve">also </w:t>
      </w:r>
      <w:proofErr w:type="gramStart"/>
      <w:r w:rsidR="002C73BA">
        <w:t>c</w:t>
      </w:r>
      <w:r w:rsidR="007B10E6">
        <w:t xml:space="preserve">ould </w:t>
      </w:r>
      <w:r w:rsidR="002C73BA">
        <w:t>not be excluded</w:t>
      </w:r>
      <w:proofErr w:type="gramEnd"/>
      <w:r w:rsidR="002C73BA">
        <w:t xml:space="preserve"> given the preliminary nature of the clinical evidence provided</w:t>
      </w:r>
      <w:r>
        <w:t>.</w:t>
      </w:r>
    </w:p>
    <w:p w14:paraId="418D8720" w14:textId="77777777" w:rsidR="0095109F" w:rsidRDefault="0095109F" w:rsidP="0095109F">
      <w:pPr>
        <w:spacing w:after="240"/>
      </w:pPr>
      <w:r>
        <w:t>MSAC noted that the economic model had been through several iterations of critiques and revisions, with significant changes made at each stage. The latest model use</w:t>
      </w:r>
      <w:r w:rsidR="00AB2724">
        <w:t>d</w:t>
      </w:r>
      <w:r>
        <w:t xml:space="preserve"> a lognormal function</w:t>
      </w:r>
      <w:r w:rsidR="0036519A">
        <w:t xml:space="preserve"> for extrapolation beyond the </w:t>
      </w:r>
      <w:r w:rsidR="006A6F9D">
        <w:t>study</w:t>
      </w:r>
      <w:r w:rsidR="0036519A">
        <w:t xml:space="preserve"> follow-up</w:t>
      </w:r>
      <w:r>
        <w:t>, which appear</w:t>
      </w:r>
      <w:r w:rsidR="00AB2724">
        <w:t>ed</w:t>
      </w:r>
      <w:r>
        <w:t xml:space="preserve"> to be appropriate. However, given the multiple rounds of new data and new analyses over the course of the assessment, MSAC considered that it was unclear whether all relevant changes </w:t>
      </w:r>
      <w:proofErr w:type="gramStart"/>
      <w:r>
        <w:t>had been applied</w:t>
      </w:r>
      <w:proofErr w:type="gramEnd"/>
      <w:r>
        <w:t xml:space="preserve"> appropriately. The model would benefit from a considered re</w:t>
      </w:r>
      <w:r w:rsidR="00F478A2">
        <w:t>-</w:t>
      </w:r>
      <w:r>
        <w:t xml:space="preserve">specification. This </w:t>
      </w:r>
      <w:r w:rsidR="00E8735F">
        <w:t xml:space="preserve">should include greater use of </w:t>
      </w:r>
      <w:proofErr w:type="spellStart"/>
      <w:r w:rsidR="00E8735F">
        <w:t>IVIg</w:t>
      </w:r>
      <w:proofErr w:type="spellEnd"/>
      <w:r w:rsidR="00E8735F">
        <w:t xml:space="preserve">, and </w:t>
      </w:r>
      <w:r>
        <w:t>could include two-way sensitivity analyses, appropriate extrapolation of event-free survival and overall survival, and less simplistic costing of adverse events.</w:t>
      </w:r>
    </w:p>
    <w:p w14:paraId="6D85A2AD" w14:textId="77777777" w:rsidR="0095109F" w:rsidRDefault="0075704D" w:rsidP="0095109F">
      <w:pPr>
        <w:spacing w:after="240"/>
      </w:pPr>
      <w:r>
        <w:t>However</w:t>
      </w:r>
      <w:r w:rsidR="00640FCD">
        <w:t>,</w:t>
      </w:r>
      <w:r>
        <w:t xml:space="preserve"> </w:t>
      </w:r>
      <w:r w:rsidR="0095109F">
        <w:t xml:space="preserve">MSAC </w:t>
      </w:r>
      <w:r>
        <w:t xml:space="preserve">also </w:t>
      </w:r>
      <w:r w:rsidR="0095109F">
        <w:t xml:space="preserve">noted that the high cost of </w:t>
      </w:r>
      <w:r w:rsidR="00E8735F">
        <w:t>TIS</w:t>
      </w:r>
      <w:r w:rsidR="0095109F">
        <w:t xml:space="preserve"> itself </w:t>
      </w:r>
      <w:r w:rsidR="00AB2724">
        <w:t>wa</w:t>
      </w:r>
      <w:r w:rsidR="00640FCD">
        <w:t xml:space="preserve">s a major driver of </w:t>
      </w:r>
      <w:r w:rsidR="0095109F">
        <w:t xml:space="preserve">the model. </w:t>
      </w:r>
      <w:r w:rsidR="0097370E">
        <w:t>MSAC advised that t</w:t>
      </w:r>
      <w:r w:rsidR="0095109F">
        <w:t xml:space="preserve">he cost of </w:t>
      </w:r>
      <w:r w:rsidR="00E8735F">
        <w:t>TIS</w:t>
      </w:r>
      <w:r w:rsidR="0095109F">
        <w:t xml:space="preserve"> would need to </w:t>
      </w:r>
      <w:proofErr w:type="gramStart"/>
      <w:r w:rsidR="0095109F">
        <w:t>be significantly reduced</w:t>
      </w:r>
      <w:proofErr w:type="gramEnd"/>
      <w:r w:rsidR="0095109F">
        <w:t xml:space="preserve"> to reach the range of </w:t>
      </w:r>
      <w:r>
        <w:t>usually</w:t>
      </w:r>
      <w:r w:rsidR="0095109F">
        <w:t xml:space="preserve"> accepted ICERs</w:t>
      </w:r>
      <w:r w:rsidR="003D138F">
        <w:t xml:space="preserve">, particularly as the use of TIS would generate a net increase in other costs, particularly when the costs of increased </w:t>
      </w:r>
      <w:proofErr w:type="spellStart"/>
      <w:r w:rsidR="003D138F">
        <w:t>IVIg</w:t>
      </w:r>
      <w:proofErr w:type="spellEnd"/>
      <w:r w:rsidR="003D138F">
        <w:t xml:space="preserve"> are included</w:t>
      </w:r>
      <w:r w:rsidR="0095109F">
        <w:t xml:space="preserve">. </w:t>
      </w:r>
      <w:r w:rsidR="0097370E">
        <w:t>MSAC</w:t>
      </w:r>
      <w:r w:rsidR="0095109F">
        <w:t xml:space="preserve"> considered that </w:t>
      </w:r>
      <w:r w:rsidR="00F478A2">
        <w:t xml:space="preserve">new CAR-T therapies were under development and these sought to improve survival and reduce the severity and risk of severe adverse events. These </w:t>
      </w:r>
      <w:r w:rsidR="0095109F">
        <w:t xml:space="preserve">future </w:t>
      </w:r>
      <w:r w:rsidR="00F478A2">
        <w:t>CAR-T treatments</w:t>
      </w:r>
      <w:r w:rsidR="00AC6B5E">
        <w:t xml:space="preserve"> </w:t>
      </w:r>
      <w:proofErr w:type="gramStart"/>
      <w:r w:rsidR="00AC6B5E">
        <w:t xml:space="preserve">would </w:t>
      </w:r>
      <w:r w:rsidR="00F478A2">
        <w:t>likely be</w:t>
      </w:r>
      <w:r w:rsidR="00AC6B5E">
        <w:t xml:space="preserve"> compared</w:t>
      </w:r>
      <w:proofErr w:type="gramEnd"/>
      <w:r w:rsidR="00AC6B5E">
        <w:t xml:space="preserve"> with TIS </w:t>
      </w:r>
      <w:r w:rsidR="00F478A2">
        <w:t>and hence it was important to have certainty around the condition</w:t>
      </w:r>
      <w:r w:rsidR="0097370E">
        <w:t>s</w:t>
      </w:r>
      <w:r w:rsidR="00F478A2">
        <w:t xml:space="preserve"> of funding TIS.</w:t>
      </w:r>
    </w:p>
    <w:p w14:paraId="3ABEAEB3" w14:textId="77777777" w:rsidR="0075704D" w:rsidRDefault="00A72ACC" w:rsidP="0095109F">
      <w:pPr>
        <w:spacing w:after="240"/>
      </w:pPr>
      <w:r>
        <w:t xml:space="preserve">MSAC noted </w:t>
      </w:r>
      <w:r w:rsidR="0089676B">
        <w:t xml:space="preserve">from the pre-MSAC response </w:t>
      </w:r>
      <w:r>
        <w:t>that t</w:t>
      </w:r>
      <w:r w:rsidR="00EB167B">
        <w:t xml:space="preserve">he </w:t>
      </w:r>
      <w:r w:rsidR="003D138F">
        <w:t xml:space="preserve">revised </w:t>
      </w:r>
      <w:r w:rsidR="00EB167B">
        <w:t xml:space="preserve">estimated net </w:t>
      </w:r>
      <w:r>
        <w:t xml:space="preserve">financial </w:t>
      </w:r>
      <w:r w:rsidR="00EB167B">
        <w:t xml:space="preserve">cost to the health system </w:t>
      </w:r>
      <w:r w:rsidR="00AB2724">
        <w:t xml:space="preserve">for both populations </w:t>
      </w:r>
      <w:r w:rsidR="003D138F">
        <w:t xml:space="preserve">would be </w:t>
      </w:r>
      <w:r w:rsidR="00EB167B" w:rsidRPr="00EC05E8">
        <w:t>$</w:t>
      </w:r>
      <w:r w:rsidR="00EC05E8" w:rsidRPr="00EC05E8">
        <w:rPr>
          <w:b/>
        </w:rPr>
        <w:t>redacted</w:t>
      </w:r>
      <w:r w:rsidR="00EB167B" w:rsidRPr="00EC05E8">
        <w:t xml:space="preserve"> </w:t>
      </w:r>
      <w:r w:rsidR="00EB167B">
        <w:t>over 6 years</w:t>
      </w:r>
      <w:r w:rsidR="00640FCD">
        <w:t xml:space="preserve">, </w:t>
      </w:r>
      <w:r w:rsidR="00AB2724">
        <w:t>including</w:t>
      </w:r>
      <w:r w:rsidR="00640FCD">
        <w:t xml:space="preserve"> substantial flow-on financial implications for the public hospital system,</w:t>
      </w:r>
      <w:r w:rsidR="00EB167B">
        <w:t xml:space="preserve"> and </w:t>
      </w:r>
      <w:r>
        <w:t xml:space="preserve">considered that </w:t>
      </w:r>
      <w:r w:rsidR="00EB167B">
        <w:t xml:space="preserve">the likelihood of leakage to </w:t>
      </w:r>
      <w:r w:rsidR="00F478A2">
        <w:t xml:space="preserve">a broader group of </w:t>
      </w:r>
      <w:r w:rsidR="00EB167B">
        <w:t xml:space="preserve">refractory patients </w:t>
      </w:r>
      <w:r w:rsidR="00AB2724">
        <w:t>would be</w:t>
      </w:r>
      <w:r w:rsidR="00EB167B">
        <w:t xml:space="preserve"> high. </w:t>
      </w:r>
      <w:r w:rsidR="0075704D">
        <w:t xml:space="preserve">In relation to the financial </w:t>
      </w:r>
      <w:r>
        <w:t>estimates</w:t>
      </w:r>
      <w:r w:rsidR="0075704D">
        <w:t xml:space="preserve">, MSAC considered that, as the first </w:t>
      </w:r>
      <w:r w:rsidR="0075704D" w:rsidRPr="001A5AB2">
        <w:t xml:space="preserve">product to market, it was not appropriate for the applicant to take a market share approach and claim declining uptake of TIS </w:t>
      </w:r>
      <w:r w:rsidRPr="001A5AB2">
        <w:t xml:space="preserve">over time </w:t>
      </w:r>
      <w:r w:rsidR="0075704D" w:rsidRPr="001A5AB2">
        <w:t>due to future competitors.</w:t>
      </w:r>
      <w:r w:rsidR="00E8735F" w:rsidRPr="001A5AB2">
        <w:t xml:space="preserve"> Reverting to an </w:t>
      </w:r>
      <w:r w:rsidR="00C22F16" w:rsidRPr="001A5AB2">
        <w:t xml:space="preserve">overall </w:t>
      </w:r>
      <w:r w:rsidR="00E8735F" w:rsidRPr="001A5AB2">
        <w:t>epidemiological approach would increase the financial implications of funding.</w:t>
      </w:r>
    </w:p>
    <w:p w14:paraId="4040D993" w14:textId="77777777" w:rsidR="0095109F" w:rsidRDefault="0095109F" w:rsidP="0095109F">
      <w:pPr>
        <w:spacing w:after="240"/>
      </w:pPr>
      <w:r>
        <w:t>MSAC</w:t>
      </w:r>
      <w:r w:rsidRPr="00E1695E">
        <w:t xml:space="preserve"> noted the range of considerations in establishing a new funding mechanism for these types of interventions and the importance of making strategic decisions to account for future similar </w:t>
      </w:r>
      <w:r w:rsidR="00E8735F">
        <w:t xml:space="preserve">genetically modified autologous cell-based </w:t>
      </w:r>
      <w:r w:rsidRPr="00E1695E">
        <w:t xml:space="preserve">interventions. </w:t>
      </w:r>
      <w:r>
        <w:t xml:space="preserve">It </w:t>
      </w:r>
      <w:proofErr w:type="gramStart"/>
      <w:r>
        <w:t>was suggested</w:t>
      </w:r>
      <w:proofErr w:type="gramEnd"/>
      <w:r>
        <w:t xml:space="preserve"> that a standardised economic model could be developed to facilitate data comparisons in future considerations of CAR-T therapies, including adverse event profiles and </w:t>
      </w:r>
      <w:r w:rsidR="00E8735F">
        <w:t>costs.</w:t>
      </w:r>
    </w:p>
    <w:p w14:paraId="12E7C05C" w14:textId="77777777" w:rsidR="0095109F" w:rsidRDefault="0095109F" w:rsidP="0095109F">
      <w:pPr>
        <w:spacing w:after="240"/>
      </w:pPr>
      <w:r>
        <w:t xml:space="preserve">MSAC considered that mandatory recording of TIS use on the Australian Bone Marrow Transplant Recipient Registry </w:t>
      </w:r>
      <w:r w:rsidR="00640FCD">
        <w:t xml:space="preserve">and related health outcome and </w:t>
      </w:r>
      <w:proofErr w:type="gramStart"/>
      <w:r w:rsidR="00640FCD">
        <w:t>healthcare resource use consequences</w:t>
      </w:r>
      <w:proofErr w:type="gramEnd"/>
      <w:r w:rsidR="00640FCD">
        <w:t xml:space="preserve"> </w:t>
      </w:r>
      <w:r>
        <w:t>would be preferable to an applicant-administered registry, due to potential issues with data access and control. The data collected in the registry should also align with international data collections to ensure comparability</w:t>
      </w:r>
      <w:r w:rsidR="00E8735F">
        <w:t xml:space="preserve"> across countries and thus enable a larger sample size for analyses</w:t>
      </w:r>
      <w:r>
        <w:t xml:space="preserve">. It </w:t>
      </w:r>
      <w:proofErr w:type="gramStart"/>
      <w:r>
        <w:t>was suggested</w:t>
      </w:r>
      <w:proofErr w:type="gramEnd"/>
      <w:r>
        <w:t xml:space="preserve"> that any register should also include patient-reported outcomes. It </w:t>
      </w:r>
      <w:proofErr w:type="gramStart"/>
      <w:r>
        <w:t>was noted</w:t>
      </w:r>
      <w:proofErr w:type="gramEnd"/>
      <w:r>
        <w:t xml:space="preserve"> that the Therapeutic Goods Administration would </w:t>
      </w:r>
      <w:r w:rsidR="00F478A2">
        <w:t xml:space="preserve">mandate </w:t>
      </w:r>
      <w:r>
        <w:t>a detailed risk management plan.</w:t>
      </w:r>
    </w:p>
    <w:p w14:paraId="5FCB48BC" w14:textId="77777777" w:rsidR="0095109F" w:rsidRDefault="0095109F" w:rsidP="0095109F">
      <w:pPr>
        <w:spacing w:after="240"/>
      </w:pPr>
      <w:r>
        <w:lastRenderedPageBreak/>
        <w:t xml:space="preserve">MSAC considered that it would be appropriate to limit initial funding for the </w:t>
      </w:r>
      <w:proofErr w:type="spellStart"/>
      <w:r w:rsidR="00A72ACC">
        <w:t>p</w:t>
      </w:r>
      <w:r>
        <w:t>ALL</w:t>
      </w:r>
      <w:proofErr w:type="spellEnd"/>
      <w:r>
        <w:t xml:space="preserve"> population </w:t>
      </w:r>
      <w:r w:rsidRPr="001A5AB2">
        <w:t xml:space="preserve">to two paediatric </w:t>
      </w:r>
      <w:r w:rsidR="0036519A" w:rsidRPr="001A5AB2">
        <w:t xml:space="preserve">stem cell </w:t>
      </w:r>
      <w:r w:rsidRPr="001A5AB2">
        <w:t xml:space="preserve">transplant centres (one in Sydney and one in </w:t>
      </w:r>
      <w:r w:rsidRPr="00EC05E8">
        <w:t xml:space="preserve">Melbourne). </w:t>
      </w:r>
      <w:r w:rsidR="00EC05E8" w:rsidRPr="00EC05E8">
        <w:rPr>
          <w:b/>
        </w:rPr>
        <w:t>Redacted</w:t>
      </w:r>
      <w:r w:rsidRPr="00EC05E8">
        <w:t>. For</w:t>
      </w:r>
      <w:r w:rsidRPr="001A5AB2">
        <w:t xml:space="preserve"> the DLBCL population, it </w:t>
      </w:r>
      <w:proofErr w:type="gramStart"/>
      <w:r w:rsidRPr="001A5AB2">
        <w:t xml:space="preserve">was </w:t>
      </w:r>
      <w:r w:rsidR="00AB2724" w:rsidRPr="001A5AB2">
        <w:t>suggested</w:t>
      </w:r>
      <w:proofErr w:type="gramEnd"/>
      <w:r w:rsidRPr="001A5AB2">
        <w:t xml:space="preserve"> that a centre would </w:t>
      </w:r>
      <w:r w:rsidR="003263E9" w:rsidRPr="001A5AB2">
        <w:t xml:space="preserve">subsequently </w:t>
      </w:r>
      <w:r w:rsidRPr="001A5AB2">
        <w:t>be required in every state due</w:t>
      </w:r>
      <w:r w:rsidR="003263E9" w:rsidRPr="001A5AB2">
        <w:t xml:space="preserve"> to the larger patient numbers.</w:t>
      </w:r>
    </w:p>
    <w:p w14:paraId="14B240CC" w14:textId="77777777" w:rsidR="0095109F" w:rsidRDefault="0095109F" w:rsidP="0095109F">
      <w:pPr>
        <w:spacing w:after="240"/>
      </w:pPr>
      <w:r>
        <w:t xml:space="preserve">MSAC noted the differences in the scope of further work required between the </w:t>
      </w:r>
      <w:proofErr w:type="spellStart"/>
      <w:r w:rsidR="003263E9">
        <w:t>p</w:t>
      </w:r>
      <w:r>
        <w:t>ALL</w:t>
      </w:r>
      <w:proofErr w:type="spellEnd"/>
      <w:r>
        <w:t xml:space="preserve"> and DLBCL populations</w:t>
      </w:r>
      <w:r w:rsidR="00AB2724">
        <w:t xml:space="preserve"> to inform its reconsideration</w:t>
      </w:r>
      <w:r>
        <w:t>, and recommended that the</w:t>
      </w:r>
      <w:r w:rsidR="000F6833" w:rsidRPr="000F6833">
        <w:t xml:space="preserve"> </w:t>
      </w:r>
      <w:r w:rsidR="000F6833">
        <w:t xml:space="preserve">applicant </w:t>
      </w:r>
      <w:r>
        <w:t xml:space="preserve">split </w:t>
      </w:r>
      <w:r w:rsidR="000F6833">
        <w:t xml:space="preserve">them </w:t>
      </w:r>
      <w:r>
        <w:t xml:space="preserve">into two separate </w:t>
      </w:r>
      <w:r w:rsidR="00692F9D">
        <w:t>re-</w:t>
      </w:r>
      <w:r>
        <w:t>applications to allow them to progress at different paces.</w:t>
      </w:r>
    </w:p>
    <w:p w14:paraId="156C8630" w14:textId="77777777" w:rsidR="009778B2" w:rsidRDefault="009778B2" w:rsidP="0095109F">
      <w:pPr>
        <w:spacing w:after="240"/>
      </w:pPr>
      <w:r>
        <w:t>The applicant subsequently advised its intention to make a single resubmission for both populations.</w:t>
      </w:r>
    </w:p>
    <w:p w14:paraId="7F649C20" w14:textId="77777777" w:rsidR="0095109F" w:rsidRDefault="0095109F" w:rsidP="0095109F">
      <w:pPr>
        <w:spacing w:after="240"/>
      </w:pPr>
      <w:r>
        <w:t xml:space="preserve">For the </w:t>
      </w:r>
      <w:proofErr w:type="spellStart"/>
      <w:r w:rsidR="003263E9">
        <w:t>p</w:t>
      </w:r>
      <w:r>
        <w:t>ALL</w:t>
      </w:r>
      <w:proofErr w:type="spellEnd"/>
      <w:r>
        <w:t xml:space="preserve"> population, MSAC noted that the population </w:t>
      </w:r>
      <w:proofErr w:type="gramStart"/>
      <w:r w:rsidR="00AB2724">
        <w:t xml:space="preserve">was more </w:t>
      </w:r>
      <w:r>
        <w:t>clearly defined</w:t>
      </w:r>
      <w:proofErr w:type="gramEnd"/>
      <w:r>
        <w:t xml:space="preserve">, the number of patients </w:t>
      </w:r>
      <w:r w:rsidR="00AB2724">
        <w:t>would be</w:t>
      </w:r>
      <w:r>
        <w:t xml:space="preserve"> small, </w:t>
      </w:r>
      <w:r w:rsidR="00BB138F">
        <w:t xml:space="preserve">and the expectation of a prolonged response was more plausible than for the DLBCL population. </w:t>
      </w:r>
      <w:proofErr w:type="gramStart"/>
      <w:r w:rsidR="00E62348">
        <w:t xml:space="preserve">However, </w:t>
      </w:r>
      <w:r w:rsidR="00D964D2">
        <w:t>MSAC foreshadowed that</w:t>
      </w:r>
      <w:r w:rsidR="008575F3">
        <w:t>, consistent with the independent expert clinical advice at the hearing</w:t>
      </w:r>
      <w:r w:rsidR="00C12800">
        <w:t xml:space="preserve"> and the TGA delegate’s overview</w:t>
      </w:r>
      <w:r w:rsidR="008575F3">
        <w:t xml:space="preserve">, </w:t>
      </w:r>
      <w:r w:rsidR="00D964D2">
        <w:t xml:space="preserve">it would consider advising that </w:t>
      </w:r>
      <w:proofErr w:type="spellStart"/>
      <w:r w:rsidR="001C5251">
        <w:t>i</w:t>
      </w:r>
      <w:proofErr w:type="spellEnd"/>
      <w:r w:rsidR="001C5251">
        <w:t xml:space="preserve">) </w:t>
      </w:r>
      <w:r w:rsidR="00D964D2">
        <w:t>the lower limit of 3 years of age be omitted as an exclusion from any funding arrangement</w:t>
      </w:r>
      <w:r w:rsidR="008575F3">
        <w:t xml:space="preserve">, </w:t>
      </w:r>
      <w:r w:rsidR="001C5251">
        <w:t>ii)</w:t>
      </w:r>
      <w:r w:rsidR="00CD7863">
        <w:t xml:space="preserve"> patients who have had prior CD19 therapy should be eligible, </w:t>
      </w:r>
      <w:r w:rsidR="00E62348">
        <w:t>and</w:t>
      </w:r>
      <w:r w:rsidR="008575F3">
        <w:t xml:space="preserve"> </w:t>
      </w:r>
      <w:r w:rsidR="001C5251">
        <w:t xml:space="preserve">iii) </w:t>
      </w:r>
      <w:r w:rsidR="008575F3">
        <w:t xml:space="preserve">the lower limit to define relapse before TIS would be morphological evidence of disease </w:t>
      </w:r>
      <w:r w:rsidR="001D7A2B">
        <w:t>only</w:t>
      </w:r>
      <w:r w:rsidR="001C5251">
        <w:t xml:space="preserve"> (</w:t>
      </w:r>
      <w:proofErr w:type="spellStart"/>
      <w:r w:rsidR="001C5251">
        <w:t>i.e</w:t>
      </w:r>
      <w:proofErr w:type="spellEnd"/>
      <w:r w:rsidR="001C5251">
        <w:t xml:space="preserve"> not minimal residual disease)</w:t>
      </w:r>
      <w:r w:rsidR="00D964D2">
        <w:t>.</w:t>
      </w:r>
      <w:proofErr w:type="gramEnd"/>
      <w:r w:rsidR="00D964D2">
        <w:t xml:space="preserve"> </w:t>
      </w:r>
      <w:r>
        <w:t xml:space="preserve">MSAC considered that further data and inputs </w:t>
      </w:r>
      <w:proofErr w:type="gramStart"/>
      <w:r>
        <w:t>were needed</w:t>
      </w:r>
      <w:proofErr w:type="gramEnd"/>
      <w:r w:rsidR="00D964D2">
        <w:t xml:space="preserve"> to respecify the base case of the economic evaluation and the financial estimate</w:t>
      </w:r>
      <w:r w:rsidR="00AB2724">
        <w:t>s</w:t>
      </w:r>
      <w:r>
        <w:t xml:space="preserve">, </w:t>
      </w:r>
      <w:r w:rsidR="00D964D2">
        <w:t xml:space="preserve">particularly to reflect </w:t>
      </w:r>
      <w:r>
        <w:t xml:space="preserve">the cost of lifelong </w:t>
      </w:r>
      <w:proofErr w:type="spellStart"/>
      <w:r>
        <w:t>IVI</w:t>
      </w:r>
      <w:r w:rsidR="00383199">
        <w:t>g</w:t>
      </w:r>
      <w:proofErr w:type="spellEnd"/>
      <w:r>
        <w:t xml:space="preserve"> for all patients. MSAC </w:t>
      </w:r>
      <w:r w:rsidR="00D964D2">
        <w:t xml:space="preserve">decided </w:t>
      </w:r>
      <w:r>
        <w:t xml:space="preserve">to defer </w:t>
      </w:r>
      <w:r w:rsidR="00D964D2">
        <w:t xml:space="preserve">its advice </w:t>
      </w:r>
      <w:r>
        <w:t xml:space="preserve">for the </w:t>
      </w:r>
      <w:proofErr w:type="spellStart"/>
      <w:r w:rsidR="00D964D2">
        <w:t>p</w:t>
      </w:r>
      <w:r>
        <w:t>ALL</w:t>
      </w:r>
      <w:proofErr w:type="spellEnd"/>
      <w:r>
        <w:t xml:space="preserve"> population </w:t>
      </w:r>
      <w:r w:rsidR="00D964D2">
        <w:t xml:space="preserve">to enable </w:t>
      </w:r>
      <w:r>
        <w:t>the additional modelling</w:t>
      </w:r>
      <w:r w:rsidR="00D964D2">
        <w:t xml:space="preserve"> and to ascertain whether an arrangement </w:t>
      </w:r>
      <w:proofErr w:type="gramStart"/>
      <w:r w:rsidR="00D964D2">
        <w:t>can be made</w:t>
      </w:r>
      <w:proofErr w:type="gramEnd"/>
      <w:r w:rsidR="00D964D2">
        <w:t xml:space="preserve"> to incorporate the necessary reduction in the effective price of TIS</w:t>
      </w:r>
      <w:r w:rsidR="004F66FA">
        <w:t xml:space="preserve">. MSAC advised that the numbers of eligible patients each year are likely smaller than the estimates in the application. </w:t>
      </w:r>
      <w:proofErr w:type="gramStart"/>
      <w:r w:rsidR="004F66FA">
        <w:t xml:space="preserve">The Committee noted smaller estimates accepted for funding in England and Norway when adjusted for the relative size of the country’s population, and considered that there was a relatively confident basis for estimating the numbers of Australians with </w:t>
      </w:r>
      <w:proofErr w:type="spellStart"/>
      <w:r w:rsidR="004F66FA">
        <w:t>pALL</w:t>
      </w:r>
      <w:proofErr w:type="spellEnd"/>
      <w:r w:rsidR="004F66FA">
        <w:t xml:space="preserve"> receiving </w:t>
      </w:r>
      <w:proofErr w:type="spellStart"/>
      <w:r w:rsidR="004F66FA">
        <w:t>allo</w:t>
      </w:r>
      <w:proofErr w:type="spellEnd"/>
      <w:r w:rsidR="004F66FA">
        <w:t xml:space="preserve">-SCT (40) who subsequently relapse (30%) and that this comprises the pathway through which most patients with </w:t>
      </w:r>
      <w:proofErr w:type="spellStart"/>
      <w:r w:rsidR="004F66FA">
        <w:t>pALL</w:t>
      </w:r>
      <w:proofErr w:type="spellEnd"/>
      <w:r w:rsidR="004F66FA">
        <w:t xml:space="preserve"> would become eligible for TIS.</w:t>
      </w:r>
      <w:proofErr w:type="gramEnd"/>
    </w:p>
    <w:p w14:paraId="51C67CC6" w14:textId="77777777" w:rsidR="00217F3B" w:rsidRDefault="0095109F" w:rsidP="00217F3B">
      <w:pPr>
        <w:spacing w:after="240"/>
      </w:pPr>
      <w:r>
        <w:t xml:space="preserve">For the DLBCL population, MSAC considered that substantial further work was required. The eligible population </w:t>
      </w:r>
      <w:r w:rsidR="001C5251">
        <w:t xml:space="preserve">was </w:t>
      </w:r>
      <w:r>
        <w:t xml:space="preserve">less clearly defined, larger than the </w:t>
      </w:r>
      <w:proofErr w:type="spellStart"/>
      <w:r w:rsidR="00D964D2">
        <w:t>p</w:t>
      </w:r>
      <w:r>
        <w:t>ALL</w:t>
      </w:r>
      <w:proofErr w:type="spellEnd"/>
      <w:r>
        <w:t xml:space="preserve"> population, and there </w:t>
      </w:r>
      <w:r w:rsidR="00665242">
        <w:t>was</w:t>
      </w:r>
      <w:r>
        <w:t xml:space="preserve"> no clinical evidence to justify the exclusion of certain </w:t>
      </w:r>
      <w:proofErr w:type="gramStart"/>
      <w:r>
        <w:t>subgroups</w:t>
      </w:r>
      <w:r w:rsidR="00BB138F">
        <w:t xml:space="preserve"> which</w:t>
      </w:r>
      <w:proofErr w:type="gramEnd"/>
      <w:r w:rsidR="00BB138F">
        <w:t xml:space="preserve"> may have more aggressive </w:t>
      </w:r>
      <w:r w:rsidR="001C5251">
        <w:t>relapsed or refractory B cell lymphoma</w:t>
      </w:r>
      <w:r>
        <w:t xml:space="preserve">. The </w:t>
      </w:r>
      <w:r w:rsidR="004F66FA">
        <w:t>median</w:t>
      </w:r>
      <w:r>
        <w:t xml:space="preserve"> age of patients in the </w:t>
      </w:r>
      <w:r w:rsidR="00D964D2">
        <w:t>two single-arm studies</w:t>
      </w:r>
      <w:r>
        <w:t xml:space="preserve"> was 5</w:t>
      </w:r>
      <w:r w:rsidR="004F66FA">
        <w:t>6</w:t>
      </w:r>
      <w:r>
        <w:t xml:space="preserve"> years, but the average age of diagnosis in Australia is 60–70 years. There are uncertainties regarding clinical effectiveness and persistence of benefit in this </w:t>
      </w:r>
      <w:r w:rsidR="00D964D2">
        <w:t>population</w:t>
      </w:r>
      <w:r>
        <w:t xml:space="preserve">. MSAC also considered that the DLBCL population has other treatment options available to them, and the comparative effectiveness of TIS against these options </w:t>
      </w:r>
      <w:proofErr w:type="gramStart"/>
      <w:r>
        <w:t>had not been adequately explored</w:t>
      </w:r>
      <w:proofErr w:type="gramEnd"/>
      <w:r>
        <w:t xml:space="preserve">. MSAC concluded that the application for the DLBCL population </w:t>
      </w:r>
      <w:proofErr w:type="gramStart"/>
      <w:r>
        <w:t>should not be supported</w:t>
      </w:r>
      <w:proofErr w:type="gramEnd"/>
      <w:r>
        <w:t xml:space="preserve">, and </w:t>
      </w:r>
      <w:r w:rsidR="00D964D2">
        <w:t xml:space="preserve">that </w:t>
      </w:r>
      <w:r>
        <w:t>any re</w:t>
      </w:r>
      <w:r w:rsidR="00692F9D">
        <w:t>-application</w:t>
      </w:r>
      <w:r>
        <w:t xml:space="preserve"> should </w:t>
      </w:r>
      <w:r w:rsidR="001C5251">
        <w:t xml:space="preserve">clearly specify the patient population, </w:t>
      </w:r>
      <w:r>
        <w:t xml:space="preserve">include the </w:t>
      </w:r>
      <w:r w:rsidR="00D964D2">
        <w:t xml:space="preserve">additional </w:t>
      </w:r>
      <w:r>
        <w:t xml:space="preserve">evidence </w:t>
      </w:r>
      <w:r w:rsidR="001C5251">
        <w:t xml:space="preserve">and economic and financial information. This re-submission would need to </w:t>
      </w:r>
      <w:proofErr w:type="gramStart"/>
      <w:r w:rsidR="001C5251">
        <w:t xml:space="preserve">be </w:t>
      </w:r>
      <w:r>
        <w:t>evaluated</w:t>
      </w:r>
      <w:proofErr w:type="gramEnd"/>
      <w:r>
        <w:t xml:space="preserve"> by ESC.</w:t>
      </w:r>
    </w:p>
    <w:p w14:paraId="46AD893A" w14:textId="77777777" w:rsidR="00BC1364" w:rsidRPr="00F715D1" w:rsidRDefault="00BC1364" w:rsidP="00F715D1">
      <w:pPr>
        <w:pStyle w:val="Heading1"/>
      </w:pPr>
      <w:r w:rsidRPr="00F715D1">
        <w:t>Background</w:t>
      </w:r>
    </w:p>
    <w:p w14:paraId="0A7652FC" w14:textId="77777777" w:rsidR="00F70170" w:rsidRDefault="0060599A" w:rsidP="00F70170">
      <w:pPr>
        <w:tabs>
          <w:tab w:val="left" w:pos="284"/>
        </w:tabs>
      </w:pPr>
      <w:r>
        <w:t xml:space="preserve">Application 1519 </w:t>
      </w:r>
      <w:proofErr w:type="gramStart"/>
      <w:r>
        <w:t>was previously considered</w:t>
      </w:r>
      <w:proofErr w:type="gramEnd"/>
      <w:r>
        <w:t xml:space="preserve"> at the November 2018 meeting. </w:t>
      </w:r>
    </w:p>
    <w:p w14:paraId="785A4A03" w14:textId="77777777" w:rsidR="00D16CFD" w:rsidRDefault="00BC1364" w:rsidP="00D16CFD">
      <w:pPr>
        <w:pStyle w:val="Heading1"/>
      </w:pPr>
      <w:r w:rsidRPr="00F715D1">
        <w:t>Prerequisites to implementation of any funding advice</w:t>
      </w:r>
    </w:p>
    <w:p w14:paraId="3AD64555" w14:textId="77777777" w:rsidR="00D16CFD" w:rsidRPr="00EC05E8" w:rsidRDefault="00D16CFD" w:rsidP="00D16CFD">
      <w:r w:rsidRPr="00EC05E8">
        <w:t xml:space="preserve">The </w:t>
      </w:r>
      <w:r w:rsidR="0003684B" w:rsidRPr="00EC05E8">
        <w:t>application</w:t>
      </w:r>
      <w:r w:rsidRPr="00EC05E8">
        <w:t xml:space="preserve"> stated that</w:t>
      </w:r>
      <w:r w:rsidR="00D964D2" w:rsidRPr="00EC05E8">
        <w:t>,</w:t>
      </w:r>
      <w:r w:rsidRPr="00EC05E8">
        <w:t xml:space="preserve"> while initially limited to selected tertiary public hospitals, </w:t>
      </w:r>
      <w:r w:rsidR="00EC05E8" w:rsidRPr="00EC05E8">
        <w:rPr>
          <w:b/>
        </w:rPr>
        <w:t>redacted</w:t>
      </w:r>
      <w:r w:rsidRPr="00EC05E8">
        <w:t>.</w:t>
      </w:r>
    </w:p>
    <w:p w14:paraId="492EAB9D" w14:textId="77777777" w:rsidR="00BC1364" w:rsidRPr="00EC05E8" w:rsidRDefault="00BC1364" w:rsidP="00F715D1">
      <w:pPr>
        <w:pStyle w:val="Heading1"/>
      </w:pPr>
      <w:r w:rsidRPr="00EC05E8">
        <w:lastRenderedPageBreak/>
        <w:t>Proposal for public funding</w:t>
      </w:r>
    </w:p>
    <w:p w14:paraId="1E7A88CB" w14:textId="77777777" w:rsidR="009B2406" w:rsidRDefault="0003684B" w:rsidP="003D138F">
      <w:pPr>
        <w:spacing w:after="120"/>
      </w:pPr>
      <w:r>
        <w:t>The</w:t>
      </w:r>
      <w:r w:rsidR="00D16CFD">
        <w:t xml:space="preserve"> application req</w:t>
      </w:r>
      <w:r>
        <w:t>uested</w:t>
      </w:r>
      <w:r w:rsidR="00D16CFD">
        <w:t xml:space="preserve"> creation of a new national funding mechanism, suitable for providing equitable and affordable patient access to this highly specialised and individualised hybrid genetic therapeutic process.</w:t>
      </w:r>
      <w:r w:rsidR="009B2406">
        <w:t xml:space="preserve"> Funding of TIS </w:t>
      </w:r>
      <w:proofErr w:type="gramStart"/>
      <w:r w:rsidR="009B2406">
        <w:t>was requested</w:t>
      </w:r>
      <w:proofErr w:type="gramEnd"/>
      <w:r w:rsidR="009B2406">
        <w:t xml:space="preserve"> for the treatment of confirmed refractory or relapsed (r/r):</w:t>
      </w:r>
    </w:p>
    <w:p w14:paraId="5DDE96A8" w14:textId="77777777" w:rsidR="009B2406" w:rsidRDefault="009B2406" w:rsidP="00284A14">
      <w:pPr>
        <w:pStyle w:val="Bullet"/>
        <w:ind w:left="720"/>
      </w:pPr>
      <w:r>
        <w:t>B-cell acute lymphoblastic leukaemia (ALL) in paediatric and young adult patients (aged 3–25 years) (</w:t>
      </w:r>
      <w:proofErr w:type="spellStart"/>
      <w:r>
        <w:t>pALL</w:t>
      </w:r>
      <w:proofErr w:type="spellEnd"/>
      <w:r>
        <w:t>); and</w:t>
      </w:r>
    </w:p>
    <w:p w14:paraId="3F468CBD" w14:textId="77777777" w:rsidR="009B2406" w:rsidRDefault="009B2406" w:rsidP="00284A14">
      <w:pPr>
        <w:pStyle w:val="Bullet"/>
        <w:ind w:left="720"/>
      </w:pPr>
      <w:proofErr w:type="gramStart"/>
      <w:r>
        <w:t>diffuse</w:t>
      </w:r>
      <w:proofErr w:type="gramEnd"/>
      <w:r>
        <w:t xml:space="preserve"> large B-cell lymphoma (DLBCL) in adults.</w:t>
      </w:r>
    </w:p>
    <w:p w14:paraId="1092031C" w14:textId="77777777" w:rsidR="00BC1364" w:rsidRPr="00F715D1" w:rsidRDefault="00BC1364" w:rsidP="00F715D1">
      <w:pPr>
        <w:pStyle w:val="Heading1"/>
      </w:pPr>
      <w:r w:rsidRPr="00F715D1">
        <w:t xml:space="preserve">Summary of </w:t>
      </w:r>
      <w:r w:rsidR="009B2406" w:rsidRPr="00F715D1">
        <w:t>public consultation feedback/consumer issues</w:t>
      </w:r>
    </w:p>
    <w:p w14:paraId="4C8DF17C" w14:textId="77777777" w:rsidR="00DA54AF" w:rsidRDefault="00DA54AF" w:rsidP="000C0372">
      <w:pPr>
        <w:spacing w:after="240"/>
      </w:pPr>
      <w:r>
        <w:t xml:space="preserve">Three responses </w:t>
      </w:r>
      <w:proofErr w:type="gramStart"/>
      <w:r>
        <w:t>were received</w:t>
      </w:r>
      <w:proofErr w:type="gramEnd"/>
      <w:r>
        <w:t xml:space="preserve"> in the consultation feedback, one from a professional organisation and two from consumer organisations.</w:t>
      </w:r>
    </w:p>
    <w:p w14:paraId="7C75F13E" w14:textId="77777777" w:rsidR="00DD4A81" w:rsidRDefault="00DA54AF" w:rsidP="003235BD">
      <w:r>
        <w:t xml:space="preserve">The feedback was supportive of the application. One consumer organisation had </w:t>
      </w:r>
      <w:r w:rsidR="003235BD">
        <w:t>concerns about unknown long-term outcomes and medium-</w:t>
      </w:r>
      <w:r>
        <w:t>to-long-term adverse events and d</w:t>
      </w:r>
      <w:r w:rsidR="003235BD">
        <w:t>isagree</w:t>
      </w:r>
      <w:r>
        <w:t>d</w:t>
      </w:r>
      <w:r w:rsidR="003235BD">
        <w:t xml:space="preserve"> with limiting the </w:t>
      </w:r>
      <w:proofErr w:type="spellStart"/>
      <w:r w:rsidR="00AE16AC">
        <w:t>p</w:t>
      </w:r>
      <w:r w:rsidR="003235BD">
        <w:t>ALL</w:t>
      </w:r>
      <w:proofErr w:type="spellEnd"/>
      <w:r w:rsidR="003235BD">
        <w:t xml:space="preserve"> population to the clinical </w:t>
      </w:r>
      <w:r w:rsidR="006A6F9D">
        <w:t>study</w:t>
      </w:r>
      <w:r w:rsidR="003235BD">
        <w:t xml:space="preserve"> population (i.e. the upper age limit of 25), as there is little biological rationale behind the age limit</w:t>
      </w:r>
      <w:r w:rsidR="00DD4A81">
        <w:t>.</w:t>
      </w:r>
      <w:r w:rsidR="003235BD">
        <w:t xml:space="preserve"> </w:t>
      </w:r>
      <w:r>
        <w:t>One consumer organisation had</w:t>
      </w:r>
      <w:r w:rsidR="003235BD">
        <w:t xml:space="preserve"> concerns about the lack of psychological support and the ongoing administration of intravenous immunoglobulin for the treatment of adverse events</w:t>
      </w:r>
      <w:r>
        <w:t>.</w:t>
      </w:r>
    </w:p>
    <w:p w14:paraId="53B4D780" w14:textId="77777777" w:rsidR="009C2AEA" w:rsidRDefault="00BC1364" w:rsidP="009C2AEA">
      <w:pPr>
        <w:pStyle w:val="Heading1"/>
      </w:pPr>
      <w:r w:rsidRPr="00F715D1">
        <w:t>Proposed intervention’s place in clinical management</w:t>
      </w:r>
    </w:p>
    <w:p w14:paraId="5BBC2CA1" w14:textId="77777777" w:rsidR="00CF2123" w:rsidRDefault="003235BD" w:rsidP="009C2AEA">
      <w:r w:rsidRPr="003235BD">
        <w:t>The</w:t>
      </w:r>
      <w:r w:rsidR="00C405C0">
        <w:t xml:space="preserve"> </w:t>
      </w:r>
      <w:r w:rsidR="00DA54AF">
        <w:t>application</w:t>
      </w:r>
      <w:r w:rsidR="00C405C0">
        <w:t xml:space="preserve"> stated that the</w:t>
      </w:r>
      <w:r w:rsidRPr="003235BD">
        <w:t xml:space="preserve"> main change envisaged to clinical practice in both indications is substitution of TIS for currently available salvage chemotherapy regimens (including </w:t>
      </w:r>
      <w:r w:rsidR="009B2406">
        <w:t>blinatum</w:t>
      </w:r>
      <w:r w:rsidR="00284A14">
        <w:t>o</w:t>
      </w:r>
      <w:r w:rsidR="009B2406">
        <w:t>mab</w:t>
      </w:r>
      <w:r w:rsidRPr="003235BD">
        <w:t xml:space="preserve"> in </w:t>
      </w:r>
      <w:proofErr w:type="spellStart"/>
      <w:r w:rsidRPr="003235BD">
        <w:t>pALL</w:t>
      </w:r>
      <w:proofErr w:type="spellEnd"/>
      <w:r w:rsidRPr="003235BD">
        <w:t xml:space="preserve">) administered with the intent of obtaining a response and progressing to </w:t>
      </w:r>
      <w:r w:rsidR="009B2406">
        <w:t xml:space="preserve">allogeneic </w:t>
      </w:r>
      <w:r w:rsidR="00D16CFD">
        <w:t>stem cell therapy (</w:t>
      </w:r>
      <w:proofErr w:type="spellStart"/>
      <w:r w:rsidR="009B2406">
        <w:t>allo</w:t>
      </w:r>
      <w:proofErr w:type="spellEnd"/>
      <w:r w:rsidR="009B2406">
        <w:t>-</w:t>
      </w:r>
      <w:r w:rsidRPr="003235BD">
        <w:t>SCT</w:t>
      </w:r>
      <w:r w:rsidR="00D16CFD">
        <w:t>)</w:t>
      </w:r>
      <w:r w:rsidRPr="003235BD">
        <w:t xml:space="preserve">. Although not recommended in either indication, a proportion of patients who achieve a complete response to TIS may elect to undergo subsequent </w:t>
      </w:r>
      <w:proofErr w:type="spellStart"/>
      <w:r w:rsidR="009B2406">
        <w:t>allo</w:t>
      </w:r>
      <w:proofErr w:type="spellEnd"/>
      <w:r w:rsidR="009B2406">
        <w:t>-</w:t>
      </w:r>
      <w:r w:rsidRPr="003235BD">
        <w:t xml:space="preserve">SCT in an effort to consolidate this response. Options for patients who fail to respond or relapse following TIS infusion include </w:t>
      </w:r>
      <w:r w:rsidR="00C405C0">
        <w:t>best supportive care (</w:t>
      </w:r>
      <w:r w:rsidRPr="003235BD">
        <w:t>BSC</w:t>
      </w:r>
      <w:r w:rsidR="00C405C0">
        <w:t>)</w:t>
      </w:r>
      <w:r w:rsidRPr="003235BD">
        <w:t xml:space="preserve">, clinical </w:t>
      </w:r>
      <w:r w:rsidR="006A6F9D">
        <w:t>studie</w:t>
      </w:r>
      <w:r w:rsidRPr="003235BD">
        <w:t>s</w:t>
      </w:r>
      <w:r w:rsidR="00C405C0">
        <w:t xml:space="preserve">, further </w:t>
      </w:r>
      <w:proofErr w:type="spellStart"/>
      <w:r w:rsidR="00C405C0">
        <w:t>allo</w:t>
      </w:r>
      <w:proofErr w:type="spellEnd"/>
      <w:r w:rsidR="00C405C0">
        <w:t>-SCT</w:t>
      </w:r>
      <w:r w:rsidRPr="003235BD">
        <w:t xml:space="preserve"> or further attempts at salvage therapy using alternative approaches. For purposes of clarity, TIS </w:t>
      </w:r>
      <w:r w:rsidR="009B2406">
        <w:t>w</w:t>
      </w:r>
      <w:r w:rsidRPr="003235BD">
        <w:t xml:space="preserve">as developed as </w:t>
      </w:r>
      <w:r w:rsidR="009B2406">
        <w:t xml:space="preserve">a </w:t>
      </w:r>
      <w:r w:rsidRPr="003235BD">
        <w:t>single, one</w:t>
      </w:r>
      <w:r w:rsidR="009B2406">
        <w:t>-</w:t>
      </w:r>
      <w:r w:rsidRPr="003235BD">
        <w:t>time treatment</w:t>
      </w:r>
      <w:r w:rsidR="009B2406">
        <w:t>,</w:t>
      </w:r>
      <w:r w:rsidRPr="003235BD">
        <w:t xml:space="preserve"> and there is no evidence currently available informing the effectiveness or</w:t>
      </w:r>
      <w:r w:rsidR="009B2406">
        <w:t xml:space="preserve"> safety of multiple infusions.</w:t>
      </w:r>
    </w:p>
    <w:p w14:paraId="5D09023D" w14:textId="77777777" w:rsidR="00BC1364" w:rsidRPr="00F715D1" w:rsidRDefault="009B2406" w:rsidP="00F715D1">
      <w:pPr>
        <w:pStyle w:val="Heading1"/>
      </w:pPr>
      <w:r>
        <w:t>Comparator</w:t>
      </w:r>
    </w:p>
    <w:p w14:paraId="3DA7D1A0" w14:textId="77777777" w:rsidR="00D14366" w:rsidRDefault="00D14366" w:rsidP="00243199">
      <w:pPr>
        <w:spacing w:after="240"/>
        <w:rPr>
          <w:szCs w:val="24"/>
        </w:rPr>
      </w:pPr>
      <w:r>
        <w:rPr>
          <w:szCs w:val="24"/>
        </w:rPr>
        <w:t>F</w:t>
      </w:r>
      <w:r w:rsidRPr="005D4A98">
        <w:rPr>
          <w:szCs w:val="24"/>
        </w:rPr>
        <w:t xml:space="preserve">or the </w:t>
      </w:r>
      <w:r w:rsidR="009B2406">
        <w:t xml:space="preserve">r/r </w:t>
      </w:r>
      <w:proofErr w:type="spellStart"/>
      <w:r w:rsidRPr="005D4A98">
        <w:rPr>
          <w:szCs w:val="24"/>
        </w:rPr>
        <w:t>pALL</w:t>
      </w:r>
      <w:proofErr w:type="spellEnd"/>
      <w:r w:rsidRPr="005D4A98">
        <w:rPr>
          <w:szCs w:val="24"/>
        </w:rPr>
        <w:t xml:space="preserve"> population</w:t>
      </w:r>
      <w:r>
        <w:rPr>
          <w:szCs w:val="24"/>
        </w:rPr>
        <w:t xml:space="preserve">, the proposed comparator is </w:t>
      </w:r>
      <w:r w:rsidRPr="005D4A98">
        <w:rPr>
          <w:szCs w:val="24"/>
        </w:rPr>
        <w:t>salvage chemotherapy regime</w:t>
      </w:r>
      <w:r>
        <w:rPr>
          <w:szCs w:val="24"/>
        </w:rPr>
        <w:t>n (SCR), with the most</w:t>
      </w:r>
      <w:r w:rsidRPr="003F73D6">
        <w:rPr>
          <w:szCs w:val="24"/>
        </w:rPr>
        <w:t xml:space="preserve"> relevant specific SCR </w:t>
      </w:r>
      <w:r>
        <w:rPr>
          <w:szCs w:val="24"/>
        </w:rPr>
        <w:t>being</w:t>
      </w:r>
      <w:r w:rsidRPr="003F73D6">
        <w:rPr>
          <w:szCs w:val="24"/>
        </w:rPr>
        <w:t xml:space="preserve"> blinatumomab (BLN)</w:t>
      </w:r>
      <w:r>
        <w:rPr>
          <w:szCs w:val="24"/>
        </w:rPr>
        <w:t xml:space="preserve"> </w:t>
      </w:r>
      <w:r>
        <w:t xml:space="preserve">with the intention to proceed to </w:t>
      </w:r>
      <w:proofErr w:type="spellStart"/>
      <w:r>
        <w:t>allo</w:t>
      </w:r>
      <w:proofErr w:type="spellEnd"/>
      <w:r>
        <w:t xml:space="preserve">-SCT; the alternative comparator is conventional salvage chemotherapy with the intention to proceed to </w:t>
      </w:r>
      <w:proofErr w:type="spellStart"/>
      <w:r>
        <w:t>allo</w:t>
      </w:r>
      <w:proofErr w:type="spellEnd"/>
      <w:r>
        <w:t>-SCT.</w:t>
      </w:r>
    </w:p>
    <w:p w14:paraId="6A21BD71" w14:textId="77777777" w:rsidR="00D14366" w:rsidRDefault="00D14366" w:rsidP="00D14366">
      <w:pPr>
        <w:tabs>
          <w:tab w:val="left" w:pos="284"/>
        </w:tabs>
        <w:rPr>
          <w:szCs w:val="24"/>
        </w:rPr>
      </w:pPr>
      <w:r w:rsidRPr="003F73D6">
        <w:rPr>
          <w:szCs w:val="24"/>
        </w:rPr>
        <w:t xml:space="preserve">For the </w:t>
      </w:r>
      <w:r w:rsidR="009B2406">
        <w:t xml:space="preserve">r/r </w:t>
      </w:r>
      <w:r w:rsidRPr="003F73D6">
        <w:rPr>
          <w:szCs w:val="24"/>
        </w:rPr>
        <w:t xml:space="preserve">DLBCL population, </w:t>
      </w:r>
      <w:r>
        <w:rPr>
          <w:szCs w:val="24"/>
        </w:rPr>
        <w:t xml:space="preserve">the proposed comparator </w:t>
      </w:r>
      <w:r w:rsidRPr="003F73D6">
        <w:rPr>
          <w:szCs w:val="24"/>
        </w:rPr>
        <w:t>is SCR</w:t>
      </w:r>
      <w:r>
        <w:rPr>
          <w:szCs w:val="24"/>
        </w:rPr>
        <w:t xml:space="preserve">. </w:t>
      </w:r>
      <w:r w:rsidRPr="003F73D6">
        <w:rPr>
          <w:szCs w:val="24"/>
        </w:rPr>
        <w:t xml:space="preserve">Salvage </w:t>
      </w:r>
      <w:r w:rsidR="00285434">
        <w:rPr>
          <w:szCs w:val="24"/>
        </w:rPr>
        <w:t xml:space="preserve">chemotherapy </w:t>
      </w:r>
      <w:proofErr w:type="gramStart"/>
      <w:r w:rsidRPr="003F73D6">
        <w:rPr>
          <w:szCs w:val="24"/>
        </w:rPr>
        <w:t>regimens which are frequently used in DLBCL</w:t>
      </w:r>
      <w:proofErr w:type="gramEnd"/>
      <w:r w:rsidRPr="003F73D6">
        <w:rPr>
          <w:szCs w:val="24"/>
        </w:rPr>
        <w:t xml:space="preserve"> include various combination regimens, including but not limited to (R)-DHAP, (R)-Gem-Ox, (R)-IVE, and (R)-ESHA</w:t>
      </w:r>
      <w:r>
        <w:rPr>
          <w:szCs w:val="24"/>
        </w:rPr>
        <w:t xml:space="preserve">. </w:t>
      </w:r>
      <w:r w:rsidRPr="003F73D6">
        <w:rPr>
          <w:szCs w:val="24"/>
        </w:rPr>
        <w:t xml:space="preserve">R-DHAP </w:t>
      </w:r>
      <w:proofErr w:type="gramStart"/>
      <w:r>
        <w:rPr>
          <w:szCs w:val="24"/>
        </w:rPr>
        <w:t>was nominated</w:t>
      </w:r>
      <w:proofErr w:type="gramEnd"/>
      <w:r>
        <w:rPr>
          <w:szCs w:val="24"/>
        </w:rPr>
        <w:t xml:space="preserve"> </w:t>
      </w:r>
      <w:r w:rsidRPr="003F73D6">
        <w:rPr>
          <w:szCs w:val="24"/>
        </w:rPr>
        <w:t>as a reasonable proxy for all current regimens for costing purposes.</w:t>
      </w:r>
    </w:p>
    <w:p w14:paraId="2B6D7B7B" w14:textId="77777777" w:rsidR="00BC1364" w:rsidRPr="00F715D1" w:rsidRDefault="00BC1364" w:rsidP="00F715D1">
      <w:pPr>
        <w:pStyle w:val="Heading1"/>
      </w:pPr>
      <w:r w:rsidRPr="00F715D1">
        <w:t>Comparative safety</w:t>
      </w:r>
    </w:p>
    <w:p w14:paraId="2226F8F3" w14:textId="77777777" w:rsidR="00F418EE" w:rsidRDefault="00813171" w:rsidP="000C0372">
      <w:pPr>
        <w:spacing w:after="240"/>
      </w:pPr>
      <w:r>
        <w:t xml:space="preserve">Two parallel clinical evaluations </w:t>
      </w:r>
      <w:proofErr w:type="gramStart"/>
      <w:r>
        <w:t>were presented</w:t>
      </w:r>
      <w:proofErr w:type="gramEnd"/>
      <w:r>
        <w:t xml:space="preserve"> which consider</w:t>
      </w:r>
      <w:r w:rsidR="00DA54AF">
        <w:t>ed</w:t>
      </w:r>
      <w:r>
        <w:t xml:space="preserve"> the comparative effectiveness and safety of TIS and the nominated main comparator BLN/SCR in the respective </w:t>
      </w:r>
      <w:proofErr w:type="spellStart"/>
      <w:r>
        <w:t>pALL</w:t>
      </w:r>
      <w:proofErr w:type="spellEnd"/>
      <w:r>
        <w:t xml:space="preserve"> and</w:t>
      </w:r>
      <w:r w:rsidR="00F418EE">
        <w:t xml:space="preserve"> DLBCL patient populations.</w:t>
      </w:r>
      <w:r w:rsidR="00284A14">
        <w:t xml:space="preserve"> Updates of some of the TIS </w:t>
      </w:r>
      <w:r w:rsidR="006A6F9D">
        <w:t>studie</w:t>
      </w:r>
      <w:r w:rsidR="00400293">
        <w:t>s</w:t>
      </w:r>
      <w:r w:rsidR="00284A14">
        <w:t xml:space="preserve"> </w:t>
      </w:r>
      <w:proofErr w:type="gramStart"/>
      <w:r w:rsidR="00284A14">
        <w:t xml:space="preserve">were </w:t>
      </w:r>
      <w:r w:rsidR="00284A14">
        <w:lastRenderedPageBreak/>
        <w:t>provided</w:t>
      </w:r>
      <w:proofErr w:type="gramEnd"/>
      <w:r w:rsidR="00284A14">
        <w:t xml:space="preserve"> </w:t>
      </w:r>
      <w:r w:rsidR="00D813FC">
        <w:t>with</w:t>
      </w:r>
      <w:r w:rsidR="00284A14">
        <w:t xml:space="preserve"> the pre-ESC response</w:t>
      </w:r>
      <w:r w:rsidR="009201A8">
        <w:t xml:space="preserve"> in the form of </w:t>
      </w:r>
      <w:r w:rsidR="00C61B28">
        <w:t>Kaplan-Meier plots</w:t>
      </w:r>
      <w:r w:rsidR="00284A14">
        <w:t>; these updates are not reported here.</w:t>
      </w:r>
    </w:p>
    <w:p w14:paraId="4C293EE5" w14:textId="77777777" w:rsidR="00F418EE" w:rsidRDefault="00DA54AF" w:rsidP="000C0372">
      <w:pPr>
        <w:spacing w:after="240"/>
      </w:pPr>
      <w:r>
        <w:t xml:space="preserve">The </w:t>
      </w:r>
      <w:proofErr w:type="spellStart"/>
      <w:r>
        <w:t>pALL</w:t>
      </w:r>
      <w:proofErr w:type="spellEnd"/>
      <w:r>
        <w:t xml:space="preserve"> evaluation presented</w:t>
      </w:r>
      <w:r w:rsidR="00813171">
        <w:t xml:space="preserve"> details of the design and results from three single</w:t>
      </w:r>
      <w:r w:rsidR="00284A14">
        <w:t>-</w:t>
      </w:r>
      <w:r w:rsidR="00813171">
        <w:t xml:space="preserve">arm TIS </w:t>
      </w:r>
      <w:r w:rsidR="006A6F9D">
        <w:t>studie</w:t>
      </w:r>
      <w:r w:rsidR="00813171">
        <w:t>s (B2101, B</w:t>
      </w:r>
      <w:r w:rsidR="009B2406">
        <w:t xml:space="preserve">2202/ELIANA and B2205/ENSIGN). </w:t>
      </w:r>
      <w:r w:rsidR="00813171">
        <w:t>An individual patient pooled analysis of results from the most recent data cut of the ELIANA and ENSIG</w:t>
      </w:r>
      <w:r w:rsidR="00F418EE">
        <w:t xml:space="preserve">N studies </w:t>
      </w:r>
      <w:r w:rsidR="000C7498">
        <w:t xml:space="preserve">available at the time the application was finalised </w:t>
      </w:r>
      <w:r w:rsidR="00F418EE">
        <w:t>w</w:t>
      </w:r>
      <w:r w:rsidR="000C7498">
        <w:t>as</w:t>
      </w:r>
      <w:r w:rsidR="00F418EE">
        <w:t xml:space="preserve"> also presented.</w:t>
      </w:r>
    </w:p>
    <w:p w14:paraId="655EAF01" w14:textId="77777777" w:rsidR="00813171" w:rsidRDefault="00813171" w:rsidP="000C0372">
      <w:pPr>
        <w:spacing w:after="240"/>
      </w:pPr>
      <w:r>
        <w:t>For the main com</w:t>
      </w:r>
      <w:r w:rsidR="00DA54AF">
        <w:t>parator, the evaluation presented</w:t>
      </w:r>
      <w:r>
        <w:t xml:space="preserve"> details of the design and results of one small single arm </w:t>
      </w:r>
      <w:r w:rsidR="006A6F9D">
        <w:t>study</w:t>
      </w:r>
      <w:r>
        <w:t xml:space="preserve"> of BLN in a relevant </w:t>
      </w:r>
      <w:proofErr w:type="spellStart"/>
      <w:r w:rsidR="00AE16AC">
        <w:t>p</w:t>
      </w:r>
      <w:r>
        <w:t>ALL</w:t>
      </w:r>
      <w:proofErr w:type="spellEnd"/>
      <w:r>
        <w:t xml:space="preserve"> population, identified via a systematic literature search (NCT01471782/(Von </w:t>
      </w:r>
      <w:proofErr w:type="spellStart"/>
      <w:r>
        <w:t>Stackelberg</w:t>
      </w:r>
      <w:proofErr w:type="spellEnd"/>
      <w:r>
        <w:t>, Locatelli et al. 2016)).</w:t>
      </w:r>
    </w:p>
    <w:p w14:paraId="7C6CB511" w14:textId="77777777" w:rsidR="00F418EE" w:rsidRDefault="00813171" w:rsidP="000C0372">
      <w:pPr>
        <w:spacing w:after="240"/>
      </w:pPr>
      <w:r>
        <w:t xml:space="preserve">These four </w:t>
      </w:r>
      <w:r w:rsidR="006A6F9D">
        <w:t>studie</w:t>
      </w:r>
      <w:r>
        <w:t xml:space="preserve">s enrolled overlapping r/r </w:t>
      </w:r>
      <w:proofErr w:type="spellStart"/>
      <w:r>
        <w:t>pALL</w:t>
      </w:r>
      <w:proofErr w:type="spellEnd"/>
      <w:r>
        <w:t xml:space="preserve"> patient populations, employed generally similar study designs and assessed comparable outcomes. The studies were all of </w:t>
      </w:r>
      <w:r w:rsidR="00284A14">
        <w:t xml:space="preserve">similar </w:t>
      </w:r>
      <w:r>
        <w:t xml:space="preserve">quality, but </w:t>
      </w:r>
      <w:r w:rsidR="00284A14">
        <w:t xml:space="preserve">the comparison across the single-arm </w:t>
      </w:r>
      <w:r w:rsidR="006A6F9D">
        <w:t>studie</w:t>
      </w:r>
      <w:r w:rsidR="00400293">
        <w:t>s</w:t>
      </w:r>
      <w:r w:rsidR="00284A14">
        <w:t xml:space="preserve"> </w:t>
      </w:r>
      <w:r>
        <w:t>remain</w:t>
      </w:r>
      <w:r w:rsidR="00284A14">
        <w:t>s</w:t>
      </w:r>
      <w:r>
        <w:t xml:space="preserve"> subject to </w:t>
      </w:r>
      <w:r w:rsidR="00284A14">
        <w:t xml:space="preserve">a high </w:t>
      </w:r>
      <w:r>
        <w:t>risk of bias.</w:t>
      </w:r>
    </w:p>
    <w:p w14:paraId="716B491B" w14:textId="77777777" w:rsidR="00400293" w:rsidRDefault="00813171" w:rsidP="000C0372">
      <w:pPr>
        <w:spacing w:after="240"/>
      </w:pPr>
      <w:proofErr w:type="gramStart"/>
      <w:r>
        <w:t>No formal indirect</w:t>
      </w:r>
      <w:proofErr w:type="gramEnd"/>
      <w:r>
        <w:t xml:space="preserve"> comparison was presented due to the absence of a common </w:t>
      </w:r>
      <w:r w:rsidR="00284A14">
        <w:t xml:space="preserve">reference </w:t>
      </w:r>
      <w:r>
        <w:t xml:space="preserve">group across the </w:t>
      </w:r>
      <w:r w:rsidR="006A6F9D">
        <w:t>studie</w:t>
      </w:r>
      <w:r w:rsidR="00400293">
        <w:t>s</w:t>
      </w:r>
      <w:r>
        <w:t xml:space="preserve">, however a matched adjusted indirect comparison (MAIC) analysis </w:t>
      </w:r>
      <w:r w:rsidR="00284A14">
        <w:t>wa</w:t>
      </w:r>
      <w:r>
        <w:t xml:space="preserve">s provided as an attachment to the </w:t>
      </w:r>
      <w:r w:rsidR="00692F9D">
        <w:t>application</w:t>
      </w:r>
      <w:r>
        <w:t>.</w:t>
      </w:r>
    </w:p>
    <w:p w14:paraId="3BE07B6F" w14:textId="77777777" w:rsidR="00813171" w:rsidRDefault="00400293" w:rsidP="000C0372">
      <w:pPr>
        <w:spacing w:after="240"/>
      </w:pPr>
      <w:r>
        <w:t xml:space="preserve">A similar approach was taken for the DLBCL evaluation, reporting two </w:t>
      </w:r>
      <w:r w:rsidR="000C7498">
        <w:t xml:space="preserve">single-arm </w:t>
      </w:r>
      <w:r>
        <w:t xml:space="preserve">TIS </w:t>
      </w:r>
      <w:r w:rsidR="006A6F9D">
        <w:t>studie</w:t>
      </w:r>
      <w:r>
        <w:t xml:space="preserve">s </w:t>
      </w:r>
      <w:r w:rsidR="00D813FC">
        <w:t xml:space="preserve">(UPEN and JULIET) </w:t>
      </w:r>
      <w:r>
        <w:t xml:space="preserve">and </w:t>
      </w:r>
      <w:r w:rsidR="00D813FC">
        <w:t xml:space="preserve">three </w:t>
      </w:r>
      <w:r w:rsidR="000C7498">
        <w:t xml:space="preserve">single-arm </w:t>
      </w:r>
      <w:r>
        <w:t xml:space="preserve">SCR </w:t>
      </w:r>
      <w:r w:rsidR="006A6F9D">
        <w:t>studie</w:t>
      </w:r>
      <w:r>
        <w:t>s</w:t>
      </w:r>
      <w:r w:rsidR="00D813FC">
        <w:t xml:space="preserve">, one of which reported </w:t>
      </w:r>
      <w:r w:rsidR="008F14A7">
        <w:t xml:space="preserve">two </w:t>
      </w:r>
      <w:r w:rsidR="00D813FC">
        <w:t>additional phases of follow-up</w:t>
      </w:r>
      <w:r>
        <w:t>.</w:t>
      </w:r>
    </w:p>
    <w:p w14:paraId="2DEC1715" w14:textId="6B6E689C" w:rsidR="00CF2123" w:rsidRDefault="00813171">
      <w:r>
        <w:t xml:space="preserve">The </w:t>
      </w:r>
      <w:r w:rsidR="00F1625B">
        <w:t>application</w:t>
      </w:r>
      <w:r>
        <w:t xml:space="preserve"> stated </w:t>
      </w:r>
      <w:r w:rsidR="00284A14">
        <w:t xml:space="preserve">that </w:t>
      </w:r>
      <w:r>
        <w:t>a</w:t>
      </w:r>
      <w:r w:rsidRPr="00813171">
        <w:t xml:space="preserve">ll patients in the combined ELIANA/ENSIGN safety analysis </w:t>
      </w:r>
      <w:r w:rsidRPr="0056713C">
        <w:t xml:space="preserve">experienced at least one adverse event (AE) (see </w:t>
      </w:r>
      <w:r w:rsidR="0056713C">
        <w:fldChar w:fldCharType="begin"/>
      </w:r>
      <w:r w:rsidR="0056713C">
        <w:instrText xml:space="preserve"> REF _Ref6471638 \h </w:instrText>
      </w:r>
      <w:r w:rsidR="0056713C">
        <w:fldChar w:fldCharType="separate"/>
      </w:r>
      <w:r w:rsidR="001E1B42">
        <w:t xml:space="preserve">Table </w:t>
      </w:r>
      <w:r w:rsidR="001E1B42">
        <w:rPr>
          <w:noProof/>
        </w:rPr>
        <w:t>4</w:t>
      </w:r>
      <w:r w:rsidR="0056713C">
        <w:fldChar w:fldCharType="end"/>
      </w:r>
      <w:r w:rsidRPr="0056713C">
        <w:t>). The most frequently reported post-</w:t>
      </w:r>
      <w:r w:rsidRPr="00EC05E8">
        <w:t>infusion serious adverse events (SAEs) were CRS (64.4%), febrile neutropenia (24.0%), and hypotension (11.5%).</w:t>
      </w:r>
      <w:r w:rsidR="009B2406" w:rsidRPr="00EC05E8">
        <w:t xml:space="preserve"> </w:t>
      </w:r>
      <w:r w:rsidRPr="00EC05E8">
        <w:t xml:space="preserve">The majority of SAEs </w:t>
      </w:r>
      <w:proofErr w:type="gramStart"/>
      <w:r w:rsidRPr="00EC05E8">
        <w:t>were reported</w:t>
      </w:r>
      <w:proofErr w:type="gramEnd"/>
      <w:r w:rsidRPr="00EC05E8">
        <w:t xml:space="preserve"> within the initial 8 weeks post-</w:t>
      </w:r>
      <w:r w:rsidRPr="00813171">
        <w:t>infusion.</w:t>
      </w:r>
      <w:r w:rsidR="00495CDC">
        <w:t xml:space="preserve"> Similar results </w:t>
      </w:r>
      <w:proofErr w:type="gramStart"/>
      <w:r w:rsidR="00495CDC">
        <w:t>were reported</w:t>
      </w:r>
      <w:proofErr w:type="gramEnd"/>
      <w:r w:rsidR="00495CDC">
        <w:t xml:space="preserve"> for the DLBCL </w:t>
      </w:r>
      <w:r w:rsidR="006A6F9D">
        <w:t>studie</w:t>
      </w:r>
      <w:r w:rsidR="00AC69E6">
        <w:t xml:space="preserve">s (see </w:t>
      </w:r>
      <w:r w:rsidR="003F6D9D">
        <w:fldChar w:fldCharType="begin"/>
      </w:r>
      <w:r w:rsidR="003F6D9D">
        <w:instrText xml:space="preserve"> REF _Ref5265437 \h </w:instrText>
      </w:r>
      <w:r w:rsidR="003F6D9D">
        <w:fldChar w:fldCharType="separate"/>
      </w:r>
      <w:r w:rsidR="001E1B42">
        <w:t xml:space="preserve">Table </w:t>
      </w:r>
      <w:r w:rsidR="001E1B42">
        <w:rPr>
          <w:noProof/>
        </w:rPr>
        <w:t>5</w:t>
      </w:r>
      <w:r w:rsidR="003F6D9D">
        <w:fldChar w:fldCharType="end"/>
      </w:r>
      <w:r w:rsidR="00495CDC">
        <w:t>).</w:t>
      </w:r>
    </w:p>
    <w:p w14:paraId="553E5E97" w14:textId="77777777" w:rsidR="00BC1364" w:rsidRPr="00F715D1" w:rsidRDefault="00BC1364" w:rsidP="00F715D1">
      <w:pPr>
        <w:pStyle w:val="Heading1"/>
      </w:pPr>
      <w:r w:rsidRPr="00F715D1">
        <w:t>Comparative effectiveness</w:t>
      </w:r>
    </w:p>
    <w:p w14:paraId="54BF9827" w14:textId="77777777" w:rsidR="003275B4" w:rsidRDefault="00F9399E" w:rsidP="00DA54AF">
      <w:pPr>
        <w:spacing w:after="120"/>
        <w:rPr>
          <w:i/>
        </w:rPr>
      </w:pPr>
      <w:r w:rsidRPr="00F9399E">
        <w:rPr>
          <w:u w:val="single"/>
        </w:rPr>
        <w:t>Note</w:t>
      </w:r>
      <w:r>
        <w:t>: results reported in this section are on an intention-to-treat (ITT) basis for the comparator interventions, but for TIS, are limited to those infused only.</w:t>
      </w:r>
    </w:p>
    <w:p w14:paraId="553CED14" w14:textId="77777777" w:rsidR="00BC1364" w:rsidRPr="00D0131A" w:rsidRDefault="00813171" w:rsidP="00DA54AF">
      <w:pPr>
        <w:spacing w:after="120"/>
        <w:rPr>
          <w:b/>
        </w:rPr>
      </w:pPr>
      <w:proofErr w:type="spellStart"/>
      <w:proofErr w:type="gramStart"/>
      <w:r w:rsidRPr="00D0131A">
        <w:rPr>
          <w:b/>
          <w:i/>
        </w:rPr>
        <w:t>pALL</w:t>
      </w:r>
      <w:proofErr w:type="spellEnd"/>
      <w:proofErr w:type="gramEnd"/>
      <w:r w:rsidRPr="00D0131A">
        <w:rPr>
          <w:b/>
          <w:i/>
        </w:rPr>
        <w:t xml:space="preserve"> population</w:t>
      </w:r>
    </w:p>
    <w:p w14:paraId="1D5FFB19" w14:textId="1FEAA3A2" w:rsidR="00193153" w:rsidRPr="00EC05E8" w:rsidRDefault="00813171" w:rsidP="0029411C">
      <w:r>
        <w:t xml:space="preserve">The </w:t>
      </w:r>
      <w:r w:rsidR="00DA54AF">
        <w:t>application</w:t>
      </w:r>
      <w:r>
        <w:t xml:space="preserve"> stated a</w:t>
      </w:r>
      <w:r w:rsidRPr="00813171">
        <w:t xml:space="preserve">ll three TIS </w:t>
      </w:r>
      <w:r w:rsidR="006A6F9D">
        <w:t>studie</w:t>
      </w:r>
      <w:r w:rsidRPr="00813171">
        <w:t xml:space="preserve">s in </w:t>
      </w:r>
      <w:proofErr w:type="spellStart"/>
      <w:r w:rsidRPr="00813171">
        <w:t>pALL</w:t>
      </w:r>
      <w:proofErr w:type="spellEnd"/>
      <w:r w:rsidRPr="00813171">
        <w:t xml:space="preserve"> met their primary endpoint</w:t>
      </w:r>
      <w:r w:rsidR="005C2606">
        <w:t xml:space="preserve"> (B2101: safety, feasibility of administering and persistence of TIS; ELIANA: independent review committee (IRC) assessed overall remission rate (ORR) during 3 months infusion of TIS from all manufacturing sites; and ENSIGN:</w:t>
      </w:r>
      <w:r w:rsidR="0071693F">
        <w:t xml:space="preserve"> IRC assessed ORR during 6 months after infusion). </w:t>
      </w:r>
      <w:proofErr w:type="gramStart"/>
      <w:r w:rsidR="0071693F">
        <w:t>Specifically, i</w:t>
      </w:r>
      <w:r w:rsidRPr="00813171">
        <w:t>n ELIANA</w:t>
      </w:r>
      <w:r w:rsidR="00692F9D">
        <w:t>,</w:t>
      </w:r>
      <w:r w:rsidRPr="00813171">
        <w:t xml:space="preserve"> the ORR</w:t>
      </w:r>
      <w:r w:rsidR="000C7498">
        <w:t xml:space="preserve"> at 3 months</w:t>
      </w:r>
      <w:r w:rsidRPr="00813171">
        <w:t xml:space="preserve"> was </w:t>
      </w:r>
      <w:r w:rsidRPr="00A52B70">
        <w:t>82.0% (95%</w:t>
      </w:r>
      <w:r w:rsidRPr="00813171">
        <w:t xml:space="preserve"> </w:t>
      </w:r>
      <w:r w:rsidR="00193153">
        <w:t xml:space="preserve">confidence </w:t>
      </w:r>
      <w:r w:rsidR="00193153" w:rsidRPr="00EC05E8">
        <w:t>interval (</w:t>
      </w:r>
      <w:r w:rsidRPr="00EC05E8">
        <w:t>CI</w:t>
      </w:r>
      <w:r w:rsidR="00193153" w:rsidRPr="00EC05E8">
        <w:t>)</w:t>
      </w:r>
      <w:r w:rsidRPr="00EC05E8">
        <w:t xml:space="preserve">: 68.6, 91.4); in ENSIGN, the ORR </w:t>
      </w:r>
      <w:r w:rsidR="000C7498" w:rsidRPr="00EC05E8">
        <w:t xml:space="preserve">at 6 months </w:t>
      </w:r>
      <w:r w:rsidRPr="00EC05E8">
        <w:t>was 69.0% (95% CI: 43.6, 88.1); and in B2101</w:t>
      </w:r>
      <w:r w:rsidR="00692F9D" w:rsidRPr="00EC05E8">
        <w:t>,</w:t>
      </w:r>
      <w:r w:rsidRPr="00EC05E8">
        <w:t xml:space="preserve"> the ORR was </w:t>
      </w:r>
      <w:r w:rsidR="00193153" w:rsidRPr="00EC05E8">
        <w:t>94.6% (</w:t>
      </w:r>
      <w:r w:rsidR="00692F9D" w:rsidRPr="00EC05E8">
        <w:t xml:space="preserve">95% CI: </w:t>
      </w:r>
      <w:r w:rsidR="00193153" w:rsidRPr="00EC05E8">
        <w:t>85.1, 98.9) (</w:t>
      </w:r>
      <w:r w:rsidR="000C7498" w:rsidRPr="00EC05E8">
        <w:t xml:space="preserve">see also </w:t>
      </w:r>
      <w:r w:rsidR="0029411C">
        <w:fldChar w:fldCharType="begin"/>
      </w:r>
      <w:r w:rsidR="0029411C">
        <w:instrText xml:space="preserve"> REF _Ref6471638 \h </w:instrText>
      </w:r>
      <w:r w:rsidR="0029411C">
        <w:fldChar w:fldCharType="separate"/>
      </w:r>
      <w:r w:rsidR="001E1B42">
        <w:t xml:space="preserve">Table </w:t>
      </w:r>
      <w:r w:rsidR="001E1B42">
        <w:rPr>
          <w:noProof/>
        </w:rPr>
        <w:t>4</w:t>
      </w:r>
      <w:r w:rsidR="0029411C">
        <w:fldChar w:fldCharType="end"/>
      </w:r>
      <w:r w:rsidR="000C7498" w:rsidRPr="0029411C">
        <w:t>, which reports results of the most recent data cut</w:t>
      </w:r>
      <w:r w:rsidR="006A6F9D" w:rsidRPr="0029411C">
        <w:t xml:space="preserve"> available at the time the application</w:t>
      </w:r>
      <w:r w:rsidR="006A6F9D" w:rsidRPr="00EC05E8">
        <w:t xml:space="preserve"> was finalised</w:t>
      </w:r>
      <w:r w:rsidR="00193153" w:rsidRPr="00EC05E8">
        <w:t>).</w:t>
      </w:r>
      <w:proofErr w:type="gramEnd"/>
    </w:p>
    <w:p w14:paraId="569A690A" w14:textId="6936BE6E" w:rsidR="009C1DCD" w:rsidRPr="009C1DCD" w:rsidRDefault="00193153" w:rsidP="009C1DCD">
      <w:pPr>
        <w:spacing w:after="240"/>
      </w:pPr>
      <w:r w:rsidRPr="00EC05E8">
        <w:t>In the Dec</w:t>
      </w:r>
      <w:r w:rsidR="00692F9D" w:rsidRPr="00EC05E8">
        <w:t>ember</w:t>
      </w:r>
      <w:r w:rsidRPr="00EC05E8">
        <w:t xml:space="preserve"> </w:t>
      </w:r>
      <w:proofErr w:type="gramStart"/>
      <w:r w:rsidRPr="00EC05E8">
        <w:t>2017</w:t>
      </w:r>
      <w:proofErr w:type="gramEnd"/>
      <w:r w:rsidR="00692F9D" w:rsidRPr="00EC05E8">
        <w:t xml:space="preserve"> data cut</w:t>
      </w:r>
      <w:r w:rsidRPr="00EC05E8">
        <w:t xml:space="preserve"> of the ELIANA </w:t>
      </w:r>
      <w:r w:rsidR="006A6F9D" w:rsidRPr="00EC05E8">
        <w:t>study</w:t>
      </w:r>
      <w:r w:rsidRPr="00EC05E8">
        <w:t>, in which median follow up was 10.5</w:t>
      </w:r>
      <w:r w:rsidR="00DA54AF" w:rsidRPr="00EC05E8">
        <w:t> </w:t>
      </w:r>
      <w:r w:rsidRPr="00EC05E8">
        <w:t xml:space="preserve">months, the ORR remained at 81.8%, and median EFS and OS had not yet been reached. In </w:t>
      </w:r>
      <w:r w:rsidR="006A6F9D" w:rsidRPr="00EC05E8">
        <w:t>the</w:t>
      </w:r>
      <w:r w:rsidRPr="00EC05E8">
        <w:t xml:space="preserve"> pooled analysis of results from the ELIANA/ENSIGN </w:t>
      </w:r>
      <w:r w:rsidR="006A6F9D" w:rsidRPr="00EC05E8">
        <w:t>studie</w:t>
      </w:r>
      <w:r w:rsidRPr="00EC05E8">
        <w:t>s</w:t>
      </w:r>
      <w:r w:rsidR="00400293" w:rsidRPr="00EC05E8">
        <w:t>,</w:t>
      </w:r>
      <w:r w:rsidRPr="00EC05E8">
        <w:t xml:space="preserve"> the ORR was 76.4% (95% CI: 68.0</w:t>
      </w:r>
      <w:r w:rsidR="00400293" w:rsidRPr="00EC05E8">
        <w:t>,</w:t>
      </w:r>
      <w:r w:rsidRPr="00EC05E8">
        <w:t xml:space="preserve"> 83.5). Median EFS </w:t>
      </w:r>
      <w:proofErr w:type="gramStart"/>
      <w:r w:rsidRPr="00EC05E8">
        <w:t>was estimated</w:t>
      </w:r>
      <w:proofErr w:type="gramEnd"/>
      <w:r w:rsidRPr="00EC05E8">
        <w:t xml:space="preserve"> at 13.0 months (95% CI: </w:t>
      </w:r>
      <w:r w:rsidR="00EC05E8" w:rsidRPr="00EC05E8">
        <w:rPr>
          <w:b/>
        </w:rPr>
        <w:t>redacted</w:t>
      </w:r>
      <w:r w:rsidR="00EC05E8" w:rsidRPr="00EC05E8">
        <w:t xml:space="preserve"> </w:t>
      </w:r>
      <w:r w:rsidRPr="00EC05E8">
        <w:t>and the proportion of patients surviving at 12 months was estimated to be 71.0% (</w:t>
      </w:r>
      <w:r w:rsidR="00EC05E8" w:rsidRPr="00EC05E8">
        <w:rPr>
          <w:b/>
        </w:rPr>
        <w:t>redacted</w:t>
      </w:r>
      <w:r w:rsidRPr="00EC05E8">
        <w:t>).</w:t>
      </w:r>
      <w:bookmarkStart w:id="4" w:name="_Ref531332988"/>
      <w:r w:rsidR="009C1DCD">
        <w:br w:type="page"/>
      </w:r>
    </w:p>
    <w:p w14:paraId="160E35F5" w14:textId="3FC35038" w:rsidR="00813171" w:rsidRDefault="00245C11" w:rsidP="00245C11">
      <w:pPr>
        <w:pStyle w:val="Caption"/>
      </w:pPr>
      <w:bookmarkStart w:id="5" w:name="_Ref6471638"/>
      <w:r>
        <w:lastRenderedPageBreak/>
        <w:t xml:space="preserve">Table </w:t>
      </w:r>
      <w:r w:rsidR="0083734C">
        <w:rPr>
          <w:noProof/>
        </w:rPr>
        <w:fldChar w:fldCharType="begin"/>
      </w:r>
      <w:r w:rsidR="0083734C">
        <w:rPr>
          <w:noProof/>
        </w:rPr>
        <w:instrText xml:space="preserve"> SEQ Table \* ARABIC </w:instrText>
      </w:r>
      <w:r w:rsidR="0083734C">
        <w:rPr>
          <w:noProof/>
        </w:rPr>
        <w:fldChar w:fldCharType="separate"/>
      </w:r>
      <w:r w:rsidR="001E1B42">
        <w:rPr>
          <w:noProof/>
        </w:rPr>
        <w:t>4</w:t>
      </w:r>
      <w:r w:rsidR="0083734C">
        <w:rPr>
          <w:noProof/>
        </w:rPr>
        <w:fldChar w:fldCharType="end"/>
      </w:r>
      <w:bookmarkEnd w:id="4"/>
      <w:bookmarkEnd w:id="5"/>
      <w:r>
        <w:tab/>
      </w:r>
      <w:r w:rsidR="00813171" w:rsidRPr="00881942">
        <w:t xml:space="preserve">Summary results from the </w:t>
      </w:r>
      <w:proofErr w:type="spellStart"/>
      <w:r w:rsidR="00813171" w:rsidRPr="00881942">
        <w:t>pALL</w:t>
      </w:r>
      <w:proofErr w:type="spellEnd"/>
      <w:r w:rsidR="00813171" w:rsidRPr="00881942">
        <w:t xml:space="preserve"> </w:t>
      </w:r>
      <w:r w:rsidR="006A6F9D">
        <w:t>studie</w:t>
      </w:r>
      <w:r w:rsidR="00813171" w:rsidRPr="00881942">
        <w:t>s</w:t>
      </w:r>
      <w:r w:rsidR="00F245BC">
        <w:t>*</w:t>
      </w:r>
    </w:p>
    <w:tbl>
      <w:tblPr>
        <w:tblStyle w:val="TableGrid1"/>
        <w:tblW w:w="5000" w:type="pct"/>
        <w:tblCellMar>
          <w:left w:w="28" w:type="dxa"/>
          <w:right w:w="28" w:type="dxa"/>
        </w:tblCellMar>
        <w:tblLook w:val="04A0" w:firstRow="1" w:lastRow="0" w:firstColumn="1" w:lastColumn="0" w:noHBand="0" w:noVBand="1"/>
        <w:tblCaption w:val="Summary results from the pALL trials"/>
      </w:tblPr>
      <w:tblGrid>
        <w:gridCol w:w="2562"/>
        <w:gridCol w:w="1688"/>
        <w:gridCol w:w="1690"/>
        <w:gridCol w:w="1688"/>
        <w:gridCol w:w="1388"/>
      </w:tblGrid>
      <w:tr w:rsidR="00D813FC" w:rsidRPr="00813171" w14:paraId="37978725" w14:textId="77777777" w:rsidTr="00D813FC">
        <w:trPr>
          <w:tblHeader/>
        </w:trPr>
        <w:tc>
          <w:tcPr>
            <w:tcW w:w="1420" w:type="pct"/>
            <w:shd w:val="clear" w:color="auto" w:fill="A6A6A6" w:themeFill="background1" w:themeFillShade="A6"/>
          </w:tcPr>
          <w:p w14:paraId="3A38A676" w14:textId="77777777" w:rsidR="0036519A" w:rsidRPr="00813171" w:rsidRDefault="0036519A" w:rsidP="00813171">
            <w:pPr>
              <w:pStyle w:val="Table"/>
              <w:rPr>
                <w:rStyle w:val="Small"/>
                <w:szCs w:val="20"/>
              </w:rPr>
            </w:pPr>
            <w:r w:rsidRPr="00813171">
              <w:rPr>
                <w:rStyle w:val="Small"/>
                <w:szCs w:val="20"/>
              </w:rPr>
              <w:t>Outcome</w:t>
            </w:r>
          </w:p>
        </w:tc>
        <w:tc>
          <w:tcPr>
            <w:tcW w:w="936" w:type="pct"/>
            <w:shd w:val="clear" w:color="auto" w:fill="A6A6A6" w:themeFill="background1" w:themeFillShade="A6"/>
          </w:tcPr>
          <w:p w14:paraId="2A56C806" w14:textId="77777777" w:rsidR="0036519A" w:rsidRPr="003C11DC" w:rsidRDefault="0036519A" w:rsidP="00692F9D">
            <w:pPr>
              <w:pStyle w:val="Table"/>
              <w:jc w:val="center"/>
              <w:rPr>
                <w:rStyle w:val="Small"/>
                <w:szCs w:val="20"/>
              </w:rPr>
            </w:pPr>
            <w:r w:rsidRPr="003C11DC">
              <w:rPr>
                <w:rStyle w:val="Small"/>
                <w:szCs w:val="20"/>
              </w:rPr>
              <w:t>B2101</w:t>
            </w:r>
          </w:p>
        </w:tc>
        <w:tc>
          <w:tcPr>
            <w:tcW w:w="937" w:type="pct"/>
            <w:shd w:val="clear" w:color="auto" w:fill="A6A6A6" w:themeFill="background1" w:themeFillShade="A6"/>
          </w:tcPr>
          <w:p w14:paraId="5E4448C6" w14:textId="77777777" w:rsidR="0036519A" w:rsidRPr="003C11DC" w:rsidRDefault="0036519A" w:rsidP="00692F9D">
            <w:pPr>
              <w:pStyle w:val="Table"/>
              <w:jc w:val="center"/>
              <w:rPr>
                <w:rStyle w:val="Small"/>
                <w:szCs w:val="20"/>
              </w:rPr>
            </w:pPr>
            <w:r w:rsidRPr="003C11DC">
              <w:rPr>
                <w:rStyle w:val="Small"/>
                <w:szCs w:val="20"/>
              </w:rPr>
              <w:t>ELIANA</w:t>
            </w:r>
          </w:p>
        </w:tc>
        <w:tc>
          <w:tcPr>
            <w:tcW w:w="936" w:type="pct"/>
            <w:shd w:val="clear" w:color="auto" w:fill="A6A6A6" w:themeFill="background1" w:themeFillShade="A6"/>
          </w:tcPr>
          <w:p w14:paraId="7CA8AF6A" w14:textId="77777777" w:rsidR="0036519A" w:rsidRPr="00F2655E" w:rsidRDefault="0036519A" w:rsidP="00692F9D">
            <w:pPr>
              <w:pStyle w:val="Table"/>
              <w:jc w:val="center"/>
              <w:rPr>
                <w:rStyle w:val="Small"/>
                <w:szCs w:val="20"/>
              </w:rPr>
            </w:pPr>
            <w:r w:rsidRPr="00F2655E">
              <w:rPr>
                <w:rStyle w:val="Small"/>
                <w:szCs w:val="20"/>
              </w:rPr>
              <w:t>ENSIGN</w:t>
            </w:r>
          </w:p>
        </w:tc>
        <w:tc>
          <w:tcPr>
            <w:tcW w:w="770" w:type="pct"/>
            <w:shd w:val="clear" w:color="auto" w:fill="A6A6A6" w:themeFill="background1" w:themeFillShade="A6"/>
          </w:tcPr>
          <w:p w14:paraId="6E5E6D64" w14:textId="77777777" w:rsidR="0036519A" w:rsidRPr="001C5E66" w:rsidRDefault="0036519A" w:rsidP="00692F9D">
            <w:pPr>
              <w:pStyle w:val="Table"/>
              <w:jc w:val="center"/>
              <w:rPr>
                <w:rStyle w:val="Small"/>
                <w:szCs w:val="20"/>
                <w:vertAlign w:val="superscript"/>
              </w:rPr>
            </w:pPr>
            <w:r w:rsidRPr="00813171">
              <w:rPr>
                <w:rStyle w:val="Small"/>
                <w:szCs w:val="20"/>
              </w:rPr>
              <w:t>NCT0141782</w:t>
            </w:r>
            <w:r w:rsidR="0071693F">
              <w:rPr>
                <w:rStyle w:val="Small"/>
                <w:szCs w:val="20"/>
                <w:vertAlign w:val="superscript"/>
              </w:rPr>
              <w:t>a</w:t>
            </w:r>
          </w:p>
        </w:tc>
      </w:tr>
      <w:tr w:rsidR="00D813FC" w:rsidRPr="00EC05E8" w14:paraId="4B9D47C7" w14:textId="77777777" w:rsidTr="00D813FC">
        <w:tc>
          <w:tcPr>
            <w:tcW w:w="1420" w:type="pct"/>
            <w:shd w:val="clear" w:color="auto" w:fill="BFBFBF" w:themeFill="background1" w:themeFillShade="BF"/>
          </w:tcPr>
          <w:p w14:paraId="4B286CFC" w14:textId="77777777" w:rsidR="0036519A" w:rsidRPr="00EC05E8" w:rsidRDefault="0036519A" w:rsidP="00813171">
            <w:pPr>
              <w:pStyle w:val="Table"/>
              <w:rPr>
                <w:rStyle w:val="Small"/>
                <w:szCs w:val="20"/>
              </w:rPr>
            </w:pPr>
            <w:r w:rsidRPr="00EC05E8">
              <w:rPr>
                <w:rStyle w:val="Small"/>
                <w:szCs w:val="20"/>
              </w:rPr>
              <w:t>Efficacy outcomes</w:t>
            </w:r>
          </w:p>
        </w:tc>
        <w:tc>
          <w:tcPr>
            <w:tcW w:w="936" w:type="pct"/>
            <w:shd w:val="clear" w:color="auto" w:fill="BFBFBF" w:themeFill="background1" w:themeFillShade="BF"/>
          </w:tcPr>
          <w:p w14:paraId="68E9D184" w14:textId="77777777" w:rsidR="0036519A" w:rsidRPr="00EC05E8" w:rsidRDefault="0036519A" w:rsidP="00692F9D">
            <w:pPr>
              <w:pStyle w:val="Table"/>
              <w:jc w:val="center"/>
              <w:rPr>
                <w:rStyle w:val="Small"/>
                <w:szCs w:val="20"/>
              </w:rPr>
            </w:pPr>
            <w:r w:rsidRPr="00EC05E8">
              <w:rPr>
                <w:rStyle w:val="Small"/>
                <w:szCs w:val="20"/>
              </w:rPr>
              <w:t>N=56</w:t>
            </w:r>
          </w:p>
        </w:tc>
        <w:tc>
          <w:tcPr>
            <w:tcW w:w="937" w:type="pct"/>
            <w:shd w:val="clear" w:color="auto" w:fill="BFBFBF" w:themeFill="background1" w:themeFillShade="BF"/>
          </w:tcPr>
          <w:p w14:paraId="6D17AA37" w14:textId="77777777" w:rsidR="0036519A" w:rsidRPr="00EC05E8" w:rsidRDefault="0036519A" w:rsidP="00692F9D">
            <w:pPr>
              <w:pStyle w:val="Table"/>
              <w:jc w:val="center"/>
              <w:rPr>
                <w:rStyle w:val="Small"/>
                <w:szCs w:val="20"/>
              </w:rPr>
            </w:pPr>
            <w:r w:rsidRPr="00EC05E8">
              <w:rPr>
                <w:rStyle w:val="Small"/>
                <w:szCs w:val="20"/>
              </w:rPr>
              <w:t>N=77</w:t>
            </w:r>
          </w:p>
        </w:tc>
        <w:tc>
          <w:tcPr>
            <w:tcW w:w="936" w:type="pct"/>
            <w:shd w:val="clear" w:color="auto" w:fill="BFBFBF" w:themeFill="background1" w:themeFillShade="BF"/>
          </w:tcPr>
          <w:p w14:paraId="3FE9E416" w14:textId="77777777" w:rsidR="0036519A" w:rsidRPr="00EC05E8" w:rsidRDefault="0036519A" w:rsidP="00692F9D">
            <w:pPr>
              <w:pStyle w:val="Table"/>
              <w:jc w:val="center"/>
              <w:rPr>
                <w:rStyle w:val="Small"/>
                <w:szCs w:val="20"/>
              </w:rPr>
            </w:pPr>
            <w:r w:rsidRPr="00EC05E8">
              <w:rPr>
                <w:rStyle w:val="Small"/>
                <w:szCs w:val="20"/>
              </w:rPr>
              <w:t>N=42</w:t>
            </w:r>
          </w:p>
        </w:tc>
        <w:tc>
          <w:tcPr>
            <w:tcW w:w="770" w:type="pct"/>
            <w:shd w:val="clear" w:color="auto" w:fill="BFBFBF" w:themeFill="background1" w:themeFillShade="BF"/>
          </w:tcPr>
          <w:p w14:paraId="0ADFED3F" w14:textId="77777777" w:rsidR="0036519A" w:rsidRPr="00EC05E8" w:rsidRDefault="0036519A" w:rsidP="00692F9D">
            <w:pPr>
              <w:pStyle w:val="Table"/>
              <w:jc w:val="center"/>
              <w:rPr>
                <w:rStyle w:val="Small"/>
                <w:szCs w:val="20"/>
              </w:rPr>
            </w:pPr>
            <w:r w:rsidRPr="00EC05E8">
              <w:rPr>
                <w:rStyle w:val="Small"/>
                <w:szCs w:val="20"/>
              </w:rPr>
              <w:t>N=70</w:t>
            </w:r>
          </w:p>
        </w:tc>
      </w:tr>
      <w:tr w:rsidR="00D813FC" w:rsidRPr="00EC05E8" w14:paraId="219EEBCD" w14:textId="77777777" w:rsidTr="000B12F4">
        <w:tc>
          <w:tcPr>
            <w:tcW w:w="1420" w:type="pct"/>
          </w:tcPr>
          <w:p w14:paraId="6BD7787A" w14:textId="77777777" w:rsidR="0036519A" w:rsidRPr="00EC05E8" w:rsidRDefault="0036519A" w:rsidP="00D813FC">
            <w:pPr>
              <w:pStyle w:val="Table"/>
              <w:rPr>
                <w:rStyle w:val="Small"/>
                <w:szCs w:val="20"/>
              </w:rPr>
            </w:pPr>
            <w:r w:rsidRPr="00EC05E8">
              <w:rPr>
                <w:rStyle w:val="Small"/>
                <w:szCs w:val="20"/>
              </w:rPr>
              <w:t>ORR, n (%)</w:t>
            </w:r>
            <w:r w:rsidR="00D813FC" w:rsidRPr="00EC05E8">
              <w:rPr>
                <w:rStyle w:val="Small"/>
                <w:szCs w:val="20"/>
              </w:rPr>
              <w:t xml:space="preserve"> </w:t>
            </w:r>
            <w:r w:rsidRPr="00EC05E8">
              <w:rPr>
                <w:rStyle w:val="Small"/>
                <w:szCs w:val="20"/>
              </w:rPr>
              <w:t>[95% CI]</w:t>
            </w:r>
          </w:p>
        </w:tc>
        <w:tc>
          <w:tcPr>
            <w:tcW w:w="936" w:type="pct"/>
          </w:tcPr>
          <w:p w14:paraId="4435E2B2" w14:textId="77777777" w:rsidR="0036519A" w:rsidRPr="00EC05E8" w:rsidRDefault="0036519A" w:rsidP="0036519A">
            <w:pPr>
              <w:pStyle w:val="Table"/>
              <w:jc w:val="center"/>
              <w:rPr>
                <w:rStyle w:val="Small"/>
                <w:szCs w:val="20"/>
              </w:rPr>
            </w:pPr>
            <w:r w:rsidRPr="00EC05E8">
              <w:rPr>
                <w:rStyle w:val="Small"/>
                <w:szCs w:val="20"/>
              </w:rPr>
              <w:t>53 (94.6) [85.1, 98.9]</w:t>
            </w:r>
          </w:p>
        </w:tc>
        <w:tc>
          <w:tcPr>
            <w:tcW w:w="937" w:type="pct"/>
            <w:shd w:val="clear" w:color="auto" w:fill="auto"/>
          </w:tcPr>
          <w:p w14:paraId="6246A299" w14:textId="77777777" w:rsidR="0036519A" w:rsidRPr="00EC05E8" w:rsidRDefault="0036519A" w:rsidP="0036519A">
            <w:pPr>
              <w:pStyle w:val="Table"/>
              <w:jc w:val="center"/>
              <w:rPr>
                <w:rStyle w:val="Small"/>
                <w:szCs w:val="20"/>
              </w:rPr>
            </w:pPr>
            <w:r w:rsidRPr="00EC05E8">
              <w:rPr>
                <w:rStyle w:val="Small"/>
                <w:szCs w:val="20"/>
              </w:rPr>
              <w:t>63 (81.8) [</w:t>
            </w:r>
            <w:r w:rsidRPr="00EC05E8">
              <w:rPr>
                <w:szCs w:val="20"/>
              </w:rPr>
              <w:t>71.4, 89.7]</w:t>
            </w:r>
          </w:p>
        </w:tc>
        <w:tc>
          <w:tcPr>
            <w:tcW w:w="936" w:type="pct"/>
          </w:tcPr>
          <w:p w14:paraId="4AD8C2EA" w14:textId="77777777" w:rsidR="0036519A" w:rsidRPr="00EC05E8" w:rsidRDefault="0036519A" w:rsidP="0036519A">
            <w:pPr>
              <w:pStyle w:val="Table"/>
              <w:jc w:val="center"/>
              <w:rPr>
                <w:rStyle w:val="Small"/>
                <w:szCs w:val="20"/>
              </w:rPr>
            </w:pPr>
            <w:r w:rsidRPr="00EC05E8">
              <w:rPr>
                <w:rStyle w:val="Small"/>
                <w:szCs w:val="20"/>
              </w:rPr>
              <w:t>29 (69.0) [52.9, 82.4]</w:t>
            </w:r>
          </w:p>
        </w:tc>
        <w:tc>
          <w:tcPr>
            <w:tcW w:w="770" w:type="pct"/>
          </w:tcPr>
          <w:p w14:paraId="78BA6418" w14:textId="77777777" w:rsidR="0036519A" w:rsidRPr="00EC05E8" w:rsidRDefault="0036519A" w:rsidP="0036519A">
            <w:pPr>
              <w:pStyle w:val="Table"/>
              <w:jc w:val="center"/>
              <w:rPr>
                <w:rStyle w:val="Small"/>
                <w:szCs w:val="20"/>
              </w:rPr>
            </w:pPr>
            <w:r w:rsidRPr="00EC05E8">
              <w:rPr>
                <w:rStyle w:val="Small"/>
                <w:szCs w:val="20"/>
              </w:rPr>
              <w:t>27 (38.6) [27, 51]</w:t>
            </w:r>
          </w:p>
        </w:tc>
      </w:tr>
      <w:tr w:rsidR="00D813FC" w:rsidRPr="00EC05E8" w14:paraId="738312DD" w14:textId="77777777" w:rsidTr="00EC05E8">
        <w:tc>
          <w:tcPr>
            <w:tcW w:w="1420" w:type="pct"/>
          </w:tcPr>
          <w:p w14:paraId="68C8CD58" w14:textId="77777777" w:rsidR="0036519A" w:rsidRPr="00EC05E8" w:rsidRDefault="0036519A" w:rsidP="00D813FC">
            <w:pPr>
              <w:pStyle w:val="Table"/>
              <w:rPr>
                <w:rStyle w:val="Small"/>
                <w:szCs w:val="20"/>
              </w:rPr>
            </w:pPr>
            <w:r w:rsidRPr="00EC05E8">
              <w:rPr>
                <w:rStyle w:val="Small"/>
                <w:szCs w:val="20"/>
              </w:rPr>
              <w:t>Median EFS (months)</w:t>
            </w:r>
            <w:r w:rsidR="00D813FC" w:rsidRPr="00EC05E8">
              <w:rPr>
                <w:rStyle w:val="Small"/>
                <w:szCs w:val="20"/>
              </w:rPr>
              <w:t xml:space="preserve"> </w:t>
            </w:r>
            <w:r w:rsidRPr="00EC05E8">
              <w:rPr>
                <w:rStyle w:val="Small"/>
                <w:szCs w:val="20"/>
              </w:rPr>
              <w:t>[95% CI]</w:t>
            </w:r>
          </w:p>
        </w:tc>
        <w:tc>
          <w:tcPr>
            <w:tcW w:w="936" w:type="pct"/>
            <w:shd w:val="clear" w:color="auto" w:fill="auto"/>
          </w:tcPr>
          <w:p w14:paraId="7A7A99CF" w14:textId="77777777" w:rsidR="0036519A" w:rsidRPr="00EC05E8" w:rsidRDefault="00EC05E8" w:rsidP="0036519A">
            <w:pPr>
              <w:pStyle w:val="Table"/>
              <w:jc w:val="center"/>
              <w:rPr>
                <w:rStyle w:val="Small"/>
                <w:szCs w:val="20"/>
              </w:rPr>
            </w:pPr>
            <w:r w:rsidRPr="00EC05E8">
              <w:rPr>
                <w:b/>
              </w:rPr>
              <w:t>redacted</w:t>
            </w:r>
          </w:p>
        </w:tc>
        <w:tc>
          <w:tcPr>
            <w:tcW w:w="937" w:type="pct"/>
            <w:shd w:val="clear" w:color="auto" w:fill="auto"/>
          </w:tcPr>
          <w:p w14:paraId="4C6B892B" w14:textId="77777777" w:rsidR="0036519A" w:rsidRPr="00EC05E8" w:rsidRDefault="0036519A" w:rsidP="0036519A">
            <w:pPr>
              <w:pStyle w:val="Table"/>
              <w:jc w:val="center"/>
              <w:rPr>
                <w:rStyle w:val="Small"/>
                <w:szCs w:val="20"/>
              </w:rPr>
            </w:pPr>
            <w:r w:rsidRPr="00EC05E8">
              <w:rPr>
                <w:rStyle w:val="Small"/>
                <w:szCs w:val="20"/>
              </w:rPr>
              <w:t>NE [9.2, NE]</w:t>
            </w:r>
          </w:p>
        </w:tc>
        <w:tc>
          <w:tcPr>
            <w:tcW w:w="936" w:type="pct"/>
          </w:tcPr>
          <w:p w14:paraId="547A10E9" w14:textId="77777777" w:rsidR="0036519A" w:rsidRPr="00EC05E8" w:rsidRDefault="00EC05E8" w:rsidP="0036519A">
            <w:pPr>
              <w:pStyle w:val="Table"/>
              <w:jc w:val="center"/>
              <w:rPr>
                <w:rStyle w:val="Small"/>
                <w:szCs w:val="20"/>
              </w:rPr>
            </w:pPr>
            <w:r w:rsidRPr="00EC05E8">
              <w:rPr>
                <w:b/>
              </w:rPr>
              <w:t>redacted</w:t>
            </w:r>
          </w:p>
        </w:tc>
        <w:tc>
          <w:tcPr>
            <w:tcW w:w="770" w:type="pct"/>
          </w:tcPr>
          <w:p w14:paraId="69E78FC3" w14:textId="77777777" w:rsidR="0036519A" w:rsidRPr="00EC05E8" w:rsidRDefault="0036519A" w:rsidP="0036519A">
            <w:pPr>
              <w:pStyle w:val="Table"/>
              <w:jc w:val="center"/>
              <w:rPr>
                <w:rStyle w:val="Small"/>
                <w:szCs w:val="20"/>
              </w:rPr>
            </w:pPr>
            <w:r w:rsidRPr="00EC05E8">
              <w:rPr>
                <w:rStyle w:val="Small"/>
                <w:szCs w:val="20"/>
              </w:rPr>
              <w:t>4.4 [2.3, 7.6]</w:t>
            </w:r>
          </w:p>
        </w:tc>
      </w:tr>
      <w:tr w:rsidR="00D813FC" w:rsidRPr="00EC05E8" w14:paraId="2F27C029" w14:textId="77777777" w:rsidTr="000B12F4">
        <w:tc>
          <w:tcPr>
            <w:tcW w:w="1420" w:type="pct"/>
          </w:tcPr>
          <w:p w14:paraId="06779F20" w14:textId="77777777" w:rsidR="0036519A" w:rsidRPr="00EC05E8" w:rsidRDefault="0036519A" w:rsidP="00D813FC">
            <w:pPr>
              <w:pStyle w:val="Table"/>
              <w:rPr>
                <w:rStyle w:val="Small"/>
                <w:szCs w:val="20"/>
              </w:rPr>
            </w:pPr>
            <w:r w:rsidRPr="00EC05E8">
              <w:rPr>
                <w:rStyle w:val="Small"/>
                <w:szCs w:val="20"/>
              </w:rPr>
              <w:t>Median OS (months)</w:t>
            </w:r>
            <w:r w:rsidR="00D813FC" w:rsidRPr="00EC05E8">
              <w:rPr>
                <w:rStyle w:val="Small"/>
                <w:szCs w:val="20"/>
              </w:rPr>
              <w:t xml:space="preserve"> </w:t>
            </w:r>
            <w:r w:rsidRPr="00EC05E8">
              <w:rPr>
                <w:rStyle w:val="Small"/>
                <w:szCs w:val="20"/>
              </w:rPr>
              <w:t>[95% CI]</w:t>
            </w:r>
          </w:p>
        </w:tc>
        <w:tc>
          <w:tcPr>
            <w:tcW w:w="936" w:type="pct"/>
          </w:tcPr>
          <w:p w14:paraId="36204566" w14:textId="77777777" w:rsidR="0036519A" w:rsidRPr="00EC05E8" w:rsidRDefault="0036519A" w:rsidP="00D813FC">
            <w:pPr>
              <w:pStyle w:val="Table"/>
              <w:jc w:val="center"/>
              <w:rPr>
                <w:rStyle w:val="Small"/>
                <w:szCs w:val="20"/>
              </w:rPr>
            </w:pPr>
            <w:r w:rsidRPr="00EC05E8">
              <w:rPr>
                <w:rStyle w:val="Small"/>
                <w:szCs w:val="20"/>
              </w:rPr>
              <w:t>37.9</w:t>
            </w:r>
            <w:r w:rsidR="00D813FC" w:rsidRPr="00EC05E8">
              <w:rPr>
                <w:rStyle w:val="Small"/>
                <w:szCs w:val="20"/>
              </w:rPr>
              <w:t xml:space="preserve"> </w:t>
            </w:r>
            <w:r w:rsidRPr="00EC05E8">
              <w:rPr>
                <w:rStyle w:val="Small"/>
                <w:szCs w:val="20"/>
              </w:rPr>
              <w:t>[22.7, NE]</w:t>
            </w:r>
          </w:p>
        </w:tc>
        <w:tc>
          <w:tcPr>
            <w:tcW w:w="937" w:type="pct"/>
            <w:shd w:val="clear" w:color="auto" w:fill="auto"/>
          </w:tcPr>
          <w:p w14:paraId="0F132B6E" w14:textId="77777777" w:rsidR="0036519A" w:rsidRPr="00EC05E8" w:rsidRDefault="0036519A" w:rsidP="00D813FC">
            <w:pPr>
              <w:pStyle w:val="Table"/>
              <w:jc w:val="center"/>
              <w:rPr>
                <w:rStyle w:val="Small"/>
                <w:szCs w:val="20"/>
              </w:rPr>
            </w:pPr>
            <w:r w:rsidRPr="00EC05E8">
              <w:rPr>
                <w:rStyle w:val="Small"/>
                <w:szCs w:val="20"/>
              </w:rPr>
              <w:t>NE</w:t>
            </w:r>
            <w:r w:rsidR="00D813FC" w:rsidRPr="00EC05E8">
              <w:rPr>
                <w:rStyle w:val="Small"/>
                <w:szCs w:val="20"/>
              </w:rPr>
              <w:t xml:space="preserve"> </w:t>
            </w:r>
            <w:r w:rsidRPr="00EC05E8">
              <w:rPr>
                <w:rStyle w:val="Small"/>
                <w:szCs w:val="20"/>
              </w:rPr>
              <w:t>[NE, NE]</w:t>
            </w:r>
          </w:p>
        </w:tc>
        <w:tc>
          <w:tcPr>
            <w:tcW w:w="936" w:type="pct"/>
          </w:tcPr>
          <w:p w14:paraId="6D75D87A" w14:textId="77777777" w:rsidR="0036519A" w:rsidRPr="00EC05E8" w:rsidRDefault="0036519A" w:rsidP="00D813FC">
            <w:pPr>
              <w:pStyle w:val="Table"/>
              <w:jc w:val="center"/>
              <w:rPr>
                <w:rStyle w:val="Small"/>
                <w:szCs w:val="20"/>
              </w:rPr>
            </w:pPr>
            <w:r w:rsidRPr="00EC05E8">
              <w:rPr>
                <w:rStyle w:val="Small"/>
                <w:szCs w:val="20"/>
              </w:rPr>
              <w:t>23.8</w:t>
            </w:r>
            <w:r w:rsidR="00D813FC" w:rsidRPr="00EC05E8">
              <w:rPr>
                <w:rStyle w:val="Small"/>
                <w:szCs w:val="20"/>
              </w:rPr>
              <w:t xml:space="preserve"> </w:t>
            </w:r>
            <w:r w:rsidRPr="00EC05E8">
              <w:rPr>
                <w:rStyle w:val="Small"/>
                <w:szCs w:val="20"/>
              </w:rPr>
              <w:t>[8.8, NE]</w:t>
            </w:r>
          </w:p>
        </w:tc>
        <w:tc>
          <w:tcPr>
            <w:tcW w:w="770" w:type="pct"/>
          </w:tcPr>
          <w:p w14:paraId="5CFE9F07" w14:textId="77777777" w:rsidR="0036519A" w:rsidRPr="00EC05E8" w:rsidRDefault="0036519A" w:rsidP="00D813FC">
            <w:pPr>
              <w:pStyle w:val="Table"/>
              <w:jc w:val="center"/>
              <w:rPr>
                <w:rStyle w:val="Small"/>
                <w:szCs w:val="20"/>
              </w:rPr>
            </w:pPr>
            <w:r w:rsidRPr="00EC05E8">
              <w:rPr>
                <w:rStyle w:val="Small"/>
                <w:szCs w:val="20"/>
              </w:rPr>
              <w:t>7.5</w:t>
            </w:r>
            <w:r w:rsidR="00D813FC" w:rsidRPr="00EC05E8">
              <w:rPr>
                <w:rStyle w:val="Small"/>
                <w:szCs w:val="20"/>
              </w:rPr>
              <w:t xml:space="preserve"> </w:t>
            </w:r>
            <w:r w:rsidRPr="00EC05E8">
              <w:rPr>
                <w:rStyle w:val="Small"/>
                <w:szCs w:val="20"/>
              </w:rPr>
              <w:t>[4.0, 11.8]</w:t>
            </w:r>
          </w:p>
        </w:tc>
      </w:tr>
      <w:tr w:rsidR="00D813FC" w:rsidRPr="00EC05E8" w14:paraId="40E061C6" w14:textId="77777777" w:rsidTr="000B12F4">
        <w:tc>
          <w:tcPr>
            <w:tcW w:w="1420" w:type="pct"/>
            <w:shd w:val="clear" w:color="auto" w:fill="BFBFBF" w:themeFill="background1" w:themeFillShade="BF"/>
          </w:tcPr>
          <w:p w14:paraId="2303BEF6" w14:textId="77777777" w:rsidR="0036519A" w:rsidRPr="00EC05E8" w:rsidRDefault="0036519A" w:rsidP="00813171">
            <w:pPr>
              <w:pStyle w:val="Table"/>
              <w:rPr>
                <w:rStyle w:val="Small"/>
                <w:szCs w:val="20"/>
              </w:rPr>
            </w:pPr>
            <w:r w:rsidRPr="00EC05E8">
              <w:rPr>
                <w:rStyle w:val="Small"/>
                <w:szCs w:val="20"/>
              </w:rPr>
              <w:t>Safety outcomes</w:t>
            </w:r>
          </w:p>
        </w:tc>
        <w:tc>
          <w:tcPr>
            <w:tcW w:w="936" w:type="pct"/>
            <w:shd w:val="clear" w:color="auto" w:fill="BFBFBF" w:themeFill="background1" w:themeFillShade="BF"/>
          </w:tcPr>
          <w:p w14:paraId="61C1A394" w14:textId="77777777" w:rsidR="0036519A" w:rsidRPr="00EC05E8" w:rsidRDefault="0036519A" w:rsidP="00692F9D">
            <w:pPr>
              <w:pStyle w:val="Table"/>
              <w:jc w:val="center"/>
              <w:rPr>
                <w:rStyle w:val="Small"/>
                <w:szCs w:val="20"/>
              </w:rPr>
            </w:pPr>
            <w:r w:rsidRPr="00EC05E8">
              <w:rPr>
                <w:rStyle w:val="Small"/>
                <w:szCs w:val="20"/>
              </w:rPr>
              <w:t>N=56</w:t>
            </w:r>
          </w:p>
        </w:tc>
        <w:tc>
          <w:tcPr>
            <w:tcW w:w="937" w:type="pct"/>
            <w:shd w:val="clear" w:color="auto" w:fill="auto"/>
          </w:tcPr>
          <w:p w14:paraId="5CAD5827" w14:textId="77777777" w:rsidR="0036519A" w:rsidRPr="00EC05E8" w:rsidRDefault="0036519A" w:rsidP="00692F9D">
            <w:pPr>
              <w:pStyle w:val="Table"/>
              <w:jc w:val="center"/>
              <w:rPr>
                <w:rStyle w:val="Small"/>
                <w:szCs w:val="20"/>
              </w:rPr>
            </w:pPr>
            <w:r w:rsidRPr="00EC05E8">
              <w:rPr>
                <w:rStyle w:val="Small"/>
                <w:szCs w:val="20"/>
              </w:rPr>
              <w:t>N=79</w:t>
            </w:r>
          </w:p>
        </w:tc>
        <w:tc>
          <w:tcPr>
            <w:tcW w:w="936" w:type="pct"/>
            <w:shd w:val="clear" w:color="auto" w:fill="BFBFBF" w:themeFill="background1" w:themeFillShade="BF"/>
          </w:tcPr>
          <w:p w14:paraId="011BC5E2" w14:textId="77777777" w:rsidR="0036519A" w:rsidRPr="00EC05E8" w:rsidRDefault="0036519A" w:rsidP="00692F9D">
            <w:pPr>
              <w:pStyle w:val="Table"/>
              <w:jc w:val="center"/>
              <w:rPr>
                <w:rStyle w:val="Small"/>
                <w:szCs w:val="20"/>
              </w:rPr>
            </w:pPr>
            <w:r w:rsidRPr="00EC05E8">
              <w:rPr>
                <w:rStyle w:val="Small"/>
                <w:szCs w:val="20"/>
              </w:rPr>
              <w:t>N=58</w:t>
            </w:r>
          </w:p>
        </w:tc>
        <w:tc>
          <w:tcPr>
            <w:tcW w:w="770" w:type="pct"/>
            <w:shd w:val="clear" w:color="auto" w:fill="BFBFBF" w:themeFill="background1" w:themeFillShade="BF"/>
          </w:tcPr>
          <w:p w14:paraId="2183304B" w14:textId="77777777" w:rsidR="0036519A" w:rsidRPr="00EC05E8" w:rsidRDefault="0036519A" w:rsidP="00692F9D">
            <w:pPr>
              <w:pStyle w:val="Table"/>
              <w:jc w:val="center"/>
              <w:rPr>
                <w:rStyle w:val="Small"/>
                <w:szCs w:val="20"/>
              </w:rPr>
            </w:pPr>
            <w:r w:rsidRPr="00EC05E8">
              <w:rPr>
                <w:rStyle w:val="Small"/>
                <w:szCs w:val="20"/>
              </w:rPr>
              <w:t>N=70</w:t>
            </w:r>
          </w:p>
        </w:tc>
      </w:tr>
      <w:tr w:rsidR="00D813FC" w:rsidRPr="00813171" w14:paraId="242B9F56" w14:textId="77777777" w:rsidTr="000B12F4">
        <w:tc>
          <w:tcPr>
            <w:tcW w:w="1420" w:type="pct"/>
          </w:tcPr>
          <w:p w14:paraId="7B13B491" w14:textId="77777777" w:rsidR="0036519A" w:rsidRPr="00EC05E8" w:rsidRDefault="0036519A" w:rsidP="00813171">
            <w:pPr>
              <w:pStyle w:val="Table"/>
              <w:rPr>
                <w:rStyle w:val="Small"/>
                <w:szCs w:val="20"/>
              </w:rPr>
            </w:pPr>
            <w:r w:rsidRPr="00EC05E8">
              <w:rPr>
                <w:rStyle w:val="Small"/>
                <w:szCs w:val="20"/>
              </w:rPr>
              <w:t>Adverse events, n (%)</w:t>
            </w:r>
          </w:p>
        </w:tc>
        <w:tc>
          <w:tcPr>
            <w:tcW w:w="936" w:type="pct"/>
          </w:tcPr>
          <w:p w14:paraId="3E0319B5" w14:textId="77777777" w:rsidR="0036519A" w:rsidRPr="00EC05E8" w:rsidRDefault="00EC05E8" w:rsidP="00692F9D">
            <w:pPr>
              <w:pStyle w:val="Table"/>
              <w:jc w:val="center"/>
              <w:rPr>
                <w:rStyle w:val="Small"/>
                <w:szCs w:val="20"/>
              </w:rPr>
            </w:pPr>
            <w:r w:rsidRPr="00EC05E8">
              <w:rPr>
                <w:b/>
              </w:rPr>
              <w:t>redacted</w:t>
            </w:r>
          </w:p>
        </w:tc>
        <w:tc>
          <w:tcPr>
            <w:tcW w:w="937" w:type="pct"/>
            <w:shd w:val="clear" w:color="auto" w:fill="auto"/>
          </w:tcPr>
          <w:p w14:paraId="17FE187C" w14:textId="77777777" w:rsidR="0036519A" w:rsidRPr="00EC05E8" w:rsidRDefault="0036519A" w:rsidP="00692F9D">
            <w:pPr>
              <w:pStyle w:val="Table"/>
              <w:jc w:val="center"/>
              <w:rPr>
                <w:rStyle w:val="Small"/>
                <w:szCs w:val="20"/>
              </w:rPr>
            </w:pPr>
            <w:r w:rsidRPr="00EC05E8">
              <w:rPr>
                <w:rStyle w:val="Small"/>
                <w:szCs w:val="20"/>
              </w:rPr>
              <w:t>75 (94.9)</w:t>
            </w:r>
          </w:p>
        </w:tc>
        <w:tc>
          <w:tcPr>
            <w:tcW w:w="936" w:type="pct"/>
          </w:tcPr>
          <w:p w14:paraId="09FE1DD3" w14:textId="77777777" w:rsidR="0036519A" w:rsidRPr="00EC05E8" w:rsidRDefault="00EC05E8" w:rsidP="00692F9D">
            <w:pPr>
              <w:pStyle w:val="Table"/>
              <w:jc w:val="center"/>
              <w:rPr>
                <w:rStyle w:val="Small"/>
                <w:szCs w:val="20"/>
              </w:rPr>
            </w:pPr>
            <w:r w:rsidRPr="00EC05E8">
              <w:rPr>
                <w:b/>
              </w:rPr>
              <w:t>redacted</w:t>
            </w:r>
          </w:p>
        </w:tc>
        <w:tc>
          <w:tcPr>
            <w:tcW w:w="770" w:type="pct"/>
          </w:tcPr>
          <w:p w14:paraId="74CAD3C8" w14:textId="77777777" w:rsidR="0036519A" w:rsidRPr="00813171" w:rsidRDefault="0036519A" w:rsidP="00692F9D">
            <w:pPr>
              <w:pStyle w:val="Table"/>
              <w:jc w:val="center"/>
              <w:rPr>
                <w:rStyle w:val="Small"/>
                <w:szCs w:val="20"/>
              </w:rPr>
            </w:pPr>
            <w:r w:rsidRPr="00EC05E8">
              <w:rPr>
                <w:rStyle w:val="Small"/>
                <w:szCs w:val="20"/>
              </w:rPr>
              <w:t>70 (100)</w:t>
            </w:r>
          </w:p>
        </w:tc>
      </w:tr>
      <w:tr w:rsidR="00D813FC" w:rsidRPr="00813171" w14:paraId="13F98D8B" w14:textId="77777777" w:rsidTr="000B12F4">
        <w:trPr>
          <w:trHeight w:val="154"/>
        </w:trPr>
        <w:tc>
          <w:tcPr>
            <w:tcW w:w="1420" w:type="pct"/>
          </w:tcPr>
          <w:p w14:paraId="388C6D80" w14:textId="77777777" w:rsidR="0036519A" w:rsidRPr="00813171" w:rsidRDefault="0036519A" w:rsidP="00813171">
            <w:pPr>
              <w:pStyle w:val="Table"/>
              <w:rPr>
                <w:rStyle w:val="Small"/>
                <w:szCs w:val="20"/>
              </w:rPr>
            </w:pPr>
            <w:r w:rsidRPr="00813171">
              <w:rPr>
                <w:rStyle w:val="Small"/>
                <w:szCs w:val="20"/>
              </w:rPr>
              <w:t>Grade 3/4, n (%)</w:t>
            </w:r>
          </w:p>
        </w:tc>
        <w:tc>
          <w:tcPr>
            <w:tcW w:w="936" w:type="pct"/>
          </w:tcPr>
          <w:p w14:paraId="7E51975F" w14:textId="77777777" w:rsidR="0036519A" w:rsidRPr="00EC05E8" w:rsidRDefault="00EC05E8" w:rsidP="00692F9D">
            <w:pPr>
              <w:pStyle w:val="Table"/>
              <w:jc w:val="center"/>
              <w:rPr>
                <w:rStyle w:val="Small"/>
                <w:szCs w:val="20"/>
              </w:rPr>
            </w:pPr>
            <w:r w:rsidRPr="00EC05E8">
              <w:rPr>
                <w:b/>
              </w:rPr>
              <w:t>redacted</w:t>
            </w:r>
          </w:p>
        </w:tc>
        <w:tc>
          <w:tcPr>
            <w:tcW w:w="937" w:type="pct"/>
            <w:shd w:val="clear" w:color="auto" w:fill="auto"/>
          </w:tcPr>
          <w:p w14:paraId="1B29097B" w14:textId="77777777" w:rsidR="0036519A" w:rsidRPr="000B12F4" w:rsidRDefault="0036519A" w:rsidP="00692F9D">
            <w:pPr>
              <w:pStyle w:val="Table"/>
              <w:jc w:val="center"/>
              <w:rPr>
                <w:rStyle w:val="Small"/>
                <w:szCs w:val="20"/>
              </w:rPr>
            </w:pPr>
            <w:r w:rsidRPr="000B12F4">
              <w:rPr>
                <w:rStyle w:val="Small"/>
                <w:szCs w:val="20"/>
              </w:rPr>
              <w:t>58 (73.4)</w:t>
            </w:r>
          </w:p>
        </w:tc>
        <w:tc>
          <w:tcPr>
            <w:tcW w:w="936" w:type="pct"/>
          </w:tcPr>
          <w:p w14:paraId="105D71CD" w14:textId="77777777" w:rsidR="0036519A" w:rsidRPr="00EC05E8" w:rsidRDefault="00EC05E8" w:rsidP="00692F9D">
            <w:pPr>
              <w:pStyle w:val="Table"/>
              <w:jc w:val="center"/>
              <w:rPr>
                <w:rStyle w:val="Small"/>
                <w:szCs w:val="20"/>
              </w:rPr>
            </w:pPr>
            <w:r w:rsidRPr="00EC05E8">
              <w:rPr>
                <w:b/>
              </w:rPr>
              <w:t>redacted</w:t>
            </w:r>
          </w:p>
        </w:tc>
        <w:tc>
          <w:tcPr>
            <w:tcW w:w="770" w:type="pct"/>
          </w:tcPr>
          <w:p w14:paraId="6BE38F33" w14:textId="77777777" w:rsidR="0036519A" w:rsidRPr="00813171" w:rsidRDefault="0036519A" w:rsidP="00692F9D">
            <w:pPr>
              <w:pStyle w:val="Table"/>
              <w:jc w:val="center"/>
              <w:rPr>
                <w:rStyle w:val="Small"/>
                <w:szCs w:val="20"/>
              </w:rPr>
            </w:pPr>
            <w:r w:rsidRPr="00813171">
              <w:rPr>
                <w:rStyle w:val="Small"/>
                <w:szCs w:val="20"/>
              </w:rPr>
              <w:t>61 (87)</w:t>
            </w:r>
          </w:p>
        </w:tc>
      </w:tr>
      <w:tr w:rsidR="00D813FC" w:rsidRPr="00813171" w14:paraId="2801F769" w14:textId="77777777" w:rsidTr="000B12F4">
        <w:tc>
          <w:tcPr>
            <w:tcW w:w="1420" w:type="pct"/>
          </w:tcPr>
          <w:p w14:paraId="67B7C444" w14:textId="77777777" w:rsidR="0036519A" w:rsidRPr="00813171" w:rsidRDefault="0036519A" w:rsidP="00813171">
            <w:pPr>
              <w:pStyle w:val="Table"/>
              <w:rPr>
                <w:rStyle w:val="Small"/>
                <w:szCs w:val="20"/>
              </w:rPr>
            </w:pPr>
            <w:r w:rsidRPr="00813171">
              <w:rPr>
                <w:rStyle w:val="Small"/>
                <w:szCs w:val="20"/>
              </w:rPr>
              <w:t>Drug-related, n (%)</w:t>
            </w:r>
          </w:p>
        </w:tc>
        <w:tc>
          <w:tcPr>
            <w:tcW w:w="936" w:type="pct"/>
          </w:tcPr>
          <w:p w14:paraId="0FF15C71" w14:textId="77777777" w:rsidR="0036519A" w:rsidRPr="00EC05E8" w:rsidRDefault="00EC05E8" w:rsidP="00692F9D">
            <w:pPr>
              <w:pStyle w:val="Table"/>
              <w:jc w:val="center"/>
              <w:rPr>
                <w:rStyle w:val="Small"/>
                <w:szCs w:val="20"/>
              </w:rPr>
            </w:pPr>
            <w:r w:rsidRPr="00EC05E8">
              <w:rPr>
                <w:b/>
              </w:rPr>
              <w:t>redacted</w:t>
            </w:r>
          </w:p>
        </w:tc>
        <w:tc>
          <w:tcPr>
            <w:tcW w:w="937" w:type="pct"/>
            <w:shd w:val="clear" w:color="auto" w:fill="auto"/>
          </w:tcPr>
          <w:p w14:paraId="39741891" w14:textId="77777777" w:rsidR="0036519A" w:rsidRPr="000B12F4" w:rsidRDefault="0036519A" w:rsidP="00692F9D">
            <w:pPr>
              <w:pStyle w:val="Table"/>
              <w:jc w:val="center"/>
              <w:rPr>
                <w:rStyle w:val="Small"/>
                <w:szCs w:val="20"/>
              </w:rPr>
            </w:pPr>
            <w:r w:rsidRPr="000B12F4">
              <w:rPr>
                <w:rStyle w:val="Small"/>
                <w:szCs w:val="20"/>
              </w:rPr>
              <w:t>NE</w:t>
            </w:r>
          </w:p>
        </w:tc>
        <w:tc>
          <w:tcPr>
            <w:tcW w:w="936" w:type="pct"/>
          </w:tcPr>
          <w:p w14:paraId="35DF5163" w14:textId="77777777" w:rsidR="0036519A" w:rsidRPr="00EC05E8" w:rsidRDefault="00EC05E8" w:rsidP="00EC05E8">
            <w:pPr>
              <w:pStyle w:val="Table"/>
              <w:jc w:val="center"/>
              <w:rPr>
                <w:rStyle w:val="Small"/>
                <w:szCs w:val="20"/>
              </w:rPr>
            </w:pPr>
            <w:r w:rsidRPr="00EC05E8">
              <w:rPr>
                <w:b/>
              </w:rPr>
              <w:t>redacted</w:t>
            </w:r>
          </w:p>
        </w:tc>
        <w:tc>
          <w:tcPr>
            <w:tcW w:w="770" w:type="pct"/>
          </w:tcPr>
          <w:p w14:paraId="53420D38" w14:textId="77777777" w:rsidR="0036519A" w:rsidRPr="00813171" w:rsidRDefault="0036519A" w:rsidP="00692F9D">
            <w:pPr>
              <w:pStyle w:val="Table"/>
              <w:jc w:val="center"/>
              <w:rPr>
                <w:rStyle w:val="Small"/>
                <w:szCs w:val="20"/>
              </w:rPr>
            </w:pPr>
            <w:r w:rsidRPr="00813171">
              <w:rPr>
                <w:rStyle w:val="Small"/>
                <w:szCs w:val="20"/>
              </w:rPr>
              <w:t>NR</w:t>
            </w:r>
          </w:p>
        </w:tc>
      </w:tr>
      <w:tr w:rsidR="00D813FC" w:rsidRPr="00813171" w14:paraId="7D839C4C" w14:textId="77777777" w:rsidTr="000B12F4">
        <w:tc>
          <w:tcPr>
            <w:tcW w:w="1420" w:type="pct"/>
          </w:tcPr>
          <w:p w14:paraId="6E7D375B" w14:textId="77777777" w:rsidR="0036519A" w:rsidRPr="00813171" w:rsidRDefault="0036519A" w:rsidP="00813171">
            <w:pPr>
              <w:pStyle w:val="Table"/>
              <w:rPr>
                <w:rStyle w:val="Small"/>
                <w:szCs w:val="20"/>
              </w:rPr>
            </w:pPr>
            <w:r w:rsidRPr="00813171">
              <w:rPr>
                <w:rStyle w:val="Small"/>
                <w:szCs w:val="20"/>
              </w:rPr>
              <w:t>Serious AEs, n (%)</w:t>
            </w:r>
          </w:p>
        </w:tc>
        <w:tc>
          <w:tcPr>
            <w:tcW w:w="936" w:type="pct"/>
          </w:tcPr>
          <w:p w14:paraId="54C19172" w14:textId="77777777" w:rsidR="0036519A" w:rsidRPr="00EC05E8" w:rsidRDefault="00EC05E8" w:rsidP="00692F9D">
            <w:pPr>
              <w:pStyle w:val="Table"/>
              <w:jc w:val="center"/>
              <w:rPr>
                <w:rStyle w:val="Small"/>
                <w:szCs w:val="20"/>
              </w:rPr>
            </w:pPr>
            <w:r w:rsidRPr="00EC05E8">
              <w:rPr>
                <w:b/>
              </w:rPr>
              <w:t>redacted</w:t>
            </w:r>
          </w:p>
        </w:tc>
        <w:tc>
          <w:tcPr>
            <w:tcW w:w="937" w:type="pct"/>
            <w:shd w:val="clear" w:color="auto" w:fill="auto"/>
          </w:tcPr>
          <w:p w14:paraId="20F5B821" w14:textId="77777777" w:rsidR="0036519A" w:rsidRPr="000B12F4" w:rsidRDefault="0036519A" w:rsidP="00692F9D">
            <w:pPr>
              <w:pStyle w:val="Table"/>
              <w:jc w:val="center"/>
              <w:rPr>
                <w:rStyle w:val="Small"/>
                <w:szCs w:val="20"/>
              </w:rPr>
            </w:pPr>
            <w:r w:rsidRPr="000B12F4">
              <w:rPr>
                <w:rStyle w:val="Small"/>
                <w:szCs w:val="20"/>
              </w:rPr>
              <w:t>61 (77.2)</w:t>
            </w:r>
          </w:p>
        </w:tc>
        <w:tc>
          <w:tcPr>
            <w:tcW w:w="936" w:type="pct"/>
          </w:tcPr>
          <w:p w14:paraId="0DA58B2E" w14:textId="77777777" w:rsidR="0036519A" w:rsidRPr="00EC05E8" w:rsidRDefault="00EC05E8" w:rsidP="00692F9D">
            <w:pPr>
              <w:pStyle w:val="Table"/>
              <w:jc w:val="center"/>
              <w:rPr>
                <w:rStyle w:val="Small"/>
                <w:szCs w:val="20"/>
              </w:rPr>
            </w:pPr>
            <w:r w:rsidRPr="00EC05E8">
              <w:rPr>
                <w:b/>
              </w:rPr>
              <w:t>redacted</w:t>
            </w:r>
          </w:p>
        </w:tc>
        <w:tc>
          <w:tcPr>
            <w:tcW w:w="770" w:type="pct"/>
          </w:tcPr>
          <w:p w14:paraId="22D9183D" w14:textId="77777777" w:rsidR="0036519A" w:rsidRPr="00813171" w:rsidRDefault="0036519A" w:rsidP="00692F9D">
            <w:pPr>
              <w:pStyle w:val="Table"/>
              <w:jc w:val="center"/>
              <w:rPr>
                <w:rStyle w:val="Small"/>
                <w:szCs w:val="20"/>
              </w:rPr>
            </w:pPr>
            <w:r w:rsidRPr="00813171">
              <w:rPr>
                <w:rStyle w:val="Small"/>
                <w:szCs w:val="20"/>
              </w:rPr>
              <w:t>NR</w:t>
            </w:r>
          </w:p>
        </w:tc>
      </w:tr>
      <w:tr w:rsidR="00D813FC" w:rsidRPr="00813171" w14:paraId="1D6330A3" w14:textId="77777777" w:rsidTr="000B12F4">
        <w:tc>
          <w:tcPr>
            <w:tcW w:w="1420" w:type="pct"/>
          </w:tcPr>
          <w:p w14:paraId="3D0FFC08" w14:textId="77777777" w:rsidR="0036519A" w:rsidRPr="00813171" w:rsidRDefault="0036519A" w:rsidP="00813171">
            <w:pPr>
              <w:pStyle w:val="Table"/>
              <w:rPr>
                <w:rStyle w:val="Small"/>
                <w:szCs w:val="20"/>
              </w:rPr>
            </w:pPr>
            <w:r w:rsidRPr="00813171">
              <w:rPr>
                <w:rStyle w:val="Small"/>
                <w:szCs w:val="20"/>
              </w:rPr>
              <w:t>Deaths, n (%)</w:t>
            </w:r>
          </w:p>
        </w:tc>
        <w:tc>
          <w:tcPr>
            <w:tcW w:w="936" w:type="pct"/>
          </w:tcPr>
          <w:p w14:paraId="29449274" w14:textId="77777777" w:rsidR="0036519A" w:rsidRPr="00EC05E8" w:rsidRDefault="00EC05E8" w:rsidP="00692F9D">
            <w:pPr>
              <w:pStyle w:val="Table"/>
              <w:jc w:val="center"/>
              <w:rPr>
                <w:rStyle w:val="Small"/>
                <w:szCs w:val="20"/>
              </w:rPr>
            </w:pPr>
            <w:r w:rsidRPr="00EC05E8">
              <w:rPr>
                <w:b/>
              </w:rPr>
              <w:t>redacted</w:t>
            </w:r>
          </w:p>
        </w:tc>
        <w:tc>
          <w:tcPr>
            <w:tcW w:w="937" w:type="pct"/>
            <w:shd w:val="clear" w:color="auto" w:fill="auto"/>
          </w:tcPr>
          <w:p w14:paraId="46B333EC" w14:textId="77777777" w:rsidR="0036519A" w:rsidRPr="000B12F4" w:rsidRDefault="0036519A" w:rsidP="00692F9D">
            <w:pPr>
              <w:pStyle w:val="Table"/>
              <w:jc w:val="center"/>
              <w:rPr>
                <w:rStyle w:val="Small"/>
                <w:szCs w:val="20"/>
              </w:rPr>
            </w:pPr>
            <w:r w:rsidRPr="000B12F4">
              <w:rPr>
                <w:rStyle w:val="Small"/>
                <w:szCs w:val="20"/>
              </w:rPr>
              <w:t>23 (29.1)</w:t>
            </w:r>
          </w:p>
        </w:tc>
        <w:tc>
          <w:tcPr>
            <w:tcW w:w="936" w:type="pct"/>
          </w:tcPr>
          <w:p w14:paraId="63DBBF05" w14:textId="77777777" w:rsidR="0036519A" w:rsidRPr="00EC05E8" w:rsidRDefault="00EC05E8" w:rsidP="00692F9D">
            <w:pPr>
              <w:pStyle w:val="Table"/>
              <w:jc w:val="center"/>
              <w:rPr>
                <w:rStyle w:val="Small"/>
                <w:szCs w:val="20"/>
              </w:rPr>
            </w:pPr>
            <w:r w:rsidRPr="00EC05E8">
              <w:rPr>
                <w:b/>
              </w:rPr>
              <w:t>redacted</w:t>
            </w:r>
          </w:p>
        </w:tc>
        <w:tc>
          <w:tcPr>
            <w:tcW w:w="770" w:type="pct"/>
          </w:tcPr>
          <w:p w14:paraId="003C1E4D" w14:textId="77777777" w:rsidR="0036519A" w:rsidRPr="00813171" w:rsidRDefault="0036519A" w:rsidP="00692F9D">
            <w:pPr>
              <w:pStyle w:val="Table"/>
              <w:jc w:val="center"/>
              <w:rPr>
                <w:rStyle w:val="Small"/>
                <w:szCs w:val="20"/>
              </w:rPr>
            </w:pPr>
            <w:r w:rsidRPr="00813171">
              <w:rPr>
                <w:rStyle w:val="Small"/>
                <w:szCs w:val="20"/>
              </w:rPr>
              <w:t>NR</w:t>
            </w:r>
          </w:p>
        </w:tc>
      </w:tr>
      <w:tr w:rsidR="00D813FC" w:rsidRPr="00813171" w14:paraId="5C2D7EA9" w14:textId="77777777" w:rsidTr="000B12F4">
        <w:tc>
          <w:tcPr>
            <w:tcW w:w="1420" w:type="pct"/>
          </w:tcPr>
          <w:p w14:paraId="014DADB2" w14:textId="77777777" w:rsidR="0036519A" w:rsidRPr="00813171" w:rsidRDefault="0036519A" w:rsidP="00692F9D">
            <w:pPr>
              <w:pStyle w:val="Table"/>
              <w:rPr>
                <w:rStyle w:val="Small"/>
                <w:szCs w:val="20"/>
              </w:rPr>
            </w:pPr>
            <w:r w:rsidRPr="00813171">
              <w:rPr>
                <w:rStyle w:val="Small"/>
                <w:szCs w:val="20"/>
              </w:rPr>
              <w:t>CRS (any grade), n (%)</w:t>
            </w:r>
          </w:p>
        </w:tc>
        <w:tc>
          <w:tcPr>
            <w:tcW w:w="936" w:type="pct"/>
          </w:tcPr>
          <w:p w14:paraId="1C0D2450" w14:textId="77777777" w:rsidR="0036519A" w:rsidRPr="00EC05E8" w:rsidRDefault="00EC05E8" w:rsidP="00692F9D">
            <w:pPr>
              <w:pStyle w:val="Table"/>
              <w:jc w:val="center"/>
              <w:rPr>
                <w:rStyle w:val="Small"/>
                <w:szCs w:val="20"/>
              </w:rPr>
            </w:pPr>
            <w:r w:rsidRPr="00EC05E8">
              <w:rPr>
                <w:b/>
              </w:rPr>
              <w:t>redacted</w:t>
            </w:r>
          </w:p>
        </w:tc>
        <w:tc>
          <w:tcPr>
            <w:tcW w:w="937" w:type="pct"/>
            <w:shd w:val="clear" w:color="auto" w:fill="auto"/>
          </w:tcPr>
          <w:p w14:paraId="3F36CFB4" w14:textId="77777777" w:rsidR="0036519A" w:rsidRPr="000B12F4" w:rsidRDefault="0036519A" w:rsidP="00692F9D">
            <w:pPr>
              <w:pStyle w:val="Table"/>
              <w:jc w:val="center"/>
              <w:rPr>
                <w:rStyle w:val="Small"/>
                <w:szCs w:val="20"/>
              </w:rPr>
            </w:pPr>
            <w:r w:rsidRPr="000B12F4">
              <w:rPr>
                <w:rStyle w:val="Small"/>
                <w:szCs w:val="20"/>
              </w:rPr>
              <w:t>61 (77.2)</w:t>
            </w:r>
          </w:p>
        </w:tc>
        <w:tc>
          <w:tcPr>
            <w:tcW w:w="936" w:type="pct"/>
            <w:shd w:val="clear" w:color="auto" w:fill="auto"/>
          </w:tcPr>
          <w:p w14:paraId="34CB0C0A" w14:textId="77777777" w:rsidR="0036519A" w:rsidRPr="00A52B70" w:rsidRDefault="0036519A" w:rsidP="00692F9D">
            <w:pPr>
              <w:pStyle w:val="Table"/>
              <w:jc w:val="center"/>
              <w:rPr>
                <w:rStyle w:val="Small"/>
                <w:szCs w:val="20"/>
                <w:highlight w:val="red"/>
              </w:rPr>
            </w:pPr>
            <w:r w:rsidRPr="00F2655E">
              <w:rPr>
                <w:szCs w:val="20"/>
              </w:rPr>
              <w:t>47 (81.0)</w:t>
            </w:r>
          </w:p>
        </w:tc>
        <w:tc>
          <w:tcPr>
            <w:tcW w:w="770" w:type="pct"/>
          </w:tcPr>
          <w:p w14:paraId="6C999D1E" w14:textId="77777777" w:rsidR="0036519A" w:rsidRPr="00813171" w:rsidRDefault="0036519A" w:rsidP="00692F9D">
            <w:pPr>
              <w:pStyle w:val="Table"/>
              <w:jc w:val="center"/>
              <w:rPr>
                <w:rStyle w:val="Small"/>
                <w:szCs w:val="20"/>
              </w:rPr>
            </w:pPr>
            <w:r w:rsidRPr="00813171">
              <w:rPr>
                <w:rStyle w:val="Small"/>
                <w:szCs w:val="20"/>
              </w:rPr>
              <w:t>8 (11.0)</w:t>
            </w:r>
          </w:p>
        </w:tc>
      </w:tr>
    </w:tbl>
    <w:p w14:paraId="5860EF7C" w14:textId="77777777" w:rsidR="00F245BC" w:rsidRDefault="00F245BC" w:rsidP="00813171">
      <w:pPr>
        <w:pStyle w:val="CaptionFootnote"/>
        <w:rPr>
          <w:rFonts w:ascii="Arial Narrow" w:hAnsi="Arial Narrow"/>
          <w:sz w:val="18"/>
        </w:rPr>
      </w:pPr>
      <w:r>
        <w:rPr>
          <w:rFonts w:ascii="Arial Narrow" w:hAnsi="Arial Narrow"/>
          <w:sz w:val="18"/>
        </w:rPr>
        <w:t xml:space="preserve">* Results for TIS (B2101, ELIANA, </w:t>
      </w:r>
      <w:proofErr w:type="gramStart"/>
      <w:r>
        <w:rPr>
          <w:rFonts w:ascii="Arial Narrow" w:hAnsi="Arial Narrow"/>
          <w:sz w:val="18"/>
        </w:rPr>
        <w:t>ENSIGN</w:t>
      </w:r>
      <w:proofErr w:type="gramEnd"/>
      <w:r>
        <w:rPr>
          <w:rFonts w:ascii="Arial Narrow" w:hAnsi="Arial Narrow"/>
          <w:sz w:val="18"/>
        </w:rPr>
        <w:t>) are not reported on an</w:t>
      </w:r>
      <w:r w:rsidRPr="00F245BC">
        <w:rPr>
          <w:rFonts w:ascii="Arial Narrow" w:hAnsi="Arial Narrow"/>
          <w:sz w:val="18"/>
        </w:rPr>
        <w:t xml:space="preserve"> </w:t>
      </w:r>
      <w:r>
        <w:rPr>
          <w:rFonts w:ascii="Arial Narrow" w:hAnsi="Arial Narrow"/>
          <w:sz w:val="18"/>
        </w:rPr>
        <w:t>intention-to-treat (ITT) basis.</w:t>
      </w:r>
    </w:p>
    <w:p w14:paraId="19D05CF0" w14:textId="77777777" w:rsidR="00813171" w:rsidRPr="00193153" w:rsidRDefault="00813171" w:rsidP="00813171">
      <w:pPr>
        <w:pStyle w:val="CaptionFootnote"/>
        <w:rPr>
          <w:rFonts w:ascii="Arial Narrow" w:hAnsi="Arial Narrow"/>
          <w:sz w:val="18"/>
        </w:rPr>
      </w:pPr>
      <w:r w:rsidRPr="00193153">
        <w:rPr>
          <w:rFonts w:ascii="Arial Narrow" w:hAnsi="Arial Narrow"/>
          <w:sz w:val="18"/>
        </w:rPr>
        <w:t xml:space="preserve">Abbreviations: ORR = overall remission rate; EFS = </w:t>
      </w:r>
      <w:r w:rsidR="00400293" w:rsidRPr="00193153">
        <w:rPr>
          <w:rFonts w:ascii="Arial Narrow" w:hAnsi="Arial Narrow"/>
          <w:sz w:val="18"/>
        </w:rPr>
        <w:t>event free sur</w:t>
      </w:r>
      <w:r w:rsidRPr="00193153">
        <w:rPr>
          <w:rFonts w:ascii="Arial Narrow" w:hAnsi="Arial Narrow"/>
          <w:sz w:val="18"/>
        </w:rPr>
        <w:t xml:space="preserve">vival; OS = </w:t>
      </w:r>
      <w:r w:rsidR="00400293" w:rsidRPr="00193153">
        <w:rPr>
          <w:rFonts w:ascii="Arial Narrow" w:hAnsi="Arial Narrow"/>
          <w:sz w:val="18"/>
        </w:rPr>
        <w:t>overall su</w:t>
      </w:r>
      <w:r w:rsidRPr="00193153">
        <w:rPr>
          <w:rFonts w:ascii="Arial Narrow" w:hAnsi="Arial Narrow"/>
          <w:sz w:val="18"/>
        </w:rPr>
        <w:t xml:space="preserve">rvival; AE = </w:t>
      </w:r>
      <w:r w:rsidR="00400293" w:rsidRPr="00193153">
        <w:rPr>
          <w:rFonts w:ascii="Arial Narrow" w:hAnsi="Arial Narrow"/>
          <w:sz w:val="18"/>
        </w:rPr>
        <w:t>adverse ev</w:t>
      </w:r>
      <w:r w:rsidRPr="00193153">
        <w:rPr>
          <w:rFonts w:ascii="Arial Narrow" w:hAnsi="Arial Narrow"/>
          <w:sz w:val="18"/>
        </w:rPr>
        <w:t xml:space="preserve">ent; CRS = </w:t>
      </w:r>
      <w:r w:rsidR="00400293">
        <w:rPr>
          <w:rFonts w:ascii="Arial Narrow" w:hAnsi="Arial Narrow"/>
          <w:sz w:val="18"/>
        </w:rPr>
        <w:t>c</w:t>
      </w:r>
      <w:r w:rsidRPr="00193153">
        <w:rPr>
          <w:rFonts w:ascii="Arial Narrow" w:hAnsi="Arial Narrow"/>
          <w:sz w:val="18"/>
        </w:rPr>
        <w:t xml:space="preserve">ytokine release syndrome; NE = </w:t>
      </w:r>
      <w:r w:rsidR="00400293">
        <w:rPr>
          <w:rFonts w:ascii="Arial Narrow" w:hAnsi="Arial Narrow"/>
          <w:sz w:val="18"/>
        </w:rPr>
        <w:t>n</w:t>
      </w:r>
      <w:r w:rsidRPr="00193153">
        <w:rPr>
          <w:rFonts w:ascii="Arial Narrow" w:hAnsi="Arial Narrow"/>
          <w:sz w:val="18"/>
        </w:rPr>
        <w:t xml:space="preserve">ot evaluable; NR = not reported; CI = </w:t>
      </w:r>
      <w:r w:rsidR="00400293">
        <w:rPr>
          <w:rFonts w:ascii="Arial Narrow" w:hAnsi="Arial Narrow"/>
          <w:sz w:val="18"/>
        </w:rPr>
        <w:t>c</w:t>
      </w:r>
      <w:r w:rsidRPr="00193153">
        <w:rPr>
          <w:rFonts w:ascii="Arial Narrow" w:hAnsi="Arial Narrow"/>
          <w:sz w:val="18"/>
        </w:rPr>
        <w:t xml:space="preserve">onfidence </w:t>
      </w:r>
      <w:r w:rsidR="00400293">
        <w:rPr>
          <w:rFonts w:ascii="Arial Narrow" w:hAnsi="Arial Narrow"/>
          <w:sz w:val="18"/>
        </w:rPr>
        <w:t>i</w:t>
      </w:r>
      <w:r w:rsidRPr="00193153">
        <w:rPr>
          <w:rFonts w:ascii="Arial Narrow" w:hAnsi="Arial Narrow"/>
          <w:sz w:val="18"/>
        </w:rPr>
        <w:t>nterval</w:t>
      </w:r>
      <w:r w:rsidR="00F245BC">
        <w:rPr>
          <w:rFonts w:ascii="Arial Narrow" w:hAnsi="Arial Narrow"/>
          <w:sz w:val="18"/>
        </w:rPr>
        <w:t>; TIS = tisagenlecleucel</w:t>
      </w:r>
    </w:p>
    <w:p w14:paraId="698A2473" w14:textId="77777777" w:rsidR="00813171" w:rsidRDefault="00813171" w:rsidP="00813171">
      <w:pPr>
        <w:pStyle w:val="CaptionFootnote"/>
        <w:rPr>
          <w:rFonts w:ascii="Arial Narrow" w:hAnsi="Arial Narrow"/>
          <w:sz w:val="18"/>
        </w:rPr>
      </w:pPr>
      <w:r w:rsidRPr="00193153">
        <w:rPr>
          <w:rFonts w:ascii="Arial Narrow" w:hAnsi="Arial Narrow"/>
          <w:sz w:val="18"/>
        </w:rPr>
        <w:t>Study notes: ELIANA = Dec 2017 data cut; ENSIGN = Oct 2017 data cut</w:t>
      </w:r>
    </w:p>
    <w:p w14:paraId="73A531A2" w14:textId="77777777" w:rsidR="00813171" w:rsidRPr="000C0372" w:rsidRDefault="0071693F" w:rsidP="000C0372">
      <w:pPr>
        <w:pStyle w:val="CaptionFootnote"/>
        <w:spacing w:after="240"/>
        <w:rPr>
          <w:rFonts w:ascii="Arial Narrow" w:hAnsi="Arial Narrow"/>
          <w:sz w:val="18"/>
        </w:rPr>
      </w:pPr>
      <w:proofErr w:type="gramStart"/>
      <w:r>
        <w:rPr>
          <w:rFonts w:ascii="Arial Narrow" w:hAnsi="Arial Narrow"/>
          <w:sz w:val="18"/>
          <w:vertAlign w:val="superscript"/>
        </w:rPr>
        <w:t>a</w:t>
      </w:r>
      <w:proofErr w:type="gramEnd"/>
      <w:r>
        <w:rPr>
          <w:rFonts w:ascii="Arial Narrow" w:hAnsi="Arial Narrow"/>
          <w:sz w:val="18"/>
          <w:vertAlign w:val="superscript"/>
        </w:rPr>
        <w:t xml:space="preserve"> </w:t>
      </w:r>
      <w:r>
        <w:rPr>
          <w:rFonts w:ascii="Arial Narrow" w:hAnsi="Arial Narrow"/>
          <w:sz w:val="18"/>
        </w:rPr>
        <w:t>Primary endpoint: ORR per investigator during the first two cycles of blinatumomab treatment</w:t>
      </w:r>
    </w:p>
    <w:p w14:paraId="236DF63C" w14:textId="2B768E90" w:rsidR="009B55F1" w:rsidRPr="00496A12" w:rsidRDefault="009B55F1" w:rsidP="00496A12">
      <w:pPr>
        <w:spacing w:after="240"/>
      </w:pPr>
      <w:r w:rsidRPr="00302D1F">
        <w:t xml:space="preserve">The safety outcomes for </w:t>
      </w:r>
      <w:r w:rsidR="00282507">
        <w:t xml:space="preserve">B2101 and </w:t>
      </w:r>
      <w:r w:rsidRPr="00302D1F">
        <w:t>ENSIGN</w:t>
      </w:r>
      <w:r w:rsidR="00302D1F" w:rsidRPr="00302D1F">
        <w:t xml:space="preserve"> that</w:t>
      </w:r>
      <w:r w:rsidR="00DA7B6B">
        <w:t xml:space="preserve"> </w:t>
      </w:r>
      <w:proofErr w:type="gramStart"/>
      <w:r w:rsidR="00DA7B6B">
        <w:t>have been redacted</w:t>
      </w:r>
      <w:proofErr w:type="gramEnd"/>
      <w:r w:rsidR="00DA7B6B">
        <w:t xml:space="preserve"> from </w:t>
      </w:r>
      <w:r w:rsidR="00496A12">
        <w:fldChar w:fldCharType="begin"/>
      </w:r>
      <w:r w:rsidR="00496A12">
        <w:instrText xml:space="preserve"> REF _Ref6471638 \h </w:instrText>
      </w:r>
      <w:r w:rsidR="00496A12">
        <w:fldChar w:fldCharType="separate"/>
      </w:r>
      <w:r w:rsidR="001E1B42">
        <w:t xml:space="preserve">Table </w:t>
      </w:r>
      <w:r w:rsidR="001E1B42">
        <w:rPr>
          <w:noProof/>
        </w:rPr>
        <w:t>4</w:t>
      </w:r>
      <w:r w:rsidR="00496A12">
        <w:fldChar w:fldCharType="end"/>
      </w:r>
      <w:r w:rsidRPr="00302D1F">
        <w:t xml:space="preserve"> are consistent with those for ELIANA</w:t>
      </w:r>
      <w:r w:rsidR="00282507">
        <w:t>, except that there were numerically higher proportions of patients in B20101 who experienced serious adverse events or who died.</w:t>
      </w:r>
    </w:p>
    <w:p w14:paraId="4C8C224E" w14:textId="77777777" w:rsidR="00193153" w:rsidRPr="00D0131A" w:rsidRDefault="00193153" w:rsidP="00DA54AF">
      <w:pPr>
        <w:spacing w:after="120"/>
        <w:rPr>
          <w:b/>
          <w:i/>
        </w:rPr>
      </w:pPr>
      <w:r w:rsidRPr="00D0131A">
        <w:rPr>
          <w:b/>
          <w:i/>
        </w:rPr>
        <w:t>DLBCL population</w:t>
      </w:r>
    </w:p>
    <w:p w14:paraId="370CE141" w14:textId="0833A59F" w:rsidR="00DC2054" w:rsidRDefault="00193153" w:rsidP="006C4B9C">
      <w:proofErr w:type="gramStart"/>
      <w:r>
        <w:t xml:space="preserve">The </w:t>
      </w:r>
      <w:r w:rsidR="00F1625B">
        <w:t>application</w:t>
      </w:r>
      <w:r>
        <w:t xml:space="preserve"> stated b</w:t>
      </w:r>
      <w:r w:rsidRPr="00193153">
        <w:t xml:space="preserve">oth </w:t>
      </w:r>
      <w:r w:rsidR="006A6F9D">
        <w:t xml:space="preserve">TIS studies in </w:t>
      </w:r>
      <w:r w:rsidRPr="00193153">
        <w:t>DLBCL also comfortably met their primary endpoint</w:t>
      </w:r>
      <w:r w:rsidR="0071693F">
        <w:t xml:space="preserve"> </w:t>
      </w:r>
      <w:r w:rsidR="00FB5EDA">
        <w:t>(U</w:t>
      </w:r>
      <w:r w:rsidR="0071693F">
        <w:t>PEN: overall response rate (ORR)</w:t>
      </w:r>
      <w:r w:rsidR="00FB5EDA">
        <w:t xml:space="preserve"> with radiologist review; and JULIET: ORR by IRC</w:t>
      </w:r>
      <w:r w:rsidR="00494728">
        <w:t xml:space="preserve"> at the pre-planned interim analysis, with median duration of follow-up of 3.5 months</w:t>
      </w:r>
      <w:r w:rsidR="00FB5EDA">
        <w:t>)</w:t>
      </w:r>
      <w:r w:rsidRPr="00193153">
        <w:t>: the overall response rate (ORR) in JULIET was 58.8% (95% CI: 44.2, 72.4) while in UPEN</w:t>
      </w:r>
      <w:r w:rsidR="00400293">
        <w:t>,</w:t>
      </w:r>
      <w:r w:rsidRPr="00193153">
        <w:t xml:space="preserve"> the ORR in the subgroup of patients with DLBCL specifi</w:t>
      </w:r>
      <w:r w:rsidR="00DC2054">
        <w:t>cally was 50% (95% CI: 23, 77) (</w:t>
      </w:r>
      <w:r w:rsidR="00494728">
        <w:t>see also</w:t>
      </w:r>
      <w:r w:rsidR="00DA7B6B">
        <w:t xml:space="preserve"> </w:t>
      </w:r>
      <w:r w:rsidR="003F6D9D">
        <w:fldChar w:fldCharType="begin"/>
      </w:r>
      <w:r w:rsidR="003F6D9D">
        <w:instrText xml:space="preserve"> REF _Ref5265437 \h </w:instrText>
      </w:r>
      <w:r w:rsidR="003F6D9D">
        <w:fldChar w:fldCharType="separate"/>
      </w:r>
      <w:r w:rsidR="001E1B42">
        <w:t xml:space="preserve">Table </w:t>
      </w:r>
      <w:r w:rsidR="001E1B42">
        <w:rPr>
          <w:noProof/>
        </w:rPr>
        <w:t>5</w:t>
      </w:r>
      <w:r w:rsidR="003F6D9D">
        <w:fldChar w:fldCharType="end"/>
      </w:r>
      <w:r w:rsidR="00494728">
        <w:t>, which reports results of the most recent data cut available at the time the application was finalised</w:t>
      </w:r>
      <w:r w:rsidR="00DC2054">
        <w:t>).</w:t>
      </w:r>
      <w:proofErr w:type="gramEnd"/>
    </w:p>
    <w:p w14:paraId="6BF099C0" w14:textId="56E82BC7" w:rsidR="00EF6779" w:rsidRDefault="00DC2054" w:rsidP="00EF6779">
      <w:pPr>
        <w:spacing w:before="240" w:after="240"/>
      </w:pPr>
      <w:r>
        <w:t xml:space="preserve">The ORR rate for TIS treated patients in the 12-month follow-up of the key JULIET </w:t>
      </w:r>
      <w:r w:rsidR="006A6F9D">
        <w:t>study</w:t>
      </w:r>
      <w:r>
        <w:t xml:space="preserve"> </w:t>
      </w:r>
      <w:r w:rsidRPr="00640BB7">
        <w:t xml:space="preserve">was 51.6% (95% CI: 41.0%, 62.1%) and the median duration of response had not yet been </w:t>
      </w:r>
      <w:r w:rsidRPr="006C4B9C">
        <w:t>reached. Median (PFS) in this highly relapsed/refractory patient population was 2.9 months (95% CI</w:t>
      </w:r>
      <w:r w:rsidR="00400293" w:rsidRPr="006C4B9C">
        <w:t>:</w:t>
      </w:r>
      <w:r w:rsidRPr="006C4B9C">
        <w:t xml:space="preserve"> </w:t>
      </w:r>
      <w:r w:rsidR="006C4B9C" w:rsidRPr="006C4B9C">
        <w:rPr>
          <w:b/>
        </w:rPr>
        <w:t>redacted</w:t>
      </w:r>
      <w:r w:rsidRPr="006C4B9C">
        <w:t>) and median OS 11.7 months (</w:t>
      </w:r>
      <w:r w:rsidR="00284A14" w:rsidRPr="006C4B9C">
        <w:t>95% CI</w:t>
      </w:r>
      <w:r w:rsidR="00400293" w:rsidRPr="006C4B9C">
        <w:t>:</w:t>
      </w:r>
      <w:r w:rsidR="00284A14" w:rsidRPr="006C4B9C">
        <w:t xml:space="preserve"> </w:t>
      </w:r>
      <w:r w:rsidRPr="006C4B9C">
        <w:t>6.6,</w:t>
      </w:r>
      <w:r w:rsidR="00284A14" w:rsidRPr="006C4B9C">
        <w:t xml:space="preserve"> not evaluable</w:t>
      </w:r>
      <w:r w:rsidRPr="006C4B9C">
        <w:t>).</w:t>
      </w:r>
      <w:bookmarkStart w:id="6" w:name="_Ref531333648"/>
      <w:r w:rsidR="00EF6779">
        <w:br w:type="page"/>
      </w:r>
    </w:p>
    <w:p w14:paraId="6541CB78" w14:textId="5E511D75" w:rsidR="00193153" w:rsidRDefault="00245C11" w:rsidP="00245C11">
      <w:pPr>
        <w:pStyle w:val="Caption"/>
      </w:pPr>
      <w:bookmarkStart w:id="7" w:name="_Ref5265437"/>
      <w:r>
        <w:lastRenderedPageBreak/>
        <w:t xml:space="preserve">Table </w:t>
      </w:r>
      <w:r w:rsidR="0083734C">
        <w:rPr>
          <w:noProof/>
        </w:rPr>
        <w:fldChar w:fldCharType="begin"/>
      </w:r>
      <w:r w:rsidR="0083734C">
        <w:rPr>
          <w:noProof/>
        </w:rPr>
        <w:instrText xml:space="preserve"> SEQ Table \* ARABIC </w:instrText>
      </w:r>
      <w:r w:rsidR="0083734C">
        <w:rPr>
          <w:noProof/>
        </w:rPr>
        <w:fldChar w:fldCharType="separate"/>
      </w:r>
      <w:r w:rsidR="001E1B42">
        <w:rPr>
          <w:noProof/>
        </w:rPr>
        <w:t>5</w:t>
      </w:r>
      <w:r w:rsidR="0083734C">
        <w:rPr>
          <w:noProof/>
        </w:rPr>
        <w:fldChar w:fldCharType="end"/>
      </w:r>
      <w:bookmarkEnd w:id="6"/>
      <w:bookmarkEnd w:id="7"/>
      <w:r>
        <w:tab/>
        <w:t>S</w:t>
      </w:r>
      <w:r w:rsidR="00193153" w:rsidRPr="00815250">
        <w:t xml:space="preserve">ummary results from the DLBCL </w:t>
      </w:r>
      <w:r w:rsidR="006A6F9D">
        <w:t>studie</w:t>
      </w:r>
      <w:r w:rsidR="00193153" w:rsidRPr="00815250">
        <w:t>s</w:t>
      </w:r>
      <w:r w:rsidR="00F245BC">
        <w:t>*</w:t>
      </w:r>
    </w:p>
    <w:tbl>
      <w:tblPr>
        <w:tblStyle w:val="TableGrid1"/>
        <w:tblW w:w="5000" w:type="pct"/>
        <w:tblCellMar>
          <w:left w:w="28" w:type="dxa"/>
          <w:right w:w="28" w:type="dxa"/>
        </w:tblCellMar>
        <w:tblLook w:val="04A0" w:firstRow="1" w:lastRow="0" w:firstColumn="1" w:lastColumn="0" w:noHBand="0" w:noVBand="1"/>
        <w:tblCaption w:val="Summary results from the DLBCL trials"/>
      </w:tblPr>
      <w:tblGrid>
        <w:gridCol w:w="1762"/>
        <w:gridCol w:w="741"/>
        <w:gridCol w:w="911"/>
        <w:gridCol w:w="1116"/>
        <w:gridCol w:w="986"/>
        <w:gridCol w:w="1127"/>
        <w:gridCol w:w="1127"/>
        <w:gridCol w:w="1246"/>
      </w:tblGrid>
      <w:tr w:rsidR="00D813FC" w:rsidRPr="00193153" w14:paraId="0A90115B" w14:textId="77777777" w:rsidTr="00D813FC">
        <w:trPr>
          <w:tblHeader/>
        </w:trPr>
        <w:tc>
          <w:tcPr>
            <w:tcW w:w="977" w:type="pct"/>
            <w:shd w:val="clear" w:color="auto" w:fill="A6A6A6" w:themeFill="background1" w:themeFillShade="A6"/>
          </w:tcPr>
          <w:p w14:paraId="2827A093" w14:textId="77777777" w:rsidR="00D813FC" w:rsidRPr="00193153" w:rsidRDefault="00D813FC" w:rsidP="00193153">
            <w:pPr>
              <w:pStyle w:val="Table"/>
              <w:rPr>
                <w:rStyle w:val="Small"/>
                <w:szCs w:val="20"/>
              </w:rPr>
            </w:pPr>
            <w:r w:rsidRPr="00193153">
              <w:rPr>
                <w:rStyle w:val="Small"/>
                <w:szCs w:val="20"/>
              </w:rPr>
              <w:t>Outcome</w:t>
            </w:r>
          </w:p>
        </w:tc>
        <w:tc>
          <w:tcPr>
            <w:tcW w:w="411" w:type="pct"/>
            <w:shd w:val="clear" w:color="auto" w:fill="A6A6A6" w:themeFill="background1" w:themeFillShade="A6"/>
          </w:tcPr>
          <w:p w14:paraId="1347E30C" w14:textId="77777777" w:rsidR="00D813FC" w:rsidRPr="00193153" w:rsidRDefault="00D813FC" w:rsidP="00D813FC">
            <w:pPr>
              <w:pStyle w:val="TableCentre"/>
              <w:rPr>
                <w:rStyle w:val="Small"/>
                <w:szCs w:val="20"/>
              </w:rPr>
            </w:pPr>
            <w:r w:rsidRPr="00193153">
              <w:rPr>
                <w:rStyle w:val="Small"/>
                <w:szCs w:val="20"/>
              </w:rPr>
              <w:t>UPEN</w:t>
            </w:r>
          </w:p>
        </w:tc>
        <w:tc>
          <w:tcPr>
            <w:tcW w:w="505" w:type="pct"/>
            <w:shd w:val="clear" w:color="auto" w:fill="A6A6A6" w:themeFill="background1" w:themeFillShade="A6"/>
          </w:tcPr>
          <w:p w14:paraId="47DE0D50" w14:textId="77777777" w:rsidR="00D813FC" w:rsidRPr="00640BB7" w:rsidRDefault="00D813FC" w:rsidP="00D813FC">
            <w:pPr>
              <w:pStyle w:val="TableCentre"/>
              <w:rPr>
                <w:rStyle w:val="Small"/>
                <w:szCs w:val="20"/>
              </w:rPr>
            </w:pPr>
            <w:r w:rsidRPr="00640BB7">
              <w:rPr>
                <w:rStyle w:val="Small"/>
                <w:szCs w:val="20"/>
              </w:rPr>
              <w:t>JULIET</w:t>
            </w:r>
          </w:p>
        </w:tc>
        <w:tc>
          <w:tcPr>
            <w:tcW w:w="619" w:type="pct"/>
            <w:shd w:val="clear" w:color="auto" w:fill="A6A6A6" w:themeFill="background1" w:themeFillShade="A6"/>
          </w:tcPr>
          <w:p w14:paraId="2CB19A9E" w14:textId="77777777" w:rsidR="00D813FC" w:rsidRPr="001C5E66" w:rsidRDefault="00D813FC" w:rsidP="00D813FC">
            <w:pPr>
              <w:pStyle w:val="TableCentre"/>
              <w:rPr>
                <w:rStyle w:val="Small"/>
                <w:szCs w:val="20"/>
                <w:vertAlign w:val="superscript"/>
              </w:rPr>
            </w:pPr>
            <w:r w:rsidRPr="00193153">
              <w:rPr>
                <w:rStyle w:val="Small"/>
                <w:szCs w:val="20"/>
              </w:rPr>
              <w:t>NCIC-</w:t>
            </w:r>
            <w:proofErr w:type="spellStart"/>
            <w:r w:rsidRPr="00193153">
              <w:rPr>
                <w:rStyle w:val="Small"/>
                <w:szCs w:val="20"/>
              </w:rPr>
              <w:t>CTG</w:t>
            </w:r>
            <w:r w:rsidR="00FB5EDA">
              <w:rPr>
                <w:rStyle w:val="Small"/>
                <w:szCs w:val="20"/>
                <w:vertAlign w:val="superscript"/>
              </w:rPr>
              <w:t>a</w:t>
            </w:r>
            <w:proofErr w:type="spellEnd"/>
          </w:p>
        </w:tc>
        <w:tc>
          <w:tcPr>
            <w:tcW w:w="547" w:type="pct"/>
            <w:shd w:val="clear" w:color="auto" w:fill="A6A6A6" w:themeFill="background1" w:themeFillShade="A6"/>
          </w:tcPr>
          <w:p w14:paraId="34857019" w14:textId="77777777" w:rsidR="00D813FC" w:rsidRPr="001C5E66" w:rsidRDefault="00D813FC" w:rsidP="00D813FC">
            <w:pPr>
              <w:pStyle w:val="TableCentre"/>
              <w:rPr>
                <w:rStyle w:val="Small"/>
                <w:szCs w:val="20"/>
                <w:vertAlign w:val="superscript"/>
              </w:rPr>
            </w:pPr>
            <w:proofErr w:type="spellStart"/>
            <w:r w:rsidRPr="00193153">
              <w:rPr>
                <w:rStyle w:val="Small"/>
                <w:szCs w:val="20"/>
              </w:rPr>
              <w:t>CORAL_R</w:t>
            </w:r>
            <w:r w:rsidR="00FB5EDA">
              <w:rPr>
                <w:rStyle w:val="Small"/>
                <w:szCs w:val="20"/>
                <w:vertAlign w:val="superscript"/>
              </w:rPr>
              <w:t>a</w:t>
            </w:r>
            <w:proofErr w:type="spellEnd"/>
          </w:p>
        </w:tc>
        <w:tc>
          <w:tcPr>
            <w:tcW w:w="625" w:type="pct"/>
            <w:shd w:val="clear" w:color="auto" w:fill="A6A6A6" w:themeFill="background1" w:themeFillShade="A6"/>
          </w:tcPr>
          <w:p w14:paraId="7E2A3A9B" w14:textId="77777777" w:rsidR="00D813FC" w:rsidRPr="00193153" w:rsidRDefault="00D813FC" w:rsidP="00D813FC">
            <w:pPr>
              <w:pStyle w:val="TableCentre"/>
              <w:rPr>
                <w:rStyle w:val="Small"/>
                <w:szCs w:val="20"/>
              </w:rPr>
            </w:pPr>
            <w:r w:rsidRPr="00193153">
              <w:rPr>
                <w:rStyle w:val="Small"/>
                <w:szCs w:val="20"/>
              </w:rPr>
              <w:t>SCHOLAR</w:t>
            </w:r>
          </w:p>
        </w:tc>
        <w:tc>
          <w:tcPr>
            <w:tcW w:w="625" w:type="pct"/>
            <w:shd w:val="clear" w:color="auto" w:fill="A6A6A6" w:themeFill="background1" w:themeFillShade="A6"/>
          </w:tcPr>
          <w:p w14:paraId="3517501C" w14:textId="77777777" w:rsidR="00D813FC" w:rsidRPr="00193153" w:rsidRDefault="00D813FC" w:rsidP="00D813FC">
            <w:pPr>
              <w:pStyle w:val="TableCentre"/>
              <w:rPr>
                <w:rStyle w:val="Small"/>
                <w:szCs w:val="20"/>
              </w:rPr>
            </w:pPr>
            <w:r w:rsidRPr="00193153">
              <w:rPr>
                <w:rStyle w:val="Small"/>
                <w:szCs w:val="20"/>
              </w:rPr>
              <w:t>CORAL_E1</w:t>
            </w:r>
          </w:p>
        </w:tc>
        <w:tc>
          <w:tcPr>
            <w:tcW w:w="691" w:type="pct"/>
            <w:shd w:val="clear" w:color="auto" w:fill="A6A6A6" w:themeFill="background1" w:themeFillShade="A6"/>
          </w:tcPr>
          <w:p w14:paraId="5A690921" w14:textId="77777777" w:rsidR="00D813FC" w:rsidRPr="00193153" w:rsidRDefault="00D813FC" w:rsidP="00D813FC">
            <w:pPr>
              <w:pStyle w:val="TableCentre"/>
              <w:rPr>
                <w:rStyle w:val="Small"/>
                <w:szCs w:val="20"/>
              </w:rPr>
            </w:pPr>
            <w:r w:rsidRPr="00193153">
              <w:rPr>
                <w:rStyle w:val="Small"/>
                <w:szCs w:val="20"/>
              </w:rPr>
              <w:t>CORAL_E2</w:t>
            </w:r>
          </w:p>
        </w:tc>
      </w:tr>
      <w:tr w:rsidR="00D813FC" w:rsidRPr="00193153" w14:paraId="74D4B241" w14:textId="77777777" w:rsidTr="00D813FC">
        <w:tc>
          <w:tcPr>
            <w:tcW w:w="977" w:type="pct"/>
            <w:shd w:val="clear" w:color="auto" w:fill="BFBFBF" w:themeFill="background1" w:themeFillShade="BF"/>
          </w:tcPr>
          <w:p w14:paraId="53F685C8" w14:textId="77777777" w:rsidR="00D813FC" w:rsidRPr="00193153" w:rsidRDefault="00D813FC" w:rsidP="00193153">
            <w:pPr>
              <w:pStyle w:val="Table"/>
              <w:rPr>
                <w:rStyle w:val="Small"/>
                <w:szCs w:val="20"/>
              </w:rPr>
            </w:pPr>
            <w:r w:rsidRPr="00193153">
              <w:rPr>
                <w:rStyle w:val="Small"/>
                <w:szCs w:val="20"/>
              </w:rPr>
              <w:t>Efficacy outcomes</w:t>
            </w:r>
          </w:p>
        </w:tc>
        <w:tc>
          <w:tcPr>
            <w:tcW w:w="411" w:type="pct"/>
            <w:shd w:val="clear" w:color="auto" w:fill="BFBFBF" w:themeFill="background1" w:themeFillShade="BF"/>
          </w:tcPr>
          <w:p w14:paraId="33772C90" w14:textId="77777777" w:rsidR="00D813FC" w:rsidRPr="00193153" w:rsidRDefault="00D813FC" w:rsidP="00193153">
            <w:pPr>
              <w:pStyle w:val="TableCentre"/>
              <w:rPr>
                <w:rStyle w:val="Small"/>
                <w:szCs w:val="20"/>
              </w:rPr>
            </w:pPr>
            <w:r w:rsidRPr="00193153">
              <w:rPr>
                <w:rStyle w:val="Small"/>
                <w:szCs w:val="20"/>
              </w:rPr>
              <w:t>N=28</w:t>
            </w:r>
          </w:p>
        </w:tc>
        <w:tc>
          <w:tcPr>
            <w:tcW w:w="505" w:type="pct"/>
            <w:shd w:val="clear" w:color="auto" w:fill="BFBFBF" w:themeFill="background1" w:themeFillShade="BF"/>
          </w:tcPr>
          <w:p w14:paraId="7DF56128" w14:textId="77777777" w:rsidR="00D813FC" w:rsidRPr="00640BB7" w:rsidRDefault="00D813FC" w:rsidP="00193153">
            <w:pPr>
              <w:pStyle w:val="TableCentre"/>
              <w:rPr>
                <w:rStyle w:val="Small"/>
                <w:szCs w:val="20"/>
              </w:rPr>
            </w:pPr>
            <w:r w:rsidRPr="00640BB7">
              <w:rPr>
                <w:rStyle w:val="Small"/>
                <w:szCs w:val="20"/>
              </w:rPr>
              <w:t>N=111</w:t>
            </w:r>
          </w:p>
        </w:tc>
        <w:tc>
          <w:tcPr>
            <w:tcW w:w="619" w:type="pct"/>
            <w:shd w:val="clear" w:color="auto" w:fill="BFBFBF" w:themeFill="background1" w:themeFillShade="BF"/>
          </w:tcPr>
          <w:p w14:paraId="499D3B5C" w14:textId="77777777" w:rsidR="00D813FC" w:rsidRPr="00193153" w:rsidRDefault="00D813FC" w:rsidP="00193153">
            <w:pPr>
              <w:pStyle w:val="TableCentre"/>
              <w:rPr>
                <w:rStyle w:val="Small"/>
                <w:szCs w:val="20"/>
              </w:rPr>
            </w:pPr>
            <w:r w:rsidRPr="00193153">
              <w:rPr>
                <w:rStyle w:val="Small"/>
                <w:szCs w:val="20"/>
              </w:rPr>
              <w:t>N=619</w:t>
            </w:r>
          </w:p>
        </w:tc>
        <w:tc>
          <w:tcPr>
            <w:tcW w:w="547" w:type="pct"/>
            <w:shd w:val="clear" w:color="auto" w:fill="BFBFBF" w:themeFill="background1" w:themeFillShade="BF"/>
          </w:tcPr>
          <w:p w14:paraId="2FFB0DC4" w14:textId="77777777" w:rsidR="00D813FC" w:rsidRPr="00193153" w:rsidRDefault="00D813FC" w:rsidP="00193153">
            <w:pPr>
              <w:pStyle w:val="TableCentre"/>
              <w:rPr>
                <w:rStyle w:val="Small"/>
                <w:szCs w:val="20"/>
              </w:rPr>
            </w:pPr>
            <w:r w:rsidRPr="00193153">
              <w:rPr>
                <w:rStyle w:val="Small"/>
                <w:szCs w:val="20"/>
              </w:rPr>
              <w:t>N=396</w:t>
            </w:r>
          </w:p>
        </w:tc>
        <w:tc>
          <w:tcPr>
            <w:tcW w:w="625" w:type="pct"/>
            <w:shd w:val="clear" w:color="auto" w:fill="BFBFBF" w:themeFill="background1" w:themeFillShade="BF"/>
          </w:tcPr>
          <w:p w14:paraId="4D4BEDC5" w14:textId="77777777" w:rsidR="00D813FC" w:rsidRPr="00193153" w:rsidRDefault="00D813FC" w:rsidP="00193153">
            <w:pPr>
              <w:pStyle w:val="TableCentre"/>
              <w:rPr>
                <w:rStyle w:val="Small"/>
                <w:szCs w:val="20"/>
              </w:rPr>
            </w:pPr>
            <w:r w:rsidRPr="00193153">
              <w:rPr>
                <w:rStyle w:val="Small"/>
                <w:szCs w:val="20"/>
              </w:rPr>
              <w:t>N=523</w:t>
            </w:r>
          </w:p>
        </w:tc>
        <w:tc>
          <w:tcPr>
            <w:tcW w:w="625" w:type="pct"/>
            <w:shd w:val="clear" w:color="auto" w:fill="BFBFBF" w:themeFill="background1" w:themeFillShade="BF"/>
          </w:tcPr>
          <w:p w14:paraId="74ED8909" w14:textId="77777777" w:rsidR="00D813FC" w:rsidRPr="00193153" w:rsidRDefault="00D813FC" w:rsidP="00193153">
            <w:pPr>
              <w:pStyle w:val="TableCentre"/>
              <w:rPr>
                <w:rStyle w:val="Small"/>
                <w:szCs w:val="20"/>
              </w:rPr>
            </w:pPr>
          </w:p>
        </w:tc>
        <w:tc>
          <w:tcPr>
            <w:tcW w:w="691" w:type="pct"/>
            <w:shd w:val="clear" w:color="auto" w:fill="BFBFBF" w:themeFill="background1" w:themeFillShade="BF"/>
          </w:tcPr>
          <w:p w14:paraId="57AF22BE" w14:textId="77777777" w:rsidR="00D813FC" w:rsidRPr="00193153" w:rsidRDefault="00D813FC" w:rsidP="00193153">
            <w:pPr>
              <w:pStyle w:val="TableCentre"/>
              <w:rPr>
                <w:rStyle w:val="Small"/>
                <w:szCs w:val="20"/>
              </w:rPr>
            </w:pPr>
          </w:p>
        </w:tc>
      </w:tr>
      <w:tr w:rsidR="00D813FC" w:rsidRPr="00193153" w14:paraId="104A3BFF" w14:textId="77777777" w:rsidTr="00D813FC">
        <w:tc>
          <w:tcPr>
            <w:tcW w:w="977" w:type="pct"/>
          </w:tcPr>
          <w:p w14:paraId="1EC762A6" w14:textId="77777777" w:rsidR="00D813FC" w:rsidRPr="00193153" w:rsidRDefault="00D813FC" w:rsidP="00193153">
            <w:pPr>
              <w:pStyle w:val="Table"/>
              <w:rPr>
                <w:rStyle w:val="Small"/>
                <w:szCs w:val="20"/>
              </w:rPr>
            </w:pPr>
            <w:r w:rsidRPr="00193153">
              <w:rPr>
                <w:rStyle w:val="Small"/>
                <w:szCs w:val="20"/>
              </w:rPr>
              <w:t>ORR, n (%)</w:t>
            </w:r>
          </w:p>
          <w:p w14:paraId="622037AB" w14:textId="77777777" w:rsidR="00D813FC" w:rsidRPr="00193153" w:rsidRDefault="00D813FC" w:rsidP="00193153">
            <w:pPr>
              <w:pStyle w:val="Table"/>
              <w:rPr>
                <w:rStyle w:val="Small"/>
                <w:szCs w:val="20"/>
              </w:rPr>
            </w:pPr>
            <w:r w:rsidRPr="00193153">
              <w:rPr>
                <w:rStyle w:val="Small"/>
                <w:szCs w:val="20"/>
              </w:rPr>
              <w:t>[95% CI]</w:t>
            </w:r>
          </w:p>
        </w:tc>
        <w:tc>
          <w:tcPr>
            <w:tcW w:w="411" w:type="pct"/>
          </w:tcPr>
          <w:p w14:paraId="09049243" w14:textId="77777777" w:rsidR="00D813FC" w:rsidRDefault="00D813FC" w:rsidP="00193153">
            <w:pPr>
              <w:pStyle w:val="TableCentre"/>
              <w:rPr>
                <w:rStyle w:val="Small"/>
                <w:szCs w:val="20"/>
              </w:rPr>
            </w:pPr>
            <w:r w:rsidRPr="00193153">
              <w:rPr>
                <w:rStyle w:val="Small"/>
                <w:szCs w:val="20"/>
              </w:rPr>
              <w:t>7 (50)</w:t>
            </w:r>
          </w:p>
          <w:p w14:paraId="0F6BC07A" w14:textId="77777777" w:rsidR="00C61B28" w:rsidRPr="00193153" w:rsidRDefault="00C61B28" w:rsidP="00193153">
            <w:pPr>
              <w:pStyle w:val="TableCentre"/>
              <w:rPr>
                <w:rStyle w:val="Small"/>
                <w:szCs w:val="20"/>
              </w:rPr>
            </w:pPr>
            <w:r>
              <w:rPr>
                <w:rStyle w:val="Small"/>
                <w:szCs w:val="20"/>
              </w:rPr>
              <w:t>[23,77]</w:t>
            </w:r>
          </w:p>
        </w:tc>
        <w:tc>
          <w:tcPr>
            <w:tcW w:w="505" w:type="pct"/>
          </w:tcPr>
          <w:p w14:paraId="33C3BB46" w14:textId="77777777" w:rsidR="00D813FC" w:rsidRPr="00640BB7" w:rsidRDefault="00D813FC" w:rsidP="00193153">
            <w:pPr>
              <w:pStyle w:val="TableCentre"/>
              <w:rPr>
                <w:rStyle w:val="Small"/>
                <w:szCs w:val="20"/>
              </w:rPr>
            </w:pPr>
            <w:r w:rsidRPr="00640BB7">
              <w:rPr>
                <w:rStyle w:val="Small"/>
                <w:szCs w:val="20"/>
              </w:rPr>
              <w:t>48 (51.6)</w:t>
            </w:r>
          </w:p>
          <w:p w14:paraId="76F433AF" w14:textId="77777777" w:rsidR="00D813FC" w:rsidRPr="00640BB7" w:rsidRDefault="00D813FC" w:rsidP="00193153">
            <w:pPr>
              <w:pStyle w:val="TableCentre"/>
              <w:rPr>
                <w:rStyle w:val="Small"/>
                <w:szCs w:val="20"/>
              </w:rPr>
            </w:pPr>
            <w:r w:rsidRPr="00640BB7">
              <w:rPr>
                <w:rStyle w:val="Small"/>
                <w:szCs w:val="20"/>
              </w:rPr>
              <w:t>[41.0, 62.1]</w:t>
            </w:r>
          </w:p>
        </w:tc>
        <w:tc>
          <w:tcPr>
            <w:tcW w:w="619" w:type="pct"/>
          </w:tcPr>
          <w:p w14:paraId="116FB6D0" w14:textId="77777777" w:rsidR="00D813FC" w:rsidRPr="00193153" w:rsidRDefault="00D813FC" w:rsidP="00193153">
            <w:pPr>
              <w:pStyle w:val="TableCentre"/>
              <w:rPr>
                <w:rStyle w:val="Small"/>
                <w:szCs w:val="20"/>
              </w:rPr>
            </w:pPr>
            <w:r w:rsidRPr="00193153">
              <w:rPr>
                <w:rStyle w:val="Small"/>
                <w:szCs w:val="20"/>
              </w:rPr>
              <w:t>276 (44.6)</w:t>
            </w:r>
          </w:p>
          <w:p w14:paraId="05C51552" w14:textId="77777777" w:rsidR="00D813FC" w:rsidRPr="00193153" w:rsidRDefault="00D813FC" w:rsidP="00193153">
            <w:pPr>
              <w:pStyle w:val="TableCentre"/>
              <w:rPr>
                <w:rStyle w:val="Small"/>
                <w:szCs w:val="20"/>
              </w:rPr>
            </w:pPr>
            <w:r w:rsidRPr="00193153">
              <w:rPr>
                <w:rStyle w:val="Small"/>
                <w:szCs w:val="20"/>
              </w:rPr>
              <w:t>[40.6, 48.6]</w:t>
            </w:r>
          </w:p>
        </w:tc>
        <w:tc>
          <w:tcPr>
            <w:tcW w:w="547" w:type="pct"/>
          </w:tcPr>
          <w:p w14:paraId="74CF9066" w14:textId="77777777" w:rsidR="00D813FC" w:rsidRPr="00193153" w:rsidRDefault="00D813FC" w:rsidP="00193153">
            <w:pPr>
              <w:pStyle w:val="TableCentre"/>
              <w:rPr>
                <w:rStyle w:val="Small"/>
                <w:szCs w:val="20"/>
              </w:rPr>
            </w:pPr>
            <w:r w:rsidRPr="00193153">
              <w:rPr>
                <w:rStyle w:val="Small"/>
                <w:szCs w:val="20"/>
              </w:rPr>
              <w:t>245 (61.9)</w:t>
            </w:r>
          </w:p>
          <w:p w14:paraId="59E3A04D" w14:textId="77777777" w:rsidR="00D813FC" w:rsidRPr="00193153" w:rsidRDefault="00D813FC" w:rsidP="00193153">
            <w:pPr>
              <w:pStyle w:val="TableCentre"/>
              <w:rPr>
                <w:rStyle w:val="Small"/>
                <w:szCs w:val="20"/>
              </w:rPr>
            </w:pPr>
            <w:r w:rsidRPr="00193153">
              <w:rPr>
                <w:rStyle w:val="Small"/>
                <w:szCs w:val="20"/>
              </w:rPr>
              <w:t>[56.9, 66.7]</w:t>
            </w:r>
          </w:p>
        </w:tc>
        <w:tc>
          <w:tcPr>
            <w:tcW w:w="625" w:type="pct"/>
          </w:tcPr>
          <w:p w14:paraId="0C897E92" w14:textId="77777777" w:rsidR="00D813FC" w:rsidRPr="00193153" w:rsidRDefault="00D813FC" w:rsidP="00193153">
            <w:pPr>
              <w:pStyle w:val="TableCentre"/>
              <w:rPr>
                <w:rStyle w:val="Small"/>
                <w:szCs w:val="20"/>
              </w:rPr>
            </w:pPr>
            <w:r w:rsidRPr="00193153">
              <w:rPr>
                <w:rStyle w:val="Small"/>
                <w:szCs w:val="20"/>
              </w:rPr>
              <w:t>134 (26.0)</w:t>
            </w:r>
          </w:p>
          <w:p w14:paraId="11C95D4A" w14:textId="77777777" w:rsidR="00D813FC" w:rsidRPr="00193153" w:rsidRDefault="00D813FC" w:rsidP="00400293">
            <w:pPr>
              <w:pStyle w:val="TableCentre"/>
              <w:rPr>
                <w:rStyle w:val="Small"/>
                <w:szCs w:val="20"/>
              </w:rPr>
            </w:pPr>
            <w:r w:rsidRPr="00193153">
              <w:rPr>
                <w:rStyle w:val="Small"/>
                <w:szCs w:val="20"/>
              </w:rPr>
              <w:t>[21.9,</w:t>
            </w:r>
            <w:r>
              <w:rPr>
                <w:rStyle w:val="Small"/>
                <w:szCs w:val="20"/>
              </w:rPr>
              <w:t xml:space="preserve"> </w:t>
            </w:r>
            <w:r w:rsidRPr="00193153">
              <w:rPr>
                <w:rStyle w:val="Small"/>
                <w:szCs w:val="20"/>
              </w:rPr>
              <w:t>29.6]</w:t>
            </w:r>
          </w:p>
        </w:tc>
        <w:tc>
          <w:tcPr>
            <w:tcW w:w="625" w:type="pct"/>
          </w:tcPr>
          <w:p w14:paraId="750CA6D6" w14:textId="77777777" w:rsidR="00D813FC" w:rsidRPr="00193153" w:rsidRDefault="00D813FC" w:rsidP="00193153">
            <w:pPr>
              <w:pStyle w:val="TableCentre"/>
              <w:rPr>
                <w:rStyle w:val="Small"/>
                <w:szCs w:val="20"/>
              </w:rPr>
            </w:pPr>
            <w:r w:rsidRPr="00193153">
              <w:rPr>
                <w:rStyle w:val="Small"/>
                <w:szCs w:val="20"/>
              </w:rPr>
              <w:t>79 (38.9)</w:t>
            </w:r>
          </w:p>
          <w:p w14:paraId="01696079" w14:textId="77777777" w:rsidR="00D813FC" w:rsidRPr="00193153" w:rsidRDefault="00D813FC" w:rsidP="00193153">
            <w:pPr>
              <w:pStyle w:val="TableCentre"/>
              <w:rPr>
                <w:rStyle w:val="Small"/>
                <w:szCs w:val="20"/>
              </w:rPr>
            </w:pPr>
            <w:r w:rsidRPr="00193153">
              <w:rPr>
                <w:rStyle w:val="Small"/>
                <w:szCs w:val="20"/>
              </w:rPr>
              <w:t>[32.2, 46.0]</w:t>
            </w:r>
          </w:p>
        </w:tc>
        <w:tc>
          <w:tcPr>
            <w:tcW w:w="691" w:type="pct"/>
          </w:tcPr>
          <w:p w14:paraId="42A6B7D5" w14:textId="77777777" w:rsidR="00D813FC" w:rsidRPr="00193153" w:rsidRDefault="00D813FC" w:rsidP="00193153">
            <w:pPr>
              <w:pStyle w:val="TableCentre"/>
              <w:rPr>
                <w:rStyle w:val="Small"/>
                <w:szCs w:val="20"/>
              </w:rPr>
            </w:pPr>
            <w:r w:rsidRPr="00193153">
              <w:rPr>
                <w:rStyle w:val="Small"/>
                <w:szCs w:val="20"/>
              </w:rPr>
              <w:t>33 (44.0)</w:t>
            </w:r>
          </w:p>
          <w:p w14:paraId="10E730DD" w14:textId="77777777" w:rsidR="00D813FC" w:rsidRPr="00193153" w:rsidRDefault="00D813FC" w:rsidP="00193153">
            <w:pPr>
              <w:pStyle w:val="TableCentre"/>
              <w:rPr>
                <w:rStyle w:val="Small"/>
                <w:szCs w:val="20"/>
              </w:rPr>
            </w:pPr>
            <w:r w:rsidRPr="00193153">
              <w:rPr>
                <w:rStyle w:val="Small"/>
                <w:szCs w:val="20"/>
              </w:rPr>
              <w:t>[32.5, 55.9]</w:t>
            </w:r>
          </w:p>
        </w:tc>
      </w:tr>
      <w:tr w:rsidR="00D813FC" w:rsidRPr="00193153" w14:paraId="7824FA15" w14:textId="77777777" w:rsidTr="00D813FC">
        <w:tc>
          <w:tcPr>
            <w:tcW w:w="977" w:type="pct"/>
          </w:tcPr>
          <w:p w14:paraId="0AEC5179" w14:textId="77777777" w:rsidR="00D813FC" w:rsidRPr="00193153" w:rsidRDefault="00D813FC" w:rsidP="00193153">
            <w:pPr>
              <w:pStyle w:val="Table"/>
              <w:rPr>
                <w:rStyle w:val="Small"/>
                <w:szCs w:val="20"/>
              </w:rPr>
            </w:pPr>
            <w:r w:rsidRPr="00193153">
              <w:rPr>
                <w:rStyle w:val="Small"/>
                <w:szCs w:val="20"/>
              </w:rPr>
              <w:t>Median PFS (months)</w:t>
            </w:r>
          </w:p>
          <w:p w14:paraId="26FE4C66" w14:textId="77777777" w:rsidR="00D813FC" w:rsidRPr="00193153" w:rsidRDefault="00D813FC" w:rsidP="00193153">
            <w:pPr>
              <w:pStyle w:val="Table"/>
              <w:rPr>
                <w:rStyle w:val="Small"/>
                <w:szCs w:val="20"/>
              </w:rPr>
            </w:pPr>
            <w:r w:rsidRPr="00193153">
              <w:rPr>
                <w:rStyle w:val="Small"/>
                <w:szCs w:val="20"/>
              </w:rPr>
              <w:t>[95% CI]</w:t>
            </w:r>
          </w:p>
        </w:tc>
        <w:tc>
          <w:tcPr>
            <w:tcW w:w="411" w:type="pct"/>
          </w:tcPr>
          <w:p w14:paraId="04C5BCCD" w14:textId="77777777" w:rsidR="00D813FC" w:rsidRPr="00193153" w:rsidRDefault="009968CD" w:rsidP="00193153">
            <w:pPr>
              <w:pStyle w:val="TableCentre"/>
              <w:rPr>
                <w:rStyle w:val="Small"/>
                <w:szCs w:val="20"/>
              </w:rPr>
            </w:pPr>
            <w:r>
              <w:rPr>
                <w:rStyle w:val="Small"/>
                <w:szCs w:val="20"/>
              </w:rPr>
              <w:t>3.2</w:t>
            </w:r>
          </w:p>
          <w:p w14:paraId="30E8AC7C" w14:textId="77777777" w:rsidR="00D813FC" w:rsidRPr="00193153" w:rsidRDefault="00D813FC" w:rsidP="00193153">
            <w:pPr>
              <w:pStyle w:val="TableCentre"/>
              <w:rPr>
                <w:rStyle w:val="Small"/>
                <w:szCs w:val="20"/>
              </w:rPr>
            </w:pPr>
            <w:r w:rsidRPr="00193153">
              <w:rPr>
                <w:rStyle w:val="Small"/>
                <w:szCs w:val="20"/>
              </w:rPr>
              <w:t>[0.9, NE]</w:t>
            </w:r>
          </w:p>
        </w:tc>
        <w:tc>
          <w:tcPr>
            <w:tcW w:w="505" w:type="pct"/>
          </w:tcPr>
          <w:p w14:paraId="692DEABC" w14:textId="77777777" w:rsidR="00D813FC" w:rsidRPr="006C4B9C" w:rsidRDefault="00D813FC" w:rsidP="00193153">
            <w:pPr>
              <w:pStyle w:val="TableCentre"/>
              <w:rPr>
                <w:rStyle w:val="Small"/>
                <w:szCs w:val="20"/>
              </w:rPr>
            </w:pPr>
            <w:r w:rsidRPr="006C4B9C">
              <w:rPr>
                <w:rStyle w:val="Small"/>
                <w:szCs w:val="20"/>
              </w:rPr>
              <w:t>2.9</w:t>
            </w:r>
          </w:p>
          <w:p w14:paraId="21931866" w14:textId="77777777" w:rsidR="00D813FC" w:rsidRPr="007F45B9" w:rsidRDefault="006C4B9C" w:rsidP="00193153">
            <w:pPr>
              <w:pStyle w:val="TableCentre"/>
              <w:rPr>
                <w:rStyle w:val="Small"/>
                <w:szCs w:val="20"/>
                <w:highlight w:val="red"/>
              </w:rPr>
            </w:pPr>
            <w:r w:rsidRPr="006C4B9C">
              <w:rPr>
                <w:b/>
              </w:rPr>
              <w:t>redacted</w:t>
            </w:r>
          </w:p>
        </w:tc>
        <w:tc>
          <w:tcPr>
            <w:tcW w:w="619" w:type="pct"/>
          </w:tcPr>
          <w:p w14:paraId="231BBC53" w14:textId="77777777" w:rsidR="00D813FC" w:rsidRPr="00193153" w:rsidRDefault="00D813FC" w:rsidP="00193153">
            <w:pPr>
              <w:pStyle w:val="TableCentre"/>
              <w:rPr>
                <w:rStyle w:val="Small"/>
                <w:szCs w:val="20"/>
              </w:rPr>
            </w:pPr>
            <w:r w:rsidRPr="00193153">
              <w:rPr>
                <w:rStyle w:val="Small"/>
                <w:szCs w:val="20"/>
              </w:rPr>
              <w:t>≈ 8.0</w:t>
            </w:r>
          </w:p>
          <w:p w14:paraId="7A1489A0" w14:textId="77777777" w:rsidR="00D813FC" w:rsidRPr="00193153" w:rsidRDefault="00D813FC" w:rsidP="00193153">
            <w:pPr>
              <w:pStyle w:val="TableCentre"/>
              <w:rPr>
                <w:rStyle w:val="Small"/>
                <w:szCs w:val="20"/>
              </w:rPr>
            </w:pPr>
            <w:r w:rsidRPr="00193153">
              <w:rPr>
                <w:rStyle w:val="Small"/>
                <w:szCs w:val="20"/>
              </w:rPr>
              <w:t>[NR]</w:t>
            </w:r>
          </w:p>
        </w:tc>
        <w:tc>
          <w:tcPr>
            <w:tcW w:w="547" w:type="pct"/>
          </w:tcPr>
          <w:p w14:paraId="00F0B84A" w14:textId="77777777" w:rsidR="00D813FC" w:rsidRPr="00193153" w:rsidRDefault="00D813FC" w:rsidP="00193153">
            <w:pPr>
              <w:pStyle w:val="TableCentre"/>
              <w:rPr>
                <w:rStyle w:val="Small"/>
                <w:szCs w:val="20"/>
              </w:rPr>
            </w:pPr>
            <w:r w:rsidRPr="00193153">
              <w:rPr>
                <w:rStyle w:val="Small"/>
                <w:szCs w:val="20"/>
              </w:rPr>
              <w:t>≈ 12.0</w:t>
            </w:r>
          </w:p>
          <w:p w14:paraId="2DDA976C" w14:textId="77777777" w:rsidR="00D813FC" w:rsidRPr="00193153" w:rsidRDefault="00D813FC" w:rsidP="00193153">
            <w:pPr>
              <w:pStyle w:val="TableCentre"/>
              <w:rPr>
                <w:rStyle w:val="Small"/>
                <w:szCs w:val="20"/>
              </w:rPr>
            </w:pPr>
            <w:r w:rsidRPr="00193153">
              <w:rPr>
                <w:rStyle w:val="Small"/>
                <w:szCs w:val="20"/>
              </w:rPr>
              <w:t>[NR]</w:t>
            </w:r>
          </w:p>
        </w:tc>
        <w:tc>
          <w:tcPr>
            <w:tcW w:w="625" w:type="pct"/>
          </w:tcPr>
          <w:p w14:paraId="35EFC7FA" w14:textId="77777777" w:rsidR="00D813FC" w:rsidRPr="00193153" w:rsidRDefault="00D813FC" w:rsidP="00193153">
            <w:pPr>
              <w:pStyle w:val="TableCentre"/>
              <w:rPr>
                <w:rStyle w:val="Small"/>
                <w:szCs w:val="20"/>
              </w:rPr>
            </w:pPr>
            <w:r w:rsidRPr="00193153">
              <w:rPr>
                <w:rStyle w:val="Small"/>
                <w:szCs w:val="20"/>
              </w:rPr>
              <w:t>NR</w:t>
            </w:r>
          </w:p>
        </w:tc>
        <w:tc>
          <w:tcPr>
            <w:tcW w:w="625" w:type="pct"/>
          </w:tcPr>
          <w:p w14:paraId="4AD79A93" w14:textId="77777777" w:rsidR="00D813FC" w:rsidRPr="00193153" w:rsidRDefault="00D813FC" w:rsidP="00193153">
            <w:pPr>
              <w:pStyle w:val="TableCentre"/>
              <w:rPr>
                <w:rStyle w:val="Small"/>
                <w:szCs w:val="20"/>
              </w:rPr>
            </w:pPr>
            <w:r w:rsidRPr="00193153">
              <w:rPr>
                <w:rStyle w:val="Small"/>
                <w:szCs w:val="20"/>
              </w:rPr>
              <w:t>NR</w:t>
            </w:r>
          </w:p>
        </w:tc>
        <w:tc>
          <w:tcPr>
            <w:tcW w:w="691" w:type="pct"/>
          </w:tcPr>
          <w:p w14:paraId="4C51C5FB" w14:textId="77777777" w:rsidR="00D813FC" w:rsidRPr="00193153" w:rsidRDefault="00D813FC" w:rsidP="00193153">
            <w:pPr>
              <w:pStyle w:val="TableCentre"/>
              <w:rPr>
                <w:rStyle w:val="Small"/>
                <w:szCs w:val="20"/>
              </w:rPr>
            </w:pPr>
            <w:r w:rsidRPr="00193153">
              <w:rPr>
                <w:rStyle w:val="Small"/>
                <w:szCs w:val="20"/>
              </w:rPr>
              <w:t>NR</w:t>
            </w:r>
          </w:p>
        </w:tc>
      </w:tr>
      <w:tr w:rsidR="00D813FC" w:rsidRPr="00193153" w14:paraId="5A095CE1" w14:textId="77777777" w:rsidTr="00D813FC">
        <w:tc>
          <w:tcPr>
            <w:tcW w:w="977" w:type="pct"/>
          </w:tcPr>
          <w:p w14:paraId="3D9AF7E8" w14:textId="77777777" w:rsidR="00D813FC" w:rsidRPr="00193153" w:rsidRDefault="00D813FC" w:rsidP="00193153">
            <w:pPr>
              <w:pStyle w:val="Table"/>
              <w:rPr>
                <w:rStyle w:val="Small"/>
                <w:szCs w:val="20"/>
              </w:rPr>
            </w:pPr>
            <w:r w:rsidRPr="00193153">
              <w:rPr>
                <w:rStyle w:val="Small"/>
                <w:szCs w:val="20"/>
              </w:rPr>
              <w:t>Median OS (months)</w:t>
            </w:r>
          </w:p>
          <w:p w14:paraId="7D2557EB" w14:textId="77777777" w:rsidR="00D813FC" w:rsidRPr="00193153" w:rsidRDefault="00D813FC" w:rsidP="00193153">
            <w:pPr>
              <w:pStyle w:val="Table"/>
              <w:rPr>
                <w:rStyle w:val="Small"/>
                <w:szCs w:val="20"/>
              </w:rPr>
            </w:pPr>
            <w:r w:rsidRPr="00193153">
              <w:rPr>
                <w:rStyle w:val="Small"/>
                <w:szCs w:val="20"/>
              </w:rPr>
              <w:t>[95% CI]</w:t>
            </w:r>
          </w:p>
        </w:tc>
        <w:tc>
          <w:tcPr>
            <w:tcW w:w="411" w:type="pct"/>
          </w:tcPr>
          <w:p w14:paraId="1CAACE01" w14:textId="77777777" w:rsidR="00D813FC" w:rsidRPr="00193153" w:rsidRDefault="00D813FC" w:rsidP="00193153">
            <w:pPr>
              <w:pStyle w:val="TableCentre"/>
              <w:rPr>
                <w:rStyle w:val="Small"/>
                <w:szCs w:val="20"/>
              </w:rPr>
            </w:pPr>
            <w:r w:rsidRPr="00193153">
              <w:rPr>
                <w:rStyle w:val="Small"/>
                <w:szCs w:val="20"/>
              </w:rPr>
              <w:t>22.2</w:t>
            </w:r>
          </w:p>
          <w:p w14:paraId="5FADCB1C" w14:textId="77777777" w:rsidR="00D813FC" w:rsidRPr="00193153" w:rsidRDefault="00D813FC" w:rsidP="00193153">
            <w:pPr>
              <w:pStyle w:val="TableCentre"/>
              <w:rPr>
                <w:rStyle w:val="Small"/>
                <w:szCs w:val="20"/>
              </w:rPr>
            </w:pPr>
            <w:r w:rsidRPr="00193153">
              <w:rPr>
                <w:rStyle w:val="Small"/>
                <w:szCs w:val="20"/>
              </w:rPr>
              <w:t>[NR]</w:t>
            </w:r>
          </w:p>
        </w:tc>
        <w:tc>
          <w:tcPr>
            <w:tcW w:w="505" w:type="pct"/>
          </w:tcPr>
          <w:p w14:paraId="2955EDB4" w14:textId="77777777" w:rsidR="00D813FC" w:rsidRPr="00640BB7" w:rsidRDefault="0097370E" w:rsidP="00193153">
            <w:pPr>
              <w:pStyle w:val="TableCentre"/>
              <w:rPr>
                <w:rStyle w:val="Small"/>
                <w:szCs w:val="20"/>
              </w:rPr>
            </w:pPr>
            <w:r w:rsidRPr="00640BB7">
              <w:rPr>
                <w:rStyle w:val="Small"/>
                <w:szCs w:val="20"/>
              </w:rPr>
              <w:t>11.7</w:t>
            </w:r>
          </w:p>
          <w:p w14:paraId="608CE7E2" w14:textId="77777777" w:rsidR="00D813FC" w:rsidRPr="00640BB7" w:rsidRDefault="00D813FC" w:rsidP="00193153">
            <w:pPr>
              <w:pStyle w:val="TableCentre"/>
              <w:rPr>
                <w:rStyle w:val="Small"/>
                <w:szCs w:val="20"/>
              </w:rPr>
            </w:pPr>
            <w:r w:rsidRPr="00640BB7">
              <w:rPr>
                <w:rStyle w:val="Small"/>
                <w:szCs w:val="20"/>
              </w:rPr>
              <w:t>[6.6, NE]</w:t>
            </w:r>
          </w:p>
        </w:tc>
        <w:tc>
          <w:tcPr>
            <w:tcW w:w="619" w:type="pct"/>
          </w:tcPr>
          <w:p w14:paraId="18A8AC9C" w14:textId="77777777" w:rsidR="00D813FC" w:rsidRPr="00193153" w:rsidRDefault="00D813FC" w:rsidP="00193153">
            <w:pPr>
              <w:pStyle w:val="TableCentre"/>
              <w:rPr>
                <w:rStyle w:val="Small"/>
                <w:szCs w:val="20"/>
              </w:rPr>
            </w:pPr>
            <w:r w:rsidRPr="00193153">
              <w:rPr>
                <w:rStyle w:val="Small"/>
                <w:szCs w:val="20"/>
              </w:rPr>
              <w:t>≈ 15.0</w:t>
            </w:r>
          </w:p>
          <w:p w14:paraId="19F2988B" w14:textId="77777777" w:rsidR="00D813FC" w:rsidRPr="00193153" w:rsidRDefault="00D813FC" w:rsidP="00193153">
            <w:pPr>
              <w:pStyle w:val="TableCentre"/>
              <w:rPr>
                <w:rStyle w:val="Small"/>
                <w:szCs w:val="20"/>
              </w:rPr>
            </w:pPr>
            <w:r w:rsidRPr="00193153">
              <w:rPr>
                <w:rStyle w:val="Small"/>
                <w:szCs w:val="20"/>
              </w:rPr>
              <w:t>[NR]</w:t>
            </w:r>
          </w:p>
        </w:tc>
        <w:tc>
          <w:tcPr>
            <w:tcW w:w="547" w:type="pct"/>
          </w:tcPr>
          <w:p w14:paraId="0AD2C4FF" w14:textId="77777777" w:rsidR="00D813FC" w:rsidRPr="00193153" w:rsidRDefault="00D813FC" w:rsidP="00193153">
            <w:pPr>
              <w:pStyle w:val="TableCentre"/>
              <w:rPr>
                <w:rStyle w:val="Small"/>
                <w:szCs w:val="20"/>
              </w:rPr>
            </w:pPr>
            <w:r w:rsidRPr="00193153">
              <w:rPr>
                <w:rStyle w:val="Small"/>
                <w:szCs w:val="20"/>
              </w:rPr>
              <w:t>≈ 36.0</w:t>
            </w:r>
          </w:p>
          <w:p w14:paraId="52DC1C77" w14:textId="77777777" w:rsidR="00D813FC" w:rsidRPr="00193153" w:rsidRDefault="00D813FC" w:rsidP="00193153">
            <w:pPr>
              <w:pStyle w:val="TableCentre"/>
              <w:rPr>
                <w:rStyle w:val="Small"/>
                <w:szCs w:val="20"/>
              </w:rPr>
            </w:pPr>
            <w:r w:rsidRPr="00193153">
              <w:rPr>
                <w:rStyle w:val="Small"/>
                <w:szCs w:val="20"/>
              </w:rPr>
              <w:t>[NR]</w:t>
            </w:r>
          </w:p>
        </w:tc>
        <w:tc>
          <w:tcPr>
            <w:tcW w:w="625" w:type="pct"/>
          </w:tcPr>
          <w:p w14:paraId="613CD30D" w14:textId="77777777" w:rsidR="00D813FC" w:rsidRDefault="00D813FC" w:rsidP="00193153">
            <w:pPr>
              <w:pStyle w:val="TableCentre"/>
              <w:rPr>
                <w:rStyle w:val="Small"/>
                <w:szCs w:val="20"/>
              </w:rPr>
            </w:pPr>
            <w:r w:rsidRPr="00193153">
              <w:rPr>
                <w:rStyle w:val="Small"/>
                <w:szCs w:val="20"/>
              </w:rPr>
              <w:t>6.3</w:t>
            </w:r>
          </w:p>
          <w:p w14:paraId="7579810C" w14:textId="77777777" w:rsidR="00D813FC" w:rsidRPr="00193153" w:rsidRDefault="00D813FC" w:rsidP="00193153">
            <w:pPr>
              <w:pStyle w:val="TableCentre"/>
              <w:rPr>
                <w:rStyle w:val="Small"/>
                <w:szCs w:val="20"/>
              </w:rPr>
            </w:pPr>
            <w:r w:rsidRPr="00193153">
              <w:rPr>
                <w:rStyle w:val="Small"/>
                <w:szCs w:val="20"/>
              </w:rPr>
              <w:t>[5.9,</w:t>
            </w:r>
            <w:r>
              <w:rPr>
                <w:rStyle w:val="Small"/>
                <w:szCs w:val="20"/>
              </w:rPr>
              <w:t xml:space="preserve"> </w:t>
            </w:r>
            <w:r w:rsidRPr="00193153">
              <w:rPr>
                <w:rStyle w:val="Small"/>
                <w:szCs w:val="20"/>
              </w:rPr>
              <w:t>7.0]</w:t>
            </w:r>
          </w:p>
        </w:tc>
        <w:tc>
          <w:tcPr>
            <w:tcW w:w="625" w:type="pct"/>
          </w:tcPr>
          <w:p w14:paraId="515895B4" w14:textId="77777777" w:rsidR="00D813FC" w:rsidRPr="00193153" w:rsidRDefault="00D813FC" w:rsidP="00193153">
            <w:pPr>
              <w:pStyle w:val="TableCentre"/>
              <w:rPr>
                <w:rStyle w:val="Small"/>
                <w:szCs w:val="20"/>
              </w:rPr>
            </w:pPr>
            <w:r w:rsidRPr="00193153">
              <w:rPr>
                <w:rStyle w:val="Small"/>
                <w:szCs w:val="20"/>
              </w:rPr>
              <w:t>4.4</w:t>
            </w:r>
          </w:p>
          <w:p w14:paraId="4E740D68" w14:textId="77777777" w:rsidR="00D813FC" w:rsidRPr="00193153" w:rsidRDefault="00D813FC" w:rsidP="00193153">
            <w:pPr>
              <w:pStyle w:val="TableCentre"/>
              <w:rPr>
                <w:rStyle w:val="Small"/>
                <w:szCs w:val="20"/>
              </w:rPr>
            </w:pPr>
            <w:r w:rsidRPr="00193153">
              <w:rPr>
                <w:rStyle w:val="Small"/>
                <w:szCs w:val="20"/>
              </w:rPr>
              <w:t>[NR]</w:t>
            </w:r>
          </w:p>
        </w:tc>
        <w:tc>
          <w:tcPr>
            <w:tcW w:w="691" w:type="pct"/>
          </w:tcPr>
          <w:p w14:paraId="553321A7" w14:textId="77777777" w:rsidR="00D813FC" w:rsidRPr="00193153" w:rsidRDefault="00D813FC" w:rsidP="00193153">
            <w:pPr>
              <w:pStyle w:val="TableCentre"/>
              <w:rPr>
                <w:rStyle w:val="Small"/>
                <w:szCs w:val="20"/>
              </w:rPr>
            </w:pPr>
            <w:r w:rsidRPr="00193153">
              <w:rPr>
                <w:rStyle w:val="Small"/>
                <w:szCs w:val="20"/>
              </w:rPr>
              <w:t>10.0</w:t>
            </w:r>
          </w:p>
          <w:p w14:paraId="259ED976" w14:textId="77777777" w:rsidR="00D813FC" w:rsidRPr="00193153" w:rsidRDefault="00D813FC" w:rsidP="00193153">
            <w:pPr>
              <w:pStyle w:val="TableCentre"/>
              <w:rPr>
                <w:rStyle w:val="Small"/>
                <w:szCs w:val="20"/>
              </w:rPr>
            </w:pPr>
            <w:r w:rsidRPr="00193153">
              <w:rPr>
                <w:rStyle w:val="Small"/>
                <w:szCs w:val="20"/>
              </w:rPr>
              <w:t>[NR]</w:t>
            </w:r>
          </w:p>
        </w:tc>
      </w:tr>
      <w:tr w:rsidR="00D813FC" w:rsidRPr="00193153" w14:paraId="4569C4D3" w14:textId="77777777" w:rsidTr="00D813FC">
        <w:tc>
          <w:tcPr>
            <w:tcW w:w="977" w:type="pct"/>
            <w:shd w:val="clear" w:color="auto" w:fill="BFBFBF" w:themeFill="background1" w:themeFillShade="BF"/>
          </w:tcPr>
          <w:p w14:paraId="343D1BD9" w14:textId="77777777" w:rsidR="00D813FC" w:rsidRPr="00193153" w:rsidRDefault="00D813FC" w:rsidP="00193153">
            <w:pPr>
              <w:pStyle w:val="Table"/>
              <w:rPr>
                <w:rStyle w:val="Small"/>
                <w:szCs w:val="20"/>
              </w:rPr>
            </w:pPr>
            <w:r w:rsidRPr="00193153">
              <w:rPr>
                <w:rStyle w:val="Small"/>
                <w:szCs w:val="20"/>
              </w:rPr>
              <w:t>Safety outcomes</w:t>
            </w:r>
          </w:p>
        </w:tc>
        <w:tc>
          <w:tcPr>
            <w:tcW w:w="411" w:type="pct"/>
            <w:shd w:val="clear" w:color="auto" w:fill="BFBFBF" w:themeFill="background1" w:themeFillShade="BF"/>
          </w:tcPr>
          <w:p w14:paraId="27623431" w14:textId="77777777" w:rsidR="00D813FC" w:rsidRPr="00193153" w:rsidRDefault="00D813FC" w:rsidP="00193153">
            <w:pPr>
              <w:pStyle w:val="TableCentre"/>
              <w:rPr>
                <w:rStyle w:val="Small"/>
                <w:szCs w:val="20"/>
              </w:rPr>
            </w:pPr>
          </w:p>
        </w:tc>
        <w:tc>
          <w:tcPr>
            <w:tcW w:w="505" w:type="pct"/>
            <w:shd w:val="clear" w:color="auto" w:fill="BFBFBF" w:themeFill="background1" w:themeFillShade="BF"/>
          </w:tcPr>
          <w:p w14:paraId="7D7905E7" w14:textId="77777777" w:rsidR="00D813FC" w:rsidRPr="007F45B9" w:rsidRDefault="00D813FC" w:rsidP="00193153">
            <w:pPr>
              <w:pStyle w:val="TableCentre"/>
              <w:rPr>
                <w:rStyle w:val="Small"/>
                <w:szCs w:val="20"/>
                <w:highlight w:val="red"/>
              </w:rPr>
            </w:pPr>
          </w:p>
        </w:tc>
        <w:tc>
          <w:tcPr>
            <w:tcW w:w="619" w:type="pct"/>
            <w:shd w:val="clear" w:color="auto" w:fill="BFBFBF" w:themeFill="background1" w:themeFillShade="BF"/>
          </w:tcPr>
          <w:p w14:paraId="26E46169" w14:textId="77777777" w:rsidR="00D813FC" w:rsidRPr="00193153" w:rsidRDefault="00D813FC" w:rsidP="00193153">
            <w:pPr>
              <w:pStyle w:val="TableCentre"/>
              <w:rPr>
                <w:rStyle w:val="Small"/>
                <w:szCs w:val="20"/>
              </w:rPr>
            </w:pPr>
          </w:p>
        </w:tc>
        <w:tc>
          <w:tcPr>
            <w:tcW w:w="547" w:type="pct"/>
            <w:shd w:val="clear" w:color="auto" w:fill="BFBFBF" w:themeFill="background1" w:themeFillShade="BF"/>
          </w:tcPr>
          <w:p w14:paraId="2279C19A" w14:textId="77777777" w:rsidR="00D813FC" w:rsidRPr="00193153" w:rsidRDefault="00D813FC" w:rsidP="00193153">
            <w:pPr>
              <w:pStyle w:val="TableCentre"/>
              <w:rPr>
                <w:rStyle w:val="Small"/>
                <w:szCs w:val="20"/>
              </w:rPr>
            </w:pPr>
          </w:p>
        </w:tc>
        <w:tc>
          <w:tcPr>
            <w:tcW w:w="625" w:type="pct"/>
            <w:shd w:val="clear" w:color="auto" w:fill="BFBFBF" w:themeFill="background1" w:themeFillShade="BF"/>
          </w:tcPr>
          <w:p w14:paraId="3404FD39" w14:textId="77777777" w:rsidR="00D813FC" w:rsidRPr="00193153" w:rsidRDefault="00D813FC" w:rsidP="00193153">
            <w:pPr>
              <w:pStyle w:val="TableCentre"/>
              <w:rPr>
                <w:rStyle w:val="Small"/>
                <w:szCs w:val="20"/>
              </w:rPr>
            </w:pPr>
          </w:p>
        </w:tc>
        <w:tc>
          <w:tcPr>
            <w:tcW w:w="625" w:type="pct"/>
            <w:shd w:val="clear" w:color="auto" w:fill="BFBFBF" w:themeFill="background1" w:themeFillShade="BF"/>
          </w:tcPr>
          <w:p w14:paraId="3E734A1A" w14:textId="77777777" w:rsidR="00D813FC" w:rsidRPr="00193153" w:rsidRDefault="00D813FC" w:rsidP="00193153">
            <w:pPr>
              <w:pStyle w:val="TableCentre"/>
              <w:rPr>
                <w:rStyle w:val="Small"/>
                <w:szCs w:val="20"/>
              </w:rPr>
            </w:pPr>
          </w:p>
        </w:tc>
        <w:tc>
          <w:tcPr>
            <w:tcW w:w="691" w:type="pct"/>
            <w:shd w:val="clear" w:color="auto" w:fill="BFBFBF" w:themeFill="background1" w:themeFillShade="BF"/>
          </w:tcPr>
          <w:p w14:paraId="67EE8B7A" w14:textId="77777777" w:rsidR="00D813FC" w:rsidRPr="00193153" w:rsidRDefault="00D813FC" w:rsidP="00193153">
            <w:pPr>
              <w:pStyle w:val="TableCentre"/>
              <w:rPr>
                <w:rStyle w:val="Small"/>
                <w:szCs w:val="20"/>
              </w:rPr>
            </w:pPr>
          </w:p>
        </w:tc>
      </w:tr>
      <w:tr w:rsidR="00D813FC" w:rsidRPr="00193153" w14:paraId="4382AB6D" w14:textId="77777777" w:rsidTr="00D813FC">
        <w:tc>
          <w:tcPr>
            <w:tcW w:w="977" w:type="pct"/>
          </w:tcPr>
          <w:p w14:paraId="05B0B603" w14:textId="77777777" w:rsidR="00D813FC" w:rsidRPr="00193153" w:rsidRDefault="00D813FC" w:rsidP="00193153">
            <w:pPr>
              <w:pStyle w:val="Table"/>
              <w:rPr>
                <w:rStyle w:val="Small"/>
                <w:szCs w:val="20"/>
              </w:rPr>
            </w:pPr>
            <w:r w:rsidRPr="00193153">
              <w:rPr>
                <w:rStyle w:val="Small"/>
                <w:szCs w:val="20"/>
              </w:rPr>
              <w:t>Adverse events, n</w:t>
            </w:r>
            <w:r>
              <w:rPr>
                <w:rStyle w:val="Small"/>
                <w:szCs w:val="20"/>
              </w:rPr>
              <w:t xml:space="preserve"> </w:t>
            </w:r>
            <w:r w:rsidRPr="00193153">
              <w:rPr>
                <w:rStyle w:val="Small"/>
                <w:szCs w:val="20"/>
              </w:rPr>
              <w:t>(%)</w:t>
            </w:r>
          </w:p>
        </w:tc>
        <w:tc>
          <w:tcPr>
            <w:tcW w:w="411" w:type="pct"/>
          </w:tcPr>
          <w:p w14:paraId="67433F05" w14:textId="77777777" w:rsidR="00D813FC" w:rsidRPr="00193153" w:rsidRDefault="00D813FC" w:rsidP="00193153">
            <w:pPr>
              <w:pStyle w:val="TableCentre"/>
              <w:rPr>
                <w:rStyle w:val="Small"/>
                <w:szCs w:val="20"/>
              </w:rPr>
            </w:pPr>
            <w:r w:rsidRPr="00193153">
              <w:rPr>
                <w:rStyle w:val="Small"/>
                <w:szCs w:val="20"/>
              </w:rPr>
              <w:t>NR</w:t>
            </w:r>
          </w:p>
        </w:tc>
        <w:tc>
          <w:tcPr>
            <w:tcW w:w="505" w:type="pct"/>
          </w:tcPr>
          <w:p w14:paraId="19D589EC" w14:textId="77777777" w:rsidR="00D813FC" w:rsidRPr="007F45B9" w:rsidRDefault="00D813FC" w:rsidP="00193153">
            <w:pPr>
              <w:pStyle w:val="TableCentre"/>
              <w:rPr>
                <w:rStyle w:val="Small"/>
                <w:szCs w:val="20"/>
                <w:highlight w:val="red"/>
              </w:rPr>
            </w:pPr>
            <w:r w:rsidRPr="00640BB7">
              <w:rPr>
                <w:rFonts w:cs="Arial"/>
                <w:szCs w:val="20"/>
              </w:rPr>
              <w:t>111 (100)</w:t>
            </w:r>
          </w:p>
        </w:tc>
        <w:tc>
          <w:tcPr>
            <w:tcW w:w="3107" w:type="pct"/>
            <w:gridSpan w:val="5"/>
            <w:tcBorders>
              <w:bottom w:val="nil"/>
            </w:tcBorders>
            <w:vAlign w:val="center"/>
          </w:tcPr>
          <w:p w14:paraId="3018D3D0" w14:textId="77777777" w:rsidR="00D813FC" w:rsidRPr="00193153" w:rsidRDefault="00D813FC" w:rsidP="00193153">
            <w:pPr>
              <w:pStyle w:val="TableCentre"/>
              <w:rPr>
                <w:rStyle w:val="Small"/>
                <w:szCs w:val="20"/>
              </w:rPr>
            </w:pPr>
          </w:p>
        </w:tc>
      </w:tr>
      <w:tr w:rsidR="00D813FC" w:rsidRPr="00193153" w14:paraId="7BC1CE93" w14:textId="77777777" w:rsidTr="00D813FC">
        <w:trPr>
          <w:trHeight w:val="154"/>
        </w:trPr>
        <w:tc>
          <w:tcPr>
            <w:tcW w:w="977" w:type="pct"/>
          </w:tcPr>
          <w:p w14:paraId="06F75EC6" w14:textId="77777777" w:rsidR="00D813FC" w:rsidRPr="00193153" w:rsidRDefault="00D813FC" w:rsidP="00400293">
            <w:pPr>
              <w:pStyle w:val="Table"/>
              <w:rPr>
                <w:rStyle w:val="Small"/>
                <w:szCs w:val="20"/>
              </w:rPr>
            </w:pPr>
            <w:r w:rsidRPr="00193153">
              <w:rPr>
                <w:rStyle w:val="Small"/>
                <w:szCs w:val="20"/>
              </w:rPr>
              <w:t>Grade 3/4, n</w:t>
            </w:r>
            <w:r>
              <w:rPr>
                <w:rStyle w:val="Small"/>
                <w:szCs w:val="20"/>
              </w:rPr>
              <w:t xml:space="preserve"> </w:t>
            </w:r>
            <w:r w:rsidRPr="00193153">
              <w:rPr>
                <w:rStyle w:val="Small"/>
                <w:szCs w:val="20"/>
              </w:rPr>
              <w:t>(%)</w:t>
            </w:r>
          </w:p>
        </w:tc>
        <w:tc>
          <w:tcPr>
            <w:tcW w:w="411" w:type="pct"/>
          </w:tcPr>
          <w:p w14:paraId="5AFB942A" w14:textId="77777777" w:rsidR="00D813FC" w:rsidRPr="00193153" w:rsidRDefault="00D813FC" w:rsidP="00193153">
            <w:pPr>
              <w:pStyle w:val="TableCentre"/>
              <w:rPr>
                <w:rStyle w:val="Small"/>
                <w:szCs w:val="20"/>
              </w:rPr>
            </w:pPr>
            <w:r w:rsidRPr="00193153">
              <w:rPr>
                <w:rStyle w:val="Small"/>
                <w:szCs w:val="20"/>
              </w:rPr>
              <w:t>NR</w:t>
            </w:r>
          </w:p>
        </w:tc>
        <w:tc>
          <w:tcPr>
            <w:tcW w:w="505" w:type="pct"/>
          </w:tcPr>
          <w:p w14:paraId="006FFEFB" w14:textId="77777777" w:rsidR="00D813FC" w:rsidRPr="00640BB7" w:rsidRDefault="00D813FC" w:rsidP="00193153">
            <w:pPr>
              <w:pStyle w:val="TableCentre"/>
              <w:rPr>
                <w:rStyle w:val="Small"/>
                <w:szCs w:val="20"/>
              </w:rPr>
            </w:pPr>
            <w:r w:rsidRPr="00640BB7">
              <w:rPr>
                <w:rFonts w:cs="Arial"/>
                <w:szCs w:val="20"/>
              </w:rPr>
              <w:t>99 (89.2)</w:t>
            </w:r>
          </w:p>
        </w:tc>
        <w:tc>
          <w:tcPr>
            <w:tcW w:w="3107" w:type="pct"/>
            <w:gridSpan w:val="5"/>
            <w:tcBorders>
              <w:top w:val="nil"/>
              <w:bottom w:val="nil"/>
            </w:tcBorders>
          </w:tcPr>
          <w:p w14:paraId="63958FFD" w14:textId="77777777" w:rsidR="00D813FC" w:rsidRPr="00193153" w:rsidRDefault="00D813FC" w:rsidP="00193153">
            <w:pPr>
              <w:pStyle w:val="TableCentre"/>
              <w:rPr>
                <w:rStyle w:val="Small"/>
                <w:szCs w:val="20"/>
              </w:rPr>
            </w:pPr>
          </w:p>
        </w:tc>
      </w:tr>
      <w:tr w:rsidR="00D813FC" w:rsidRPr="00193153" w14:paraId="10DB48AA" w14:textId="77777777" w:rsidTr="00D813FC">
        <w:tc>
          <w:tcPr>
            <w:tcW w:w="977" w:type="pct"/>
          </w:tcPr>
          <w:p w14:paraId="551ED7C2" w14:textId="77777777" w:rsidR="00D813FC" w:rsidRPr="00193153" w:rsidRDefault="00D813FC" w:rsidP="00400293">
            <w:pPr>
              <w:pStyle w:val="Table"/>
              <w:rPr>
                <w:rStyle w:val="Small"/>
                <w:szCs w:val="20"/>
              </w:rPr>
            </w:pPr>
            <w:r w:rsidRPr="00193153">
              <w:rPr>
                <w:rStyle w:val="Small"/>
                <w:szCs w:val="20"/>
              </w:rPr>
              <w:t>Drug-related, n</w:t>
            </w:r>
            <w:r>
              <w:rPr>
                <w:rStyle w:val="Small"/>
                <w:szCs w:val="20"/>
              </w:rPr>
              <w:t xml:space="preserve"> </w:t>
            </w:r>
            <w:r w:rsidRPr="00193153">
              <w:rPr>
                <w:rStyle w:val="Small"/>
                <w:szCs w:val="20"/>
              </w:rPr>
              <w:t>(%)</w:t>
            </w:r>
          </w:p>
        </w:tc>
        <w:tc>
          <w:tcPr>
            <w:tcW w:w="411" w:type="pct"/>
          </w:tcPr>
          <w:p w14:paraId="1B481F25" w14:textId="77777777" w:rsidR="00D813FC" w:rsidRPr="00193153" w:rsidRDefault="00D813FC" w:rsidP="00193153">
            <w:pPr>
              <w:pStyle w:val="TableCentre"/>
              <w:rPr>
                <w:rStyle w:val="Small"/>
                <w:szCs w:val="20"/>
              </w:rPr>
            </w:pPr>
            <w:r w:rsidRPr="00193153">
              <w:rPr>
                <w:rStyle w:val="Small"/>
                <w:szCs w:val="20"/>
              </w:rPr>
              <w:t>NR</w:t>
            </w:r>
          </w:p>
        </w:tc>
        <w:tc>
          <w:tcPr>
            <w:tcW w:w="505" w:type="pct"/>
          </w:tcPr>
          <w:p w14:paraId="38DF96F9" w14:textId="77777777" w:rsidR="00D813FC" w:rsidRPr="00640BB7" w:rsidRDefault="00D813FC" w:rsidP="00193153">
            <w:pPr>
              <w:pStyle w:val="TableCentre"/>
              <w:rPr>
                <w:rStyle w:val="Small"/>
                <w:szCs w:val="20"/>
              </w:rPr>
            </w:pPr>
            <w:r w:rsidRPr="00640BB7">
              <w:rPr>
                <w:rFonts w:cs="Arial"/>
                <w:szCs w:val="20"/>
              </w:rPr>
              <w:t>99 (89.2)</w:t>
            </w:r>
          </w:p>
        </w:tc>
        <w:tc>
          <w:tcPr>
            <w:tcW w:w="3107" w:type="pct"/>
            <w:gridSpan w:val="5"/>
            <w:tcBorders>
              <w:top w:val="nil"/>
              <w:bottom w:val="nil"/>
            </w:tcBorders>
          </w:tcPr>
          <w:p w14:paraId="74AFA1B3" w14:textId="77777777" w:rsidR="00D813FC" w:rsidRPr="00193153" w:rsidRDefault="00D813FC" w:rsidP="00193153">
            <w:pPr>
              <w:pStyle w:val="TableCentre"/>
              <w:rPr>
                <w:rStyle w:val="Small"/>
                <w:szCs w:val="20"/>
              </w:rPr>
            </w:pPr>
            <w:r w:rsidRPr="00193153">
              <w:rPr>
                <w:rStyle w:val="Small"/>
                <w:szCs w:val="20"/>
              </w:rPr>
              <w:t>Not systematically or comparably reported</w:t>
            </w:r>
          </w:p>
        </w:tc>
      </w:tr>
      <w:tr w:rsidR="00D813FC" w:rsidRPr="00193153" w14:paraId="0756B8C3" w14:textId="77777777" w:rsidTr="00D813FC">
        <w:tc>
          <w:tcPr>
            <w:tcW w:w="977" w:type="pct"/>
          </w:tcPr>
          <w:p w14:paraId="477F6651" w14:textId="77777777" w:rsidR="00D813FC" w:rsidRPr="00193153" w:rsidRDefault="00D813FC" w:rsidP="00193153">
            <w:pPr>
              <w:pStyle w:val="Table"/>
              <w:rPr>
                <w:rStyle w:val="Small"/>
                <w:szCs w:val="20"/>
              </w:rPr>
            </w:pPr>
            <w:r w:rsidRPr="00193153">
              <w:rPr>
                <w:rStyle w:val="Small"/>
                <w:szCs w:val="20"/>
              </w:rPr>
              <w:t>Serious AEs, n</w:t>
            </w:r>
            <w:r>
              <w:rPr>
                <w:rStyle w:val="Small"/>
                <w:szCs w:val="20"/>
              </w:rPr>
              <w:t xml:space="preserve"> </w:t>
            </w:r>
            <w:r w:rsidRPr="00193153">
              <w:rPr>
                <w:rStyle w:val="Small"/>
                <w:szCs w:val="20"/>
              </w:rPr>
              <w:t>(%)</w:t>
            </w:r>
          </w:p>
        </w:tc>
        <w:tc>
          <w:tcPr>
            <w:tcW w:w="411" w:type="pct"/>
          </w:tcPr>
          <w:p w14:paraId="7D8512FB" w14:textId="77777777" w:rsidR="00D813FC" w:rsidRPr="00193153" w:rsidRDefault="00D813FC" w:rsidP="00193153">
            <w:pPr>
              <w:pStyle w:val="TableCentre"/>
              <w:rPr>
                <w:rStyle w:val="Small"/>
                <w:szCs w:val="20"/>
              </w:rPr>
            </w:pPr>
            <w:r w:rsidRPr="00193153">
              <w:rPr>
                <w:rStyle w:val="Small"/>
                <w:szCs w:val="20"/>
              </w:rPr>
              <w:t>NR</w:t>
            </w:r>
          </w:p>
        </w:tc>
        <w:tc>
          <w:tcPr>
            <w:tcW w:w="505" w:type="pct"/>
          </w:tcPr>
          <w:p w14:paraId="7536140D" w14:textId="77777777" w:rsidR="00D813FC" w:rsidRPr="00640BB7" w:rsidRDefault="00D813FC" w:rsidP="00193153">
            <w:pPr>
              <w:pStyle w:val="TableCentre"/>
              <w:rPr>
                <w:rStyle w:val="Small"/>
                <w:szCs w:val="20"/>
              </w:rPr>
            </w:pPr>
            <w:r w:rsidRPr="00640BB7">
              <w:rPr>
                <w:rStyle w:val="Small"/>
                <w:szCs w:val="20"/>
              </w:rPr>
              <w:t>72 (64.9)</w:t>
            </w:r>
          </w:p>
        </w:tc>
        <w:tc>
          <w:tcPr>
            <w:tcW w:w="3107" w:type="pct"/>
            <w:gridSpan w:val="5"/>
            <w:tcBorders>
              <w:top w:val="nil"/>
              <w:bottom w:val="nil"/>
            </w:tcBorders>
          </w:tcPr>
          <w:p w14:paraId="36AC3414" w14:textId="77777777" w:rsidR="00D813FC" w:rsidRPr="00193153" w:rsidRDefault="00D813FC" w:rsidP="00193153">
            <w:pPr>
              <w:pStyle w:val="TableCentre"/>
              <w:rPr>
                <w:rStyle w:val="Small"/>
                <w:szCs w:val="20"/>
              </w:rPr>
            </w:pPr>
          </w:p>
        </w:tc>
      </w:tr>
      <w:tr w:rsidR="00D813FC" w:rsidRPr="00193153" w14:paraId="57B7B26D" w14:textId="77777777" w:rsidTr="00D813FC">
        <w:tc>
          <w:tcPr>
            <w:tcW w:w="977" w:type="pct"/>
          </w:tcPr>
          <w:p w14:paraId="24FACDFC" w14:textId="77777777" w:rsidR="00D813FC" w:rsidRPr="00193153" w:rsidRDefault="00D813FC" w:rsidP="00193153">
            <w:pPr>
              <w:pStyle w:val="Table"/>
              <w:rPr>
                <w:rStyle w:val="Small"/>
                <w:szCs w:val="20"/>
              </w:rPr>
            </w:pPr>
            <w:r w:rsidRPr="00193153">
              <w:rPr>
                <w:rStyle w:val="Small"/>
                <w:szCs w:val="20"/>
              </w:rPr>
              <w:t>Deaths, n</w:t>
            </w:r>
            <w:r>
              <w:rPr>
                <w:rStyle w:val="Small"/>
                <w:szCs w:val="20"/>
              </w:rPr>
              <w:t xml:space="preserve"> </w:t>
            </w:r>
            <w:r w:rsidRPr="00193153">
              <w:rPr>
                <w:rStyle w:val="Small"/>
                <w:szCs w:val="20"/>
              </w:rPr>
              <w:t>(%)</w:t>
            </w:r>
          </w:p>
        </w:tc>
        <w:tc>
          <w:tcPr>
            <w:tcW w:w="411" w:type="pct"/>
          </w:tcPr>
          <w:p w14:paraId="44BCF86A" w14:textId="77777777" w:rsidR="00D813FC" w:rsidRPr="00193153" w:rsidRDefault="00D813FC" w:rsidP="00193153">
            <w:pPr>
              <w:pStyle w:val="TableCentre"/>
              <w:rPr>
                <w:rStyle w:val="Small"/>
                <w:szCs w:val="20"/>
              </w:rPr>
            </w:pPr>
            <w:r w:rsidRPr="00193153">
              <w:rPr>
                <w:rStyle w:val="Small"/>
                <w:szCs w:val="20"/>
              </w:rPr>
              <w:t>NR</w:t>
            </w:r>
          </w:p>
        </w:tc>
        <w:tc>
          <w:tcPr>
            <w:tcW w:w="505" w:type="pct"/>
          </w:tcPr>
          <w:p w14:paraId="2092D95F" w14:textId="77777777" w:rsidR="00D813FC" w:rsidRPr="00640BB7" w:rsidRDefault="00D813FC" w:rsidP="00193153">
            <w:pPr>
              <w:pStyle w:val="TableCentre"/>
              <w:rPr>
                <w:rStyle w:val="Small"/>
                <w:szCs w:val="20"/>
              </w:rPr>
            </w:pPr>
            <w:r w:rsidRPr="00640BB7">
              <w:rPr>
                <w:rStyle w:val="Small"/>
                <w:szCs w:val="20"/>
              </w:rPr>
              <w:t>53 (47.7)</w:t>
            </w:r>
          </w:p>
        </w:tc>
        <w:tc>
          <w:tcPr>
            <w:tcW w:w="3107" w:type="pct"/>
            <w:gridSpan w:val="5"/>
            <w:tcBorders>
              <w:top w:val="nil"/>
              <w:bottom w:val="nil"/>
            </w:tcBorders>
          </w:tcPr>
          <w:p w14:paraId="3CA9C357" w14:textId="77777777" w:rsidR="00D813FC" w:rsidRPr="00193153" w:rsidRDefault="00D813FC" w:rsidP="00193153">
            <w:pPr>
              <w:pStyle w:val="TableCentre"/>
              <w:rPr>
                <w:rStyle w:val="Small"/>
                <w:szCs w:val="20"/>
              </w:rPr>
            </w:pPr>
          </w:p>
        </w:tc>
      </w:tr>
      <w:tr w:rsidR="00D813FC" w:rsidRPr="00193153" w14:paraId="681D518D" w14:textId="77777777" w:rsidTr="00D813FC">
        <w:tc>
          <w:tcPr>
            <w:tcW w:w="977" w:type="pct"/>
          </w:tcPr>
          <w:p w14:paraId="3D44E6ED" w14:textId="77777777" w:rsidR="00D813FC" w:rsidRPr="00193153" w:rsidRDefault="00D813FC" w:rsidP="00193153">
            <w:pPr>
              <w:pStyle w:val="Table"/>
              <w:rPr>
                <w:rStyle w:val="Small"/>
                <w:szCs w:val="20"/>
              </w:rPr>
            </w:pPr>
            <w:r w:rsidRPr="00193153">
              <w:rPr>
                <w:rStyle w:val="Small"/>
                <w:szCs w:val="20"/>
              </w:rPr>
              <w:t>CRS (any grade), n</w:t>
            </w:r>
            <w:r>
              <w:rPr>
                <w:rStyle w:val="Small"/>
                <w:szCs w:val="20"/>
              </w:rPr>
              <w:t xml:space="preserve"> </w:t>
            </w:r>
            <w:r w:rsidRPr="00193153">
              <w:rPr>
                <w:rStyle w:val="Small"/>
                <w:szCs w:val="20"/>
              </w:rPr>
              <w:t>(%)</w:t>
            </w:r>
          </w:p>
        </w:tc>
        <w:tc>
          <w:tcPr>
            <w:tcW w:w="411" w:type="pct"/>
          </w:tcPr>
          <w:p w14:paraId="175BD815" w14:textId="77777777" w:rsidR="00D813FC" w:rsidRPr="00193153" w:rsidRDefault="00D813FC" w:rsidP="00193153">
            <w:pPr>
              <w:pStyle w:val="TableCentre"/>
              <w:rPr>
                <w:rStyle w:val="Small"/>
                <w:szCs w:val="20"/>
              </w:rPr>
            </w:pPr>
            <w:r w:rsidRPr="00193153">
              <w:rPr>
                <w:rStyle w:val="Small"/>
                <w:szCs w:val="20"/>
              </w:rPr>
              <w:t>16 (57.0)</w:t>
            </w:r>
          </w:p>
        </w:tc>
        <w:tc>
          <w:tcPr>
            <w:tcW w:w="505" w:type="pct"/>
          </w:tcPr>
          <w:p w14:paraId="397D6A22" w14:textId="77777777" w:rsidR="00D813FC" w:rsidRPr="00640BB7" w:rsidRDefault="00D813FC" w:rsidP="00193153">
            <w:pPr>
              <w:pStyle w:val="TableCentre"/>
              <w:rPr>
                <w:rStyle w:val="Small"/>
                <w:szCs w:val="20"/>
              </w:rPr>
            </w:pPr>
            <w:r w:rsidRPr="00640BB7">
              <w:rPr>
                <w:rStyle w:val="Small"/>
                <w:szCs w:val="20"/>
              </w:rPr>
              <w:t>64 (57.7)</w:t>
            </w:r>
          </w:p>
        </w:tc>
        <w:tc>
          <w:tcPr>
            <w:tcW w:w="3107" w:type="pct"/>
            <w:gridSpan w:val="5"/>
            <w:tcBorders>
              <w:top w:val="nil"/>
            </w:tcBorders>
          </w:tcPr>
          <w:p w14:paraId="1B5D5F4A" w14:textId="77777777" w:rsidR="00D813FC" w:rsidRPr="00193153" w:rsidRDefault="00D813FC" w:rsidP="00193153">
            <w:pPr>
              <w:pStyle w:val="TableCentre"/>
              <w:rPr>
                <w:rStyle w:val="Small"/>
                <w:szCs w:val="20"/>
              </w:rPr>
            </w:pPr>
          </w:p>
        </w:tc>
      </w:tr>
    </w:tbl>
    <w:p w14:paraId="47CE8CDA" w14:textId="77777777" w:rsidR="00F245BC" w:rsidRDefault="00F245BC" w:rsidP="00F245BC">
      <w:pPr>
        <w:pStyle w:val="CaptionFootnote"/>
        <w:rPr>
          <w:rFonts w:ascii="Arial Narrow" w:hAnsi="Arial Narrow"/>
          <w:sz w:val="18"/>
        </w:rPr>
      </w:pPr>
      <w:r>
        <w:rPr>
          <w:rFonts w:ascii="Arial Narrow" w:hAnsi="Arial Narrow"/>
          <w:sz w:val="18"/>
        </w:rPr>
        <w:t>* Results for TIS (UPEN, JULIET) are not reported on an intention-to-treat (ITT) basis.</w:t>
      </w:r>
    </w:p>
    <w:p w14:paraId="59FE5FFC" w14:textId="77777777" w:rsidR="00193153" w:rsidRPr="00193153" w:rsidRDefault="00193153" w:rsidP="00193153">
      <w:pPr>
        <w:pStyle w:val="CaptionFootnote"/>
        <w:rPr>
          <w:rFonts w:ascii="Arial Narrow" w:hAnsi="Arial Narrow"/>
          <w:sz w:val="18"/>
        </w:rPr>
      </w:pPr>
      <w:r w:rsidRPr="00193153">
        <w:rPr>
          <w:rFonts w:ascii="Arial Narrow" w:hAnsi="Arial Narrow"/>
          <w:sz w:val="18"/>
        </w:rPr>
        <w:t xml:space="preserve">Abbreviations: ORR = overall response rate; PFS = </w:t>
      </w:r>
      <w:r w:rsidR="00400293">
        <w:rPr>
          <w:rFonts w:ascii="Arial Narrow" w:hAnsi="Arial Narrow"/>
          <w:sz w:val="18"/>
        </w:rPr>
        <w:t>progression-</w:t>
      </w:r>
      <w:r w:rsidR="00400293" w:rsidRPr="00193153">
        <w:rPr>
          <w:rFonts w:ascii="Arial Narrow" w:hAnsi="Arial Narrow"/>
          <w:sz w:val="18"/>
        </w:rPr>
        <w:t>free surviv</w:t>
      </w:r>
      <w:r w:rsidRPr="00193153">
        <w:rPr>
          <w:rFonts w:ascii="Arial Narrow" w:hAnsi="Arial Narrow"/>
          <w:sz w:val="18"/>
        </w:rPr>
        <w:t xml:space="preserve">al; OS = </w:t>
      </w:r>
      <w:r w:rsidR="00400293" w:rsidRPr="00193153">
        <w:rPr>
          <w:rFonts w:ascii="Arial Narrow" w:hAnsi="Arial Narrow"/>
          <w:sz w:val="18"/>
        </w:rPr>
        <w:t>overall s</w:t>
      </w:r>
      <w:r w:rsidRPr="00193153">
        <w:rPr>
          <w:rFonts w:ascii="Arial Narrow" w:hAnsi="Arial Narrow"/>
          <w:sz w:val="18"/>
        </w:rPr>
        <w:t xml:space="preserve">urvival; AE = </w:t>
      </w:r>
      <w:r w:rsidR="00400293" w:rsidRPr="00193153">
        <w:rPr>
          <w:rFonts w:ascii="Arial Narrow" w:hAnsi="Arial Narrow"/>
          <w:sz w:val="18"/>
        </w:rPr>
        <w:t>adverse e</w:t>
      </w:r>
      <w:r w:rsidRPr="00193153">
        <w:rPr>
          <w:rFonts w:ascii="Arial Narrow" w:hAnsi="Arial Narrow"/>
          <w:sz w:val="18"/>
        </w:rPr>
        <w:t xml:space="preserve">vent; CRS = </w:t>
      </w:r>
      <w:r w:rsidR="00400293">
        <w:rPr>
          <w:rFonts w:ascii="Arial Narrow" w:hAnsi="Arial Narrow"/>
          <w:sz w:val="18"/>
        </w:rPr>
        <w:t>c</w:t>
      </w:r>
      <w:r w:rsidRPr="00193153">
        <w:rPr>
          <w:rFonts w:ascii="Arial Narrow" w:hAnsi="Arial Narrow"/>
          <w:sz w:val="18"/>
        </w:rPr>
        <w:t xml:space="preserve">ytokine release syndrome; NE = </w:t>
      </w:r>
      <w:r w:rsidR="00400293">
        <w:rPr>
          <w:rFonts w:ascii="Arial Narrow" w:hAnsi="Arial Narrow"/>
          <w:sz w:val="18"/>
        </w:rPr>
        <w:t>n</w:t>
      </w:r>
      <w:r w:rsidRPr="00193153">
        <w:rPr>
          <w:rFonts w:ascii="Arial Narrow" w:hAnsi="Arial Narrow"/>
          <w:sz w:val="18"/>
        </w:rPr>
        <w:t xml:space="preserve">ot evaluable; NR = not reported; CI = </w:t>
      </w:r>
      <w:r w:rsidR="00400293" w:rsidRPr="00193153">
        <w:rPr>
          <w:rFonts w:ascii="Arial Narrow" w:hAnsi="Arial Narrow"/>
          <w:sz w:val="18"/>
        </w:rPr>
        <w:t>confidence in</w:t>
      </w:r>
      <w:r w:rsidRPr="00193153">
        <w:rPr>
          <w:rFonts w:ascii="Arial Narrow" w:hAnsi="Arial Narrow"/>
          <w:sz w:val="18"/>
        </w:rPr>
        <w:t>terval</w:t>
      </w:r>
      <w:r w:rsidR="00F245BC">
        <w:rPr>
          <w:rFonts w:ascii="Arial Narrow" w:hAnsi="Arial Narrow"/>
          <w:sz w:val="18"/>
        </w:rPr>
        <w:t>;</w:t>
      </w:r>
      <w:r w:rsidR="00F245BC" w:rsidRPr="00F245BC">
        <w:rPr>
          <w:rFonts w:ascii="Arial Narrow" w:hAnsi="Arial Narrow"/>
          <w:sz w:val="18"/>
        </w:rPr>
        <w:t xml:space="preserve"> </w:t>
      </w:r>
      <w:r w:rsidR="00F245BC">
        <w:rPr>
          <w:rFonts w:ascii="Arial Narrow" w:hAnsi="Arial Narrow"/>
          <w:sz w:val="18"/>
        </w:rPr>
        <w:t>TIS = tisagenlecleucel</w:t>
      </w:r>
    </w:p>
    <w:p w14:paraId="0EB529C1" w14:textId="77777777" w:rsidR="00FB5EDA" w:rsidRDefault="00193153" w:rsidP="00FB5EDA">
      <w:pPr>
        <w:pStyle w:val="CaptionFootnote"/>
        <w:rPr>
          <w:rFonts w:ascii="Arial Narrow" w:hAnsi="Arial Narrow"/>
          <w:sz w:val="18"/>
        </w:rPr>
      </w:pPr>
      <w:r w:rsidRPr="00193153">
        <w:rPr>
          <w:rFonts w:ascii="Arial Narrow" w:hAnsi="Arial Narrow"/>
          <w:sz w:val="18"/>
        </w:rPr>
        <w:t>Study notes: JULIET = Dec 2017 data cut; CORAL_R = Coral 1</w:t>
      </w:r>
      <w:r w:rsidRPr="00193153">
        <w:rPr>
          <w:rFonts w:ascii="Arial Narrow" w:hAnsi="Arial Narrow"/>
          <w:sz w:val="18"/>
          <w:vertAlign w:val="superscript"/>
        </w:rPr>
        <w:t>st</w:t>
      </w:r>
      <w:r w:rsidRPr="00193153">
        <w:rPr>
          <w:rFonts w:ascii="Arial Narrow" w:hAnsi="Arial Narrow"/>
          <w:sz w:val="18"/>
        </w:rPr>
        <w:t xml:space="preserve"> randomised phase; CORAL_E1 = CORAL observational extension phase (chemo refractory patients); CORAL_E2 = CORAL observational phase (relapsed post auto-SCT patients)</w:t>
      </w:r>
    </w:p>
    <w:p w14:paraId="570F9778" w14:textId="77777777" w:rsidR="006A6F9D" w:rsidRPr="000C0372" w:rsidRDefault="00FB5EDA" w:rsidP="000C0372">
      <w:pPr>
        <w:pStyle w:val="CaptionFootnote"/>
        <w:spacing w:after="240"/>
        <w:rPr>
          <w:rFonts w:ascii="Arial Narrow" w:hAnsi="Arial Narrow"/>
          <w:sz w:val="18"/>
        </w:rPr>
      </w:pPr>
      <w:proofErr w:type="gramStart"/>
      <w:r>
        <w:rPr>
          <w:rFonts w:ascii="Arial Narrow" w:hAnsi="Arial Narrow"/>
          <w:sz w:val="18"/>
          <w:vertAlign w:val="superscript"/>
        </w:rPr>
        <w:t>a</w:t>
      </w:r>
      <w:proofErr w:type="gramEnd"/>
      <w:r>
        <w:rPr>
          <w:rFonts w:ascii="Arial Narrow" w:hAnsi="Arial Narrow"/>
          <w:sz w:val="18"/>
          <w:vertAlign w:val="superscript"/>
        </w:rPr>
        <w:t xml:space="preserve"> </w:t>
      </w:r>
      <w:r>
        <w:rPr>
          <w:rFonts w:ascii="Arial Narrow" w:hAnsi="Arial Narrow"/>
          <w:sz w:val="18"/>
        </w:rPr>
        <w:t>Primary endpoints for salvage chemotherapy arms (SCR)s: NCIC-CTG Ly.12: ORR after 2 cycles of chemotherapy; and CORAL: mobilisation adjusted response rate</w:t>
      </w:r>
      <w:r w:rsidR="006A6F9D">
        <w:rPr>
          <w:rFonts w:ascii="Arial Narrow" w:hAnsi="Arial Narrow"/>
          <w:sz w:val="18"/>
        </w:rPr>
        <w:t xml:space="preserve"> after 3 cycles of chemotherapy</w:t>
      </w:r>
    </w:p>
    <w:p w14:paraId="0C32C5F1" w14:textId="77777777" w:rsidR="00F37B9C" w:rsidRDefault="00F37B9C" w:rsidP="00F1625B">
      <w:pPr>
        <w:keepNext/>
        <w:tabs>
          <w:tab w:val="left" w:pos="720"/>
          <w:tab w:val="left" w:pos="1140"/>
        </w:tabs>
        <w:spacing w:after="120"/>
        <w:rPr>
          <w:b/>
          <w:szCs w:val="24"/>
        </w:rPr>
      </w:pPr>
      <w:r w:rsidRPr="00F37B9C">
        <w:rPr>
          <w:b/>
          <w:szCs w:val="24"/>
        </w:rPr>
        <w:t xml:space="preserve">Clinical </w:t>
      </w:r>
      <w:r w:rsidR="009B2406" w:rsidRPr="00F37B9C">
        <w:rPr>
          <w:b/>
          <w:szCs w:val="24"/>
        </w:rPr>
        <w:t>c</w:t>
      </w:r>
      <w:r w:rsidRPr="00F37B9C">
        <w:rPr>
          <w:b/>
          <w:szCs w:val="24"/>
        </w:rPr>
        <w:t>laim</w:t>
      </w:r>
      <w:r w:rsidR="0049090C">
        <w:rPr>
          <w:b/>
          <w:szCs w:val="24"/>
        </w:rPr>
        <w:t>s</w:t>
      </w:r>
    </w:p>
    <w:p w14:paraId="12E05EE2" w14:textId="77777777" w:rsidR="00E770E1" w:rsidRPr="00E770E1" w:rsidRDefault="00E770E1" w:rsidP="00E770E1">
      <w:r w:rsidRPr="00E770E1">
        <w:t>The respective clinical claims across the two proposed populations were that:</w:t>
      </w:r>
    </w:p>
    <w:p w14:paraId="44A4BDA6" w14:textId="77777777" w:rsidR="00E770E1" w:rsidRPr="00E770E1" w:rsidRDefault="00E770E1" w:rsidP="00E770E1">
      <w:pPr>
        <w:pStyle w:val="ListParagraph"/>
        <w:numPr>
          <w:ilvl w:val="0"/>
          <w:numId w:val="30"/>
        </w:numPr>
      </w:pPr>
      <w:r>
        <w:t>f</w:t>
      </w:r>
      <w:r w:rsidRPr="00E770E1">
        <w:t xml:space="preserve">or patients with r/r </w:t>
      </w:r>
      <w:proofErr w:type="spellStart"/>
      <w:r w:rsidRPr="00E770E1">
        <w:t>pALL</w:t>
      </w:r>
      <w:proofErr w:type="spellEnd"/>
      <w:r w:rsidRPr="00E770E1">
        <w:t xml:space="preserve">, TIS provides superior efficacy to BLN +/- </w:t>
      </w:r>
      <w:proofErr w:type="spellStart"/>
      <w:r w:rsidRPr="00E770E1">
        <w:t>allo</w:t>
      </w:r>
      <w:proofErr w:type="spellEnd"/>
      <w:r w:rsidRPr="00E770E1">
        <w:t>-SCT, with respect to all key patient relevant outcomes including overall remission rates, duration of remission, event-free survival and overall survival, with predictable and acceptable safety;</w:t>
      </w:r>
      <w:r>
        <w:t xml:space="preserve"> and</w:t>
      </w:r>
    </w:p>
    <w:p w14:paraId="7F0C4FF5" w14:textId="77777777" w:rsidR="00D14366" w:rsidRDefault="00E770E1" w:rsidP="00E770E1">
      <w:pPr>
        <w:pStyle w:val="ListParagraph"/>
        <w:numPr>
          <w:ilvl w:val="0"/>
          <w:numId w:val="30"/>
        </w:numPr>
      </w:pPr>
      <w:proofErr w:type="gramStart"/>
      <w:r>
        <w:t>f</w:t>
      </w:r>
      <w:r w:rsidRPr="00E770E1">
        <w:t>or</w:t>
      </w:r>
      <w:proofErr w:type="gramEnd"/>
      <w:r w:rsidRPr="00E770E1">
        <w:t xml:space="preserve"> patients with r/r DLBCL, TIS provides superior efficacy to a mixed SCR +/- SCT with respect to all key patient relevant outcomes including overall response rate, duration of response, progression-free survival and </w:t>
      </w:r>
      <w:r w:rsidR="0049090C">
        <w:t>overall survival</w:t>
      </w:r>
      <w:r w:rsidRPr="00E770E1">
        <w:t>, with predictable and acceptable safety.</w:t>
      </w:r>
    </w:p>
    <w:p w14:paraId="16647539" w14:textId="77777777" w:rsidR="00BC1364" w:rsidRPr="00F715D1" w:rsidRDefault="00BC1364" w:rsidP="00F715D1">
      <w:pPr>
        <w:pStyle w:val="Heading1"/>
      </w:pPr>
      <w:r w:rsidRPr="00F715D1">
        <w:t>Economic evaluation</w:t>
      </w:r>
    </w:p>
    <w:p w14:paraId="26F1D211" w14:textId="77777777" w:rsidR="00AB1B01" w:rsidRPr="00EC2DC8" w:rsidRDefault="00AB1B01" w:rsidP="00A21401">
      <w:pPr>
        <w:spacing w:after="120"/>
        <w:rPr>
          <w:b/>
          <w:i/>
        </w:rPr>
      </w:pPr>
      <w:r w:rsidRPr="00EC2DC8">
        <w:rPr>
          <w:b/>
          <w:i/>
        </w:rPr>
        <w:t>March 2019 MSAC consideration</w:t>
      </w:r>
    </w:p>
    <w:p w14:paraId="26149F28" w14:textId="00C1D7C1" w:rsidR="00AB1B01" w:rsidRDefault="00AB1B01" w:rsidP="00AB1B01">
      <w:r>
        <w:t xml:space="preserve">The application summarised the revisions to the respecified base case economic evaluation </w:t>
      </w:r>
      <w:r w:rsidR="00F62A9D" w:rsidRPr="0069270C">
        <w:t xml:space="preserve">of treating eligible patients with r/r </w:t>
      </w:r>
      <w:proofErr w:type="spellStart"/>
      <w:r w:rsidR="00F62A9D" w:rsidRPr="0069270C">
        <w:t>pALL</w:t>
      </w:r>
      <w:proofErr w:type="spellEnd"/>
      <w:r w:rsidR="00F62A9D" w:rsidRPr="0069270C">
        <w:t xml:space="preserve"> </w:t>
      </w:r>
      <w:r w:rsidR="00DA7B6B">
        <w:t>(</w:t>
      </w:r>
      <w:r w:rsidR="003F6D9D">
        <w:fldChar w:fldCharType="begin"/>
      </w:r>
      <w:r w:rsidR="003F6D9D">
        <w:instrText xml:space="preserve"> REF _Ref5265531 \h </w:instrText>
      </w:r>
      <w:r w:rsidR="003F6D9D">
        <w:fldChar w:fldCharType="separate"/>
      </w:r>
      <w:r w:rsidR="001E1B42">
        <w:t xml:space="preserve">Table </w:t>
      </w:r>
      <w:r w:rsidR="001E1B42">
        <w:rPr>
          <w:noProof/>
        </w:rPr>
        <w:t>6</w:t>
      </w:r>
      <w:r w:rsidR="003F6D9D">
        <w:fldChar w:fldCharType="end"/>
      </w:r>
      <w:r>
        <w:t>).</w:t>
      </w:r>
    </w:p>
    <w:p w14:paraId="002A983A" w14:textId="654BD6E1" w:rsidR="00AB1B01" w:rsidRDefault="00245C11" w:rsidP="00245C11">
      <w:pPr>
        <w:pStyle w:val="Caption"/>
        <w:keepNext/>
        <w:keepLines/>
      </w:pPr>
      <w:bookmarkStart w:id="8" w:name="_Ref5265531"/>
      <w:r>
        <w:lastRenderedPageBreak/>
        <w:t xml:space="preserve">Table </w:t>
      </w:r>
      <w:r w:rsidR="0083734C">
        <w:rPr>
          <w:noProof/>
        </w:rPr>
        <w:fldChar w:fldCharType="begin"/>
      </w:r>
      <w:r w:rsidR="0083734C">
        <w:rPr>
          <w:noProof/>
        </w:rPr>
        <w:instrText xml:space="preserve"> SEQ Table \* ARABIC </w:instrText>
      </w:r>
      <w:r w:rsidR="0083734C">
        <w:rPr>
          <w:noProof/>
        </w:rPr>
        <w:fldChar w:fldCharType="separate"/>
      </w:r>
      <w:r w:rsidR="001E1B42">
        <w:rPr>
          <w:noProof/>
        </w:rPr>
        <w:t>6</w:t>
      </w:r>
      <w:r w:rsidR="0083734C">
        <w:rPr>
          <w:noProof/>
        </w:rPr>
        <w:fldChar w:fldCharType="end"/>
      </w:r>
      <w:bookmarkEnd w:id="8"/>
      <w:r>
        <w:tab/>
      </w:r>
      <w:r w:rsidR="00AB1B01">
        <w:t xml:space="preserve">Summary of economic issues raised and how they </w:t>
      </w:r>
      <w:proofErr w:type="gramStart"/>
      <w:r w:rsidR="00AB1B01">
        <w:t>have been addressed</w:t>
      </w:r>
      <w:proofErr w:type="gramEnd"/>
    </w:p>
    <w:tbl>
      <w:tblPr>
        <w:tblStyle w:val="TableGrid"/>
        <w:tblW w:w="0" w:type="auto"/>
        <w:tblLook w:val="04A0" w:firstRow="1" w:lastRow="0" w:firstColumn="1" w:lastColumn="0" w:noHBand="0" w:noVBand="1"/>
        <w:tblCaption w:val="Summary of issues raised and how they have been addressed"/>
        <w:tblDescription w:val="Application's summary of key changes to model"/>
      </w:tblPr>
      <w:tblGrid>
        <w:gridCol w:w="2323"/>
        <w:gridCol w:w="6693"/>
      </w:tblGrid>
      <w:tr w:rsidR="00AB1B01" w:rsidRPr="0044373C" w14:paraId="192C6267" w14:textId="77777777" w:rsidTr="003C3526">
        <w:trPr>
          <w:tblHeader/>
        </w:trPr>
        <w:tc>
          <w:tcPr>
            <w:tcW w:w="2323" w:type="dxa"/>
            <w:shd w:val="clear" w:color="auto" w:fill="BFBFBF" w:themeFill="background1" w:themeFillShade="BF"/>
          </w:tcPr>
          <w:p w14:paraId="7D1EA29D" w14:textId="77777777" w:rsidR="00AB1B01" w:rsidRPr="0044373C" w:rsidRDefault="00AB1B01" w:rsidP="00245C11">
            <w:pPr>
              <w:pStyle w:val="Table"/>
              <w:keepNext/>
              <w:keepLines/>
              <w:rPr>
                <w:rStyle w:val="SmallBold"/>
                <w:b w:val="0"/>
              </w:rPr>
            </w:pPr>
            <w:r w:rsidRPr="0044373C">
              <w:rPr>
                <w:rStyle w:val="SmallBold"/>
              </w:rPr>
              <w:t>Issue</w:t>
            </w:r>
          </w:p>
        </w:tc>
        <w:tc>
          <w:tcPr>
            <w:tcW w:w="6693" w:type="dxa"/>
            <w:shd w:val="clear" w:color="auto" w:fill="BFBFBF" w:themeFill="background1" w:themeFillShade="BF"/>
          </w:tcPr>
          <w:p w14:paraId="1B514E0F" w14:textId="77777777" w:rsidR="00AB1B01" w:rsidRPr="0044373C" w:rsidRDefault="00AB1B01" w:rsidP="00245C11">
            <w:pPr>
              <w:pStyle w:val="Table"/>
              <w:keepNext/>
              <w:keepLines/>
              <w:rPr>
                <w:rStyle w:val="SmallBold"/>
                <w:b w:val="0"/>
              </w:rPr>
            </w:pPr>
            <w:r w:rsidRPr="0044373C">
              <w:rPr>
                <w:rStyle w:val="SmallBold"/>
              </w:rPr>
              <w:t>Response</w:t>
            </w:r>
          </w:p>
        </w:tc>
      </w:tr>
      <w:tr w:rsidR="00AB1B01" w:rsidRPr="009E6DC8" w14:paraId="05B5552C" w14:textId="77777777" w:rsidTr="00AB1B01">
        <w:tc>
          <w:tcPr>
            <w:tcW w:w="2323" w:type="dxa"/>
          </w:tcPr>
          <w:p w14:paraId="56C7D1CC" w14:textId="77777777" w:rsidR="00AB1B01" w:rsidRPr="009E6DC8" w:rsidRDefault="00AB1B01" w:rsidP="00245C11">
            <w:pPr>
              <w:pStyle w:val="Table"/>
              <w:keepNext/>
              <w:keepLines/>
            </w:pPr>
            <w:r w:rsidRPr="009E6DC8">
              <w:t>Effective Price of TIS</w:t>
            </w:r>
          </w:p>
        </w:tc>
        <w:tc>
          <w:tcPr>
            <w:tcW w:w="6693" w:type="dxa"/>
          </w:tcPr>
          <w:p w14:paraId="4AC86AC8" w14:textId="49EF00DA" w:rsidR="00AB1B01" w:rsidRPr="009E6DC8" w:rsidRDefault="00AB1B01" w:rsidP="00245C11">
            <w:pPr>
              <w:pStyle w:val="Table"/>
              <w:keepNext/>
              <w:keepLines/>
            </w:pPr>
            <w:r w:rsidRPr="009E6DC8">
              <w:t xml:space="preserve">The proposed effective price for TIS has been reduced </w:t>
            </w:r>
            <w:r w:rsidRPr="009C1DCD">
              <w:t>from $</w:t>
            </w:r>
            <w:r w:rsidR="00962E24" w:rsidRPr="009C1DCD">
              <w:rPr>
                <w:b/>
              </w:rPr>
              <w:t>redacted</w:t>
            </w:r>
            <w:r w:rsidR="00962E24" w:rsidRPr="009C1DCD">
              <w:t xml:space="preserve"> </w:t>
            </w:r>
            <w:r w:rsidRPr="009C1DCD">
              <w:t>to $</w:t>
            </w:r>
            <w:r w:rsidR="00962E24" w:rsidRPr="009C1DCD">
              <w:rPr>
                <w:b/>
              </w:rPr>
              <w:t>redacted</w:t>
            </w:r>
            <w:r w:rsidRPr="009E6DC8">
              <w:t>.</w:t>
            </w:r>
          </w:p>
        </w:tc>
      </w:tr>
      <w:tr w:rsidR="00AB1B01" w:rsidRPr="009E6DC8" w14:paraId="5316EBE8" w14:textId="77777777" w:rsidTr="00AB1B01">
        <w:tc>
          <w:tcPr>
            <w:tcW w:w="2323" w:type="dxa"/>
          </w:tcPr>
          <w:p w14:paraId="18913CA6" w14:textId="77777777" w:rsidR="00AB1B01" w:rsidRPr="009E6DC8" w:rsidRDefault="00AB1B01" w:rsidP="00245C11">
            <w:pPr>
              <w:pStyle w:val="Table"/>
              <w:keepNext/>
              <w:keepLines/>
            </w:pPr>
            <w:r w:rsidRPr="009E6DC8">
              <w:t>Comparator</w:t>
            </w:r>
          </w:p>
        </w:tc>
        <w:tc>
          <w:tcPr>
            <w:tcW w:w="6693" w:type="dxa"/>
          </w:tcPr>
          <w:p w14:paraId="16D0609C" w14:textId="77777777" w:rsidR="00AB1B01" w:rsidRPr="009E6DC8" w:rsidRDefault="00AB1B01" w:rsidP="00245C11">
            <w:pPr>
              <w:pStyle w:val="Table"/>
              <w:keepNext/>
              <w:keepLines/>
            </w:pPr>
            <w:r w:rsidRPr="009E6DC8">
              <w:t xml:space="preserve">The evaluation now considers a single main comparator (BLN), with the comparison to other standard chemotherapy regimens (SCR) included only as a sensitivity analysis.  </w:t>
            </w:r>
          </w:p>
        </w:tc>
      </w:tr>
      <w:tr w:rsidR="00AB1B01" w:rsidRPr="009E6DC8" w14:paraId="7CE53A09" w14:textId="77777777" w:rsidTr="00AB1B01">
        <w:tc>
          <w:tcPr>
            <w:tcW w:w="2323" w:type="dxa"/>
          </w:tcPr>
          <w:p w14:paraId="3164F5B4" w14:textId="77777777" w:rsidR="00AB1B01" w:rsidRPr="009E6DC8" w:rsidRDefault="00AB1B01" w:rsidP="00AB1B01">
            <w:pPr>
              <w:pStyle w:val="Table"/>
              <w:keepNext/>
            </w:pPr>
            <w:r w:rsidRPr="009E6DC8">
              <w:t>Naïve indirect comparisons of single arm trials</w:t>
            </w:r>
          </w:p>
        </w:tc>
        <w:tc>
          <w:tcPr>
            <w:tcW w:w="6693" w:type="dxa"/>
          </w:tcPr>
          <w:p w14:paraId="0932CCBE" w14:textId="77777777" w:rsidR="00AB1B01" w:rsidRPr="009E6DC8" w:rsidRDefault="00AB1B01" w:rsidP="00AB1B01">
            <w:pPr>
              <w:pStyle w:val="Table"/>
              <w:keepNext/>
            </w:pPr>
            <w:r w:rsidRPr="009E6DC8">
              <w:t xml:space="preserve">No change, with the revised base case continuing to be informed by a naïve indirect comparison of results from the pooled ELIANA and ENSIGN trials with those of the Von </w:t>
            </w:r>
            <w:proofErr w:type="spellStart"/>
            <w:r w:rsidRPr="009E6DC8">
              <w:t>Stackelberg</w:t>
            </w:r>
            <w:proofErr w:type="spellEnd"/>
            <w:r w:rsidRPr="009E6DC8">
              <w:t xml:space="preserve"> 2011 study of BLN.  No direct or indirect randomised trials have (or are likely to) become available which would facilitate a more formal comparison.  Results of an updated MAIC analysis are available but considered an experimental approach and would require an assumption of proportional hazards in order to </w:t>
            </w:r>
            <w:proofErr w:type="gramStart"/>
            <w:r w:rsidRPr="009E6DC8">
              <w:t>be incorporated</w:t>
            </w:r>
            <w:proofErr w:type="gramEnd"/>
            <w:r w:rsidRPr="009E6DC8">
              <w:t xml:space="preserve"> in the economic evaluation.  </w:t>
            </w:r>
          </w:p>
        </w:tc>
      </w:tr>
      <w:tr w:rsidR="00AB1B01" w:rsidRPr="009E6DC8" w14:paraId="2C460ED7" w14:textId="77777777" w:rsidTr="00AB1B01">
        <w:tc>
          <w:tcPr>
            <w:tcW w:w="2323" w:type="dxa"/>
            <w:shd w:val="clear" w:color="auto" w:fill="auto"/>
          </w:tcPr>
          <w:p w14:paraId="00F06123" w14:textId="77777777" w:rsidR="00AB1B01" w:rsidRPr="009E6DC8" w:rsidRDefault="00AB1B01" w:rsidP="00AB1B01">
            <w:pPr>
              <w:pStyle w:val="Table"/>
              <w:keepNext/>
            </w:pPr>
            <w:r w:rsidRPr="009E6DC8">
              <w:t>Maturity of evidence from TIS trials</w:t>
            </w:r>
          </w:p>
        </w:tc>
        <w:tc>
          <w:tcPr>
            <w:tcW w:w="6693" w:type="dxa"/>
          </w:tcPr>
          <w:p w14:paraId="20CB248E" w14:textId="77777777" w:rsidR="00AB1B01" w:rsidRPr="009E6DC8" w:rsidRDefault="00AB1B01" w:rsidP="00AB1B01">
            <w:pPr>
              <w:pStyle w:val="Table"/>
              <w:keepNext/>
            </w:pPr>
            <w:r w:rsidRPr="009E6DC8">
              <w:t xml:space="preserve">The revised base case is informed by pooled results from most recent available analyses of the ELIANA (April 2018) and ENSIGN (October 2017) trials. </w:t>
            </w:r>
          </w:p>
        </w:tc>
      </w:tr>
      <w:tr w:rsidR="00AB1B01" w:rsidRPr="009E6DC8" w14:paraId="2ED39486" w14:textId="77777777" w:rsidTr="00AB1B01">
        <w:tc>
          <w:tcPr>
            <w:tcW w:w="2323" w:type="dxa"/>
            <w:shd w:val="clear" w:color="auto" w:fill="auto"/>
          </w:tcPr>
          <w:p w14:paraId="16B41660" w14:textId="77777777" w:rsidR="00AB1B01" w:rsidRPr="009E6DC8" w:rsidRDefault="00AB1B01" w:rsidP="00AB1B01">
            <w:pPr>
              <w:pStyle w:val="Table"/>
              <w:keepNext/>
            </w:pPr>
            <w:r w:rsidRPr="009E6DC8">
              <w:t>Intention to treat analysis</w:t>
            </w:r>
          </w:p>
        </w:tc>
        <w:tc>
          <w:tcPr>
            <w:tcW w:w="6693" w:type="dxa"/>
          </w:tcPr>
          <w:p w14:paraId="15CB2EEA" w14:textId="77777777" w:rsidR="00AB1B01" w:rsidRPr="009E6DC8" w:rsidRDefault="00AB1B01" w:rsidP="00AB1B01">
            <w:pPr>
              <w:pStyle w:val="Table"/>
              <w:keepNext/>
            </w:pPr>
            <w:r>
              <w:t xml:space="preserve">Whilst Novartis maintains the infused population is most appropriate, acknowledging the strong views expressed by the evaluators, the resubmission adopts the ITT population in the base case analysis. </w:t>
            </w:r>
            <w:r w:rsidRPr="009E6DC8">
              <w:t xml:space="preserve">The revised base case </w:t>
            </w:r>
            <w:proofErr w:type="gramStart"/>
            <w:r w:rsidRPr="009E6DC8">
              <w:t>is informed</w:t>
            </w:r>
            <w:proofErr w:type="gramEnd"/>
            <w:r w:rsidRPr="009E6DC8">
              <w:t xml:space="preserve"> by PFS and OS outcomes for the total enrolled population from the above analyses of ELIANA and ENSIGN, under a conservative assumption that observed rates of non-infusion in those trials will be replicated in the real-world commercial setting. Estimated costs for this proxy ITT cohort </w:t>
            </w:r>
            <w:proofErr w:type="gramStart"/>
            <w:r w:rsidRPr="009E6DC8">
              <w:t>are adjusted</w:t>
            </w:r>
            <w:proofErr w:type="gramEnd"/>
            <w:r w:rsidRPr="009E6DC8">
              <w:t xml:space="preserve"> for the proportion of patients who do not receive TIS, under the reasonable assumption that such patients would likely receive an alternative standard chemotherapy regimen.   </w:t>
            </w:r>
          </w:p>
        </w:tc>
      </w:tr>
      <w:tr w:rsidR="00AB1B01" w:rsidRPr="009E6DC8" w14:paraId="764A5E7B" w14:textId="77777777" w:rsidTr="00AB1B01">
        <w:tc>
          <w:tcPr>
            <w:tcW w:w="2323" w:type="dxa"/>
          </w:tcPr>
          <w:p w14:paraId="05F59BC8" w14:textId="77777777" w:rsidR="00AB1B01" w:rsidRPr="009E6DC8" w:rsidRDefault="00AB1B01" w:rsidP="00AB1B01">
            <w:pPr>
              <w:pStyle w:val="Table"/>
              <w:keepNext/>
            </w:pPr>
            <w:r w:rsidRPr="009E6DC8">
              <w:t>Unclear/uncertain extrapolation of survival curves</w:t>
            </w:r>
          </w:p>
        </w:tc>
        <w:tc>
          <w:tcPr>
            <w:tcW w:w="6693" w:type="dxa"/>
          </w:tcPr>
          <w:p w14:paraId="3A66013D" w14:textId="231C7E35" w:rsidR="00AB1B01" w:rsidRPr="009E6DC8" w:rsidRDefault="00AB1B01" w:rsidP="00962E24">
            <w:pPr>
              <w:pStyle w:val="Table"/>
              <w:keepNext/>
            </w:pPr>
            <w:r w:rsidRPr="009E6DC8">
              <w:t xml:space="preserve">The revised base case </w:t>
            </w:r>
            <w:proofErr w:type="gramStart"/>
            <w:r w:rsidRPr="009E6DC8">
              <w:t>is informed</w:t>
            </w:r>
            <w:proofErr w:type="gramEnd"/>
            <w:r w:rsidRPr="009E6DC8">
              <w:t xml:space="preserve"> by data from the pooled ELIANA and ENSIGN trials only; excluding the less applicable B2101J.  Furthermore, model selection is based on the best fitting parametric model for each PFS/OS dataset for TIS and SCR, as opposed to the </w:t>
            </w:r>
            <w:proofErr w:type="gramStart"/>
            <w:r w:rsidRPr="009E6DC8">
              <w:t>probability weighted</w:t>
            </w:r>
            <w:proofErr w:type="gramEnd"/>
            <w:r w:rsidRPr="009E6DC8">
              <w:t xml:space="preserve"> approach presented in the original submission. Based on these criteria, lognormal models </w:t>
            </w:r>
            <w:proofErr w:type="gramStart"/>
            <w:r w:rsidRPr="009E6DC8">
              <w:t>have been used</w:t>
            </w:r>
            <w:proofErr w:type="gramEnd"/>
            <w:r w:rsidRPr="009E6DC8">
              <w:t xml:space="preserve"> to extrapolate outcomes from the observed trial period of approximately </w:t>
            </w:r>
            <w:r w:rsidR="00962E24" w:rsidRPr="00962E24">
              <w:rPr>
                <w:b/>
              </w:rPr>
              <w:t>redacted</w:t>
            </w:r>
            <w:r w:rsidRPr="009E6DC8">
              <w:t xml:space="preserve"> until the assum</w:t>
            </w:r>
            <w:r>
              <w:t>ed application of a common long-</w:t>
            </w:r>
            <w:r w:rsidRPr="009E6DC8">
              <w:t xml:space="preserve">term mortality rate from </w:t>
            </w:r>
            <w:r w:rsidR="00962E24" w:rsidRPr="00962E24">
              <w:rPr>
                <w:b/>
              </w:rPr>
              <w:t>redacted</w:t>
            </w:r>
            <w:r w:rsidRPr="009E6DC8">
              <w:t xml:space="preserve">. </w:t>
            </w:r>
          </w:p>
        </w:tc>
      </w:tr>
      <w:tr w:rsidR="00AB1B01" w:rsidRPr="009E6DC8" w14:paraId="5FF81ED3" w14:textId="77777777" w:rsidTr="00AB1B01">
        <w:tc>
          <w:tcPr>
            <w:tcW w:w="2323" w:type="dxa"/>
          </w:tcPr>
          <w:p w14:paraId="1E178AA0" w14:textId="77777777" w:rsidR="00AB1B01" w:rsidRPr="009E6DC8" w:rsidRDefault="00AB1B01" w:rsidP="00AB1B01">
            <w:pPr>
              <w:pStyle w:val="Table"/>
              <w:keepNext/>
            </w:pPr>
            <w:r w:rsidRPr="009E6DC8">
              <w:t>Consideration of SCT following TIS</w:t>
            </w:r>
          </w:p>
        </w:tc>
        <w:tc>
          <w:tcPr>
            <w:tcW w:w="6693" w:type="dxa"/>
          </w:tcPr>
          <w:p w14:paraId="082DCC02" w14:textId="77777777" w:rsidR="00AB1B01" w:rsidRPr="009E6DC8" w:rsidRDefault="00AB1B01" w:rsidP="00AB1B01">
            <w:pPr>
              <w:pStyle w:val="Table"/>
              <w:keepNext/>
            </w:pPr>
            <w:r w:rsidRPr="009E6DC8">
              <w:t xml:space="preserve">Costs and potential quality of life effects of subsequent SCT following either TIS or BLN were included in the original model and </w:t>
            </w:r>
            <w:proofErr w:type="gramStart"/>
            <w:r w:rsidRPr="009E6DC8">
              <w:t>have been retained</w:t>
            </w:r>
            <w:proofErr w:type="gramEnd"/>
            <w:r w:rsidRPr="009E6DC8">
              <w:t xml:space="preserve"> here. Comparative rates of SCT </w:t>
            </w:r>
            <w:proofErr w:type="gramStart"/>
            <w:r w:rsidRPr="009E6DC8">
              <w:t>have been obtained</w:t>
            </w:r>
            <w:proofErr w:type="gramEnd"/>
            <w:r w:rsidRPr="009E6DC8">
              <w:t xml:space="preserve"> from the respective clinical trials. Survival outcomes drawn from the same trials are by definition inclusive of any additional effects from these downstream procedures. However, there are insufficient data with which </w:t>
            </w:r>
            <w:proofErr w:type="gramStart"/>
            <w:r w:rsidRPr="009E6DC8">
              <w:t>to separately model</w:t>
            </w:r>
            <w:proofErr w:type="gramEnd"/>
            <w:r w:rsidRPr="009E6DC8">
              <w:t xml:space="preserve"> the effects of alternative rates of subsequent SCT post TIS or BLN.   </w:t>
            </w:r>
          </w:p>
        </w:tc>
      </w:tr>
      <w:tr w:rsidR="00AB1B01" w:rsidRPr="009E6DC8" w14:paraId="2E595FB7" w14:textId="77777777" w:rsidTr="00AB1B01">
        <w:tc>
          <w:tcPr>
            <w:tcW w:w="2323" w:type="dxa"/>
          </w:tcPr>
          <w:p w14:paraId="4CC36409" w14:textId="77777777" w:rsidR="00AB1B01" w:rsidRPr="009E6DC8" w:rsidRDefault="00AB1B01" w:rsidP="00AB1B01">
            <w:pPr>
              <w:pStyle w:val="Table"/>
              <w:keepNext/>
            </w:pPr>
            <w:r w:rsidRPr="009E6DC8">
              <w:t xml:space="preserve">Underestimation of </w:t>
            </w:r>
            <w:proofErr w:type="spellStart"/>
            <w:r w:rsidRPr="009E6DC8">
              <w:t>IVIg</w:t>
            </w:r>
            <w:proofErr w:type="spellEnd"/>
            <w:r w:rsidRPr="009E6DC8">
              <w:t xml:space="preserve"> use</w:t>
            </w:r>
          </w:p>
        </w:tc>
        <w:tc>
          <w:tcPr>
            <w:tcW w:w="6693" w:type="dxa"/>
          </w:tcPr>
          <w:p w14:paraId="7EE18FDF" w14:textId="6F2B8FD1" w:rsidR="00AB1B01" w:rsidRPr="009E6DC8" w:rsidRDefault="00AB1B01" w:rsidP="00AB1B01">
            <w:pPr>
              <w:pStyle w:val="Table"/>
              <w:keepNext/>
            </w:pPr>
            <w:r w:rsidRPr="009E6DC8">
              <w:t xml:space="preserve">The assumed mean duration of </w:t>
            </w:r>
            <w:proofErr w:type="spellStart"/>
            <w:r w:rsidRPr="009E6DC8">
              <w:t>IVIg</w:t>
            </w:r>
            <w:proofErr w:type="spellEnd"/>
            <w:r w:rsidRPr="009E6DC8">
              <w:t xml:space="preserve"> use </w:t>
            </w:r>
            <w:proofErr w:type="gramStart"/>
            <w:r w:rsidRPr="009E6DC8">
              <w:t>has been increased</w:t>
            </w:r>
            <w:proofErr w:type="gramEnd"/>
            <w:r w:rsidRPr="009E6DC8">
              <w:t xml:space="preserve"> from </w:t>
            </w:r>
            <w:r w:rsidR="00962E24" w:rsidRPr="00962E24">
              <w:rPr>
                <w:b/>
              </w:rPr>
              <w:t>redacted</w:t>
            </w:r>
            <w:r w:rsidR="00962E24" w:rsidRPr="009E6DC8">
              <w:t xml:space="preserve"> </w:t>
            </w:r>
            <w:r w:rsidRPr="001A729B">
              <w:t>to 3 years</w:t>
            </w:r>
            <w:r w:rsidRPr="009E6DC8">
              <w:t xml:space="preserve"> based on expert clinical advice that patients would continue to receive this intensity of treatment only for as long as they remain in a paediatric treatment setting. Given the extended duration of treatment </w:t>
            </w:r>
            <w:proofErr w:type="gramStart"/>
            <w:r w:rsidRPr="009E6DC8">
              <w:t>assumed,</w:t>
            </w:r>
            <w:proofErr w:type="gramEnd"/>
            <w:r w:rsidRPr="009E6DC8">
              <w:t xml:space="preserve"> these costs have also been more formally integrated into the calculation of ongoing costs and discounted accordingly. </w:t>
            </w:r>
          </w:p>
        </w:tc>
      </w:tr>
      <w:tr w:rsidR="00AB1B01" w:rsidRPr="009E6DC8" w14:paraId="7B18B89E" w14:textId="77777777" w:rsidTr="00AB1B01">
        <w:tc>
          <w:tcPr>
            <w:tcW w:w="2323" w:type="dxa"/>
          </w:tcPr>
          <w:p w14:paraId="35B9B324" w14:textId="77777777" w:rsidR="00AB1B01" w:rsidRPr="009E6DC8" w:rsidRDefault="00AB1B01" w:rsidP="00AB1B01">
            <w:pPr>
              <w:pStyle w:val="Table"/>
              <w:keepNext/>
            </w:pPr>
            <w:r w:rsidRPr="009E6DC8">
              <w:t>Underestimated costs for progressive disease</w:t>
            </w:r>
          </w:p>
        </w:tc>
        <w:tc>
          <w:tcPr>
            <w:tcW w:w="6693" w:type="dxa"/>
          </w:tcPr>
          <w:p w14:paraId="301A46BE" w14:textId="77777777" w:rsidR="00AB1B01" w:rsidRPr="009E6DC8" w:rsidRDefault="00AB1B01" w:rsidP="00AB1B01">
            <w:pPr>
              <w:pStyle w:val="Table"/>
              <w:keepNext/>
            </w:pPr>
            <w:r w:rsidRPr="009E6DC8">
              <w:t xml:space="preserve">In the absence of reliable </w:t>
            </w:r>
            <w:proofErr w:type="gramStart"/>
            <w:r w:rsidRPr="009E6DC8">
              <w:t>long term</w:t>
            </w:r>
            <w:proofErr w:type="gramEnd"/>
            <w:r w:rsidRPr="009E6DC8">
              <w:t xml:space="preserve"> cost data pertaining to management of </w:t>
            </w:r>
            <w:proofErr w:type="spellStart"/>
            <w:r w:rsidRPr="009E6DC8">
              <w:t>pALL</w:t>
            </w:r>
            <w:proofErr w:type="spellEnd"/>
            <w:r w:rsidRPr="009E6DC8">
              <w:t xml:space="preserve"> patients, more robust estimates from the DLBCL setting have been used as reasonable proxy values.  </w:t>
            </w:r>
          </w:p>
        </w:tc>
      </w:tr>
      <w:tr w:rsidR="00AB1B01" w:rsidRPr="009E6DC8" w14:paraId="7BB231AF" w14:textId="77777777" w:rsidTr="00AB1B01">
        <w:tc>
          <w:tcPr>
            <w:tcW w:w="2323" w:type="dxa"/>
          </w:tcPr>
          <w:p w14:paraId="7E6F7E2E" w14:textId="77777777" w:rsidR="00AB1B01" w:rsidRPr="009E6DC8" w:rsidRDefault="00AB1B01" w:rsidP="00AB1B01">
            <w:pPr>
              <w:pStyle w:val="Table"/>
              <w:keepNext/>
            </w:pPr>
            <w:r w:rsidRPr="009E6DC8">
              <w:t>Oversimplified and underestimated costs for adverse events</w:t>
            </w:r>
          </w:p>
        </w:tc>
        <w:tc>
          <w:tcPr>
            <w:tcW w:w="6693" w:type="dxa"/>
          </w:tcPr>
          <w:p w14:paraId="1648A36C" w14:textId="77777777" w:rsidR="00AB1B01" w:rsidRPr="009E6DC8" w:rsidRDefault="00AB1B01" w:rsidP="00AB1B01">
            <w:pPr>
              <w:pStyle w:val="Table"/>
              <w:keepNext/>
            </w:pPr>
            <w:r>
              <w:t>A</w:t>
            </w:r>
            <w:r w:rsidRPr="009E6DC8">
              <w:t>dditional sensitivity analyses performed to assess the impact of any potential underestimation on the cost effectiveness</w:t>
            </w:r>
            <w:r>
              <w:t xml:space="preserve"> based on the approach used to estimate the costs for adverse events.  </w:t>
            </w:r>
            <w:r w:rsidRPr="009E6DC8">
              <w:t xml:space="preserve">The simplified approach </w:t>
            </w:r>
            <w:proofErr w:type="gramStart"/>
            <w:r w:rsidRPr="009E6DC8">
              <w:t>has been maintained</w:t>
            </w:r>
            <w:proofErr w:type="gramEnd"/>
            <w:r w:rsidRPr="009E6DC8">
              <w:t xml:space="preserve"> on the basis that many individual events would be experienced concurrently, often within the context of a hospital admi</w:t>
            </w:r>
            <w:r>
              <w:t>ssion for administration of TIS.</w:t>
            </w:r>
          </w:p>
        </w:tc>
      </w:tr>
      <w:tr w:rsidR="00AB1B01" w14:paraId="3D29ECDB" w14:textId="77777777" w:rsidTr="00AB1B01">
        <w:tc>
          <w:tcPr>
            <w:tcW w:w="2323" w:type="dxa"/>
          </w:tcPr>
          <w:p w14:paraId="7E290367" w14:textId="77777777" w:rsidR="00AB1B01" w:rsidRPr="009E6DC8" w:rsidRDefault="00AB1B01" w:rsidP="00AB1B01">
            <w:pPr>
              <w:pStyle w:val="Table"/>
              <w:keepNext/>
            </w:pPr>
            <w:r w:rsidRPr="009E6DC8">
              <w:t>Number of eligible patients</w:t>
            </w:r>
          </w:p>
        </w:tc>
        <w:tc>
          <w:tcPr>
            <w:tcW w:w="6693" w:type="dxa"/>
          </w:tcPr>
          <w:p w14:paraId="067477F0" w14:textId="77777777" w:rsidR="00AB1B01" w:rsidRDefault="00AB1B01" w:rsidP="00AB1B01">
            <w:pPr>
              <w:pStyle w:val="Table"/>
              <w:keepNext/>
            </w:pPr>
            <w:r w:rsidRPr="009E6DC8">
              <w:t xml:space="preserve">An epidemiological approach </w:t>
            </w:r>
            <w:proofErr w:type="gramStart"/>
            <w:r w:rsidRPr="009E6DC8">
              <w:t>has been maintained</w:t>
            </w:r>
            <w:proofErr w:type="gramEnd"/>
            <w:r w:rsidRPr="009E6DC8">
              <w:t>, and is considered the most suitable approach to determining the eligible population based on eligibility criteria aligned to the clinical trials.</w:t>
            </w:r>
            <w:r>
              <w:t xml:space="preserve"> A proportion of patients who relapse after </w:t>
            </w:r>
            <w:proofErr w:type="spellStart"/>
            <w:r>
              <w:t>allo</w:t>
            </w:r>
            <w:proofErr w:type="spellEnd"/>
            <w:r>
              <w:t xml:space="preserve">-SCT, as well as a prevalent pool of patients </w:t>
            </w:r>
            <w:proofErr w:type="gramStart"/>
            <w:r>
              <w:t>has been factored</w:t>
            </w:r>
            <w:proofErr w:type="gramEnd"/>
            <w:r>
              <w:t xml:space="preserve"> into the revised estimates.</w:t>
            </w:r>
          </w:p>
        </w:tc>
      </w:tr>
    </w:tbl>
    <w:p w14:paraId="0C707005" w14:textId="77777777" w:rsidR="00AB1B01" w:rsidRPr="00E27D07" w:rsidRDefault="00AB1B01" w:rsidP="00AB1B01">
      <w:pPr>
        <w:pStyle w:val="CaptionFootnote"/>
        <w:rPr>
          <w:rFonts w:ascii="Arial Narrow" w:hAnsi="Arial Narrow"/>
          <w:sz w:val="18"/>
        </w:rPr>
      </w:pPr>
      <w:r>
        <w:t xml:space="preserve"> </w:t>
      </w:r>
      <w:r>
        <w:rPr>
          <w:rFonts w:ascii="Arial Narrow" w:hAnsi="Arial Narrow"/>
          <w:sz w:val="18"/>
        </w:rPr>
        <w:t xml:space="preserve">Source: 1519 </w:t>
      </w:r>
      <w:proofErr w:type="spellStart"/>
      <w:r>
        <w:rPr>
          <w:rFonts w:ascii="Arial Narrow" w:hAnsi="Arial Narrow"/>
          <w:sz w:val="18"/>
        </w:rPr>
        <w:t>pALL</w:t>
      </w:r>
      <w:proofErr w:type="spellEnd"/>
      <w:r>
        <w:rPr>
          <w:rFonts w:ascii="Arial Narrow" w:hAnsi="Arial Narrow"/>
          <w:sz w:val="18"/>
        </w:rPr>
        <w:t xml:space="preserve"> Resubmission</w:t>
      </w:r>
    </w:p>
    <w:p w14:paraId="508616DA" w14:textId="77777777" w:rsidR="00AB1B01" w:rsidRPr="000C0372" w:rsidRDefault="00AB1B01" w:rsidP="00AB1B01">
      <w:pPr>
        <w:pStyle w:val="CaptionFootnote"/>
        <w:spacing w:after="240"/>
        <w:rPr>
          <w:rFonts w:ascii="Arial Narrow" w:hAnsi="Arial Narrow"/>
          <w:sz w:val="18"/>
        </w:rPr>
      </w:pPr>
      <w:r w:rsidRPr="00193153">
        <w:rPr>
          <w:rFonts w:ascii="Arial Narrow" w:hAnsi="Arial Narrow"/>
          <w:sz w:val="18"/>
        </w:rPr>
        <w:t xml:space="preserve">Abbreviations: </w:t>
      </w:r>
      <w:r>
        <w:rPr>
          <w:rFonts w:ascii="Arial Narrow" w:hAnsi="Arial Narrow"/>
          <w:sz w:val="18"/>
        </w:rPr>
        <w:t xml:space="preserve">BLN = blinatumomab; DLBCL = diffuse large B-cell lymphoma; </w:t>
      </w:r>
      <w:proofErr w:type="spellStart"/>
      <w:r>
        <w:rPr>
          <w:rFonts w:ascii="Arial Narrow" w:hAnsi="Arial Narrow"/>
          <w:sz w:val="18"/>
        </w:rPr>
        <w:t>IVIg</w:t>
      </w:r>
      <w:proofErr w:type="spellEnd"/>
      <w:r>
        <w:rPr>
          <w:rFonts w:ascii="Arial Narrow" w:hAnsi="Arial Narrow"/>
          <w:sz w:val="18"/>
        </w:rPr>
        <w:t xml:space="preserve"> = intravenous immunoglobulin; LY = life year; PFS = progression-free survival; OS = overall survival; QALY = quality-adjusted life-year; </w:t>
      </w:r>
      <w:proofErr w:type="spellStart"/>
      <w:r>
        <w:rPr>
          <w:rFonts w:ascii="Arial Narrow" w:hAnsi="Arial Narrow"/>
          <w:sz w:val="18"/>
        </w:rPr>
        <w:t>pALL</w:t>
      </w:r>
      <w:proofErr w:type="spellEnd"/>
      <w:r>
        <w:rPr>
          <w:rFonts w:ascii="Arial Narrow" w:hAnsi="Arial Narrow"/>
          <w:sz w:val="18"/>
        </w:rPr>
        <w:t xml:space="preserve"> = paediatric acute lymphocytic leukaemia; SCR = salvage chemotherapy regimen; SCT = stem-cell transplant TIS = tisagenlecleucel</w:t>
      </w:r>
    </w:p>
    <w:p w14:paraId="43279B63" w14:textId="6C3E3307" w:rsidR="00AB1B01" w:rsidRDefault="00AB1B01" w:rsidP="00496A12">
      <w:pPr>
        <w:spacing w:after="240"/>
      </w:pPr>
      <w:r>
        <w:t>Results of the revised base case of the economic evaluation, incorporating these changes and the reduced price of TIS as previously disc</w:t>
      </w:r>
      <w:r w:rsidR="00A21401">
        <w:t xml:space="preserve">ussed, are summarised in </w:t>
      </w:r>
      <w:r w:rsidR="003F6D9D">
        <w:fldChar w:fldCharType="begin"/>
      </w:r>
      <w:r w:rsidR="003F6D9D">
        <w:instrText xml:space="preserve"> REF _Ref5265544 \h </w:instrText>
      </w:r>
      <w:r w:rsidR="003F6D9D">
        <w:fldChar w:fldCharType="separate"/>
      </w:r>
      <w:r w:rsidR="001E1B42">
        <w:t xml:space="preserve">Table </w:t>
      </w:r>
      <w:r w:rsidR="001E1B42">
        <w:rPr>
          <w:noProof/>
        </w:rPr>
        <w:t>7</w:t>
      </w:r>
      <w:r w:rsidR="003F6D9D">
        <w:fldChar w:fldCharType="end"/>
      </w:r>
      <w:r>
        <w:t>.</w:t>
      </w:r>
    </w:p>
    <w:p w14:paraId="6180F7E9" w14:textId="0AF2E223" w:rsidR="00AB1B01" w:rsidRDefault="00245C11" w:rsidP="00245C11">
      <w:pPr>
        <w:pStyle w:val="Caption"/>
        <w:keepNext/>
        <w:keepLines/>
      </w:pPr>
      <w:bookmarkStart w:id="9" w:name="_Ref5265544"/>
      <w:r>
        <w:lastRenderedPageBreak/>
        <w:t xml:space="preserve">Table </w:t>
      </w:r>
      <w:r w:rsidR="0083734C">
        <w:rPr>
          <w:noProof/>
        </w:rPr>
        <w:fldChar w:fldCharType="begin"/>
      </w:r>
      <w:r w:rsidR="0083734C">
        <w:rPr>
          <w:noProof/>
        </w:rPr>
        <w:instrText xml:space="preserve"> SEQ Table \* ARABIC </w:instrText>
      </w:r>
      <w:r w:rsidR="0083734C">
        <w:rPr>
          <w:noProof/>
        </w:rPr>
        <w:fldChar w:fldCharType="separate"/>
      </w:r>
      <w:r w:rsidR="001E1B42">
        <w:rPr>
          <w:noProof/>
        </w:rPr>
        <w:t>7</w:t>
      </w:r>
      <w:r w:rsidR="0083734C">
        <w:rPr>
          <w:noProof/>
        </w:rPr>
        <w:fldChar w:fldCharType="end"/>
      </w:r>
      <w:bookmarkEnd w:id="9"/>
      <w:r>
        <w:tab/>
      </w:r>
      <w:r w:rsidR="00AB1B01">
        <w:t>Results of the base case economic evaluation</w:t>
      </w:r>
    </w:p>
    <w:tbl>
      <w:tblPr>
        <w:tblStyle w:val="Submissionstandard"/>
        <w:tblW w:w="5000" w:type="pct"/>
        <w:tblInd w:w="-5" w:type="dxa"/>
        <w:tblLook w:val="00A0" w:firstRow="1" w:lastRow="0" w:firstColumn="1" w:lastColumn="0" w:noHBand="0" w:noVBand="0"/>
        <w:tblCaption w:val="Discounted incremental results and cost effectiveness ratios"/>
        <w:tblDescription w:val="Results"/>
      </w:tblPr>
      <w:tblGrid>
        <w:gridCol w:w="1919"/>
        <w:gridCol w:w="1338"/>
        <w:gridCol w:w="1340"/>
        <w:gridCol w:w="1475"/>
        <w:gridCol w:w="1473"/>
        <w:gridCol w:w="1471"/>
      </w:tblGrid>
      <w:tr w:rsidR="00AB1B01" w:rsidRPr="00100933" w14:paraId="153C4D98" w14:textId="77777777" w:rsidTr="003C3526">
        <w:trPr>
          <w:cnfStyle w:val="100000000000" w:firstRow="1" w:lastRow="0" w:firstColumn="0" w:lastColumn="0" w:oddVBand="0" w:evenVBand="0" w:oddHBand="0" w:evenHBand="0" w:firstRowFirstColumn="0" w:firstRowLastColumn="0" w:lastRowFirstColumn="0" w:lastRowLastColumn="0"/>
          <w:trHeight w:val="198"/>
          <w:tblHeader/>
        </w:trPr>
        <w:tc>
          <w:tcPr>
            <w:tcW w:w="1064" w:type="pct"/>
            <w:noWrap/>
          </w:tcPr>
          <w:p w14:paraId="2BB38268" w14:textId="77777777" w:rsidR="00AB1B01" w:rsidRPr="00100933" w:rsidRDefault="00AB1B01" w:rsidP="00245C11">
            <w:pPr>
              <w:pStyle w:val="Table"/>
              <w:keepNext/>
              <w:keepLines/>
              <w:rPr>
                <w:rStyle w:val="Small"/>
              </w:rPr>
            </w:pPr>
            <w:r w:rsidRPr="00100933">
              <w:rPr>
                <w:rStyle w:val="Small"/>
              </w:rPr>
              <w:t>Outcome</w:t>
            </w:r>
          </w:p>
        </w:tc>
        <w:tc>
          <w:tcPr>
            <w:tcW w:w="742" w:type="pct"/>
          </w:tcPr>
          <w:p w14:paraId="209EA4AD" w14:textId="77777777" w:rsidR="00AB1B01" w:rsidRPr="00100933" w:rsidRDefault="00AB1B01" w:rsidP="00245C11">
            <w:pPr>
              <w:pStyle w:val="TableCentre"/>
              <w:keepNext/>
              <w:keepLines/>
              <w:rPr>
                <w:rStyle w:val="Small"/>
              </w:rPr>
            </w:pPr>
            <w:r w:rsidRPr="00100933">
              <w:rPr>
                <w:rStyle w:val="Small"/>
              </w:rPr>
              <w:t>TIS</w:t>
            </w:r>
          </w:p>
        </w:tc>
        <w:tc>
          <w:tcPr>
            <w:tcW w:w="743" w:type="pct"/>
          </w:tcPr>
          <w:p w14:paraId="012052F9" w14:textId="77777777" w:rsidR="00AB1B01" w:rsidRPr="00100933" w:rsidRDefault="00AB1B01" w:rsidP="00245C11">
            <w:pPr>
              <w:pStyle w:val="TableCentre"/>
              <w:keepNext/>
              <w:keepLines/>
              <w:rPr>
                <w:rStyle w:val="Small"/>
              </w:rPr>
            </w:pPr>
            <w:r w:rsidRPr="00100933">
              <w:rPr>
                <w:rStyle w:val="Small"/>
              </w:rPr>
              <w:t xml:space="preserve">BLN </w:t>
            </w:r>
          </w:p>
        </w:tc>
        <w:tc>
          <w:tcPr>
            <w:tcW w:w="818" w:type="pct"/>
          </w:tcPr>
          <w:p w14:paraId="501BD0EE" w14:textId="77777777" w:rsidR="00AB1B01" w:rsidRPr="00100933" w:rsidRDefault="00AB1B01" w:rsidP="00245C11">
            <w:pPr>
              <w:pStyle w:val="TableCentre"/>
              <w:keepNext/>
              <w:keepLines/>
              <w:rPr>
                <w:rStyle w:val="Small"/>
              </w:rPr>
            </w:pPr>
            <w:r w:rsidRPr="00100933">
              <w:rPr>
                <w:rStyle w:val="Small"/>
              </w:rPr>
              <w:t>SCR</w:t>
            </w:r>
          </w:p>
        </w:tc>
        <w:tc>
          <w:tcPr>
            <w:tcW w:w="817" w:type="pct"/>
          </w:tcPr>
          <w:p w14:paraId="562B1653" w14:textId="77777777" w:rsidR="00AB1B01" w:rsidRPr="00100933" w:rsidRDefault="00AB1B01" w:rsidP="00245C11">
            <w:pPr>
              <w:pStyle w:val="TableCentre"/>
              <w:keepNext/>
              <w:keepLines/>
              <w:rPr>
                <w:rStyle w:val="Small"/>
              </w:rPr>
            </w:pPr>
            <w:r w:rsidRPr="00100933">
              <w:rPr>
                <w:rStyle w:val="Small"/>
              </w:rPr>
              <w:t>TIS v. BLN</w:t>
            </w:r>
          </w:p>
        </w:tc>
        <w:tc>
          <w:tcPr>
            <w:tcW w:w="816" w:type="pct"/>
          </w:tcPr>
          <w:p w14:paraId="4E04479E" w14:textId="77777777" w:rsidR="00AB1B01" w:rsidRPr="00100933" w:rsidRDefault="00AB1B01" w:rsidP="00245C11">
            <w:pPr>
              <w:pStyle w:val="TableCentre"/>
              <w:keepNext/>
              <w:keepLines/>
              <w:rPr>
                <w:rStyle w:val="Small"/>
              </w:rPr>
            </w:pPr>
            <w:r w:rsidRPr="00100933">
              <w:rPr>
                <w:rStyle w:val="Small"/>
              </w:rPr>
              <w:t>TIS v. SCR</w:t>
            </w:r>
          </w:p>
        </w:tc>
      </w:tr>
      <w:tr w:rsidR="00AB1B01" w:rsidRPr="00100933" w14:paraId="6AF7DE2D" w14:textId="77777777" w:rsidTr="00AB1B01">
        <w:trPr>
          <w:trHeight w:val="198"/>
        </w:trPr>
        <w:tc>
          <w:tcPr>
            <w:tcW w:w="1064" w:type="pct"/>
            <w:noWrap/>
          </w:tcPr>
          <w:p w14:paraId="457987DA" w14:textId="77777777" w:rsidR="00AB1B01" w:rsidRPr="00100933" w:rsidRDefault="00AB1B01" w:rsidP="00AB1B01">
            <w:pPr>
              <w:pStyle w:val="Table"/>
              <w:keepNext/>
              <w:rPr>
                <w:rStyle w:val="Small"/>
                <w:b/>
              </w:rPr>
            </w:pPr>
            <w:r w:rsidRPr="00100933">
              <w:t>Median EFS</w:t>
            </w:r>
          </w:p>
        </w:tc>
        <w:tc>
          <w:tcPr>
            <w:tcW w:w="742" w:type="pct"/>
          </w:tcPr>
          <w:p w14:paraId="625D828C" w14:textId="77777777" w:rsidR="00AB1B01" w:rsidRPr="00100933" w:rsidRDefault="00AB1B01" w:rsidP="00AB1B01">
            <w:pPr>
              <w:pStyle w:val="TableCentre"/>
              <w:keepNext/>
              <w:rPr>
                <w:rStyle w:val="Small"/>
                <w:b/>
              </w:rPr>
            </w:pPr>
            <w:r w:rsidRPr="00100933">
              <w:t>9</w:t>
            </w:r>
          </w:p>
        </w:tc>
        <w:tc>
          <w:tcPr>
            <w:tcW w:w="743" w:type="pct"/>
          </w:tcPr>
          <w:p w14:paraId="38661239" w14:textId="77777777" w:rsidR="00AB1B01" w:rsidRPr="00100933" w:rsidRDefault="00AB1B01" w:rsidP="00AB1B01">
            <w:pPr>
              <w:pStyle w:val="TableCentre"/>
              <w:keepNext/>
              <w:rPr>
                <w:rStyle w:val="Small"/>
                <w:b/>
              </w:rPr>
            </w:pPr>
            <w:r w:rsidRPr="00100933">
              <w:t>5</w:t>
            </w:r>
          </w:p>
        </w:tc>
        <w:tc>
          <w:tcPr>
            <w:tcW w:w="818" w:type="pct"/>
          </w:tcPr>
          <w:p w14:paraId="3ED5D49F" w14:textId="77777777" w:rsidR="00AB1B01" w:rsidRPr="00100933" w:rsidRDefault="00AB1B01" w:rsidP="00AB1B01">
            <w:pPr>
              <w:pStyle w:val="TableCentre"/>
              <w:keepNext/>
              <w:rPr>
                <w:rStyle w:val="Small"/>
                <w:b/>
              </w:rPr>
            </w:pPr>
            <w:r w:rsidRPr="00100933">
              <w:t>3</w:t>
            </w:r>
          </w:p>
        </w:tc>
        <w:tc>
          <w:tcPr>
            <w:tcW w:w="817" w:type="pct"/>
          </w:tcPr>
          <w:p w14:paraId="2C4AAF48" w14:textId="77777777" w:rsidR="00AB1B01" w:rsidRPr="00100933" w:rsidRDefault="00AB1B01" w:rsidP="00AB1B01">
            <w:pPr>
              <w:pStyle w:val="TableCentre"/>
              <w:keepNext/>
              <w:rPr>
                <w:rStyle w:val="Small"/>
                <w:b/>
              </w:rPr>
            </w:pPr>
            <w:r w:rsidRPr="00100933">
              <w:t>4</w:t>
            </w:r>
          </w:p>
        </w:tc>
        <w:tc>
          <w:tcPr>
            <w:tcW w:w="816" w:type="pct"/>
          </w:tcPr>
          <w:p w14:paraId="483316A0" w14:textId="77777777" w:rsidR="00AB1B01" w:rsidRPr="00216F6B" w:rsidRDefault="00AB1B01" w:rsidP="00AB1B01">
            <w:pPr>
              <w:pStyle w:val="TableCentre"/>
              <w:keepNext/>
              <w:rPr>
                <w:rStyle w:val="Small"/>
              </w:rPr>
            </w:pPr>
            <w:r w:rsidRPr="00216F6B">
              <w:rPr>
                <w:rStyle w:val="Small"/>
              </w:rPr>
              <w:t>6</w:t>
            </w:r>
          </w:p>
        </w:tc>
      </w:tr>
      <w:tr w:rsidR="00AB1B01" w:rsidRPr="00100933" w14:paraId="37F0FD1E" w14:textId="77777777" w:rsidTr="00AB1B01">
        <w:trPr>
          <w:trHeight w:val="198"/>
        </w:trPr>
        <w:tc>
          <w:tcPr>
            <w:tcW w:w="1064" w:type="pct"/>
            <w:noWrap/>
          </w:tcPr>
          <w:p w14:paraId="42134D53" w14:textId="77777777" w:rsidR="00AB1B01" w:rsidRPr="00100933" w:rsidRDefault="00AB1B01" w:rsidP="00AB1B01">
            <w:pPr>
              <w:pStyle w:val="Table"/>
              <w:keepNext/>
              <w:rPr>
                <w:rStyle w:val="Small"/>
                <w:b/>
              </w:rPr>
            </w:pPr>
            <w:r w:rsidRPr="00100933">
              <w:t>Median OS</w:t>
            </w:r>
          </w:p>
        </w:tc>
        <w:tc>
          <w:tcPr>
            <w:tcW w:w="742" w:type="pct"/>
          </w:tcPr>
          <w:p w14:paraId="798A2F0F" w14:textId="77777777" w:rsidR="00AB1B01" w:rsidRPr="00100933" w:rsidRDefault="00AB1B01" w:rsidP="00AB1B01">
            <w:pPr>
              <w:pStyle w:val="TableCentre"/>
              <w:keepNext/>
              <w:rPr>
                <w:rStyle w:val="Small"/>
                <w:b/>
              </w:rPr>
            </w:pPr>
            <w:r w:rsidRPr="00100933">
              <w:t>28</w:t>
            </w:r>
          </w:p>
        </w:tc>
        <w:tc>
          <w:tcPr>
            <w:tcW w:w="743" w:type="pct"/>
          </w:tcPr>
          <w:p w14:paraId="453C3E59" w14:textId="77777777" w:rsidR="00AB1B01" w:rsidRPr="00100933" w:rsidRDefault="00AB1B01" w:rsidP="00AB1B01">
            <w:pPr>
              <w:pStyle w:val="TableCentre"/>
              <w:keepNext/>
              <w:rPr>
                <w:rStyle w:val="Small"/>
                <w:b/>
              </w:rPr>
            </w:pPr>
            <w:r w:rsidRPr="00100933">
              <w:t>7</w:t>
            </w:r>
          </w:p>
        </w:tc>
        <w:tc>
          <w:tcPr>
            <w:tcW w:w="818" w:type="pct"/>
          </w:tcPr>
          <w:p w14:paraId="3330A563" w14:textId="77777777" w:rsidR="00AB1B01" w:rsidRPr="00100933" w:rsidRDefault="00AB1B01" w:rsidP="00AB1B01">
            <w:pPr>
              <w:pStyle w:val="TableCentre"/>
              <w:keepNext/>
              <w:rPr>
                <w:rStyle w:val="Small"/>
                <w:b/>
              </w:rPr>
            </w:pPr>
            <w:r w:rsidRPr="00100933">
              <w:t>3</w:t>
            </w:r>
          </w:p>
        </w:tc>
        <w:tc>
          <w:tcPr>
            <w:tcW w:w="817" w:type="pct"/>
          </w:tcPr>
          <w:p w14:paraId="6C45A49F" w14:textId="77777777" w:rsidR="00AB1B01" w:rsidRPr="00100933" w:rsidRDefault="00AB1B01" w:rsidP="00AB1B01">
            <w:pPr>
              <w:pStyle w:val="TableCentre"/>
              <w:keepNext/>
              <w:rPr>
                <w:rStyle w:val="Small"/>
                <w:b/>
              </w:rPr>
            </w:pPr>
            <w:r w:rsidRPr="00100933">
              <w:t>21</w:t>
            </w:r>
          </w:p>
        </w:tc>
        <w:tc>
          <w:tcPr>
            <w:tcW w:w="816" w:type="pct"/>
          </w:tcPr>
          <w:p w14:paraId="46C969E9" w14:textId="77777777" w:rsidR="00AB1B01" w:rsidRPr="00216F6B" w:rsidRDefault="00AB1B01" w:rsidP="00AB1B01">
            <w:pPr>
              <w:pStyle w:val="TableCentre"/>
              <w:keepNext/>
              <w:rPr>
                <w:rStyle w:val="Small"/>
              </w:rPr>
            </w:pPr>
            <w:r w:rsidRPr="00216F6B">
              <w:rPr>
                <w:rStyle w:val="Small"/>
              </w:rPr>
              <w:t>25</w:t>
            </w:r>
          </w:p>
        </w:tc>
      </w:tr>
      <w:tr w:rsidR="00AB1B01" w:rsidRPr="009C1DCD" w14:paraId="34CB926F" w14:textId="77777777" w:rsidTr="00AB1B01">
        <w:trPr>
          <w:trHeight w:val="198"/>
        </w:trPr>
        <w:tc>
          <w:tcPr>
            <w:tcW w:w="1064" w:type="pct"/>
            <w:noWrap/>
          </w:tcPr>
          <w:p w14:paraId="332B29D6" w14:textId="77777777" w:rsidR="00AB1B01" w:rsidRPr="009C1DCD" w:rsidRDefault="00AB1B01" w:rsidP="00AB1B01">
            <w:pPr>
              <w:pStyle w:val="Table"/>
              <w:keepNext/>
              <w:rPr>
                <w:rStyle w:val="Small"/>
              </w:rPr>
            </w:pPr>
            <w:r w:rsidRPr="009C1DCD">
              <w:rPr>
                <w:rStyle w:val="Small"/>
              </w:rPr>
              <w:t>Discounted costs</w:t>
            </w:r>
          </w:p>
        </w:tc>
        <w:tc>
          <w:tcPr>
            <w:tcW w:w="742" w:type="pct"/>
            <w:noWrap/>
          </w:tcPr>
          <w:p w14:paraId="19F0CA97" w14:textId="4F25EFC3" w:rsidR="00AB1B01" w:rsidRPr="009C1DCD" w:rsidRDefault="00AB1B01" w:rsidP="00962E24">
            <w:pPr>
              <w:pStyle w:val="TableCentre"/>
              <w:keepNext/>
            </w:pPr>
            <w:r w:rsidRPr="009C1DCD">
              <w:t>$</w:t>
            </w:r>
            <w:r w:rsidR="00962E24" w:rsidRPr="009C1DCD">
              <w:rPr>
                <w:b/>
              </w:rPr>
              <w:t>redacted</w:t>
            </w:r>
          </w:p>
        </w:tc>
        <w:tc>
          <w:tcPr>
            <w:tcW w:w="743" w:type="pct"/>
            <w:noWrap/>
          </w:tcPr>
          <w:p w14:paraId="4598C026" w14:textId="0CBF3F38" w:rsidR="00AB1B01" w:rsidRPr="009C1DCD" w:rsidRDefault="00962E24" w:rsidP="00AB1B01">
            <w:pPr>
              <w:pStyle w:val="TableCentre"/>
              <w:keepNext/>
            </w:pPr>
            <w:r w:rsidRPr="009C1DCD">
              <w:t>$</w:t>
            </w:r>
            <w:r w:rsidRPr="009C1DCD">
              <w:rPr>
                <w:b/>
              </w:rPr>
              <w:t>redacted</w:t>
            </w:r>
          </w:p>
        </w:tc>
        <w:tc>
          <w:tcPr>
            <w:tcW w:w="818" w:type="pct"/>
          </w:tcPr>
          <w:p w14:paraId="10103B9D" w14:textId="5577AB0E" w:rsidR="00AB1B01" w:rsidRPr="009C1DCD" w:rsidRDefault="00962E24" w:rsidP="00AB1B01">
            <w:pPr>
              <w:pStyle w:val="TableCentre"/>
              <w:keepNext/>
            </w:pPr>
            <w:r w:rsidRPr="009C1DCD">
              <w:t>$</w:t>
            </w:r>
            <w:r w:rsidRPr="009C1DCD">
              <w:rPr>
                <w:b/>
              </w:rPr>
              <w:t>redacted</w:t>
            </w:r>
          </w:p>
        </w:tc>
        <w:tc>
          <w:tcPr>
            <w:tcW w:w="817" w:type="pct"/>
          </w:tcPr>
          <w:p w14:paraId="59CBA64A" w14:textId="4E847EF2" w:rsidR="00AB1B01" w:rsidRPr="009C1DCD" w:rsidRDefault="00962E24" w:rsidP="00AB1B01">
            <w:pPr>
              <w:pStyle w:val="TableCentre"/>
              <w:keepNext/>
            </w:pPr>
            <w:r w:rsidRPr="009C1DCD">
              <w:t>$</w:t>
            </w:r>
            <w:r w:rsidRPr="009C1DCD">
              <w:rPr>
                <w:b/>
              </w:rPr>
              <w:t>redacted</w:t>
            </w:r>
          </w:p>
        </w:tc>
        <w:tc>
          <w:tcPr>
            <w:tcW w:w="816" w:type="pct"/>
          </w:tcPr>
          <w:p w14:paraId="74B73DD2" w14:textId="0DC8B63A" w:rsidR="00AB1B01" w:rsidRPr="009C1DCD" w:rsidRDefault="00962E24" w:rsidP="00AB1B01">
            <w:pPr>
              <w:pStyle w:val="TableCentre"/>
              <w:keepNext/>
            </w:pPr>
            <w:r w:rsidRPr="009C1DCD">
              <w:t>$</w:t>
            </w:r>
            <w:r w:rsidRPr="009C1DCD">
              <w:rPr>
                <w:b/>
              </w:rPr>
              <w:t>redacted</w:t>
            </w:r>
          </w:p>
        </w:tc>
      </w:tr>
      <w:tr w:rsidR="00AB1B01" w:rsidRPr="009C1DCD" w14:paraId="788998EF" w14:textId="77777777" w:rsidTr="00AB1B01">
        <w:trPr>
          <w:trHeight w:val="198"/>
        </w:trPr>
        <w:tc>
          <w:tcPr>
            <w:tcW w:w="1064" w:type="pct"/>
            <w:noWrap/>
          </w:tcPr>
          <w:p w14:paraId="00BD6A98" w14:textId="77777777" w:rsidR="00AB1B01" w:rsidRPr="009C1DCD" w:rsidRDefault="00AB1B01" w:rsidP="00AB1B01">
            <w:pPr>
              <w:pStyle w:val="Table"/>
              <w:keepNext/>
              <w:rPr>
                <w:rStyle w:val="Small"/>
              </w:rPr>
            </w:pPr>
            <w:r w:rsidRPr="009C1DCD">
              <w:rPr>
                <w:rStyle w:val="Small"/>
              </w:rPr>
              <w:t>Discounted Life Years</w:t>
            </w:r>
          </w:p>
        </w:tc>
        <w:tc>
          <w:tcPr>
            <w:tcW w:w="742" w:type="pct"/>
            <w:noWrap/>
          </w:tcPr>
          <w:p w14:paraId="7DAEFA85" w14:textId="77777777" w:rsidR="00AB1B01" w:rsidRPr="009C1DCD" w:rsidRDefault="00AB1B01" w:rsidP="00AB1B01">
            <w:pPr>
              <w:pStyle w:val="TableCentre"/>
              <w:keepNext/>
            </w:pPr>
            <w:r w:rsidRPr="009C1DCD">
              <w:t>7.450</w:t>
            </w:r>
          </w:p>
        </w:tc>
        <w:tc>
          <w:tcPr>
            <w:tcW w:w="743" w:type="pct"/>
            <w:noWrap/>
          </w:tcPr>
          <w:p w14:paraId="3CCDAE17" w14:textId="77777777" w:rsidR="00AB1B01" w:rsidRPr="009C1DCD" w:rsidRDefault="00AB1B01" w:rsidP="00AB1B01">
            <w:pPr>
              <w:pStyle w:val="TableCentre"/>
              <w:keepNext/>
            </w:pPr>
            <w:r w:rsidRPr="009C1DCD">
              <w:t>2.250</w:t>
            </w:r>
          </w:p>
        </w:tc>
        <w:tc>
          <w:tcPr>
            <w:tcW w:w="818" w:type="pct"/>
          </w:tcPr>
          <w:p w14:paraId="399C6B6B" w14:textId="77777777" w:rsidR="00AB1B01" w:rsidRPr="009C1DCD" w:rsidRDefault="00AB1B01" w:rsidP="00AB1B01">
            <w:pPr>
              <w:pStyle w:val="TableCentre"/>
              <w:keepNext/>
            </w:pPr>
            <w:r w:rsidRPr="009C1DCD">
              <w:t>0.621</w:t>
            </w:r>
          </w:p>
        </w:tc>
        <w:tc>
          <w:tcPr>
            <w:tcW w:w="817" w:type="pct"/>
          </w:tcPr>
          <w:p w14:paraId="40D1B127" w14:textId="77777777" w:rsidR="00AB1B01" w:rsidRPr="009C1DCD" w:rsidRDefault="00AB1B01" w:rsidP="00AB1B01">
            <w:pPr>
              <w:pStyle w:val="TableCentre"/>
              <w:keepNext/>
            </w:pPr>
            <w:r w:rsidRPr="009C1DCD">
              <w:t>5.200</w:t>
            </w:r>
          </w:p>
        </w:tc>
        <w:tc>
          <w:tcPr>
            <w:tcW w:w="816" w:type="pct"/>
          </w:tcPr>
          <w:p w14:paraId="4785F15F" w14:textId="77777777" w:rsidR="00AB1B01" w:rsidRPr="009C1DCD" w:rsidRDefault="00AB1B01" w:rsidP="00AB1B01">
            <w:pPr>
              <w:pStyle w:val="TableCentre"/>
              <w:keepNext/>
            </w:pPr>
            <w:r w:rsidRPr="009C1DCD">
              <w:t>6.829</w:t>
            </w:r>
          </w:p>
        </w:tc>
      </w:tr>
      <w:tr w:rsidR="00AB1B01" w:rsidRPr="009C1DCD" w14:paraId="5486B862" w14:textId="77777777" w:rsidTr="00AB1B01">
        <w:trPr>
          <w:trHeight w:val="198"/>
        </w:trPr>
        <w:tc>
          <w:tcPr>
            <w:tcW w:w="1064" w:type="pct"/>
            <w:noWrap/>
          </w:tcPr>
          <w:p w14:paraId="51BCF758" w14:textId="77777777" w:rsidR="00AB1B01" w:rsidRPr="009C1DCD" w:rsidRDefault="00AB1B01" w:rsidP="00AB1B01">
            <w:pPr>
              <w:pStyle w:val="Table"/>
              <w:keepNext/>
              <w:rPr>
                <w:rStyle w:val="Small"/>
              </w:rPr>
            </w:pPr>
            <w:r w:rsidRPr="009C1DCD">
              <w:rPr>
                <w:rStyle w:val="Small"/>
              </w:rPr>
              <w:t>Discounted QALYs</w:t>
            </w:r>
          </w:p>
        </w:tc>
        <w:tc>
          <w:tcPr>
            <w:tcW w:w="742" w:type="pct"/>
            <w:noWrap/>
          </w:tcPr>
          <w:p w14:paraId="5969C1CF" w14:textId="77777777" w:rsidR="00AB1B01" w:rsidRPr="009C1DCD" w:rsidRDefault="00AB1B01" w:rsidP="00AB1B01">
            <w:pPr>
              <w:pStyle w:val="TableCentre"/>
              <w:keepNext/>
            </w:pPr>
            <w:r w:rsidRPr="009C1DCD">
              <w:t>4.972</w:t>
            </w:r>
          </w:p>
        </w:tc>
        <w:tc>
          <w:tcPr>
            <w:tcW w:w="743" w:type="pct"/>
            <w:noWrap/>
          </w:tcPr>
          <w:p w14:paraId="493D100B" w14:textId="77777777" w:rsidR="00AB1B01" w:rsidRPr="009C1DCD" w:rsidRDefault="00AB1B01" w:rsidP="00AB1B01">
            <w:pPr>
              <w:pStyle w:val="TableCentre"/>
              <w:keepNext/>
            </w:pPr>
            <w:r w:rsidRPr="009C1DCD">
              <w:t>1.269</w:t>
            </w:r>
          </w:p>
        </w:tc>
        <w:tc>
          <w:tcPr>
            <w:tcW w:w="818" w:type="pct"/>
          </w:tcPr>
          <w:p w14:paraId="469D5AC6" w14:textId="77777777" w:rsidR="00AB1B01" w:rsidRPr="009C1DCD" w:rsidRDefault="00AB1B01" w:rsidP="00AB1B01">
            <w:pPr>
              <w:pStyle w:val="TableCentre"/>
              <w:keepNext/>
            </w:pPr>
            <w:r w:rsidRPr="009C1DCD">
              <w:t>0.224</w:t>
            </w:r>
          </w:p>
        </w:tc>
        <w:tc>
          <w:tcPr>
            <w:tcW w:w="817" w:type="pct"/>
          </w:tcPr>
          <w:p w14:paraId="1DB04389" w14:textId="77777777" w:rsidR="00AB1B01" w:rsidRPr="009C1DCD" w:rsidRDefault="00AB1B01" w:rsidP="00AB1B01">
            <w:pPr>
              <w:pStyle w:val="TableCentre"/>
              <w:keepNext/>
            </w:pPr>
            <w:r w:rsidRPr="009C1DCD">
              <w:t>3.703</w:t>
            </w:r>
          </w:p>
        </w:tc>
        <w:tc>
          <w:tcPr>
            <w:tcW w:w="816" w:type="pct"/>
          </w:tcPr>
          <w:p w14:paraId="0E1B9DF0" w14:textId="77777777" w:rsidR="00AB1B01" w:rsidRPr="009C1DCD" w:rsidRDefault="00AB1B01" w:rsidP="00AB1B01">
            <w:pPr>
              <w:pStyle w:val="TableCentre"/>
              <w:keepNext/>
            </w:pPr>
            <w:r w:rsidRPr="009C1DCD">
              <w:t>4.748</w:t>
            </w:r>
          </w:p>
        </w:tc>
      </w:tr>
      <w:tr w:rsidR="00AB1B01" w:rsidRPr="009C1DCD" w14:paraId="22B7987F" w14:textId="77777777" w:rsidTr="00AB1B01">
        <w:trPr>
          <w:trHeight w:val="198"/>
        </w:trPr>
        <w:tc>
          <w:tcPr>
            <w:tcW w:w="1064" w:type="pct"/>
            <w:noWrap/>
          </w:tcPr>
          <w:p w14:paraId="4F5C6A48" w14:textId="77777777" w:rsidR="00AB1B01" w:rsidRPr="009C1DCD" w:rsidRDefault="00AB1B01" w:rsidP="00AB1B01">
            <w:pPr>
              <w:pStyle w:val="Table"/>
              <w:keepNext/>
              <w:rPr>
                <w:rStyle w:val="Small"/>
              </w:rPr>
            </w:pPr>
            <w:r w:rsidRPr="009C1DCD">
              <w:rPr>
                <w:rStyle w:val="Small"/>
              </w:rPr>
              <w:t>Discounted Cost/LY</w:t>
            </w:r>
          </w:p>
        </w:tc>
        <w:tc>
          <w:tcPr>
            <w:tcW w:w="2303" w:type="pct"/>
            <w:gridSpan w:val="3"/>
            <w:vMerge w:val="restart"/>
            <w:noWrap/>
          </w:tcPr>
          <w:p w14:paraId="27662E77" w14:textId="77777777" w:rsidR="00AB1B01" w:rsidRPr="009C1DCD" w:rsidRDefault="00AB1B01" w:rsidP="00AB1B01">
            <w:pPr>
              <w:pStyle w:val="TableCentre"/>
              <w:keepNext/>
              <w:rPr>
                <w:rStyle w:val="Small"/>
              </w:rPr>
            </w:pPr>
          </w:p>
        </w:tc>
        <w:tc>
          <w:tcPr>
            <w:tcW w:w="817" w:type="pct"/>
          </w:tcPr>
          <w:p w14:paraId="16114AB3" w14:textId="34A1A745" w:rsidR="00AB1B01" w:rsidRPr="009C1DCD" w:rsidRDefault="00962E24" w:rsidP="00AB1B01">
            <w:pPr>
              <w:pStyle w:val="TableCentre"/>
              <w:keepNext/>
            </w:pPr>
            <w:r w:rsidRPr="009C1DCD">
              <w:t>$</w:t>
            </w:r>
            <w:r w:rsidRPr="009C1DCD">
              <w:rPr>
                <w:b/>
              </w:rPr>
              <w:t>redacted</w:t>
            </w:r>
          </w:p>
        </w:tc>
        <w:tc>
          <w:tcPr>
            <w:tcW w:w="816" w:type="pct"/>
          </w:tcPr>
          <w:p w14:paraId="306B62BC" w14:textId="75AEE483" w:rsidR="00AB1B01" w:rsidRPr="009C1DCD" w:rsidRDefault="00962E24" w:rsidP="00AB1B01">
            <w:pPr>
              <w:pStyle w:val="TableCentre"/>
              <w:keepNext/>
            </w:pPr>
            <w:r w:rsidRPr="009C1DCD">
              <w:t>$</w:t>
            </w:r>
            <w:r w:rsidRPr="009C1DCD">
              <w:rPr>
                <w:b/>
              </w:rPr>
              <w:t>redacted</w:t>
            </w:r>
          </w:p>
        </w:tc>
      </w:tr>
      <w:tr w:rsidR="00AB1B01" w:rsidRPr="009C1DCD" w14:paraId="2B46AAD8" w14:textId="77777777" w:rsidTr="00AB1B01">
        <w:trPr>
          <w:trHeight w:val="198"/>
        </w:trPr>
        <w:tc>
          <w:tcPr>
            <w:tcW w:w="1064" w:type="pct"/>
            <w:noWrap/>
          </w:tcPr>
          <w:p w14:paraId="7861FD93" w14:textId="77777777" w:rsidR="00AB1B01" w:rsidRPr="009C1DCD" w:rsidRDefault="00AB1B01" w:rsidP="00AB1B01">
            <w:pPr>
              <w:pStyle w:val="Table"/>
              <w:keepNext/>
              <w:rPr>
                <w:rStyle w:val="Small"/>
              </w:rPr>
            </w:pPr>
            <w:r w:rsidRPr="009C1DCD">
              <w:rPr>
                <w:rStyle w:val="Small"/>
              </w:rPr>
              <w:t>Discounted Cost/QALY</w:t>
            </w:r>
          </w:p>
        </w:tc>
        <w:tc>
          <w:tcPr>
            <w:tcW w:w="2303" w:type="pct"/>
            <w:gridSpan w:val="3"/>
            <w:vMerge/>
            <w:noWrap/>
          </w:tcPr>
          <w:p w14:paraId="6249EE81" w14:textId="77777777" w:rsidR="00AB1B01" w:rsidRPr="009C1DCD" w:rsidRDefault="00AB1B01" w:rsidP="00AB1B01">
            <w:pPr>
              <w:pStyle w:val="TableCentre"/>
              <w:keepNext/>
              <w:rPr>
                <w:rStyle w:val="Small"/>
              </w:rPr>
            </w:pPr>
          </w:p>
        </w:tc>
        <w:tc>
          <w:tcPr>
            <w:tcW w:w="817" w:type="pct"/>
          </w:tcPr>
          <w:p w14:paraId="494FBFAD" w14:textId="74CAEB7D" w:rsidR="00AB1B01" w:rsidRPr="009C1DCD" w:rsidRDefault="00962E24" w:rsidP="00AB1B01">
            <w:pPr>
              <w:pStyle w:val="TableCentre"/>
              <w:keepNext/>
            </w:pPr>
            <w:r w:rsidRPr="009C1DCD">
              <w:t>$</w:t>
            </w:r>
            <w:r w:rsidRPr="009C1DCD">
              <w:rPr>
                <w:b/>
              </w:rPr>
              <w:t>redacted</w:t>
            </w:r>
          </w:p>
        </w:tc>
        <w:tc>
          <w:tcPr>
            <w:tcW w:w="816" w:type="pct"/>
          </w:tcPr>
          <w:p w14:paraId="13793082" w14:textId="01431B99" w:rsidR="00AB1B01" w:rsidRPr="009C1DCD" w:rsidRDefault="00962E24" w:rsidP="00AB1B01">
            <w:pPr>
              <w:pStyle w:val="TableCentre"/>
              <w:keepNext/>
            </w:pPr>
            <w:r w:rsidRPr="009C1DCD">
              <w:t>$</w:t>
            </w:r>
            <w:r w:rsidRPr="009C1DCD">
              <w:rPr>
                <w:b/>
              </w:rPr>
              <w:t>redacted</w:t>
            </w:r>
          </w:p>
        </w:tc>
      </w:tr>
    </w:tbl>
    <w:p w14:paraId="5114DC1C" w14:textId="77777777" w:rsidR="00AB1B01" w:rsidRPr="009C1DCD" w:rsidRDefault="00AB1B01" w:rsidP="00AB1B01">
      <w:pPr>
        <w:pStyle w:val="CaptionFootnote"/>
        <w:rPr>
          <w:rFonts w:ascii="Arial Narrow" w:hAnsi="Arial Narrow"/>
          <w:sz w:val="18"/>
        </w:rPr>
      </w:pPr>
      <w:r w:rsidRPr="009C1DCD">
        <w:rPr>
          <w:rFonts w:ascii="Arial Narrow" w:hAnsi="Arial Narrow"/>
          <w:sz w:val="18"/>
        </w:rPr>
        <w:t xml:space="preserve">Source: 1519 </w:t>
      </w:r>
      <w:proofErr w:type="spellStart"/>
      <w:r w:rsidRPr="009C1DCD">
        <w:rPr>
          <w:rFonts w:ascii="Arial Narrow" w:hAnsi="Arial Narrow"/>
          <w:sz w:val="18"/>
        </w:rPr>
        <w:t>pALL</w:t>
      </w:r>
      <w:proofErr w:type="spellEnd"/>
      <w:r w:rsidRPr="009C1DCD">
        <w:rPr>
          <w:rFonts w:ascii="Arial Narrow" w:hAnsi="Arial Narrow"/>
          <w:sz w:val="18"/>
        </w:rPr>
        <w:t xml:space="preserve"> Resubmission</w:t>
      </w:r>
    </w:p>
    <w:p w14:paraId="284D0E7E" w14:textId="77777777" w:rsidR="00AB1B01" w:rsidRPr="009C1DCD" w:rsidRDefault="00AB1B01" w:rsidP="00AB1B01">
      <w:pPr>
        <w:pStyle w:val="CaptionFootnote"/>
        <w:spacing w:after="240"/>
        <w:rPr>
          <w:rFonts w:ascii="Arial Narrow" w:hAnsi="Arial Narrow"/>
          <w:sz w:val="18"/>
        </w:rPr>
      </w:pPr>
      <w:r w:rsidRPr="009C1DCD">
        <w:rPr>
          <w:rFonts w:ascii="Arial Narrow" w:hAnsi="Arial Narrow"/>
          <w:sz w:val="18"/>
        </w:rPr>
        <w:t>Abbreviations: BLN = blinatumomab; EFS = event free survival</w:t>
      </w:r>
      <w:proofErr w:type="gramStart"/>
      <w:r w:rsidRPr="009C1DCD">
        <w:rPr>
          <w:rFonts w:ascii="Arial Narrow" w:hAnsi="Arial Narrow"/>
          <w:sz w:val="18"/>
        </w:rPr>
        <w:t>;  LY</w:t>
      </w:r>
      <w:proofErr w:type="gramEnd"/>
      <w:r w:rsidRPr="009C1DCD">
        <w:rPr>
          <w:rFonts w:ascii="Arial Narrow" w:hAnsi="Arial Narrow"/>
          <w:sz w:val="18"/>
        </w:rPr>
        <w:t xml:space="preserve"> = life year; OS = overall survival; QALY = quality-adjusted life-year; SCR = salvage chemotherapy regimen; TIS = tisagenlecleucel</w:t>
      </w:r>
    </w:p>
    <w:p w14:paraId="2F31B5F7" w14:textId="3DFDFF81" w:rsidR="00AB1B01" w:rsidRPr="009C1DCD" w:rsidRDefault="00AB1B01" w:rsidP="00CF2123">
      <w:pPr>
        <w:spacing w:after="240"/>
      </w:pPr>
      <w:r w:rsidRPr="009C1DCD">
        <w:t xml:space="preserve">The application presented results from deterministic sensitivity analysis of key model parameters: TIS cost per infusion </w:t>
      </w:r>
      <w:r w:rsidR="00962E24" w:rsidRPr="009C1DCD">
        <w:rPr>
          <w:b/>
        </w:rPr>
        <w:t>redacted</w:t>
      </w:r>
      <w:r w:rsidRPr="009C1DCD">
        <w:t xml:space="preserve">; TIS-related adverse events </w:t>
      </w:r>
      <w:r w:rsidR="00962E24" w:rsidRPr="009C1DCD">
        <w:rPr>
          <w:b/>
        </w:rPr>
        <w:t>redacted</w:t>
      </w:r>
      <w:proofErr w:type="gramStart"/>
      <w:r w:rsidRPr="009C1DCD">
        <w:t>;</w:t>
      </w:r>
      <w:proofErr w:type="gramEnd"/>
      <w:r w:rsidRPr="009C1DCD">
        <w:t xml:space="preserve"> and</w:t>
      </w:r>
      <w:r w:rsidR="00A21401" w:rsidRPr="009C1DCD">
        <w:t xml:space="preserve"> </w:t>
      </w:r>
      <w:proofErr w:type="spellStart"/>
      <w:r w:rsidR="00A21401" w:rsidRPr="009C1DCD">
        <w:t>IVIg</w:t>
      </w:r>
      <w:proofErr w:type="spellEnd"/>
      <w:r w:rsidR="00A21401" w:rsidRPr="009C1DCD">
        <w:t xml:space="preserve">: </w:t>
      </w:r>
      <w:r w:rsidR="00962E24" w:rsidRPr="009C1DCD">
        <w:rPr>
          <w:b/>
        </w:rPr>
        <w:t>redacted</w:t>
      </w:r>
      <w:r w:rsidR="00962E24" w:rsidRPr="009C1DCD">
        <w:t xml:space="preserve"> </w:t>
      </w:r>
      <w:r w:rsidR="00A21401" w:rsidRPr="009C1DCD">
        <w:t>(</w:t>
      </w:r>
      <w:r w:rsidR="003F6D9D" w:rsidRPr="009C1DCD">
        <w:fldChar w:fldCharType="begin"/>
      </w:r>
      <w:r w:rsidR="003F6D9D" w:rsidRPr="009C1DCD">
        <w:instrText xml:space="preserve"> REF _Ref5265555 \h </w:instrText>
      </w:r>
      <w:r w:rsidR="009C1DCD">
        <w:instrText xml:space="preserve"> \* MERGEFORMAT </w:instrText>
      </w:r>
      <w:r w:rsidR="003F6D9D" w:rsidRPr="009C1DCD">
        <w:fldChar w:fldCharType="separate"/>
      </w:r>
      <w:r w:rsidR="001E1B42" w:rsidRPr="009C1DCD">
        <w:t xml:space="preserve">Table </w:t>
      </w:r>
      <w:r w:rsidR="001E1B42">
        <w:rPr>
          <w:noProof/>
        </w:rPr>
        <w:t>8</w:t>
      </w:r>
      <w:r w:rsidR="003F6D9D" w:rsidRPr="009C1DCD">
        <w:fldChar w:fldCharType="end"/>
      </w:r>
      <w:r w:rsidRPr="009C1DCD">
        <w:t>).</w:t>
      </w:r>
    </w:p>
    <w:p w14:paraId="211E956E" w14:textId="72BB208A" w:rsidR="00AB1B01" w:rsidRPr="009C1DCD" w:rsidRDefault="00245C11" w:rsidP="00245C11">
      <w:pPr>
        <w:pStyle w:val="Caption"/>
      </w:pPr>
      <w:bookmarkStart w:id="10" w:name="_Ref5265555"/>
      <w:r w:rsidRPr="009C1DCD">
        <w:t xml:space="preserve">Table </w:t>
      </w:r>
      <w:r w:rsidR="0083734C" w:rsidRPr="009C1DCD">
        <w:rPr>
          <w:noProof/>
        </w:rPr>
        <w:fldChar w:fldCharType="begin"/>
      </w:r>
      <w:r w:rsidR="0083734C" w:rsidRPr="009C1DCD">
        <w:rPr>
          <w:noProof/>
        </w:rPr>
        <w:instrText xml:space="preserve"> SEQ Table \* ARABIC </w:instrText>
      </w:r>
      <w:r w:rsidR="0083734C" w:rsidRPr="009C1DCD">
        <w:rPr>
          <w:noProof/>
        </w:rPr>
        <w:fldChar w:fldCharType="separate"/>
      </w:r>
      <w:r w:rsidR="001E1B42">
        <w:rPr>
          <w:noProof/>
        </w:rPr>
        <w:t>8</w:t>
      </w:r>
      <w:r w:rsidR="0083734C" w:rsidRPr="009C1DCD">
        <w:rPr>
          <w:noProof/>
        </w:rPr>
        <w:fldChar w:fldCharType="end"/>
      </w:r>
      <w:bookmarkEnd w:id="10"/>
      <w:r w:rsidRPr="009C1DCD">
        <w:tab/>
      </w:r>
      <w:r w:rsidR="00AB1B01" w:rsidRPr="009C1DCD">
        <w:t>One-way sensitivity analysis results (discounted)</w:t>
      </w:r>
    </w:p>
    <w:tbl>
      <w:tblPr>
        <w:tblStyle w:val="TableGrid1"/>
        <w:tblW w:w="5000" w:type="pct"/>
        <w:tblLayout w:type="fixed"/>
        <w:tblCellMar>
          <w:left w:w="28" w:type="dxa"/>
          <w:right w:w="28" w:type="dxa"/>
        </w:tblCellMar>
        <w:tblLook w:val="00A0" w:firstRow="1" w:lastRow="0" w:firstColumn="1" w:lastColumn="0" w:noHBand="0" w:noVBand="0"/>
        <w:tblCaption w:val="One-way sensitivity analysis results (discounted)"/>
        <w:tblDescription w:val="Results"/>
      </w:tblPr>
      <w:tblGrid>
        <w:gridCol w:w="2087"/>
        <w:gridCol w:w="1700"/>
        <w:gridCol w:w="1700"/>
        <w:gridCol w:w="1019"/>
        <w:gridCol w:w="1596"/>
        <w:gridCol w:w="914"/>
      </w:tblGrid>
      <w:tr w:rsidR="00AB1B01" w:rsidRPr="009C1DCD" w14:paraId="5BA81795" w14:textId="77777777" w:rsidTr="003C3526">
        <w:trPr>
          <w:trHeight w:val="227"/>
          <w:tblHeader/>
        </w:trPr>
        <w:tc>
          <w:tcPr>
            <w:tcW w:w="1157" w:type="pct"/>
            <w:vMerge w:val="restart"/>
            <w:shd w:val="clear" w:color="auto" w:fill="A6A6A6" w:themeFill="background1" w:themeFillShade="A6"/>
            <w:vAlign w:val="center"/>
          </w:tcPr>
          <w:p w14:paraId="2D57687D" w14:textId="77777777" w:rsidR="00AB1B01" w:rsidRPr="009C1DCD" w:rsidRDefault="00AB1B01" w:rsidP="00AB1B01">
            <w:pPr>
              <w:pStyle w:val="TableLeft"/>
              <w:rPr>
                <w:rStyle w:val="Small"/>
              </w:rPr>
            </w:pPr>
            <w:r w:rsidRPr="009C1DCD">
              <w:rPr>
                <w:rStyle w:val="Small"/>
              </w:rPr>
              <w:t>Analysis</w:t>
            </w:r>
          </w:p>
        </w:tc>
        <w:tc>
          <w:tcPr>
            <w:tcW w:w="943" w:type="pct"/>
            <w:shd w:val="clear" w:color="auto" w:fill="A6A6A6" w:themeFill="background1" w:themeFillShade="A6"/>
            <w:vAlign w:val="center"/>
          </w:tcPr>
          <w:p w14:paraId="0D5060D9" w14:textId="77777777" w:rsidR="00AB1B01" w:rsidRPr="009C1DCD" w:rsidRDefault="00AB1B01" w:rsidP="00AB1B01">
            <w:pPr>
              <w:pStyle w:val="TableLeft"/>
              <w:jc w:val="center"/>
              <w:rPr>
                <w:rStyle w:val="Small"/>
              </w:rPr>
            </w:pPr>
            <w:r w:rsidRPr="009C1DCD">
              <w:rPr>
                <w:rStyle w:val="Small"/>
              </w:rPr>
              <w:t>Base Case</w:t>
            </w:r>
          </w:p>
        </w:tc>
        <w:tc>
          <w:tcPr>
            <w:tcW w:w="943" w:type="pct"/>
            <w:shd w:val="clear" w:color="auto" w:fill="A6A6A6" w:themeFill="background1" w:themeFillShade="A6"/>
            <w:vAlign w:val="center"/>
          </w:tcPr>
          <w:p w14:paraId="5FA02BB6" w14:textId="77777777" w:rsidR="00AB1B01" w:rsidRPr="009C1DCD" w:rsidRDefault="00AB1B01" w:rsidP="00AB1B01">
            <w:pPr>
              <w:pStyle w:val="TableLeft"/>
              <w:jc w:val="center"/>
              <w:rPr>
                <w:rStyle w:val="Small"/>
              </w:rPr>
            </w:pPr>
            <w:r w:rsidRPr="009C1DCD">
              <w:rPr>
                <w:rStyle w:val="Small"/>
              </w:rPr>
              <w:t>Worst case</w:t>
            </w:r>
          </w:p>
        </w:tc>
        <w:tc>
          <w:tcPr>
            <w:tcW w:w="1957" w:type="pct"/>
            <w:gridSpan w:val="3"/>
            <w:shd w:val="clear" w:color="auto" w:fill="A6A6A6" w:themeFill="background1" w:themeFillShade="A6"/>
            <w:vAlign w:val="center"/>
          </w:tcPr>
          <w:p w14:paraId="1EB9DEE1" w14:textId="77777777" w:rsidR="00AB1B01" w:rsidRPr="009C1DCD" w:rsidRDefault="00AB1B01" w:rsidP="00AB1B01">
            <w:pPr>
              <w:pStyle w:val="TableLeft"/>
              <w:jc w:val="center"/>
              <w:rPr>
                <w:rStyle w:val="Small"/>
              </w:rPr>
            </w:pPr>
            <w:r w:rsidRPr="009C1DCD">
              <w:rPr>
                <w:rStyle w:val="Small"/>
              </w:rPr>
              <w:t>Best case</w:t>
            </w:r>
          </w:p>
        </w:tc>
      </w:tr>
      <w:tr w:rsidR="00AB1B01" w:rsidRPr="009C1DCD" w14:paraId="12BDFA62" w14:textId="77777777" w:rsidTr="003C3526">
        <w:trPr>
          <w:trHeight w:val="227"/>
          <w:tblHeader/>
        </w:trPr>
        <w:tc>
          <w:tcPr>
            <w:tcW w:w="1157" w:type="pct"/>
            <w:vMerge/>
            <w:shd w:val="clear" w:color="auto" w:fill="A6A6A6" w:themeFill="background1" w:themeFillShade="A6"/>
          </w:tcPr>
          <w:p w14:paraId="5A9D91A9" w14:textId="77777777" w:rsidR="00AB1B01" w:rsidRPr="009C1DCD" w:rsidRDefault="00AB1B01" w:rsidP="00AB1B01">
            <w:pPr>
              <w:pStyle w:val="TableLeft"/>
              <w:rPr>
                <w:rStyle w:val="Small"/>
              </w:rPr>
            </w:pPr>
          </w:p>
        </w:tc>
        <w:tc>
          <w:tcPr>
            <w:tcW w:w="943" w:type="pct"/>
            <w:shd w:val="clear" w:color="auto" w:fill="A6A6A6" w:themeFill="background1" w:themeFillShade="A6"/>
            <w:vAlign w:val="center"/>
          </w:tcPr>
          <w:p w14:paraId="69E9D4C3" w14:textId="77777777" w:rsidR="00AB1B01" w:rsidRPr="009C1DCD" w:rsidRDefault="00AB1B01" w:rsidP="00AB1B01">
            <w:pPr>
              <w:pStyle w:val="TableLeft"/>
              <w:jc w:val="center"/>
              <w:rPr>
                <w:rStyle w:val="Small"/>
              </w:rPr>
            </w:pPr>
            <w:r w:rsidRPr="009C1DCD">
              <w:rPr>
                <w:rStyle w:val="Small"/>
              </w:rPr>
              <w:t>Value</w:t>
            </w:r>
          </w:p>
        </w:tc>
        <w:tc>
          <w:tcPr>
            <w:tcW w:w="943" w:type="pct"/>
            <w:shd w:val="clear" w:color="auto" w:fill="A6A6A6" w:themeFill="background1" w:themeFillShade="A6"/>
            <w:vAlign w:val="center"/>
          </w:tcPr>
          <w:p w14:paraId="4A942AE9" w14:textId="77777777" w:rsidR="00AB1B01" w:rsidRPr="009C1DCD" w:rsidRDefault="00AB1B01" w:rsidP="00AB1B01">
            <w:pPr>
              <w:pStyle w:val="TableLeft"/>
              <w:jc w:val="center"/>
              <w:rPr>
                <w:rStyle w:val="Small"/>
              </w:rPr>
            </w:pPr>
            <w:r w:rsidRPr="009C1DCD">
              <w:rPr>
                <w:rStyle w:val="Small"/>
              </w:rPr>
              <w:t>Value</w:t>
            </w:r>
          </w:p>
        </w:tc>
        <w:tc>
          <w:tcPr>
            <w:tcW w:w="565" w:type="pct"/>
            <w:shd w:val="clear" w:color="auto" w:fill="A6A6A6" w:themeFill="background1" w:themeFillShade="A6"/>
            <w:vAlign w:val="center"/>
          </w:tcPr>
          <w:p w14:paraId="313EFFF7" w14:textId="77777777" w:rsidR="00AB1B01" w:rsidRPr="009C1DCD" w:rsidRDefault="00AB1B01" w:rsidP="00AB1B01">
            <w:pPr>
              <w:pStyle w:val="TableLeft"/>
              <w:jc w:val="center"/>
              <w:rPr>
                <w:rStyle w:val="Small"/>
              </w:rPr>
            </w:pPr>
            <w:r w:rsidRPr="009C1DCD">
              <w:rPr>
                <w:rStyle w:val="Small"/>
              </w:rPr>
              <w:t>Cost/QALY</w:t>
            </w:r>
          </w:p>
        </w:tc>
        <w:tc>
          <w:tcPr>
            <w:tcW w:w="885" w:type="pct"/>
            <w:shd w:val="clear" w:color="auto" w:fill="A6A6A6" w:themeFill="background1" w:themeFillShade="A6"/>
            <w:vAlign w:val="center"/>
          </w:tcPr>
          <w:p w14:paraId="58EE7FF8" w14:textId="77777777" w:rsidR="00AB1B01" w:rsidRPr="009C1DCD" w:rsidRDefault="00AB1B01" w:rsidP="00AB1B01">
            <w:pPr>
              <w:pStyle w:val="TableLeft"/>
              <w:jc w:val="center"/>
              <w:rPr>
                <w:rStyle w:val="Small"/>
              </w:rPr>
            </w:pPr>
            <w:r w:rsidRPr="009C1DCD">
              <w:rPr>
                <w:rStyle w:val="Small"/>
              </w:rPr>
              <w:t>Value</w:t>
            </w:r>
          </w:p>
        </w:tc>
        <w:tc>
          <w:tcPr>
            <w:tcW w:w="507" w:type="pct"/>
            <w:shd w:val="clear" w:color="auto" w:fill="A6A6A6" w:themeFill="background1" w:themeFillShade="A6"/>
            <w:vAlign w:val="center"/>
          </w:tcPr>
          <w:p w14:paraId="50B033BF" w14:textId="77777777" w:rsidR="00AB1B01" w:rsidRPr="009C1DCD" w:rsidRDefault="00AB1B01" w:rsidP="00AB1B01">
            <w:pPr>
              <w:pStyle w:val="TableLeft"/>
              <w:jc w:val="center"/>
              <w:rPr>
                <w:rStyle w:val="Small"/>
              </w:rPr>
            </w:pPr>
            <w:r w:rsidRPr="009C1DCD">
              <w:rPr>
                <w:rStyle w:val="Small"/>
              </w:rPr>
              <w:t>Cost/QALY</w:t>
            </w:r>
          </w:p>
        </w:tc>
      </w:tr>
      <w:tr w:rsidR="00AB1B01" w:rsidRPr="009C1DCD" w14:paraId="06FF48F2" w14:textId="77777777" w:rsidTr="00AB1B01">
        <w:tblPrEx>
          <w:tblLook w:val="04A0" w:firstRow="1" w:lastRow="0" w:firstColumn="1" w:lastColumn="0" w:noHBand="0" w:noVBand="1"/>
        </w:tblPrEx>
        <w:tc>
          <w:tcPr>
            <w:tcW w:w="5000" w:type="pct"/>
            <w:gridSpan w:val="6"/>
            <w:shd w:val="clear" w:color="auto" w:fill="auto"/>
          </w:tcPr>
          <w:p w14:paraId="1D3B4CD5" w14:textId="1F92A14D" w:rsidR="00AB1B01" w:rsidRPr="009C1DCD" w:rsidRDefault="00AB1B01" w:rsidP="00962E24">
            <w:pPr>
              <w:pStyle w:val="TableLeft"/>
              <w:jc w:val="center"/>
              <w:rPr>
                <w:rStyle w:val="Small"/>
              </w:rPr>
            </w:pPr>
            <w:r w:rsidRPr="009C1DCD">
              <w:rPr>
                <w:rStyle w:val="Small"/>
              </w:rPr>
              <w:t>Base case ICER = $</w:t>
            </w:r>
            <w:r w:rsidR="00962E24" w:rsidRPr="009C1DCD">
              <w:rPr>
                <w:rStyle w:val="Small"/>
                <w:b/>
              </w:rPr>
              <w:t>redacted</w:t>
            </w:r>
          </w:p>
        </w:tc>
      </w:tr>
      <w:tr w:rsidR="00AB1B01" w:rsidRPr="009C1DCD" w14:paraId="500C93EA" w14:textId="77777777" w:rsidTr="00AB1B01">
        <w:trPr>
          <w:trHeight w:val="154"/>
        </w:trPr>
        <w:tc>
          <w:tcPr>
            <w:tcW w:w="1157" w:type="pct"/>
          </w:tcPr>
          <w:p w14:paraId="0A9E1CEC" w14:textId="77777777" w:rsidR="00AB1B01" w:rsidRPr="009C1DCD" w:rsidRDefault="00AB1B01" w:rsidP="00AB1B01">
            <w:pPr>
              <w:pStyle w:val="TableLeft"/>
              <w:rPr>
                <w:rStyle w:val="Small"/>
              </w:rPr>
            </w:pPr>
            <w:r w:rsidRPr="009C1DCD">
              <w:rPr>
                <w:rStyle w:val="Small"/>
              </w:rPr>
              <w:t>TIS cost per infusion</w:t>
            </w:r>
          </w:p>
        </w:tc>
        <w:tc>
          <w:tcPr>
            <w:tcW w:w="943" w:type="pct"/>
          </w:tcPr>
          <w:p w14:paraId="6EC83544" w14:textId="32FEFD6F" w:rsidR="00AB1B01" w:rsidRPr="009C1DCD" w:rsidRDefault="00962E24" w:rsidP="00AB1B01">
            <w:pPr>
              <w:pStyle w:val="TableLeft"/>
              <w:jc w:val="center"/>
              <w:rPr>
                <w:rStyle w:val="Small"/>
              </w:rPr>
            </w:pPr>
            <w:r w:rsidRPr="009C1DCD">
              <w:rPr>
                <w:rStyle w:val="Small"/>
              </w:rPr>
              <w:t>$</w:t>
            </w:r>
            <w:r w:rsidRPr="009C1DCD">
              <w:rPr>
                <w:rStyle w:val="Small"/>
                <w:b/>
              </w:rPr>
              <w:t>redacted</w:t>
            </w:r>
          </w:p>
        </w:tc>
        <w:tc>
          <w:tcPr>
            <w:tcW w:w="943" w:type="pct"/>
          </w:tcPr>
          <w:p w14:paraId="11B06000" w14:textId="651150B7" w:rsidR="00AB1B01" w:rsidRPr="009C1DCD" w:rsidRDefault="00962E24" w:rsidP="00AB1B01">
            <w:pPr>
              <w:pStyle w:val="TableLeft"/>
              <w:jc w:val="center"/>
              <w:rPr>
                <w:rStyle w:val="Small"/>
              </w:rPr>
            </w:pPr>
            <w:r w:rsidRPr="009C1DCD">
              <w:rPr>
                <w:rStyle w:val="Small"/>
              </w:rPr>
              <w:t>$</w:t>
            </w:r>
            <w:r w:rsidRPr="009C1DCD">
              <w:rPr>
                <w:rStyle w:val="Small"/>
                <w:b/>
              </w:rPr>
              <w:t>redacted</w:t>
            </w:r>
          </w:p>
        </w:tc>
        <w:tc>
          <w:tcPr>
            <w:tcW w:w="565" w:type="pct"/>
          </w:tcPr>
          <w:p w14:paraId="365FA1DD" w14:textId="332E7412" w:rsidR="00AB1B01" w:rsidRPr="009C1DCD" w:rsidRDefault="00962E24" w:rsidP="00AB1B01">
            <w:pPr>
              <w:pStyle w:val="TableLeft"/>
              <w:jc w:val="center"/>
              <w:rPr>
                <w:rStyle w:val="Small"/>
              </w:rPr>
            </w:pPr>
            <w:r w:rsidRPr="009C1DCD">
              <w:rPr>
                <w:rStyle w:val="Small"/>
              </w:rPr>
              <w:t>$</w:t>
            </w:r>
            <w:r w:rsidRPr="009C1DCD">
              <w:rPr>
                <w:rStyle w:val="Small"/>
                <w:b/>
              </w:rPr>
              <w:t>redacted</w:t>
            </w:r>
          </w:p>
        </w:tc>
        <w:tc>
          <w:tcPr>
            <w:tcW w:w="885" w:type="pct"/>
          </w:tcPr>
          <w:p w14:paraId="0DD1682A" w14:textId="3D4F1C5A" w:rsidR="00AB1B01" w:rsidRPr="009C1DCD" w:rsidRDefault="00962E24" w:rsidP="00AB1B01">
            <w:pPr>
              <w:pStyle w:val="TableLeft"/>
              <w:jc w:val="center"/>
              <w:rPr>
                <w:rStyle w:val="Small"/>
              </w:rPr>
            </w:pPr>
            <w:r w:rsidRPr="009C1DCD">
              <w:rPr>
                <w:rStyle w:val="Small"/>
              </w:rPr>
              <w:t>$</w:t>
            </w:r>
            <w:r w:rsidRPr="009C1DCD">
              <w:rPr>
                <w:rStyle w:val="Small"/>
                <w:b/>
              </w:rPr>
              <w:t>redacted</w:t>
            </w:r>
          </w:p>
        </w:tc>
        <w:tc>
          <w:tcPr>
            <w:tcW w:w="507" w:type="pct"/>
          </w:tcPr>
          <w:p w14:paraId="3595D4AC" w14:textId="7F9EF32C" w:rsidR="00AB1B01" w:rsidRPr="009C1DCD" w:rsidRDefault="00962E24" w:rsidP="00AB1B01">
            <w:pPr>
              <w:pStyle w:val="TableLeft"/>
              <w:jc w:val="center"/>
              <w:rPr>
                <w:rStyle w:val="Small"/>
              </w:rPr>
            </w:pPr>
            <w:r w:rsidRPr="009C1DCD">
              <w:rPr>
                <w:rStyle w:val="Small"/>
              </w:rPr>
              <w:t>$</w:t>
            </w:r>
            <w:r w:rsidRPr="009C1DCD">
              <w:rPr>
                <w:rStyle w:val="Small"/>
                <w:b/>
              </w:rPr>
              <w:t>redacted</w:t>
            </w:r>
          </w:p>
        </w:tc>
      </w:tr>
      <w:tr w:rsidR="00AB1B01" w:rsidRPr="00452E3C" w14:paraId="0FC6570F" w14:textId="77777777" w:rsidTr="00AB1B01">
        <w:trPr>
          <w:trHeight w:val="154"/>
        </w:trPr>
        <w:tc>
          <w:tcPr>
            <w:tcW w:w="1157" w:type="pct"/>
          </w:tcPr>
          <w:p w14:paraId="0D935226" w14:textId="77777777" w:rsidR="00AB1B01" w:rsidRPr="009C1DCD" w:rsidRDefault="00AB1B01" w:rsidP="00AB1B01">
            <w:pPr>
              <w:pStyle w:val="TableLeft"/>
              <w:rPr>
                <w:rStyle w:val="Small"/>
              </w:rPr>
            </w:pPr>
            <w:r w:rsidRPr="009C1DCD">
              <w:rPr>
                <w:rStyle w:val="Small"/>
              </w:rPr>
              <w:t>Total TIS related AE costs</w:t>
            </w:r>
          </w:p>
        </w:tc>
        <w:tc>
          <w:tcPr>
            <w:tcW w:w="943" w:type="pct"/>
          </w:tcPr>
          <w:p w14:paraId="67C342FC" w14:textId="702167C2" w:rsidR="00AB1B01" w:rsidRPr="009C1DCD" w:rsidRDefault="00962E24" w:rsidP="00AB1B01">
            <w:pPr>
              <w:pStyle w:val="TableLeft"/>
              <w:jc w:val="center"/>
              <w:rPr>
                <w:rStyle w:val="Small"/>
              </w:rPr>
            </w:pPr>
            <w:r w:rsidRPr="009C1DCD">
              <w:rPr>
                <w:rStyle w:val="Small"/>
              </w:rPr>
              <w:t>$</w:t>
            </w:r>
            <w:r w:rsidRPr="009C1DCD">
              <w:rPr>
                <w:rStyle w:val="Small"/>
                <w:b/>
              </w:rPr>
              <w:t>redacted</w:t>
            </w:r>
          </w:p>
        </w:tc>
        <w:tc>
          <w:tcPr>
            <w:tcW w:w="943" w:type="pct"/>
          </w:tcPr>
          <w:p w14:paraId="48EDACD1" w14:textId="29A53DB8" w:rsidR="00AB1B01" w:rsidRPr="009C1DCD" w:rsidRDefault="00962E24" w:rsidP="00AB1B01">
            <w:pPr>
              <w:pStyle w:val="TableLeft"/>
              <w:jc w:val="center"/>
              <w:rPr>
                <w:rStyle w:val="Small"/>
              </w:rPr>
            </w:pPr>
            <w:r w:rsidRPr="009C1DCD">
              <w:rPr>
                <w:rStyle w:val="Small"/>
              </w:rPr>
              <w:t>$</w:t>
            </w:r>
            <w:r w:rsidRPr="009C1DCD">
              <w:rPr>
                <w:rStyle w:val="Small"/>
                <w:b/>
              </w:rPr>
              <w:t>redacted</w:t>
            </w:r>
          </w:p>
        </w:tc>
        <w:tc>
          <w:tcPr>
            <w:tcW w:w="565" w:type="pct"/>
          </w:tcPr>
          <w:p w14:paraId="610B9DA6" w14:textId="02BF0C0B" w:rsidR="00AB1B01" w:rsidRPr="009C1DCD" w:rsidRDefault="00962E24" w:rsidP="00AB1B01">
            <w:pPr>
              <w:pStyle w:val="TableLeft"/>
              <w:jc w:val="center"/>
              <w:rPr>
                <w:rStyle w:val="Small"/>
              </w:rPr>
            </w:pPr>
            <w:r w:rsidRPr="009C1DCD">
              <w:rPr>
                <w:rStyle w:val="Small"/>
              </w:rPr>
              <w:t>$</w:t>
            </w:r>
            <w:r w:rsidRPr="009C1DCD">
              <w:rPr>
                <w:rStyle w:val="Small"/>
                <w:b/>
              </w:rPr>
              <w:t>redacted</w:t>
            </w:r>
          </w:p>
        </w:tc>
        <w:tc>
          <w:tcPr>
            <w:tcW w:w="885" w:type="pct"/>
          </w:tcPr>
          <w:p w14:paraId="15ABCD56" w14:textId="43F8A0DA" w:rsidR="00AB1B01" w:rsidRPr="009C1DCD" w:rsidRDefault="00962E24" w:rsidP="00AB1B01">
            <w:pPr>
              <w:pStyle w:val="TableLeft"/>
              <w:jc w:val="center"/>
              <w:rPr>
                <w:rStyle w:val="Small"/>
              </w:rPr>
            </w:pPr>
            <w:r w:rsidRPr="009C1DCD">
              <w:rPr>
                <w:rStyle w:val="Small"/>
              </w:rPr>
              <w:t>$</w:t>
            </w:r>
            <w:r w:rsidRPr="009C1DCD">
              <w:rPr>
                <w:rStyle w:val="Small"/>
                <w:b/>
              </w:rPr>
              <w:t>redacted</w:t>
            </w:r>
          </w:p>
        </w:tc>
        <w:tc>
          <w:tcPr>
            <w:tcW w:w="507" w:type="pct"/>
          </w:tcPr>
          <w:p w14:paraId="7AF12286" w14:textId="2C1022CF" w:rsidR="00AB1B01" w:rsidRPr="009C1DCD" w:rsidRDefault="00962E24" w:rsidP="00AB1B01">
            <w:pPr>
              <w:pStyle w:val="TableLeft"/>
              <w:jc w:val="center"/>
              <w:rPr>
                <w:rStyle w:val="Small"/>
              </w:rPr>
            </w:pPr>
            <w:r w:rsidRPr="009C1DCD">
              <w:rPr>
                <w:rStyle w:val="Small"/>
              </w:rPr>
              <w:t>$</w:t>
            </w:r>
            <w:r w:rsidRPr="009C1DCD">
              <w:rPr>
                <w:rStyle w:val="Small"/>
                <w:b/>
              </w:rPr>
              <w:t>redacted</w:t>
            </w:r>
          </w:p>
        </w:tc>
      </w:tr>
      <w:tr w:rsidR="00AB1B01" w:rsidRPr="00452E3C" w14:paraId="1E97CA56" w14:textId="77777777" w:rsidTr="00AB1B01">
        <w:trPr>
          <w:trHeight w:val="154"/>
        </w:trPr>
        <w:tc>
          <w:tcPr>
            <w:tcW w:w="1157" w:type="pct"/>
          </w:tcPr>
          <w:p w14:paraId="47068EF9" w14:textId="77777777" w:rsidR="00AB1B01" w:rsidRPr="009C1DCD" w:rsidRDefault="00AB1B01" w:rsidP="00AB1B01">
            <w:pPr>
              <w:pStyle w:val="TableLeft"/>
              <w:rPr>
                <w:rStyle w:val="Small"/>
              </w:rPr>
            </w:pPr>
            <w:proofErr w:type="spellStart"/>
            <w:r w:rsidRPr="009C1DCD">
              <w:rPr>
                <w:rStyle w:val="Small"/>
              </w:rPr>
              <w:t>IVIg</w:t>
            </w:r>
            <w:proofErr w:type="spellEnd"/>
            <w:r w:rsidRPr="009C1DCD">
              <w:rPr>
                <w:rStyle w:val="Small"/>
              </w:rPr>
              <w:t xml:space="preserve"> duration</w:t>
            </w:r>
          </w:p>
        </w:tc>
        <w:tc>
          <w:tcPr>
            <w:tcW w:w="943" w:type="pct"/>
          </w:tcPr>
          <w:p w14:paraId="61A7CCF5" w14:textId="1CC049E3" w:rsidR="00AB1B01" w:rsidRPr="009C1DCD" w:rsidRDefault="00962E24" w:rsidP="00AB1B01">
            <w:pPr>
              <w:pStyle w:val="TableLeft"/>
              <w:jc w:val="center"/>
              <w:rPr>
                <w:rStyle w:val="Small"/>
              </w:rPr>
            </w:pPr>
            <w:r w:rsidRPr="009C1DCD">
              <w:rPr>
                <w:rStyle w:val="Small"/>
              </w:rPr>
              <w:t>r</w:t>
            </w:r>
            <w:r w:rsidRPr="009C1DCD">
              <w:rPr>
                <w:rStyle w:val="Small"/>
                <w:b/>
              </w:rPr>
              <w:t>edacted</w:t>
            </w:r>
          </w:p>
        </w:tc>
        <w:tc>
          <w:tcPr>
            <w:tcW w:w="943" w:type="pct"/>
          </w:tcPr>
          <w:p w14:paraId="7D6EBF6C" w14:textId="07E04E50" w:rsidR="00AB1B01" w:rsidRPr="00C25536" w:rsidRDefault="00962E24" w:rsidP="00AB1B01">
            <w:pPr>
              <w:pStyle w:val="TableLeft"/>
              <w:jc w:val="center"/>
              <w:rPr>
                <w:rStyle w:val="Small"/>
                <w:highlight w:val="green"/>
              </w:rPr>
            </w:pPr>
            <w:r w:rsidRPr="00962E24">
              <w:rPr>
                <w:rStyle w:val="Small"/>
                <w:b/>
              </w:rPr>
              <w:t>redacted</w:t>
            </w:r>
          </w:p>
        </w:tc>
        <w:tc>
          <w:tcPr>
            <w:tcW w:w="565" w:type="pct"/>
          </w:tcPr>
          <w:p w14:paraId="1CB28C12" w14:textId="4CEE49A1" w:rsidR="00AB1B01" w:rsidRPr="00C25536" w:rsidRDefault="00962E24" w:rsidP="00AB1B01">
            <w:pPr>
              <w:pStyle w:val="TableLeft"/>
              <w:jc w:val="center"/>
              <w:rPr>
                <w:rStyle w:val="Small"/>
                <w:highlight w:val="green"/>
              </w:rPr>
            </w:pPr>
            <w:r w:rsidRPr="00962E24">
              <w:rPr>
                <w:rStyle w:val="Small"/>
                <w:b/>
              </w:rPr>
              <w:t>redacted</w:t>
            </w:r>
          </w:p>
        </w:tc>
        <w:tc>
          <w:tcPr>
            <w:tcW w:w="885" w:type="pct"/>
          </w:tcPr>
          <w:p w14:paraId="08B44F81" w14:textId="2A72FE82" w:rsidR="00AB1B01" w:rsidRPr="00C25536" w:rsidRDefault="00962E24" w:rsidP="00AB1B01">
            <w:pPr>
              <w:pStyle w:val="TableLeft"/>
              <w:jc w:val="center"/>
              <w:rPr>
                <w:rStyle w:val="Small"/>
                <w:highlight w:val="green"/>
              </w:rPr>
            </w:pPr>
            <w:r w:rsidRPr="00962E24">
              <w:rPr>
                <w:rStyle w:val="Small"/>
                <w:b/>
              </w:rPr>
              <w:t>redacted</w:t>
            </w:r>
          </w:p>
        </w:tc>
        <w:tc>
          <w:tcPr>
            <w:tcW w:w="507" w:type="pct"/>
          </w:tcPr>
          <w:p w14:paraId="085ACDDA" w14:textId="777E2AB0" w:rsidR="00AB1B01" w:rsidRPr="00C25536" w:rsidRDefault="00962E24" w:rsidP="00AB1B01">
            <w:pPr>
              <w:pStyle w:val="TableLeft"/>
              <w:jc w:val="center"/>
              <w:rPr>
                <w:rStyle w:val="Small"/>
                <w:highlight w:val="green"/>
              </w:rPr>
            </w:pPr>
            <w:r w:rsidRPr="00962E24">
              <w:rPr>
                <w:rStyle w:val="Small"/>
                <w:b/>
              </w:rPr>
              <w:t>redacted</w:t>
            </w:r>
          </w:p>
        </w:tc>
      </w:tr>
    </w:tbl>
    <w:p w14:paraId="403A0A2D" w14:textId="77777777" w:rsidR="00AB1B01" w:rsidRDefault="00AB1B01" w:rsidP="00AB1B01">
      <w:pPr>
        <w:pStyle w:val="CaptionFootnote"/>
        <w:rPr>
          <w:rFonts w:ascii="Arial Narrow" w:hAnsi="Arial Narrow"/>
          <w:sz w:val="18"/>
        </w:rPr>
      </w:pPr>
      <w:r>
        <w:rPr>
          <w:rFonts w:ascii="Arial Narrow" w:hAnsi="Arial Narrow"/>
          <w:sz w:val="18"/>
        </w:rPr>
        <w:t xml:space="preserve">Source: 1519 </w:t>
      </w:r>
      <w:proofErr w:type="spellStart"/>
      <w:r>
        <w:rPr>
          <w:rFonts w:ascii="Arial Narrow" w:hAnsi="Arial Narrow"/>
          <w:sz w:val="18"/>
        </w:rPr>
        <w:t>pALL</w:t>
      </w:r>
      <w:proofErr w:type="spellEnd"/>
      <w:r>
        <w:rPr>
          <w:rFonts w:ascii="Arial Narrow" w:hAnsi="Arial Narrow"/>
          <w:sz w:val="18"/>
        </w:rPr>
        <w:t xml:space="preserve"> Resubmission</w:t>
      </w:r>
    </w:p>
    <w:p w14:paraId="0DA53E63" w14:textId="77777777" w:rsidR="00AB1B01" w:rsidRPr="00A21401" w:rsidRDefault="00AB1B01" w:rsidP="00A21401">
      <w:pPr>
        <w:pStyle w:val="CaptionFootnote"/>
        <w:spacing w:after="240"/>
        <w:rPr>
          <w:rFonts w:ascii="Arial Narrow" w:hAnsi="Arial Narrow"/>
          <w:sz w:val="18"/>
        </w:rPr>
      </w:pPr>
      <w:r w:rsidRPr="00193153">
        <w:rPr>
          <w:rFonts w:ascii="Arial Narrow" w:hAnsi="Arial Narrow"/>
          <w:sz w:val="18"/>
        </w:rPr>
        <w:t xml:space="preserve">Abbreviations: </w:t>
      </w:r>
      <w:r>
        <w:rPr>
          <w:rFonts w:ascii="Arial Narrow" w:hAnsi="Arial Narrow"/>
          <w:sz w:val="18"/>
        </w:rPr>
        <w:t xml:space="preserve">AE = adverse events; BLN = blinatumomab; </w:t>
      </w:r>
      <w:proofErr w:type="spellStart"/>
      <w:r>
        <w:rPr>
          <w:rFonts w:ascii="Arial Narrow" w:hAnsi="Arial Narrow"/>
          <w:sz w:val="18"/>
        </w:rPr>
        <w:t>IVIg</w:t>
      </w:r>
      <w:proofErr w:type="spellEnd"/>
      <w:r>
        <w:rPr>
          <w:rFonts w:ascii="Arial Narrow" w:hAnsi="Arial Narrow"/>
          <w:sz w:val="18"/>
        </w:rPr>
        <w:t xml:space="preserve"> = intravenous immunoglobulin LY = life year; QALY = quality-adjusted life-year; TIS = tisagenlecleucel</w:t>
      </w:r>
    </w:p>
    <w:p w14:paraId="17570DDF" w14:textId="77777777" w:rsidR="00916D53" w:rsidRPr="00EC2DC8" w:rsidRDefault="00916D53" w:rsidP="00A21401">
      <w:pPr>
        <w:spacing w:after="120"/>
        <w:rPr>
          <w:b/>
          <w:i/>
        </w:rPr>
      </w:pPr>
      <w:r w:rsidRPr="00EC2DC8">
        <w:rPr>
          <w:b/>
          <w:i/>
        </w:rPr>
        <w:t>November 2018 MSAC consideration</w:t>
      </w:r>
    </w:p>
    <w:p w14:paraId="01BBD671" w14:textId="77777777" w:rsidR="000C0372" w:rsidRPr="000C0372" w:rsidRDefault="0069270C" w:rsidP="00A21401">
      <w:pPr>
        <w:spacing w:after="240"/>
      </w:pPr>
      <w:r>
        <w:t>Using a cost-utility framework,</w:t>
      </w:r>
      <w:r w:rsidRPr="0069270C">
        <w:t xml:space="preserve"> </w:t>
      </w:r>
      <w:r w:rsidR="0049090C">
        <w:t xml:space="preserve">the application presented </w:t>
      </w:r>
      <w:r>
        <w:t>p</w:t>
      </w:r>
      <w:r w:rsidRPr="0069270C">
        <w:t xml:space="preserve">arallel economic </w:t>
      </w:r>
      <w:proofErr w:type="gramStart"/>
      <w:r w:rsidRPr="0069270C">
        <w:t>evaluations</w:t>
      </w:r>
      <w:r w:rsidR="00DC2054">
        <w:t xml:space="preserve"> </w:t>
      </w:r>
      <w:r w:rsidRPr="0069270C">
        <w:t>which</w:t>
      </w:r>
      <w:proofErr w:type="gramEnd"/>
      <w:r w:rsidRPr="0069270C">
        <w:t xml:space="preserve"> consider</w:t>
      </w:r>
      <w:r w:rsidR="0049090C">
        <w:t>ed</w:t>
      </w:r>
      <w:r w:rsidRPr="0069270C">
        <w:t xml:space="preserve"> the likely costs and consequences of treating eligible patients with r/r </w:t>
      </w:r>
      <w:proofErr w:type="spellStart"/>
      <w:r w:rsidRPr="0069270C">
        <w:t>pALL</w:t>
      </w:r>
      <w:proofErr w:type="spellEnd"/>
      <w:r w:rsidRPr="0069270C">
        <w:t xml:space="preserve"> or </w:t>
      </w:r>
      <w:r w:rsidR="0049090C">
        <w:t xml:space="preserve">r/r </w:t>
      </w:r>
      <w:r w:rsidRPr="0069270C">
        <w:t>DLBCL with either TIS or BLN/SCR.</w:t>
      </w:r>
    </w:p>
    <w:p w14:paraId="1E1E69E5" w14:textId="13B95675" w:rsidR="0069270C" w:rsidRDefault="00245C11" w:rsidP="00245C11">
      <w:pPr>
        <w:pStyle w:val="Caption"/>
      </w:pPr>
      <w:r>
        <w:t xml:space="preserve">Table </w:t>
      </w:r>
      <w:r w:rsidR="0083734C">
        <w:rPr>
          <w:noProof/>
        </w:rPr>
        <w:fldChar w:fldCharType="begin"/>
      </w:r>
      <w:r w:rsidR="0083734C">
        <w:rPr>
          <w:noProof/>
        </w:rPr>
        <w:instrText xml:space="preserve"> SEQ Table \* ARABIC </w:instrText>
      </w:r>
      <w:r w:rsidR="0083734C">
        <w:rPr>
          <w:noProof/>
        </w:rPr>
        <w:fldChar w:fldCharType="separate"/>
      </w:r>
      <w:r w:rsidR="001E1B42">
        <w:rPr>
          <w:noProof/>
        </w:rPr>
        <w:t>9</w:t>
      </w:r>
      <w:r w:rsidR="0083734C">
        <w:rPr>
          <w:noProof/>
        </w:rPr>
        <w:fldChar w:fldCharType="end"/>
      </w:r>
      <w:r>
        <w:tab/>
      </w:r>
      <w:r w:rsidR="0069270C" w:rsidRPr="0069270C">
        <w:t>Key elements of the economic evaluations</w:t>
      </w:r>
    </w:p>
    <w:tbl>
      <w:tblPr>
        <w:tblStyle w:val="TableGrid"/>
        <w:tblW w:w="4942" w:type="pct"/>
        <w:tblInd w:w="108" w:type="dxa"/>
        <w:tblLook w:val="04A0" w:firstRow="1" w:lastRow="0" w:firstColumn="1" w:lastColumn="0" w:noHBand="0" w:noVBand="1"/>
        <w:tblCaption w:val="Key elements of the economic evaluations"/>
      </w:tblPr>
      <w:tblGrid>
        <w:gridCol w:w="1987"/>
        <w:gridCol w:w="6924"/>
      </w:tblGrid>
      <w:tr w:rsidR="0069270C" w:rsidRPr="0069270C" w14:paraId="2B2937E2" w14:textId="77777777" w:rsidTr="009D09E8">
        <w:trPr>
          <w:tblHeader/>
        </w:trPr>
        <w:tc>
          <w:tcPr>
            <w:tcW w:w="1115" w:type="pct"/>
            <w:shd w:val="clear" w:color="auto" w:fill="BFBFBF" w:themeFill="background1" w:themeFillShade="BF"/>
          </w:tcPr>
          <w:p w14:paraId="0FD13C8E" w14:textId="77777777" w:rsidR="0069270C" w:rsidRPr="0069270C" w:rsidRDefault="0069270C" w:rsidP="00193153">
            <w:pPr>
              <w:pStyle w:val="Table"/>
              <w:rPr>
                <w:rStyle w:val="SmallBold"/>
                <w:rFonts w:ascii="Arial Narrow" w:hAnsi="Arial Narrow"/>
              </w:rPr>
            </w:pPr>
            <w:r w:rsidRPr="0069270C">
              <w:rPr>
                <w:rStyle w:val="SmallBold"/>
                <w:rFonts w:ascii="Arial Narrow" w:hAnsi="Arial Narrow"/>
              </w:rPr>
              <w:t>Component</w:t>
            </w:r>
          </w:p>
        </w:tc>
        <w:tc>
          <w:tcPr>
            <w:tcW w:w="3885" w:type="pct"/>
            <w:shd w:val="clear" w:color="auto" w:fill="BFBFBF" w:themeFill="background1" w:themeFillShade="BF"/>
          </w:tcPr>
          <w:p w14:paraId="690CCD34" w14:textId="77777777" w:rsidR="0069270C" w:rsidRPr="0069270C" w:rsidRDefault="0069270C" w:rsidP="00193153">
            <w:pPr>
              <w:pStyle w:val="Table"/>
              <w:rPr>
                <w:rStyle w:val="SmallBold"/>
                <w:rFonts w:ascii="Arial Narrow" w:hAnsi="Arial Narrow"/>
              </w:rPr>
            </w:pPr>
            <w:r w:rsidRPr="0069270C">
              <w:rPr>
                <w:rStyle w:val="SmallBold"/>
                <w:rFonts w:ascii="Arial Narrow" w:hAnsi="Arial Narrow"/>
              </w:rPr>
              <w:t>Description</w:t>
            </w:r>
          </w:p>
        </w:tc>
      </w:tr>
      <w:tr w:rsidR="0069270C" w:rsidRPr="0069270C" w14:paraId="115F3F05" w14:textId="77777777" w:rsidTr="009D09E8">
        <w:tc>
          <w:tcPr>
            <w:tcW w:w="1115" w:type="pct"/>
          </w:tcPr>
          <w:p w14:paraId="67519378" w14:textId="77777777" w:rsidR="0069270C" w:rsidRPr="0069270C" w:rsidRDefault="0069270C" w:rsidP="00193153">
            <w:pPr>
              <w:pStyle w:val="Table"/>
            </w:pPr>
            <w:r w:rsidRPr="0069270C">
              <w:t>Intervention</w:t>
            </w:r>
          </w:p>
        </w:tc>
        <w:tc>
          <w:tcPr>
            <w:tcW w:w="3885" w:type="pct"/>
          </w:tcPr>
          <w:p w14:paraId="3F934F8A" w14:textId="77777777" w:rsidR="0069270C" w:rsidRPr="0069270C" w:rsidRDefault="0069270C" w:rsidP="00193153">
            <w:pPr>
              <w:pStyle w:val="Table"/>
            </w:pPr>
            <w:r w:rsidRPr="0069270C">
              <w:t>Single episode of tisagenlecleucel</w:t>
            </w:r>
            <w:r w:rsidR="00190DDB">
              <w:t xml:space="preserve"> (TIS)</w:t>
            </w:r>
            <w:r w:rsidRPr="0069270C">
              <w:t xml:space="preserve"> treatment with curative intent</w:t>
            </w:r>
          </w:p>
        </w:tc>
      </w:tr>
      <w:tr w:rsidR="0069270C" w:rsidRPr="0069270C" w14:paraId="395B10E9" w14:textId="77777777" w:rsidTr="009D09E8">
        <w:tc>
          <w:tcPr>
            <w:tcW w:w="1115" w:type="pct"/>
          </w:tcPr>
          <w:p w14:paraId="0E016D26" w14:textId="77777777" w:rsidR="0069270C" w:rsidRPr="0069270C" w:rsidRDefault="0069270C" w:rsidP="00193153">
            <w:pPr>
              <w:pStyle w:val="Table"/>
            </w:pPr>
            <w:r w:rsidRPr="0069270C">
              <w:t xml:space="preserve">Comparators </w:t>
            </w:r>
          </w:p>
        </w:tc>
        <w:tc>
          <w:tcPr>
            <w:tcW w:w="3885" w:type="pct"/>
          </w:tcPr>
          <w:p w14:paraId="67C50579" w14:textId="77777777" w:rsidR="0069270C" w:rsidRPr="0069270C" w:rsidRDefault="0069270C" w:rsidP="00193153">
            <w:pPr>
              <w:pStyle w:val="Table"/>
              <w:rPr>
                <w:lang w:val="it-IT"/>
              </w:rPr>
            </w:pPr>
            <w:r w:rsidRPr="0069270C">
              <w:rPr>
                <w:lang w:val="it-IT"/>
              </w:rPr>
              <w:t>pALL: BLN +/- allo-SCT; OR conventional SCR (FLA-IDA) +/- allo-SCT</w:t>
            </w:r>
          </w:p>
          <w:p w14:paraId="0C6FD56B" w14:textId="77777777" w:rsidR="0069270C" w:rsidRPr="0069270C" w:rsidRDefault="0069270C" w:rsidP="00193153">
            <w:pPr>
              <w:pStyle w:val="Table"/>
            </w:pPr>
            <w:r w:rsidRPr="0069270C">
              <w:t xml:space="preserve">DLBCL: Conventional SCR (R-DHAP) +/- </w:t>
            </w:r>
            <w:proofErr w:type="spellStart"/>
            <w:r w:rsidRPr="0069270C">
              <w:t>allo</w:t>
            </w:r>
            <w:proofErr w:type="spellEnd"/>
            <w:r w:rsidRPr="0069270C">
              <w:t>- or auto-SCT</w:t>
            </w:r>
          </w:p>
        </w:tc>
      </w:tr>
      <w:tr w:rsidR="0069270C" w:rsidRPr="0069270C" w14:paraId="5CC154C1" w14:textId="77777777" w:rsidTr="009D09E8">
        <w:tc>
          <w:tcPr>
            <w:tcW w:w="1115" w:type="pct"/>
          </w:tcPr>
          <w:p w14:paraId="75A48678" w14:textId="77777777" w:rsidR="0069270C" w:rsidRPr="0069270C" w:rsidRDefault="0069270C" w:rsidP="00193153">
            <w:pPr>
              <w:pStyle w:val="Table"/>
            </w:pPr>
            <w:r w:rsidRPr="0069270C">
              <w:t>Perspective</w:t>
            </w:r>
          </w:p>
        </w:tc>
        <w:tc>
          <w:tcPr>
            <w:tcW w:w="3885" w:type="pct"/>
          </w:tcPr>
          <w:p w14:paraId="43C7A2E7" w14:textId="77777777" w:rsidR="0069270C" w:rsidRPr="0069270C" w:rsidRDefault="0069270C" w:rsidP="00193153">
            <w:pPr>
              <w:pStyle w:val="Table"/>
            </w:pPr>
            <w:r w:rsidRPr="0069270C">
              <w:t>Societal health care</w:t>
            </w:r>
          </w:p>
        </w:tc>
      </w:tr>
      <w:tr w:rsidR="0069270C" w:rsidRPr="0069270C" w14:paraId="2CA5EC94" w14:textId="77777777" w:rsidTr="009D09E8">
        <w:tc>
          <w:tcPr>
            <w:tcW w:w="1115" w:type="pct"/>
          </w:tcPr>
          <w:p w14:paraId="7FDD4BF9" w14:textId="77777777" w:rsidR="0069270C" w:rsidRPr="0069270C" w:rsidRDefault="0069270C" w:rsidP="00193153">
            <w:pPr>
              <w:pStyle w:val="Table"/>
            </w:pPr>
            <w:r w:rsidRPr="0069270C">
              <w:t>Type of evaluation</w:t>
            </w:r>
          </w:p>
        </w:tc>
        <w:tc>
          <w:tcPr>
            <w:tcW w:w="3885" w:type="pct"/>
          </w:tcPr>
          <w:p w14:paraId="67B883D2" w14:textId="77777777" w:rsidR="0069270C" w:rsidRPr="0069270C" w:rsidRDefault="0069270C" w:rsidP="00193153">
            <w:pPr>
              <w:pStyle w:val="Table"/>
            </w:pPr>
            <w:r w:rsidRPr="0069270C">
              <w:t>Cost utility analysis</w:t>
            </w:r>
          </w:p>
        </w:tc>
      </w:tr>
      <w:tr w:rsidR="0069270C" w:rsidRPr="0069270C" w14:paraId="1D75FAA6" w14:textId="77777777" w:rsidTr="009D09E8">
        <w:tc>
          <w:tcPr>
            <w:tcW w:w="1115" w:type="pct"/>
          </w:tcPr>
          <w:p w14:paraId="7471A2B5" w14:textId="77777777" w:rsidR="0069270C" w:rsidRPr="0069270C" w:rsidRDefault="0069270C" w:rsidP="00193153">
            <w:pPr>
              <w:pStyle w:val="Table"/>
            </w:pPr>
            <w:r w:rsidRPr="0069270C">
              <w:t>Sources of evidence</w:t>
            </w:r>
          </w:p>
        </w:tc>
        <w:tc>
          <w:tcPr>
            <w:tcW w:w="3885" w:type="pct"/>
          </w:tcPr>
          <w:p w14:paraId="467BFBC1" w14:textId="77777777" w:rsidR="0069270C" w:rsidRPr="0069270C" w:rsidRDefault="0069270C" w:rsidP="006A6F9D">
            <w:pPr>
              <w:pStyle w:val="Table"/>
            </w:pPr>
            <w:r w:rsidRPr="0069270C">
              <w:t>Naïve indirect comparison of extrapolated outcomes from predominantly single</w:t>
            </w:r>
            <w:r w:rsidR="0049090C">
              <w:t>-</w:t>
            </w:r>
            <w:r w:rsidRPr="0069270C">
              <w:t xml:space="preserve">arm </w:t>
            </w:r>
            <w:r w:rsidR="006A6F9D">
              <w:t>studie</w:t>
            </w:r>
            <w:r w:rsidRPr="0069270C">
              <w:t>s of TIS and relevant comparators as described in Section</w:t>
            </w:r>
            <w:r w:rsidR="0049090C">
              <w:t>s 10 and 11</w:t>
            </w:r>
          </w:p>
        </w:tc>
      </w:tr>
      <w:tr w:rsidR="0069270C" w:rsidRPr="0069270C" w14:paraId="609D73C6" w14:textId="77777777" w:rsidTr="009D09E8">
        <w:tc>
          <w:tcPr>
            <w:tcW w:w="1115" w:type="pct"/>
          </w:tcPr>
          <w:p w14:paraId="521D7C7C" w14:textId="77777777" w:rsidR="0069270C" w:rsidRPr="0069270C" w:rsidRDefault="0069270C" w:rsidP="00193153">
            <w:pPr>
              <w:pStyle w:val="Table"/>
            </w:pPr>
            <w:r w:rsidRPr="0069270C">
              <w:t>Methods used</w:t>
            </w:r>
          </w:p>
        </w:tc>
        <w:tc>
          <w:tcPr>
            <w:tcW w:w="3885" w:type="pct"/>
          </w:tcPr>
          <w:p w14:paraId="503D7424" w14:textId="77777777" w:rsidR="0069270C" w:rsidRPr="0069270C" w:rsidRDefault="0069270C" w:rsidP="00193153">
            <w:pPr>
              <w:pStyle w:val="Table"/>
            </w:pPr>
            <w:r w:rsidRPr="0069270C">
              <w:t>Three-state partitioned survival analysis</w:t>
            </w:r>
          </w:p>
        </w:tc>
      </w:tr>
      <w:tr w:rsidR="0069270C" w:rsidRPr="0069270C" w14:paraId="6C4FEA83" w14:textId="77777777" w:rsidTr="009D09E8">
        <w:tc>
          <w:tcPr>
            <w:tcW w:w="1115" w:type="pct"/>
          </w:tcPr>
          <w:p w14:paraId="136F65F3" w14:textId="77777777" w:rsidR="0069270C" w:rsidRPr="0069270C" w:rsidRDefault="0069270C" w:rsidP="00193153">
            <w:pPr>
              <w:pStyle w:val="Table"/>
            </w:pPr>
            <w:r w:rsidRPr="0069270C">
              <w:t>Health states</w:t>
            </w:r>
          </w:p>
        </w:tc>
        <w:tc>
          <w:tcPr>
            <w:tcW w:w="3885" w:type="pct"/>
          </w:tcPr>
          <w:p w14:paraId="33A6C7C9" w14:textId="77777777" w:rsidR="0069270C" w:rsidRPr="0069270C" w:rsidRDefault="0069270C" w:rsidP="00193153">
            <w:pPr>
              <w:pStyle w:val="Table"/>
            </w:pPr>
            <w:r w:rsidRPr="0069270C">
              <w:t>Event</w:t>
            </w:r>
            <w:r w:rsidR="0049090C">
              <w:t>-</w:t>
            </w:r>
            <w:r w:rsidR="0049090C" w:rsidRPr="0069270C">
              <w:t>free s</w:t>
            </w:r>
            <w:r w:rsidRPr="0069270C">
              <w:t>urvival (</w:t>
            </w:r>
            <w:proofErr w:type="spellStart"/>
            <w:r w:rsidRPr="0069270C">
              <w:t>pALL</w:t>
            </w:r>
            <w:proofErr w:type="spellEnd"/>
            <w:r w:rsidRPr="0069270C">
              <w:t xml:space="preserve">) / </w:t>
            </w:r>
            <w:r w:rsidR="00DB73B5" w:rsidRPr="0069270C">
              <w:t>p</w:t>
            </w:r>
            <w:r w:rsidRPr="0069270C">
              <w:t>rogression</w:t>
            </w:r>
            <w:r w:rsidR="0049090C">
              <w:t>-</w:t>
            </w:r>
            <w:r w:rsidR="0049090C" w:rsidRPr="0069270C">
              <w:t>free s</w:t>
            </w:r>
            <w:r w:rsidRPr="0069270C">
              <w:t>urvival (DLBCL)</w:t>
            </w:r>
          </w:p>
          <w:p w14:paraId="204B3FD1" w14:textId="77777777" w:rsidR="0069270C" w:rsidRPr="0069270C" w:rsidRDefault="0069270C" w:rsidP="00193153">
            <w:pPr>
              <w:pStyle w:val="Table"/>
            </w:pPr>
            <w:r w:rsidRPr="0069270C">
              <w:t xml:space="preserve">Progressive </w:t>
            </w:r>
            <w:r w:rsidR="0049090C" w:rsidRPr="0069270C">
              <w:t>d</w:t>
            </w:r>
            <w:r w:rsidRPr="0069270C">
              <w:t>isease</w:t>
            </w:r>
          </w:p>
          <w:p w14:paraId="01DBE795" w14:textId="77777777" w:rsidR="0069270C" w:rsidRPr="0069270C" w:rsidRDefault="0069270C" w:rsidP="00193153">
            <w:pPr>
              <w:pStyle w:val="Table"/>
            </w:pPr>
            <w:r w:rsidRPr="0069270C">
              <w:t>Dead</w:t>
            </w:r>
          </w:p>
        </w:tc>
      </w:tr>
      <w:tr w:rsidR="0069270C" w:rsidRPr="0069270C" w14:paraId="424A92E6" w14:textId="77777777" w:rsidTr="009D09E8">
        <w:tc>
          <w:tcPr>
            <w:tcW w:w="1115" w:type="pct"/>
          </w:tcPr>
          <w:p w14:paraId="50E483F3" w14:textId="77777777" w:rsidR="0069270C" w:rsidRPr="006C4B9C" w:rsidRDefault="0069270C" w:rsidP="00193153">
            <w:pPr>
              <w:pStyle w:val="Table"/>
            </w:pPr>
            <w:r w:rsidRPr="006C4B9C">
              <w:t>Time horizon</w:t>
            </w:r>
          </w:p>
        </w:tc>
        <w:tc>
          <w:tcPr>
            <w:tcW w:w="3885" w:type="pct"/>
          </w:tcPr>
          <w:p w14:paraId="69A6E275" w14:textId="77777777" w:rsidR="0069270C" w:rsidRPr="0069270C" w:rsidRDefault="0069270C" w:rsidP="00193153">
            <w:pPr>
              <w:pStyle w:val="Table"/>
            </w:pPr>
            <w:r w:rsidRPr="006C4B9C">
              <w:t xml:space="preserve">Lifetime: 88 years for </w:t>
            </w:r>
            <w:proofErr w:type="spellStart"/>
            <w:r w:rsidRPr="006C4B9C">
              <w:t>pALL</w:t>
            </w:r>
            <w:proofErr w:type="spellEnd"/>
            <w:r w:rsidRPr="006C4B9C">
              <w:t>; 50 years for DLBCL</w:t>
            </w:r>
          </w:p>
        </w:tc>
      </w:tr>
      <w:tr w:rsidR="0069270C" w:rsidRPr="0069270C" w14:paraId="5008B65A" w14:textId="77777777" w:rsidTr="009D09E8">
        <w:tc>
          <w:tcPr>
            <w:tcW w:w="1115" w:type="pct"/>
          </w:tcPr>
          <w:p w14:paraId="41F246B7" w14:textId="77777777" w:rsidR="0069270C" w:rsidRPr="0069270C" w:rsidRDefault="0069270C" w:rsidP="00193153">
            <w:pPr>
              <w:pStyle w:val="Table"/>
            </w:pPr>
            <w:r w:rsidRPr="0069270C">
              <w:t>Cycle length</w:t>
            </w:r>
          </w:p>
        </w:tc>
        <w:tc>
          <w:tcPr>
            <w:tcW w:w="3885" w:type="pct"/>
          </w:tcPr>
          <w:p w14:paraId="068FA710" w14:textId="77777777" w:rsidR="0069270C" w:rsidRPr="0069270C" w:rsidRDefault="0069270C" w:rsidP="00193153">
            <w:pPr>
              <w:pStyle w:val="Table"/>
            </w:pPr>
            <w:r w:rsidRPr="0069270C">
              <w:t>One month (30.44 days)</w:t>
            </w:r>
          </w:p>
        </w:tc>
      </w:tr>
      <w:tr w:rsidR="0069270C" w:rsidRPr="0069270C" w14:paraId="1B3E9B69" w14:textId="77777777" w:rsidTr="009D09E8">
        <w:tc>
          <w:tcPr>
            <w:tcW w:w="1115" w:type="pct"/>
          </w:tcPr>
          <w:p w14:paraId="7948749B" w14:textId="77777777" w:rsidR="0069270C" w:rsidRPr="0069270C" w:rsidRDefault="0069270C" w:rsidP="00193153">
            <w:pPr>
              <w:pStyle w:val="Table"/>
            </w:pPr>
            <w:r w:rsidRPr="0069270C">
              <w:t>Discount rate</w:t>
            </w:r>
          </w:p>
        </w:tc>
        <w:tc>
          <w:tcPr>
            <w:tcW w:w="3885" w:type="pct"/>
          </w:tcPr>
          <w:p w14:paraId="6BAE5D4F" w14:textId="77777777" w:rsidR="0069270C" w:rsidRPr="0069270C" w:rsidRDefault="0069270C" w:rsidP="00193153">
            <w:pPr>
              <w:pStyle w:val="Table"/>
            </w:pPr>
            <w:r w:rsidRPr="0069270C">
              <w:t>5% annual for costs and outcomes</w:t>
            </w:r>
          </w:p>
        </w:tc>
      </w:tr>
      <w:tr w:rsidR="0069270C" w:rsidRPr="0069270C" w14:paraId="131B70D7" w14:textId="77777777" w:rsidTr="009D09E8">
        <w:tc>
          <w:tcPr>
            <w:tcW w:w="1115" w:type="pct"/>
          </w:tcPr>
          <w:p w14:paraId="4BDCBA6D" w14:textId="77777777" w:rsidR="0069270C" w:rsidRPr="0069270C" w:rsidRDefault="0069270C" w:rsidP="00193153">
            <w:pPr>
              <w:pStyle w:val="Table"/>
            </w:pPr>
            <w:r w:rsidRPr="0069270C">
              <w:t>Transition probabilities</w:t>
            </w:r>
          </w:p>
        </w:tc>
        <w:tc>
          <w:tcPr>
            <w:tcW w:w="3885" w:type="pct"/>
          </w:tcPr>
          <w:p w14:paraId="6DE8B2AC" w14:textId="77777777" w:rsidR="0069270C" w:rsidRPr="0069270C" w:rsidRDefault="0069270C" w:rsidP="00193153">
            <w:pPr>
              <w:pStyle w:val="Table"/>
            </w:pPr>
            <w:r w:rsidRPr="0069270C">
              <w:t>Implicit based on analyses of event/progression free and overall survival</w:t>
            </w:r>
          </w:p>
        </w:tc>
      </w:tr>
      <w:tr w:rsidR="0069270C" w:rsidRPr="0069270C" w14:paraId="3BAEF956" w14:textId="77777777" w:rsidTr="009D09E8">
        <w:tc>
          <w:tcPr>
            <w:tcW w:w="1115" w:type="pct"/>
          </w:tcPr>
          <w:p w14:paraId="1EC4A16E" w14:textId="77777777" w:rsidR="0069270C" w:rsidRPr="0069270C" w:rsidRDefault="0069270C" w:rsidP="00193153">
            <w:pPr>
              <w:pStyle w:val="Table"/>
            </w:pPr>
            <w:r w:rsidRPr="0069270C">
              <w:t>Software</w:t>
            </w:r>
          </w:p>
        </w:tc>
        <w:tc>
          <w:tcPr>
            <w:tcW w:w="3885" w:type="pct"/>
          </w:tcPr>
          <w:p w14:paraId="7871AAB6" w14:textId="77777777" w:rsidR="0069270C" w:rsidRPr="0069270C" w:rsidRDefault="0069270C" w:rsidP="00193153">
            <w:pPr>
              <w:pStyle w:val="Table"/>
            </w:pPr>
            <w:r w:rsidRPr="0069270C">
              <w:t>Microsoft Excel</w:t>
            </w:r>
          </w:p>
        </w:tc>
      </w:tr>
    </w:tbl>
    <w:p w14:paraId="42A01D67" w14:textId="2B71D581" w:rsidR="009D09E8" w:rsidRDefault="009D09E8" w:rsidP="000C0372">
      <w:pPr>
        <w:spacing w:before="240" w:after="240"/>
      </w:pPr>
      <w:r w:rsidRPr="00771AEF">
        <w:t>Summary results of the respective base case anal</w:t>
      </w:r>
      <w:r>
        <w:t>yses in t</w:t>
      </w:r>
      <w:r w:rsidR="001E1B42">
        <w:t xml:space="preserve">he application </w:t>
      </w:r>
      <w:proofErr w:type="gramStart"/>
      <w:r w:rsidR="001E1B42">
        <w:t>are presented</w:t>
      </w:r>
      <w:proofErr w:type="gramEnd"/>
      <w:r w:rsidR="001E1B42">
        <w:t xml:space="preserve"> in</w:t>
      </w:r>
      <w:r w:rsidR="001E1B42">
        <w:br/>
      </w:r>
      <w:r w:rsidR="003F6D9D">
        <w:fldChar w:fldCharType="begin"/>
      </w:r>
      <w:r w:rsidR="003F6D9D">
        <w:instrText xml:space="preserve"> REF _Ref5265570 \h </w:instrText>
      </w:r>
      <w:r w:rsidR="003F6D9D">
        <w:fldChar w:fldCharType="separate"/>
      </w:r>
      <w:r w:rsidR="001E1B42">
        <w:t xml:space="preserve">Table </w:t>
      </w:r>
      <w:r w:rsidR="001E1B42">
        <w:rPr>
          <w:noProof/>
        </w:rPr>
        <w:t>10</w:t>
      </w:r>
      <w:r w:rsidR="003F6D9D">
        <w:fldChar w:fldCharType="end"/>
      </w:r>
      <w:r>
        <w:t xml:space="preserve">. </w:t>
      </w:r>
      <w:r w:rsidR="0049090C">
        <w:t xml:space="preserve">Revised economic evaluations </w:t>
      </w:r>
      <w:proofErr w:type="gramStart"/>
      <w:r w:rsidR="0049090C">
        <w:t>were provided</w:t>
      </w:r>
      <w:proofErr w:type="gramEnd"/>
      <w:r w:rsidR="0049090C">
        <w:t xml:space="preserve"> in the pre-ESC </w:t>
      </w:r>
      <w:r w:rsidR="00DB73B5">
        <w:t xml:space="preserve">and pre-MSAC </w:t>
      </w:r>
      <w:r w:rsidR="0049090C">
        <w:t>response</w:t>
      </w:r>
      <w:r w:rsidR="00DB73B5">
        <w:t>s</w:t>
      </w:r>
      <w:r w:rsidR="002A25F1">
        <w:t xml:space="preserve"> to address concerns raised by the critique and the ESC report, respectively</w:t>
      </w:r>
      <w:r w:rsidR="0049090C">
        <w:t xml:space="preserve">; these revisions </w:t>
      </w:r>
      <w:r w:rsidR="002A25F1">
        <w:t xml:space="preserve">increased the </w:t>
      </w:r>
      <w:r w:rsidR="001D7A2B">
        <w:t>incremental cost-utility ratios</w:t>
      </w:r>
      <w:r w:rsidR="00DB73B5">
        <w:t>.</w:t>
      </w:r>
    </w:p>
    <w:p w14:paraId="1394C4FF" w14:textId="13C634B7" w:rsidR="009D09E8" w:rsidRDefault="00245C11" w:rsidP="00245C11">
      <w:pPr>
        <w:pStyle w:val="Caption"/>
      </w:pPr>
      <w:bookmarkStart w:id="11" w:name="_Ref5265570"/>
      <w:r>
        <w:lastRenderedPageBreak/>
        <w:t xml:space="preserve">Table </w:t>
      </w:r>
      <w:r w:rsidR="0083734C">
        <w:rPr>
          <w:noProof/>
        </w:rPr>
        <w:fldChar w:fldCharType="begin"/>
      </w:r>
      <w:r w:rsidR="0083734C">
        <w:rPr>
          <w:noProof/>
        </w:rPr>
        <w:instrText xml:space="preserve"> SEQ Table \* ARABIC </w:instrText>
      </w:r>
      <w:r w:rsidR="0083734C">
        <w:rPr>
          <w:noProof/>
        </w:rPr>
        <w:fldChar w:fldCharType="separate"/>
      </w:r>
      <w:r w:rsidR="001E1B42">
        <w:rPr>
          <w:noProof/>
        </w:rPr>
        <w:t>10</w:t>
      </w:r>
      <w:r w:rsidR="0083734C">
        <w:rPr>
          <w:noProof/>
        </w:rPr>
        <w:fldChar w:fldCharType="end"/>
      </w:r>
      <w:bookmarkEnd w:id="11"/>
      <w:r>
        <w:tab/>
      </w:r>
      <w:r w:rsidR="009D09E8" w:rsidRPr="009D09E8">
        <w:t>Discounted incremental results and cost effectiveness ratios</w:t>
      </w:r>
      <w:r w:rsidR="00665242">
        <w:t xml:space="preserve"> in the application</w:t>
      </w:r>
    </w:p>
    <w:tbl>
      <w:tblPr>
        <w:tblStyle w:val="Submissionstandard"/>
        <w:tblW w:w="5000" w:type="pct"/>
        <w:tblLook w:val="00A0" w:firstRow="1" w:lastRow="0" w:firstColumn="1" w:lastColumn="0" w:noHBand="0" w:noVBand="0"/>
        <w:tblDescription w:val="Discounted incremental results and cost effectiveness ratios"/>
      </w:tblPr>
      <w:tblGrid>
        <w:gridCol w:w="1557"/>
        <w:gridCol w:w="1382"/>
        <w:gridCol w:w="1389"/>
        <w:gridCol w:w="1520"/>
        <w:gridCol w:w="1520"/>
        <w:gridCol w:w="1648"/>
      </w:tblGrid>
      <w:tr w:rsidR="009D09E8" w:rsidRPr="00803F05" w14:paraId="327D9719" w14:textId="77777777" w:rsidTr="00261A53">
        <w:trPr>
          <w:cnfStyle w:val="100000000000" w:firstRow="1" w:lastRow="0" w:firstColumn="0" w:lastColumn="0" w:oddVBand="0" w:evenVBand="0" w:oddHBand="0" w:evenHBand="0" w:firstRowFirstColumn="0" w:firstRowLastColumn="0" w:lastRowFirstColumn="0" w:lastRowLastColumn="0"/>
          <w:trHeight w:val="198"/>
          <w:tblHeader/>
        </w:trPr>
        <w:tc>
          <w:tcPr>
            <w:tcW w:w="842" w:type="pct"/>
            <w:noWrap/>
          </w:tcPr>
          <w:p w14:paraId="4D56368A" w14:textId="77777777" w:rsidR="009D09E8" w:rsidRPr="00803F05" w:rsidRDefault="009D09E8" w:rsidP="0095109F">
            <w:pPr>
              <w:pStyle w:val="Table"/>
              <w:rPr>
                <w:rStyle w:val="Small"/>
              </w:rPr>
            </w:pPr>
            <w:proofErr w:type="spellStart"/>
            <w:r w:rsidRPr="00803F05">
              <w:rPr>
                <w:rStyle w:val="Small"/>
              </w:rPr>
              <w:t>pALL</w:t>
            </w:r>
            <w:proofErr w:type="spellEnd"/>
          </w:p>
        </w:tc>
        <w:tc>
          <w:tcPr>
            <w:tcW w:w="771" w:type="pct"/>
          </w:tcPr>
          <w:p w14:paraId="7F77260B" w14:textId="77777777" w:rsidR="009D09E8" w:rsidRPr="00803F05" w:rsidRDefault="009D09E8" w:rsidP="0095109F">
            <w:pPr>
              <w:pStyle w:val="TableCentre"/>
              <w:rPr>
                <w:rStyle w:val="Small"/>
              </w:rPr>
            </w:pPr>
            <w:r w:rsidRPr="00803F05">
              <w:rPr>
                <w:rStyle w:val="Small"/>
              </w:rPr>
              <w:t>TIS</w:t>
            </w:r>
          </w:p>
        </w:tc>
        <w:tc>
          <w:tcPr>
            <w:tcW w:w="774" w:type="pct"/>
          </w:tcPr>
          <w:p w14:paraId="18FB7301" w14:textId="77777777" w:rsidR="009D09E8" w:rsidRPr="00803F05" w:rsidRDefault="009D09E8" w:rsidP="0095109F">
            <w:pPr>
              <w:pStyle w:val="TableCentre"/>
              <w:rPr>
                <w:rStyle w:val="Small"/>
              </w:rPr>
            </w:pPr>
            <w:r w:rsidRPr="00803F05">
              <w:rPr>
                <w:rStyle w:val="Small"/>
              </w:rPr>
              <w:t xml:space="preserve">BLN </w:t>
            </w:r>
          </w:p>
        </w:tc>
        <w:tc>
          <w:tcPr>
            <w:tcW w:w="847" w:type="pct"/>
          </w:tcPr>
          <w:p w14:paraId="01779C59" w14:textId="77777777" w:rsidR="009D09E8" w:rsidRPr="00803F05" w:rsidRDefault="009D09E8" w:rsidP="0095109F">
            <w:pPr>
              <w:pStyle w:val="TableCentre"/>
              <w:rPr>
                <w:rStyle w:val="Small"/>
              </w:rPr>
            </w:pPr>
            <w:r w:rsidRPr="00803F05">
              <w:rPr>
                <w:rStyle w:val="Small"/>
              </w:rPr>
              <w:t>SCR</w:t>
            </w:r>
          </w:p>
        </w:tc>
        <w:tc>
          <w:tcPr>
            <w:tcW w:w="847" w:type="pct"/>
          </w:tcPr>
          <w:p w14:paraId="64B5B189" w14:textId="77777777" w:rsidR="009D09E8" w:rsidRPr="00803F05" w:rsidRDefault="009D09E8" w:rsidP="0095109F">
            <w:pPr>
              <w:pStyle w:val="TableCentre"/>
              <w:rPr>
                <w:rStyle w:val="Small"/>
              </w:rPr>
            </w:pPr>
            <w:r w:rsidRPr="00803F05">
              <w:rPr>
                <w:rStyle w:val="Small"/>
              </w:rPr>
              <w:t>TIS v. BLN</w:t>
            </w:r>
          </w:p>
        </w:tc>
        <w:tc>
          <w:tcPr>
            <w:tcW w:w="918" w:type="pct"/>
          </w:tcPr>
          <w:p w14:paraId="2968BF3F" w14:textId="77777777" w:rsidR="009D09E8" w:rsidRPr="00803F05" w:rsidRDefault="009D09E8" w:rsidP="0095109F">
            <w:pPr>
              <w:pStyle w:val="TableCentre"/>
              <w:rPr>
                <w:rStyle w:val="Small"/>
              </w:rPr>
            </w:pPr>
            <w:r w:rsidRPr="00803F05">
              <w:rPr>
                <w:rStyle w:val="Small"/>
              </w:rPr>
              <w:t>TIS v. SCR</w:t>
            </w:r>
          </w:p>
        </w:tc>
      </w:tr>
      <w:tr w:rsidR="009D09E8" w:rsidRPr="00803F05" w14:paraId="67F6754A" w14:textId="77777777" w:rsidTr="00261A53">
        <w:trPr>
          <w:trHeight w:val="198"/>
        </w:trPr>
        <w:tc>
          <w:tcPr>
            <w:tcW w:w="842" w:type="pct"/>
            <w:noWrap/>
          </w:tcPr>
          <w:p w14:paraId="171A714D" w14:textId="77777777" w:rsidR="009D09E8" w:rsidRPr="00803F05" w:rsidRDefault="009D09E8" w:rsidP="0095109F">
            <w:pPr>
              <w:pStyle w:val="Table"/>
              <w:rPr>
                <w:rStyle w:val="Small"/>
              </w:rPr>
            </w:pPr>
            <w:r w:rsidRPr="00803F05">
              <w:rPr>
                <w:rStyle w:val="Small"/>
              </w:rPr>
              <w:t>Costs</w:t>
            </w:r>
          </w:p>
        </w:tc>
        <w:tc>
          <w:tcPr>
            <w:tcW w:w="771" w:type="pct"/>
            <w:noWrap/>
          </w:tcPr>
          <w:p w14:paraId="6C795AEE" w14:textId="77777777" w:rsidR="009D09E8" w:rsidRPr="00803F05" w:rsidRDefault="009D09E8" w:rsidP="0095109F">
            <w:pPr>
              <w:pStyle w:val="TableCentre"/>
            </w:pPr>
            <w:r w:rsidRPr="00803F05">
              <w:t>$</w:t>
            </w:r>
            <w:r w:rsidR="00803F05" w:rsidRPr="00803F05">
              <w:rPr>
                <w:b/>
              </w:rPr>
              <w:t>redacted</w:t>
            </w:r>
          </w:p>
        </w:tc>
        <w:tc>
          <w:tcPr>
            <w:tcW w:w="774" w:type="pct"/>
            <w:noWrap/>
          </w:tcPr>
          <w:p w14:paraId="06A25300" w14:textId="77777777" w:rsidR="009D09E8" w:rsidRPr="00803F05" w:rsidRDefault="009D09E8" w:rsidP="0095109F">
            <w:pPr>
              <w:pStyle w:val="TableCentre"/>
            </w:pPr>
            <w:r w:rsidRPr="00803F05">
              <w:t>$</w:t>
            </w:r>
            <w:r w:rsidR="00803F05" w:rsidRPr="00803F05">
              <w:rPr>
                <w:b/>
              </w:rPr>
              <w:t>redacted</w:t>
            </w:r>
          </w:p>
        </w:tc>
        <w:tc>
          <w:tcPr>
            <w:tcW w:w="847" w:type="pct"/>
          </w:tcPr>
          <w:p w14:paraId="1C56E844" w14:textId="77777777" w:rsidR="009D09E8" w:rsidRPr="00803F05" w:rsidRDefault="009D09E8" w:rsidP="0095109F">
            <w:pPr>
              <w:pStyle w:val="TableCentre"/>
            </w:pPr>
            <w:r w:rsidRPr="00803F05">
              <w:t>$</w:t>
            </w:r>
            <w:r w:rsidR="00803F05" w:rsidRPr="00803F05">
              <w:rPr>
                <w:b/>
              </w:rPr>
              <w:t>redacted</w:t>
            </w:r>
          </w:p>
        </w:tc>
        <w:tc>
          <w:tcPr>
            <w:tcW w:w="847" w:type="pct"/>
          </w:tcPr>
          <w:p w14:paraId="4D193432" w14:textId="77777777" w:rsidR="009D09E8" w:rsidRPr="00803F05" w:rsidRDefault="009D09E8" w:rsidP="0095109F">
            <w:pPr>
              <w:pStyle w:val="TableCentre"/>
            </w:pPr>
            <w:r w:rsidRPr="00803F05">
              <w:t>$</w:t>
            </w:r>
            <w:r w:rsidR="00803F05" w:rsidRPr="00803F05">
              <w:rPr>
                <w:b/>
              </w:rPr>
              <w:t>redacted</w:t>
            </w:r>
          </w:p>
        </w:tc>
        <w:tc>
          <w:tcPr>
            <w:tcW w:w="918" w:type="pct"/>
          </w:tcPr>
          <w:p w14:paraId="5AF4448B" w14:textId="77777777" w:rsidR="009D09E8" w:rsidRPr="00803F05" w:rsidRDefault="009D09E8" w:rsidP="0095109F">
            <w:pPr>
              <w:pStyle w:val="TableCentre"/>
            </w:pPr>
            <w:r w:rsidRPr="00803F05">
              <w:t>$</w:t>
            </w:r>
            <w:r w:rsidR="00803F05" w:rsidRPr="00803F05">
              <w:rPr>
                <w:b/>
              </w:rPr>
              <w:t>redacted</w:t>
            </w:r>
          </w:p>
        </w:tc>
      </w:tr>
      <w:tr w:rsidR="009D09E8" w:rsidRPr="00803F05" w14:paraId="163E5CBF" w14:textId="77777777" w:rsidTr="00261A53">
        <w:trPr>
          <w:trHeight w:val="198"/>
        </w:trPr>
        <w:tc>
          <w:tcPr>
            <w:tcW w:w="842" w:type="pct"/>
            <w:noWrap/>
          </w:tcPr>
          <w:p w14:paraId="74FE8E31" w14:textId="77777777" w:rsidR="009D09E8" w:rsidRPr="00803F05" w:rsidRDefault="009D09E8" w:rsidP="0095109F">
            <w:pPr>
              <w:pStyle w:val="Table"/>
              <w:rPr>
                <w:rStyle w:val="Small"/>
              </w:rPr>
            </w:pPr>
            <w:r w:rsidRPr="00803F05">
              <w:rPr>
                <w:rStyle w:val="Small"/>
              </w:rPr>
              <w:t>LYs</w:t>
            </w:r>
          </w:p>
        </w:tc>
        <w:tc>
          <w:tcPr>
            <w:tcW w:w="771" w:type="pct"/>
            <w:noWrap/>
          </w:tcPr>
          <w:p w14:paraId="64A1E6BC" w14:textId="77777777" w:rsidR="009D09E8" w:rsidRPr="00803F05" w:rsidRDefault="009D09E8" w:rsidP="0095109F">
            <w:pPr>
              <w:pStyle w:val="TableCentre"/>
            </w:pPr>
            <w:r w:rsidRPr="00803F05">
              <w:t>7.924</w:t>
            </w:r>
          </w:p>
        </w:tc>
        <w:tc>
          <w:tcPr>
            <w:tcW w:w="774" w:type="pct"/>
            <w:noWrap/>
          </w:tcPr>
          <w:p w14:paraId="321D9ABB" w14:textId="77777777" w:rsidR="009D09E8" w:rsidRPr="00803F05" w:rsidRDefault="009D09E8" w:rsidP="0095109F">
            <w:pPr>
              <w:pStyle w:val="TableCentre"/>
            </w:pPr>
            <w:r w:rsidRPr="00803F05">
              <w:t>2.452</w:t>
            </w:r>
          </w:p>
        </w:tc>
        <w:tc>
          <w:tcPr>
            <w:tcW w:w="847" w:type="pct"/>
          </w:tcPr>
          <w:p w14:paraId="34C5C902" w14:textId="77777777" w:rsidR="009D09E8" w:rsidRPr="00803F05" w:rsidRDefault="009D09E8" w:rsidP="0095109F">
            <w:pPr>
              <w:pStyle w:val="TableCentre"/>
            </w:pPr>
            <w:r w:rsidRPr="00803F05">
              <w:t>0.678</w:t>
            </w:r>
          </w:p>
        </w:tc>
        <w:tc>
          <w:tcPr>
            <w:tcW w:w="847" w:type="pct"/>
          </w:tcPr>
          <w:p w14:paraId="22BD19BC" w14:textId="77777777" w:rsidR="009D09E8" w:rsidRPr="00803F05" w:rsidRDefault="009D09E8" w:rsidP="0095109F">
            <w:pPr>
              <w:pStyle w:val="TableCentre"/>
            </w:pPr>
            <w:r w:rsidRPr="00803F05">
              <w:t>5.473</w:t>
            </w:r>
          </w:p>
        </w:tc>
        <w:tc>
          <w:tcPr>
            <w:tcW w:w="918" w:type="pct"/>
          </w:tcPr>
          <w:p w14:paraId="4B910A20" w14:textId="77777777" w:rsidR="009D09E8" w:rsidRPr="00803F05" w:rsidRDefault="009D09E8" w:rsidP="0095109F">
            <w:pPr>
              <w:pStyle w:val="TableCentre"/>
            </w:pPr>
            <w:r w:rsidRPr="00803F05">
              <w:t>7.246</w:t>
            </w:r>
          </w:p>
        </w:tc>
      </w:tr>
      <w:tr w:rsidR="009D09E8" w:rsidRPr="00803F05" w14:paraId="7B9E70B2" w14:textId="77777777" w:rsidTr="00261A53">
        <w:trPr>
          <w:trHeight w:val="198"/>
        </w:trPr>
        <w:tc>
          <w:tcPr>
            <w:tcW w:w="842" w:type="pct"/>
            <w:noWrap/>
          </w:tcPr>
          <w:p w14:paraId="7178CD2C" w14:textId="77777777" w:rsidR="009D09E8" w:rsidRPr="00803F05" w:rsidRDefault="009D09E8" w:rsidP="0095109F">
            <w:pPr>
              <w:pStyle w:val="Table"/>
              <w:rPr>
                <w:rStyle w:val="Small"/>
              </w:rPr>
            </w:pPr>
            <w:r w:rsidRPr="00803F05">
              <w:rPr>
                <w:rStyle w:val="Small"/>
              </w:rPr>
              <w:t>QALYs</w:t>
            </w:r>
          </w:p>
        </w:tc>
        <w:tc>
          <w:tcPr>
            <w:tcW w:w="771" w:type="pct"/>
            <w:noWrap/>
          </w:tcPr>
          <w:p w14:paraId="4263FD42" w14:textId="77777777" w:rsidR="009D09E8" w:rsidRPr="00803F05" w:rsidRDefault="009D09E8" w:rsidP="0095109F">
            <w:pPr>
              <w:pStyle w:val="TableCentre"/>
            </w:pPr>
            <w:r w:rsidRPr="00803F05">
              <w:t>5.639</w:t>
            </w:r>
          </w:p>
        </w:tc>
        <w:tc>
          <w:tcPr>
            <w:tcW w:w="774" w:type="pct"/>
            <w:noWrap/>
          </w:tcPr>
          <w:p w14:paraId="10F79297" w14:textId="77777777" w:rsidR="009D09E8" w:rsidRPr="00803F05" w:rsidRDefault="009D09E8" w:rsidP="0095109F">
            <w:pPr>
              <w:pStyle w:val="TableCentre"/>
            </w:pPr>
            <w:r w:rsidRPr="00803F05">
              <w:t>1.556</w:t>
            </w:r>
          </w:p>
        </w:tc>
        <w:tc>
          <w:tcPr>
            <w:tcW w:w="847" w:type="pct"/>
          </w:tcPr>
          <w:p w14:paraId="04BF5485" w14:textId="77777777" w:rsidR="009D09E8" w:rsidRPr="00803F05" w:rsidRDefault="009D09E8" w:rsidP="0095109F">
            <w:pPr>
              <w:pStyle w:val="TableCentre"/>
            </w:pPr>
            <w:r w:rsidRPr="00803F05">
              <w:t>0.267</w:t>
            </w:r>
          </w:p>
        </w:tc>
        <w:tc>
          <w:tcPr>
            <w:tcW w:w="847" w:type="pct"/>
          </w:tcPr>
          <w:p w14:paraId="3B1A257E" w14:textId="77777777" w:rsidR="009D09E8" w:rsidRPr="00803F05" w:rsidRDefault="009D09E8" w:rsidP="0095109F">
            <w:pPr>
              <w:pStyle w:val="TableCentre"/>
            </w:pPr>
            <w:r w:rsidRPr="00803F05">
              <w:t>4.083</w:t>
            </w:r>
          </w:p>
        </w:tc>
        <w:tc>
          <w:tcPr>
            <w:tcW w:w="918" w:type="pct"/>
          </w:tcPr>
          <w:p w14:paraId="751D2EEF" w14:textId="77777777" w:rsidR="009D09E8" w:rsidRPr="00803F05" w:rsidRDefault="009D09E8" w:rsidP="0095109F">
            <w:pPr>
              <w:pStyle w:val="TableCentre"/>
            </w:pPr>
            <w:r w:rsidRPr="00803F05">
              <w:t>5.372</w:t>
            </w:r>
          </w:p>
        </w:tc>
      </w:tr>
      <w:tr w:rsidR="009D09E8" w:rsidRPr="00803F05" w14:paraId="0AED5FF1" w14:textId="77777777" w:rsidTr="00261A53">
        <w:trPr>
          <w:trHeight w:val="198"/>
        </w:trPr>
        <w:tc>
          <w:tcPr>
            <w:tcW w:w="842" w:type="pct"/>
            <w:noWrap/>
          </w:tcPr>
          <w:p w14:paraId="08564FD5" w14:textId="77777777" w:rsidR="009D09E8" w:rsidRPr="00803F05" w:rsidRDefault="009D09E8" w:rsidP="0095109F">
            <w:pPr>
              <w:pStyle w:val="Table"/>
              <w:rPr>
                <w:rStyle w:val="Small"/>
              </w:rPr>
            </w:pPr>
            <w:r w:rsidRPr="00803F05">
              <w:rPr>
                <w:rStyle w:val="Small"/>
              </w:rPr>
              <w:t>Cost/LY</w:t>
            </w:r>
          </w:p>
        </w:tc>
        <w:tc>
          <w:tcPr>
            <w:tcW w:w="2392" w:type="pct"/>
            <w:gridSpan w:val="3"/>
            <w:vMerge w:val="restart"/>
            <w:noWrap/>
          </w:tcPr>
          <w:p w14:paraId="724158E5" w14:textId="77777777" w:rsidR="009D09E8" w:rsidRPr="00803F05" w:rsidRDefault="009D09E8" w:rsidP="0095109F">
            <w:pPr>
              <w:pStyle w:val="TableCentre"/>
              <w:rPr>
                <w:rStyle w:val="Small"/>
              </w:rPr>
            </w:pPr>
          </w:p>
        </w:tc>
        <w:tc>
          <w:tcPr>
            <w:tcW w:w="847" w:type="pct"/>
          </w:tcPr>
          <w:p w14:paraId="4FFC4413" w14:textId="77777777" w:rsidR="009D09E8" w:rsidRPr="00803F05" w:rsidRDefault="009D09E8" w:rsidP="0095109F">
            <w:pPr>
              <w:pStyle w:val="TableCentre"/>
            </w:pPr>
            <w:r w:rsidRPr="00803F05">
              <w:t>$</w:t>
            </w:r>
            <w:r w:rsidR="00803F05" w:rsidRPr="00803F05">
              <w:rPr>
                <w:b/>
              </w:rPr>
              <w:t>redacted</w:t>
            </w:r>
          </w:p>
        </w:tc>
        <w:tc>
          <w:tcPr>
            <w:tcW w:w="918" w:type="pct"/>
          </w:tcPr>
          <w:p w14:paraId="1BCC628C" w14:textId="77777777" w:rsidR="009D09E8" w:rsidRPr="00803F05" w:rsidRDefault="009D09E8" w:rsidP="0095109F">
            <w:pPr>
              <w:pStyle w:val="TableCentre"/>
            </w:pPr>
            <w:r w:rsidRPr="00803F05">
              <w:t>$</w:t>
            </w:r>
            <w:r w:rsidR="00803F05" w:rsidRPr="00803F05">
              <w:rPr>
                <w:b/>
              </w:rPr>
              <w:t>redacted</w:t>
            </w:r>
          </w:p>
        </w:tc>
      </w:tr>
      <w:tr w:rsidR="009D09E8" w:rsidRPr="00803F05" w14:paraId="52724805" w14:textId="77777777" w:rsidTr="00261A53">
        <w:trPr>
          <w:trHeight w:val="198"/>
        </w:trPr>
        <w:tc>
          <w:tcPr>
            <w:tcW w:w="842" w:type="pct"/>
            <w:noWrap/>
          </w:tcPr>
          <w:p w14:paraId="4F86542D" w14:textId="77777777" w:rsidR="009D09E8" w:rsidRPr="00803F05" w:rsidRDefault="009D09E8" w:rsidP="0095109F">
            <w:pPr>
              <w:pStyle w:val="Table"/>
              <w:rPr>
                <w:rStyle w:val="Small"/>
              </w:rPr>
            </w:pPr>
            <w:r w:rsidRPr="00803F05">
              <w:rPr>
                <w:rStyle w:val="Small"/>
              </w:rPr>
              <w:t>Cost/QALY</w:t>
            </w:r>
          </w:p>
        </w:tc>
        <w:tc>
          <w:tcPr>
            <w:tcW w:w="2392" w:type="pct"/>
            <w:gridSpan w:val="3"/>
            <w:vMerge/>
            <w:noWrap/>
          </w:tcPr>
          <w:p w14:paraId="6F5821F4" w14:textId="77777777" w:rsidR="009D09E8" w:rsidRPr="00803F05" w:rsidRDefault="009D09E8" w:rsidP="0095109F">
            <w:pPr>
              <w:pStyle w:val="TableCentre"/>
              <w:rPr>
                <w:rStyle w:val="Small"/>
              </w:rPr>
            </w:pPr>
          </w:p>
        </w:tc>
        <w:tc>
          <w:tcPr>
            <w:tcW w:w="847" w:type="pct"/>
          </w:tcPr>
          <w:p w14:paraId="231B8527" w14:textId="77777777" w:rsidR="009D09E8" w:rsidRPr="00803F05" w:rsidRDefault="009D09E8" w:rsidP="0095109F">
            <w:pPr>
              <w:pStyle w:val="TableCentre"/>
            </w:pPr>
            <w:r w:rsidRPr="00803F05">
              <w:t>$</w:t>
            </w:r>
            <w:r w:rsidR="00803F05" w:rsidRPr="00803F05">
              <w:rPr>
                <w:b/>
              </w:rPr>
              <w:t>redacted</w:t>
            </w:r>
          </w:p>
        </w:tc>
        <w:tc>
          <w:tcPr>
            <w:tcW w:w="918" w:type="pct"/>
          </w:tcPr>
          <w:p w14:paraId="71CFF837" w14:textId="77777777" w:rsidR="009D09E8" w:rsidRPr="00803F05" w:rsidRDefault="009D09E8" w:rsidP="00803F05">
            <w:pPr>
              <w:pStyle w:val="TableCentre"/>
            </w:pPr>
            <w:r w:rsidRPr="00803F05">
              <w:t>$</w:t>
            </w:r>
            <w:r w:rsidR="00803F05" w:rsidRPr="00803F05">
              <w:rPr>
                <w:b/>
              </w:rPr>
              <w:t>redacted</w:t>
            </w:r>
          </w:p>
        </w:tc>
      </w:tr>
      <w:tr w:rsidR="009D09E8" w:rsidRPr="00803F05" w14:paraId="45348BF0" w14:textId="77777777" w:rsidTr="00261A53">
        <w:trPr>
          <w:trHeight w:val="198"/>
        </w:trPr>
        <w:tc>
          <w:tcPr>
            <w:tcW w:w="842" w:type="pct"/>
            <w:noWrap/>
          </w:tcPr>
          <w:p w14:paraId="0541D358" w14:textId="77777777" w:rsidR="009D09E8" w:rsidRPr="00803F05" w:rsidRDefault="009D09E8" w:rsidP="0095109F">
            <w:pPr>
              <w:pStyle w:val="Table"/>
              <w:rPr>
                <w:rStyle w:val="Small"/>
              </w:rPr>
            </w:pPr>
            <w:r w:rsidRPr="00803F05">
              <w:rPr>
                <w:rStyle w:val="Small"/>
              </w:rPr>
              <w:t>DLBCL</w:t>
            </w:r>
          </w:p>
        </w:tc>
        <w:tc>
          <w:tcPr>
            <w:tcW w:w="771" w:type="pct"/>
            <w:noWrap/>
          </w:tcPr>
          <w:p w14:paraId="49557D2F" w14:textId="77777777" w:rsidR="009D09E8" w:rsidRPr="00803F05" w:rsidRDefault="009D09E8" w:rsidP="0095109F">
            <w:pPr>
              <w:pStyle w:val="TableCentre"/>
              <w:rPr>
                <w:rStyle w:val="Small"/>
              </w:rPr>
            </w:pPr>
            <w:r w:rsidRPr="00803F05">
              <w:rPr>
                <w:rStyle w:val="Small"/>
              </w:rPr>
              <w:t>TIS</w:t>
            </w:r>
          </w:p>
        </w:tc>
        <w:tc>
          <w:tcPr>
            <w:tcW w:w="1621" w:type="pct"/>
            <w:gridSpan w:val="2"/>
            <w:noWrap/>
          </w:tcPr>
          <w:p w14:paraId="6FB03FF9" w14:textId="77777777" w:rsidR="009D09E8" w:rsidRPr="00803F05" w:rsidRDefault="009D09E8" w:rsidP="0095109F">
            <w:pPr>
              <w:pStyle w:val="TableCentre"/>
              <w:rPr>
                <w:rStyle w:val="Small"/>
              </w:rPr>
            </w:pPr>
            <w:r w:rsidRPr="00803F05">
              <w:rPr>
                <w:rStyle w:val="Small"/>
              </w:rPr>
              <w:t>SCR</w:t>
            </w:r>
          </w:p>
        </w:tc>
        <w:tc>
          <w:tcPr>
            <w:tcW w:w="1765" w:type="pct"/>
            <w:gridSpan w:val="2"/>
          </w:tcPr>
          <w:p w14:paraId="579333BC" w14:textId="77777777" w:rsidR="009D09E8" w:rsidRPr="00803F05" w:rsidRDefault="009D09E8" w:rsidP="0095109F">
            <w:pPr>
              <w:pStyle w:val="TableCentre"/>
              <w:rPr>
                <w:rStyle w:val="Small"/>
              </w:rPr>
            </w:pPr>
            <w:r w:rsidRPr="00803F05">
              <w:rPr>
                <w:rStyle w:val="Small"/>
              </w:rPr>
              <w:t>TIS vs. SCR</w:t>
            </w:r>
          </w:p>
        </w:tc>
      </w:tr>
      <w:tr w:rsidR="009D09E8" w:rsidRPr="00803F05" w14:paraId="510E23E8" w14:textId="77777777" w:rsidTr="00261A53">
        <w:trPr>
          <w:trHeight w:val="198"/>
        </w:trPr>
        <w:tc>
          <w:tcPr>
            <w:tcW w:w="842" w:type="pct"/>
            <w:noWrap/>
          </w:tcPr>
          <w:p w14:paraId="0BE94B76" w14:textId="77777777" w:rsidR="009D09E8" w:rsidRPr="00803F05" w:rsidRDefault="009D09E8" w:rsidP="0095109F">
            <w:pPr>
              <w:pStyle w:val="Table"/>
              <w:rPr>
                <w:rStyle w:val="Small"/>
              </w:rPr>
            </w:pPr>
            <w:r w:rsidRPr="00803F05">
              <w:rPr>
                <w:rStyle w:val="Small"/>
              </w:rPr>
              <w:t>Costs</w:t>
            </w:r>
          </w:p>
        </w:tc>
        <w:tc>
          <w:tcPr>
            <w:tcW w:w="771" w:type="pct"/>
            <w:noWrap/>
          </w:tcPr>
          <w:p w14:paraId="1000961B" w14:textId="77777777" w:rsidR="009D09E8" w:rsidRPr="00803F05" w:rsidRDefault="009D09E8" w:rsidP="0095109F">
            <w:pPr>
              <w:pStyle w:val="TableCentre"/>
              <w:rPr>
                <w:rStyle w:val="Small"/>
              </w:rPr>
            </w:pPr>
            <w:r w:rsidRPr="00803F05">
              <w:t>$</w:t>
            </w:r>
            <w:r w:rsidR="00803F05" w:rsidRPr="00803F05">
              <w:rPr>
                <w:b/>
              </w:rPr>
              <w:t>redacted</w:t>
            </w:r>
          </w:p>
        </w:tc>
        <w:tc>
          <w:tcPr>
            <w:tcW w:w="1621" w:type="pct"/>
            <w:gridSpan w:val="2"/>
            <w:noWrap/>
          </w:tcPr>
          <w:p w14:paraId="018B520B" w14:textId="77777777" w:rsidR="009D09E8" w:rsidRPr="00803F05" w:rsidRDefault="009D09E8" w:rsidP="0095109F">
            <w:pPr>
              <w:pStyle w:val="TableCentre"/>
              <w:rPr>
                <w:rStyle w:val="Small"/>
              </w:rPr>
            </w:pPr>
            <w:r w:rsidRPr="00803F05">
              <w:t>$</w:t>
            </w:r>
            <w:r w:rsidR="00803F05" w:rsidRPr="00803F05">
              <w:rPr>
                <w:b/>
              </w:rPr>
              <w:t>redacted</w:t>
            </w:r>
          </w:p>
        </w:tc>
        <w:tc>
          <w:tcPr>
            <w:tcW w:w="1765" w:type="pct"/>
            <w:gridSpan w:val="2"/>
          </w:tcPr>
          <w:p w14:paraId="58D7275E" w14:textId="77777777" w:rsidR="009D09E8" w:rsidRPr="00803F05" w:rsidRDefault="009D09E8" w:rsidP="0095109F">
            <w:pPr>
              <w:pStyle w:val="TableCentre"/>
              <w:rPr>
                <w:rStyle w:val="Small"/>
              </w:rPr>
            </w:pPr>
            <w:r w:rsidRPr="00803F05">
              <w:t>$</w:t>
            </w:r>
            <w:r w:rsidR="00803F05" w:rsidRPr="00803F05">
              <w:rPr>
                <w:b/>
              </w:rPr>
              <w:t>redacted</w:t>
            </w:r>
          </w:p>
        </w:tc>
      </w:tr>
      <w:tr w:rsidR="009D09E8" w:rsidRPr="00803F05" w14:paraId="75DC8E9F" w14:textId="77777777" w:rsidTr="00261A53">
        <w:trPr>
          <w:trHeight w:val="198"/>
        </w:trPr>
        <w:tc>
          <w:tcPr>
            <w:tcW w:w="842" w:type="pct"/>
            <w:noWrap/>
          </w:tcPr>
          <w:p w14:paraId="268449A8" w14:textId="77777777" w:rsidR="009D09E8" w:rsidRPr="00803F05" w:rsidRDefault="009D09E8" w:rsidP="0095109F">
            <w:pPr>
              <w:pStyle w:val="Table"/>
              <w:rPr>
                <w:rStyle w:val="Small"/>
              </w:rPr>
            </w:pPr>
            <w:r w:rsidRPr="00803F05">
              <w:rPr>
                <w:rStyle w:val="Small"/>
              </w:rPr>
              <w:t>LYs</w:t>
            </w:r>
          </w:p>
        </w:tc>
        <w:tc>
          <w:tcPr>
            <w:tcW w:w="771" w:type="pct"/>
            <w:noWrap/>
          </w:tcPr>
          <w:p w14:paraId="3C0A8BB9" w14:textId="77777777" w:rsidR="009D09E8" w:rsidRPr="00803F05" w:rsidRDefault="009D09E8" w:rsidP="0095109F">
            <w:pPr>
              <w:pStyle w:val="TableCentre"/>
              <w:rPr>
                <w:rStyle w:val="Small"/>
              </w:rPr>
            </w:pPr>
            <w:r w:rsidRPr="00803F05">
              <w:t>6.090</w:t>
            </w:r>
          </w:p>
        </w:tc>
        <w:tc>
          <w:tcPr>
            <w:tcW w:w="1621" w:type="pct"/>
            <w:gridSpan w:val="2"/>
            <w:noWrap/>
          </w:tcPr>
          <w:p w14:paraId="7B9EFBF0" w14:textId="77777777" w:rsidR="009D09E8" w:rsidRPr="00803F05" w:rsidRDefault="009D09E8" w:rsidP="0095109F">
            <w:pPr>
              <w:pStyle w:val="TableCentre"/>
              <w:rPr>
                <w:rStyle w:val="Small"/>
              </w:rPr>
            </w:pPr>
            <w:r w:rsidRPr="00803F05">
              <w:t>3.005</w:t>
            </w:r>
          </w:p>
        </w:tc>
        <w:tc>
          <w:tcPr>
            <w:tcW w:w="1765" w:type="pct"/>
            <w:gridSpan w:val="2"/>
          </w:tcPr>
          <w:p w14:paraId="1D342E2F" w14:textId="77777777" w:rsidR="009D09E8" w:rsidRPr="00803F05" w:rsidRDefault="009D09E8" w:rsidP="0095109F">
            <w:pPr>
              <w:pStyle w:val="TableCentre"/>
              <w:rPr>
                <w:rStyle w:val="Small"/>
              </w:rPr>
            </w:pPr>
            <w:r w:rsidRPr="00803F05">
              <w:t>3.084</w:t>
            </w:r>
          </w:p>
        </w:tc>
      </w:tr>
      <w:tr w:rsidR="009D09E8" w:rsidRPr="00803F05" w14:paraId="567CFB63" w14:textId="77777777" w:rsidTr="00261A53">
        <w:trPr>
          <w:trHeight w:val="198"/>
        </w:trPr>
        <w:tc>
          <w:tcPr>
            <w:tcW w:w="842" w:type="pct"/>
            <w:noWrap/>
          </w:tcPr>
          <w:p w14:paraId="295869E4" w14:textId="77777777" w:rsidR="009D09E8" w:rsidRPr="00803F05" w:rsidRDefault="009D09E8" w:rsidP="0095109F">
            <w:pPr>
              <w:pStyle w:val="Table"/>
              <w:rPr>
                <w:rStyle w:val="Small"/>
              </w:rPr>
            </w:pPr>
            <w:r w:rsidRPr="00803F05">
              <w:rPr>
                <w:rStyle w:val="Small"/>
              </w:rPr>
              <w:t>QALYs</w:t>
            </w:r>
          </w:p>
        </w:tc>
        <w:tc>
          <w:tcPr>
            <w:tcW w:w="771" w:type="pct"/>
            <w:noWrap/>
          </w:tcPr>
          <w:p w14:paraId="3FE31AAF" w14:textId="77777777" w:rsidR="009D09E8" w:rsidRPr="00803F05" w:rsidRDefault="009D09E8" w:rsidP="0095109F">
            <w:pPr>
              <w:pStyle w:val="TableCentre"/>
              <w:rPr>
                <w:rStyle w:val="Small"/>
              </w:rPr>
            </w:pPr>
            <w:r w:rsidRPr="00803F05">
              <w:t>4.990</w:t>
            </w:r>
          </w:p>
        </w:tc>
        <w:tc>
          <w:tcPr>
            <w:tcW w:w="1621" w:type="pct"/>
            <w:gridSpan w:val="2"/>
            <w:noWrap/>
          </w:tcPr>
          <w:p w14:paraId="068370A9" w14:textId="77777777" w:rsidR="009D09E8" w:rsidRPr="00803F05" w:rsidRDefault="009D09E8" w:rsidP="0095109F">
            <w:pPr>
              <w:pStyle w:val="TableCentre"/>
              <w:rPr>
                <w:rStyle w:val="Small"/>
              </w:rPr>
            </w:pPr>
            <w:r w:rsidRPr="00803F05">
              <w:t>2.230</w:t>
            </w:r>
          </w:p>
        </w:tc>
        <w:tc>
          <w:tcPr>
            <w:tcW w:w="1765" w:type="pct"/>
            <w:gridSpan w:val="2"/>
          </w:tcPr>
          <w:p w14:paraId="7B85C900" w14:textId="77777777" w:rsidR="009D09E8" w:rsidRPr="00803F05" w:rsidRDefault="009D09E8" w:rsidP="0095109F">
            <w:pPr>
              <w:pStyle w:val="TableCentre"/>
              <w:rPr>
                <w:rStyle w:val="Small"/>
              </w:rPr>
            </w:pPr>
            <w:r w:rsidRPr="00803F05">
              <w:t>2.760</w:t>
            </w:r>
          </w:p>
        </w:tc>
      </w:tr>
      <w:tr w:rsidR="009D09E8" w:rsidRPr="00803F05" w14:paraId="45AF44D1" w14:textId="77777777" w:rsidTr="00261A53">
        <w:trPr>
          <w:trHeight w:val="198"/>
        </w:trPr>
        <w:tc>
          <w:tcPr>
            <w:tcW w:w="842" w:type="pct"/>
            <w:noWrap/>
          </w:tcPr>
          <w:p w14:paraId="13C4DE82" w14:textId="77777777" w:rsidR="009D09E8" w:rsidRPr="00803F05" w:rsidRDefault="009D09E8" w:rsidP="0095109F">
            <w:pPr>
              <w:pStyle w:val="Table"/>
              <w:rPr>
                <w:rStyle w:val="Small"/>
              </w:rPr>
            </w:pPr>
            <w:r w:rsidRPr="00803F05">
              <w:rPr>
                <w:rStyle w:val="Small"/>
              </w:rPr>
              <w:t>Cost/LY</w:t>
            </w:r>
          </w:p>
        </w:tc>
        <w:tc>
          <w:tcPr>
            <w:tcW w:w="2392" w:type="pct"/>
            <w:gridSpan w:val="3"/>
            <w:vMerge w:val="restart"/>
            <w:noWrap/>
          </w:tcPr>
          <w:p w14:paraId="0298D707" w14:textId="77777777" w:rsidR="009D09E8" w:rsidRPr="00803F05" w:rsidRDefault="009D09E8" w:rsidP="0095109F">
            <w:pPr>
              <w:pStyle w:val="TableCentre"/>
              <w:rPr>
                <w:rStyle w:val="Small"/>
              </w:rPr>
            </w:pPr>
          </w:p>
        </w:tc>
        <w:tc>
          <w:tcPr>
            <w:tcW w:w="1765" w:type="pct"/>
            <w:gridSpan w:val="2"/>
          </w:tcPr>
          <w:p w14:paraId="3C7DEB0E" w14:textId="77777777" w:rsidR="009D09E8" w:rsidRPr="00803F05" w:rsidRDefault="009D09E8" w:rsidP="0095109F">
            <w:pPr>
              <w:pStyle w:val="TableCentre"/>
              <w:rPr>
                <w:rStyle w:val="Small"/>
              </w:rPr>
            </w:pPr>
            <w:r w:rsidRPr="00803F05">
              <w:t>$</w:t>
            </w:r>
            <w:r w:rsidR="00803F05" w:rsidRPr="00803F05">
              <w:rPr>
                <w:b/>
              </w:rPr>
              <w:t>redacted</w:t>
            </w:r>
          </w:p>
        </w:tc>
      </w:tr>
      <w:tr w:rsidR="009D09E8" w:rsidRPr="00803F05" w14:paraId="672060BB" w14:textId="77777777" w:rsidTr="00261A53">
        <w:trPr>
          <w:trHeight w:val="198"/>
        </w:trPr>
        <w:tc>
          <w:tcPr>
            <w:tcW w:w="842" w:type="pct"/>
            <w:noWrap/>
          </w:tcPr>
          <w:p w14:paraId="6FEFD067" w14:textId="77777777" w:rsidR="009D09E8" w:rsidRPr="00803F05" w:rsidRDefault="009D09E8" w:rsidP="0095109F">
            <w:pPr>
              <w:pStyle w:val="Table"/>
              <w:rPr>
                <w:rStyle w:val="Small"/>
              </w:rPr>
            </w:pPr>
            <w:r w:rsidRPr="00803F05">
              <w:rPr>
                <w:rStyle w:val="Small"/>
              </w:rPr>
              <w:t>Cost/QALY</w:t>
            </w:r>
          </w:p>
        </w:tc>
        <w:tc>
          <w:tcPr>
            <w:tcW w:w="2392" w:type="pct"/>
            <w:gridSpan w:val="3"/>
            <w:vMerge/>
            <w:noWrap/>
          </w:tcPr>
          <w:p w14:paraId="5E1AEE63" w14:textId="77777777" w:rsidR="009D09E8" w:rsidRPr="00803F05" w:rsidRDefault="009D09E8" w:rsidP="0095109F">
            <w:pPr>
              <w:pStyle w:val="TableCentre"/>
              <w:rPr>
                <w:rStyle w:val="Small"/>
              </w:rPr>
            </w:pPr>
          </w:p>
        </w:tc>
        <w:tc>
          <w:tcPr>
            <w:tcW w:w="1765" w:type="pct"/>
            <w:gridSpan w:val="2"/>
          </w:tcPr>
          <w:p w14:paraId="4A382641" w14:textId="77777777" w:rsidR="009D09E8" w:rsidRPr="00803F05" w:rsidRDefault="009D09E8" w:rsidP="0095109F">
            <w:pPr>
              <w:pStyle w:val="TableCentre"/>
              <w:rPr>
                <w:rStyle w:val="Small"/>
              </w:rPr>
            </w:pPr>
            <w:r w:rsidRPr="00803F05">
              <w:t>$</w:t>
            </w:r>
            <w:proofErr w:type="spellStart"/>
            <w:r w:rsidR="00803F05" w:rsidRPr="00803F05">
              <w:rPr>
                <w:b/>
              </w:rPr>
              <w:t>redacted</w:t>
            </w:r>
            <w:r w:rsidR="00803F05" w:rsidRPr="00803F05">
              <w:rPr>
                <w:b/>
                <w:vertAlign w:val="superscript"/>
              </w:rPr>
              <w:t>a</w:t>
            </w:r>
            <w:proofErr w:type="spellEnd"/>
          </w:p>
        </w:tc>
      </w:tr>
      <w:tr w:rsidR="009D09E8" w:rsidRPr="00803F05" w14:paraId="0183CE29" w14:textId="77777777" w:rsidTr="00261A53">
        <w:trPr>
          <w:trHeight w:val="198"/>
        </w:trPr>
        <w:tc>
          <w:tcPr>
            <w:tcW w:w="842" w:type="pct"/>
            <w:noWrap/>
          </w:tcPr>
          <w:p w14:paraId="602BCCF5" w14:textId="77777777" w:rsidR="009D09E8" w:rsidRPr="00803F05" w:rsidRDefault="009D09E8" w:rsidP="0095109F">
            <w:pPr>
              <w:pStyle w:val="Table"/>
              <w:rPr>
                <w:rStyle w:val="Small"/>
              </w:rPr>
            </w:pPr>
            <w:r w:rsidRPr="00803F05">
              <w:rPr>
                <w:rStyle w:val="Small"/>
              </w:rPr>
              <w:t>Weighted</w:t>
            </w:r>
          </w:p>
        </w:tc>
        <w:tc>
          <w:tcPr>
            <w:tcW w:w="2392" w:type="pct"/>
            <w:gridSpan w:val="3"/>
            <w:noWrap/>
          </w:tcPr>
          <w:p w14:paraId="0B62C9D8" w14:textId="77777777" w:rsidR="009D09E8" w:rsidRPr="00803F05" w:rsidRDefault="009D09E8" w:rsidP="0095109F">
            <w:pPr>
              <w:pStyle w:val="TableCentre"/>
              <w:rPr>
                <w:rStyle w:val="Small"/>
              </w:rPr>
            </w:pPr>
            <w:r w:rsidRPr="00803F05">
              <w:rPr>
                <w:rStyle w:val="Small"/>
              </w:rPr>
              <w:t>Assumed weights</w:t>
            </w:r>
          </w:p>
        </w:tc>
        <w:tc>
          <w:tcPr>
            <w:tcW w:w="1765" w:type="pct"/>
            <w:gridSpan w:val="2"/>
          </w:tcPr>
          <w:p w14:paraId="67E61A17" w14:textId="77777777" w:rsidR="009D09E8" w:rsidRPr="00803F05" w:rsidRDefault="009D09E8" w:rsidP="0095109F">
            <w:pPr>
              <w:pStyle w:val="TableCentre"/>
              <w:rPr>
                <w:rStyle w:val="Small"/>
              </w:rPr>
            </w:pPr>
            <w:r w:rsidRPr="00803F05">
              <w:rPr>
                <w:rStyle w:val="Small"/>
              </w:rPr>
              <w:t>Cost/QALY</w:t>
            </w:r>
          </w:p>
        </w:tc>
      </w:tr>
      <w:tr w:rsidR="009D09E8" w:rsidRPr="00803F05" w14:paraId="7333B179" w14:textId="77777777" w:rsidTr="00261A53">
        <w:trPr>
          <w:trHeight w:val="198"/>
        </w:trPr>
        <w:tc>
          <w:tcPr>
            <w:tcW w:w="842" w:type="pct"/>
            <w:noWrap/>
          </w:tcPr>
          <w:p w14:paraId="38889A4A" w14:textId="77777777" w:rsidR="009D09E8" w:rsidRPr="00803F05" w:rsidRDefault="009D09E8" w:rsidP="0095109F">
            <w:pPr>
              <w:pStyle w:val="Table"/>
              <w:rPr>
                <w:rStyle w:val="Small"/>
              </w:rPr>
            </w:pPr>
            <w:proofErr w:type="spellStart"/>
            <w:r w:rsidRPr="00803F05">
              <w:rPr>
                <w:rStyle w:val="Small"/>
              </w:rPr>
              <w:t>pALL</w:t>
            </w:r>
            <w:proofErr w:type="spellEnd"/>
            <w:r w:rsidRPr="00803F05">
              <w:rPr>
                <w:rStyle w:val="Small"/>
              </w:rPr>
              <w:t xml:space="preserve"> comparators</w:t>
            </w:r>
          </w:p>
        </w:tc>
        <w:tc>
          <w:tcPr>
            <w:tcW w:w="2392" w:type="pct"/>
            <w:gridSpan w:val="3"/>
            <w:noWrap/>
          </w:tcPr>
          <w:p w14:paraId="6B93E6D7" w14:textId="77777777" w:rsidR="009D09E8" w:rsidRPr="00803F05" w:rsidRDefault="00803F05" w:rsidP="0095109F">
            <w:pPr>
              <w:pStyle w:val="TableCentre"/>
              <w:rPr>
                <w:rStyle w:val="Small"/>
              </w:rPr>
            </w:pPr>
            <w:r w:rsidRPr="00803F05">
              <w:rPr>
                <w:b/>
              </w:rPr>
              <w:t>redacted</w:t>
            </w:r>
          </w:p>
        </w:tc>
        <w:tc>
          <w:tcPr>
            <w:tcW w:w="1765" w:type="pct"/>
            <w:gridSpan w:val="2"/>
          </w:tcPr>
          <w:p w14:paraId="240BC93B" w14:textId="77777777" w:rsidR="009D09E8" w:rsidRPr="00803F05" w:rsidRDefault="009D09E8" w:rsidP="0095109F">
            <w:pPr>
              <w:pStyle w:val="TableCentre"/>
              <w:rPr>
                <w:rStyle w:val="Small"/>
              </w:rPr>
            </w:pPr>
            <w:r w:rsidRPr="00803F05">
              <w:rPr>
                <w:rStyle w:val="Small"/>
              </w:rPr>
              <w:t>$</w:t>
            </w:r>
            <w:proofErr w:type="spellStart"/>
            <w:r w:rsidR="00803F05" w:rsidRPr="00803F05">
              <w:rPr>
                <w:b/>
              </w:rPr>
              <w:t>redacted</w:t>
            </w:r>
            <w:r w:rsidR="00803F05" w:rsidRPr="00803F05">
              <w:rPr>
                <w:b/>
                <w:vertAlign w:val="superscript"/>
              </w:rPr>
              <w:t>b</w:t>
            </w:r>
            <w:proofErr w:type="spellEnd"/>
          </w:p>
        </w:tc>
      </w:tr>
      <w:tr w:rsidR="009D09E8" w:rsidRPr="00803F05" w14:paraId="2BF94403" w14:textId="77777777" w:rsidTr="00261A53">
        <w:trPr>
          <w:trHeight w:val="198"/>
        </w:trPr>
        <w:tc>
          <w:tcPr>
            <w:tcW w:w="842" w:type="pct"/>
            <w:noWrap/>
          </w:tcPr>
          <w:p w14:paraId="212C7561" w14:textId="77777777" w:rsidR="009D09E8" w:rsidRPr="00803F05" w:rsidRDefault="009D09E8" w:rsidP="0095109F">
            <w:pPr>
              <w:pStyle w:val="Table"/>
              <w:rPr>
                <w:rStyle w:val="Small"/>
              </w:rPr>
            </w:pPr>
            <w:r w:rsidRPr="00803F05">
              <w:rPr>
                <w:rStyle w:val="Small"/>
              </w:rPr>
              <w:t>Indications</w:t>
            </w:r>
          </w:p>
        </w:tc>
        <w:tc>
          <w:tcPr>
            <w:tcW w:w="2392" w:type="pct"/>
            <w:gridSpan w:val="3"/>
            <w:noWrap/>
          </w:tcPr>
          <w:p w14:paraId="419FDEFB" w14:textId="77777777" w:rsidR="009D09E8" w:rsidRPr="00803F05" w:rsidRDefault="00803F05" w:rsidP="0095109F">
            <w:pPr>
              <w:pStyle w:val="TableCentre"/>
              <w:rPr>
                <w:rStyle w:val="Small"/>
              </w:rPr>
            </w:pPr>
            <w:r w:rsidRPr="00803F05">
              <w:rPr>
                <w:b/>
              </w:rPr>
              <w:t>redacted</w:t>
            </w:r>
          </w:p>
        </w:tc>
        <w:tc>
          <w:tcPr>
            <w:tcW w:w="1765" w:type="pct"/>
            <w:gridSpan w:val="2"/>
          </w:tcPr>
          <w:p w14:paraId="2D3A2DBC" w14:textId="77777777" w:rsidR="009D09E8" w:rsidRPr="00803F05" w:rsidRDefault="009D09E8" w:rsidP="0095109F">
            <w:pPr>
              <w:pStyle w:val="TableCentre"/>
              <w:rPr>
                <w:rStyle w:val="Small"/>
              </w:rPr>
            </w:pPr>
            <w:r w:rsidRPr="00803F05">
              <w:rPr>
                <w:rStyle w:val="Small"/>
              </w:rPr>
              <w:t>$</w:t>
            </w:r>
            <w:r w:rsidR="00803F05" w:rsidRPr="00803F05">
              <w:rPr>
                <w:b/>
              </w:rPr>
              <w:t>redacted</w:t>
            </w:r>
          </w:p>
        </w:tc>
      </w:tr>
    </w:tbl>
    <w:p w14:paraId="14B30235" w14:textId="77777777" w:rsidR="001D7A2B" w:rsidRPr="00803F05" w:rsidRDefault="001D7A2B" w:rsidP="0049090C">
      <w:pPr>
        <w:pStyle w:val="CaptionFootnote"/>
        <w:rPr>
          <w:rFonts w:ascii="Arial Narrow" w:hAnsi="Arial Narrow"/>
          <w:sz w:val="18"/>
        </w:rPr>
      </w:pPr>
      <w:proofErr w:type="gramStart"/>
      <w:r w:rsidRPr="00803F05">
        <w:rPr>
          <w:rFonts w:ascii="Arial Narrow" w:hAnsi="Arial Narrow"/>
          <w:sz w:val="18"/>
          <w:vertAlign w:val="superscript"/>
        </w:rPr>
        <w:t>a</w:t>
      </w:r>
      <w:proofErr w:type="gramEnd"/>
      <w:r w:rsidRPr="00803F05">
        <w:rPr>
          <w:rFonts w:ascii="Arial Narrow" w:hAnsi="Arial Narrow"/>
          <w:sz w:val="18"/>
        </w:rPr>
        <w:t xml:space="preserve"> </w:t>
      </w:r>
      <w:r w:rsidR="00803F05" w:rsidRPr="00803F05">
        <w:rPr>
          <w:b/>
        </w:rPr>
        <w:t>redacted</w:t>
      </w:r>
    </w:p>
    <w:p w14:paraId="326859EF" w14:textId="77777777" w:rsidR="001D7A2B" w:rsidRDefault="001D7A2B" w:rsidP="001D7A2B">
      <w:pPr>
        <w:pStyle w:val="CaptionFootnote"/>
        <w:rPr>
          <w:rFonts w:ascii="Arial Narrow" w:hAnsi="Arial Narrow"/>
          <w:sz w:val="18"/>
        </w:rPr>
      </w:pPr>
      <w:proofErr w:type="gramStart"/>
      <w:r w:rsidRPr="00803F05">
        <w:rPr>
          <w:rFonts w:ascii="Arial Narrow" w:hAnsi="Arial Narrow"/>
          <w:sz w:val="18"/>
          <w:vertAlign w:val="superscript"/>
        </w:rPr>
        <w:t>b</w:t>
      </w:r>
      <w:proofErr w:type="gramEnd"/>
      <w:r w:rsidRPr="00803F05">
        <w:rPr>
          <w:rFonts w:ascii="Arial Narrow" w:hAnsi="Arial Narrow"/>
          <w:sz w:val="18"/>
        </w:rPr>
        <w:t xml:space="preserve"> </w:t>
      </w:r>
      <w:r w:rsidR="00803F05" w:rsidRPr="00803F05">
        <w:rPr>
          <w:b/>
        </w:rPr>
        <w:t>redacted</w:t>
      </w:r>
    </w:p>
    <w:p w14:paraId="684F05E1" w14:textId="77777777" w:rsidR="009D09E8" w:rsidRPr="000C0372" w:rsidRDefault="0049090C" w:rsidP="000C0372">
      <w:pPr>
        <w:pStyle w:val="CaptionFootnote"/>
        <w:spacing w:after="240"/>
        <w:rPr>
          <w:rFonts w:ascii="Arial Narrow" w:hAnsi="Arial Narrow"/>
          <w:sz w:val="18"/>
        </w:rPr>
      </w:pPr>
      <w:r w:rsidRPr="00193153">
        <w:rPr>
          <w:rFonts w:ascii="Arial Narrow" w:hAnsi="Arial Narrow"/>
          <w:sz w:val="18"/>
        </w:rPr>
        <w:t xml:space="preserve">Abbreviations: </w:t>
      </w:r>
      <w:r>
        <w:rPr>
          <w:rFonts w:ascii="Arial Narrow" w:hAnsi="Arial Narrow"/>
          <w:sz w:val="18"/>
        </w:rPr>
        <w:t xml:space="preserve">BLN = blinatumomab; DLBCL = </w:t>
      </w:r>
      <w:r w:rsidR="00DB73B5">
        <w:rPr>
          <w:rFonts w:ascii="Arial Narrow" w:hAnsi="Arial Narrow"/>
          <w:sz w:val="18"/>
        </w:rPr>
        <w:t xml:space="preserve">diffuse large B-cell lymphoma; </w:t>
      </w:r>
      <w:r>
        <w:rPr>
          <w:rFonts w:ascii="Arial Narrow" w:hAnsi="Arial Narrow"/>
          <w:sz w:val="18"/>
        </w:rPr>
        <w:t xml:space="preserve">LY = life year; QALY = quality-adjusted life-year; </w:t>
      </w:r>
      <w:proofErr w:type="spellStart"/>
      <w:r w:rsidR="00DB73B5">
        <w:rPr>
          <w:rFonts w:ascii="Arial Narrow" w:hAnsi="Arial Narrow"/>
          <w:sz w:val="18"/>
        </w:rPr>
        <w:t>pALL</w:t>
      </w:r>
      <w:proofErr w:type="spellEnd"/>
      <w:r w:rsidR="00DB73B5">
        <w:rPr>
          <w:rFonts w:ascii="Arial Narrow" w:hAnsi="Arial Narrow"/>
          <w:sz w:val="18"/>
        </w:rPr>
        <w:t xml:space="preserve"> = paediatric acute lymphocytic leukaemia; </w:t>
      </w:r>
      <w:r>
        <w:rPr>
          <w:rFonts w:ascii="Arial Narrow" w:hAnsi="Arial Narrow"/>
          <w:sz w:val="18"/>
        </w:rPr>
        <w:t>SCR = salvage chemotherapy regimen; TIS = tisagenlecleucel</w:t>
      </w:r>
    </w:p>
    <w:p w14:paraId="3AA183B2" w14:textId="77777777" w:rsidR="009D09E8" w:rsidRDefault="009D09E8" w:rsidP="009D09E8">
      <w:r>
        <w:t xml:space="preserve">The </w:t>
      </w:r>
      <w:r w:rsidR="00F1625B">
        <w:t>application</w:t>
      </w:r>
      <w:r>
        <w:t xml:space="preserve"> stated that one-way sensitivity analysis showed that both models </w:t>
      </w:r>
      <w:r w:rsidR="009248EC">
        <w:t xml:space="preserve">were relatively </w:t>
      </w:r>
      <w:r w:rsidR="009248EC" w:rsidRPr="008350BF">
        <w:t xml:space="preserve">sensitive to the </w:t>
      </w:r>
      <w:r w:rsidR="009248EC">
        <w:t>key event</w:t>
      </w:r>
      <w:r w:rsidR="00DB73B5">
        <w:t>-</w:t>
      </w:r>
      <w:r w:rsidR="009248EC">
        <w:t>/progression</w:t>
      </w:r>
      <w:r w:rsidR="00DB73B5">
        <w:t>-</w:t>
      </w:r>
      <w:r w:rsidR="009248EC">
        <w:t xml:space="preserve">free and overall </w:t>
      </w:r>
      <w:r w:rsidR="009248EC" w:rsidRPr="008350BF">
        <w:t xml:space="preserve">survival </w:t>
      </w:r>
      <w:r w:rsidR="009248EC">
        <w:t>modelling approaches and parameters, the total cost of the intervention/comparator, and the discount rate and time horizon.</w:t>
      </w:r>
    </w:p>
    <w:p w14:paraId="61462046" w14:textId="77777777" w:rsidR="00BC1364" w:rsidRPr="00F715D1" w:rsidRDefault="00BC1364" w:rsidP="00F715D1">
      <w:pPr>
        <w:pStyle w:val="Heading1"/>
      </w:pPr>
      <w:r w:rsidRPr="00F715D1">
        <w:t>Financial/budgetary impacts</w:t>
      </w:r>
    </w:p>
    <w:p w14:paraId="5A510AC0" w14:textId="77777777" w:rsidR="007C7241" w:rsidRPr="00EC2DC8" w:rsidRDefault="007C7241" w:rsidP="00A21401">
      <w:pPr>
        <w:keepNext/>
        <w:spacing w:after="120"/>
        <w:rPr>
          <w:b/>
          <w:i/>
        </w:rPr>
      </w:pPr>
      <w:r w:rsidRPr="00EC2DC8">
        <w:rPr>
          <w:b/>
          <w:i/>
        </w:rPr>
        <w:t>March 2019 MSAC consideration</w:t>
      </w:r>
    </w:p>
    <w:p w14:paraId="7216421C" w14:textId="77777777" w:rsidR="007C7241" w:rsidRDefault="007C7241" w:rsidP="007C7241">
      <w:r>
        <w:t xml:space="preserve">An epidemiological approach used in the original submission </w:t>
      </w:r>
      <w:proofErr w:type="gramStart"/>
      <w:r>
        <w:t>has been maintained</w:t>
      </w:r>
      <w:proofErr w:type="gramEnd"/>
      <w:r>
        <w:t xml:space="preserve"> and is considered the most suitable method to estimate the numbers of eligible patients</w:t>
      </w:r>
      <w:r w:rsidR="00F62A9D">
        <w:t xml:space="preserve"> </w:t>
      </w:r>
      <w:r w:rsidR="00F62A9D" w:rsidRPr="0069270C">
        <w:t xml:space="preserve">with r/r </w:t>
      </w:r>
      <w:proofErr w:type="spellStart"/>
      <w:r w:rsidR="00F62A9D" w:rsidRPr="0069270C">
        <w:t>pALL</w:t>
      </w:r>
      <w:proofErr w:type="spellEnd"/>
      <w:r>
        <w:t>:</w:t>
      </w:r>
    </w:p>
    <w:p w14:paraId="5AF32E9F" w14:textId="77777777" w:rsidR="007C7241" w:rsidRDefault="007C7241" w:rsidP="009C1DCD">
      <w:pPr>
        <w:pStyle w:val="ListParagraph"/>
        <w:numPr>
          <w:ilvl w:val="0"/>
          <w:numId w:val="42"/>
        </w:numPr>
        <w:spacing w:after="120"/>
      </w:pPr>
      <w:r>
        <w:t>A conservative estimate of prevalent patients has been included in the eligible population, noting the MSAC’s view that the overall numbers of eligible patients in the original submission were likely overestimates;</w:t>
      </w:r>
    </w:p>
    <w:p w14:paraId="3E506CBE" w14:textId="77777777" w:rsidR="007C7241" w:rsidRDefault="007C7241" w:rsidP="009C1DCD">
      <w:pPr>
        <w:pStyle w:val="ListParagraph"/>
        <w:numPr>
          <w:ilvl w:val="0"/>
          <w:numId w:val="42"/>
        </w:numPr>
        <w:spacing w:after="120"/>
      </w:pPr>
      <w:r>
        <w:t xml:space="preserve">The proportion of patients who relapse after receiving </w:t>
      </w:r>
      <w:proofErr w:type="spellStart"/>
      <w:r>
        <w:t>allo</w:t>
      </w:r>
      <w:proofErr w:type="spellEnd"/>
      <w:r>
        <w:t>-SCT is explicitly modelled within the total eligible population, based on estimates provided by MSAC in the PSD;</w:t>
      </w:r>
    </w:p>
    <w:p w14:paraId="2E688CD7" w14:textId="07778AFA" w:rsidR="007C7241" w:rsidRDefault="007C7241" w:rsidP="009C1DCD">
      <w:pPr>
        <w:pStyle w:val="ListParagraph"/>
        <w:numPr>
          <w:ilvl w:val="0"/>
          <w:numId w:val="42"/>
        </w:numPr>
        <w:spacing w:after="120"/>
      </w:pPr>
      <w:r>
        <w:t>The proportion of patients with relapsed disease is increased to the upper estimate from Nguyen 2008 (25%), in order to better reflect the expected relative proportion of re</w:t>
      </w:r>
      <w:r w:rsidR="005C1CE9">
        <w:t>lapsed patients that do no</w:t>
      </w:r>
      <w:r>
        <w:t xml:space="preserve">t receive an </w:t>
      </w:r>
      <w:proofErr w:type="spellStart"/>
      <w:r>
        <w:t>allo</w:t>
      </w:r>
      <w:proofErr w:type="spellEnd"/>
      <w:r>
        <w:t>-SCT versus those that do based on the estimates provided by MSAC;</w:t>
      </w:r>
    </w:p>
    <w:p w14:paraId="7BEFE972" w14:textId="73FDAC7A" w:rsidR="007C7241" w:rsidRPr="009C1DCD" w:rsidRDefault="007C7241" w:rsidP="009C1DCD">
      <w:pPr>
        <w:pStyle w:val="ListParagraph"/>
        <w:numPr>
          <w:ilvl w:val="0"/>
          <w:numId w:val="42"/>
        </w:numPr>
        <w:spacing w:after="120"/>
      </w:pPr>
      <w:r>
        <w:t xml:space="preserve">The rate of successful infusion applied to the eligible population has been changed </w:t>
      </w:r>
      <w:r w:rsidRPr="009C1DCD">
        <w:t xml:space="preserve">from </w:t>
      </w:r>
      <w:r w:rsidR="00962E24" w:rsidRPr="009C1DCD">
        <w:rPr>
          <w:b/>
        </w:rPr>
        <w:t>redacted</w:t>
      </w:r>
      <w:r w:rsidRPr="009C1DCD">
        <w:t>;</w:t>
      </w:r>
    </w:p>
    <w:p w14:paraId="3DDBB659" w14:textId="77777777" w:rsidR="007C7241" w:rsidRDefault="007C7241" w:rsidP="009C1DCD">
      <w:pPr>
        <w:pStyle w:val="ListParagraph"/>
        <w:numPr>
          <w:ilvl w:val="0"/>
          <w:numId w:val="42"/>
        </w:numPr>
        <w:spacing w:after="120"/>
      </w:pPr>
      <w:r>
        <w:t>The rate of CAR-T uptake after Year 3 has been increased to better reflect the expected uptake of a potentially curative treatment addressing a large unmet clinical need;</w:t>
      </w:r>
    </w:p>
    <w:p w14:paraId="30EF3898" w14:textId="77777777" w:rsidR="007C7241" w:rsidRDefault="007C7241" w:rsidP="009C1DCD">
      <w:pPr>
        <w:pStyle w:val="ListParagraph"/>
        <w:numPr>
          <w:ilvl w:val="0"/>
          <w:numId w:val="42"/>
        </w:numPr>
        <w:spacing w:after="120"/>
      </w:pPr>
      <w:r>
        <w:t xml:space="preserve">The costs of prolonged </w:t>
      </w:r>
      <w:proofErr w:type="spellStart"/>
      <w:r>
        <w:t>IVIg</w:t>
      </w:r>
      <w:proofErr w:type="spellEnd"/>
      <w:r>
        <w:t xml:space="preserve"> administration have been incorporated, consistent with the revised economic evaluation; and</w:t>
      </w:r>
    </w:p>
    <w:p w14:paraId="3D859540" w14:textId="41EEE782" w:rsidR="007C7241" w:rsidRDefault="007C7241" w:rsidP="009C1DCD">
      <w:pPr>
        <w:pStyle w:val="ListParagraph"/>
        <w:numPr>
          <w:ilvl w:val="0"/>
          <w:numId w:val="42"/>
        </w:numPr>
        <w:spacing w:after="120" w:line="276" w:lineRule="auto"/>
      </w:pPr>
      <w:r w:rsidRPr="00154F2B">
        <w:t xml:space="preserve">Cost estimates have been refined </w:t>
      </w:r>
      <w:proofErr w:type="gramStart"/>
      <w:r w:rsidRPr="00154F2B">
        <w:t>to separately consider</w:t>
      </w:r>
      <w:proofErr w:type="gramEnd"/>
      <w:r w:rsidRPr="00154F2B">
        <w:t xml:space="preserve"> infused and non-infused patients, explicitly assuming that Novartis will not receive any funding for the l</w:t>
      </w:r>
      <w:r>
        <w:t>atter group.</w:t>
      </w:r>
      <w:r w:rsidR="009C1DCD">
        <w:br w:type="page"/>
      </w:r>
    </w:p>
    <w:p w14:paraId="0E0C48EA" w14:textId="77777777" w:rsidR="007C7241" w:rsidRDefault="007C7241" w:rsidP="007C7241">
      <w:pPr>
        <w:spacing w:after="120" w:line="276" w:lineRule="auto"/>
        <w:rPr>
          <w:i/>
          <w:u w:val="single"/>
        </w:rPr>
      </w:pPr>
      <w:r w:rsidRPr="00E27D07">
        <w:rPr>
          <w:i/>
          <w:u w:val="single"/>
        </w:rPr>
        <w:lastRenderedPageBreak/>
        <w:t>Population criteria</w:t>
      </w:r>
    </w:p>
    <w:p w14:paraId="0855E811" w14:textId="77777777" w:rsidR="007C7241" w:rsidRDefault="007C7241" w:rsidP="007C7241">
      <w:r>
        <w:t>Novartis agrees with the MSAC</w:t>
      </w:r>
      <w:r w:rsidRPr="006949D4">
        <w:t xml:space="preserve"> that</w:t>
      </w:r>
      <w:r>
        <w:t>, consistent with independent expert clinical advice at the hearing for the November 2018 meeting and the TGA delegate’s overview:</w:t>
      </w:r>
    </w:p>
    <w:p w14:paraId="62B48A59" w14:textId="77777777" w:rsidR="007C7241" w:rsidRDefault="007C7241" w:rsidP="007C7241">
      <w:pPr>
        <w:pStyle w:val="ListParagraph"/>
        <w:numPr>
          <w:ilvl w:val="0"/>
          <w:numId w:val="44"/>
        </w:numPr>
        <w:spacing w:after="120" w:line="276" w:lineRule="auto"/>
      </w:pPr>
      <w:r w:rsidRPr="006949D4">
        <w:t xml:space="preserve">the </w:t>
      </w:r>
      <w:r>
        <w:t>lower limit of 3 years of age should be omitted as an exclusion from any funding arrangement</w:t>
      </w:r>
    </w:p>
    <w:p w14:paraId="432C5EAF" w14:textId="77777777" w:rsidR="007C7241" w:rsidRDefault="007C7241" w:rsidP="007C7241">
      <w:pPr>
        <w:pStyle w:val="ListParagraph"/>
        <w:numPr>
          <w:ilvl w:val="0"/>
          <w:numId w:val="44"/>
        </w:numPr>
        <w:spacing w:after="120" w:line="276" w:lineRule="auto"/>
      </w:pPr>
      <w:r>
        <w:t>patients who have had prior CD19 therapy should be eligible, and</w:t>
      </w:r>
    </w:p>
    <w:p w14:paraId="18393E10" w14:textId="77777777" w:rsidR="007C7241" w:rsidRPr="006949D4" w:rsidRDefault="007C7241" w:rsidP="007C7241">
      <w:pPr>
        <w:pStyle w:val="ListParagraph"/>
        <w:numPr>
          <w:ilvl w:val="0"/>
          <w:numId w:val="44"/>
        </w:numPr>
        <w:spacing w:after="120" w:line="276" w:lineRule="auto"/>
      </w:pPr>
      <w:r>
        <w:t>the lower limit to define relapse before TIS would be morphological evidence of disease only (</w:t>
      </w:r>
      <w:proofErr w:type="spellStart"/>
      <w:r>
        <w:t>i.e</w:t>
      </w:r>
      <w:proofErr w:type="spellEnd"/>
      <w:r>
        <w:t xml:space="preserve"> not minimal residual disease)</w:t>
      </w:r>
    </w:p>
    <w:p w14:paraId="670EA129" w14:textId="77777777" w:rsidR="007C7241" w:rsidRDefault="007C7241" w:rsidP="00CF2123">
      <w:pPr>
        <w:spacing w:after="240"/>
      </w:pPr>
      <w:r>
        <w:t xml:space="preserve">The criteria above </w:t>
      </w:r>
      <w:proofErr w:type="gramStart"/>
      <w:r>
        <w:t>are not expected</w:t>
      </w:r>
      <w:proofErr w:type="gramEnd"/>
      <w:r>
        <w:t xml:space="preserve"> to significantly change the financial estimates.</w:t>
      </w:r>
    </w:p>
    <w:p w14:paraId="37498853" w14:textId="77777777" w:rsidR="007C7241" w:rsidRPr="00E27D07" w:rsidRDefault="007C7241" w:rsidP="00A21401">
      <w:pPr>
        <w:spacing w:after="120"/>
        <w:rPr>
          <w:i/>
          <w:u w:val="single"/>
        </w:rPr>
      </w:pPr>
      <w:r w:rsidRPr="00E27D07">
        <w:rPr>
          <w:i/>
          <w:u w:val="single"/>
        </w:rPr>
        <w:t xml:space="preserve">Financial </w:t>
      </w:r>
      <w:r>
        <w:rPr>
          <w:i/>
          <w:u w:val="single"/>
        </w:rPr>
        <w:t>estimates</w:t>
      </w:r>
    </w:p>
    <w:p w14:paraId="1AFF973F" w14:textId="4B6DDC24" w:rsidR="007C7241" w:rsidRPr="009C1DCD" w:rsidRDefault="007C7241" w:rsidP="00CF2123">
      <w:pPr>
        <w:spacing w:after="240"/>
      </w:pPr>
      <w:r>
        <w:t>Taking into account the changes above, as well as a reduction</w:t>
      </w:r>
      <w:r w:rsidRPr="005A767C">
        <w:t xml:space="preserve"> </w:t>
      </w:r>
      <w:r>
        <w:t xml:space="preserve">in the </w:t>
      </w:r>
      <w:r w:rsidRPr="005A767C">
        <w:t>effective price of TIS</w:t>
      </w:r>
      <w:r>
        <w:t xml:space="preserve">, the </w:t>
      </w:r>
      <w:r w:rsidRPr="005A767C">
        <w:t xml:space="preserve">estimated net cost to government of funding TIS </w:t>
      </w:r>
      <w:r>
        <w:t xml:space="preserve">for the </w:t>
      </w:r>
      <w:proofErr w:type="spellStart"/>
      <w:r>
        <w:t>pALL</w:t>
      </w:r>
      <w:proofErr w:type="spellEnd"/>
      <w:r>
        <w:t xml:space="preserve"> indication </w:t>
      </w:r>
      <w:r w:rsidRPr="005A767C">
        <w:t xml:space="preserve">has reduced </w:t>
      </w:r>
      <w:r w:rsidRPr="009C1DCD">
        <w:t>from $</w:t>
      </w:r>
      <w:r w:rsidR="00962E24" w:rsidRPr="009C1DCD">
        <w:rPr>
          <w:b/>
        </w:rPr>
        <w:t>redacted</w:t>
      </w:r>
      <w:r w:rsidRPr="009C1DCD">
        <w:t xml:space="preserve"> over 6 years.</w:t>
      </w:r>
    </w:p>
    <w:p w14:paraId="5A59FD1D" w14:textId="56570A1B" w:rsidR="007C7241" w:rsidRPr="009C1DCD" w:rsidRDefault="00245C11" w:rsidP="00245C11">
      <w:pPr>
        <w:pStyle w:val="Caption"/>
      </w:pPr>
      <w:r w:rsidRPr="009C1DCD">
        <w:t xml:space="preserve">Table </w:t>
      </w:r>
      <w:r w:rsidR="0083734C" w:rsidRPr="009C1DCD">
        <w:rPr>
          <w:noProof/>
        </w:rPr>
        <w:fldChar w:fldCharType="begin"/>
      </w:r>
      <w:r w:rsidR="0083734C" w:rsidRPr="009C1DCD">
        <w:rPr>
          <w:noProof/>
        </w:rPr>
        <w:instrText xml:space="preserve"> SEQ Table \* ARABIC </w:instrText>
      </w:r>
      <w:r w:rsidR="0083734C" w:rsidRPr="009C1DCD">
        <w:rPr>
          <w:noProof/>
        </w:rPr>
        <w:fldChar w:fldCharType="separate"/>
      </w:r>
      <w:r w:rsidR="001E1B42">
        <w:rPr>
          <w:noProof/>
        </w:rPr>
        <w:t>11</w:t>
      </w:r>
      <w:r w:rsidR="0083734C" w:rsidRPr="009C1DCD">
        <w:rPr>
          <w:noProof/>
        </w:rPr>
        <w:fldChar w:fldCharType="end"/>
      </w:r>
      <w:r w:rsidRPr="009C1DCD">
        <w:tab/>
      </w:r>
      <w:r w:rsidR="00686E65" w:rsidRPr="009C1DCD">
        <w:t>Applicant e</w:t>
      </w:r>
      <w:r w:rsidR="007C7241" w:rsidRPr="009C1DCD">
        <w:t>stimated net financial implications for the Australian Government</w:t>
      </w:r>
    </w:p>
    <w:tbl>
      <w:tblPr>
        <w:tblStyle w:val="TableGrid1"/>
        <w:tblW w:w="9628" w:type="dxa"/>
        <w:tblCellMar>
          <w:left w:w="57" w:type="dxa"/>
          <w:right w:w="57" w:type="dxa"/>
        </w:tblCellMar>
        <w:tblLook w:val="04A0" w:firstRow="1" w:lastRow="0" w:firstColumn="1" w:lastColumn="0" w:noHBand="0" w:noVBand="1"/>
        <w:tblCaption w:val="Estimated net financial implications for the Australian Government"/>
        <w:tblDescription w:val="Financial results"/>
      </w:tblPr>
      <w:tblGrid>
        <w:gridCol w:w="1696"/>
        <w:gridCol w:w="1134"/>
        <w:gridCol w:w="1134"/>
        <w:gridCol w:w="1134"/>
        <w:gridCol w:w="1134"/>
        <w:gridCol w:w="1134"/>
        <w:gridCol w:w="1133"/>
        <w:gridCol w:w="1129"/>
      </w:tblGrid>
      <w:tr w:rsidR="007C7241" w:rsidRPr="009C1DCD" w14:paraId="3BB20691" w14:textId="77777777" w:rsidTr="003C3526">
        <w:trPr>
          <w:trHeight w:val="198"/>
          <w:tblHeader/>
        </w:trPr>
        <w:tc>
          <w:tcPr>
            <w:tcW w:w="1696" w:type="dxa"/>
            <w:shd w:val="clear" w:color="auto" w:fill="A6A6A6" w:themeFill="background1" w:themeFillShade="A6"/>
            <w:noWrap/>
            <w:hideMark/>
          </w:tcPr>
          <w:p w14:paraId="49502856" w14:textId="77777777" w:rsidR="007C7241" w:rsidRPr="009C1DCD" w:rsidRDefault="007C7241" w:rsidP="008E37FF">
            <w:pPr>
              <w:pStyle w:val="Table"/>
            </w:pPr>
            <w:r w:rsidRPr="009C1DCD">
              <w:t>Total Patients</w:t>
            </w:r>
          </w:p>
        </w:tc>
        <w:tc>
          <w:tcPr>
            <w:tcW w:w="1134" w:type="dxa"/>
            <w:shd w:val="clear" w:color="auto" w:fill="A6A6A6" w:themeFill="background1" w:themeFillShade="A6"/>
            <w:noWrap/>
            <w:hideMark/>
          </w:tcPr>
          <w:p w14:paraId="23284D2D" w14:textId="77777777" w:rsidR="007C7241" w:rsidRPr="009C1DCD" w:rsidRDefault="007C7241" w:rsidP="008E37FF">
            <w:pPr>
              <w:pStyle w:val="Table"/>
              <w:jc w:val="center"/>
            </w:pPr>
            <w:r w:rsidRPr="009C1DCD">
              <w:t>Year 1</w:t>
            </w:r>
          </w:p>
        </w:tc>
        <w:tc>
          <w:tcPr>
            <w:tcW w:w="1134" w:type="dxa"/>
            <w:shd w:val="clear" w:color="auto" w:fill="A6A6A6" w:themeFill="background1" w:themeFillShade="A6"/>
            <w:noWrap/>
            <w:hideMark/>
          </w:tcPr>
          <w:p w14:paraId="5C257A55" w14:textId="77777777" w:rsidR="007C7241" w:rsidRPr="009C1DCD" w:rsidRDefault="007C7241" w:rsidP="008E37FF">
            <w:pPr>
              <w:pStyle w:val="Table"/>
              <w:jc w:val="center"/>
            </w:pPr>
            <w:r w:rsidRPr="009C1DCD">
              <w:t>Year 2</w:t>
            </w:r>
          </w:p>
        </w:tc>
        <w:tc>
          <w:tcPr>
            <w:tcW w:w="1134" w:type="dxa"/>
            <w:shd w:val="clear" w:color="auto" w:fill="A6A6A6" w:themeFill="background1" w:themeFillShade="A6"/>
            <w:noWrap/>
            <w:hideMark/>
          </w:tcPr>
          <w:p w14:paraId="24D2F78E" w14:textId="77777777" w:rsidR="007C7241" w:rsidRPr="009C1DCD" w:rsidRDefault="007C7241" w:rsidP="008E37FF">
            <w:pPr>
              <w:pStyle w:val="Table"/>
              <w:jc w:val="center"/>
            </w:pPr>
            <w:r w:rsidRPr="009C1DCD">
              <w:t>Year 3</w:t>
            </w:r>
          </w:p>
        </w:tc>
        <w:tc>
          <w:tcPr>
            <w:tcW w:w="1134" w:type="dxa"/>
            <w:shd w:val="clear" w:color="auto" w:fill="A6A6A6" w:themeFill="background1" w:themeFillShade="A6"/>
            <w:noWrap/>
            <w:hideMark/>
          </w:tcPr>
          <w:p w14:paraId="4C6FD2E9" w14:textId="77777777" w:rsidR="007C7241" w:rsidRPr="009C1DCD" w:rsidRDefault="007C7241" w:rsidP="008E37FF">
            <w:pPr>
              <w:pStyle w:val="Table"/>
              <w:jc w:val="center"/>
            </w:pPr>
            <w:r w:rsidRPr="009C1DCD">
              <w:t>Year 4</w:t>
            </w:r>
          </w:p>
        </w:tc>
        <w:tc>
          <w:tcPr>
            <w:tcW w:w="1134" w:type="dxa"/>
            <w:shd w:val="clear" w:color="auto" w:fill="A6A6A6" w:themeFill="background1" w:themeFillShade="A6"/>
            <w:noWrap/>
            <w:hideMark/>
          </w:tcPr>
          <w:p w14:paraId="78FB03B1" w14:textId="77777777" w:rsidR="007C7241" w:rsidRPr="009C1DCD" w:rsidRDefault="007C7241" w:rsidP="008E37FF">
            <w:pPr>
              <w:pStyle w:val="Table"/>
              <w:jc w:val="center"/>
            </w:pPr>
            <w:r w:rsidRPr="009C1DCD">
              <w:t>Year 5</w:t>
            </w:r>
          </w:p>
        </w:tc>
        <w:tc>
          <w:tcPr>
            <w:tcW w:w="1133" w:type="dxa"/>
            <w:shd w:val="clear" w:color="auto" w:fill="A6A6A6" w:themeFill="background1" w:themeFillShade="A6"/>
            <w:noWrap/>
            <w:hideMark/>
          </w:tcPr>
          <w:p w14:paraId="50C98F57" w14:textId="77777777" w:rsidR="007C7241" w:rsidRPr="009C1DCD" w:rsidRDefault="007C7241" w:rsidP="008E37FF">
            <w:pPr>
              <w:pStyle w:val="Table"/>
              <w:jc w:val="center"/>
            </w:pPr>
            <w:r w:rsidRPr="009C1DCD">
              <w:t>Year 6</w:t>
            </w:r>
          </w:p>
        </w:tc>
        <w:tc>
          <w:tcPr>
            <w:tcW w:w="1129" w:type="dxa"/>
            <w:shd w:val="clear" w:color="auto" w:fill="A6A6A6" w:themeFill="background1" w:themeFillShade="A6"/>
            <w:noWrap/>
            <w:hideMark/>
          </w:tcPr>
          <w:p w14:paraId="5F8CE820" w14:textId="77777777" w:rsidR="007C7241" w:rsidRPr="009C1DCD" w:rsidRDefault="007C7241" w:rsidP="008E37FF">
            <w:pPr>
              <w:pStyle w:val="Table"/>
              <w:jc w:val="center"/>
            </w:pPr>
            <w:r w:rsidRPr="009C1DCD">
              <w:t>Total</w:t>
            </w:r>
          </w:p>
        </w:tc>
      </w:tr>
      <w:tr w:rsidR="007C7241" w:rsidRPr="009C1DCD" w14:paraId="31FB830C" w14:textId="77777777" w:rsidTr="008E37FF">
        <w:trPr>
          <w:trHeight w:val="198"/>
        </w:trPr>
        <w:tc>
          <w:tcPr>
            <w:tcW w:w="1696" w:type="dxa"/>
            <w:shd w:val="clear" w:color="auto" w:fill="auto"/>
            <w:noWrap/>
          </w:tcPr>
          <w:p w14:paraId="37B2B494" w14:textId="77777777" w:rsidR="007C7241" w:rsidRPr="009C1DCD" w:rsidRDefault="007C7241" w:rsidP="008E37FF">
            <w:pPr>
              <w:pStyle w:val="Table"/>
            </w:pPr>
            <w:r w:rsidRPr="009C1DCD">
              <w:t>Total infused patients</w:t>
            </w:r>
          </w:p>
        </w:tc>
        <w:tc>
          <w:tcPr>
            <w:tcW w:w="1134" w:type="dxa"/>
            <w:shd w:val="clear" w:color="auto" w:fill="auto"/>
            <w:noWrap/>
          </w:tcPr>
          <w:p w14:paraId="5DC66BAE" w14:textId="14492866" w:rsidR="007C7241" w:rsidRPr="009C1DCD" w:rsidRDefault="00962E24" w:rsidP="008E37FF">
            <w:pPr>
              <w:pStyle w:val="Table"/>
              <w:jc w:val="center"/>
              <w:rPr>
                <w:b/>
              </w:rPr>
            </w:pPr>
            <w:r w:rsidRPr="009C1DCD">
              <w:rPr>
                <w:b/>
              </w:rPr>
              <w:t>redacted</w:t>
            </w:r>
          </w:p>
        </w:tc>
        <w:tc>
          <w:tcPr>
            <w:tcW w:w="1134" w:type="dxa"/>
            <w:shd w:val="clear" w:color="auto" w:fill="auto"/>
            <w:noWrap/>
          </w:tcPr>
          <w:p w14:paraId="201DCADA" w14:textId="2E4BB993" w:rsidR="007C7241" w:rsidRPr="009C1DCD" w:rsidRDefault="00962E24" w:rsidP="008E37FF">
            <w:pPr>
              <w:pStyle w:val="Table"/>
              <w:jc w:val="center"/>
            </w:pPr>
            <w:r w:rsidRPr="009C1DCD">
              <w:rPr>
                <w:b/>
              </w:rPr>
              <w:t>redacted</w:t>
            </w:r>
          </w:p>
        </w:tc>
        <w:tc>
          <w:tcPr>
            <w:tcW w:w="1134" w:type="dxa"/>
            <w:shd w:val="clear" w:color="auto" w:fill="auto"/>
            <w:noWrap/>
          </w:tcPr>
          <w:p w14:paraId="31FBE277" w14:textId="1C9707A2" w:rsidR="007C7241" w:rsidRPr="009C1DCD" w:rsidRDefault="00962E24" w:rsidP="008E37FF">
            <w:pPr>
              <w:pStyle w:val="Table"/>
              <w:jc w:val="center"/>
            </w:pPr>
            <w:r w:rsidRPr="009C1DCD">
              <w:rPr>
                <w:b/>
              </w:rPr>
              <w:t>redacted</w:t>
            </w:r>
          </w:p>
        </w:tc>
        <w:tc>
          <w:tcPr>
            <w:tcW w:w="1134" w:type="dxa"/>
            <w:shd w:val="clear" w:color="auto" w:fill="auto"/>
            <w:noWrap/>
          </w:tcPr>
          <w:p w14:paraId="272BBDD5" w14:textId="16E8C56E" w:rsidR="007C7241" w:rsidRPr="009C1DCD" w:rsidRDefault="00962E24" w:rsidP="008E37FF">
            <w:pPr>
              <w:pStyle w:val="Table"/>
              <w:jc w:val="center"/>
            </w:pPr>
            <w:r w:rsidRPr="009C1DCD">
              <w:rPr>
                <w:b/>
              </w:rPr>
              <w:t>redacted</w:t>
            </w:r>
          </w:p>
        </w:tc>
        <w:tc>
          <w:tcPr>
            <w:tcW w:w="1134" w:type="dxa"/>
            <w:shd w:val="clear" w:color="auto" w:fill="auto"/>
            <w:noWrap/>
          </w:tcPr>
          <w:p w14:paraId="541E5C9C" w14:textId="2076A1CB" w:rsidR="007C7241" w:rsidRPr="009C1DCD" w:rsidRDefault="00962E24" w:rsidP="008E37FF">
            <w:pPr>
              <w:pStyle w:val="Table"/>
              <w:jc w:val="center"/>
            </w:pPr>
            <w:r w:rsidRPr="009C1DCD">
              <w:rPr>
                <w:b/>
              </w:rPr>
              <w:t>redacted</w:t>
            </w:r>
          </w:p>
        </w:tc>
        <w:tc>
          <w:tcPr>
            <w:tcW w:w="1133" w:type="dxa"/>
            <w:shd w:val="clear" w:color="auto" w:fill="auto"/>
            <w:noWrap/>
          </w:tcPr>
          <w:p w14:paraId="2BD3AA69" w14:textId="5DE43F03" w:rsidR="007C7241" w:rsidRPr="009C1DCD" w:rsidRDefault="00962E24" w:rsidP="008E37FF">
            <w:pPr>
              <w:pStyle w:val="Table"/>
              <w:jc w:val="center"/>
            </w:pPr>
            <w:r w:rsidRPr="009C1DCD">
              <w:rPr>
                <w:b/>
              </w:rPr>
              <w:t>redacted</w:t>
            </w:r>
          </w:p>
        </w:tc>
        <w:tc>
          <w:tcPr>
            <w:tcW w:w="1129" w:type="dxa"/>
            <w:shd w:val="clear" w:color="auto" w:fill="auto"/>
            <w:noWrap/>
          </w:tcPr>
          <w:p w14:paraId="723D3A89" w14:textId="4E26B35E" w:rsidR="007C7241" w:rsidRPr="009C1DCD" w:rsidRDefault="00962E24" w:rsidP="008E37FF">
            <w:pPr>
              <w:pStyle w:val="Table"/>
              <w:jc w:val="center"/>
            </w:pPr>
            <w:r w:rsidRPr="009C1DCD">
              <w:rPr>
                <w:b/>
              </w:rPr>
              <w:t>redacted</w:t>
            </w:r>
          </w:p>
        </w:tc>
      </w:tr>
      <w:tr w:rsidR="00962E24" w:rsidRPr="009C1DCD" w14:paraId="4BBB8651" w14:textId="77777777" w:rsidTr="008E37FF">
        <w:trPr>
          <w:trHeight w:val="198"/>
        </w:trPr>
        <w:tc>
          <w:tcPr>
            <w:tcW w:w="1696" w:type="dxa"/>
            <w:noWrap/>
          </w:tcPr>
          <w:p w14:paraId="18DF1EC8" w14:textId="77777777" w:rsidR="00962E24" w:rsidRPr="009C1DCD" w:rsidRDefault="00962E24" w:rsidP="00962E24">
            <w:pPr>
              <w:pStyle w:val="Table"/>
            </w:pPr>
            <w:r w:rsidRPr="009C1DCD">
              <w:t>TIS costs</w:t>
            </w:r>
          </w:p>
        </w:tc>
        <w:tc>
          <w:tcPr>
            <w:tcW w:w="1134" w:type="dxa"/>
            <w:noWrap/>
          </w:tcPr>
          <w:p w14:paraId="42AC93B5" w14:textId="7B7E7C5A" w:rsidR="00962E24" w:rsidRPr="009C1DCD" w:rsidRDefault="00962E24" w:rsidP="00962E24">
            <w:pPr>
              <w:pStyle w:val="Table"/>
              <w:jc w:val="center"/>
            </w:pPr>
            <w:r w:rsidRPr="009C1DCD">
              <w:t>$</w:t>
            </w:r>
            <w:r w:rsidRPr="009C1DCD">
              <w:rPr>
                <w:b/>
              </w:rPr>
              <w:t>redacted</w:t>
            </w:r>
          </w:p>
        </w:tc>
        <w:tc>
          <w:tcPr>
            <w:tcW w:w="1134" w:type="dxa"/>
            <w:noWrap/>
          </w:tcPr>
          <w:p w14:paraId="71AB514E" w14:textId="4539C034" w:rsidR="00962E24" w:rsidRPr="009C1DCD" w:rsidRDefault="00962E24" w:rsidP="00962E24">
            <w:pPr>
              <w:pStyle w:val="Table"/>
              <w:jc w:val="center"/>
            </w:pPr>
            <w:r w:rsidRPr="009C1DCD">
              <w:t>$</w:t>
            </w:r>
            <w:r w:rsidRPr="009C1DCD">
              <w:rPr>
                <w:b/>
              </w:rPr>
              <w:t>redacted</w:t>
            </w:r>
          </w:p>
        </w:tc>
        <w:tc>
          <w:tcPr>
            <w:tcW w:w="1134" w:type="dxa"/>
            <w:noWrap/>
          </w:tcPr>
          <w:p w14:paraId="545B1346" w14:textId="3E380128" w:rsidR="00962E24" w:rsidRPr="009C1DCD" w:rsidRDefault="00962E24" w:rsidP="00962E24">
            <w:pPr>
              <w:pStyle w:val="Table"/>
              <w:jc w:val="center"/>
            </w:pPr>
            <w:r w:rsidRPr="009C1DCD">
              <w:t>$</w:t>
            </w:r>
            <w:r w:rsidRPr="009C1DCD">
              <w:rPr>
                <w:b/>
              </w:rPr>
              <w:t>redacted</w:t>
            </w:r>
          </w:p>
        </w:tc>
        <w:tc>
          <w:tcPr>
            <w:tcW w:w="1134" w:type="dxa"/>
            <w:noWrap/>
          </w:tcPr>
          <w:p w14:paraId="44FF3AAC" w14:textId="2FA224B6" w:rsidR="00962E24" w:rsidRPr="009C1DCD" w:rsidRDefault="00962E24" w:rsidP="00962E24">
            <w:pPr>
              <w:pStyle w:val="Table"/>
              <w:jc w:val="center"/>
            </w:pPr>
            <w:r w:rsidRPr="009C1DCD">
              <w:t>$</w:t>
            </w:r>
            <w:r w:rsidRPr="009C1DCD">
              <w:rPr>
                <w:b/>
              </w:rPr>
              <w:t>redacted</w:t>
            </w:r>
          </w:p>
        </w:tc>
        <w:tc>
          <w:tcPr>
            <w:tcW w:w="1134" w:type="dxa"/>
            <w:noWrap/>
          </w:tcPr>
          <w:p w14:paraId="0E7AB4F3" w14:textId="6027DEE1" w:rsidR="00962E24" w:rsidRPr="009C1DCD" w:rsidRDefault="00962E24" w:rsidP="00962E24">
            <w:pPr>
              <w:pStyle w:val="Table"/>
              <w:jc w:val="center"/>
            </w:pPr>
            <w:r w:rsidRPr="009C1DCD">
              <w:t>$</w:t>
            </w:r>
            <w:r w:rsidRPr="009C1DCD">
              <w:rPr>
                <w:b/>
              </w:rPr>
              <w:t>redacted</w:t>
            </w:r>
          </w:p>
        </w:tc>
        <w:tc>
          <w:tcPr>
            <w:tcW w:w="1133" w:type="dxa"/>
            <w:noWrap/>
          </w:tcPr>
          <w:p w14:paraId="147C874D" w14:textId="75EC2D3E" w:rsidR="00962E24" w:rsidRPr="009C1DCD" w:rsidRDefault="00962E24" w:rsidP="00962E24">
            <w:pPr>
              <w:pStyle w:val="Table"/>
              <w:jc w:val="center"/>
            </w:pPr>
            <w:r w:rsidRPr="009C1DCD">
              <w:t>$</w:t>
            </w:r>
            <w:r w:rsidRPr="009C1DCD">
              <w:rPr>
                <w:b/>
              </w:rPr>
              <w:t>redacted</w:t>
            </w:r>
          </w:p>
        </w:tc>
        <w:tc>
          <w:tcPr>
            <w:tcW w:w="1129" w:type="dxa"/>
            <w:noWrap/>
          </w:tcPr>
          <w:p w14:paraId="085F5138" w14:textId="4813E63F" w:rsidR="00962E24" w:rsidRPr="009C1DCD" w:rsidRDefault="00962E24" w:rsidP="00962E24">
            <w:pPr>
              <w:pStyle w:val="Table"/>
              <w:jc w:val="center"/>
            </w:pPr>
            <w:r w:rsidRPr="009C1DCD">
              <w:t>$</w:t>
            </w:r>
            <w:r w:rsidRPr="009C1DCD">
              <w:rPr>
                <w:b/>
              </w:rPr>
              <w:t>redacted</w:t>
            </w:r>
          </w:p>
        </w:tc>
      </w:tr>
      <w:tr w:rsidR="00962E24" w:rsidRPr="009C1DCD" w14:paraId="5C5198E0" w14:textId="77777777" w:rsidTr="008E37FF">
        <w:trPr>
          <w:trHeight w:val="198"/>
        </w:trPr>
        <w:tc>
          <w:tcPr>
            <w:tcW w:w="1696" w:type="dxa"/>
            <w:noWrap/>
          </w:tcPr>
          <w:p w14:paraId="741CBB5F" w14:textId="77777777" w:rsidR="00962E24" w:rsidRPr="009C1DCD" w:rsidRDefault="00962E24" w:rsidP="00962E24">
            <w:pPr>
              <w:pStyle w:val="Table"/>
            </w:pPr>
            <w:r w:rsidRPr="009C1DCD">
              <w:t>Other program  costs</w:t>
            </w:r>
          </w:p>
        </w:tc>
        <w:tc>
          <w:tcPr>
            <w:tcW w:w="1134" w:type="dxa"/>
            <w:noWrap/>
          </w:tcPr>
          <w:p w14:paraId="0D4D2593" w14:textId="694699A0" w:rsidR="00962E24" w:rsidRPr="009C1DCD" w:rsidRDefault="00962E24" w:rsidP="00962E24">
            <w:pPr>
              <w:pStyle w:val="Table"/>
              <w:jc w:val="center"/>
            </w:pPr>
            <w:r w:rsidRPr="009C1DCD">
              <w:t>$</w:t>
            </w:r>
            <w:r w:rsidRPr="009C1DCD">
              <w:rPr>
                <w:b/>
              </w:rPr>
              <w:t>redacted</w:t>
            </w:r>
          </w:p>
        </w:tc>
        <w:tc>
          <w:tcPr>
            <w:tcW w:w="1134" w:type="dxa"/>
            <w:noWrap/>
          </w:tcPr>
          <w:p w14:paraId="63A727D5" w14:textId="5EE58AC7" w:rsidR="00962E24" w:rsidRPr="009C1DCD" w:rsidRDefault="00962E24" w:rsidP="00962E24">
            <w:pPr>
              <w:pStyle w:val="Table"/>
              <w:jc w:val="center"/>
            </w:pPr>
            <w:r w:rsidRPr="009C1DCD">
              <w:t>$</w:t>
            </w:r>
            <w:r w:rsidRPr="009C1DCD">
              <w:rPr>
                <w:b/>
              </w:rPr>
              <w:t>redacted</w:t>
            </w:r>
          </w:p>
        </w:tc>
        <w:tc>
          <w:tcPr>
            <w:tcW w:w="1134" w:type="dxa"/>
            <w:noWrap/>
          </w:tcPr>
          <w:p w14:paraId="1EAFEF65" w14:textId="41325D9F" w:rsidR="00962E24" w:rsidRPr="009C1DCD" w:rsidRDefault="00962E24" w:rsidP="00962E24">
            <w:pPr>
              <w:pStyle w:val="Table"/>
              <w:jc w:val="center"/>
            </w:pPr>
            <w:r w:rsidRPr="009C1DCD">
              <w:t>$</w:t>
            </w:r>
            <w:r w:rsidRPr="009C1DCD">
              <w:rPr>
                <w:b/>
              </w:rPr>
              <w:t>redacted</w:t>
            </w:r>
          </w:p>
        </w:tc>
        <w:tc>
          <w:tcPr>
            <w:tcW w:w="1134" w:type="dxa"/>
            <w:noWrap/>
          </w:tcPr>
          <w:p w14:paraId="5E7FC770" w14:textId="2DBA2834" w:rsidR="00962E24" w:rsidRPr="009C1DCD" w:rsidRDefault="00962E24" w:rsidP="00962E24">
            <w:pPr>
              <w:pStyle w:val="Table"/>
              <w:jc w:val="center"/>
            </w:pPr>
            <w:r w:rsidRPr="009C1DCD">
              <w:t>$</w:t>
            </w:r>
            <w:r w:rsidRPr="009C1DCD">
              <w:rPr>
                <w:b/>
              </w:rPr>
              <w:t>redacted</w:t>
            </w:r>
          </w:p>
        </w:tc>
        <w:tc>
          <w:tcPr>
            <w:tcW w:w="1134" w:type="dxa"/>
            <w:noWrap/>
          </w:tcPr>
          <w:p w14:paraId="6712F40B" w14:textId="2C2E4799" w:rsidR="00962E24" w:rsidRPr="009C1DCD" w:rsidRDefault="00962E24" w:rsidP="00962E24">
            <w:pPr>
              <w:pStyle w:val="Table"/>
              <w:jc w:val="center"/>
            </w:pPr>
            <w:r w:rsidRPr="009C1DCD">
              <w:t>$</w:t>
            </w:r>
            <w:r w:rsidRPr="009C1DCD">
              <w:rPr>
                <w:b/>
              </w:rPr>
              <w:t>redacted</w:t>
            </w:r>
          </w:p>
        </w:tc>
        <w:tc>
          <w:tcPr>
            <w:tcW w:w="1133" w:type="dxa"/>
            <w:noWrap/>
          </w:tcPr>
          <w:p w14:paraId="5D293A76" w14:textId="15A441BE" w:rsidR="00962E24" w:rsidRPr="009C1DCD" w:rsidRDefault="00962E24" w:rsidP="00962E24">
            <w:pPr>
              <w:pStyle w:val="Table"/>
              <w:jc w:val="center"/>
            </w:pPr>
            <w:r w:rsidRPr="009C1DCD">
              <w:t>$</w:t>
            </w:r>
            <w:r w:rsidRPr="009C1DCD">
              <w:rPr>
                <w:b/>
              </w:rPr>
              <w:t>redacted</w:t>
            </w:r>
          </w:p>
        </w:tc>
        <w:tc>
          <w:tcPr>
            <w:tcW w:w="1129" w:type="dxa"/>
            <w:noWrap/>
          </w:tcPr>
          <w:p w14:paraId="11B4B35C" w14:textId="59A4A1BC" w:rsidR="00962E24" w:rsidRPr="009C1DCD" w:rsidRDefault="00962E24" w:rsidP="00962E24">
            <w:pPr>
              <w:pStyle w:val="Table"/>
              <w:jc w:val="center"/>
            </w:pPr>
            <w:r w:rsidRPr="009C1DCD">
              <w:t>$</w:t>
            </w:r>
            <w:r w:rsidRPr="009C1DCD">
              <w:rPr>
                <w:b/>
              </w:rPr>
              <w:t>redacted</w:t>
            </w:r>
          </w:p>
        </w:tc>
      </w:tr>
      <w:tr w:rsidR="00962E24" w:rsidRPr="009C1DCD" w14:paraId="11339C40" w14:textId="77777777" w:rsidTr="008E37FF">
        <w:trPr>
          <w:trHeight w:val="198"/>
        </w:trPr>
        <w:tc>
          <w:tcPr>
            <w:tcW w:w="1696" w:type="dxa"/>
            <w:noWrap/>
          </w:tcPr>
          <w:p w14:paraId="4162BC04" w14:textId="77777777" w:rsidR="00962E24" w:rsidRPr="009C1DCD" w:rsidRDefault="00962E24" w:rsidP="00962E24">
            <w:pPr>
              <w:pStyle w:val="Table"/>
            </w:pPr>
            <w:r w:rsidRPr="009C1DCD">
              <w:t>Cost offsets</w:t>
            </w:r>
          </w:p>
        </w:tc>
        <w:tc>
          <w:tcPr>
            <w:tcW w:w="1134" w:type="dxa"/>
            <w:noWrap/>
          </w:tcPr>
          <w:p w14:paraId="03D3BBD9" w14:textId="5150749B" w:rsidR="00962E24" w:rsidRPr="009C1DCD" w:rsidRDefault="00962E24" w:rsidP="00962E24">
            <w:pPr>
              <w:pStyle w:val="Table"/>
              <w:jc w:val="center"/>
            </w:pPr>
            <w:r w:rsidRPr="009C1DCD">
              <w:t>$</w:t>
            </w:r>
            <w:r w:rsidRPr="009C1DCD">
              <w:rPr>
                <w:b/>
              </w:rPr>
              <w:t>redacted</w:t>
            </w:r>
          </w:p>
        </w:tc>
        <w:tc>
          <w:tcPr>
            <w:tcW w:w="1134" w:type="dxa"/>
            <w:noWrap/>
          </w:tcPr>
          <w:p w14:paraId="6CDA37DD" w14:textId="1AE0E7E5" w:rsidR="00962E24" w:rsidRPr="009C1DCD" w:rsidRDefault="00962E24" w:rsidP="00962E24">
            <w:pPr>
              <w:pStyle w:val="Table"/>
              <w:jc w:val="center"/>
            </w:pPr>
            <w:r w:rsidRPr="009C1DCD">
              <w:t>$</w:t>
            </w:r>
            <w:r w:rsidRPr="009C1DCD">
              <w:rPr>
                <w:b/>
              </w:rPr>
              <w:t>redacted</w:t>
            </w:r>
          </w:p>
        </w:tc>
        <w:tc>
          <w:tcPr>
            <w:tcW w:w="1134" w:type="dxa"/>
            <w:noWrap/>
          </w:tcPr>
          <w:p w14:paraId="0A9E16CB" w14:textId="75ADF0E0" w:rsidR="00962E24" w:rsidRPr="009C1DCD" w:rsidRDefault="00962E24" w:rsidP="00962E24">
            <w:pPr>
              <w:pStyle w:val="Table"/>
              <w:jc w:val="center"/>
            </w:pPr>
            <w:r w:rsidRPr="009C1DCD">
              <w:t>$</w:t>
            </w:r>
            <w:r w:rsidRPr="009C1DCD">
              <w:rPr>
                <w:b/>
              </w:rPr>
              <w:t>redacted</w:t>
            </w:r>
          </w:p>
        </w:tc>
        <w:tc>
          <w:tcPr>
            <w:tcW w:w="1134" w:type="dxa"/>
            <w:noWrap/>
          </w:tcPr>
          <w:p w14:paraId="6DDD26CF" w14:textId="4124C13E" w:rsidR="00962E24" w:rsidRPr="009C1DCD" w:rsidRDefault="00962E24" w:rsidP="00962E24">
            <w:pPr>
              <w:pStyle w:val="Table"/>
              <w:jc w:val="center"/>
            </w:pPr>
            <w:r w:rsidRPr="009C1DCD">
              <w:t>$</w:t>
            </w:r>
            <w:r w:rsidRPr="009C1DCD">
              <w:rPr>
                <w:b/>
              </w:rPr>
              <w:t>redacted</w:t>
            </w:r>
          </w:p>
        </w:tc>
        <w:tc>
          <w:tcPr>
            <w:tcW w:w="1134" w:type="dxa"/>
            <w:noWrap/>
          </w:tcPr>
          <w:p w14:paraId="5826D4D3" w14:textId="00FC13CD" w:rsidR="00962E24" w:rsidRPr="009C1DCD" w:rsidRDefault="00962E24" w:rsidP="00962E24">
            <w:pPr>
              <w:pStyle w:val="Table"/>
              <w:jc w:val="center"/>
            </w:pPr>
            <w:r w:rsidRPr="009C1DCD">
              <w:t>$</w:t>
            </w:r>
            <w:r w:rsidRPr="009C1DCD">
              <w:rPr>
                <w:b/>
              </w:rPr>
              <w:t>redacted</w:t>
            </w:r>
          </w:p>
        </w:tc>
        <w:tc>
          <w:tcPr>
            <w:tcW w:w="1133" w:type="dxa"/>
            <w:noWrap/>
          </w:tcPr>
          <w:p w14:paraId="64BF85C8" w14:textId="772478F5" w:rsidR="00962E24" w:rsidRPr="009C1DCD" w:rsidRDefault="00962E24" w:rsidP="00962E24">
            <w:pPr>
              <w:pStyle w:val="Table"/>
              <w:jc w:val="center"/>
            </w:pPr>
            <w:r w:rsidRPr="009C1DCD">
              <w:t>$</w:t>
            </w:r>
            <w:r w:rsidRPr="009C1DCD">
              <w:rPr>
                <w:b/>
              </w:rPr>
              <w:t>redacted</w:t>
            </w:r>
          </w:p>
        </w:tc>
        <w:tc>
          <w:tcPr>
            <w:tcW w:w="1129" w:type="dxa"/>
            <w:noWrap/>
          </w:tcPr>
          <w:p w14:paraId="227C2F69" w14:textId="5DFB70D3" w:rsidR="00962E24" w:rsidRPr="009C1DCD" w:rsidRDefault="00962E24" w:rsidP="00962E24">
            <w:pPr>
              <w:pStyle w:val="Table"/>
              <w:jc w:val="center"/>
            </w:pPr>
            <w:r w:rsidRPr="009C1DCD">
              <w:t>$</w:t>
            </w:r>
            <w:r w:rsidRPr="009C1DCD">
              <w:rPr>
                <w:b/>
              </w:rPr>
              <w:t>redacted</w:t>
            </w:r>
          </w:p>
        </w:tc>
      </w:tr>
      <w:tr w:rsidR="00962E24" w:rsidRPr="009C1DCD" w14:paraId="132C8646" w14:textId="77777777" w:rsidTr="008E37FF">
        <w:trPr>
          <w:trHeight w:val="198"/>
        </w:trPr>
        <w:tc>
          <w:tcPr>
            <w:tcW w:w="1696" w:type="dxa"/>
            <w:noWrap/>
          </w:tcPr>
          <w:p w14:paraId="03FDF335" w14:textId="77777777" w:rsidR="00962E24" w:rsidRPr="009C1DCD" w:rsidRDefault="00962E24" w:rsidP="00962E24">
            <w:pPr>
              <w:pStyle w:val="Table"/>
            </w:pPr>
            <w:r w:rsidRPr="009C1DCD">
              <w:t>Net cost</w:t>
            </w:r>
          </w:p>
        </w:tc>
        <w:tc>
          <w:tcPr>
            <w:tcW w:w="1134" w:type="dxa"/>
            <w:noWrap/>
          </w:tcPr>
          <w:p w14:paraId="4067F552" w14:textId="10181880" w:rsidR="00962E24" w:rsidRPr="009C1DCD" w:rsidRDefault="00962E24" w:rsidP="00962E24">
            <w:pPr>
              <w:pStyle w:val="Table"/>
              <w:jc w:val="center"/>
            </w:pPr>
            <w:r w:rsidRPr="009C1DCD">
              <w:t>$</w:t>
            </w:r>
            <w:r w:rsidRPr="009C1DCD">
              <w:rPr>
                <w:b/>
              </w:rPr>
              <w:t>redacted</w:t>
            </w:r>
          </w:p>
        </w:tc>
        <w:tc>
          <w:tcPr>
            <w:tcW w:w="1134" w:type="dxa"/>
            <w:noWrap/>
          </w:tcPr>
          <w:p w14:paraId="6F3B260D" w14:textId="0431F01E" w:rsidR="00962E24" w:rsidRPr="009C1DCD" w:rsidRDefault="00962E24" w:rsidP="00962E24">
            <w:pPr>
              <w:pStyle w:val="Table"/>
              <w:jc w:val="center"/>
            </w:pPr>
            <w:r w:rsidRPr="009C1DCD">
              <w:t>$</w:t>
            </w:r>
            <w:r w:rsidRPr="009C1DCD">
              <w:rPr>
                <w:b/>
              </w:rPr>
              <w:t>redacted</w:t>
            </w:r>
          </w:p>
        </w:tc>
        <w:tc>
          <w:tcPr>
            <w:tcW w:w="1134" w:type="dxa"/>
            <w:noWrap/>
          </w:tcPr>
          <w:p w14:paraId="4B2FA3B4" w14:textId="39CC7049" w:rsidR="00962E24" w:rsidRPr="009C1DCD" w:rsidRDefault="00962E24" w:rsidP="00962E24">
            <w:pPr>
              <w:pStyle w:val="Table"/>
              <w:jc w:val="center"/>
            </w:pPr>
            <w:r w:rsidRPr="009C1DCD">
              <w:t>$</w:t>
            </w:r>
            <w:r w:rsidRPr="009C1DCD">
              <w:rPr>
                <w:b/>
              </w:rPr>
              <w:t>redacted</w:t>
            </w:r>
          </w:p>
        </w:tc>
        <w:tc>
          <w:tcPr>
            <w:tcW w:w="1134" w:type="dxa"/>
            <w:noWrap/>
          </w:tcPr>
          <w:p w14:paraId="7DA80847" w14:textId="5A1476EC" w:rsidR="00962E24" w:rsidRPr="009C1DCD" w:rsidRDefault="00962E24" w:rsidP="00962E24">
            <w:pPr>
              <w:pStyle w:val="Table"/>
              <w:jc w:val="center"/>
            </w:pPr>
            <w:r w:rsidRPr="009C1DCD">
              <w:t>$</w:t>
            </w:r>
            <w:r w:rsidRPr="009C1DCD">
              <w:rPr>
                <w:b/>
              </w:rPr>
              <w:t>redacted</w:t>
            </w:r>
          </w:p>
        </w:tc>
        <w:tc>
          <w:tcPr>
            <w:tcW w:w="1134" w:type="dxa"/>
            <w:noWrap/>
          </w:tcPr>
          <w:p w14:paraId="32528E78" w14:textId="03E56FBB" w:rsidR="00962E24" w:rsidRPr="009C1DCD" w:rsidRDefault="00962E24" w:rsidP="00962E24">
            <w:pPr>
              <w:pStyle w:val="Table"/>
              <w:jc w:val="center"/>
            </w:pPr>
            <w:r w:rsidRPr="009C1DCD">
              <w:t>$</w:t>
            </w:r>
            <w:r w:rsidRPr="009C1DCD">
              <w:rPr>
                <w:b/>
              </w:rPr>
              <w:t>redacted</w:t>
            </w:r>
          </w:p>
        </w:tc>
        <w:tc>
          <w:tcPr>
            <w:tcW w:w="1133" w:type="dxa"/>
            <w:noWrap/>
          </w:tcPr>
          <w:p w14:paraId="2430630B" w14:textId="49B98FB1" w:rsidR="00962E24" w:rsidRPr="009C1DCD" w:rsidRDefault="00962E24" w:rsidP="00962E24">
            <w:pPr>
              <w:pStyle w:val="Table"/>
              <w:jc w:val="center"/>
            </w:pPr>
            <w:r w:rsidRPr="009C1DCD">
              <w:t>$</w:t>
            </w:r>
            <w:r w:rsidRPr="009C1DCD">
              <w:rPr>
                <w:b/>
              </w:rPr>
              <w:t>redacted</w:t>
            </w:r>
          </w:p>
        </w:tc>
        <w:tc>
          <w:tcPr>
            <w:tcW w:w="1129" w:type="dxa"/>
            <w:noWrap/>
          </w:tcPr>
          <w:p w14:paraId="6F54617A" w14:textId="648DCA9C" w:rsidR="00962E24" w:rsidRPr="009C1DCD" w:rsidRDefault="00962E24" w:rsidP="00962E24">
            <w:pPr>
              <w:pStyle w:val="Table"/>
              <w:jc w:val="center"/>
            </w:pPr>
            <w:r w:rsidRPr="009C1DCD">
              <w:t>$</w:t>
            </w:r>
            <w:r w:rsidRPr="009C1DCD">
              <w:rPr>
                <w:b/>
              </w:rPr>
              <w:t>redacted</w:t>
            </w:r>
          </w:p>
        </w:tc>
      </w:tr>
    </w:tbl>
    <w:p w14:paraId="2E27F622" w14:textId="77777777" w:rsidR="007C7241" w:rsidRPr="009C1DCD" w:rsidRDefault="007C7241" w:rsidP="007C7241">
      <w:pPr>
        <w:pStyle w:val="CaptionFootnote"/>
        <w:rPr>
          <w:rFonts w:ascii="Arial Narrow" w:hAnsi="Arial Narrow"/>
          <w:sz w:val="18"/>
        </w:rPr>
      </w:pPr>
      <w:r w:rsidRPr="009C1DCD">
        <w:rPr>
          <w:lang w:bidi="ar-SA"/>
        </w:rPr>
        <w:t xml:space="preserve">   </w:t>
      </w:r>
      <w:r w:rsidRPr="009C1DCD">
        <w:rPr>
          <w:rFonts w:ascii="Arial Narrow" w:hAnsi="Arial Narrow"/>
          <w:sz w:val="18"/>
        </w:rPr>
        <w:t xml:space="preserve">Source: 1519 </w:t>
      </w:r>
      <w:proofErr w:type="spellStart"/>
      <w:r w:rsidRPr="009C1DCD">
        <w:rPr>
          <w:rFonts w:ascii="Arial Narrow" w:hAnsi="Arial Narrow"/>
          <w:sz w:val="18"/>
        </w:rPr>
        <w:t>pALL</w:t>
      </w:r>
      <w:proofErr w:type="spellEnd"/>
      <w:r w:rsidRPr="009C1DCD">
        <w:rPr>
          <w:rFonts w:ascii="Arial Narrow" w:hAnsi="Arial Narrow"/>
          <w:sz w:val="18"/>
        </w:rPr>
        <w:t xml:space="preserve"> Resubmission</w:t>
      </w:r>
    </w:p>
    <w:p w14:paraId="4E1A53DD" w14:textId="77777777" w:rsidR="007C7241" w:rsidRPr="009A0E94" w:rsidRDefault="007C7241" w:rsidP="007C7241">
      <w:pPr>
        <w:pStyle w:val="CaptionFootnote"/>
        <w:spacing w:after="240"/>
        <w:rPr>
          <w:rFonts w:ascii="Arial Narrow" w:hAnsi="Arial Narrow"/>
          <w:sz w:val="18"/>
        </w:rPr>
      </w:pPr>
      <w:r w:rsidRPr="009C1DCD">
        <w:rPr>
          <w:rFonts w:ascii="Arial Narrow" w:hAnsi="Arial Narrow"/>
          <w:sz w:val="18"/>
        </w:rPr>
        <w:t>Abbreviations: TIS = tisagenlecleucel</w:t>
      </w:r>
    </w:p>
    <w:p w14:paraId="63101322" w14:textId="77777777" w:rsidR="00D7529F" w:rsidRPr="00EC2DC8" w:rsidRDefault="00D7529F" w:rsidP="00A21401">
      <w:pPr>
        <w:keepNext/>
        <w:spacing w:after="120"/>
        <w:rPr>
          <w:b/>
          <w:i/>
        </w:rPr>
      </w:pPr>
      <w:r w:rsidRPr="00EC2DC8">
        <w:rPr>
          <w:b/>
          <w:i/>
        </w:rPr>
        <w:t>November 2018 MSAC consideration</w:t>
      </w:r>
    </w:p>
    <w:p w14:paraId="7ABAF4FC" w14:textId="5C83245B" w:rsidR="001203FF" w:rsidRDefault="00190DDB" w:rsidP="00CF2123">
      <w:pPr>
        <w:spacing w:after="240"/>
      </w:pPr>
      <w:r>
        <w:t xml:space="preserve">The financial analysis employed a </w:t>
      </w:r>
      <w:r w:rsidR="00DB73B5">
        <w:t xml:space="preserve">mostly </w:t>
      </w:r>
      <w:r>
        <w:t>top-down epidemiological approach to estimate the budget implications of the proposal for public funding.</w:t>
      </w:r>
      <w:r w:rsidR="00DB73B5">
        <w:t xml:space="preserve"> Revised </w:t>
      </w:r>
      <w:r w:rsidR="001D7A2B">
        <w:t xml:space="preserve">financial analyses </w:t>
      </w:r>
      <w:proofErr w:type="gramStart"/>
      <w:r w:rsidR="00DB73B5">
        <w:t>were provided</w:t>
      </w:r>
      <w:proofErr w:type="gramEnd"/>
      <w:r w:rsidR="00DB73B5">
        <w:t xml:space="preserve"> in the pre-ESC and pre-MSAC responses</w:t>
      </w:r>
      <w:r w:rsidR="001D7A2B">
        <w:t xml:space="preserve"> to address concerns raised by the critique and the ESC report, respectively</w:t>
      </w:r>
      <w:r w:rsidR="00DB73B5">
        <w:t xml:space="preserve">; these revisions </w:t>
      </w:r>
      <w:r w:rsidR="003D138F">
        <w:t xml:space="preserve">increased the </w:t>
      </w:r>
      <w:r w:rsidR="009201A8">
        <w:t xml:space="preserve">initially </w:t>
      </w:r>
      <w:r w:rsidR="003D138F">
        <w:t>estimated net financial costs, particularly for DLBCL</w:t>
      </w:r>
      <w:r w:rsidR="000C1F37">
        <w:t xml:space="preserve"> (</w:t>
      </w:r>
      <w:r w:rsidR="003F6D9D">
        <w:fldChar w:fldCharType="begin"/>
      </w:r>
      <w:r w:rsidR="003F6D9D">
        <w:instrText xml:space="preserve"> REF _Ref532811271 \h </w:instrText>
      </w:r>
      <w:r w:rsidR="003F6D9D">
        <w:fldChar w:fldCharType="separate"/>
      </w:r>
      <w:r w:rsidR="001E1B42">
        <w:t xml:space="preserve">Table </w:t>
      </w:r>
      <w:r w:rsidR="001E1B42">
        <w:rPr>
          <w:noProof/>
        </w:rPr>
        <w:t>12</w:t>
      </w:r>
      <w:r w:rsidR="003F6D9D">
        <w:fldChar w:fldCharType="end"/>
      </w:r>
      <w:r w:rsidR="000C1F37">
        <w:t>)</w:t>
      </w:r>
      <w:r w:rsidR="00DB73B5">
        <w:t>.</w:t>
      </w:r>
    </w:p>
    <w:p w14:paraId="71556E7D" w14:textId="333A869A" w:rsidR="00C5254B" w:rsidRDefault="00245C11" w:rsidP="00245C11">
      <w:pPr>
        <w:pStyle w:val="Caption"/>
      </w:pPr>
      <w:bookmarkStart w:id="12" w:name="_Ref532811271"/>
      <w:r>
        <w:t xml:space="preserve">Table </w:t>
      </w:r>
      <w:r w:rsidR="0083734C">
        <w:rPr>
          <w:noProof/>
        </w:rPr>
        <w:fldChar w:fldCharType="begin"/>
      </w:r>
      <w:r w:rsidR="0083734C">
        <w:rPr>
          <w:noProof/>
        </w:rPr>
        <w:instrText xml:space="preserve"> SEQ Table \* ARABIC </w:instrText>
      </w:r>
      <w:r w:rsidR="0083734C">
        <w:rPr>
          <w:noProof/>
        </w:rPr>
        <w:fldChar w:fldCharType="separate"/>
      </w:r>
      <w:r w:rsidR="001E1B42">
        <w:rPr>
          <w:noProof/>
        </w:rPr>
        <w:t>12</w:t>
      </w:r>
      <w:r w:rsidR="0083734C">
        <w:rPr>
          <w:noProof/>
        </w:rPr>
        <w:fldChar w:fldCharType="end"/>
      </w:r>
      <w:bookmarkEnd w:id="12"/>
      <w:r>
        <w:tab/>
      </w:r>
      <w:r w:rsidR="00C5254B">
        <w:t xml:space="preserve">Estimated financial impact for treated and non-infused patients (from </w:t>
      </w:r>
      <w:r w:rsidR="00665242">
        <w:t xml:space="preserve">the </w:t>
      </w:r>
      <w:r w:rsidR="00C5254B">
        <w:t>Applicant</w:t>
      </w:r>
      <w:r w:rsidR="00665242">
        <w:t>’s</w:t>
      </w:r>
      <w:r w:rsidR="00C5254B">
        <w:t xml:space="preserve"> pre</w:t>
      </w:r>
      <w:r w:rsidR="00665242">
        <w:t>-</w:t>
      </w:r>
      <w:r w:rsidR="00C5254B">
        <w:t>MSAC response)</w:t>
      </w:r>
    </w:p>
    <w:tbl>
      <w:tblPr>
        <w:tblStyle w:val="TableGrid1"/>
        <w:tblW w:w="5000" w:type="pct"/>
        <w:tblCellMar>
          <w:left w:w="57" w:type="dxa"/>
          <w:right w:w="57" w:type="dxa"/>
        </w:tblCellMar>
        <w:tblLook w:val="04A0" w:firstRow="1" w:lastRow="0" w:firstColumn="1" w:lastColumn="0" w:noHBand="0" w:noVBand="1"/>
        <w:tblCaption w:val="Estimated financial impact"/>
      </w:tblPr>
      <w:tblGrid>
        <w:gridCol w:w="1622"/>
        <w:gridCol w:w="1140"/>
        <w:gridCol w:w="1028"/>
        <w:gridCol w:w="1028"/>
        <w:gridCol w:w="1028"/>
        <w:gridCol w:w="1028"/>
        <w:gridCol w:w="1028"/>
        <w:gridCol w:w="1114"/>
      </w:tblGrid>
      <w:tr w:rsidR="00C5254B" w:rsidRPr="00AB7796" w14:paraId="39733317" w14:textId="77777777" w:rsidTr="00F81492">
        <w:trPr>
          <w:trHeight w:val="198"/>
          <w:tblHeader/>
        </w:trPr>
        <w:tc>
          <w:tcPr>
            <w:tcW w:w="900" w:type="pct"/>
            <w:shd w:val="clear" w:color="auto" w:fill="A6A6A6" w:themeFill="background1" w:themeFillShade="A6"/>
            <w:noWrap/>
            <w:hideMark/>
          </w:tcPr>
          <w:p w14:paraId="757CB6DB" w14:textId="77777777" w:rsidR="00C5254B" w:rsidRPr="00803F05" w:rsidRDefault="00C5254B" w:rsidP="00F81492">
            <w:pPr>
              <w:pStyle w:val="Table"/>
              <w:rPr>
                <w:szCs w:val="20"/>
                <w:lang w:eastAsia="en-AU"/>
              </w:rPr>
            </w:pPr>
            <w:r w:rsidRPr="00803F05">
              <w:rPr>
                <w:szCs w:val="20"/>
                <w:lang w:eastAsia="en-AU"/>
              </w:rPr>
              <w:t>Total patients</w:t>
            </w:r>
          </w:p>
        </w:tc>
        <w:tc>
          <w:tcPr>
            <w:tcW w:w="632" w:type="pct"/>
            <w:shd w:val="clear" w:color="auto" w:fill="A6A6A6" w:themeFill="background1" w:themeFillShade="A6"/>
            <w:noWrap/>
            <w:hideMark/>
          </w:tcPr>
          <w:p w14:paraId="4C7FDCBB" w14:textId="77777777" w:rsidR="00C5254B" w:rsidRPr="00803F05" w:rsidRDefault="00C5254B" w:rsidP="00F81492">
            <w:pPr>
              <w:pStyle w:val="Table"/>
              <w:jc w:val="center"/>
              <w:rPr>
                <w:szCs w:val="20"/>
                <w:lang w:eastAsia="en-AU"/>
              </w:rPr>
            </w:pPr>
            <w:r w:rsidRPr="00803F05">
              <w:rPr>
                <w:szCs w:val="20"/>
              </w:rPr>
              <w:t>Year 1</w:t>
            </w:r>
          </w:p>
        </w:tc>
        <w:tc>
          <w:tcPr>
            <w:tcW w:w="570" w:type="pct"/>
            <w:shd w:val="clear" w:color="auto" w:fill="A6A6A6" w:themeFill="background1" w:themeFillShade="A6"/>
            <w:noWrap/>
            <w:hideMark/>
          </w:tcPr>
          <w:p w14:paraId="6043BE6F" w14:textId="77777777" w:rsidR="00C5254B" w:rsidRPr="00803F05" w:rsidRDefault="00C5254B" w:rsidP="00F81492">
            <w:pPr>
              <w:pStyle w:val="Table"/>
              <w:jc w:val="center"/>
              <w:rPr>
                <w:szCs w:val="20"/>
                <w:lang w:eastAsia="en-AU"/>
              </w:rPr>
            </w:pPr>
            <w:r w:rsidRPr="00803F05">
              <w:rPr>
                <w:szCs w:val="20"/>
              </w:rPr>
              <w:t>Year 2</w:t>
            </w:r>
          </w:p>
        </w:tc>
        <w:tc>
          <w:tcPr>
            <w:tcW w:w="570" w:type="pct"/>
            <w:shd w:val="clear" w:color="auto" w:fill="A6A6A6" w:themeFill="background1" w:themeFillShade="A6"/>
            <w:noWrap/>
            <w:hideMark/>
          </w:tcPr>
          <w:p w14:paraId="21ED93A0" w14:textId="77777777" w:rsidR="00C5254B" w:rsidRPr="00803F05" w:rsidRDefault="00C5254B" w:rsidP="00F81492">
            <w:pPr>
              <w:pStyle w:val="Table"/>
              <w:jc w:val="center"/>
              <w:rPr>
                <w:szCs w:val="20"/>
                <w:lang w:eastAsia="en-AU"/>
              </w:rPr>
            </w:pPr>
            <w:r w:rsidRPr="00803F05">
              <w:rPr>
                <w:szCs w:val="20"/>
              </w:rPr>
              <w:t>Year 3</w:t>
            </w:r>
          </w:p>
        </w:tc>
        <w:tc>
          <w:tcPr>
            <w:tcW w:w="570" w:type="pct"/>
            <w:shd w:val="clear" w:color="auto" w:fill="A6A6A6" w:themeFill="background1" w:themeFillShade="A6"/>
            <w:noWrap/>
            <w:hideMark/>
          </w:tcPr>
          <w:p w14:paraId="324518CC" w14:textId="77777777" w:rsidR="00C5254B" w:rsidRPr="00803F05" w:rsidRDefault="00C5254B" w:rsidP="00F81492">
            <w:pPr>
              <w:pStyle w:val="Table"/>
              <w:jc w:val="center"/>
              <w:rPr>
                <w:szCs w:val="20"/>
                <w:lang w:eastAsia="en-AU"/>
              </w:rPr>
            </w:pPr>
            <w:r w:rsidRPr="00803F05">
              <w:rPr>
                <w:szCs w:val="20"/>
              </w:rPr>
              <w:t>Year 4</w:t>
            </w:r>
          </w:p>
        </w:tc>
        <w:tc>
          <w:tcPr>
            <w:tcW w:w="570" w:type="pct"/>
            <w:shd w:val="clear" w:color="auto" w:fill="A6A6A6" w:themeFill="background1" w:themeFillShade="A6"/>
            <w:noWrap/>
            <w:hideMark/>
          </w:tcPr>
          <w:p w14:paraId="1FD52261" w14:textId="77777777" w:rsidR="00C5254B" w:rsidRPr="00803F05" w:rsidRDefault="00C5254B" w:rsidP="00F81492">
            <w:pPr>
              <w:pStyle w:val="Table"/>
              <w:jc w:val="center"/>
              <w:rPr>
                <w:szCs w:val="20"/>
                <w:lang w:eastAsia="en-AU"/>
              </w:rPr>
            </w:pPr>
            <w:r w:rsidRPr="00803F05">
              <w:rPr>
                <w:szCs w:val="20"/>
              </w:rPr>
              <w:t>Year 5</w:t>
            </w:r>
          </w:p>
        </w:tc>
        <w:tc>
          <w:tcPr>
            <w:tcW w:w="570" w:type="pct"/>
            <w:shd w:val="clear" w:color="auto" w:fill="A6A6A6" w:themeFill="background1" w:themeFillShade="A6"/>
            <w:noWrap/>
            <w:hideMark/>
          </w:tcPr>
          <w:p w14:paraId="4E9495AA" w14:textId="77777777" w:rsidR="00C5254B" w:rsidRPr="00803F05" w:rsidRDefault="00C5254B" w:rsidP="00F81492">
            <w:pPr>
              <w:pStyle w:val="Table"/>
              <w:jc w:val="center"/>
              <w:rPr>
                <w:szCs w:val="20"/>
                <w:lang w:eastAsia="en-AU"/>
              </w:rPr>
            </w:pPr>
            <w:r w:rsidRPr="00803F05">
              <w:rPr>
                <w:szCs w:val="20"/>
              </w:rPr>
              <w:t>Year 6</w:t>
            </w:r>
          </w:p>
        </w:tc>
        <w:tc>
          <w:tcPr>
            <w:tcW w:w="620" w:type="pct"/>
            <w:shd w:val="clear" w:color="auto" w:fill="A6A6A6" w:themeFill="background1" w:themeFillShade="A6"/>
            <w:noWrap/>
            <w:hideMark/>
          </w:tcPr>
          <w:p w14:paraId="353E7DF7" w14:textId="77777777" w:rsidR="00C5254B" w:rsidRPr="00803F05" w:rsidRDefault="00C5254B" w:rsidP="00F81492">
            <w:pPr>
              <w:pStyle w:val="Table"/>
              <w:jc w:val="center"/>
              <w:rPr>
                <w:szCs w:val="20"/>
                <w:lang w:eastAsia="en-AU"/>
              </w:rPr>
            </w:pPr>
            <w:r w:rsidRPr="00803F05">
              <w:rPr>
                <w:szCs w:val="20"/>
              </w:rPr>
              <w:t>Total</w:t>
            </w:r>
          </w:p>
        </w:tc>
      </w:tr>
      <w:tr w:rsidR="00C5254B" w:rsidRPr="00AB7796" w14:paraId="0DDB33F0" w14:textId="77777777" w:rsidTr="00F81492">
        <w:trPr>
          <w:trHeight w:val="198"/>
        </w:trPr>
        <w:tc>
          <w:tcPr>
            <w:tcW w:w="5000" w:type="pct"/>
            <w:gridSpan w:val="8"/>
            <w:shd w:val="clear" w:color="auto" w:fill="BFBFBF" w:themeFill="background1" w:themeFillShade="BF"/>
            <w:noWrap/>
          </w:tcPr>
          <w:p w14:paraId="137BC257" w14:textId="77777777" w:rsidR="00C5254B" w:rsidRPr="00803F05" w:rsidRDefault="00C5254B" w:rsidP="00F81492">
            <w:pPr>
              <w:pStyle w:val="Table"/>
              <w:rPr>
                <w:color w:val="000000"/>
                <w:szCs w:val="20"/>
                <w:lang w:eastAsia="en-AU"/>
              </w:rPr>
            </w:pPr>
            <w:proofErr w:type="spellStart"/>
            <w:r w:rsidRPr="00803F05">
              <w:rPr>
                <w:color w:val="000000"/>
                <w:szCs w:val="20"/>
                <w:lang w:eastAsia="en-AU"/>
              </w:rPr>
              <w:t>pALL</w:t>
            </w:r>
            <w:proofErr w:type="spellEnd"/>
            <w:r w:rsidRPr="00803F05">
              <w:rPr>
                <w:color w:val="000000"/>
                <w:szCs w:val="20"/>
                <w:lang w:eastAsia="en-AU"/>
              </w:rPr>
              <w:t xml:space="preserve"> indication</w:t>
            </w:r>
          </w:p>
        </w:tc>
      </w:tr>
      <w:tr w:rsidR="00C5254B" w:rsidRPr="00AB7796" w14:paraId="2AD94C2F" w14:textId="77777777" w:rsidTr="00F81492">
        <w:trPr>
          <w:trHeight w:val="198"/>
        </w:trPr>
        <w:tc>
          <w:tcPr>
            <w:tcW w:w="900" w:type="pct"/>
            <w:noWrap/>
            <w:hideMark/>
          </w:tcPr>
          <w:p w14:paraId="2D6437BC" w14:textId="77777777" w:rsidR="00C5254B" w:rsidRPr="00803F05" w:rsidRDefault="00C5254B" w:rsidP="00F81492">
            <w:pPr>
              <w:pStyle w:val="Table"/>
              <w:rPr>
                <w:color w:val="000000"/>
                <w:szCs w:val="20"/>
                <w:lang w:eastAsia="en-AU"/>
              </w:rPr>
            </w:pPr>
            <w:r w:rsidRPr="00803F05">
              <w:rPr>
                <w:color w:val="000000"/>
                <w:szCs w:val="20"/>
                <w:lang w:eastAsia="en-AU"/>
              </w:rPr>
              <w:t xml:space="preserve">Expected </w:t>
            </w:r>
            <w:r w:rsidR="00686E65">
              <w:rPr>
                <w:color w:val="000000"/>
                <w:szCs w:val="20"/>
                <w:lang w:eastAsia="en-AU"/>
              </w:rPr>
              <w:t>utilization</w:t>
            </w:r>
          </w:p>
        </w:tc>
        <w:tc>
          <w:tcPr>
            <w:tcW w:w="632" w:type="pct"/>
            <w:noWrap/>
            <w:hideMark/>
          </w:tcPr>
          <w:p w14:paraId="78BAEDF3" w14:textId="77777777" w:rsidR="00C5254B" w:rsidRPr="00733D42" w:rsidRDefault="00803F05" w:rsidP="00F81492">
            <w:pPr>
              <w:pStyle w:val="Table"/>
              <w:jc w:val="center"/>
              <w:rPr>
                <w:color w:val="000000"/>
                <w:szCs w:val="20"/>
                <w:highlight w:val="green"/>
                <w:lang w:eastAsia="en-AU"/>
              </w:rPr>
            </w:pPr>
            <w:r w:rsidRPr="006C4B9C">
              <w:rPr>
                <w:b/>
              </w:rPr>
              <w:t>redacted</w:t>
            </w:r>
          </w:p>
        </w:tc>
        <w:tc>
          <w:tcPr>
            <w:tcW w:w="570" w:type="pct"/>
            <w:noWrap/>
            <w:hideMark/>
          </w:tcPr>
          <w:p w14:paraId="36478E7F" w14:textId="77777777" w:rsidR="00C5254B" w:rsidRPr="00733D42" w:rsidRDefault="00803F05" w:rsidP="00F81492">
            <w:pPr>
              <w:pStyle w:val="Table"/>
              <w:jc w:val="center"/>
              <w:rPr>
                <w:color w:val="000000"/>
                <w:szCs w:val="20"/>
                <w:highlight w:val="green"/>
                <w:lang w:eastAsia="en-AU"/>
              </w:rPr>
            </w:pPr>
            <w:r w:rsidRPr="006C4B9C">
              <w:rPr>
                <w:b/>
              </w:rPr>
              <w:t>redacted</w:t>
            </w:r>
          </w:p>
        </w:tc>
        <w:tc>
          <w:tcPr>
            <w:tcW w:w="570" w:type="pct"/>
            <w:noWrap/>
            <w:hideMark/>
          </w:tcPr>
          <w:p w14:paraId="7232647E" w14:textId="77777777" w:rsidR="00C5254B" w:rsidRPr="00733D42" w:rsidRDefault="00803F05" w:rsidP="00F81492">
            <w:pPr>
              <w:pStyle w:val="Table"/>
              <w:jc w:val="center"/>
              <w:rPr>
                <w:color w:val="000000"/>
                <w:szCs w:val="20"/>
                <w:highlight w:val="green"/>
                <w:lang w:eastAsia="en-AU"/>
              </w:rPr>
            </w:pPr>
            <w:r w:rsidRPr="006C4B9C">
              <w:rPr>
                <w:b/>
              </w:rPr>
              <w:t>redacted</w:t>
            </w:r>
          </w:p>
        </w:tc>
        <w:tc>
          <w:tcPr>
            <w:tcW w:w="570" w:type="pct"/>
            <w:noWrap/>
            <w:hideMark/>
          </w:tcPr>
          <w:p w14:paraId="1246251F" w14:textId="77777777" w:rsidR="00C5254B" w:rsidRPr="00733D42" w:rsidRDefault="00803F05" w:rsidP="00F81492">
            <w:pPr>
              <w:pStyle w:val="Table"/>
              <w:jc w:val="center"/>
              <w:rPr>
                <w:color w:val="000000"/>
                <w:szCs w:val="20"/>
                <w:highlight w:val="green"/>
                <w:lang w:eastAsia="en-AU"/>
              </w:rPr>
            </w:pPr>
            <w:r w:rsidRPr="006C4B9C">
              <w:rPr>
                <w:b/>
              </w:rPr>
              <w:t>redacted</w:t>
            </w:r>
          </w:p>
        </w:tc>
        <w:tc>
          <w:tcPr>
            <w:tcW w:w="570" w:type="pct"/>
            <w:noWrap/>
            <w:hideMark/>
          </w:tcPr>
          <w:p w14:paraId="280AC6BE" w14:textId="77777777" w:rsidR="00C5254B" w:rsidRPr="00733D42" w:rsidRDefault="00803F05" w:rsidP="00F81492">
            <w:pPr>
              <w:pStyle w:val="Table"/>
              <w:jc w:val="center"/>
              <w:rPr>
                <w:color w:val="000000"/>
                <w:szCs w:val="20"/>
                <w:highlight w:val="green"/>
                <w:lang w:eastAsia="en-AU"/>
              </w:rPr>
            </w:pPr>
            <w:r w:rsidRPr="006C4B9C">
              <w:rPr>
                <w:b/>
              </w:rPr>
              <w:t>redacted</w:t>
            </w:r>
          </w:p>
        </w:tc>
        <w:tc>
          <w:tcPr>
            <w:tcW w:w="570" w:type="pct"/>
            <w:noWrap/>
            <w:hideMark/>
          </w:tcPr>
          <w:p w14:paraId="40772E81" w14:textId="77777777" w:rsidR="00C5254B" w:rsidRPr="00733D42" w:rsidRDefault="00803F05" w:rsidP="00F81492">
            <w:pPr>
              <w:pStyle w:val="Table"/>
              <w:jc w:val="center"/>
              <w:rPr>
                <w:color w:val="000000"/>
                <w:szCs w:val="20"/>
                <w:highlight w:val="green"/>
                <w:lang w:eastAsia="en-AU"/>
              </w:rPr>
            </w:pPr>
            <w:r w:rsidRPr="006C4B9C">
              <w:rPr>
                <w:b/>
              </w:rPr>
              <w:t>redacted</w:t>
            </w:r>
          </w:p>
        </w:tc>
        <w:tc>
          <w:tcPr>
            <w:tcW w:w="620" w:type="pct"/>
            <w:noWrap/>
          </w:tcPr>
          <w:p w14:paraId="373FEFA5" w14:textId="77777777" w:rsidR="00C5254B" w:rsidRPr="00733D42" w:rsidRDefault="00803F05" w:rsidP="00F81492">
            <w:pPr>
              <w:pStyle w:val="Table"/>
              <w:jc w:val="center"/>
              <w:rPr>
                <w:color w:val="000000"/>
                <w:szCs w:val="20"/>
                <w:highlight w:val="green"/>
                <w:lang w:eastAsia="en-AU"/>
              </w:rPr>
            </w:pPr>
            <w:r w:rsidRPr="006C4B9C">
              <w:rPr>
                <w:b/>
              </w:rPr>
              <w:t>redacted</w:t>
            </w:r>
          </w:p>
        </w:tc>
      </w:tr>
      <w:tr w:rsidR="00C5254B" w:rsidRPr="00AB7796" w14:paraId="744137DE" w14:textId="77777777" w:rsidTr="00F81492">
        <w:trPr>
          <w:trHeight w:val="198"/>
        </w:trPr>
        <w:tc>
          <w:tcPr>
            <w:tcW w:w="900" w:type="pct"/>
            <w:noWrap/>
          </w:tcPr>
          <w:p w14:paraId="6D4C663D" w14:textId="77777777" w:rsidR="00C5254B" w:rsidRPr="00803F05" w:rsidRDefault="00C5254B" w:rsidP="00F81492">
            <w:pPr>
              <w:pStyle w:val="Table"/>
              <w:rPr>
                <w:color w:val="000000"/>
                <w:szCs w:val="20"/>
                <w:lang w:eastAsia="en-AU"/>
              </w:rPr>
            </w:pPr>
            <w:r w:rsidRPr="00803F05">
              <w:rPr>
                <w:color w:val="000000"/>
                <w:szCs w:val="20"/>
                <w:lang w:eastAsia="en-AU"/>
              </w:rPr>
              <w:t>Total program cost</w:t>
            </w:r>
          </w:p>
        </w:tc>
        <w:tc>
          <w:tcPr>
            <w:tcW w:w="632" w:type="pct"/>
            <w:noWrap/>
            <w:vAlign w:val="bottom"/>
          </w:tcPr>
          <w:p w14:paraId="26FB10B9" w14:textId="77777777" w:rsidR="00C5254B" w:rsidRPr="00733D42" w:rsidRDefault="00C5254B" w:rsidP="00803F05">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00803F05" w:rsidRPr="00803F05">
              <w:rPr>
                <w:rFonts w:ascii="Arial Narrow" w:hAnsi="Arial Narrow" w:cs="Arial"/>
                <w:b/>
                <w:color w:val="000000"/>
                <w:sz w:val="20"/>
                <w:szCs w:val="22"/>
              </w:rPr>
              <w:t>redacted</w:t>
            </w:r>
          </w:p>
        </w:tc>
        <w:tc>
          <w:tcPr>
            <w:tcW w:w="570" w:type="pct"/>
            <w:noWrap/>
            <w:vAlign w:val="bottom"/>
          </w:tcPr>
          <w:p w14:paraId="08BD45AE" w14:textId="77777777" w:rsidR="00C5254B" w:rsidRPr="00733D42" w:rsidRDefault="00803F05"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c>
          <w:tcPr>
            <w:tcW w:w="570" w:type="pct"/>
            <w:noWrap/>
            <w:vAlign w:val="bottom"/>
          </w:tcPr>
          <w:p w14:paraId="6026C7BA" w14:textId="77777777" w:rsidR="00C5254B" w:rsidRPr="00733D42" w:rsidRDefault="00803F05"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c>
          <w:tcPr>
            <w:tcW w:w="570" w:type="pct"/>
            <w:noWrap/>
            <w:vAlign w:val="bottom"/>
          </w:tcPr>
          <w:p w14:paraId="4AC90828" w14:textId="77777777" w:rsidR="00C5254B" w:rsidRPr="00733D42" w:rsidRDefault="00803F05"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c>
          <w:tcPr>
            <w:tcW w:w="570" w:type="pct"/>
            <w:noWrap/>
            <w:vAlign w:val="bottom"/>
          </w:tcPr>
          <w:p w14:paraId="1D4ABB5A" w14:textId="77777777" w:rsidR="00C5254B" w:rsidRPr="00733D42" w:rsidRDefault="00803F05"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c>
          <w:tcPr>
            <w:tcW w:w="570" w:type="pct"/>
            <w:noWrap/>
            <w:vAlign w:val="bottom"/>
          </w:tcPr>
          <w:p w14:paraId="570236D9" w14:textId="77777777" w:rsidR="00C5254B" w:rsidRPr="00733D42" w:rsidRDefault="00803F05"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c>
          <w:tcPr>
            <w:tcW w:w="620" w:type="pct"/>
            <w:noWrap/>
            <w:vAlign w:val="bottom"/>
          </w:tcPr>
          <w:p w14:paraId="0AFF03CB" w14:textId="77777777" w:rsidR="00C5254B" w:rsidRPr="00733D42" w:rsidRDefault="00803F05"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r>
      <w:tr w:rsidR="00803F05" w:rsidRPr="00AB7796" w14:paraId="5D84A2DB" w14:textId="77777777" w:rsidTr="00916D53">
        <w:trPr>
          <w:trHeight w:val="198"/>
        </w:trPr>
        <w:tc>
          <w:tcPr>
            <w:tcW w:w="900" w:type="pct"/>
            <w:noWrap/>
          </w:tcPr>
          <w:p w14:paraId="0509378A" w14:textId="77777777" w:rsidR="00803F05" w:rsidRPr="00803F05" w:rsidRDefault="00803F05" w:rsidP="00803F05">
            <w:pPr>
              <w:pStyle w:val="Table"/>
              <w:rPr>
                <w:color w:val="000000"/>
                <w:szCs w:val="20"/>
                <w:lang w:eastAsia="en-AU"/>
              </w:rPr>
            </w:pPr>
            <w:r w:rsidRPr="00803F05">
              <w:rPr>
                <w:color w:val="000000"/>
                <w:szCs w:val="20"/>
                <w:lang w:eastAsia="en-AU"/>
              </w:rPr>
              <w:t>Net budget impact</w:t>
            </w:r>
          </w:p>
        </w:tc>
        <w:tc>
          <w:tcPr>
            <w:tcW w:w="632" w:type="pct"/>
            <w:noWrap/>
            <w:vAlign w:val="bottom"/>
          </w:tcPr>
          <w:p w14:paraId="4DA44E39" w14:textId="77777777" w:rsidR="00803F05" w:rsidRPr="00733D42" w:rsidRDefault="00803F05" w:rsidP="00803F05">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c>
          <w:tcPr>
            <w:tcW w:w="570" w:type="pct"/>
            <w:noWrap/>
            <w:vAlign w:val="bottom"/>
          </w:tcPr>
          <w:p w14:paraId="3359B72D" w14:textId="77777777" w:rsidR="00803F05" w:rsidRPr="00733D42" w:rsidRDefault="00803F05" w:rsidP="00803F05">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c>
          <w:tcPr>
            <w:tcW w:w="570" w:type="pct"/>
            <w:noWrap/>
            <w:vAlign w:val="bottom"/>
          </w:tcPr>
          <w:p w14:paraId="13D5045B" w14:textId="77777777" w:rsidR="00803F05" w:rsidRPr="00733D42" w:rsidRDefault="00803F05" w:rsidP="00803F05">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c>
          <w:tcPr>
            <w:tcW w:w="570" w:type="pct"/>
            <w:noWrap/>
          </w:tcPr>
          <w:p w14:paraId="6E14C3B7" w14:textId="77777777" w:rsidR="00803F05" w:rsidRPr="00733D42" w:rsidRDefault="00803F05" w:rsidP="00803F05">
            <w:pPr>
              <w:jc w:val="right"/>
              <w:rPr>
                <w:rFonts w:ascii="Arial Narrow" w:hAnsi="Arial Narrow" w:cs="Arial"/>
                <w:color w:val="000000"/>
                <w:sz w:val="20"/>
                <w:szCs w:val="22"/>
                <w:highlight w:val="green"/>
              </w:rPr>
            </w:pPr>
            <w:r w:rsidRPr="00FA506E">
              <w:rPr>
                <w:rFonts w:ascii="Arial Narrow" w:hAnsi="Arial Narrow" w:cs="Arial"/>
                <w:color w:val="000000"/>
                <w:sz w:val="20"/>
                <w:szCs w:val="22"/>
              </w:rPr>
              <w:t>$</w:t>
            </w:r>
            <w:r w:rsidRPr="00FA506E">
              <w:rPr>
                <w:rFonts w:ascii="Arial Narrow" w:hAnsi="Arial Narrow" w:cs="Arial"/>
                <w:b/>
                <w:color w:val="000000"/>
                <w:sz w:val="20"/>
                <w:szCs w:val="22"/>
              </w:rPr>
              <w:t>redacted</w:t>
            </w:r>
          </w:p>
        </w:tc>
        <w:tc>
          <w:tcPr>
            <w:tcW w:w="570" w:type="pct"/>
            <w:noWrap/>
          </w:tcPr>
          <w:p w14:paraId="2DA52736" w14:textId="77777777" w:rsidR="00803F05" w:rsidRPr="00733D42" w:rsidRDefault="00803F05" w:rsidP="00803F05">
            <w:pPr>
              <w:jc w:val="right"/>
              <w:rPr>
                <w:rFonts w:ascii="Arial Narrow" w:hAnsi="Arial Narrow" w:cs="Arial"/>
                <w:color w:val="000000"/>
                <w:sz w:val="20"/>
                <w:szCs w:val="22"/>
                <w:highlight w:val="green"/>
              </w:rPr>
            </w:pPr>
            <w:r w:rsidRPr="00FA506E">
              <w:rPr>
                <w:rFonts w:ascii="Arial Narrow" w:hAnsi="Arial Narrow" w:cs="Arial"/>
                <w:color w:val="000000"/>
                <w:sz w:val="20"/>
                <w:szCs w:val="22"/>
              </w:rPr>
              <w:t>$</w:t>
            </w:r>
            <w:r w:rsidRPr="00FA506E">
              <w:rPr>
                <w:rFonts w:ascii="Arial Narrow" w:hAnsi="Arial Narrow" w:cs="Arial"/>
                <w:b/>
                <w:color w:val="000000"/>
                <w:sz w:val="20"/>
                <w:szCs w:val="22"/>
              </w:rPr>
              <w:t>redacted</w:t>
            </w:r>
          </w:p>
        </w:tc>
        <w:tc>
          <w:tcPr>
            <w:tcW w:w="570" w:type="pct"/>
            <w:noWrap/>
          </w:tcPr>
          <w:p w14:paraId="33DE1377" w14:textId="77777777" w:rsidR="00803F05" w:rsidRPr="00733D42" w:rsidRDefault="00803F05" w:rsidP="00803F05">
            <w:pPr>
              <w:jc w:val="right"/>
              <w:rPr>
                <w:rFonts w:ascii="Arial Narrow" w:hAnsi="Arial Narrow" w:cs="Arial"/>
                <w:color w:val="000000"/>
                <w:sz w:val="20"/>
                <w:szCs w:val="22"/>
                <w:highlight w:val="green"/>
              </w:rPr>
            </w:pPr>
            <w:r w:rsidRPr="00792B3B">
              <w:rPr>
                <w:rFonts w:ascii="Arial Narrow" w:hAnsi="Arial Narrow" w:cs="Arial"/>
                <w:color w:val="000000"/>
                <w:sz w:val="20"/>
                <w:szCs w:val="22"/>
              </w:rPr>
              <w:t>$</w:t>
            </w:r>
            <w:r w:rsidRPr="00792B3B">
              <w:rPr>
                <w:rFonts w:ascii="Arial Narrow" w:hAnsi="Arial Narrow" w:cs="Arial"/>
                <w:b/>
                <w:color w:val="000000"/>
                <w:sz w:val="20"/>
                <w:szCs w:val="22"/>
              </w:rPr>
              <w:t>redacted</w:t>
            </w:r>
          </w:p>
        </w:tc>
        <w:tc>
          <w:tcPr>
            <w:tcW w:w="620" w:type="pct"/>
            <w:noWrap/>
          </w:tcPr>
          <w:p w14:paraId="699D95B1" w14:textId="77777777" w:rsidR="00803F05" w:rsidRPr="00733D42" w:rsidRDefault="00803F05" w:rsidP="00803F05">
            <w:pPr>
              <w:jc w:val="right"/>
              <w:rPr>
                <w:rFonts w:ascii="Arial Narrow" w:hAnsi="Arial Narrow" w:cs="Arial"/>
                <w:color w:val="000000"/>
                <w:sz w:val="20"/>
                <w:szCs w:val="22"/>
                <w:highlight w:val="green"/>
              </w:rPr>
            </w:pPr>
            <w:r w:rsidRPr="00792B3B">
              <w:rPr>
                <w:rFonts w:ascii="Arial Narrow" w:hAnsi="Arial Narrow" w:cs="Arial"/>
                <w:color w:val="000000"/>
                <w:sz w:val="20"/>
                <w:szCs w:val="22"/>
              </w:rPr>
              <w:t>$</w:t>
            </w:r>
            <w:r w:rsidRPr="00792B3B">
              <w:rPr>
                <w:rFonts w:ascii="Arial Narrow" w:hAnsi="Arial Narrow" w:cs="Arial"/>
                <w:b/>
                <w:color w:val="000000"/>
                <w:sz w:val="20"/>
                <w:szCs w:val="22"/>
              </w:rPr>
              <w:t>redacted</w:t>
            </w:r>
          </w:p>
        </w:tc>
      </w:tr>
      <w:tr w:rsidR="00C5254B" w:rsidRPr="00AB7796" w14:paraId="7BD7A8EF" w14:textId="77777777" w:rsidTr="00F81492">
        <w:trPr>
          <w:trHeight w:val="198"/>
        </w:trPr>
        <w:tc>
          <w:tcPr>
            <w:tcW w:w="5000" w:type="pct"/>
            <w:gridSpan w:val="8"/>
            <w:shd w:val="clear" w:color="auto" w:fill="BFBFBF" w:themeFill="background1" w:themeFillShade="BF"/>
            <w:noWrap/>
          </w:tcPr>
          <w:p w14:paraId="4468998E" w14:textId="77777777" w:rsidR="00C5254B" w:rsidRPr="00803F05" w:rsidRDefault="00C5254B" w:rsidP="00F81492">
            <w:pPr>
              <w:pStyle w:val="Table"/>
              <w:rPr>
                <w:color w:val="000000"/>
                <w:szCs w:val="20"/>
                <w:lang w:eastAsia="en-AU"/>
              </w:rPr>
            </w:pPr>
            <w:r w:rsidRPr="00803F05">
              <w:rPr>
                <w:color w:val="000000"/>
                <w:szCs w:val="20"/>
                <w:lang w:eastAsia="en-AU"/>
              </w:rPr>
              <w:t>DLBCL indication</w:t>
            </w:r>
          </w:p>
        </w:tc>
      </w:tr>
      <w:tr w:rsidR="00C5254B" w:rsidRPr="00AB7796" w14:paraId="11B2DBD2" w14:textId="77777777" w:rsidTr="00F81492">
        <w:trPr>
          <w:trHeight w:val="198"/>
        </w:trPr>
        <w:tc>
          <w:tcPr>
            <w:tcW w:w="900" w:type="pct"/>
            <w:noWrap/>
          </w:tcPr>
          <w:p w14:paraId="1B78DC8D" w14:textId="77777777" w:rsidR="00C5254B" w:rsidRPr="00803F05" w:rsidRDefault="00C5254B" w:rsidP="00F81492">
            <w:pPr>
              <w:pStyle w:val="Table"/>
              <w:rPr>
                <w:color w:val="000000"/>
                <w:szCs w:val="20"/>
                <w:lang w:eastAsia="en-AU"/>
              </w:rPr>
            </w:pPr>
            <w:r w:rsidRPr="00803F05">
              <w:rPr>
                <w:color w:val="000000"/>
                <w:szCs w:val="20"/>
                <w:lang w:eastAsia="en-AU"/>
              </w:rPr>
              <w:t xml:space="preserve">Expected </w:t>
            </w:r>
            <w:r w:rsidR="00686E65">
              <w:rPr>
                <w:color w:val="000000"/>
                <w:szCs w:val="20"/>
                <w:lang w:eastAsia="en-AU"/>
              </w:rPr>
              <w:t>utilization</w:t>
            </w:r>
          </w:p>
        </w:tc>
        <w:tc>
          <w:tcPr>
            <w:tcW w:w="632" w:type="pct"/>
            <w:noWrap/>
            <w:vAlign w:val="bottom"/>
          </w:tcPr>
          <w:p w14:paraId="06B1CD4A" w14:textId="77777777" w:rsidR="00C5254B" w:rsidRPr="00227489" w:rsidRDefault="00227489" w:rsidP="00F81492">
            <w:pPr>
              <w:jc w:val="center"/>
              <w:rPr>
                <w:rFonts w:ascii="Arial Narrow" w:hAnsi="Arial Narrow" w:cs="Arial"/>
                <w:b/>
                <w:color w:val="000000"/>
                <w:sz w:val="20"/>
                <w:highlight w:val="green"/>
              </w:rPr>
            </w:pPr>
            <w:r w:rsidRPr="00227489">
              <w:rPr>
                <w:rFonts w:ascii="Arial Narrow" w:hAnsi="Arial Narrow" w:cs="Arial"/>
                <w:b/>
                <w:color w:val="000000"/>
                <w:sz w:val="20"/>
              </w:rPr>
              <w:t>redacted</w:t>
            </w:r>
          </w:p>
        </w:tc>
        <w:tc>
          <w:tcPr>
            <w:tcW w:w="570" w:type="pct"/>
            <w:noWrap/>
            <w:vAlign w:val="bottom"/>
          </w:tcPr>
          <w:p w14:paraId="6E1D4EF8" w14:textId="77777777" w:rsidR="00C5254B" w:rsidRPr="00733D42" w:rsidRDefault="00227489" w:rsidP="00F81492">
            <w:pPr>
              <w:jc w:val="center"/>
              <w:rPr>
                <w:rFonts w:ascii="Arial Narrow" w:hAnsi="Arial Narrow" w:cs="Arial"/>
                <w:color w:val="000000"/>
                <w:sz w:val="20"/>
                <w:highlight w:val="green"/>
              </w:rPr>
            </w:pPr>
            <w:r w:rsidRPr="00227489">
              <w:rPr>
                <w:rFonts w:ascii="Arial Narrow" w:hAnsi="Arial Narrow" w:cs="Arial"/>
                <w:b/>
                <w:color w:val="000000"/>
                <w:sz w:val="20"/>
              </w:rPr>
              <w:t>redacted</w:t>
            </w:r>
          </w:p>
        </w:tc>
        <w:tc>
          <w:tcPr>
            <w:tcW w:w="570" w:type="pct"/>
            <w:noWrap/>
            <w:vAlign w:val="bottom"/>
          </w:tcPr>
          <w:p w14:paraId="756B7E0C" w14:textId="77777777" w:rsidR="00C5254B" w:rsidRPr="00733D42" w:rsidRDefault="00227489" w:rsidP="00F81492">
            <w:pPr>
              <w:jc w:val="center"/>
              <w:rPr>
                <w:rFonts w:ascii="Arial Narrow" w:hAnsi="Arial Narrow" w:cs="Arial"/>
                <w:color w:val="000000"/>
                <w:sz w:val="20"/>
                <w:highlight w:val="green"/>
              </w:rPr>
            </w:pPr>
            <w:r w:rsidRPr="00227489">
              <w:rPr>
                <w:rFonts w:ascii="Arial Narrow" w:hAnsi="Arial Narrow" w:cs="Arial"/>
                <w:b/>
                <w:color w:val="000000"/>
                <w:sz w:val="20"/>
              </w:rPr>
              <w:t>redacted</w:t>
            </w:r>
          </w:p>
        </w:tc>
        <w:tc>
          <w:tcPr>
            <w:tcW w:w="570" w:type="pct"/>
            <w:noWrap/>
            <w:vAlign w:val="bottom"/>
          </w:tcPr>
          <w:p w14:paraId="37CF793D" w14:textId="77777777" w:rsidR="00C5254B" w:rsidRPr="00733D42" w:rsidRDefault="00227489" w:rsidP="00F81492">
            <w:pPr>
              <w:jc w:val="center"/>
              <w:rPr>
                <w:rFonts w:ascii="Arial Narrow" w:hAnsi="Arial Narrow" w:cs="Arial"/>
                <w:color w:val="000000"/>
                <w:sz w:val="20"/>
                <w:highlight w:val="green"/>
              </w:rPr>
            </w:pPr>
            <w:r w:rsidRPr="00227489">
              <w:rPr>
                <w:rFonts w:ascii="Arial Narrow" w:hAnsi="Arial Narrow" w:cs="Arial"/>
                <w:b/>
                <w:color w:val="000000"/>
                <w:sz w:val="20"/>
              </w:rPr>
              <w:t>redacted</w:t>
            </w:r>
          </w:p>
        </w:tc>
        <w:tc>
          <w:tcPr>
            <w:tcW w:w="570" w:type="pct"/>
            <w:noWrap/>
            <w:vAlign w:val="bottom"/>
          </w:tcPr>
          <w:p w14:paraId="2D6ADBC6" w14:textId="77777777" w:rsidR="00C5254B" w:rsidRPr="00733D42" w:rsidRDefault="00227489" w:rsidP="00F81492">
            <w:pPr>
              <w:jc w:val="center"/>
              <w:rPr>
                <w:rFonts w:ascii="Arial Narrow" w:hAnsi="Arial Narrow" w:cs="Arial"/>
                <w:color w:val="000000"/>
                <w:sz w:val="20"/>
                <w:highlight w:val="green"/>
              </w:rPr>
            </w:pPr>
            <w:r w:rsidRPr="00227489">
              <w:rPr>
                <w:rFonts w:ascii="Arial Narrow" w:hAnsi="Arial Narrow" w:cs="Arial"/>
                <w:b/>
                <w:color w:val="000000"/>
                <w:sz w:val="20"/>
              </w:rPr>
              <w:t>redacted</w:t>
            </w:r>
          </w:p>
        </w:tc>
        <w:tc>
          <w:tcPr>
            <w:tcW w:w="570" w:type="pct"/>
            <w:noWrap/>
            <w:vAlign w:val="bottom"/>
          </w:tcPr>
          <w:p w14:paraId="777E00C3" w14:textId="77777777" w:rsidR="00C5254B" w:rsidRPr="00733D42" w:rsidRDefault="00227489" w:rsidP="00F81492">
            <w:pPr>
              <w:jc w:val="center"/>
              <w:rPr>
                <w:rFonts w:ascii="Arial Narrow" w:hAnsi="Arial Narrow" w:cs="Arial"/>
                <w:color w:val="000000"/>
                <w:sz w:val="20"/>
                <w:highlight w:val="green"/>
              </w:rPr>
            </w:pPr>
            <w:r w:rsidRPr="00227489">
              <w:rPr>
                <w:rFonts w:ascii="Arial Narrow" w:hAnsi="Arial Narrow" w:cs="Arial"/>
                <w:b/>
                <w:color w:val="000000"/>
                <w:sz w:val="20"/>
              </w:rPr>
              <w:t>redacted</w:t>
            </w:r>
          </w:p>
        </w:tc>
        <w:tc>
          <w:tcPr>
            <w:tcW w:w="620" w:type="pct"/>
            <w:noWrap/>
            <w:vAlign w:val="bottom"/>
          </w:tcPr>
          <w:p w14:paraId="37F01DC5" w14:textId="77777777" w:rsidR="00C5254B" w:rsidRPr="00733D42" w:rsidRDefault="00227489" w:rsidP="00F81492">
            <w:pPr>
              <w:jc w:val="center"/>
              <w:rPr>
                <w:rFonts w:ascii="Arial Narrow" w:hAnsi="Arial Narrow" w:cs="Arial"/>
                <w:color w:val="000000"/>
                <w:sz w:val="20"/>
                <w:highlight w:val="green"/>
              </w:rPr>
            </w:pPr>
            <w:r w:rsidRPr="00227489">
              <w:rPr>
                <w:rFonts w:ascii="Arial Narrow" w:hAnsi="Arial Narrow" w:cs="Arial"/>
                <w:b/>
                <w:color w:val="000000"/>
                <w:sz w:val="20"/>
              </w:rPr>
              <w:t>redacted</w:t>
            </w:r>
          </w:p>
        </w:tc>
      </w:tr>
      <w:tr w:rsidR="00C5254B" w:rsidRPr="00AB7796" w14:paraId="64F7C97A" w14:textId="77777777" w:rsidTr="00F81492">
        <w:trPr>
          <w:trHeight w:val="198"/>
        </w:trPr>
        <w:tc>
          <w:tcPr>
            <w:tcW w:w="900" w:type="pct"/>
            <w:noWrap/>
          </w:tcPr>
          <w:p w14:paraId="15A7C52F" w14:textId="77777777" w:rsidR="00C5254B" w:rsidRPr="00803F05" w:rsidRDefault="00C5254B" w:rsidP="00F81492">
            <w:pPr>
              <w:pStyle w:val="Table"/>
              <w:rPr>
                <w:color w:val="000000"/>
                <w:szCs w:val="20"/>
                <w:lang w:eastAsia="en-AU"/>
              </w:rPr>
            </w:pPr>
            <w:r w:rsidRPr="00803F05">
              <w:rPr>
                <w:color w:val="000000"/>
                <w:szCs w:val="20"/>
                <w:lang w:eastAsia="en-AU"/>
              </w:rPr>
              <w:t>Total program cost</w:t>
            </w:r>
          </w:p>
        </w:tc>
        <w:tc>
          <w:tcPr>
            <w:tcW w:w="632" w:type="pct"/>
            <w:noWrap/>
            <w:vAlign w:val="bottom"/>
          </w:tcPr>
          <w:p w14:paraId="604450E6" w14:textId="77777777" w:rsidR="00C5254B" w:rsidRPr="00733D42" w:rsidRDefault="00803F05"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c>
          <w:tcPr>
            <w:tcW w:w="570" w:type="pct"/>
            <w:noWrap/>
            <w:vAlign w:val="bottom"/>
          </w:tcPr>
          <w:p w14:paraId="37E06391" w14:textId="77777777" w:rsidR="00C5254B" w:rsidRPr="00733D42" w:rsidRDefault="00803F05"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c>
          <w:tcPr>
            <w:tcW w:w="570" w:type="pct"/>
            <w:noWrap/>
            <w:vAlign w:val="bottom"/>
          </w:tcPr>
          <w:p w14:paraId="36588D9D" w14:textId="77777777" w:rsidR="00C5254B" w:rsidRPr="00733D42" w:rsidRDefault="00803F05"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c>
          <w:tcPr>
            <w:tcW w:w="570" w:type="pct"/>
            <w:noWrap/>
            <w:vAlign w:val="bottom"/>
          </w:tcPr>
          <w:p w14:paraId="7E3D9500" w14:textId="77777777" w:rsidR="00C5254B" w:rsidRPr="00733D42" w:rsidRDefault="00803F05"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c>
          <w:tcPr>
            <w:tcW w:w="570" w:type="pct"/>
            <w:noWrap/>
            <w:vAlign w:val="bottom"/>
          </w:tcPr>
          <w:p w14:paraId="1B8A2075" w14:textId="77777777" w:rsidR="00C5254B" w:rsidRPr="00733D42" w:rsidRDefault="00803F05"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c>
          <w:tcPr>
            <w:tcW w:w="570" w:type="pct"/>
            <w:noWrap/>
            <w:vAlign w:val="bottom"/>
          </w:tcPr>
          <w:p w14:paraId="1D0BDAEF" w14:textId="77777777" w:rsidR="00C5254B" w:rsidRPr="00733D42" w:rsidRDefault="00803F05"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c>
          <w:tcPr>
            <w:tcW w:w="620" w:type="pct"/>
            <w:noWrap/>
            <w:vAlign w:val="bottom"/>
          </w:tcPr>
          <w:p w14:paraId="6ADABFAA" w14:textId="77777777" w:rsidR="00C5254B" w:rsidRPr="00733D42" w:rsidRDefault="00803F05"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r>
      <w:tr w:rsidR="00C5254B" w:rsidRPr="00AB7796" w14:paraId="5243BF18" w14:textId="77777777" w:rsidTr="00F81492">
        <w:trPr>
          <w:trHeight w:val="198"/>
        </w:trPr>
        <w:tc>
          <w:tcPr>
            <w:tcW w:w="900" w:type="pct"/>
            <w:noWrap/>
          </w:tcPr>
          <w:p w14:paraId="10F93CBE" w14:textId="77777777" w:rsidR="00C5254B" w:rsidRPr="00803F05" w:rsidRDefault="00C5254B" w:rsidP="00F81492">
            <w:pPr>
              <w:pStyle w:val="Table"/>
              <w:rPr>
                <w:color w:val="000000"/>
                <w:szCs w:val="20"/>
                <w:lang w:eastAsia="en-AU"/>
              </w:rPr>
            </w:pPr>
            <w:r w:rsidRPr="00803F05">
              <w:rPr>
                <w:color w:val="000000"/>
                <w:szCs w:val="20"/>
                <w:lang w:eastAsia="en-AU"/>
              </w:rPr>
              <w:t>Net budget impact</w:t>
            </w:r>
          </w:p>
        </w:tc>
        <w:tc>
          <w:tcPr>
            <w:tcW w:w="632" w:type="pct"/>
            <w:noWrap/>
            <w:vAlign w:val="bottom"/>
          </w:tcPr>
          <w:p w14:paraId="449BFC52" w14:textId="77777777" w:rsidR="00C5254B" w:rsidRPr="00733D42" w:rsidRDefault="00803F05"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c>
          <w:tcPr>
            <w:tcW w:w="570" w:type="pct"/>
            <w:noWrap/>
            <w:vAlign w:val="bottom"/>
          </w:tcPr>
          <w:p w14:paraId="2F2BB194" w14:textId="77777777" w:rsidR="00C5254B" w:rsidRPr="00733D42" w:rsidRDefault="00803F05"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c>
          <w:tcPr>
            <w:tcW w:w="570" w:type="pct"/>
            <w:noWrap/>
            <w:vAlign w:val="bottom"/>
          </w:tcPr>
          <w:p w14:paraId="3A4841CC" w14:textId="77777777" w:rsidR="00C5254B" w:rsidRPr="00733D42" w:rsidRDefault="00803F05"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c>
          <w:tcPr>
            <w:tcW w:w="570" w:type="pct"/>
            <w:noWrap/>
            <w:vAlign w:val="bottom"/>
          </w:tcPr>
          <w:p w14:paraId="01111072" w14:textId="77777777" w:rsidR="00C5254B" w:rsidRPr="00733D42" w:rsidRDefault="00803F05"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c>
          <w:tcPr>
            <w:tcW w:w="570" w:type="pct"/>
            <w:noWrap/>
            <w:vAlign w:val="bottom"/>
          </w:tcPr>
          <w:p w14:paraId="06B09705" w14:textId="77777777" w:rsidR="00C5254B" w:rsidRPr="00733D42" w:rsidRDefault="00227489"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c>
          <w:tcPr>
            <w:tcW w:w="570" w:type="pct"/>
            <w:noWrap/>
            <w:vAlign w:val="bottom"/>
          </w:tcPr>
          <w:p w14:paraId="3F9E57BC" w14:textId="77777777" w:rsidR="00C5254B" w:rsidRPr="00733D42" w:rsidRDefault="00227489"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c>
          <w:tcPr>
            <w:tcW w:w="620" w:type="pct"/>
            <w:noWrap/>
            <w:vAlign w:val="bottom"/>
          </w:tcPr>
          <w:p w14:paraId="3898A020" w14:textId="77777777" w:rsidR="00C5254B" w:rsidRPr="00733D42" w:rsidRDefault="00227489"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r>
      <w:tr w:rsidR="00C5254B" w:rsidRPr="00AB7796" w14:paraId="7F3B4999" w14:textId="77777777" w:rsidTr="00F81492">
        <w:trPr>
          <w:trHeight w:val="198"/>
        </w:trPr>
        <w:tc>
          <w:tcPr>
            <w:tcW w:w="5000" w:type="pct"/>
            <w:gridSpan w:val="8"/>
            <w:shd w:val="clear" w:color="auto" w:fill="BFBFBF" w:themeFill="background1" w:themeFillShade="BF"/>
            <w:noWrap/>
          </w:tcPr>
          <w:p w14:paraId="0C06E2E6" w14:textId="77777777" w:rsidR="00C5254B" w:rsidRPr="00803F05" w:rsidRDefault="00C5254B" w:rsidP="00F81492">
            <w:pPr>
              <w:pStyle w:val="Table"/>
              <w:rPr>
                <w:color w:val="000000"/>
                <w:szCs w:val="20"/>
                <w:lang w:eastAsia="en-AU"/>
              </w:rPr>
            </w:pPr>
            <w:r w:rsidRPr="00803F05">
              <w:rPr>
                <w:color w:val="000000"/>
                <w:szCs w:val="20"/>
                <w:lang w:eastAsia="en-AU"/>
              </w:rPr>
              <w:t>Total</w:t>
            </w:r>
          </w:p>
        </w:tc>
      </w:tr>
      <w:tr w:rsidR="00C5254B" w:rsidRPr="00AB7796" w14:paraId="6B9FB551" w14:textId="77777777" w:rsidTr="00F81492">
        <w:trPr>
          <w:trHeight w:val="198"/>
        </w:trPr>
        <w:tc>
          <w:tcPr>
            <w:tcW w:w="900" w:type="pct"/>
            <w:noWrap/>
            <w:hideMark/>
          </w:tcPr>
          <w:p w14:paraId="20836DB1" w14:textId="77777777" w:rsidR="00C5254B" w:rsidRPr="00803F05" w:rsidRDefault="00C5254B" w:rsidP="00F81492">
            <w:pPr>
              <w:pStyle w:val="Table"/>
              <w:rPr>
                <w:color w:val="000000"/>
                <w:szCs w:val="20"/>
                <w:lang w:eastAsia="en-AU"/>
              </w:rPr>
            </w:pPr>
            <w:r w:rsidRPr="00803F05">
              <w:rPr>
                <w:color w:val="000000"/>
                <w:szCs w:val="20"/>
                <w:lang w:eastAsia="en-AU"/>
              </w:rPr>
              <w:t xml:space="preserve">Expected </w:t>
            </w:r>
            <w:r w:rsidR="00686E65">
              <w:rPr>
                <w:color w:val="000000"/>
                <w:szCs w:val="20"/>
                <w:lang w:eastAsia="en-AU"/>
              </w:rPr>
              <w:t>utilization</w:t>
            </w:r>
          </w:p>
        </w:tc>
        <w:tc>
          <w:tcPr>
            <w:tcW w:w="632" w:type="pct"/>
            <w:noWrap/>
            <w:vAlign w:val="bottom"/>
            <w:hideMark/>
          </w:tcPr>
          <w:p w14:paraId="6D13E38F" w14:textId="77777777" w:rsidR="00C5254B" w:rsidRPr="00733D42" w:rsidRDefault="00227489" w:rsidP="00F81492">
            <w:pPr>
              <w:jc w:val="center"/>
              <w:rPr>
                <w:rFonts w:ascii="Arial Narrow" w:hAnsi="Arial Narrow" w:cs="Arial"/>
                <w:color w:val="000000"/>
                <w:sz w:val="20"/>
                <w:szCs w:val="22"/>
                <w:highlight w:val="green"/>
              </w:rPr>
            </w:pPr>
            <w:r w:rsidRPr="00227489">
              <w:rPr>
                <w:rFonts w:ascii="Arial Narrow" w:hAnsi="Arial Narrow" w:cs="Arial"/>
                <w:b/>
                <w:color w:val="000000"/>
                <w:sz w:val="20"/>
              </w:rPr>
              <w:t>redacted</w:t>
            </w:r>
          </w:p>
        </w:tc>
        <w:tc>
          <w:tcPr>
            <w:tcW w:w="570" w:type="pct"/>
            <w:noWrap/>
            <w:vAlign w:val="bottom"/>
            <w:hideMark/>
          </w:tcPr>
          <w:p w14:paraId="2F0DD0FF" w14:textId="77777777" w:rsidR="00C5254B" w:rsidRPr="00733D42" w:rsidRDefault="00227489" w:rsidP="00F81492">
            <w:pPr>
              <w:jc w:val="center"/>
              <w:rPr>
                <w:rFonts w:ascii="Arial Narrow" w:hAnsi="Arial Narrow" w:cs="Arial"/>
                <w:color w:val="000000"/>
                <w:sz w:val="20"/>
                <w:szCs w:val="22"/>
                <w:highlight w:val="green"/>
              </w:rPr>
            </w:pPr>
            <w:r w:rsidRPr="00227489">
              <w:rPr>
                <w:rFonts w:ascii="Arial Narrow" w:hAnsi="Arial Narrow" w:cs="Arial"/>
                <w:b/>
                <w:color w:val="000000"/>
                <w:sz w:val="20"/>
              </w:rPr>
              <w:t>redacted</w:t>
            </w:r>
          </w:p>
        </w:tc>
        <w:tc>
          <w:tcPr>
            <w:tcW w:w="570" w:type="pct"/>
            <w:noWrap/>
            <w:vAlign w:val="bottom"/>
            <w:hideMark/>
          </w:tcPr>
          <w:p w14:paraId="40179DC7" w14:textId="77777777" w:rsidR="00C5254B" w:rsidRPr="00733D42" w:rsidRDefault="00227489" w:rsidP="00F81492">
            <w:pPr>
              <w:jc w:val="center"/>
              <w:rPr>
                <w:rFonts w:ascii="Arial Narrow" w:hAnsi="Arial Narrow" w:cs="Arial"/>
                <w:color w:val="000000"/>
                <w:sz w:val="20"/>
                <w:szCs w:val="22"/>
                <w:highlight w:val="green"/>
              </w:rPr>
            </w:pPr>
            <w:r w:rsidRPr="00227489">
              <w:rPr>
                <w:rFonts w:ascii="Arial Narrow" w:hAnsi="Arial Narrow" w:cs="Arial"/>
                <w:b/>
                <w:color w:val="000000"/>
                <w:sz w:val="20"/>
              </w:rPr>
              <w:t>redacted</w:t>
            </w:r>
          </w:p>
        </w:tc>
        <w:tc>
          <w:tcPr>
            <w:tcW w:w="570" w:type="pct"/>
            <w:noWrap/>
            <w:vAlign w:val="bottom"/>
            <w:hideMark/>
          </w:tcPr>
          <w:p w14:paraId="650CBEA5" w14:textId="77777777" w:rsidR="00C5254B" w:rsidRPr="00733D42" w:rsidRDefault="00227489" w:rsidP="00F81492">
            <w:pPr>
              <w:jc w:val="center"/>
              <w:rPr>
                <w:rFonts w:ascii="Arial Narrow" w:hAnsi="Arial Narrow" w:cs="Arial"/>
                <w:color w:val="000000"/>
                <w:sz w:val="20"/>
                <w:szCs w:val="22"/>
                <w:highlight w:val="green"/>
              </w:rPr>
            </w:pPr>
            <w:r w:rsidRPr="00227489">
              <w:rPr>
                <w:rFonts w:ascii="Arial Narrow" w:hAnsi="Arial Narrow" w:cs="Arial"/>
                <w:b/>
                <w:color w:val="000000"/>
                <w:sz w:val="20"/>
              </w:rPr>
              <w:t>redacted</w:t>
            </w:r>
          </w:p>
        </w:tc>
        <w:tc>
          <w:tcPr>
            <w:tcW w:w="570" w:type="pct"/>
            <w:noWrap/>
            <w:vAlign w:val="bottom"/>
            <w:hideMark/>
          </w:tcPr>
          <w:p w14:paraId="34FABA9A" w14:textId="77777777" w:rsidR="00C5254B" w:rsidRPr="00733D42" w:rsidRDefault="00227489" w:rsidP="00F81492">
            <w:pPr>
              <w:jc w:val="center"/>
              <w:rPr>
                <w:rFonts w:ascii="Arial Narrow" w:hAnsi="Arial Narrow" w:cs="Arial"/>
                <w:color w:val="000000"/>
                <w:sz w:val="20"/>
                <w:szCs w:val="22"/>
                <w:highlight w:val="green"/>
              </w:rPr>
            </w:pPr>
            <w:r w:rsidRPr="00227489">
              <w:rPr>
                <w:rFonts w:ascii="Arial Narrow" w:hAnsi="Arial Narrow" w:cs="Arial"/>
                <w:b/>
                <w:color w:val="000000"/>
                <w:sz w:val="20"/>
              </w:rPr>
              <w:t>redacted</w:t>
            </w:r>
          </w:p>
        </w:tc>
        <w:tc>
          <w:tcPr>
            <w:tcW w:w="570" w:type="pct"/>
            <w:noWrap/>
            <w:vAlign w:val="bottom"/>
            <w:hideMark/>
          </w:tcPr>
          <w:p w14:paraId="11D566B0" w14:textId="77777777" w:rsidR="00C5254B" w:rsidRPr="00733D42" w:rsidRDefault="00227489" w:rsidP="00F81492">
            <w:pPr>
              <w:jc w:val="center"/>
              <w:rPr>
                <w:rFonts w:ascii="Arial Narrow" w:hAnsi="Arial Narrow" w:cs="Arial"/>
                <w:color w:val="000000"/>
                <w:sz w:val="20"/>
                <w:szCs w:val="22"/>
                <w:highlight w:val="green"/>
              </w:rPr>
            </w:pPr>
            <w:r w:rsidRPr="00227489">
              <w:rPr>
                <w:rFonts w:ascii="Arial Narrow" w:hAnsi="Arial Narrow" w:cs="Arial"/>
                <w:b/>
                <w:color w:val="000000"/>
                <w:sz w:val="20"/>
              </w:rPr>
              <w:t>redacted</w:t>
            </w:r>
          </w:p>
        </w:tc>
        <w:tc>
          <w:tcPr>
            <w:tcW w:w="620" w:type="pct"/>
            <w:noWrap/>
            <w:vAlign w:val="bottom"/>
          </w:tcPr>
          <w:p w14:paraId="42D11F04" w14:textId="77777777" w:rsidR="00C5254B" w:rsidRPr="00733D42" w:rsidRDefault="00227489" w:rsidP="00F81492">
            <w:pPr>
              <w:jc w:val="center"/>
              <w:rPr>
                <w:rFonts w:ascii="Arial Narrow" w:hAnsi="Arial Narrow" w:cs="Arial"/>
                <w:color w:val="000000"/>
                <w:sz w:val="20"/>
                <w:szCs w:val="22"/>
                <w:highlight w:val="green"/>
              </w:rPr>
            </w:pPr>
            <w:r w:rsidRPr="00227489">
              <w:rPr>
                <w:rFonts w:ascii="Arial Narrow" w:hAnsi="Arial Narrow" w:cs="Arial"/>
                <w:b/>
                <w:color w:val="000000"/>
                <w:sz w:val="20"/>
              </w:rPr>
              <w:t>redacted</w:t>
            </w:r>
          </w:p>
        </w:tc>
      </w:tr>
      <w:tr w:rsidR="00C5254B" w:rsidRPr="00AB7796" w14:paraId="48B62A0A" w14:textId="77777777" w:rsidTr="00F81492">
        <w:trPr>
          <w:trHeight w:val="198"/>
        </w:trPr>
        <w:tc>
          <w:tcPr>
            <w:tcW w:w="900" w:type="pct"/>
            <w:noWrap/>
          </w:tcPr>
          <w:p w14:paraId="68FBCE99" w14:textId="77777777" w:rsidR="00C5254B" w:rsidRPr="00803F05" w:rsidRDefault="00C5254B" w:rsidP="00F81492">
            <w:pPr>
              <w:pStyle w:val="Table"/>
              <w:rPr>
                <w:rStyle w:val="Small"/>
                <w:szCs w:val="20"/>
              </w:rPr>
            </w:pPr>
            <w:r w:rsidRPr="00803F05">
              <w:rPr>
                <w:rStyle w:val="Small"/>
                <w:szCs w:val="20"/>
              </w:rPr>
              <w:t>Total program cost</w:t>
            </w:r>
          </w:p>
        </w:tc>
        <w:tc>
          <w:tcPr>
            <w:tcW w:w="632" w:type="pct"/>
            <w:noWrap/>
            <w:vAlign w:val="bottom"/>
          </w:tcPr>
          <w:p w14:paraId="1F31AC42" w14:textId="77777777" w:rsidR="00C5254B" w:rsidRPr="00733D42" w:rsidRDefault="00227489"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c>
          <w:tcPr>
            <w:tcW w:w="570" w:type="pct"/>
            <w:noWrap/>
            <w:vAlign w:val="bottom"/>
          </w:tcPr>
          <w:p w14:paraId="4FAA304D" w14:textId="77777777" w:rsidR="00C5254B" w:rsidRPr="00733D42" w:rsidRDefault="00227489"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c>
          <w:tcPr>
            <w:tcW w:w="570" w:type="pct"/>
            <w:noWrap/>
            <w:vAlign w:val="bottom"/>
          </w:tcPr>
          <w:p w14:paraId="4F0BC905" w14:textId="77777777" w:rsidR="00C5254B" w:rsidRPr="00733D42" w:rsidRDefault="00227489"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c>
          <w:tcPr>
            <w:tcW w:w="570" w:type="pct"/>
            <w:noWrap/>
            <w:vAlign w:val="bottom"/>
          </w:tcPr>
          <w:p w14:paraId="122BB6DC" w14:textId="77777777" w:rsidR="00C5254B" w:rsidRPr="00733D42" w:rsidRDefault="00227489"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c>
          <w:tcPr>
            <w:tcW w:w="570" w:type="pct"/>
            <w:noWrap/>
            <w:vAlign w:val="bottom"/>
          </w:tcPr>
          <w:p w14:paraId="3212DAEF" w14:textId="77777777" w:rsidR="00C5254B" w:rsidRPr="00733D42" w:rsidRDefault="00227489"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c>
          <w:tcPr>
            <w:tcW w:w="570" w:type="pct"/>
            <w:noWrap/>
            <w:vAlign w:val="bottom"/>
          </w:tcPr>
          <w:p w14:paraId="1865C178" w14:textId="77777777" w:rsidR="00C5254B" w:rsidRPr="00733D42" w:rsidRDefault="00227489"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c>
          <w:tcPr>
            <w:tcW w:w="620" w:type="pct"/>
            <w:noWrap/>
            <w:vAlign w:val="bottom"/>
          </w:tcPr>
          <w:p w14:paraId="12BBC661" w14:textId="77777777" w:rsidR="00C5254B" w:rsidRPr="00733D42" w:rsidRDefault="00227489"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r>
      <w:tr w:rsidR="00C5254B" w:rsidRPr="00190DDB" w14:paraId="7C36EAA8" w14:textId="77777777" w:rsidTr="00F81492">
        <w:trPr>
          <w:trHeight w:val="198"/>
        </w:trPr>
        <w:tc>
          <w:tcPr>
            <w:tcW w:w="900" w:type="pct"/>
            <w:noWrap/>
          </w:tcPr>
          <w:p w14:paraId="0F77A152" w14:textId="77777777" w:rsidR="00C5254B" w:rsidRPr="00803F05" w:rsidRDefault="00C5254B" w:rsidP="00F81492">
            <w:pPr>
              <w:pStyle w:val="Table"/>
              <w:rPr>
                <w:rStyle w:val="Small"/>
                <w:szCs w:val="20"/>
              </w:rPr>
            </w:pPr>
            <w:r w:rsidRPr="00803F05">
              <w:rPr>
                <w:rStyle w:val="Small"/>
                <w:szCs w:val="20"/>
              </w:rPr>
              <w:t>Net budget impact</w:t>
            </w:r>
          </w:p>
        </w:tc>
        <w:tc>
          <w:tcPr>
            <w:tcW w:w="632" w:type="pct"/>
            <w:noWrap/>
            <w:vAlign w:val="bottom"/>
          </w:tcPr>
          <w:p w14:paraId="7B74788A" w14:textId="77777777" w:rsidR="00C5254B" w:rsidRPr="00733D42" w:rsidRDefault="00227489"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c>
          <w:tcPr>
            <w:tcW w:w="570" w:type="pct"/>
            <w:noWrap/>
            <w:vAlign w:val="bottom"/>
          </w:tcPr>
          <w:p w14:paraId="3E41375A" w14:textId="77777777" w:rsidR="00C5254B" w:rsidRPr="00733D42" w:rsidRDefault="00227489"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c>
          <w:tcPr>
            <w:tcW w:w="570" w:type="pct"/>
            <w:noWrap/>
            <w:vAlign w:val="bottom"/>
          </w:tcPr>
          <w:p w14:paraId="66F53CDA" w14:textId="77777777" w:rsidR="00C5254B" w:rsidRPr="00733D42" w:rsidRDefault="00227489"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c>
          <w:tcPr>
            <w:tcW w:w="570" w:type="pct"/>
            <w:noWrap/>
            <w:vAlign w:val="bottom"/>
          </w:tcPr>
          <w:p w14:paraId="692C6A22" w14:textId="77777777" w:rsidR="00C5254B" w:rsidRPr="00733D42" w:rsidRDefault="00227489"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c>
          <w:tcPr>
            <w:tcW w:w="570" w:type="pct"/>
            <w:noWrap/>
            <w:vAlign w:val="bottom"/>
          </w:tcPr>
          <w:p w14:paraId="67F08C9D" w14:textId="77777777" w:rsidR="00C5254B" w:rsidRPr="00733D42" w:rsidRDefault="00227489"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c>
          <w:tcPr>
            <w:tcW w:w="570" w:type="pct"/>
            <w:noWrap/>
            <w:vAlign w:val="bottom"/>
          </w:tcPr>
          <w:p w14:paraId="124F6351" w14:textId="77777777" w:rsidR="00C5254B" w:rsidRPr="00733D42" w:rsidRDefault="00227489"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c>
          <w:tcPr>
            <w:tcW w:w="620" w:type="pct"/>
            <w:noWrap/>
            <w:vAlign w:val="bottom"/>
          </w:tcPr>
          <w:p w14:paraId="0AA1CCB5" w14:textId="77777777" w:rsidR="00C5254B" w:rsidRPr="00733D42" w:rsidRDefault="00227489" w:rsidP="00F81492">
            <w:pPr>
              <w:jc w:val="right"/>
              <w:rPr>
                <w:rFonts w:ascii="Arial Narrow" w:hAnsi="Arial Narrow" w:cs="Arial"/>
                <w:color w:val="000000"/>
                <w:sz w:val="20"/>
                <w:szCs w:val="22"/>
                <w:highlight w:val="green"/>
              </w:rPr>
            </w:pPr>
            <w:r w:rsidRPr="00803F05">
              <w:rPr>
                <w:rFonts w:ascii="Arial Narrow" w:hAnsi="Arial Narrow" w:cs="Arial"/>
                <w:color w:val="000000"/>
                <w:sz w:val="20"/>
                <w:szCs w:val="22"/>
              </w:rPr>
              <w:t>$</w:t>
            </w:r>
            <w:r w:rsidRPr="00803F05">
              <w:rPr>
                <w:rFonts w:ascii="Arial Narrow" w:hAnsi="Arial Narrow" w:cs="Arial"/>
                <w:b/>
                <w:color w:val="000000"/>
                <w:sz w:val="20"/>
                <w:szCs w:val="22"/>
              </w:rPr>
              <w:t>redacted</w:t>
            </w:r>
          </w:p>
        </w:tc>
      </w:tr>
    </w:tbl>
    <w:p w14:paraId="61D523FE" w14:textId="77777777" w:rsidR="00C5254B" w:rsidRDefault="00C5254B" w:rsidP="00C5254B">
      <w:pPr>
        <w:pStyle w:val="CaptionFootnote"/>
        <w:rPr>
          <w:rFonts w:ascii="Arial Narrow" w:hAnsi="Arial Narrow"/>
          <w:sz w:val="18"/>
        </w:rPr>
      </w:pPr>
      <w:r w:rsidRPr="00190DDB">
        <w:rPr>
          <w:rFonts w:ascii="Arial Narrow" w:hAnsi="Arial Narrow"/>
          <w:sz w:val="18"/>
        </w:rPr>
        <w:t xml:space="preserve">Source: </w:t>
      </w:r>
      <w:r>
        <w:rPr>
          <w:rFonts w:ascii="Arial Narrow" w:hAnsi="Arial Narrow"/>
          <w:sz w:val="18"/>
        </w:rPr>
        <w:t xml:space="preserve">Extracted from excel spreadsheet: ‘Applicant </w:t>
      </w:r>
      <w:proofErr w:type="spellStart"/>
      <w:r>
        <w:rPr>
          <w:rFonts w:ascii="Arial Narrow" w:hAnsi="Arial Narrow"/>
          <w:sz w:val="18"/>
        </w:rPr>
        <w:t>preMSAC</w:t>
      </w:r>
      <w:proofErr w:type="spellEnd"/>
      <w:r>
        <w:rPr>
          <w:rFonts w:ascii="Arial Narrow" w:hAnsi="Arial Narrow"/>
          <w:sz w:val="18"/>
        </w:rPr>
        <w:t xml:space="preserve"> </w:t>
      </w:r>
      <w:proofErr w:type="spellStart"/>
      <w:r>
        <w:rPr>
          <w:rFonts w:ascii="Arial Narrow" w:hAnsi="Arial Narrow"/>
          <w:sz w:val="18"/>
        </w:rPr>
        <w:t>response_TIS</w:t>
      </w:r>
      <w:proofErr w:type="spellEnd"/>
      <w:r>
        <w:rPr>
          <w:rFonts w:ascii="Arial Narrow" w:hAnsi="Arial Narrow"/>
          <w:sz w:val="18"/>
        </w:rPr>
        <w:t xml:space="preserve"> Section E Workbook (ESC)’</w:t>
      </w:r>
    </w:p>
    <w:p w14:paraId="48D2B5F1" w14:textId="77777777" w:rsidR="00C5254B" w:rsidRDefault="00C5254B" w:rsidP="00A21401">
      <w:pPr>
        <w:pStyle w:val="CaptionFootnote"/>
        <w:spacing w:after="240"/>
        <w:rPr>
          <w:rFonts w:ascii="Arial Narrow" w:hAnsi="Arial Narrow"/>
          <w:sz w:val="18"/>
        </w:rPr>
      </w:pPr>
      <w:r w:rsidRPr="00193153">
        <w:rPr>
          <w:rFonts w:ascii="Arial Narrow" w:hAnsi="Arial Narrow"/>
          <w:sz w:val="18"/>
        </w:rPr>
        <w:t>Abbreviations:</w:t>
      </w:r>
      <w:r>
        <w:rPr>
          <w:rFonts w:ascii="Arial Narrow" w:hAnsi="Arial Narrow"/>
          <w:sz w:val="18"/>
        </w:rPr>
        <w:t xml:space="preserve"> DLBCL = diffuse large B-cell lymphoma; </w:t>
      </w:r>
      <w:proofErr w:type="spellStart"/>
      <w:r>
        <w:rPr>
          <w:rFonts w:ascii="Arial Narrow" w:hAnsi="Arial Narrow"/>
          <w:sz w:val="18"/>
        </w:rPr>
        <w:t>pALL</w:t>
      </w:r>
      <w:proofErr w:type="spellEnd"/>
      <w:r>
        <w:rPr>
          <w:rFonts w:ascii="Arial Narrow" w:hAnsi="Arial Narrow"/>
          <w:sz w:val="18"/>
        </w:rPr>
        <w:t xml:space="preserve"> = paediatric acute lymphocytic leukaemia</w:t>
      </w:r>
    </w:p>
    <w:p w14:paraId="569AC341" w14:textId="77777777" w:rsidR="006A0D97" w:rsidRPr="00F715D1" w:rsidRDefault="006A0D97" w:rsidP="00F715D1">
      <w:pPr>
        <w:pStyle w:val="Heading1"/>
      </w:pPr>
      <w:r w:rsidRPr="00F715D1">
        <w:lastRenderedPageBreak/>
        <w:t>Key issues from ESC for MSAC</w:t>
      </w:r>
    </w:p>
    <w:tbl>
      <w:tblPr>
        <w:tblStyle w:val="TableGrid"/>
        <w:tblW w:w="0" w:type="auto"/>
        <w:tblLook w:val="04A0" w:firstRow="1" w:lastRow="0" w:firstColumn="1" w:lastColumn="0" w:noHBand="0" w:noVBand="1"/>
        <w:tblCaption w:val="Key issues from ESC to MSAC"/>
      </w:tblPr>
      <w:tblGrid>
        <w:gridCol w:w="2830"/>
        <w:gridCol w:w="6186"/>
      </w:tblGrid>
      <w:tr w:rsidR="00AC00A0" w:rsidRPr="00F1625B" w14:paraId="6FE662F4" w14:textId="77777777" w:rsidTr="00DC2054">
        <w:trPr>
          <w:tblHeader/>
        </w:trPr>
        <w:tc>
          <w:tcPr>
            <w:tcW w:w="2830" w:type="dxa"/>
          </w:tcPr>
          <w:p w14:paraId="0A417340" w14:textId="77777777" w:rsidR="00AC00A0" w:rsidRPr="00F1625B" w:rsidRDefault="00AC00A0" w:rsidP="00193153">
            <w:pPr>
              <w:pStyle w:val="TableHeading"/>
              <w:rPr>
                <w:rFonts w:ascii="Times New Roman" w:hAnsi="Times New Roman" w:cs="Times New Roman"/>
                <w:sz w:val="24"/>
                <w:szCs w:val="24"/>
              </w:rPr>
            </w:pPr>
            <w:r w:rsidRPr="00F1625B">
              <w:rPr>
                <w:rFonts w:ascii="Times New Roman" w:hAnsi="Times New Roman" w:cs="Times New Roman"/>
                <w:sz w:val="24"/>
                <w:szCs w:val="24"/>
              </w:rPr>
              <w:t>ESC key issue</w:t>
            </w:r>
          </w:p>
        </w:tc>
        <w:tc>
          <w:tcPr>
            <w:tcW w:w="6186" w:type="dxa"/>
          </w:tcPr>
          <w:p w14:paraId="0BEF218A" w14:textId="77777777" w:rsidR="00AC00A0" w:rsidRPr="00F1625B" w:rsidRDefault="00AC00A0" w:rsidP="00193153">
            <w:pPr>
              <w:pStyle w:val="TableHeading"/>
              <w:rPr>
                <w:rFonts w:ascii="Times New Roman" w:hAnsi="Times New Roman" w:cs="Times New Roman"/>
                <w:sz w:val="24"/>
                <w:szCs w:val="24"/>
              </w:rPr>
            </w:pPr>
            <w:r w:rsidRPr="00F1625B">
              <w:rPr>
                <w:rFonts w:ascii="Times New Roman" w:hAnsi="Times New Roman" w:cs="Times New Roman"/>
                <w:sz w:val="24"/>
                <w:szCs w:val="24"/>
              </w:rPr>
              <w:t>ESC advice to MSAC</w:t>
            </w:r>
          </w:p>
        </w:tc>
      </w:tr>
      <w:tr w:rsidR="00AC00A0" w:rsidRPr="00F1625B" w14:paraId="0975207C" w14:textId="77777777" w:rsidTr="00DC2054">
        <w:trPr>
          <w:tblHeader/>
        </w:trPr>
        <w:tc>
          <w:tcPr>
            <w:tcW w:w="2830" w:type="dxa"/>
          </w:tcPr>
          <w:p w14:paraId="746F10D7" w14:textId="77777777" w:rsidR="00AC00A0" w:rsidRPr="00F1625B" w:rsidRDefault="00AC00A0" w:rsidP="00193153">
            <w:pPr>
              <w:pStyle w:val="TableText"/>
              <w:rPr>
                <w:rFonts w:ascii="Times New Roman" w:hAnsi="Times New Roman" w:cs="Times New Roman"/>
                <w:sz w:val="24"/>
                <w:szCs w:val="24"/>
              </w:rPr>
            </w:pPr>
            <w:r w:rsidRPr="00F1625B">
              <w:rPr>
                <w:rFonts w:ascii="Times New Roman" w:hAnsi="Times New Roman" w:cs="Times New Roman"/>
                <w:sz w:val="24"/>
                <w:szCs w:val="24"/>
              </w:rPr>
              <w:t>Clinical uncertainty</w:t>
            </w:r>
          </w:p>
        </w:tc>
        <w:tc>
          <w:tcPr>
            <w:tcW w:w="6186" w:type="dxa"/>
          </w:tcPr>
          <w:p w14:paraId="63E5FF04" w14:textId="77777777" w:rsidR="00AC00A0" w:rsidRPr="00F1625B" w:rsidRDefault="00AC00A0" w:rsidP="006A6F9D">
            <w:pPr>
              <w:pStyle w:val="TableText"/>
              <w:rPr>
                <w:rFonts w:ascii="Times New Roman" w:hAnsi="Times New Roman" w:cs="Times New Roman"/>
                <w:sz w:val="24"/>
                <w:szCs w:val="24"/>
              </w:rPr>
            </w:pPr>
            <w:r w:rsidRPr="00F1625B">
              <w:rPr>
                <w:rFonts w:ascii="Times New Roman" w:hAnsi="Times New Roman" w:cs="Times New Roman"/>
                <w:sz w:val="24"/>
                <w:szCs w:val="24"/>
              </w:rPr>
              <w:t xml:space="preserve">The available Phase I and II clinical </w:t>
            </w:r>
            <w:r w:rsidR="006A6F9D">
              <w:rPr>
                <w:rFonts w:ascii="Times New Roman" w:hAnsi="Times New Roman" w:cs="Times New Roman"/>
                <w:sz w:val="24"/>
                <w:szCs w:val="24"/>
              </w:rPr>
              <w:t>studie</w:t>
            </w:r>
            <w:r w:rsidRPr="00F1625B">
              <w:rPr>
                <w:rFonts w:ascii="Times New Roman" w:hAnsi="Times New Roman" w:cs="Times New Roman"/>
                <w:sz w:val="24"/>
                <w:szCs w:val="24"/>
              </w:rPr>
              <w:t>s include inadequate intention to treat analysis, inadequate comparative safety data, different endpoints, small patient numbers, dissimilar patient characteristics and short follow-up times.</w:t>
            </w:r>
          </w:p>
        </w:tc>
      </w:tr>
      <w:tr w:rsidR="00AC00A0" w:rsidRPr="00F1625B" w14:paraId="233CDEB8" w14:textId="77777777" w:rsidTr="00DC2054">
        <w:trPr>
          <w:tblHeader/>
        </w:trPr>
        <w:tc>
          <w:tcPr>
            <w:tcW w:w="2830" w:type="dxa"/>
          </w:tcPr>
          <w:p w14:paraId="6D6BFB54" w14:textId="77777777" w:rsidR="00AC00A0" w:rsidRPr="00F1625B" w:rsidRDefault="00AC00A0" w:rsidP="00193153">
            <w:pPr>
              <w:pStyle w:val="TableText"/>
              <w:rPr>
                <w:rFonts w:ascii="Times New Roman" w:hAnsi="Times New Roman" w:cs="Times New Roman"/>
                <w:sz w:val="24"/>
                <w:szCs w:val="24"/>
              </w:rPr>
            </w:pPr>
            <w:r w:rsidRPr="00F1625B">
              <w:rPr>
                <w:rFonts w:ascii="Times New Roman" w:hAnsi="Times New Roman" w:cs="Times New Roman"/>
                <w:sz w:val="24"/>
                <w:szCs w:val="24"/>
              </w:rPr>
              <w:t>Limitations of clinical evidence</w:t>
            </w:r>
          </w:p>
        </w:tc>
        <w:tc>
          <w:tcPr>
            <w:tcW w:w="6186" w:type="dxa"/>
          </w:tcPr>
          <w:p w14:paraId="6295ADE4" w14:textId="77777777" w:rsidR="00AC00A0" w:rsidRPr="00F1625B" w:rsidRDefault="00AC00A0" w:rsidP="00193153">
            <w:pPr>
              <w:pStyle w:val="TableText"/>
              <w:rPr>
                <w:rFonts w:ascii="Times New Roman" w:hAnsi="Times New Roman" w:cs="Times New Roman"/>
                <w:sz w:val="24"/>
                <w:szCs w:val="24"/>
              </w:rPr>
            </w:pPr>
            <w:r w:rsidRPr="00F1625B">
              <w:rPr>
                <w:rFonts w:ascii="Times New Roman" w:hAnsi="Times New Roman" w:cs="Times New Roman"/>
                <w:sz w:val="24"/>
                <w:szCs w:val="24"/>
              </w:rPr>
              <w:t>Consider whether the presented clinical evidence is sufficient to inform the economic model, considering naive comparisons, short follow-ups for a lifetime model, and limited applicability to the Australian setting.</w:t>
            </w:r>
          </w:p>
        </w:tc>
      </w:tr>
      <w:tr w:rsidR="00AC00A0" w:rsidRPr="00F1625B" w14:paraId="79A88ADA" w14:textId="77777777" w:rsidTr="00DC2054">
        <w:trPr>
          <w:tblHeader/>
        </w:trPr>
        <w:tc>
          <w:tcPr>
            <w:tcW w:w="2830" w:type="dxa"/>
          </w:tcPr>
          <w:p w14:paraId="7138F8FB" w14:textId="77777777" w:rsidR="00AC00A0" w:rsidRPr="00F1625B" w:rsidRDefault="00AC00A0" w:rsidP="00193153">
            <w:pPr>
              <w:pStyle w:val="TableText"/>
              <w:rPr>
                <w:rFonts w:ascii="Times New Roman" w:hAnsi="Times New Roman" w:cs="Times New Roman"/>
                <w:sz w:val="24"/>
                <w:szCs w:val="24"/>
              </w:rPr>
            </w:pPr>
            <w:r w:rsidRPr="00F1625B">
              <w:rPr>
                <w:rFonts w:ascii="Times New Roman" w:hAnsi="Times New Roman" w:cs="Times New Roman"/>
                <w:sz w:val="24"/>
                <w:szCs w:val="24"/>
              </w:rPr>
              <w:t>Uncertainty in economic model</w:t>
            </w:r>
          </w:p>
        </w:tc>
        <w:tc>
          <w:tcPr>
            <w:tcW w:w="6186" w:type="dxa"/>
          </w:tcPr>
          <w:p w14:paraId="31B4A19B" w14:textId="77777777" w:rsidR="00AC00A0" w:rsidRPr="00F1625B" w:rsidRDefault="00AC00A0" w:rsidP="00193153">
            <w:pPr>
              <w:pStyle w:val="TableText"/>
              <w:rPr>
                <w:rFonts w:ascii="Times New Roman" w:hAnsi="Times New Roman" w:cs="Times New Roman"/>
                <w:sz w:val="24"/>
                <w:szCs w:val="24"/>
              </w:rPr>
            </w:pPr>
            <w:r w:rsidRPr="00F1625B">
              <w:rPr>
                <w:rFonts w:ascii="Times New Roman" w:hAnsi="Times New Roman" w:cs="Times New Roman"/>
                <w:sz w:val="24"/>
                <w:szCs w:val="24"/>
              </w:rPr>
              <w:t>Consider whether the overall uncertainty is acceptable given the choice of comparators, issues around costs and health state utilities, and a simple model structure not reflecting the stepwise preparation for CAR-T or SCT following CAR-T.</w:t>
            </w:r>
          </w:p>
        </w:tc>
      </w:tr>
      <w:tr w:rsidR="00AC00A0" w:rsidRPr="00F1625B" w14:paraId="3CDF4182" w14:textId="77777777" w:rsidTr="00DC2054">
        <w:trPr>
          <w:tblHeader/>
        </w:trPr>
        <w:tc>
          <w:tcPr>
            <w:tcW w:w="2830" w:type="dxa"/>
          </w:tcPr>
          <w:p w14:paraId="51E3BB57" w14:textId="77777777" w:rsidR="00AC00A0" w:rsidRPr="00F1625B" w:rsidRDefault="00AC00A0" w:rsidP="00193153">
            <w:pPr>
              <w:pStyle w:val="TableText"/>
              <w:rPr>
                <w:rFonts w:ascii="Times New Roman" w:hAnsi="Times New Roman" w:cs="Times New Roman"/>
                <w:sz w:val="24"/>
                <w:szCs w:val="24"/>
              </w:rPr>
            </w:pPr>
            <w:r w:rsidRPr="00F1625B">
              <w:rPr>
                <w:rFonts w:ascii="Times New Roman" w:hAnsi="Times New Roman" w:cs="Times New Roman"/>
                <w:sz w:val="24"/>
                <w:szCs w:val="24"/>
              </w:rPr>
              <w:t>Inputs to economic model</w:t>
            </w:r>
          </w:p>
        </w:tc>
        <w:tc>
          <w:tcPr>
            <w:tcW w:w="6186" w:type="dxa"/>
          </w:tcPr>
          <w:p w14:paraId="2896D30C" w14:textId="77777777" w:rsidR="00AC00A0" w:rsidRPr="00F1625B" w:rsidRDefault="00AC00A0" w:rsidP="00193153">
            <w:pPr>
              <w:pStyle w:val="TableText"/>
              <w:rPr>
                <w:rFonts w:ascii="Times New Roman" w:hAnsi="Times New Roman" w:cs="Times New Roman"/>
                <w:sz w:val="24"/>
                <w:szCs w:val="24"/>
              </w:rPr>
            </w:pPr>
            <w:r w:rsidRPr="00F1625B">
              <w:rPr>
                <w:rFonts w:ascii="Times New Roman" w:hAnsi="Times New Roman" w:cs="Times New Roman"/>
                <w:sz w:val="24"/>
                <w:szCs w:val="24"/>
              </w:rPr>
              <w:t xml:space="preserve">ESC requested that the assessment group check the updated model to inspect whether ITT analyses and other modifications </w:t>
            </w:r>
            <w:proofErr w:type="gramStart"/>
            <w:r w:rsidRPr="00F1625B">
              <w:rPr>
                <w:rFonts w:ascii="Times New Roman" w:hAnsi="Times New Roman" w:cs="Times New Roman"/>
                <w:sz w:val="24"/>
                <w:szCs w:val="24"/>
              </w:rPr>
              <w:t>were correctly incorporated</w:t>
            </w:r>
            <w:proofErr w:type="gramEnd"/>
            <w:r w:rsidRPr="00F1625B">
              <w:rPr>
                <w:rFonts w:ascii="Times New Roman" w:hAnsi="Times New Roman" w:cs="Times New Roman"/>
                <w:sz w:val="24"/>
                <w:szCs w:val="24"/>
              </w:rPr>
              <w:t>.</w:t>
            </w:r>
          </w:p>
          <w:p w14:paraId="3D2B300D" w14:textId="77777777" w:rsidR="00AC00A0" w:rsidRPr="00F1625B" w:rsidRDefault="00AC00A0" w:rsidP="00193153">
            <w:pPr>
              <w:pStyle w:val="TableText"/>
              <w:rPr>
                <w:rFonts w:ascii="Times New Roman" w:hAnsi="Times New Roman" w:cs="Times New Roman"/>
                <w:sz w:val="24"/>
                <w:szCs w:val="24"/>
              </w:rPr>
            </w:pPr>
            <w:r w:rsidRPr="00F1625B">
              <w:rPr>
                <w:rFonts w:ascii="Times New Roman" w:hAnsi="Times New Roman" w:cs="Times New Roman"/>
                <w:sz w:val="24"/>
                <w:szCs w:val="24"/>
              </w:rPr>
              <w:t xml:space="preserve">The use of modelled shadow prices different </w:t>
            </w:r>
            <w:proofErr w:type="gramStart"/>
            <w:r w:rsidRPr="00F1625B">
              <w:rPr>
                <w:rFonts w:ascii="Times New Roman" w:hAnsi="Times New Roman" w:cs="Times New Roman"/>
                <w:sz w:val="24"/>
                <w:szCs w:val="24"/>
              </w:rPr>
              <w:t>than</w:t>
            </w:r>
            <w:proofErr w:type="gramEnd"/>
            <w:r w:rsidRPr="00F1625B">
              <w:rPr>
                <w:rFonts w:ascii="Times New Roman" w:hAnsi="Times New Roman" w:cs="Times New Roman"/>
                <w:sz w:val="24"/>
                <w:szCs w:val="24"/>
              </w:rPr>
              <w:t xml:space="preserve"> the proposed single effective price is not conventional. This has a moderate impact on the ICERs but in light of other issues does not dramatically change overall findings.</w:t>
            </w:r>
          </w:p>
        </w:tc>
      </w:tr>
      <w:tr w:rsidR="00AC00A0" w:rsidRPr="00F1625B" w14:paraId="723697CB" w14:textId="77777777" w:rsidTr="00DC2054">
        <w:trPr>
          <w:tblHeader/>
        </w:trPr>
        <w:tc>
          <w:tcPr>
            <w:tcW w:w="2830" w:type="dxa"/>
          </w:tcPr>
          <w:p w14:paraId="5BE0E973" w14:textId="77777777" w:rsidR="00AC00A0" w:rsidRPr="00F1625B" w:rsidRDefault="00AC00A0" w:rsidP="00193153">
            <w:pPr>
              <w:pStyle w:val="TableText"/>
              <w:rPr>
                <w:rFonts w:ascii="Times New Roman" w:hAnsi="Times New Roman" w:cs="Times New Roman"/>
                <w:sz w:val="24"/>
                <w:szCs w:val="24"/>
              </w:rPr>
            </w:pPr>
            <w:r w:rsidRPr="00F1625B">
              <w:rPr>
                <w:rFonts w:ascii="Times New Roman" w:hAnsi="Times New Roman" w:cs="Times New Roman"/>
                <w:sz w:val="24"/>
                <w:szCs w:val="24"/>
              </w:rPr>
              <w:t>Economic policy issues</w:t>
            </w:r>
          </w:p>
        </w:tc>
        <w:tc>
          <w:tcPr>
            <w:tcW w:w="6186" w:type="dxa"/>
          </w:tcPr>
          <w:p w14:paraId="5E68B6B8" w14:textId="77777777" w:rsidR="00AC00A0" w:rsidRPr="00F1625B" w:rsidRDefault="00AC00A0" w:rsidP="00193153">
            <w:pPr>
              <w:pStyle w:val="TableText"/>
              <w:rPr>
                <w:rFonts w:ascii="Times New Roman" w:hAnsi="Times New Roman" w:cs="Times New Roman"/>
                <w:sz w:val="24"/>
                <w:szCs w:val="24"/>
              </w:rPr>
            </w:pPr>
            <w:r w:rsidRPr="00F1625B">
              <w:rPr>
                <w:rFonts w:ascii="Times New Roman" w:hAnsi="Times New Roman" w:cs="Times New Roman"/>
                <w:sz w:val="24"/>
                <w:szCs w:val="24"/>
              </w:rPr>
              <w:t>Consider the appropriate national funding mechanism, use of the proposed intervention in the outpatient setting, reliance on foreign jurisdictions, and broader implications of decisions given advancements in this class of treatments.</w:t>
            </w:r>
          </w:p>
        </w:tc>
      </w:tr>
    </w:tbl>
    <w:p w14:paraId="336A369D" w14:textId="77777777" w:rsidR="00AC00A0" w:rsidRPr="000C0372" w:rsidRDefault="00AC00A0" w:rsidP="00CF2123">
      <w:pPr>
        <w:spacing w:before="240" w:after="240"/>
        <w:rPr>
          <w:b/>
          <w:u w:val="single"/>
        </w:rPr>
      </w:pPr>
      <w:r w:rsidRPr="005F176F">
        <w:rPr>
          <w:b/>
          <w:u w:val="single"/>
        </w:rPr>
        <w:t xml:space="preserve">ESC </w:t>
      </w:r>
      <w:r>
        <w:rPr>
          <w:b/>
          <w:u w:val="single"/>
        </w:rPr>
        <w:t>d</w:t>
      </w:r>
      <w:r w:rsidRPr="005F176F">
        <w:rPr>
          <w:b/>
          <w:u w:val="single"/>
        </w:rPr>
        <w:t>iscussion</w:t>
      </w:r>
    </w:p>
    <w:p w14:paraId="0CBE0638" w14:textId="77777777" w:rsidR="00AC00A0" w:rsidRPr="000B1CE0" w:rsidRDefault="00AC00A0" w:rsidP="000C0372">
      <w:pPr>
        <w:spacing w:after="240"/>
      </w:pPr>
      <w:r w:rsidRPr="000B1CE0">
        <w:t xml:space="preserve">ESC noted that </w:t>
      </w:r>
      <w:r>
        <w:t xml:space="preserve">MSAC advice </w:t>
      </w:r>
      <w:proofErr w:type="gramStart"/>
      <w:r>
        <w:t>was being sought</w:t>
      </w:r>
      <w:proofErr w:type="gramEnd"/>
      <w:r w:rsidRPr="007C2B2D">
        <w:t xml:space="preserve"> </w:t>
      </w:r>
      <w:r>
        <w:t>in the context of</w:t>
      </w:r>
      <w:r w:rsidRPr="000B1CE0">
        <w:t xml:space="preserve"> the establishment of a new national funding and service delivery mechanism</w:t>
      </w:r>
      <w:r>
        <w:t xml:space="preserve"> for TIS</w:t>
      </w:r>
      <w:r w:rsidRPr="000B1CE0">
        <w:t>.</w:t>
      </w:r>
    </w:p>
    <w:p w14:paraId="71015C5F" w14:textId="77777777" w:rsidR="00AC00A0" w:rsidRDefault="00AC00A0" w:rsidP="000C0372">
      <w:pPr>
        <w:spacing w:after="240"/>
      </w:pPr>
      <w:r w:rsidRPr="000B1CE0">
        <w:t xml:space="preserve">The </w:t>
      </w:r>
      <w:r>
        <w:t xml:space="preserve">overall </w:t>
      </w:r>
      <w:r w:rsidRPr="000B1CE0">
        <w:t xml:space="preserve">intervention </w:t>
      </w:r>
      <w:r>
        <w:t xml:space="preserve">with TIS </w:t>
      </w:r>
      <w:r w:rsidRPr="000B1CE0">
        <w:t xml:space="preserve">is a complex multistep process. It involves </w:t>
      </w:r>
      <w:proofErr w:type="spellStart"/>
      <w:r w:rsidRPr="000B1CE0">
        <w:t>leukapheresis</w:t>
      </w:r>
      <w:proofErr w:type="spellEnd"/>
      <w:r w:rsidRPr="000B1CE0">
        <w:t xml:space="preserve"> to extract peripheral blood T-cells, which </w:t>
      </w:r>
      <w:proofErr w:type="gramStart"/>
      <w:r w:rsidRPr="000B1CE0">
        <w:t>are then cryopreserved and shipped to a cell processing facility in the US</w:t>
      </w:r>
      <w:proofErr w:type="gramEnd"/>
      <w:r w:rsidRPr="000B1CE0">
        <w:t xml:space="preserve">. The facility enriches for T-cells and transduces the cells with a </w:t>
      </w:r>
      <w:proofErr w:type="spellStart"/>
      <w:r w:rsidRPr="000B1CE0">
        <w:t>lentiviral</w:t>
      </w:r>
      <w:proofErr w:type="spellEnd"/>
      <w:r w:rsidRPr="000B1CE0">
        <w:t xml:space="preserve"> vector containing an anti-CD19 CAR transgene. The cells </w:t>
      </w:r>
      <w:proofErr w:type="gramStart"/>
      <w:r w:rsidRPr="000B1CE0">
        <w:t>are expanded, prepared, cryopreserved and shipped back to the patient</w:t>
      </w:r>
      <w:proofErr w:type="gramEnd"/>
      <w:r w:rsidRPr="000B1CE0">
        <w:t xml:space="preserve">. The patient receives </w:t>
      </w:r>
      <w:proofErr w:type="spellStart"/>
      <w:r w:rsidRPr="000B1CE0">
        <w:t>lymphodepleting</w:t>
      </w:r>
      <w:proofErr w:type="spellEnd"/>
      <w:r w:rsidRPr="000B1CE0">
        <w:t xml:space="preserve"> chemotherapy for 2–14 days before receiving the TIS infusion. The entire process from </w:t>
      </w:r>
      <w:proofErr w:type="spellStart"/>
      <w:r w:rsidRPr="000B1CE0">
        <w:t>leukapheresis</w:t>
      </w:r>
      <w:proofErr w:type="spellEnd"/>
      <w:r w:rsidRPr="000B1CE0">
        <w:t xml:space="preserve"> to infusion can take 2–4 weeks, although the applicant’s pre-ESC response indicated this would likely be 28–30 days</w:t>
      </w:r>
      <w:r>
        <w:t xml:space="preserve"> for patients in Australia</w:t>
      </w:r>
      <w:r w:rsidRPr="000B1CE0">
        <w:t>.</w:t>
      </w:r>
      <w:r w:rsidR="00AE16AC">
        <w:t xml:space="preserve"> </w:t>
      </w:r>
      <w:r w:rsidRPr="000B1CE0">
        <w:t xml:space="preserve">Patients must remain within 2 hours of the treating hospital for 1 month after </w:t>
      </w:r>
      <w:r>
        <w:t xml:space="preserve">TIS </w:t>
      </w:r>
      <w:r w:rsidRPr="000B1CE0">
        <w:t xml:space="preserve">infusion to monitor </w:t>
      </w:r>
      <w:r>
        <w:t xml:space="preserve">for and manage </w:t>
      </w:r>
      <w:r w:rsidR="00AE16AC">
        <w:t>adverse events.</w:t>
      </w:r>
    </w:p>
    <w:p w14:paraId="5C419408" w14:textId="77777777" w:rsidR="00AC00A0" w:rsidRPr="000108CD" w:rsidRDefault="00AC00A0" w:rsidP="00AC00A0">
      <w:pPr>
        <w:pStyle w:val="NormalBeforeBullet"/>
        <w:rPr>
          <w:i/>
        </w:rPr>
      </w:pPr>
      <w:r w:rsidRPr="000108CD">
        <w:rPr>
          <w:i/>
        </w:rPr>
        <w:t>Eligibility criteria/comparators</w:t>
      </w:r>
    </w:p>
    <w:p w14:paraId="5AD8E9EB" w14:textId="77777777" w:rsidR="00AC00A0" w:rsidRPr="000B1CE0" w:rsidRDefault="00AC00A0" w:rsidP="00AC00A0">
      <w:pPr>
        <w:pStyle w:val="NormalBeforeBullet"/>
      </w:pPr>
      <w:r w:rsidRPr="000B1CE0">
        <w:t xml:space="preserve">ESC noted that the comparator for the </w:t>
      </w:r>
      <w:proofErr w:type="spellStart"/>
      <w:r w:rsidR="00AE16AC">
        <w:t>p</w:t>
      </w:r>
      <w:r w:rsidRPr="000B1CE0">
        <w:t>ALL</w:t>
      </w:r>
      <w:proofErr w:type="spellEnd"/>
      <w:r w:rsidRPr="000B1CE0">
        <w:t xml:space="preserve"> </w:t>
      </w:r>
      <w:r>
        <w:t>population</w:t>
      </w:r>
      <w:r w:rsidRPr="000B1CE0">
        <w:t xml:space="preserve"> had changed from the </w:t>
      </w:r>
      <w:r>
        <w:t xml:space="preserve">original </w:t>
      </w:r>
      <w:r w:rsidRPr="000B1CE0">
        <w:t>PICO confirmation. The applicant provided the following rationale:</w:t>
      </w:r>
    </w:p>
    <w:p w14:paraId="4E92D59B" w14:textId="77777777" w:rsidR="00AC00A0" w:rsidRPr="000B1CE0" w:rsidRDefault="00AC00A0" w:rsidP="00AC00A0">
      <w:pPr>
        <w:pStyle w:val="Bullet"/>
      </w:pPr>
      <w:r w:rsidRPr="000B1CE0">
        <w:t xml:space="preserve">Segmentation of the </w:t>
      </w:r>
      <w:r>
        <w:t xml:space="preserve">proposed </w:t>
      </w:r>
      <w:r w:rsidRPr="000B1CE0">
        <w:t xml:space="preserve">population into </w:t>
      </w:r>
      <w:r>
        <w:t xml:space="preserve">further </w:t>
      </w:r>
      <w:r w:rsidRPr="000B1CE0">
        <w:t>subgroups is not feasible (</w:t>
      </w:r>
      <w:r>
        <w:t>sub</w:t>
      </w:r>
      <w:r w:rsidRPr="000B1CE0">
        <w:t>groups are not mutually exclusive and the available clinical data are too sparse).</w:t>
      </w:r>
    </w:p>
    <w:p w14:paraId="72197119" w14:textId="77777777" w:rsidR="00AC00A0" w:rsidRPr="000B1CE0" w:rsidRDefault="00AC00A0" w:rsidP="00AC00A0">
      <w:pPr>
        <w:pStyle w:val="Bullet"/>
      </w:pPr>
      <w:r w:rsidRPr="000B1CE0">
        <w:lastRenderedPageBreak/>
        <w:t xml:space="preserve">The majority of patients likely to access TIS under the proposed criteria </w:t>
      </w:r>
      <w:proofErr w:type="gramStart"/>
      <w:r w:rsidRPr="000B1CE0">
        <w:t>are expected</w:t>
      </w:r>
      <w:proofErr w:type="gramEnd"/>
      <w:r w:rsidRPr="000B1CE0">
        <w:t xml:space="preserve"> to otherwise be candidates for some form of active or ‘salvage’ therapy rather than best supportive care.</w:t>
      </w:r>
    </w:p>
    <w:p w14:paraId="5514CB76" w14:textId="77777777" w:rsidR="00AC00A0" w:rsidRPr="000B1CE0" w:rsidRDefault="00AC00A0" w:rsidP="00AC00A0">
      <w:pPr>
        <w:pStyle w:val="Bullet"/>
      </w:pPr>
      <w:r w:rsidRPr="000B1CE0">
        <w:t>BLN is currently TGA indicated and PBS subsidised for treatment of r/r B-precursor cell ALL and would therefore be the most likely alternative treatment option for most patients within the proposed population.</w:t>
      </w:r>
    </w:p>
    <w:p w14:paraId="19CE3F9E" w14:textId="77777777" w:rsidR="00AC00A0" w:rsidRPr="000B1CE0" w:rsidRDefault="00AC00A0" w:rsidP="00AC00A0">
      <w:pPr>
        <w:pStyle w:val="Bullet"/>
      </w:pPr>
      <w:r w:rsidRPr="000B1CE0">
        <w:t xml:space="preserve">Prior BLN treatment was an exclusion criterion in the TIS </w:t>
      </w:r>
      <w:r w:rsidR="006A6F9D">
        <w:t>studie</w:t>
      </w:r>
      <w:r w:rsidRPr="000B1CE0">
        <w:t>s, and there are no data on sequential use of these two therapies (in either direction); hence they will tend to be viewed as alternatives/substitutes rather than complements/supplements.</w:t>
      </w:r>
    </w:p>
    <w:p w14:paraId="186B4A65" w14:textId="77777777" w:rsidR="00AC00A0" w:rsidRPr="000B1CE0" w:rsidRDefault="00AC00A0" w:rsidP="00AC00A0">
      <w:pPr>
        <w:pStyle w:val="BulletBeforeDash"/>
      </w:pPr>
      <w:r w:rsidRPr="000B1CE0">
        <w:t xml:space="preserve">Alternative salvage chemotherapy regimens, using either </w:t>
      </w:r>
      <w:proofErr w:type="spellStart"/>
      <w:r w:rsidRPr="000B1CE0">
        <w:t>clofarabine</w:t>
      </w:r>
      <w:proofErr w:type="spellEnd"/>
      <w:r w:rsidRPr="000B1CE0">
        <w:t xml:space="preserve"> or combinations of conventional chemotherapy agents may also be potentially informative comparators, but</w:t>
      </w:r>
    </w:p>
    <w:p w14:paraId="6711CECB" w14:textId="77777777" w:rsidR="00AC00A0" w:rsidRPr="000B1CE0" w:rsidRDefault="00AC00A0" w:rsidP="00AC00A0">
      <w:pPr>
        <w:pStyle w:val="Dash"/>
      </w:pPr>
      <w:proofErr w:type="spellStart"/>
      <w:r w:rsidRPr="000B1CE0">
        <w:t>clofarabine</w:t>
      </w:r>
      <w:proofErr w:type="spellEnd"/>
      <w:r w:rsidRPr="000B1CE0">
        <w:t xml:space="preserve"> is TGA approved as a third-line treatment for r/r </w:t>
      </w:r>
      <w:proofErr w:type="spellStart"/>
      <w:r w:rsidRPr="000B1CE0">
        <w:t>pALL</w:t>
      </w:r>
      <w:proofErr w:type="spellEnd"/>
      <w:r w:rsidRPr="000B1CE0">
        <w:t xml:space="preserve"> patients but it is not currently available via the PBS </w:t>
      </w:r>
    </w:p>
    <w:p w14:paraId="3137343D" w14:textId="77777777" w:rsidR="00AC00A0" w:rsidRPr="000B1CE0" w:rsidRDefault="00AC00A0" w:rsidP="00AC00A0">
      <w:pPr>
        <w:pStyle w:val="DashLastSpace"/>
        <w:numPr>
          <w:ilvl w:val="0"/>
          <w:numId w:val="27"/>
        </w:numPr>
        <w:tabs>
          <w:tab w:val="clear" w:pos="216"/>
        </w:tabs>
        <w:ind w:left="720" w:hanging="360"/>
      </w:pPr>
      <w:proofErr w:type="gramStart"/>
      <w:r w:rsidRPr="000B1CE0">
        <w:t>specific</w:t>
      </w:r>
      <w:proofErr w:type="gramEnd"/>
      <w:r w:rsidRPr="000B1CE0">
        <w:t xml:space="preserve"> conventional salvage chemotherapy regimens are not well defined, with multiple approaches recommended, based on limited and mixed clinical evidence, against which meaningful comparisons of effectiveness, safety and cost-effectiveness are challenging.</w:t>
      </w:r>
    </w:p>
    <w:p w14:paraId="2DDBD09E" w14:textId="77777777" w:rsidR="00AC00A0" w:rsidRPr="000B1CE0" w:rsidRDefault="00AC00A0" w:rsidP="000C0372">
      <w:pPr>
        <w:spacing w:after="240"/>
      </w:pPr>
      <w:r w:rsidRPr="000B1CE0">
        <w:t>ESC agreed that this was an adequate rationale for changing the comparator, but noted that previous BLN treatment should therefore be an exclusion criterion for accessing TIS.</w:t>
      </w:r>
    </w:p>
    <w:p w14:paraId="64DF09AC" w14:textId="77777777" w:rsidR="00AC00A0" w:rsidRDefault="00AC00A0" w:rsidP="00AC00A0">
      <w:r w:rsidRPr="000B1CE0">
        <w:t>ESC identified the following key issues for MSAC:</w:t>
      </w:r>
    </w:p>
    <w:p w14:paraId="5B83083D" w14:textId="77777777" w:rsidR="00AC00A0" w:rsidRPr="000B1CE0" w:rsidRDefault="00AC00A0" w:rsidP="00AC00A0">
      <w:pPr>
        <w:pStyle w:val="Bullet"/>
      </w:pPr>
      <w:r w:rsidRPr="000B1CE0">
        <w:t xml:space="preserve">The eligible populations and comparators need to be properly </w:t>
      </w:r>
      <w:proofErr w:type="gramStart"/>
      <w:r w:rsidRPr="000B1CE0">
        <w:t>defined</w:t>
      </w:r>
      <w:proofErr w:type="gramEnd"/>
      <w:r w:rsidRPr="000B1CE0">
        <w:t xml:space="preserve"> and aligned with populations recruited into supporting clinical studies or extrapolated from them.</w:t>
      </w:r>
    </w:p>
    <w:p w14:paraId="4CDFF68F" w14:textId="77777777" w:rsidR="00AC00A0" w:rsidRPr="000B1CE0" w:rsidRDefault="00AC00A0" w:rsidP="00AC00A0">
      <w:pPr>
        <w:pStyle w:val="Bullet"/>
      </w:pPr>
      <w:r w:rsidRPr="000B1CE0">
        <w:t xml:space="preserve">Subgroup analyses of requested subpopulations in the </w:t>
      </w:r>
      <w:proofErr w:type="spellStart"/>
      <w:r w:rsidR="00AE16AC">
        <w:t>p</w:t>
      </w:r>
      <w:r w:rsidRPr="000B1CE0">
        <w:t>ALL</w:t>
      </w:r>
      <w:proofErr w:type="spellEnd"/>
      <w:r w:rsidRPr="000B1CE0">
        <w:t xml:space="preserve"> group have not been presented, so it is unclear whether there are subgroups for which there is little or no data. However, data provided from the ELIANA </w:t>
      </w:r>
      <w:r w:rsidR="006A6F9D">
        <w:t>study</w:t>
      </w:r>
      <w:r w:rsidRPr="000B1CE0">
        <w:t xml:space="preserve"> include small numbers in each group, </w:t>
      </w:r>
      <w:r>
        <w:t xml:space="preserve">so </w:t>
      </w:r>
      <w:r w:rsidRPr="000B1CE0">
        <w:t xml:space="preserve">it may be better </w:t>
      </w:r>
      <w:r>
        <w:t xml:space="preserve">not </w:t>
      </w:r>
      <w:r w:rsidRPr="000B1CE0">
        <w:t xml:space="preserve">to </w:t>
      </w:r>
      <w:r>
        <w:t xml:space="preserve">split </w:t>
      </w:r>
      <w:r w:rsidRPr="000B1CE0">
        <w:t>th</w:t>
      </w:r>
      <w:r w:rsidR="00AB2724">
        <w:t>is</w:t>
      </w:r>
      <w:r w:rsidRPr="000B1CE0">
        <w:t xml:space="preserve"> </w:t>
      </w:r>
      <w:r w:rsidR="006A6F9D">
        <w:t>study</w:t>
      </w:r>
      <w:r>
        <w:t xml:space="preserve"> population into sub</w:t>
      </w:r>
      <w:r w:rsidRPr="000B1CE0">
        <w:t>groups.</w:t>
      </w:r>
    </w:p>
    <w:p w14:paraId="4702A317" w14:textId="77777777" w:rsidR="00AC00A0" w:rsidRPr="000B1CE0" w:rsidRDefault="00AC00A0" w:rsidP="00AC00A0">
      <w:pPr>
        <w:pStyle w:val="Bullet"/>
      </w:pPr>
      <w:r w:rsidRPr="000B1CE0">
        <w:t xml:space="preserve">For the </w:t>
      </w:r>
      <w:proofErr w:type="spellStart"/>
      <w:r w:rsidR="00AE16AC">
        <w:t>p</w:t>
      </w:r>
      <w:r w:rsidRPr="000B1CE0">
        <w:t>ALL</w:t>
      </w:r>
      <w:proofErr w:type="spellEnd"/>
      <w:r w:rsidRPr="000B1CE0">
        <w:t xml:space="preserve"> population, it is unclear whether the comparator should be the last-line (salvage) setting (i.e. all other alternatives not applicable) or earlier (i.e. whether chemotherapy or stem cell transplant are relevant comparators).</w:t>
      </w:r>
    </w:p>
    <w:p w14:paraId="4B378CB6" w14:textId="77777777" w:rsidR="00AC00A0" w:rsidRPr="00A43E29" w:rsidRDefault="00AC00A0" w:rsidP="00AC00A0">
      <w:pPr>
        <w:pStyle w:val="Bullet"/>
      </w:pPr>
      <w:r w:rsidRPr="00A43E29">
        <w:t>ESC queried the clinical justification for the proposed age limits (3–25 years)</w:t>
      </w:r>
      <w:r>
        <w:t xml:space="preserve"> for the </w:t>
      </w:r>
      <w:proofErr w:type="spellStart"/>
      <w:r w:rsidR="00AE16AC">
        <w:t>p</w:t>
      </w:r>
      <w:r>
        <w:t>ALL</w:t>
      </w:r>
      <w:proofErr w:type="spellEnd"/>
      <w:r>
        <w:t xml:space="preserve"> population</w:t>
      </w:r>
      <w:r w:rsidRPr="00A43E29">
        <w:t xml:space="preserve">. </w:t>
      </w:r>
      <w:r w:rsidRPr="000B1CE0">
        <w:t>ESC noted that the Australasian Leukaemia and Lymphoma Group disagreed with the upper age restriction of 25 years for th</w:t>
      </w:r>
      <w:r>
        <w:t>is</w:t>
      </w:r>
      <w:r w:rsidRPr="000B1CE0">
        <w:t xml:space="preserve"> population. The applicant </w:t>
      </w:r>
      <w:r>
        <w:t xml:space="preserve">explained </w:t>
      </w:r>
      <w:r w:rsidRPr="000B1CE0">
        <w:t>that this reflect</w:t>
      </w:r>
      <w:r>
        <w:t>ed</w:t>
      </w:r>
      <w:r w:rsidRPr="000B1CE0">
        <w:t xml:space="preserve"> the draft regulatory indication that </w:t>
      </w:r>
      <w:proofErr w:type="gramStart"/>
      <w:r w:rsidRPr="000B1CE0">
        <w:t>was defined</w:t>
      </w:r>
      <w:proofErr w:type="gramEnd"/>
      <w:r w:rsidRPr="000B1CE0">
        <w:t xml:space="preserve"> based on eligibility criteria for the </w:t>
      </w:r>
      <w:r w:rsidR="006A6F9D">
        <w:t>studie</w:t>
      </w:r>
      <w:r w:rsidRPr="000B1CE0">
        <w:t>s. The applica</w:t>
      </w:r>
      <w:r>
        <w:t>n</w:t>
      </w:r>
      <w:r w:rsidRPr="000B1CE0">
        <w:t xml:space="preserve">t may </w:t>
      </w:r>
      <w:r>
        <w:t xml:space="preserve">also </w:t>
      </w:r>
      <w:r w:rsidRPr="000B1CE0">
        <w:t xml:space="preserve">consider dropping the lower </w:t>
      </w:r>
      <w:r>
        <w:t xml:space="preserve">age </w:t>
      </w:r>
      <w:r w:rsidRPr="000B1CE0">
        <w:t xml:space="preserve">limit, but will likely leave the upper </w:t>
      </w:r>
      <w:r>
        <w:t xml:space="preserve">age </w:t>
      </w:r>
      <w:r w:rsidRPr="000B1CE0">
        <w:t xml:space="preserve">limit due to dosing differences in the adult population, with </w:t>
      </w:r>
      <w:r w:rsidR="006A6F9D">
        <w:t>studie</w:t>
      </w:r>
      <w:r w:rsidRPr="000B1CE0">
        <w:t>s evaluating safety and efficacy ongoing.</w:t>
      </w:r>
    </w:p>
    <w:p w14:paraId="2D1DF66A" w14:textId="77777777" w:rsidR="00AC00A0" w:rsidRPr="000B1CE0" w:rsidRDefault="00AC00A0" w:rsidP="005D190D">
      <w:pPr>
        <w:pStyle w:val="Bullet"/>
        <w:ind w:left="357" w:hanging="357"/>
      </w:pPr>
      <w:r w:rsidRPr="000B1CE0">
        <w:t>ESC noted that the application specifies the morphological evidence of disease as &gt;5% blasts, but it was not clear what would happen with patients who had minimal residual disease (0.01–5% blasts).</w:t>
      </w:r>
    </w:p>
    <w:p w14:paraId="7183013E" w14:textId="77777777" w:rsidR="00AC00A0" w:rsidRPr="000108CD" w:rsidRDefault="00AC00A0" w:rsidP="00AC00A0">
      <w:pPr>
        <w:pStyle w:val="NormalBeforeBullet"/>
        <w:rPr>
          <w:i/>
        </w:rPr>
      </w:pPr>
      <w:r w:rsidRPr="000108CD">
        <w:rPr>
          <w:i/>
        </w:rPr>
        <w:t>Equity</w:t>
      </w:r>
    </w:p>
    <w:p w14:paraId="49D3A554" w14:textId="77777777" w:rsidR="00AC00A0" w:rsidRPr="000B1CE0" w:rsidRDefault="00AC00A0" w:rsidP="00AC00A0">
      <w:pPr>
        <w:pStyle w:val="Bullet"/>
      </w:pPr>
      <w:r w:rsidRPr="00227489">
        <w:t>Access to services would (initially) be through three centres in Sydney and Melbourne,</w:t>
      </w:r>
      <w:r w:rsidRPr="000B1CE0">
        <w:t xml:space="preserve"> and patients need to be within 2 hours of the treating hospital for 1 month after TIS</w:t>
      </w:r>
      <w:r>
        <w:t xml:space="preserve"> infusion</w:t>
      </w:r>
      <w:r w:rsidRPr="000B1CE0">
        <w:t>.</w:t>
      </w:r>
    </w:p>
    <w:p w14:paraId="577A6074" w14:textId="77777777" w:rsidR="00AC00A0" w:rsidRPr="000B1CE0" w:rsidRDefault="00AC00A0" w:rsidP="005D190D">
      <w:pPr>
        <w:pStyle w:val="Bullet"/>
        <w:ind w:left="357" w:hanging="357"/>
      </w:pPr>
      <w:r w:rsidRPr="000B1CE0">
        <w:t xml:space="preserve">The age </w:t>
      </w:r>
      <w:proofErr w:type="spellStart"/>
      <w:r w:rsidRPr="000B1CE0">
        <w:t>cutoff</w:t>
      </w:r>
      <w:r>
        <w:t>s</w:t>
      </w:r>
      <w:proofErr w:type="spellEnd"/>
      <w:r w:rsidRPr="000B1CE0">
        <w:t xml:space="preserve"> for </w:t>
      </w:r>
      <w:proofErr w:type="spellStart"/>
      <w:r w:rsidR="00AE16AC">
        <w:t>p</w:t>
      </w:r>
      <w:r w:rsidRPr="000B1CE0">
        <w:t>ALL</w:t>
      </w:r>
      <w:proofErr w:type="spellEnd"/>
      <w:r w:rsidRPr="000B1CE0">
        <w:t xml:space="preserve"> may present ethical and equity challenges.</w:t>
      </w:r>
    </w:p>
    <w:p w14:paraId="0CD33349" w14:textId="77777777" w:rsidR="00AC00A0" w:rsidRPr="000108CD" w:rsidRDefault="00AC00A0" w:rsidP="00AC00A0">
      <w:pPr>
        <w:pStyle w:val="NormalBeforeBullet"/>
        <w:rPr>
          <w:i/>
        </w:rPr>
      </w:pPr>
      <w:r w:rsidRPr="000108CD">
        <w:rPr>
          <w:i/>
        </w:rPr>
        <w:lastRenderedPageBreak/>
        <w:t>Safety</w:t>
      </w:r>
    </w:p>
    <w:p w14:paraId="1D6335A3" w14:textId="77777777" w:rsidR="00AC00A0" w:rsidRPr="000B1CE0" w:rsidRDefault="00AC00A0" w:rsidP="00AC00A0">
      <w:pPr>
        <w:pStyle w:val="NormalBeforeBullet"/>
      </w:pPr>
      <w:r w:rsidRPr="000B1CE0">
        <w:t xml:space="preserve">ESC noted the potential for </w:t>
      </w:r>
      <w:r>
        <w:t>serious</w:t>
      </w:r>
      <w:r w:rsidRPr="000B1CE0">
        <w:t xml:space="preserve"> adverse events associated with TIS</w:t>
      </w:r>
      <w:r>
        <w:t xml:space="preserve"> in a significant proportion of patients</w:t>
      </w:r>
      <w:r w:rsidRPr="000B1CE0">
        <w:t>, which include:</w:t>
      </w:r>
    </w:p>
    <w:p w14:paraId="020D77F3" w14:textId="77777777" w:rsidR="00AC00A0" w:rsidRPr="000B1CE0" w:rsidRDefault="00AC00A0" w:rsidP="00AC00A0">
      <w:pPr>
        <w:pStyle w:val="Bullet"/>
      </w:pPr>
      <w:r w:rsidRPr="000B1CE0">
        <w:t xml:space="preserve">cytokine release syndrome (CRS), a life-threatening condition that requires prolonged ICU admission, </w:t>
      </w:r>
      <w:proofErr w:type="spellStart"/>
      <w:r w:rsidRPr="000B1CE0">
        <w:t>anticytokine</w:t>
      </w:r>
      <w:proofErr w:type="spellEnd"/>
      <w:r w:rsidRPr="000B1CE0">
        <w:t xml:space="preserve"> therapy and vasopressor support;</w:t>
      </w:r>
    </w:p>
    <w:p w14:paraId="59BF4E90" w14:textId="77777777" w:rsidR="00AC00A0" w:rsidRPr="000B1CE0" w:rsidRDefault="00AC00A0" w:rsidP="00AC00A0">
      <w:pPr>
        <w:pStyle w:val="Bullet"/>
      </w:pPr>
      <w:r w:rsidRPr="000B1CE0">
        <w:t>neurological events such as encephalopathy and delirium, which can be life-threatening;</w:t>
      </w:r>
    </w:p>
    <w:p w14:paraId="1B35C761" w14:textId="77777777" w:rsidR="00AC00A0" w:rsidRPr="000B1CE0" w:rsidRDefault="00AC00A0" w:rsidP="00AC00A0">
      <w:pPr>
        <w:pStyle w:val="Bullet"/>
      </w:pPr>
      <w:r w:rsidRPr="000B1CE0">
        <w:t>infections and febrile neutropenia;</w:t>
      </w:r>
    </w:p>
    <w:p w14:paraId="792E8F47" w14:textId="77777777" w:rsidR="00AC00A0" w:rsidRPr="000B1CE0" w:rsidRDefault="00AC00A0" w:rsidP="00AC00A0">
      <w:pPr>
        <w:pStyle w:val="Bullet"/>
      </w:pPr>
      <w:r w:rsidRPr="000B1CE0">
        <w:t xml:space="preserve">prolonged </w:t>
      </w:r>
      <w:proofErr w:type="spellStart"/>
      <w:r w:rsidRPr="000B1CE0">
        <w:t>cytopenias</w:t>
      </w:r>
      <w:proofErr w:type="spellEnd"/>
      <w:r w:rsidRPr="000B1CE0">
        <w:t xml:space="preserve"> and </w:t>
      </w:r>
      <w:proofErr w:type="spellStart"/>
      <w:r w:rsidRPr="000B1CE0">
        <w:t>hypogammaglobulinaemia</w:t>
      </w:r>
      <w:proofErr w:type="spellEnd"/>
      <w:r w:rsidRPr="000B1CE0">
        <w:t>, which require immunoglobulin therapy; and</w:t>
      </w:r>
    </w:p>
    <w:p w14:paraId="0A3B9C18" w14:textId="77777777" w:rsidR="00AC00A0" w:rsidRPr="000B1CE0" w:rsidRDefault="00AC00A0" w:rsidP="00AC00A0">
      <w:pPr>
        <w:pStyle w:val="BulletLast"/>
      </w:pPr>
      <w:proofErr w:type="gramStart"/>
      <w:r w:rsidRPr="000B1CE0">
        <w:t>tumour</w:t>
      </w:r>
      <w:proofErr w:type="gramEnd"/>
      <w:r w:rsidRPr="000B1CE0">
        <w:t xml:space="preserve"> lysis syndrome.</w:t>
      </w:r>
    </w:p>
    <w:p w14:paraId="2BDFFD97" w14:textId="77777777" w:rsidR="00AC00A0" w:rsidRDefault="00AC00A0" w:rsidP="000C0372">
      <w:pPr>
        <w:pStyle w:val="BulletBeforeDash"/>
        <w:numPr>
          <w:ilvl w:val="0"/>
          <w:numId w:val="0"/>
        </w:numPr>
        <w:spacing w:after="240"/>
      </w:pPr>
      <w:r w:rsidRPr="000B1CE0">
        <w:t xml:space="preserve">ESC noted there was no presentation of comparative safety for the </w:t>
      </w:r>
      <w:proofErr w:type="spellStart"/>
      <w:r w:rsidR="00AE16AC">
        <w:t>p</w:t>
      </w:r>
      <w:r w:rsidRPr="000B1CE0">
        <w:t>ALL</w:t>
      </w:r>
      <w:proofErr w:type="spellEnd"/>
      <w:r w:rsidRPr="000B1CE0">
        <w:t xml:space="preserve"> population in the </w:t>
      </w:r>
      <w:r w:rsidR="00692F9D" w:rsidRPr="00227489">
        <w:t>application</w:t>
      </w:r>
      <w:r w:rsidRPr="00227489">
        <w:t xml:space="preserve">. However, a combined safety analysis of the ELIANA and ENSIGN </w:t>
      </w:r>
      <w:r w:rsidR="006A6F9D" w:rsidRPr="00227489">
        <w:t>studie</w:t>
      </w:r>
      <w:r w:rsidRPr="00227489">
        <w:t xml:space="preserve">s showed the most common serious adverse events were CRS (64.4% of patients), febrile neutropenia (24.0%) and hypotension (11.5%). Most adverse events </w:t>
      </w:r>
      <w:proofErr w:type="gramStart"/>
      <w:r w:rsidRPr="00227489">
        <w:t>were reported</w:t>
      </w:r>
      <w:proofErr w:type="gramEnd"/>
      <w:r w:rsidRPr="00227489">
        <w:t xml:space="preserve"> in the 8 weeks after infusion.</w:t>
      </w:r>
    </w:p>
    <w:p w14:paraId="4B105E86" w14:textId="77777777" w:rsidR="00AC00A0" w:rsidRDefault="00AC00A0" w:rsidP="000C0372">
      <w:pPr>
        <w:pStyle w:val="BulletBeforeDash"/>
        <w:numPr>
          <w:ilvl w:val="0"/>
          <w:numId w:val="0"/>
        </w:numPr>
        <w:spacing w:after="240"/>
      </w:pPr>
      <w:r>
        <w:t xml:space="preserve">Similarly, </w:t>
      </w:r>
      <w:r w:rsidRPr="000B1CE0">
        <w:t xml:space="preserve">ESC noted there was no presentation of comparative safety for the DLBCL population in the </w:t>
      </w:r>
      <w:r w:rsidR="00692F9D">
        <w:t>application</w:t>
      </w:r>
      <w:r w:rsidRPr="000B1CE0">
        <w:t>.</w:t>
      </w:r>
    </w:p>
    <w:p w14:paraId="4E071E42" w14:textId="77777777" w:rsidR="00AC00A0" w:rsidRDefault="00AC00A0" w:rsidP="00AC00A0">
      <w:pPr>
        <w:pStyle w:val="BulletBeforeDash"/>
        <w:numPr>
          <w:ilvl w:val="0"/>
          <w:numId w:val="0"/>
        </w:numPr>
      </w:pPr>
      <w:r w:rsidRPr="000B1CE0">
        <w:t>ESC identified the following key issues for MSAC:</w:t>
      </w:r>
    </w:p>
    <w:p w14:paraId="0220B32E" w14:textId="77777777" w:rsidR="00AC00A0" w:rsidRPr="000B1CE0" w:rsidRDefault="00AC00A0" w:rsidP="00AC00A0">
      <w:pPr>
        <w:pStyle w:val="Bullet"/>
      </w:pPr>
      <w:r w:rsidRPr="000B1CE0">
        <w:t xml:space="preserve">No comparative safety data </w:t>
      </w:r>
      <w:proofErr w:type="gramStart"/>
      <w:r w:rsidRPr="000B1CE0">
        <w:t>were provided</w:t>
      </w:r>
      <w:proofErr w:type="gramEnd"/>
      <w:r w:rsidRPr="000B1CE0">
        <w:t>.</w:t>
      </w:r>
    </w:p>
    <w:p w14:paraId="3B86A016" w14:textId="77777777" w:rsidR="00AC00A0" w:rsidRPr="000B1CE0" w:rsidRDefault="00AC00A0" w:rsidP="00AC00A0">
      <w:pPr>
        <w:pStyle w:val="Bullet"/>
      </w:pPr>
      <w:r w:rsidRPr="000B1CE0">
        <w:t xml:space="preserve">The therapy </w:t>
      </w:r>
      <w:proofErr w:type="gramStart"/>
      <w:r w:rsidRPr="000B1CE0">
        <w:t>is based</w:t>
      </w:r>
      <w:proofErr w:type="gramEnd"/>
      <w:r w:rsidRPr="000B1CE0">
        <w:t xml:space="preserve"> on genetic modification in humans, and nothing is known about the </w:t>
      </w:r>
      <w:proofErr w:type="spellStart"/>
      <w:r w:rsidRPr="000B1CE0">
        <w:t>genotoxicity</w:t>
      </w:r>
      <w:proofErr w:type="spellEnd"/>
      <w:r w:rsidRPr="000B1CE0">
        <w:t xml:space="preserve"> or carcinogenicity of TIS (or any CAR therapy). There is a potential risk to health care professionals handling and disposing of the product.</w:t>
      </w:r>
    </w:p>
    <w:p w14:paraId="36B84490" w14:textId="77777777" w:rsidR="00AC00A0" w:rsidRPr="000B1CE0" w:rsidRDefault="00AC00A0" w:rsidP="00AC00A0">
      <w:pPr>
        <w:pStyle w:val="Bullet"/>
      </w:pPr>
      <w:r w:rsidRPr="000B1CE0">
        <w:t xml:space="preserve">The adverse event profile (and management) should be acceptably clear for each </w:t>
      </w:r>
      <w:r>
        <w:t xml:space="preserve">proposed </w:t>
      </w:r>
      <w:r w:rsidRPr="000B1CE0">
        <w:t>population given potential for both short- and longer-term complications.</w:t>
      </w:r>
    </w:p>
    <w:p w14:paraId="562B0740" w14:textId="77777777" w:rsidR="00AC00A0" w:rsidRPr="00AC00A0" w:rsidRDefault="00AC00A0" w:rsidP="00AC00A0">
      <w:pPr>
        <w:pStyle w:val="Bullet"/>
      </w:pPr>
      <w:r w:rsidRPr="000B1CE0">
        <w:t xml:space="preserve">Given the </w:t>
      </w:r>
      <w:proofErr w:type="spellStart"/>
      <w:r w:rsidR="00AE16AC">
        <w:t>p</w:t>
      </w:r>
      <w:r w:rsidRPr="000B1CE0">
        <w:t>ALL</w:t>
      </w:r>
      <w:proofErr w:type="spellEnd"/>
      <w:r w:rsidRPr="000B1CE0">
        <w:t xml:space="preserve"> population is mainly children who cannot </w:t>
      </w:r>
      <w:r>
        <w:t xml:space="preserve">directly </w:t>
      </w:r>
      <w:r w:rsidRPr="000B1CE0">
        <w:t xml:space="preserve">give informed consent, a robust risk–benefit ratio </w:t>
      </w:r>
      <w:r>
        <w:t>is needed</w:t>
      </w:r>
    </w:p>
    <w:p w14:paraId="4BC21244" w14:textId="77777777" w:rsidR="00AC00A0" w:rsidRDefault="00AC00A0" w:rsidP="00AC00A0">
      <w:pPr>
        <w:spacing w:after="120"/>
      </w:pPr>
      <w:r>
        <w:rPr>
          <w:i/>
        </w:rPr>
        <w:t>Effectiveness</w:t>
      </w:r>
    </w:p>
    <w:p w14:paraId="6F43A9BF" w14:textId="77777777" w:rsidR="00AC00A0" w:rsidRPr="000B1CE0" w:rsidRDefault="00AC00A0" w:rsidP="000C0372">
      <w:pPr>
        <w:spacing w:after="240"/>
      </w:pPr>
      <w:r w:rsidRPr="000B1CE0">
        <w:t xml:space="preserve">ESC noted the data on clinical effectiveness of TIS for the </w:t>
      </w:r>
      <w:proofErr w:type="spellStart"/>
      <w:r w:rsidR="00AE16AC">
        <w:t>p</w:t>
      </w:r>
      <w:r w:rsidRPr="000B1CE0">
        <w:t>ALL</w:t>
      </w:r>
      <w:proofErr w:type="spellEnd"/>
      <w:r w:rsidRPr="000B1CE0">
        <w:t xml:space="preserve"> population, which included three single-arm </w:t>
      </w:r>
      <w:r w:rsidR="006A6F9D">
        <w:t>studie</w:t>
      </w:r>
      <w:r w:rsidRPr="000B1CE0">
        <w:t>s</w:t>
      </w:r>
      <w:r>
        <w:t xml:space="preserve"> of TIS</w:t>
      </w:r>
      <w:r w:rsidRPr="000B1CE0">
        <w:t xml:space="preserve">, a pooled analysis from two of these </w:t>
      </w:r>
      <w:r w:rsidR="006A6F9D">
        <w:t>studie</w:t>
      </w:r>
      <w:r w:rsidRPr="000B1CE0">
        <w:t xml:space="preserve">s, and a </w:t>
      </w:r>
      <w:r>
        <w:t xml:space="preserve">single-arm </w:t>
      </w:r>
      <w:r w:rsidR="006A6F9D">
        <w:t>study</w:t>
      </w:r>
      <w:r>
        <w:t xml:space="preserve"> of</w:t>
      </w:r>
      <w:r w:rsidRPr="000B1CE0">
        <w:t xml:space="preserve"> BLN. ESC noted that the </w:t>
      </w:r>
      <w:r>
        <w:t xml:space="preserve">TIS </w:t>
      </w:r>
      <w:r w:rsidRPr="000B1CE0">
        <w:t xml:space="preserve">clinical </w:t>
      </w:r>
      <w:r w:rsidR="006A6F9D">
        <w:t>studie</w:t>
      </w:r>
      <w:r w:rsidRPr="000B1CE0">
        <w:t xml:space="preserve">s did not use intention to treat (ITT) analysis, and only included patients who </w:t>
      </w:r>
      <w:r>
        <w:t>received</w:t>
      </w:r>
      <w:r w:rsidRPr="000B1CE0">
        <w:t xml:space="preserve"> TIS. This </w:t>
      </w:r>
      <w:proofErr w:type="gramStart"/>
      <w:r w:rsidRPr="000B1CE0">
        <w:t>was considered a major limitation</w:t>
      </w:r>
      <w:r>
        <w:t>, and resulted in a comparison against BLN, which was analysed according to the conventional ITT approach, that erroneously favoured TIS</w:t>
      </w:r>
      <w:proofErr w:type="gramEnd"/>
      <w:r w:rsidRPr="000B1CE0">
        <w:t xml:space="preserve">. However, the applicant included overall survival curves with ITT analysis in </w:t>
      </w:r>
      <w:r>
        <w:t>its</w:t>
      </w:r>
      <w:r w:rsidRPr="000B1CE0">
        <w:t xml:space="preserve"> pre-ESC response. ESC noted that there was </w:t>
      </w:r>
      <w:proofErr w:type="gramStart"/>
      <w:r w:rsidRPr="000B1CE0">
        <w:t>no formal indirect</w:t>
      </w:r>
      <w:proofErr w:type="gramEnd"/>
      <w:r w:rsidRPr="000B1CE0">
        <w:t xml:space="preserve"> comparison </w:t>
      </w:r>
      <w:r>
        <w:t xml:space="preserve">with BLN </w:t>
      </w:r>
      <w:r w:rsidRPr="000B1CE0">
        <w:t xml:space="preserve">due to lack of a common control group, but a matched adjusted indirect comparison (MAIC) was provided. ESC noted that the MAIC results </w:t>
      </w:r>
      <w:r>
        <w:t xml:space="preserve">using </w:t>
      </w:r>
      <w:r w:rsidRPr="000B1CE0">
        <w:t>the ITT population</w:t>
      </w:r>
      <w:r>
        <w:t>s in the TIS studies</w:t>
      </w:r>
      <w:r w:rsidRPr="000B1CE0">
        <w:t xml:space="preserve"> presented in the pre-ESC response were </w:t>
      </w:r>
      <w:r>
        <w:t>correctly not as favourable to TIS</w:t>
      </w:r>
      <w:r w:rsidRPr="000B1CE0">
        <w:t xml:space="preserve">. ESC also noted that the </w:t>
      </w:r>
      <w:r w:rsidR="006A6F9D">
        <w:t>studie</w:t>
      </w:r>
      <w:r w:rsidRPr="000B1CE0">
        <w:t xml:space="preserve">s had </w:t>
      </w:r>
      <w:r>
        <w:t xml:space="preserve">small patient numbers, </w:t>
      </w:r>
      <w:r w:rsidRPr="000B1CE0">
        <w:t xml:space="preserve">different endpoints, dissimilar patient characteristics and short follow-up times (20–32 months). ITT analysis estimated the overall remission rate following TIS to </w:t>
      </w:r>
      <w:r w:rsidRPr="00227489">
        <w:t>be 66% for</w:t>
      </w:r>
      <w:r w:rsidRPr="000B1CE0">
        <w:t xml:space="preserve"> the </w:t>
      </w:r>
      <w:r w:rsidRPr="00227489">
        <w:t xml:space="preserve">ELIANA </w:t>
      </w:r>
      <w:r w:rsidR="006A6F9D" w:rsidRPr="00227489">
        <w:t>study</w:t>
      </w:r>
      <w:r w:rsidRPr="00227489">
        <w:t xml:space="preserve"> and </w:t>
      </w:r>
      <w:proofErr w:type="gramStart"/>
      <w:r w:rsidR="00227489" w:rsidRPr="00227489">
        <w:rPr>
          <w:b/>
        </w:rPr>
        <w:t>redacted</w:t>
      </w:r>
      <w:r w:rsidRPr="00227489">
        <w:t>%</w:t>
      </w:r>
      <w:proofErr w:type="gramEnd"/>
      <w:r w:rsidRPr="00227489">
        <w:t xml:space="preserve"> for the ENSIGN </w:t>
      </w:r>
      <w:r w:rsidR="006A6F9D" w:rsidRPr="00227489">
        <w:t>study</w:t>
      </w:r>
      <w:r w:rsidR="00DB73B5" w:rsidRPr="00227489">
        <w:t>.</w:t>
      </w:r>
    </w:p>
    <w:p w14:paraId="11D3E592" w14:textId="77777777" w:rsidR="00AC00A0" w:rsidRPr="000B1CE0" w:rsidRDefault="00AC00A0" w:rsidP="000C0372">
      <w:pPr>
        <w:spacing w:after="240"/>
      </w:pPr>
      <w:r w:rsidRPr="000B1CE0">
        <w:t xml:space="preserve">ESC noted that TIS is a new class of therapy, and it is unclear how overall remission </w:t>
      </w:r>
      <w:r>
        <w:t xml:space="preserve">rates </w:t>
      </w:r>
      <w:r w:rsidRPr="000B1CE0">
        <w:t>or overall response rate</w:t>
      </w:r>
      <w:r>
        <w:t>s</w:t>
      </w:r>
      <w:r w:rsidRPr="000B1CE0">
        <w:t xml:space="preserve"> will translate to patient-relevant outcomes such as overall survival or quality of life, or event- or progression-free survival. ESC considered that the best approach </w:t>
      </w:r>
      <w:r w:rsidRPr="000B1CE0">
        <w:lastRenderedPageBreak/>
        <w:t xml:space="preserve">for comparative effectiveness would be to include all patients undergoing cell collection, regardless of receiving TIS (i.e. ITT population) to minimise selection bias. ESC considered that the outcomes </w:t>
      </w:r>
      <w:proofErr w:type="gramStart"/>
      <w:r w:rsidRPr="000B1CE0">
        <w:t>should be measured</w:t>
      </w:r>
      <w:proofErr w:type="gramEnd"/>
      <w:r w:rsidRPr="000B1CE0">
        <w:t xml:space="preserve"> at the equivalent </w:t>
      </w:r>
      <w:r>
        <w:t>duration of follow-up</w:t>
      </w:r>
      <w:r w:rsidRPr="000B1CE0">
        <w:t xml:space="preserve"> as comparator </w:t>
      </w:r>
      <w:r w:rsidR="006A6F9D">
        <w:t>studie</w:t>
      </w:r>
      <w:r w:rsidRPr="000B1CE0">
        <w:t>s (time from study entry).</w:t>
      </w:r>
    </w:p>
    <w:p w14:paraId="091ADC26" w14:textId="77777777" w:rsidR="00AC00A0" w:rsidRPr="000B1CE0" w:rsidRDefault="00AC00A0" w:rsidP="000C0372">
      <w:pPr>
        <w:spacing w:after="240"/>
      </w:pPr>
      <w:r w:rsidRPr="000B1CE0">
        <w:t xml:space="preserve">ESC considered there was </w:t>
      </w:r>
      <w:r>
        <w:t>weak</w:t>
      </w:r>
      <w:r w:rsidRPr="000B1CE0">
        <w:t xml:space="preserve"> evidence to claim superior effectiveness of TIS for the </w:t>
      </w:r>
      <w:proofErr w:type="spellStart"/>
      <w:r w:rsidR="00AE16AC">
        <w:t>p</w:t>
      </w:r>
      <w:r w:rsidRPr="000B1CE0">
        <w:t>ALL</w:t>
      </w:r>
      <w:proofErr w:type="spellEnd"/>
      <w:r w:rsidRPr="000B1CE0">
        <w:t xml:space="preserve"> population. The application included a naive indirect comparison with potential for selection bias. The included studies were small, had short follow-up times, and differed in their inclusion and exclusion criteria. The applicability of the studies may be limited because they were international multicentre </w:t>
      </w:r>
      <w:r w:rsidR="006A6F9D">
        <w:t>studie</w:t>
      </w:r>
      <w:r w:rsidRPr="000B1CE0">
        <w:t>s and it is not clear whether Australian patients’ outcomes were similar to those overall.</w:t>
      </w:r>
    </w:p>
    <w:p w14:paraId="667C4391" w14:textId="77777777" w:rsidR="00AC00A0" w:rsidRDefault="00AC00A0" w:rsidP="000C0372">
      <w:pPr>
        <w:spacing w:after="240"/>
      </w:pPr>
      <w:r w:rsidRPr="000B1CE0">
        <w:t xml:space="preserve">ESC noted the data on clinical effectiveness of TIS for the DLBCL population, which included two single-arm </w:t>
      </w:r>
      <w:r w:rsidR="006A6F9D">
        <w:t>studie</w:t>
      </w:r>
      <w:r w:rsidRPr="000B1CE0">
        <w:t xml:space="preserve">s </w:t>
      </w:r>
      <w:r>
        <w:t>of TIS,</w:t>
      </w:r>
      <w:r w:rsidRPr="000B1CE0">
        <w:t xml:space="preserve"> no pooled analysis</w:t>
      </w:r>
      <w:r>
        <w:t xml:space="preserve"> and t</w:t>
      </w:r>
      <w:r w:rsidR="00D90510">
        <w:t>hree</w:t>
      </w:r>
      <w:r>
        <w:t xml:space="preserve"> single-arm </w:t>
      </w:r>
      <w:r w:rsidR="006A6F9D">
        <w:t>studie</w:t>
      </w:r>
      <w:r>
        <w:t>s of SCR</w:t>
      </w:r>
      <w:r w:rsidRPr="000B1CE0">
        <w:t xml:space="preserve">. As for the </w:t>
      </w:r>
      <w:proofErr w:type="spellStart"/>
      <w:r w:rsidR="00AE16AC">
        <w:t>p</w:t>
      </w:r>
      <w:r w:rsidRPr="000B1CE0">
        <w:t>ALL</w:t>
      </w:r>
      <w:proofErr w:type="spellEnd"/>
      <w:r w:rsidRPr="000B1CE0">
        <w:t xml:space="preserve"> population, there was no ITT analysis</w:t>
      </w:r>
      <w:r>
        <w:t xml:space="preserve"> of the TIS </w:t>
      </w:r>
      <w:r w:rsidR="00D90510">
        <w:t>studie</w:t>
      </w:r>
      <w:r>
        <w:t>s,</w:t>
      </w:r>
      <w:r w:rsidRPr="000B1CE0">
        <w:t xml:space="preserve"> but the applicant provided additional survival curves in the pre-ESC response. There was similarly no formal indirect comparison due to lack of a common control group, but an MAIC </w:t>
      </w:r>
      <w:proofErr w:type="gramStart"/>
      <w:r w:rsidRPr="000B1CE0">
        <w:t>was provided</w:t>
      </w:r>
      <w:proofErr w:type="gramEnd"/>
      <w:r w:rsidRPr="000B1CE0">
        <w:t xml:space="preserve">. ESC noted that the MAIC results </w:t>
      </w:r>
      <w:r>
        <w:t>using</w:t>
      </w:r>
      <w:r w:rsidRPr="000B1CE0">
        <w:t xml:space="preserve"> the ITT population</w:t>
      </w:r>
      <w:r w:rsidRPr="009960D9">
        <w:t xml:space="preserve"> </w:t>
      </w:r>
      <w:r>
        <w:t>in the TIS studies</w:t>
      </w:r>
      <w:r w:rsidRPr="000B1CE0">
        <w:t xml:space="preserve"> presented in the pre-ESC response were </w:t>
      </w:r>
      <w:r>
        <w:t>correctly not as favourable to TIS</w:t>
      </w:r>
      <w:r w:rsidRPr="000B1CE0">
        <w:t>.</w:t>
      </w:r>
      <w:r>
        <w:t xml:space="preserve"> </w:t>
      </w:r>
      <w:r w:rsidRPr="000B1CE0">
        <w:t xml:space="preserve">ESC </w:t>
      </w:r>
      <w:r>
        <w:t xml:space="preserve">also </w:t>
      </w:r>
      <w:r w:rsidRPr="000B1CE0">
        <w:t xml:space="preserve">noted the </w:t>
      </w:r>
      <w:r w:rsidR="00D90510">
        <w:t>studie</w:t>
      </w:r>
      <w:r>
        <w:t xml:space="preserve">s had </w:t>
      </w:r>
      <w:r w:rsidRPr="000B1CE0">
        <w:t>small patient numbers</w:t>
      </w:r>
      <w:r>
        <w:t>,</w:t>
      </w:r>
      <w:r w:rsidRPr="000C1D67">
        <w:t xml:space="preserve"> </w:t>
      </w:r>
      <w:r w:rsidRPr="000B1CE0">
        <w:t>dissimilar patient characteristics</w:t>
      </w:r>
      <w:r>
        <w:t xml:space="preserve"> and</w:t>
      </w:r>
      <w:r w:rsidRPr="000B1CE0">
        <w:t xml:space="preserve"> short follow-up times (19–29 months).</w:t>
      </w:r>
    </w:p>
    <w:p w14:paraId="4839007F" w14:textId="77777777" w:rsidR="00AC00A0" w:rsidRDefault="00AC00A0" w:rsidP="00AC00A0">
      <w:r w:rsidRPr="000B1CE0">
        <w:t xml:space="preserve">ESC considered there was </w:t>
      </w:r>
      <w:r>
        <w:t>weak</w:t>
      </w:r>
      <w:r w:rsidRPr="000B1CE0">
        <w:t xml:space="preserve"> evidence to claim superior effectiveness of TIS for the DLBCL population. The application included a naive indirect comparison, which may be subject to confounding and significant selection bias. The included studies were single-arm </w:t>
      </w:r>
      <w:r>
        <w:t xml:space="preserve">Phase I and II </w:t>
      </w:r>
      <w:r w:rsidRPr="000B1CE0">
        <w:t xml:space="preserve">studies with limited follow-up, and the overall response rate has uncertain </w:t>
      </w:r>
      <w:r>
        <w:t xml:space="preserve">long-term </w:t>
      </w:r>
      <w:r w:rsidRPr="000B1CE0">
        <w:t xml:space="preserve">clinical relevance. The applicability of the studies may be limited because they were international multicentre </w:t>
      </w:r>
      <w:r w:rsidR="00D90510">
        <w:t>studie</w:t>
      </w:r>
      <w:r w:rsidRPr="000B1CE0">
        <w:t>s and it is not clear whether Australian patients’ outcomes were similar to those overall.</w:t>
      </w:r>
    </w:p>
    <w:p w14:paraId="4DD4D46A" w14:textId="77777777" w:rsidR="00115EC2" w:rsidRPr="000B1CE0" w:rsidRDefault="00AC00A0" w:rsidP="00243199">
      <w:pPr>
        <w:spacing w:after="240"/>
      </w:pPr>
      <w:r w:rsidRPr="000B1CE0">
        <w:t xml:space="preserve">ESC recognised the challenges of collecting evidence for low-prevalence refractory conditions, but considered that the issues in the </w:t>
      </w:r>
      <w:r w:rsidR="00692F9D">
        <w:t>application</w:t>
      </w:r>
      <w:r w:rsidRPr="000B1CE0">
        <w:t xml:space="preserve"> </w:t>
      </w:r>
      <w:r>
        <w:t>we</w:t>
      </w:r>
      <w:r w:rsidRPr="000B1CE0">
        <w:t xml:space="preserve">re not a unique consequence of the innovative nature of the therapy. Similar issues </w:t>
      </w:r>
      <w:proofErr w:type="gramStart"/>
      <w:r w:rsidRPr="000B1CE0">
        <w:t>are often assessed</w:t>
      </w:r>
      <w:proofErr w:type="gramEnd"/>
      <w:r w:rsidRPr="000B1CE0">
        <w:t xml:space="preserve"> by the PBAC for oncology products. ESC </w:t>
      </w:r>
      <w:r>
        <w:t xml:space="preserve">advised </w:t>
      </w:r>
      <w:r w:rsidRPr="000B1CE0">
        <w:t xml:space="preserve">that differences in patients, outcome definitions and setting across the single-arm studies </w:t>
      </w:r>
      <w:proofErr w:type="gramStart"/>
      <w:r>
        <w:t>may</w:t>
      </w:r>
      <w:proofErr w:type="gramEnd"/>
      <w:r>
        <w:t xml:space="preserve"> </w:t>
      </w:r>
      <w:r w:rsidRPr="000B1CE0">
        <w:t>lead to substantial transitivity issues.</w:t>
      </w:r>
    </w:p>
    <w:p w14:paraId="78E5BCE6" w14:textId="77777777" w:rsidR="00AC00A0" w:rsidRPr="00F00D61" w:rsidRDefault="00AC00A0" w:rsidP="00AC00A0">
      <w:pPr>
        <w:pStyle w:val="NormalBeforeBullet"/>
        <w:rPr>
          <w:i/>
        </w:rPr>
      </w:pPr>
      <w:r w:rsidRPr="00F00D61">
        <w:rPr>
          <w:i/>
        </w:rPr>
        <w:t>Costs and funding</w:t>
      </w:r>
    </w:p>
    <w:p w14:paraId="208CADF5" w14:textId="77777777" w:rsidR="00AC00A0" w:rsidRPr="000B1CE0" w:rsidRDefault="00AC00A0" w:rsidP="00AC00A0">
      <w:pPr>
        <w:pStyle w:val="Bullet"/>
      </w:pPr>
      <w:r w:rsidRPr="000B1CE0">
        <w:t xml:space="preserve">Funding is dependent on the TGA-registered populations, but there is a risk of use </w:t>
      </w:r>
      <w:r>
        <w:t xml:space="preserve">earlier in the clinical management pathways for both </w:t>
      </w:r>
      <w:proofErr w:type="spellStart"/>
      <w:r w:rsidR="00AE16AC">
        <w:t>p</w:t>
      </w:r>
      <w:r w:rsidRPr="000B1CE0">
        <w:t>ALL</w:t>
      </w:r>
      <w:proofErr w:type="spellEnd"/>
      <w:r w:rsidRPr="000B1CE0">
        <w:t xml:space="preserve"> and DLBCL.</w:t>
      </w:r>
    </w:p>
    <w:p w14:paraId="4FFA40C8" w14:textId="77777777" w:rsidR="00AC00A0" w:rsidRPr="000B1CE0" w:rsidRDefault="00AC00A0" w:rsidP="00AC00A0">
      <w:pPr>
        <w:pStyle w:val="Bullet"/>
      </w:pPr>
      <w:r w:rsidRPr="000B1CE0">
        <w:t>Other autologous products of gene editing are likely to be</w:t>
      </w:r>
      <w:r>
        <w:t>come available</w:t>
      </w:r>
      <w:r w:rsidRPr="000B1CE0">
        <w:t xml:space="preserve"> in the near future.</w:t>
      </w:r>
    </w:p>
    <w:p w14:paraId="4E941C03" w14:textId="77777777" w:rsidR="00AC00A0" w:rsidRPr="000B1CE0" w:rsidRDefault="00AC00A0" w:rsidP="00AC00A0">
      <w:pPr>
        <w:pStyle w:val="Bullet"/>
      </w:pPr>
      <w:r w:rsidRPr="000B1CE0">
        <w:t xml:space="preserve">It is unclear how cases </w:t>
      </w:r>
      <w:proofErr w:type="gramStart"/>
      <w:r w:rsidRPr="000B1CE0">
        <w:t>will be handled</w:t>
      </w:r>
      <w:proofErr w:type="gramEnd"/>
      <w:r w:rsidRPr="000B1CE0">
        <w:t xml:space="preserve"> when the patient </w:t>
      </w:r>
      <w:r>
        <w:t xml:space="preserve">is prepared for </w:t>
      </w:r>
      <w:r w:rsidRPr="000B1CE0">
        <w:t>TIS but is not able to receive the infusion, and who will bear the costs</w:t>
      </w:r>
      <w:r>
        <w:t xml:space="preserve"> of this preparation, even if there are no costs for the TIS, no matter how far the TIS process has progressed to the point of being ready for infusion</w:t>
      </w:r>
      <w:r w:rsidRPr="000B1CE0">
        <w:t xml:space="preserve">. </w:t>
      </w:r>
    </w:p>
    <w:p w14:paraId="23037363" w14:textId="77777777" w:rsidR="00AC00A0" w:rsidRPr="000B1CE0" w:rsidRDefault="00AC00A0" w:rsidP="00AC00A0">
      <w:pPr>
        <w:pStyle w:val="Bullet"/>
      </w:pPr>
      <w:r w:rsidRPr="000B1CE0">
        <w:t xml:space="preserve">Funding would be </w:t>
      </w:r>
      <w:r>
        <w:t xml:space="preserve">primarily </w:t>
      </w:r>
      <w:r w:rsidRPr="000B1CE0">
        <w:t xml:space="preserve">for </w:t>
      </w:r>
      <w:r>
        <w:t xml:space="preserve">the </w:t>
      </w:r>
      <w:r w:rsidRPr="000B1CE0">
        <w:t xml:space="preserve">inpatient </w:t>
      </w:r>
      <w:r>
        <w:t xml:space="preserve">setting, although some care </w:t>
      </w:r>
      <w:proofErr w:type="gramStart"/>
      <w:r>
        <w:t>may be provided</w:t>
      </w:r>
      <w:proofErr w:type="gramEnd"/>
      <w:r>
        <w:t xml:space="preserve"> through the outpatient setting leading up to and after the TIS infusion</w:t>
      </w:r>
      <w:r w:rsidRPr="000B1CE0">
        <w:t>.</w:t>
      </w:r>
    </w:p>
    <w:p w14:paraId="566E5DB4" w14:textId="77777777" w:rsidR="00AC00A0" w:rsidRPr="000B1CE0" w:rsidRDefault="00AC00A0" w:rsidP="00AC00A0">
      <w:pPr>
        <w:pStyle w:val="Bullet"/>
      </w:pPr>
      <w:r w:rsidRPr="000B1CE0">
        <w:t xml:space="preserve">It may </w:t>
      </w:r>
      <w:r>
        <w:t xml:space="preserve">therefore </w:t>
      </w:r>
      <w:r w:rsidRPr="000B1CE0">
        <w:t xml:space="preserve">be desirable to assign separate episodes of care for provision of health care resources to assist with costings by the Independent Hospital Pricing Authority (i.e. confirming </w:t>
      </w:r>
      <w:r>
        <w:t xml:space="preserve">the </w:t>
      </w:r>
      <w:r w:rsidRPr="000B1CE0">
        <w:t>patient</w:t>
      </w:r>
      <w:r>
        <w:t>’</w:t>
      </w:r>
      <w:r w:rsidRPr="000B1CE0">
        <w:t xml:space="preserve">s eligibility for TIS, harvesting </w:t>
      </w:r>
      <w:r>
        <w:t xml:space="preserve">the patient’s </w:t>
      </w:r>
      <w:r w:rsidRPr="000B1CE0">
        <w:t xml:space="preserve">T-cells, preparing </w:t>
      </w:r>
      <w:r>
        <w:t xml:space="preserve">the </w:t>
      </w:r>
      <w:r w:rsidRPr="000B1CE0">
        <w:lastRenderedPageBreak/>
        <w:t xml:space="preserve">patient for TIS, administering TIS, monitoring and management of </w:t>
      </w:r>
      <w:r>
        <w:t xml:space="preserve">the </w:t>
      </w:r>
      <w:r w:rsidRPr="000B1CE0">
        <w:t>patient after TIS [including adverse events]).</w:t>
      </w:r>
    </w:p>
    <w:p w14:paraId="630D99D5" w14:textId="77777777" w:rsidR="00AC00A0" w:rsidRPr="00F00D61" w:rsidRDefault="00AC00A0" w:rsidP="00AC00A0">
      <w:pPr>
        <w:pStyle w:val="NormalBeforeBullet"/>
        <w:rPr>
          <w:i/>
        </w:rPr>
      </w:pPr>
      <w:r w:rsidRPr="00F00D61">
        <w:rPr>
          <w:i/>
        </w:rPr>
        <w:t>Manufacturing and supply arrangements</w:t>
      </w:r>
    </w:p>
    <w:p w14:paraId="1BD3593F" w14:textId="77777777" w:rsidR="00AC00A0" w:rsidRPr="000B1CE0" w:rsidRDefault="00227489" w:rsidP="00AC00A0">
      <w:pPr>
        <w:pStyle w:val="Bullet"/>
      </w:pPr>
      <w:r w:rsidRPr="00227489">
        <w:rPr>
          <w:b/>
        </w:rPr>
        <w:t>Redacted</w:t>
      </w:r>
      <w:r w:rsidR="00AC00A0" w:rsidRPr="00227489">
        <w:t>,</w:t>
      </w:r>
      <w:r w:rsidR="00AC00A0" w:rsidRPr="000B1CE0">
        <w:t xml:space="preserve"> it is unclear whether the applicant will increase capacity </w:t>
      </w:r>
      <w:r w:rsidR="00AC00A0">
        <w:t xml:space="preserve">in a timely way </w:t>
      </w:r>
      <w:r w:rsidR="00AC00A0" w:rsidRPr="000B1CE0">
        <w:t xml:space="preserve">if TIS demand rises </w:t>
      </w:r>
      <w:r w:rsidR="00AC00A0">
        <w:t xml:space="preserve">rapidly across the </w:t>
      </w:r>
      <w:r w:rsidR="00AC00A0" w:rsidRPr="000B1CE0">
        <w:t>glob</w:t>
      </w:r>
      <w:r w:rsidR="00AC00A0">
        <w:t>e</w:t>
      </w:r>
      <w:r w:rsidR="00AC00A0" w:rsidRPr="000B1CE0">
        <w:t>.</w:t>
      </w:r>
    </w:p>
    <w:p w14:paraId="161389B3" w14:textId="77777777" w:rsidR="00AC00A0" w:rsidRPr="000B1CE0" w:rsidRDefault="00AC00A0" w:rsidP="00AC00A0">
      <w:pPr>
        <w:pStyle w:val="Bullet"/>
      </w:pPr>
      <w:r w:rsidRPr="000B1CE0">
        <w:t xml:space="preserve">It is unclear whether cell survival rates would be similar in </w:t>
      </w:r>
      <w:r>
        <w:t>regular practice</w:t>
      </w:r>
      <w:r w:rsidRPr="000B1CE0">
        <w:t>.</w:t>
      </w:r>
    </w:p>
    <w:p w14:paraId="06965A45" w14:textId="77777777" w:rsidR="00AC00A0" w:rsidRPr="00227489" w:rsidRDefault="00AC00A0" w:rsidP="00AC00A0">
      <w:pPr>
        <w:pStyle w:val="BulletLast"/>
      </w:pPr>
      <w:r w:rsidRPr="00227489">
        <w:t xml:space="preserve">The </w:t>
      </w:r>
      <w:r w:rsidR="00692F9D" w:rsidRPr="00227489">
        <w:t>application</w:t>
      </w:r>
      <w:r w:rsidRPr="00227489">
        <w:t xml:space="preserve"> claim</w:t>
      </w:r>
      <w:r w:rsidR="00692F9D" w:rsidRPr="00227489">
        <w:t>ed</w:t>
      </w:r>
      <w:r w:rsidRPr="00227489">
        <w:t xml:space="preserve"> 2–4 weeks from </w:t>
      </w:r>
      <w:proofErr w:type="spellStart"/>
      <w:r w:rsidRPr="00227489">
        <w:t>leukapharesis</w:t>
      </w:r>
      <w:proofErr w:type="spellEnd"/>
      <w:r w:rsidRPr="00227489">
        <w:t xml:space="preserve"> to receipt of TIS. </w:t>
      </w:r>
      <w:r w:rsidR="00227489" w:rsidRPr="00227489">
        <w:rPr>
          <w:b/>
        </w:rPr>
        <w:t>Redacted</w:t>
      </w:r>
      <w:r w:rsidRPr="00227489">
        <w:t xml:space="preserve">. </w:t>
      </w:r>
    </w:p>
    <w:p w14:paraId="5111AC0F" w14:textId="77777777" w:rsidR="00AC00A0" w:rsidRPr="00F00D61" w:rsidRDefault="00AC00A0" w:rsidP="00AC00A0">
      <w:pPr>
        <w:pStyle w:val="NormalBeforeBullet"/>
        <w:rPr>
          <w:i/>
        </w:rPr>
      </w:pPr>
      <w:r>
        <w:rPr>
          <w:i/>
        </w:rPr>
        <w:t>Economic evaluation</w:t>
      </w:r>
    </w:p>
    <w:p w14:paraId="2E028E9F" w14:textId="77777777" w:rsidR="00AC00A0" w:rsidRPr="000B1CE0" w:rsidRDefault="00AC00A0" w:rsidP="000C0372">
      <w:pPr>
        <w:spacing w:after="240"/>
      </w:pPr>
      <w:r w:rsidRPr="00227489">
        <w:t xml:space="preserve">ESC reviewed the economic evaluation, which was a cost-utility analysis from the Australian health care system perspective. ESC noted that stem cell transplant, salvage therapy or supportive treatment after failed TIS </w:t>
      </w:r>
      <w:proofErr w:type="gramStart"/>
      <w:r w:rsidRPr="00227489">
        <w:t>had not been explicitly modelled</w:t>
      </w:r>
      <w:proofErr w:type="gramEnd"/>
      <w:r w:rsidRPr="00227489">
        <w:t xml:space="preserve">. ESC noted the high cost of TIS treatment, which </w:t>
      </w:r>
      <w:proofErr w:type="gramStart"/>
      <w:r w:rsidRPr="00227489">
        <w:t>was mainly driven</w:t>
      </w:r>
      <w:proofErr w:type="gramEnd"/>
      <w:r w:rsidRPr="00227489">
        <w:t xml:space="preserve"> by the high cost of the product </w:t>
      </w:r>
      <w:r w:rsidR="00252A5A">
        <w:t>(</w:t>
      </w:r>
      <w:r w:rsidR="00227489" w:rsidRPr="00227489">
        <w:rPr>
          <w:b/>
        </w:rPr>
        <w:t>redacted</w:t>
      </w:r>
      <w:r w:rsidRPr="00227489">
        <w:t xml:space="preserve">). ESC also noted the unusual approach in the </w:t>
      </w:r>
      <w:r w:rsidR="00692F9D" w:rsidRPr="00227489">
        <w:t xml:space="preserve">application </w:t>
      </w:r>
      <w:r w:rsidRPr="00227489">
        <w:t>of using two different shadow prices for each population in the model, but then taking a weighted average of those (</w:t>
      </w:r>
      <w:r w:rsidR="00227489" w:rsidRPr="00227489">
        <w:rPr>
          <w:b/>
        </w:rPr>
        <w:t>redacted</w:t>
      </w:r>
      <w:r w:rsidRPr="00227489">
        <w:t>) to calculate the proposed effective price of $</w:t>
      </w:r>
      <w:r w:rsidR="00227489" w:rsidRPr="00227489">
        <w:rPr>
          <w:b/>
        </w:rPr>
        <w:t>redacted</w:t>
      </w:r>
      <w:r w:rsidRPr="00227489">
        <w:t xml:space="preserve">. ESC considered that these assumptions may differ in reality, and if the DLBCL population </w:t>
      </w:r>
      <w:proofErr w:type="gramStart"/>
      <w:r w:rsidRPr="00227489">
        <w:t>was</w:t>
      </w:r>
      <w:proofErr w:type="gramEnd"/>
      <w:r w:rsidRPr="00227489">
        <w:t xml:space="preserve"> more than </w:t>
      </w:r>
      <w:r w:rsidR="00227489" w:rsidRPr="00227489">
        <w:rPr>
          <w:b/>
        </w:rPr>
        <w:t>redacted</w:t>
      </w:r>
      <w:r w:rsidRPr="00227489">
        <w:t>, the government would effectively be overpaying. ESC noted that this would have implications for overall</w:t>
      </w:r>
      <w:r w:rsidRPr="000B1CE0">
        <w:t xml:space="preserve"> cost-effectiveness, and </w:t>
      </w:r>
      <w:r>
        <w:t xml:space="preserve">advised that </w:t>
      </w:r>
      <w:r w:rsidRPr="000B1CE0">
        <w:t xml:space="preserve">this approach </w:t>
      </w:r>
      <w:r>
        <w:t>therefore carried some risk for the payer</w:t>
      </w:r>
      <w:r w:rsidRPr="000B1CE0">
        <w:t>.</w:t>
      </w:r>
    </w:p>
    <w:p w14:paraId="33263511" w14:textId="77777777" w:rsidR="00AC00A0" w:rsidRDefault="00AC00A0" w:rsidP="000C0372">
      <w:pPr>
        <w:spacing w:after="240"/>
      </w:pPr>
      <w:r w:rsidRPr="000B1CE0">
        <w:t xml:space="preserve">ESC considered that the simplified approach to costing adverse events </w:t>
      </w:r>
      <w:r>
        <w:t xml:space="preserve">adopted for the models </w:t>
      </w:r>
      <w:r w:rsidRPr="000B1CE0">
        <w:t>was unlikely to be accurate, and sensitivity analysis was required. ESC considered that the simplified approach magnifie</w:t>
      </w:r>
      <w:r>
        <w:t>d</w:t>
      </w:r>
      <w:r w:rsidRPr="000B1CE0">
        <w:t xml:space="preserve"> the uncertainty associated with the absence of a formal comparison of adverse events between TIS and the comparators. The adverse event profile of CAR-T is not benign, and </w:t>
      </w:r>
      <w:r>
        <w:t xml:space="preserve">ESC considered that </w:t>
      </w:r>
      <w:r w:rsidRPr="000B1CE0">
        <w:t>the impact of adverse events in the economic model</w:t>
      </w:r>
      <w:r>
        <w:t>s</w:t>
      </w:r>
      <w:r w:rsidRPr="000B1CE0">
        <w:t xml:space="preserve"> </w:t>
      </w:r>
      <w:proofErr w:type="gramStart"/>
      <w:r w:rsidRPr="000B1CE0">
        <w:t>ha</w:t>
      </w:r>
      <w:r>
        <w:t>d</w:t>
      </w:r>
      <w:r w:rsidRPr="000B1CE0">
        <w:t xml:space="preserve"> not been sufficiently explored</w:t>
      </w:r>
      <w:proofErr w:type="gramEnd"/>
      <w:r w:rsidRPr="000B1CE0">
        <w:t>. The simplified approach takes no account of different time-courses of adverse events and the possibility of multiple admissions per patient for different adverse events, or the increased management required for concurrent adverse events.</w:t>
      </w:r>
    </w:p>
    <w:p w14:paraId="5BCE95B4" w14:textId="77777777" w:rsidR="00AC00A0" w:rsidRPr="000B1CE0" w:rsidRDefault="00AC00A0" w:rsidP="000C0372">
      <w:pPr>
        <w:spacing w:after="240"/>
      </w:pPr>
      <w:r w:rsidRPr="00227489">
        <w:t xml:space="preserve">In the </w:t>
      </w:r>
      <w:r w:rsidR="00692F9D" w:rsidRPr="00227489">
        <w:t>application</w:t>
      </w:r>
      <w:r w:rsidRPr="00227489">
        <w:t xml:space="preserve">, the base case incremental cost-effectiveness ratio (ICER) for the </w:t>
      </w:r>
      <w:proofErr w:type="spellStart"/>
      <w:r w:rsidR="00AE16AC" w:rsidRPr="00227489">
        <w:t>p</w:t>
      </w:r>
      <w:r w:rsidRPr="00227489">
        <w:t>ALL</w:t>
      </w:r>
      <w:proofErr w:type="spellEnd"/>
      <w:r w:rsidRPr="00227489">
        <w:t xml:space="preserve"> population was $</w:t>
      </w:r>
      <w:r w:rsidR="00227489" w:rsidRPr="00227489">
        <w:rPr>
          <w:b/>
        </w:rPr>
        <w:t>redacted</w:t>
      </w:r>
      <w:r w:rsidRPr="00227489">
        <w:t>, and for DLBCL was $</w:t>
      </w:r>
      <w:r w:rsidR="00227489" w:rsidRPr="00227489">
        <w:rPr>
          <w:b/>
        </w:rPr>
        <w:t>redacted</w:t>
      </w:r>
      <w:r w:rsidRPr="00227489">
        <w:t>. ESC noted that the ICER was highly sensitive to the time horizon in the models. If the models were truncated at time points equivalent to the duration of the observed data (2 years for ALL, and 3 years for DLBCL), the ICERs were $</w:t>
      </w:r>
      <w:r w:rsidR="00227489" w:rsidRPr="00227489">
        <w:rPr>
          <w:b/>
        </w:rPr>
        <w:t>redacted</w:t>
      </w:r>
      <w:r w:rsidR="00227489" w:rsidRPr="00227489">
        <w:t xml:space="preserve"> </w:t>
      </w:r>
      <w:r w:rsidRPr="00227489">
        <w:t>for ALL, and $</w:t>
      </w:r>
      <w:r w:rsidR="00227489" w:rsidRPr="00227489">
        <w:rPr>
          <w:b/>
        </w:rPr>
        <w:t>redacted</w:t>
      </w:r>
      <w:r w:rsidR="00227489" w:rsidRPr="00227489">
        <w:t xml:space="preserve"> </w:t>
      </w:r>
      <w:r w:rsidRPr="00227489">
        <w:t>for DLBCL. ESC considered that extrapolations of survival curves were uncertain because of limited clinical data and difficult</w:t>
      </w:r>
      <w:r w:rsidRPr="000B1CE0">
        <w:t xml:space="preserve"> to interpret</w:t>
      </w:r>
      <w:r>
        <w:t xml:space="preserve"> due to unclear pooling</w:t>
      </w:r>
      <w:r w:rsidRPr="00916A06">
        <w:t xml:space="preserve"> </w:t>
      </w:r>
      <w:r>
        <w:t xml:space="preserve">of </w:t>
      </w:r>
      <w:r w:rsidR="00D90510">
        <w:t>clinical study</w:t>
      </w:r>
      <w:r>
        <w:t xml:space="preserve"> data</w:t>
      </w:r>
      <w:r w:rsidRPr="000B1CE0">
        <w:t>.</w:t>
      </w:r>
    </w:p>
    <w:p w14:paraId="1F521400" w14:textId="77777777" w:rsidR="00AC00A0" w:rsidRDefault="00AC00A0" w:rsidP="000C0372">
      <w:pPr>
        <w:spacing w:after="240"/>
      </w:pPr>
      <w:r w:rsidRPr="000B1CE0">
        <w:t xml:space="preserve">ESC </w:t>
      </w:r>
      <w:r>
        <w:t>noted</w:t>
      </w:r>
      <w:r w:rsidRPr="000B1CE0">
        <w:t xml:space="preserve"> the ITT analyses in the </w:t>
      </w:r>
      <w:r>
        <w:t xml:space="preserve">revised </w:t>
      </w:r>
      <w:r w:rsidRPr="000B1CE0">
        <w:t>economic model</w:t>
      </w:r>
      <w:r>
        <w:t>s presented with the pre-ESC response</w:t>
      </w:r>
      <w:r w:rsidRPr="000B1CE0">
        <w:t>, but that th</w:t>
      </w:r>
      <w:r>
        <w:t>ese revisions</w:t>
      </w:r>
      <w:r w:rsidRPr="000B1CE0">
        <w:t xml:space="preserve"> resulted in some unexpecte</w:t>
      </w:r>
      <w:r w:rsidR="00DE6F8B">
        <w:t>d effects on the model outputs.</w:t>
      </w:r>
    </w:p>
    <w:p w14:paraId="2AD61646" w14:textId="77777777" w:rsidR="00AC00A0" w:rsidRPr="000B1CE0" w:rsidRDefault="00AC00A0" w:rsidP="000C0372">
      <w:pPr>
        <w:spacing w:before="240" w:after="240"/>
      </w:pPr>
      <w:r w:rsidRPr="000B1CE0">
        <w:t>ESC considered that the economic model</w:t>
      </w:r>
      <w:r>
        <w:t>s</w:t>
      </w:r>
      <w:r w:rsidRPr="000B1CE0">
        <w:t xml:space="preserve"> d</w:t>
      </w:r>
      <w:r>
        <w:t>id</w:t>
      </w:r>
      <w:r w:rsidRPr="000B1CE0">
        <w:t xml:space="preserve"> not allow exploration of the impact of different assumptions about implementation and technical efficacy. ESC recommended that a useful alternative model structure would be an initial decision tree that steps out each </w:t>
      </w:r>
      <w:proofErr w:type="spellStart"/>
      <w:r w:rsidRPr="000B1CE0">
        <w:t>subprocedure</w:t>
      </w:r>
      <w:proofErr w:type="spellEnd"/>
      <w:r w:rsidRPr="000B1CE0">
        <w:t xml:space="preserve"> of the TIS process, with transition probabilities applied at each step, before ‘response’ is modelle</w:t>
      </w:r>
      <w:r w:rsidR="00DE6F8B">
        <w:t>d via the Markov health states.</w:t>
      </w:r>
    </w:p>
    <w:p w14:paraId="72213FD6" w14:textId="77777777" w:rsidR="00AC00A0" w:rsidRPr="00227489" w:rsidRDefault="00AC00A0" w:rsidP="00AC00A0">
      <w:pPr>
        <w:pStyle w:val="NormalBeforeBullet"/>
      </w:pPr>
      <w:r w:rsidRPr="00227489">
        <w:t>Other key issues identified with the economic evaluation were as follows:</w:t>
      </w:r>
    </w:p>
    <w:p w14:paraId="009AEEBB" w14:textId="77777777" w:rsidR="00AC00A0" w:rsidRPr="00227489" w:rsidRDefault="00AC00A0" w:rsidP="00AC00A0">
      <w:pPr>
        <w:pStyle w:val="Bullet"/>
      </w:pPr>
      <w:r w:rsidRPr="00227489">
        <w:t xml:space="preserve">The TIS arm modelled patients who </w:t>
      </w:r>
      <w:proofErr w:type="gramStart"/>
      <w:r w:rsidRPr="00227489">
        <w:t>were treated</w:t>
      </w:r>
      <w:proofErr w:type="gramEnd"/>
      <w:r w:rsidRPr="00227489">
        <w:t xml:space="preserve">, while the comparator arms modelled the ITT population. ESC noted that the TIS infusion </w:t>
      </w:r>
      <w:proofErr w:type="gramStart"/>
      <w:r w:rsidRPr="00227489">
        <w:t>was not provided</w:t>
      </w:r>
      <w:proofErr w:type="gramEnd"/>
      <w:r w:rsidRPr="00227489">
        <w:t xml:space="preserve"> to 19% of patients </w:t>
      </w:r>
      <w:r w:rsidRPr="00227489">
        <w:lastRenderedPageBreak/>
        <w:t xml:space="preserve">in the ELIANA </w:t>
      </w:r>
      <w:r w:rsidR="00D90510" w:rsidRPr="00227489">
        <w:t>study</w:t>
      </w:r>
      <w:r w:rsidRPr="00227489">
        <w:t xml:space="preserve"> and 33% in the JULIET </w:t>
      </w:r>
      <w:r w:rsidR="00D90510" w:rsidRPr="00227489">
        <w:t>study</w:t>
      </w:r>
      <w:r w:rsidRPr="00227489">
        <w:t xml:space="preserve">. The preparation costs for these patients (for </w:t>
      </w:r>
      <w:proofErr w:type="spellStart"/>
      <w:r w:rsidRPr="00227489">
        <w:t>leukapheresis</w:t>
      </w:r>
      <w:proofErr w:type="spellEnd"/>
      <w:r w:rsidRPr="00227489">
        <w:t>, cryopreservation, bridging therapies) were therefore not included, nor were estimates of reduced treatment effectiveness.</w:t>
      </w:r>
    </w:p>
    <w:p w14:paraId="52C52452" w14:textId="77777777" w:rsidR="00AC00A0" w:rsidRPr="00227489" w:rsidRDefault="00AC00A0" w:rsidP="00AC00A0">
      <w:pPr>
        <w:pStyle w:val="Bullet"/>
      </w:pPr>
      <w:r w:rsidRPr="00227489">
        <w:t>The clinical evidence and inputs are from naive comparisons of single-arm studies, which had baseline differences, and potential confounding and selection bias.</w:t>
      </w:r>
    </w:p>
    <w:p w14:paraId="700F33F5" w14:textId="77777777" w:rsidR="00AC00A0" w:rsidRPr="00227489" w:rsidRDefault="00AC00A0" w:rsidP="00AC00A0">
      <w:pPr>
        <w:pStyle w:val="Bullet"/>
      </w:pPr>
      <w:r w:rsidRPr="00227489">
        <w:t xml:space="preserve">The maturity of the evidence was low due to short follow-up times, leading to uncertainty regarding lifetime extrapolations (particularly extrapolation of survival benefit). The assumption of a sustained benefit to overall survival may have been too optimistic, and the </w:t>
      </w:r>
      <w:r w:rsidR="00692F9D" w:rsidRPr="00227489">
        <w:t xml:space="preserve">application </w:t>
      </w:r>
      <w:r w:rsidRPr="00227489">
        <w:t>did not address whether multiple or repeat doses might be required to maintain the effect.</w:t>
      </w:r>
    </w:p>
    <w:p w14:paraId="12491EF7" w14:textId="77777777" w:rsidR="00AC00A0" w:rsidRPr="000B1CE0" w:rsidRDefault="00AC00A0" w:rsidP="00AC00A0">
      <w:pPr>
        <w:pStyle w:val="Bullet"/>
      </w:pPr>
      <w:r w:rsidRPr="00227489">
        <w:t xml:space="preserve">The model should include consideration of an </w:t>
      </w:r>
      <w:proofErr w:type="spellStart"/>
      <w:r w:rsidRPr="00227489">
        <w:t>allo</w:t>
      </w:r>
      <w:proofErr w:type="spellEnd"/>
      <w:r w:rsidRPr="00227489">
        <w:t>-SCT following TIS, because CAR-T</w:t>
      </w:r>
      <w:r w:rsidRPr="000B1CE0">
        <w:t xml:space="preserve"> therapy can be used as a conditioning therapy to improve the likelihood of successful </w:t>
      </w:r>
      <w:proofErr w:type="spellStart"/>
      <w:r w:rsidRPr="000B1CE0">
        <w:t>allo</w:t>
      </w:r>
      <w:proofErr w:type="spellEnd"/>
      <w:r w:rsidRPr="000B1CE0">
        <w:t>-SCT.</w:t>
      </w:r>
    </w:p>
    <w:p w14:paraId="1A359F02" w14:textId="77777777" w:rsidR="00AC00A0" w:rsidRPr="000B1CE0" w:rsidRDefault="00AC00A0" w:rsidP="00AC00A0">
      <w:pPr>
        <w:pStyle w:val="BulletLast"/>
      </w:pPr>
      <w:r w:rsidRPr="000B1CE0">
        <w:t xml:space="preserve">The applicability to the Australian patient population and Australian clinical practice </w:t>
      </w:r>
      <w:r>
        <w:t>was</w:t>
      </w:r>
      <w:r w:rsidRPr="000B1CE0">
        <w:t xml:space="preserve"> not clear.</w:t>
      </w:r>
    </w:p>
    <w:p w14:paraId="1621C8D3" w14:textId="77777777" w:rsidR="00AC00A0" w:rsidRPr="000108CD" w:rsidRDefault="00AC00A0" w:rsidP="00AC00A0">
      <w:pPr>
        <w:pStyle w:val="NormalBeforeBullet"/>
        <w:rPr>
          <w:i/>
        </w:rPr>
      </w:pPr>
      <w:r>
        <w:rPr>
          <w:i/>
        </w:rPr>
        <w:t>Financial analyses</w:t>
      </w:r>
    </w:p>
    <w:p w14:paraId="292209DD" w14:textId="77777777" w:rsidR="00AC00A0" w:rsidRPr="000B1CE0" w:rsidRDefault="00AC00A0" w:rsidP="000C0372">
      <w:pPr>
        <w:spacing w:after="240"/>
      </w:pPr>
      <w:r w:rsidRPr="000B1CE0">
        <w:t xml:space="preserve">ESC noted the financial impacts presented in the </w:t>
      </w:r>
      <w:r w:rsidR="00692F9D">
        <w:t>application</w:t>
      </w:r>
      <w:r w:rsidRPr="000B1CE0">
        <w:t xml:space="preserve">. ESC noted the applicant’s pre-ESC response, which clarified that </w:t>
      </w:r>
      <w:r w:rsidR="00227489">
        <w:rPr>
          <w:b/>
        </w:rPr>
        <w:t>r</w:t>
      </w:r>
      <w:r w:rsidR="00227489" w:rsidRPr="00227489">
        <w:rPr>
          <w:b/>
        </w:rPr>
        <w:t>edacted</w:t>
      </w:r>
      <w:r>
        <w:t>.</w:t>
      </w:r>
      <w:r w:rsidRPr="000B1CE0">
        <w:t xml:space="preserve"> </w:t>
      </w:r>
      <w:r>
        <w:t>T</w:t>
      </w:r>
      <w:r w:rsidRPr="000B1CE0">
        <w:t xml:space="preserve">his </w:t>
      </w:r>
      <w:r>
        <w:t>would be</w:t>
      </w:r>
      <w:r w:rsidRPr="000B1CE0">
        <w:t xml:space="preserve"> relevant in case of patient death during the manufacturing process</w:t>
      </w:r>
      <w:r>
        <w:t>, for example</w:t>
      </w:r>
      <w:r w:rsidRPr="000B1CE0">
        <w:t xml:space="preserve">. </w:t>
      </w:r>
      <w:r w:rsidR="00463865">
        <w:rPr>
          <w:b/>
        </w:rPr>
        <w:t>R</w:t>
      </w:r>
      <w:r w:rsidR="00463865" w:rsidRPr="00227489">
        <w:rPr>
          <w:b/>
        </w:rPr>
        <w:t>edacted</w:t>
      </w:r>
      <w:r w:rsidRPr="000B1CE0">
        <w:t>.</w:t>
      </w:r>
    </w:p>
    <w:p w14:paraId="19E13A81" w14:textId="77777777" w:rsidR="00AC00A0" w:rsidRPr="000B1CE0" w:rsidRDefault="00AC00A0" w:rsidP="000C0372">
      <w:pPr>
        <w:spacing w:after="240"/>
      </w:pPr>
      <w:r w:rsidRPr="000B1CE0">
        <w:t xml:space="preserve">ESC considered that leakage to other </w:t>
      </w:r>
      <w:r w:rsidR="005D190D">
        <w:t>types of cancer</w:t>
      </w:r>
      <w:r w:rsidRPr="000B1CE0">
        <w:t xml:space="preserve"> was unlikely, given the high cost of TIS. </w:t>
      </w:r>
      <w:r>
        <w:t>The u</w:t>
      </w:r>
      <w:r w:rsidRPr="000B1CE0">
        <w:t>se of TIS earlier in the clinical management pathway may be possible</w:t>
      </w:r>
      <w:r>
        <w:t xml:space="preserve"> however</w:t>
      </w:r>
      <w:r w:rsidRPr="000B1CE0">
        <w:t xml:space="preserve">, and this adds uncertainty to the financial estimates. ESC noted that utilisation estimates were </w:t>
      </w:r>
      <w:proofErr w:type="gramStart"/>
      <w:r w:rsidRPr="000B1CE0">
        <w:t>uncertain</w:t>
      </w:r>
      <w:proofErr w:type="gramEnd"/>
      <w:r w:rsidRPr="000B1CE0">
        <w:t xml:space="preserve"> as the projections were incidence based and did not account for eligi</w:t>
      </w:r>
      <w:r w:rsidR="00DE6F8B">
        <w:t>ble prevalent cases.</w:t>
      </w:r>
    </w:p>
    <w:p w14:paraId="708E2AD2" w14:textId="77777777" w:rsidR="00DE6F8B" w:rsidRDefault="00AC00A0" w:rsidP="000C0372">
      <w:pPr>
        <w:spacing w:after="240"/>
      </w:pPr>
      <w:r w:rsidRPr="001A5AB2">
        <w:t xml:space="preserve">ESC noted that the applicant argued that including a market share approach within its uptake assumptions was appropriate, as other CAR-T therapies are expected to be ‘listed’ in coming years. ESC </w:t>
      </w:r>
      <w:proofErr w:type="gramStart"/>
      <w:r w:rsidRPr="001A5AB2">
        <w:t>considered</w:t>
      </w:r>
      <w:proofErr w:type="gramEnd"/>
      <w:r w:rsidRPr="001A5AB2">
        <w:t xml:space="preserve"> </w:t>
      </w:r>
      <w:proofErr w:type="gramStart"/>
      <w:r w:rsidRPr="001A5AB2">
        <w:t>that, as the first to market, TIS needs</w:t>
      </w:r>
      <w:proofErr w:type="gramEnd"/>
      <w:r w:rsidRPr="001A5AB2">
        <w:t xml:space="preserve"> to account for the </w:t>
      </w:r>
      <w:r w:rsidRPr="001A5AB2">
        <w:rPr>
          <w:i/>
        </w:rPr>
        <w:t>total</w:t>
      </w:r>
      <w:r w:rsidRPr="001A5AB2">
        <w:t xml:space="preserve"> expected market of CAR-T therapies. Subsequent applications by other manufacturers for the same</w:t>
      </w:r>
      <w:r w:rsidRPr="000B1CE0">
        <w:t xml:space="preserve"> indications could </w:t>
      </w:r>
      <w:r>
        <w:t xml:space="preserve">then </w:t>
      </w:r>
      <w:r w:rsidRPr="000B1CE0">
        <w:t>adopt a market-share approach</w:t>
      </w:r>
      <w:r w:rsidR="00DE6F8B">
        <w:t xml:space="preserve"> for their financial estimates.</w:t>
      </w:r>
    </w:p>
    <w:p w14:paraId="190DB0D4" w14:textId="77777777" w:rsidR="00AC00A0" w:rsidRPr="000B1CE0" w:rsidRDefault="00AC00A0" w:rsidP="000C0372">
      <w:pPr>
        <w:spacing w:after="240"/>
      </w:pPr>
      <w:r w:rsidRPr="000B1CE0">
        <w:t xml:space="preserve">The estimates provided in the </w:t>
      </w:r>
      <w:r w:rsidR="00AB2724">
        <w:t>application</w:t>
      </w:r>
      <w:r w:rsidR="00AB2724" w:rsidRPr="000B1CE0">
        <w:t xml:space="preserve"> </w:t>
      </w:r>
      <w:r w:rsidR="00AB2724">
        <w:t xml:space="preserve">were </w:t>
      </w:r>
      <w:r w:rsidRPr="000B1CE0">
        <w:t>therefore highly uncertain and a significant underestimate of the likely total cost of TIS to the Australian health system.</w:t>
      </w:r>
    </w:p>
    <w:p w14:paraId="3D457647" w14:textId="77777777" w:rsidR="00AC00A0" w:rsidRPr="000B1CE0" w:rsidRDefault="00AC00A0" w:rsidP="000C0372">
      <w:pPr>
        <w:spacing w:before="240" w:after="240"/>
      </w:pPr>
      <w:r w:rsidRPr="00463865">
        <w:t>ESC noted that use of TIS in the outpatient setting was unlikely, given that, currently, only three tertiary facilities can provide the service, and patients must remain within 2 hours of the treating hospital for 1 month after TIS infusion.</w:t>
      </w:r>
    </w:p>
    <w:p w14:paraId="2CD763A7" w14:textId="77777777" w:rsidR="00AC00A0" w:rsidRDefault="00AC00A0" w:rsidP="000C0372">
      <w:pPr>
        <w:spacing w:after="240"/>
      </w:pPr>
      <w:r w:rsidRPr="000B1CE0">
        <w:t>A risk-sharing arrangement would be essential. ESC considered that any funding mechanism should preclude payment for more than one TIS therapy per patient, as this would be outside the TGA-approved indication, and contrary to the applicant’s proposed use, and ec</w:t>
      </w:r>
      <w:r w:rsidR="005D190D">
        <w:t>onomic and financial modelling.</w:t>
      </w:r>
    </w:p>
    <w:p w14:paraId="5E16B9AF" w14:textId="77777777" w:rsidR="00AC00A0" w:rsidRPr="000108CD" w:rsidRDefault="00AC00A0" w:rsidP="00AC00A0">
      <w:pPr>
        <w:pStyle w:val="NormalBeforeBullet"/>
        <w:rPr>
          <w:i/>
        </w:rPr>
      </w:pPr>
      <w:r>
        <w:rPr>
          <w:i/>
        </w:rPr>
        <w:t>Further comments and options for possible next steps</w:t>
      </w:r>
    </w:p>
    <w:p w14:paraId="28DE5B5F" w14:textId="77777777" w:rsidR="00AC00A0" w:rsidRDefault="00AC00A0" w:rsidP="000C0372">
      <w:pPr>
        <w:spacing w:after="240"/>
      </w:pPr>
      <w:r w:rsidRPr="000B1CE0">
        <w:t xml:space="preserve">ESC noted the range of considerations in establishing a new funding mechanism for these types of interventions and the importance of making strategic decisions to account for future similar interventions. It would be important to define which governments, authorities, schemes and schedules would participate; whose costs should be included; and how this </w:t>
      </w:r>
      <w:r w:rsidRPr="000B1CE0">
        <w:lastRenderedPageBreak/>
        <w:t>could be coordinated between governments. Considerations for conditions of use would include eligible patient populations and criteria for participating facilities. ESC queried whether advice was required from the Office of the Gene Technology Regulator.</w:t>
      </w:r>
    </w:p>
    <w:p w14:paraId="75641B75" w14:textId="77777777" w:rsidR="00AC00A0" w:rsidRPr="000B1CE0" w:rsidRDefault="00AC00A0" w:rsidP="000C0372">
      <w:pPr>
        <w:spacing w:after="240"/>
      </w:pPr>
      <w:r w:rsidRPr="000B1CE0">
        <w:t>Overall, ESC considered that the discrepancies in data and model inputs between treated and ITT populations w</w:t>
      </w:r>
      <w:r>
        <w:t>ere</w:t>
      </w:r>
      <w:r w:rsidRPr="000B1CE0">
        <w:t xml:space="preserve"> important limitation</w:t>
      </w:r>
      <w:r>
        <w:t>s</w:t>
      </w:r>
      <w:r w:rsidRPr="000B1CE0">
        <w:t xml:space="preserve">. ESC noted that the intervention process is </w:t>
      </w:r>
      <w:r w:rsidRPr="00463865">
        <w:t xml:space="preserve">complex and includes many steps, including international transport, and each of these steps has associated risks. ESC recommended that each step in the process </w:t>
      </w:r>
      <w:proofErr w:type="gramStart"/>
      <w:r w:rsidRPr="00463865">
        <w:t>should be accounted for</w:t>
      </w:r>
      <w:proofErr w:type="gramEnd"/>
      <w:r w:rsidRPr="000B1CE0">
        <w:t xml:space="preserve"> and have transition probabilities included in the model. ESC considered that the short follow-up times in the </w:t>
      </w:r>
      <w:r w:rsidR="00D90510">
        <w:t>studie</w:t>
      </w:r>
      <w:r w:rsidRPr="000B1CE0">
        <w:t>s were insufficient to determine whether the intervention is curative.</w:t>
      </w:r>
    </w:p>
    <w:p w14:paraId="1C7E5071" w14:textId="77777777" w:rsidR="00AC00A0" w:rsidRPr="00AC00A0" w:rsidRDefault="00AC00A0" w:rsidP="00AC00A0">
      <w:pPr>
        <w:tabs>
          <w:tab w:val="left" w:pos="720"/>
          <w:tab w:val="left" w:pos="1140"/>
        </w:tabs>
      </w:pPr>
      <w:r w:rsidRPr="000B1CE0">
        <w:t xml:space="preserve">ESC recommended that the applicant submit further details of </w:t>
      </w:r>
      <w:r>
        <w:t>its</w:t>
      </w:r>
      <w:r w:rsidRPr="000B1CE0">
        <w:t xml:space="preserve"> methods to derive the </w:t>
      </w:r>
      <w:r w:rsidRPr="00463865">
        <w:t xml:space="preserve">weighted treatment price, and adjust the proportion of patients receiving TIS to </w:t>
      </w:r>
      <w:proofErr w:type="gramStart"/>
      <w:r w:rsidR="00463865" w:rsidRPr="00463865">
        <w:rPr>
          <w:b/>
        </w:rPr>
        <w:t>redacted</w:t>
      </w:r>
      <w:proofErr w:type="gramEnd"/>
      <w:r w:rsidRPr="00463865">
        <w:t xml:space="preserve">. It was not clear if the methods used by the applicant overestimate or underestimate the treatment costs and ICERs when non-infused patients </w:t>
      </w:r>
      <w:proofErr w:type="gramStart"/>
      <w:r w:rsidRPr="00463865">
        <w:t>are accounted for</w:t>
      </w:r>
      <w:proofErr w:type="gramEnd"/>
      <w:r w:rsidRPr="00463865">
        <w:t xml:space="preserve">. </w:t>
      </w:r>
      <w:proofErr w:type="gramStart"/>
      <w:r w:rsidRPr="00463865">
        <w:t>This revised model should then be reviewed by an assessment group</w:t>
      </w:r>
      <w:proofErr w:type="gramEnd"/>
      <w:r w:rsidRPr="00463865">
        <w:t xml:space="preserve">. </w:t>
      </w:r>
      <w:proofErr w:type="gramStart"/>
      <w:r w:rsidRPr="00463865">
        <w:t>In particu</w:t>
      </w:r>
      <w:bookmarkStart w:id="13" w:name="Editing"/>
      <w:bookmarkEnd w:id="13"/>
      <w:r w:rsidRPr="00463865">
        <w:t>lar, ESC queried whether the weighted treatment cost appropriately captured costs that would accrue to the health system</w:t>
      </w:r>
      <w:r w:rsidRPr="000B1CE0">
        <w:t xml:space="preserve"> before TIS infusion is aborted, and whether the downstream costs for non-infused patients </w:t>
      </w:r>
      <w:r>
        <w:t>were</w:t>
      </w:r>
      <w:r w:rsidRPr="000B1CE0">
        <w:t xml:space="preserve"> appropriately captured (e.g. whether non-infused patients </w:t>
      </w:r>
      <w:r>
        <w:t xml:space="preserve">would </w:t>
      </w:r>
      <w:r w:rsidRPr="000B1CE0">
        <w:t>avoid all the costs associated with CRS but instead accrue costs associated with another treatment, or whether they die without accruing any further costs).</w:t>
      </w:r>
      <w:proofErr w:type="gramEnd"/>
    </w:p>
    <w:p w14:paraId="34E0B91F" w14:textId="77777777" w:rsidR="00D90A38" w:rsidRPr="00F715D1" w:rsidRDefault="00BC1364" w:rsidP="00F715D1">
      <w:pPr>
        <w:pStyle w:val="Heading1"/>
      </w:pPr>
      <w:r w:rsidRPr="00F715D1">
        <w:t>Other significant factors</w:t>
      </w:r>
    </w:p>
    <w:p w14:paraId="2C2AAB56" w14:textId="77777777" w:rsidR="003123CE" w:rsidRDefault="00F1625B" w:rsidP="00F715D1">
      <w:pPr>
        <w:spacing w:after="240"/>
        <w:rPr>
          <w:szCs w:val="24"/>
        </w:rPr>
      </w:pPr>
      <w:r w:rsidRPr="00F1625B">
        <w:rPr>
          <w:szCs w:val="24"/>
        </w:rPr>
        <w:t>Nil</w:t>
      </w:r>
    </w:p>
    <w:p w14:paraId="7BFBCA3F" w14:textId="77777777" w:rsidR="00BC1364" w:rsidRPr="00F715D1" w:rsidRDefault="00BC1364" w:rsidP="00F715D1">
      <w:pPr>
        <w:pStyle w:val="Heading1"/>
      </w:pPr>
      <w:r w:rsidRPr="00F715D1">
        <w:t xml:space="preserve">Applicant’s comments on MSAC’s </w:t>
      </w:r>
      <w:r w:rsidR="00DA56AA" w:rsidRPr="00F715D1">
        <w:t>Public Summary Document</w:t>
      </w:r>
    </w:p>
    <w:p w14:paraId="058AC216" w14:textId="77777777" w:rsidR="00863431" w:rsidRPr="00463865" w:rsidRDefault="00863431" w:rsidP="00463865">
      <w:pPr>
        <w:rPr>
          <w:sz w:val="22"/>
          <w:lang w:val="en-US"/>
        </w:rPr>
      </w:pPr>
      <w:r w:rsidRPr="00463865">
        <w:rPr>
          <w:lang w:val="en-US"/>
        </w:rPr>
        <w:t>Novartis thanks the Medical Services Advisory Committee for evaluating this innovative and highly complex therapy</w:t>
      </w:r>
      <w:r w:rsidR="00FE05AE" w:rsidRPr="00463865">
        <w:rPr>
          <w:lang w:val="en-US"/>
        </w:rPr>
        <w:t>.</w:t>
      </w:r>
      <w:r w:rsidRPr="00463865">
        <w:rPr>
          <w:lang w:val="en-US"/>
        </w:rPr>
        <w:t xml:space="preserve"> </w:t>
      </w:r>
      <w:r w:rsidR="00FE05AE" w:rsidRPr="00463865">
        <w:rPr>
          <w:lang w:val="en-US"/>
        </w:rPr>
        <w:t>W</w:t>
      </w:r>
      <w:r w:rsidRPr="00463865">
        <w:rPr>
          <w:lang w:val="en-US"/>
        </w:rPr>
        <w:t>e are committed to working with the Medical Services Advisory Committee and the Australian Government to ensure reimbursement for all eligible patients as soon as possible.</w:t>
      </w:r>
    </w:p>
    <w:p w14:paraId="37446863" w14:textId="77777777" w:rsidR="00BC1364" w:rsidRPr="00F715D1" w:rsidRDefault="00271F18" w:rsidP="00F715D1">
      <w:pPr>
        <w:pStyle w:val="Heading1"/>
      </w:pPr>
      <w:r w:rsidRPr="00F715D1">
        <w:t>Further information on MSAC</w:t>
      </w:r>
    </w:p>
    <w:p w14:paraId="56655FC0"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0"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A3BAE6" w16cid:durableId="1FCDEEF6"/>
  <w16cid:commentId w16cid:paraId="3187706F" w16cid:durableId="1FCDEB54"/>
  <w16cid:commentId w16cid:paraId="0817E563" w16cid:durableId="1FCDF3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396D3" w14:textId="77777777" w:rsidR="0029411C" w:rsidRDefault="0029411C" w:rsidP="00065623">
      <w:r>
        <w:separator/>
      </w:r>
    </w:p>
  </w:endnote>
  <w:endnote w:type="continuationSeparator" w:id="0">
    <w:p w14:paraId="675120D9" w14:textId="77777777" w:rsidR="0029411C" w:rsidRDefault="0029411C"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Sabon">
    <w:altName w:val="Cambria"/>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Nimbus Sans L">
    <w:altName w:val="Nimbus S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35A2A" w14:textId="77777777" w:rsidR="0026743E" w:rsidRDefault="00267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1F571F91" w14:textId="1901BC32" w:rsidR="0029411C" w:rsidRDefault="0029411C">
        <w:pPr>
          <w:pStyle w:val="Footer"/>
          <w:jc w:val="right"/>
        </w:pPr>
        <w:r>
          <w:fldChar w:fldCharType="begin"/>
        </w:r>
        <w:r>
          <w:instrText xml:space="preserve"> PAGE   \* MERGEFORMAT </w:instrText>
        </w:r>
        <w:r>
          <w:fldChar w:fldCharType="separate"/>
        </w:r>
        <w:r w:rsidR="00AD68B3">
          <w:rPr>
            <w:noProof/>
          </w:rPr>
          <w:t>3</w:t>
        </w:r>
        <w:r>
          <w:rPr>
            <w:noProof/>
          </w:rPr>
          <w:fldChar w:fldCharType="end"/>
        </w:r>
      </w:p>
    </w:sdtContent>
  </w:sdt>
  <w:p w14:paraId="6C62B100" w14:textId="77777777" w:rsidR="0029411C" w:rsidRDefault="002941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966A9" w14:textId="77777777" w:rsidR="0026743E" w:rsidRDefault="00267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14311" w14:textId="77777777" w:rsidR="0029411C" w:rsidRDefault="0029411C" w:rsidP="00065623">
      <w:r>
        <w:separator/>
      </w:r>
    </w:p>
  </w:footnote>
  <w:footnote w:type="continuationSeparator" w:id="0">
    <w:p w14:paraId="24C38767" w14:textId="77777777" w:rsidR="0029411C" w:rsidRDefault="0029411C" w:rsidP="0006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D007C" w14:textId="77777777" w:rsidR="0026743E" w:rsidRDefault="00267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3A09" w14:textId="77777777" w:rsidR="0026743E" w:rsidRDefault="002674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89F77" w14:textId="77777777" w:rsidR="0026743E" w:rsidRDefault="00267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49BC"/>
    <w:multiLevelType w:val="hybridMultilevel"/>
    <w:tmpl w:val="EDB01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C65D09"/>
    <w:multiLevelType w:val="hybridMultilevel"/>
    <w:tmpl w:val="8F1A6EFA"/>
    <w:lvl w:ilvl="0" w:tplc="CE66D59E">
      <w:start w:val="1"/>
      <w:numFmt w:val="decimal"/>
      <w:pStyle w:val="Heading1"/>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13607132"/>
    <w:multiLevelType w:val="hybridMultilevel"/>
    <w:tmpl w:val="37E47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8046BF"/>
    <w:multiLevelType w:val="hybridMultilevel"/>
    <w:tmpl w:val="C1CE7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1755B2"/>
    <w:multiLevelType w:val="hybridMultilevel"/>
    <w:tmpl w:val="B23E98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590F2D"/>
    <w:multiLevelType w:val="hybridMultilevel"/>
    <w:tmpl w:val="CFAEFA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42810C3"/>
    <w:multiLevelType w:val="hybridMultilevel"/>
    <w:tmpl w:val="6922B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752521B"/>
    <w:multiLevelType w:val="hybridMultilevel"/>
    <w:tmpl w:val="BDCCE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9E7870"/>
    <w:multiLevelType w:val="hybridMultilevel"/>
    <w:tmpl w:val="5E242944"/>
    <w:lvl w:ilvl="0" w:tplc="B6B02450">
      <w:start w:val="2"/>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1"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E970D9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604D2F4B"/>
    <w:multiLevelType w:val="hybridMultilevel"/>
    <w:tmpl w:val="3774BE7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9" w15:restartNumberingAfterBreak="0">
    <w:nsid w:val="61943726"/>
    <w:multiLevelType w:val="hybridMultilevel"/>
    <w:tmpl w:val="F214A9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4C63C84"/>
    <w:multiLevelType w:val="hybridMultilevel"/>
    <w:tmpl w:val="CCA21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69692021"/>
    <w:multiLevelType w:val="hybridMultilevel"/>
    <w:tmpl w:val="A1B63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784D033C"/>
    <w:multiLevelType w:val="multilevel"/>
    <w:tmpl w:val="6C100FB8"/>
    <w:lvl w:ilvl="0">
      <w:start w:val="1"/>
      <w:numFmt w:val="decimal"/>
      <w:pStyle w:val="PBACHeading1"/>
      <w:lvlText w:val="%1"/>
      <w:lvlJc w:val="left"/>
      <w:pPr>
        <w:ind w:left="720" w:hanging="720"/>
      </w:pPr>
      <w:rPr>
        <w:b/>
      </w:rPr>
    </w:lvl>
    <w:lvl w:ilvl="1">
      <w:start w:val="1"/>
      <w:numFmt w:val="decimal"/>
      <w:lvlText w:val="%1.%2"/>
      <w:lvlJc w:val="left"/>
      <w:pPr>
        <w:ind w:left="720" w:hanging="720"/>
      </w:pPr>
      <w:rPr>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D623A7"/>
    <w:multiLevelType w:val="hybridMultilevel"/>
    <w:tmpl w:val="F7481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3"/>
  </w:num>
  <w:num w:numId="4">
    <w:abstractNumId w:val="24"/>
  </w:num>
  <w:num w:numId="5">
    <w:abstractNumId w:val="16"/>
  </w:num>
  <w:num w:numId="6">
    <w:abstractNumId w:val="23"/>
  </w:num>
  <w:num w:numId="7">
    <w:abstractNumId w:val="30"/>
  </w:num>
  <w:num w:numId="8">
    <w:abstractNumId w:val="17"/>
  </w:num>
  <w:num w:numId="9">
    <w:abstractNumId w:val="40"/>
  </w:num>
  <w:num w:numId="10">
    <w:abstractNumId w:val="2"/>
  </w:num>
  <w:num w:numId="11">
    <w:abstractNumId w:val="27"/>
  </w:num>
  <w:num w:numId="12">
    <w:abstractNumId w:val="31"/>
  </w:num>
  <w:num w:numId="13">
    <w:abstractNumId w:val="8"/>
  </w:num>
  <w:num w:numId="14">
    <w:abstractNumId w:val="37"/>
  </w:num>
  <w:num w:numId="15">
    <w:abstractNumId w:val="25"/>
  </w:num>
  <w:num w:numId="16">
    <w:abstractNumId w:val="33"/>
  </w:num>
  <w:num w:numId="17">
    <w:abstractNumId w:val="19"/>
  </w:num>
  <w:num w:numId="18">
    <w:abstractNumId w:val="21"/>
  </w:num>
  <w:num w:numId="19">
    <w:abstractNumId w:val="36"/>
  </w:num>
  <w:num w:numId="20">
    <w:abstractNumId w:val="34"/>
  </w:num>
  <w:num w:numId="21">
    <w:abstractNumId w:val="5"/>
  </w:num>
  <w:num w:numId="22">
    <w:abstractNumId w:val="15"/>
  </w:num>
  <w:num w:numId="23">
    <w:abstractNumId w:val="4"/>
  </w:num>
  <w:num w:numId="24">
    <w:abstractNumId w:val="13"/>
  </w:num>
  <w:num w:numId="25">
    <w:abstractNumId w:val="9"/>
  </w:num>
  <w:num w:numId="26">
    <w:abstractNumId w:val="39"/>
  </w:num>
  <w:num w:numId="27">
    <w:abstractNumId w:val="1"/>
  </w:num>
  <w:num w:numId="28">
    <w:abstractNumId w:val="32"/>
  </w:num>
  <w:num w:numId="29">
    <w:abstractNumId w:val="7"/>
  </w:num>
  <w:num w:numId="30">
    <w:abstractNumId w:val="6"/>
  </w:num>
  <w:num w:numId="31">
    <w:abstractNumId w:val="35"/>
  </w:num>
  <w:num w:numId="32">
    <w:abstractNumId w:val="14"/>
  </w:num>
  <w:num w:numId="33">
    <w:abstractNumId w:val="0"/>
  </w:num>
  <w:num w:numId="34">
    <w:abstractNumId w:val="39"/>
  </w:num>
  <w:num w:numId="35">
    <w:abstractNumId w:val="39"/>
  </w:num>
  <w:num w:numId="36">
    <w:abstractNumId w:val="39"/>
  </w:num>
  <w:num w:numId="37">
    <w:abstractNumId w:val="39"/>
  </w:num>
  <w:num w:numId="38">
    <w:abstractNumId w:val="39"/>
  </w:num>
  <w:num w:numId="39">
    <w:abstractNumId w:val="39"/>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41"/>
  </w:num>
  <w:num w:numId="43">
    <w:abstractNumId w:val="26"/>
  </w:num>
  <w:num w:numId="44">
    <w:abstractNumId w:val="10"/>
  </w:num>
  <w:num w:numId="45">
    <w:abstractNumId w:val="18"/>
  </w:num>
  <w:num w:numId="46">
    <w:abstractNumId w:val="20"/>
  </w:num>
  <w:num w:numId="47">
    <w:abstractNumId w:val="29"/>
  </w:num>
  <w:num w:numId="48">
    <w:abstractNumId w:val="11"/>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60D4"/>
    <w:rsid w:val="00007312"/>
    <w:rsid w:val="00011A36"/>
    <w:rsid w:val="000317F2"/>
    <w:rsid w:val="0003684B"/>
    <w:rsid w:val="00047606"/>
    <w:rsid w:val="00055E1E"/>
    <w:rsid w:val="00065623"/>
    <w:rsid w:val="000756B9"/>
    <w:rsid w:val="0008467B"/>
    <w:rsid w:val="00084F9E"/>
    <w:rsid w:val="00085AC0"/>
    <w:rsid w:val="00096B2F"/>
    <w:rsid w:val="00096B67"/>
    <w:rsid w:val="00096DAF"/>
    <w:rsid w:val="000A799E"/>
    <w:rsid w:val="000A7EC4"/>
    <w:rsid w:val="000B12F4"/>
    <w:rsid w:val="000B17B9"/>
    <w:rsid w:val="000B6A4C"/>
    <w:rsid w:val="000C0372"/>
    <w:rsid w:val="000C0C76"/>
    <w:rsid w:val="000C1F37"/>
    <w:rsid w:val="000C2F47"/>
    <w:rsid w:val="000C322C"/>
    <w:rsid w:val="000C7498"/>
    <w:rsid w:val="000D2B9A"/>
    <w:rsid w:val="000D6C00"/>
    <w:rsid w:val="000E4DC8"/>
    <w:rsid w:val="000E4E04"/>
    <w:rsid w:val="000E6323"/>
    <w:rsid w:val="000F14B4"/>
    <w:rsid w:val="000F6833"/>
    <w:rsid w:val="000F75DF"/>
    <w:rsid w:val="001023DC"/>
    <w:rsid w:val="00110B4A"/>
    <w:rsid w:val="001115EE"/>
    <w:rsid w:val="00115823"/>
    <w:rsid w:val="00115EC2"/>
    <w:rsid w:val="00116393"/>
    <w:rsid w:val="001203FF"/>
    <w:rsid w:val="00131ACE"/>
    <w:rsid w:val="001328FA"/>
    <w:rsid w:val="00141304"/>
    <w:rsid w:val="00147AAF"/>
    <w:rsid w:val="00154043"/>
    <w:rsid w:val="00154DFE"/>
    <w:rsid w:val="001552C0"/>
    <w:rsid w:val="001626A6"/>
    <w:rsid w:val="001640B1"/>
    <w:rsid w:val="0018435E"/>
    <w:rsid w:val="0019086E"/>
    <w:rsid w:val="00190DDB"/>
    <w:rsid w:val="00193153"/>
    <w:rsid w:val="001A5AB2"/>
    <w:rsid w:val="001A729B"/>
    <w:rsid w:val="001B36DD"/>
    <w:rsid w:val="001B78B6"/>
    <w:rsid w:val="001C5251"/>
    <w:rsid w:val="001C5E66"/>
    <w:rsid w:val="001D7A2B"/>
    <w:rsid w:val="001D7C79"/>
    <w:rsid w:val="001E1B42"/>
    <w:rsid w:val="001E6639"/>
    <w:rsid w:val="001E77E4"/>
    <w:rsid w:val="001F0943"/>
    <w:rsid w:val="001F2D01"/>
    <w:rsid w:val="001F4848"/>
    <w:rsid w:val="001F5DC9"/>
    <w:rsid w:val="002041A1"/>
    <w:rsid w:val="002054F0"/>
    <w:rsid w:val="002159BD"/>
    <w:rsid w:val="00217F3B"/>
    <w:rsid w:val="00227489"/>
    <w:rsid w:val="002306D6"/>
    <w:rsid w:val="00230D6B"/>
    <w:rsid w:val="00232068"/>
    <w:rsid w:val="002330F2"/>
    <w:rsid w:val="00234D25"/>
    <w:rsid w:val="00243199"/>
    <w:rsid w:val="00243D9E"/>
    <w:rsid w:val="00245C11"/>
    <w:rsid w:val="0024604A"/>
    <w:rsid w:val="00247FB0"/>
    <w:rsid w:val="00251426"/>
    <w:rsid w:val="0025188C"/>
    <w:rsid w:val="00252A45"/>
    <w:rsid w:val="00252A5A"/>
    <w:rsid w:val="00253B66"/>
    <w:rsid w:val="00253C14"/>
    <w:rsid w:val="0025652C"/>
    <w:rsid w:val="00261A53"/>
    <w:rsid w:val="00261DF1"/>
    <w:rsid w:val="0026243F"/>
    <w:rsid w:val="0026743E"/>
    <w:rsid w:val="00271F18"/>
    <w:rsid w:val="00282507"/>
    <w:rsid w:val="00282779"/>
    <w:rsid w:val="0028334D"/>
    <w:rsid w:val="00284A14"/>
    <w:rsid w:val="00285434"/>
    <w:rsid w:val="0029411C"/>
    <w:rsid w:val="002A10A3"/>
    <w:rsid w:val="002A25F1"/>
    <w:rsid w:val="002A33E1"/>
    <w:rsid w:val="002A38DB"/>
    <w:rsid w:val="002A618C"/>
    <w:rsid w:val="002B7FFA"/>
    <w:rsid w:val="002C2BCF"/>
    <w:rsid w:val="002C47B4"/>
    <w:rsid w:val="002C73BA"/>
    <w:rsid w:val="002E3AE9"/>
    <w:rsid w:val="002F279D"/>
    <w:rsid w:val="002F43B8"/>
    <w:rsid w:val="002F6155"/>
    <w:rsid w:val="00302D1F"/>
    <w:rsid w:val="003123CE"/>
    <w:rsid w:val="003235BD"/>
    <w:rsid w:val="00325039"/>
    <w:rsid w:val="003263E9"/>
    <w:rsid w:val="003275B4"/>
    <w:rsid w:val="00336856"/>
    <w:rsid w:val="003425AD"/>
    <w:rsid w:val="0034554D"/>
    <w:rsid w:val="00352224"/>
    <w:rsid w:val="0035313D"/>
    <w:rsid w:val="00354863"/>
    <w:rsid w:val="0036519A"/>
    <w:rsid w:val="003671E6"/>
    <w:rsid w:val="00377B8F"/>
    <w:rsid w:val="003823EF"/>
    <w:rsid w:val="00383199"/>
    <w:rsid w:val="00384272"/>
    <w:rsid w:val="00386D67"/>
    <w:rsid w:val="003945B8"/>
    <w:rsid w:val="00395C36"/>
    <w:rsid w:val="003A29D8"/>
    <w:rsid w:val="003C11DC"/>
    <w:rsid w:val="003C3526"/>
    <w:rsid w:val="003C7502"/>
    <w:rsid w:val="003D138F"/>
    <w:rsid w:val="003D5816"/>
    <w:rsid w:val="003D7F29"/>
    <w:rsid w:val="003E393F"/>
    <w:rsid w:val="003E5CFB"/>
    <w:rsid w:val="003E743E"/>
    <w:rsid w:val="003F6D9D"/>
    <w:rsid w:val="00400293"/>
    <w:rsid w:val="004014A6"/>
    <w:rsid w:val="004026A1"/>
    <w:rsid w:val="00405A6B"/>
    <w:rsid w:val="00407B1F"/>
    <w:rsid w:val="0041184F"/>
    <w:rsid w:val="00414C57"/>
    <w:rsid w:val="0041758C"/>
    <w:rsid w:val="00441A16"/>
    <w:rsid w:val="004429A2"/>
    <w:rsid w:val="004539DE"/>
    <w:rsid w:val="00463865"/>
    <w:rsid w:val="00474364"/>
    <w:rsid w:val="0049090C"/>
    <w:rsid w:val="00494728"/>
    <w:rsid w:val="00495CDC"/>
    <w:rsid w:val="00496A12"/>
    <w:rsid w:val="004A062E"/>
    <w:rsid w:val="004A089A"/>
    <w:rsid w:val="004A2CF1"/>
    <w:rsid w:val="004B4589"/>
    <w:rsid w:val="004B7C5B"/>
    <w:rsid w:val="004C3035"/>
    <w:rsid w:val="004C307F"/>
    <w:rsid w:val="004C5676"/>
    <w:rsid w:val="004D35AC"/>
    <w:rsid w:val="004E09E3"/>
    <w:rsid w:val="004E4BA8"/>
    <w:rsid w:val="004F340F"/>
    <w:rsid w:val="004F66FA"/>
    <w:rsid w:val="004F7B7C"/>
    <w:rsid w:val="005125F2"/>
    <w:rsid w:val="0052243D"/>
    <w:rsid w:val="00522C34"/>
    <w:rsid w:val="00532435"/>
    <w:rsid w:val="0053574A"/>
    <w:rsid w:val="00550354"/>
    <w:rsid w:val="005608AA"/>
    <w:rsid w:val="0056713C"/>
    <w:rsid w:val="00571236"/>
    <w:rsid w:val="00585936"/>
    <w:rsid w:val="00586CB4"/>
    <w:rsid w:val="00593A6F"/>
    <w:rsid w:val="005953A1"/>
    <w:rsid w:val="005A4362"/>
    <w:rsid w:val="005B338D"/>
    <w:rsid w:val="005B5305"/>
    <w:rsid w:val="005B5434"/>
    <w:rsid w:val="005C1CE9"/>
    <w:rsid w:val="005C2606"/>
    <w:rsid w:val="005C4B43"/>
    <w:rsid w:val="005C649B"/>
    <w:rsid w:val="005D0332"/>
    <w:rsid w:val="005D0D8C"/>
    <w:rsid w:val="005D190D"/>
    <w:rsid w:val="006009D1"/>
    <w:rsid w:val="00605055"/>
    <w:rsid w:val="0060599A"/>
    <w:rsid w:val="006169C6"/>
    <w:rsid w:val="00617625"/>
    <w:rsid w:val="00631302"/>
    <w:rsid w:val="00636C7C"/>
    <w:rsid w:val="00640BB7"/>
    <w:rsid w:val="00640FCD"/>
    <w:rsid w:val="00665242"/>
    <w:rsid w:val="006736A6"/>
    <w:rsid w:val="006776AE"/>
    <w:rsid w:val="00680074"/>
    <w:rsid w:val="00686E65"/>
    <w:rsid w:val="0069270C"/>
    <w:rsid w:val="00692F9D"/>
    <w:rsid w:val="00694E31"/>
    <w:rsid w:val="006A0D97"/>
    <w:rsid w:val="006A6F9D"/>
    <w:rsid w:val="006B1F86"/>
    <w:rsid w:val="006C0A91"/>
    <w:rsid w:val="006C4B9C"/>
    <w:rsid w:val="006C769C"/>
    <w:rsid w:val="006D1102"/>
    <w:rsid w:val="006D425D"/>
    <w:rsid w:val="006E1A38"/>
    <w:rsid w:val="006F004B"/>
    <w:rsid w:val="006F04A7"/>
    <w:rsid w:val="006F1F40"/>
    <w:rsid w:val="006F79E4"/>
    <w:rsid w:val="007054BB"/>
    <w:rsid w:val="00707064"/>
    <w:rsid w:val="007106A3"/>
    <w:rsid w:val="007135A0"/>
    <w:rsid w:val="007135AE"/>
    <w:rsid w:val="007154EE"/>
    <w:rsid w:val="0071693F"/>
    <w:rsid w:val="00730683"/>
    <w:rsid w:val="00733241"/>
    <w:rsid w:val="00733D42"/>
    <w:rsid w:val="007410AB"/>
    <w:rsid w:val="00741912"/>
    <w:rsid w:val="0075261F"/>
    <w:rsid w:val="007541D0"/>
    <w:rsid w:val="0075468E"/>
    <w:rsid w:val="0075704D"/>
    <w:rsid w:val="007665D8"/>
    <w:rsid w:val="00766E36"/>
    <w:rsid w:val="00771141"/>
    <w:rsid w:val="00774ABE"/>
    <w:rsid w:val="007765F4"/>
    <w:rsid w:val="00776633"/>
    <w:rsid w:val="007801B8"/>
    <w:rsid w:val="00784D53"/>
    <w:rsid w:val="00786E80"/>
    <w:rsid w:val="00797797"/>
    <w:rsid w:val="007A0AEF"/>
    <w:rsid w:val="007A63C9"/>
    <w:rsid w:val="007A7EE6"/>
    <w:rsid w:val="007B10E6"/>
    <w:rsid w:val="007B32D1"/>
    <w:rsid w:val="007B7095"/>
    <w:rsid w:val="007C3670"/>
    <w:rsid w:val="007C4F27"/>
    <w:rsid w:val="007C7241"/>
    <w:rsid w:val="007D24E1"/>
    <w:rsid w:val="007D6288"/>
    <w:rsid w:val="007E6B48"/>
    <w:rsid w:val="007F45B9"/>
    <w:rsid w:val="007F4CE9"/>
    <w:rsid w:val="007F4E20"/>
    <w:rsid w:val="007F5254"/>
    <w:rsid w:val="007F6E8A"/>
    <w:rsid w:val="008020C2"/>
    <w:rsid w:val="00803F05"/>
    <w:rsid w:val="00813171"/>
    <w:rsid w:val="00822C7E"/>
    <w:rsid w:val="00825138"/>
    <w:rsid w:val="0083734C"/>
    <w:rsid w:val="008376FE"/>
    <w:rsid w:val="00847060"/>
    <w:rsid w:val="00847151"/>
    <w:rsid w:val="00847A36"/>
    <w:rsid w:val="00855187"/>
    <w:rsid w:val="00856A33"/>
    <w:rsid w:val="008575F3"/>
    <w:rsid w:val="00863431"/>
    <w:rsid w:val="00864251"/>
    <w:rsid w:val="008776D0"/>
    <w:rsid w:val="0089238B"/>
    <w:rsid w:val="00892620"/>
    <w:rsid w:val="0089676B"/>
    <w:rsid w:val="008C7D37"/>
    <w:rsid w:val="008D5885"/>
    <w:rsid w:val="008D7CB2"/>
    <w:rsid w:val="008E0A31"/>
    <w:rsid w:val="008E358C"/>
    <w:rsid w:val="008E37FF"/>
    <w:rsid w:val="008E6E74"/>
    <w:rsid w:val="008F14A7"/>
    <w:rsid w:val="008F485F"/>
    <w:rsid w:val="008F6617"/>
    <w:rsid w:val="00905F53"/>
    <w:rsid w:val="00916D53"/>
    <w:rsid w:val="009201A8"/>
    <w:rsid w:val="00923FA2"/>
    <w:rsid w:val="009248EC"/>
    <w:rsid w:val="00927A34"/>
    <w:rsid w:val="0093660B"/>
    <w:rsid w:val="00942AB9"/>
    <w:rsid w:val="0095109F"/>
    <w:rsid w:val="0096060D"/>
    <w:rsid w:val="00960B4E"/>
    <w:rsid w:val="00962E24"/>
    <w:rsid w:val="00970827"/>
    <w:rsid w:val="00971D1D"/>
    <w:rsid w:val="0097370E"/>
    <w:rsid w:val="00974A50"/>
    <w:rsid w:val="0097567E"/>
    <w:rsid w:val="0097585A"/>
    <w:rsid w:val="009778B2"/>
    <w:rsid w:val="0098241D"/>
    <w:rsid w:val="00986192"/>
    <w:rsid w:val="009924B0"/>
    <w:rsid w:val="009942C9"/>
    <w:rsid w:val="009968CD"/>
    <w:rsid w:val="00996DE0"/>
    <w:rsid w:val="009B2406"/>
    <w:rsid w:val="009B35C4"/>
    <w:rsid w:val="009B55F1"/>
    <w:rsid w:val="009C1DCD"/>
    <w:rsid w:val="009C2AEA"/>
    <w:rsid w:val="009C630A"/>
    <w:rsid w:val="009D00FB"/>
    <w:rsid w:val="009D09E8"/>
    <w:rsid w:val="009D2471"/>
    <w:rsid w:val="009E0D98"/>
    <w:rsid w:val="009E10B4"/>
    <w:rsid w:val="009E6E1F"/>
    <w:rsid w:val="009F2105"/>
    <w:rsid w:val="009F2CD0"/>
    <w:rsid w:val="00A00DD1"/>
    <w:rsid w:val="00A0393A"/>
    <w:rsid w:val="00A068A1"/>
    <w:rsid w:val="00A1207D"/>
    <w:rsid w:val="00A128C4"/>
    <w:rsid w:val="00A12DAC"/>
    <w:rsid w:val="00A12FD8"/>
    <w:rsid w:val="00A15A06"/>
    <w:rsid w:val="00A15CF6"/>
    <w:rsid w:val="00A21401"/>
    <w:rsid w:val="00A346FC"/>
    <w:rsid w:val="00A46D77"/>
    <w:rsid w:val="00A47001"/>
    <w:rsid w:val="00A52B70"/>
    <w:rsid w:val="00A61D76"/>
    <w:rsid w:val="00A70177"/>
    <w:rsid w:val="00A72ACC"/>
    <w:rsid w:val="00A846F2"/>
    <w:rsid w:val="00A84F93"/>
    <w:rsid w:val="00AA4325"/>
    <w:rsid w:val="00AA693D"/>
    <w:rsid w:val="00AB1AC5"/>
    <w:rsid w:val="00AB1B01"/>
    <w:rsid w:val="00AB2724"/>
    <w:rsid w:val="00AB3BFC"/>
    <w:rsid w:val="00AB5624"/>
    <w:rsid w:val="00AB7796"/>
    <w:rsid w:val="00AC00A0"/>
    <w:rsid w:val="00AC4F2E"/>
    <w:rsid w:val="00AC69E6"/>
    <w:rsid w:val="00AC6B5E"/>
    <w:rsid w:val="00AD0C37"/>
    <w:rsid w:val="00AD385F"/>
    <w:rsid w:val="00AD4FFA"/>
    <w:rsid w:val="00AD6576"/>
    <w:rsid w:val="00AD68B3"/>
    <w:rsid w:val="00AE16AC"/>
    <w:rsid w:val="00AE5A81"/>
    <w:rsid w:val="00AE65C1"/>
    <w:rsid w:val="00AE6E2A"/>
    <w:rsid w:val="00AF3729"/>
    <w:rsid w:val="00B02468"/>
    <w:rsid w:val="00B03179"/>
    <w:rsid w:val="00B03EAB"/>
    <w:rsid w:val="00B15BAA"/>
    <w:rsid w:val="00B26D16"/>
    <w:rsid w:val="00B31E9C"/>
    <w:rsid w:val="00B35595"/>
    <w:rsid w:val="00B40D83"/>
    <w:rsid w:val="00B410F2"/>
    <w:rsid w:val="00B4141E"/>
    <w:rsid w:val="00B429BD"/>
    <w:rsid w:val="00B5062A"/>
    <w:rsid w:val="00B51C6D"/>
    <w:rsid w:val="00B53443"/>
    <w:rsid w:val="00B57A81"/>
    <w:rsid w:val="00B63236"/>
    <w:rsid w:val="00B756EB"/>
    <w:rsid w:val="00B83DD2"/>
    <w:rsid w:val="00B86D64"/>
    <w:rsid w:val="00BA4AC5"/>
    <w:rsid w:val="00BB138F"/>
    <w:rsid w:val="00BC1364"/>
    <w:rsid w:val="00BC2667"/>
    <w:rsid w:val="00BC7DE9"/>
    <w:rsid w:val="00BD45FF"/>
    <w:rsid w:val="00BD4A78"/>
    <w:rsid w:val="00BD4B6F"/>
    <w:rsid w:val="00BE098A"/>
    <w:rsid w:val="00BF479B"/>
    <w:rsid w:val="00C02577"/>
    <w:rsid w:val="00C12800"/>
    <w:rsid w:val="00C204FB"/>
    <w:rsid w:val="00C2065F"/>
    <w:rsid w:val="00C20BEE"/>
    <w:rsid w:val="00C21529"/>
    <w:rsid w:val="00C2158D"/>
    <w:rsid w:val="00C2228F"/>
    <w:rsid w:val="00C22F16"/>
    <w:rsid w:val="00C25536"/>
    <w:rsid w:val="00C405C0"/>
    <w:rsid w:val="00C5254B"/>
    <w:rsid w:val="00C52810"/>
    <w:rsid w:val="00C53D8A"/>
    <w:rsid w:val="00C56569"/>
    <w:rsid w:val="00C603F2"/>
    <w:rsid w:val="00C61B28"/>
    <w:rsid w:val="00C64D47"/>
    <w:rsid w:val="00C67DD2"/>
    <w:rsid w:val="00C7223A"/>
    <w:rsid w:val="00C725CB"/>
    <w:rsid w:val="00C76F5C"/>
    <w:rsid w:val="00C96BAD"/>
    <w:rsid w:val="00CA277A"/>
    <w:rsid w:val="00CA6944"/>
    <w:rsid w:val="00CB0F8E"/>
    <w:rsid w:val="00CB7E7D"/>
    <w:rsid w:val="00CC2647"/>
    <w:rsid w:val="00CC2911"/>
    <w:rsid w:val="00CD7863"/>
    <w:rsid w:val="00CE1BAE"/>
    <w:rsid w:val="00CE5F51"/>
    <w:rsid w:val="00CF0C6D"/>
    <w:rsid w:val="00CF2123"/>
    <w:rsid w:val="00CF7307"/>
    <w:rsid w:val="00CF7C68"/>
    <w:rsid w:val="00D0131A"/>
    <w:rsid w:val="00D05EF3"/>
    <w:rsid w:val="00D124FA"/>
    <w:rsid w:val="00D132FC"/>
    <w:rsid w:val="00D14366"/>
    <w:rsid w:val="00D16CFD"/>
    <w:rsid w:val="00D30DCA"/>
    <w:rsid w:val="00D325FF"/>
    <w:rsid w:val="00D340DE"/>
    <w:rsid w:val="00D3782D"/>
    <w:rsid w:val="00D37C09"/>
    <w:rsid w:val="00D55723"/>
    <w:rsid w:val="00D57A3E"/>
    <w:rsid w:val="00D62FAD"/>
    <w:rsid w:val="00D64355"/>
    <w:rsid w:val="00D70450"/>
    <w:rsid w:val="00D73C22"/>
    <w:rsid w:val="00D7529F"/>
    <w:rsid w:val="00D813FC"/>
    <w:rsid w:val="00D83BFD"/>
    <w:rsid w:val="00D90510"/>
    <w:rsid w:val="00D90A38"/>
    <w:rsid w:val="00D964D2"/>
    <w:rsid w:val="00DA0515"/>
    <w:rsid w:val="00DA171E"/>
    <w:rsid w:val="00DA54AF"/>
    <w:rsid w:val="00DA56AA"/>
    <w:rsid w:val="00DA7B6B"/>
    <w:rsid w:val="00DB4945"/>
    <w:rsid w:val="00DB5833"/>
    <w:rsid w:val="00DB73B5"/>
    <w:rsid w:val="00DC2054"/>
    <w:rsid w:val="00DC44E3"/>
    <w:rsid w:val="00DD2858"/>
    <w:rsid w:val="00DD4A81"/>
    <w:rsid w:val="00DE586A"/>
    <w:rsid w:val="00DE6F8B"/>
    <w:rsid w:val="00E03E33"/>
    <w:rsid w:val="00E04ADC"/>
    <w:rsid w:val="00E059E0"/>
    <w:rsid w:val="00E2685A"/>
    <w:rsid w:val="00E32DB6"/>
    <w:rsid w:val="00E3642A"/>
    <w:rsid w:val="00E415C4"/>
    <w:rsid w:val="00E42D73"/>
    <w:rsid w:val="00E50016"/>
    <w:rsid w:val="00E50EAA"/>
    <w:rsid w:val="00E51F01"/>
    <w:rsid w:val="00E62348"/>
    <w:rsid w:val="00E656D6"/>
    <w:rsid w:val="00E709FC"/>
    <w:rsid w:val="00E7134D"/>
    <w:rsid w:val="00E717D4"/>
    <w:rsid w:val="00E71AAC"/>
    <w:rsid w:val="00E770E1"/>
    <w:rsid w:val="00E77948"/>
    <w:rsid w:val="00E8735F"/>
    <w:rsid w:val="00E906F1"/>
    <w:rsid w:val="00E95357"/>
    <w:rsid w:val="00E977EE"/>
    <w:rsid w:val="00EA19F7"/>
    <w:rsid w:val="00EA2F24"/>
    <w:rsid w:val="00EA67A2"/>
    <w:rsid w:val="00EB053B"/>
    <w:rsid w:val="00EB167B"/>
    <w:rsid w:val="00EB5BE5"/>
    <w:rsid w:val="00EB6093"/>
    <w:rsid w:val="00EB630F"/>
    <w:rsid w:val="00EB6B34"/>
    <w:rsid w:val="00EB6B6F"/>
    <w:rsid w:val="00EC05E8"/>
    <w:rsid w:val="00EC1ECB"/>
    <w:rsid w:val="00EC2DC8"/>
    <w:rsid w:val="00EC4F98"/>
    <w:rsid w:val="00ED1862"/>
    <w:rsid w:val="00EE029C"/>
    <w:rsid w:val="00EE43DE"/>
    <w:rsid w:val="00EE56B7"/>
    <w:rsid w:val="00EF3B45"/>
    <w:rsid w:val="00EF6779"/>
    <w:rsid w:val="00F105EE"/>
    <w:rsid w:val="00F12F02"/>
    <w:rsid w:val="00F1625B"/>
    <w:rsid w:val="00F23F93"/>
    <w:rsid w:val="00F245BC"/>
    <w:rsid w:val="00F2655E"/>
    <w:rsid w:val="00F32E0D"/>
    <w:rsid w:val="00F35134"/>
    <w:rsid w:val="00F37B9C"/>
    <w:rsid w:val="00F41812"/>
    <w:rsid w:val="00F418EE"/>
    <w:rsid w:val="00F478A2"/>
    <w:rsid w:val="00F54186"/>
    <w:rsid w:val="00F62A9D"/>
    <w:rsid w:val="00F62C53"/>
    <w:rsid w:val="00F6576E"/>
    <w:rsid w:val="00F70170"/>
    <w:rsid w:val="00F70ABE"/>
    <w:rsid w:val="00F715D1"/>
    <w:rsid w:val="00F72715"/>
    <w:rsid w:val="00F73333"/>
    <w:rsid w:val="00F81492"/>
    <w:rsid w:val="00F933BF"/>
    <w:rsid w:val="00F9399E"/>
    <w:rsid w:val="00F95D8F"/>
    <w:rsid w:val="00FB3220"/>
    <w:rsid w:val="00FB350A"/>
    <w:rsid w:val="00FB4C5D"/>
    <w:rsid w:val="00FB5EDA"/>
    <w:rsid w:val="00FC20AF"/>
    <w:rsid w:val="00FC3E46"/>
    <w:rsid w:val="00FC4788"/>
    <w:rsid w:val="00FC4B18"/>
    <w:rsid w:val="00FC7DED"/>
    <w:rsid w:val="00FE05AE"/>
    <w:rsid w:val="00FE1C3F"/>
    <w:rsid w:val="00FE229C"/>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02F9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left="720"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95109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aliases w:val="Dossier table,Section 3- footnotes,Summary box,Table Gridbeth"/>
    <w:basedOn w:val="TableNormal"/>
    <w:uiPriority w:val="59"/>
    <w:locked/>
    <w:rsid w:val="00AC00A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qFormat/>
    <w:rsid w:val="00AC00A0"/>
    <w:pPr>
      <w:keepNext/>
      <w:spacing w:before="40" w:after="40"/>
    </w:pPr>
    <w:rPr>
      <w:rFonts w:ascii="Arial Narrow" w:hAnsi="Arial Narrow" w:cs="Tahoma"/>
      <w:b/>
      <w:sz w:val="20"/>
    </w:rPr>
  </w:style>
  <w:style w:type="character" w:customStyle="1" w:styleId="TableHeadingChar">
    <w:name w:val="TableHeading Char"/>
    <w:link w:val="TableHeading"/>
    <w:rsid w:val="00AC00A0"/>
    <w:rPr>
      <w:rFonts w:ascii="Arial Narrow" w:eastAsia="Times New Roman" w:hAnsi="Arial Narrow" w:cs="Tahoma"/>
      <w:b/>
      <w:sz w:val="20"/>
      <w:szCs w:val="20"/>
    </w:rPr>
  </w:style>
  <w:style w:type="paragraph" w:customStyle="1" w:styleId="TableText">
    <w:name w:val="TableText"/>
    <w:basedOn w:val="Normal"/>
    <w:rsid w:val="00AC00A0"/>
    <w:pPr>
      <w:keepNext/>
      <w:spacing w:before="60" w:after="60"/>
    </w:pPr>
    <w:rPr>
      <w:color w:val="000000"/>
      <w:sz w:val="21"/>
      <w:szCs w:val="21"/>
    </w:rPr>
  </w:style>
  <w:style w:type="paragraph" w:styleId="Caption">
    <w:name w:val="caption"/>
    <w:basedOn w:val="Normal"/>
    <w:next w:val="Normal"/>
    <w:link w:val="CaptionChar"/>
    <w:uiPriority w:val="99"/>
    <w:unhideWhenUsed/>
    <w:qFormat/>
    <w:locked/>
    <w:rsid w:val="00AC00A0"/>
    <w:pPr>
      <w:spacing w:after="200"/>
    </w:pPr>
    <w:rPr>
      <w:rFonts w:ascii="Arial Narrow" w:hAnsi="Arial Narrow"/>
      <w:b/>
      <w:bCs/>
      <w:sz w:val="20"/>
      <w:szCs w:val="18"/>
    </w:rPr>
  </w:style>
  <w:style w:type="paragraph" w:customStyle="1" w:styleId="BulletBeforeDash">
    <w:name w:val="BulletBeforeDash"/>
    <w:basedOn w:val="Normal"/>
    <w:rsid w:val="00AC00A0"/>
    <w:pPr>
      <w:numPr>
        <w:numId w:val="26"/>
      </w:numPr>
    </w:pPr>
    <w:rPr>
      <w:color w:val="000000"/>
    </w:rPr>
  </w:style>
  <w:style w:type="paragraph" w:customStyle="1" w:styleId="Bullet">
    <w:name w:val="Bullet"/>
    <w:basedOn w:val="BulletBeforeDash"/>
    <w:qFormat/>
    <w:rsid w:val="00AC00A0"/>
    <w:pPr>
      <w:spacing w:after="120"/>
    </w:pPr>
  </w:style>
  <w:style w:type="paragraph" w:customStyle="1" w:styleId="BulletLast">
    <w:name w:val="BulletLast"/>
    <w:basedOn w:val="Bullet"/>
    <w:qFormat/>
    <w:rsid w:val="00AC00A0"/>
    <w:pPr>
      <w:spacing w:after="240"/>
    </w:pPr>
  </w:style>
  <w:style w:type="paragraph" w:customStyle="1" w:styleId="Dash">
    <w:name w:val="Dash"/>
    <w:basedOn w:val="Normal"/>
    <w:rsid w:val="00AC00A0"/>
    <w:pPr>
      <w:numPr>
        <w:numId w:val="27"/>
      </w:numPr>
      <w:tabs>
        <w:tab w:val="clear" w:pos="216"/>
        <w:tab w:val="left" w:pos="720"/>
      </w:tabs>
      <w:ind w:left="720" w:hanging="360"/>
    </w:pPr>
    <w:rPr>
      <w:color w:val="000000"/>
    </w:rPr>
  </w:style>
  <w:style w:type="paragraph" w:customStyle="1" w:styleId="DashLastSpace">
    <w:name w:val="DashLast+Space"/>
    <w:basedOn w:val="Normal"/>
    <w:rsid w:val="00AC00A0"/>
    <w:pPr>
      <w:tabs>
        <w:tab w:val="num" w:pos="360"/>
        <w:tab w:val="left" w:pos="720"/>
      </w:tabs>
      <w:spacing w:after="240"/>
      <w:ind w:left="720" w:hanging="360"/>
    </w:pPr>
    <w:rPr>
      <w:color w:val="000000"/>
    </w:rPr>
  </w:style>
  <w:style w:type="paragraph" w:customStyle="1" w:styleId="NormalBeforeBullet">
    <w:name w:val="NormalBeforeBullet"/>
    <w:basedOn w:val="Normal"/>
    <w:qFormat/>
    <w:rsid w:val="00AC00A0"/>
    <w:pPr>
      <w:keepNext/>
      <w:spacing w:after="120"/>
    </w:pPr>
    <w:rPr>
      <w:color w:val="000000"/>
    </w:rPr>
  </w:style>
  <w:style w:type="paragraph" w:styleId="NoSpacing">
    <w:name w:val="No Spacing"/>
    <w:uiPriority w:val="1"/>
    <w:qFormat/>
    <w:rsid w:val="00F70170"/>
    <w:rPr>
      <w:rFonts w:asciiTheme="minorHAnsi" w:eastAsiaTheme="minorHAnsi" w:hAnsiTheme="minorHAnsi" w:cstheme="minorBidi"/>
      <w:lang w:eastAsia="en-US"/>
    </w:rPr>
  </w:style>
  <w:style w:type="paragraph" w:customStyle="1" w:styleId="Table">
    <w:name w:val="Table"/>
    <w:basedOn w:val="Normal"/>
    <w:link w:val="TableChar"/>
    <w:qFormat/>
    <w:rsid w:val="0069270C"/>
    <w:rPr>
      <w:rFonts w:ascii="Arial Narrow" w:eastAsiaTheme="majorEastAsia" w:hAnsi="Arial Narrow" w:cstheme="majorBidi"/>
      <w:sz w:val="20"/>
      <w:szCs w:val="22"/>
      <w:lang w:eastAsia="en-US" w:bidi="en-US"/>
    </w:rPr>
  </w:style>
  <w:style w:type="character" w:customStyle="1" w:styleId="TableChar">
    <w:name w:val="Table Char"/>
    <w:basedOn w:val="DefaultParagraphFont"/>
    <w:link w:val="Table"/>
    <w:locked/>
    <w:rsid w:val="0069270C"/>
    <w:rPr>
      <w:rFonts w:ascii="Arial Narrow" w:eastAsiaTheme="majorEastAsia" w:hAnsi="Arial Narrow" w:cstheme="majorBidi"/>
      <w:sz w:val="20"/>
      <w:lang w:eastAsia="en-US" w:bidi="en-US"/>
    </w:rPr>
  </w:style>
  <w:style w:type="character" w:customStyle="1" w:styleId="SmallBold">
    <w:name w:val="Small Bold"/>
    <w:basedOn w:val="DefaultParagraphFont"/>
    <w:uiPriority w:val="4"/>
    <w:qFormat/>
    <w:rsid w:val="0069270C"/>
    <w:rPr>
      <w:rFonts w:ascii="Candara" w:hAnsi="Candara"/>
      <w:b/>
      <w:sz w:val="20"/>
      <w:lang w:val="en-AU"/>
    </w:rPr>
  </w:style>
  <w:style w:type="character" w:customStyle="1" w:styleId="CaptionChar">
    <w:name w:val="Caption Char"/>
    <w:basedOn w:val="DefaultParagraphFont"/>
    <w:link w:val="Caption"/>
    <w:uiPriority w:val="99"/>
    <w:rsid w:val="00813171"/>
    <w:rPr>
      <w:rFonts w:ascii="Arial Narrow" w:eastAsia="Times New Roman" w:hAnsi="Arial Narrow"/>
      <w:b/>
      <w:bCs/>
      <w:sz w:val="20"/>
      <w:szCs w:val="18"/>
    </w:rPr>
  </w:style>
  <w:style w:type="character" w:customStyle="1" w:styleId="Small">
    <w:name w:val="Small"/>
    <w:basedOn w:val="DefaultParagraphFont"/>
    <w:uiPriority w:val="4"/>
    <w:qFormat/>
    <w:rsid w:val="00813171"/>
    <w:rPr>
      <w:rFonts w:ascii="Arial Narrow" w:hAnsi="Arial Narrow"/>
      <w:sz w:val="20"/>
    </w:rPr>
  </w:style>
  <w:style w:type="paragraph" w:customStyle="1" w:styleId="TableCentre">
    <w:name w:val="Table Centre"/>
    <w:basedOn w:val="Table"/>
    <w:qFormat/>
    <w:rsid w:val="00813171"/>
    <w:pPr>
      <w:jc w:val="center"/>
    </w:pPr>
  </w:style>
  <w:style w:type="paragraph" w:customStyle="1" w:styleId="CaptionFootnote">
    <w:name w:val="Caption Footnote"/>
    <w:basedOn w:val="Caption"/>
    <w:link w:val="CaptionFootnoteChar"/>
    <w:qFormat/>
    <w:rsid w:val="00813171"/>
    <w:pPr>
      <w:widowControl w:val="0"/>
      <w:spacing w:after="0"/>
    </w:pPr>
    <w:rPr>
      <w:rFonts w:ascii="Sabon" w:eastAsiaTheme="majorEastAsia" w:hAnsi="Sabon" w:cstheme="majorBidi"/>
      <w:b w:val="0"/>
      <w:sz w:val="16"/>
      <w:lang w:eastAsia="en-US" w:bidi="en-US"/>
    </w:rPr>
  </w:style>
  <w:style w:type="character" w:customStyle="1" w:styleId="CaptionFootnoteChar">
    <w:name w:val="Caption Footnote Char"/>
    <w:basedOn w:val="DefaultParagraphFont"/>
    <w:link w:val="CaptionFootnote"/>
    <w:rsid w:val="00813171"/>
    <w:rPr>
      <w:rFonts w:ascii="Sabon" w:eastAsiaTheme="majorEastAsia" w:hAnsi="Sabon" w:cstheme="majorBidi"/>
      <w:bCs/>
      <w:sz w:val="16"/>
      <w:szCs w:val="18"/>
      <w:lang w:eastAsia="en-US" w:bidi="en-US"/>
    </w:rPr>
  </w:style>
  <w:style w:type="table" w:customStyle="1" w:styleId="TableGrid1">
    <w:name w:val="Table Grid1"/>
    <w:basedOn w:val="TableNormal"/>
    <w:next w:val="TableGrid"/>
    <w:rsid w:val="00813171"/>
    <w:rPr>
      <w:rFonts w:eastAsia="Batang"/>
      <w:sz w:val="20"/>
      <w:szCs w:val="20"/>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semiHidden/>
    <w:rsid w:val="0095109F"/>
    <w:rPr>
      <w:rFonts w:asciiTheme="majorHAnsi" w:eastAsiaTheme="majorEastAsia" w:hAnsiTheme="majorHAnsi" w:cstheme="majorBidi"/>
      <w:color w:val="243F60" w:themeColor="accent1" w:themeShade="7F"/>
      <w:sz w:val="24"/>
      <w:szCs w:val="24"/>
    </w:rPr>
  </w:style>
  <w:style w:type="paragraph" w:customStyle="1" w:styleId="PBACHeading1">
    <w:name w:val="PBAC Heading 1"/>
    <w:qFormat/>
    <w:rsid w:val="00E906F1"/>
    <w:pPr>
      <w:numPr>
        <w:numId w:val="40"/>
      </w:numPr>
      <w:snapToGrid w:val="0"/>
      <w:spacing w:before="120" w:after="120"/>
    </w:pPr>
    <w:rPr>
      <w:rFonts w:ascii="Calibri" w:eastAsia="Times New Roman" w:hAnsi="Calibri" w:cs="Arial"/>
      <w:b/>
      <w:sz w:val="32"/>
      <w:lang w:eastAsia="en-US"/>
    </w:rPr>
  </w:style>
  <w:style w:type="paragraph" w:styleId="Revision">
    <w:name w:val="Revision"/>
    <w:hidden/>
    <w:uiPriority w:val="99"/>
    <w:semiHidden/>
    <w:rsid w:val="00C52810"/>
    <w:rPr>
      <w:rFonts w:eastAsia="Times New Roman"/>
      <w:sz w:val="24"/>
      <w:szCs w:val="20"/>
    </w:rPr>
  </w:style>
  <w:style w:type="table" w:customStyle="1" w:styleId="Submissionstandard">
    <w:name w:val="Submission standard"/>
    <w:qFormat/>
    <w:rsid w:val="0019086E"/>
    <w:rPr>
      <w:rFonts w:ascii="Arial Narrow" w:eastAsia="Times New Roman" w:hAnsi="Arial Narro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Nimbus Sans L" w:hAnsi="Nimbus Sans L" w:cs="Times New Roman"/>
        <w:b/>
        <w:sz w:val="20"/>
      </w:rPr>
      <w:tblPr/>
      <w:tcPr>
        <w:shd w:val="clear" w:color="auto" w:fill="BFBFBF"/>
      </w:tcPr>
    </w:tblStylePr>
  </w:style>
  <w:style w:type="paragraph" w:customStyle="1" w:styleId="TableLeft">
    <w:name w:val="Table Left"/>
    <w:basedOn w:val="Normal"/>
    <w:link w:val="TableLeftChar"/>
    <w:uiPriority w:val="99"/>
    <w:qFormat/>
    <w:rsid w:val="007E6B48"/>
    <w:rPr>
      <w:rFonts w:ascii="Arial Narrow" w:eastAsiaTheme="majorEastAsia" w:hAnsi="Arial Narrow" w:cstheme="majorBidi"/>
      <w:sz w:val="20"/>
      <w:szCs w:val="22"/>
      <w:lang w:eastAsia="en-US" w:bidi="en-US"/>
    </w:rPr>
  </w:style>
  <w:style w:type="character" w:customStyle="1" w:styleId="TableLeftChar">
    <w:name w:val="Table Left Char"/>
    <w:basedOn w:val="DefaultParagraphFont"/>
    <w:link w:val="TableLeft"/>
    <w:uiPriority w:val="99"/>
    <w:locked/>
    <w:rsid w:val="007E6B48"/>
    <w:rPr>
      <w:rFonts w:ascii="Arial Narrow" w:eastAsiaTheme="majorEastAsia" w:hAnsi="Arial Narrow" w:cstheme="majorBidi"/>
      <w:sz w:val="20"/>
      <w:lang w:eastAsia="en-US" w:bidi="en-US"/>
    </w:rPr>
  </w:style>
  <w:style w:type="character" w:customStyle="1" w:styleId="ListParagraphChar">
    <w:name w:val="List Paragraph Char"/>
    <w:link w:val="ListParagraph"/>
    <w:uiPriority w:val="34"/>
    <w:rsid w:val="00D7529F"/>
    <w:rPr>
      <w:rFonts w:eastAsia="Times New Roman"/>
      <w:sz w:val="24"/>
      <w:szCs w:val="20"/>
    </w:rPr>
  </w:style>
  <w:style w:type="table" w:customStyle="1" w:styleId="Section3-footnotes1">
    <w:name w:val="Section 3- footnotes1"/>
    <w:basedOn w:val="TableNormal"/>
    <w:next w:val="TableGrid"/>
    <w:uiPriority w:val="39"/>
    <w:rsid w:val="00DA7B6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E56B7"/>
    <w:pPr>
      <w:widowControl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98789">
      <w:bodyDiv w:val="1"/>
      <w:marLeft w:val="0"/>
      <w:marRight w:val="0"/>
      <w:marTop w:val="0"/>
      <w:marBottom w:val="0"/>
      <w:divBdr>
        <w:top w:val="none" w:sz="0" w:space="0" w:color="auto"/>
        <w:left w:val="none" w:sz="0" w:space="0" w:color="auto"/>
        <w:bottom w:val="none" w:sz="0" w:space="0" w:color="auto"/>
        <w:right w:val="none" w:sz="0" w:space="0" w:color="auto"/>
      </w:divBdr>
    </w:div>
    <w:div w:id="1267613927">
      <w:bodyDiv w:val="1"/>
      <w:marLeft w:val="0"/>
      <w:marRight w:val="0"/>
      <w:marTop w:val="0"/>
      <w:marBottom w:val="0"/>
      <w:divBdr>
        <w:top w:val="none" w:sz="0" w:space="0" w:color="auto"/>
        <w:left w:val="none" w:sz="0" w:space="0" w:color="auto"/>
        <w:bottom w:val="none" w:sz="0" w:space="0" w:color="auto"/>
        <w:right w:val="none" w:sz="0" w:space="0" w:color="auto"/>
      </w:divBdr>
    </w:div>
    <w:div w:id="1338539935">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619943497">
      <w:bodyDiv w:val="1"/>
      <w:marLeft w:val="0"/>
      <w:marRight w:val="0"/>
      <w:marTop w:val="0"/>
      <w:marBottom w:val="0"/>
      <w:divBdr>
        <w:top w:val="none" w:sz="0" w:space="0" w:color="auto"/>
        <w:left w:val="none" w:sz="0" w:space="0" w:color="auto"/>
        <w:bottom w:val="none" w:sz="0" w:space="0" w:color="auto"/>
        <w:right w:val="none" w:sz="0" w:space="0" w:color="auto"/>
      </w:divBdr>
    </w:div>
    <w:div w:id="174183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sac.gov.au/"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5024D-83D4-4F3E-B880-E322ACD5F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11065</Words>
  <Characters>63181</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1519-Final PSD-April 2019_redacted</dc:title>
  <dc:creator/>
  <cp:lastModifiedBy/>
  <cp:revision>1</cp:revision>
  <dcterms:created xsi:type="dcterms:W3CDTF">2019-04-17T22:14:00Z</dcterms:created>
  <dcterms:modified xsi:type="dcterms:W3CDTF">2019-04-18T02:47:00Z</dcterms:modified>
</cp:coreProperties>
</file>