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90CE1"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93C9150" wp14:editId="039F9F1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77FE544" w14:textId="77777777" w:rsidR="00BC1364" w:rsidRPr="00F715D1" w:rsidRDefault="00BF479B" w:rsidP="00831F89">
      <w:pPr>
        <w:pStyle w:val="Title"/>
      </w:pPr>
      <w:r w:rsidRPr="00F715D1">
        <w:t>Public Summary Document</w:t>
      </w:r>
    </w:p>
    <w:p w14:paraId="508B06CB" w14:textId="77777777" w:rsidR="00BC1364" w:rsidRPr="00F715D1" w:rsidRDefault="00BC1364" w:rsidP="00F715D1">
      <w:pPr>
        <w:pStyle w:val="Subtitle"/>
      </w:pPr>
      <w:r w:rsidRPr="00F715D1">
        <w:t xml:space="preserve">Application No. </w:t>
      </w:r>
      <w:r w:rsidR="0006650C" w:rsidRPr="0006650C">
        <w:t>1524 – BRAF testing for dabrafenib/trametinib in Stage III melanoma</w:t>
      </w:r>
    </w:p>
    <w:p w14:paraId="00907038"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06650C">
        <w:rPr>
          <w:rFonts w:ascii="Arial" w:hAnsi="Arial" w:cs="Arial"/>
          <w:b/>
          <w:szCs w:val="24"/>
        </w:rPr>
        <w:t>Novartis Australia Pty Ltd</w:t>
      </w:r>
    </w:p>
    <w:p w14:paraId="402DB8FC" w14:textId="3FCF721B"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06650C">
        <w:rPr>
          <w:rFonts w:ascii="Arial" w:hAnsi="Arial" w:cs="Arial"/>
          <w:b/>
          <w:szCs w:val="24"/>
        </w:rPr>
        <w:t>76</w:t>
      </w:r>
      <w:r w:rsidR="00F83EAF" w:rsidRPr="00F83EAF">
        <w:rPr>
          <w:rFonts w:ascii="Arial" w:hAnsi="Arial" w:cs="Arial"/>
          <w:b/>
          <w:szCs w:val="24"/>
          <w:vertAlign w:val="superscript"/>
        </w:rPr>
        <w:t>t</w:t>
      </w:r>
      <w:r w:rsidR="00EB6B6F" w:rsidRPr="00F715D1">
        <w:rPr>
          <w:rFonts w:ascii="Arial" w:hAnsi="Arial" w:cs="Arial"/>
          <w:b/>
          <w:szCs w:val="24"/>
          <w:vertAlign w:val="superscript"/>
        </w:rPr>
        <w:t>h</w:t>
      </w:r>
      <w:r w:rsidR="00EB6B6F" w:rsidRPr="00F715D1">
        <w:rPr>
          <w:rFonts w:ascii="Arial" w:hAnsi="Arial" w:cs="Arial"/>
          <w:b/>
          <w:szCs w:val="24"/>
        </w:rPr>
        <w:t xml:space="preserve"> </w:t>
      </w:r>
      <w:r w:rsidRPr="00F715D1">
        <w:rPr>
          <w:rFonts w:ascii="Arial" w:hAnsi="Arial" w:cs="Arial"/>
          <w:b/>
          <w:szCs w:val="24"/>
        </w:rPr>
        <w:t xml:space="preserve">Meeting, </w:t>
      </w:r>
      <w:r w:rsidR="0006650C">
        <w:rPr>
          <w:rFonts w:ascii="Arial" w:hAnsi="Arial" w:cs="Arial"/>
          <w:b/>
          <w:szCs w:val="24"/>
        </w:rPr>
        <w:t>1-2</w:t>
      </w:r>
      <w:r w:rsidR="001023DC">
        <w:rPr>
          <w:rFonts w:ascii="Arial" w:hAnsi="Arial" w:cs="Arial"/>
          <w:b/>
          <w:szCs w:val="24"/>
        </w:rPr>
        <w:t xml:space="preserve"> </w:t>
      </w:r>
      <w:r w:rsidR="0006650C">
        <w:rPr>
          <w:rFonts w:ascii="Arial" w:hAnsi="Arial" w:cs="Arial"/>
          <w:b/>
          <w:szCs w:val="24"/>
        </w:rPr>
        <w:t>August 2019</w:t>
      </w:r>
    </w:p>
    <w:p w14:paraId="351E6E92"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6B849FDE" w14:textId="3FB1EFFD" w:rsidR="003D7F29" w:rsidRPr="00F715D1" w:rsidRDefault="003D7F29" w:rsidP="00F715D1">
      <w:pPr>
        <w:pStyle w:val="Heading1"/>
      </w:pPr>
      <w:r w:rsidRPr="00F715D1">
        <w:t>Purpose of application</w:t>
      </w:r>
    </w:p>
    <w:p w14:paraId="59F5F6C4" w14:textId="65D32CE0" w:rsidR="00CF0DF7" w:rsidRPr="00CF0DF7" w:rsidRDefault="00CF0DF7" w:rsidP="00CF0DF7">
      <w:r w:rsidRPr="00CF0DF7">
        <w:t>An application to broaden the existing M</w:t>
      </w:r>
      <w:r w:rsidR="00AD5660">
        <w:t xml:space="preserve">edicare </w:t>
      </w:r>
      <w:r w:rsidRPr="00CF0DF7">
        <w:t>B</w:t>
      </w:r>
      <w:r w:rsidR="00AD5660">
        <w:t xml:space="preserve">enefits </w:t>
      </w:r>
      <w:r w:rsidRPr="00CF0DF7">
        <w:t>S</w:t>
      </w:r>
      <w:r w:rsidR="00AD5660">
        <w:t>chedule (MBS)</w:t>
      </w:r>
      <w:r w:rsidRPr="00CF0DF7">
        <w:t xml:space="preserve"> item for </w:t>
      </w:r>
      <w:r w:rsidRPr="00CF0DF7">
        <w:rPr>
          <w:i/>
        </w:rPr>
        <w:t>BRAF</w:t>
      </w:r>
      <w:r w:rsidRPr="00CF0DF7">
        <w:t xml:space="preserve"> V600 testing to include Stage III resected melanoma patients was </w:t>
      </w:r>
      <w:r>
        <w:t xml:space="preserve">received </w:t>
      </w:r>
      <w:r w:rsidR="00E706F1">
        <w:t xml:space="preserve">from Novartis Australia </w:t>
      </w:r>
      <w:r>
        <w:t>by the Department</w:t>
      </w:r>
      <w:r w:rsidR="00AD5660">
        <w:t xml:space="preserve"> of Health</w:t>
      </w:r>
      <w:r>
        <w:t>.</w:t>
      </w:r>
    </w:p>
    <w:p w14:paraId="4C08A56E" w14:textId="77777777" w:rsidR="00E977EE" w:rsidRPr="00F715D1" w:rsidRDefault="00E977EE" w:rsidP="00F715D1">
      <w:pPr>
        <w:pStyle w:val="Heading1"/>
      </w:pPr>
      <w:r w:rsidRPr="00F715D1">
        <w:t>MSAC’s advice to the Minister</w:t>
      </w:r>
    </w:p>
    <w:p w14:paraId="32D117EB" w14:textId="022FBDA6" w:rsidR="007D11AF" w:rsidRDefault="00CD2C2C" w:rsidP="00914B9C">
      <w:pPr>
        <w:spacing w:after="240"/>
        <w:rPr>
          <w:szCs w:val="24"/>
        </w:rPr>
      </w:pPr>
      <w:r w:rsidRPr="001342D1">
        <w:t xml:space="preserve">After considering the strength of the available evidence in relation to comparative safety, </w:t>
      </w:r>
      <w:r>
        <w:t>clinical effectiveness and cost-</w:t>
      </w:r>
      <w:r w:rsidRPr="001342D1">
        <w:t xml:space="preserve">effectiveness, </w:t>
      </w:r>
      <w:r w:rsidRPr="000D3ABA">
        <w:rPr>
          <w:szCs w:val="24"/>
        </w:rPr>
        <w:t>MSAC supported the requested amendment to the MBS item descriptor for 73336 to omit the word “unresectable” in relation to Stage III melanoma</w:t>
      </w:r>
      <w:r>
        <w:rPr>
          <w:szCs w:val="24"/>
        </w:rPr>
        <w:t>,</w:t>
      </w:r>
      <w:r w:rsidRPr="000D3ABA">
        <w:rPr>
          <w:szCs w:val="24"/>
        </w:rPr>
        <w:t xml:space="preserve"> because the performance of the test is expected to be the same in the additional patients who would be tested, and the additional costs would be justified by those who would become eligible for earlier treatment with dabrafenib </w:t>
      </w:r>
      <w:r>
        <w:rPr>
          <w:szCs w:val="24"/>
        </w:rPr>
        <w:t xml:space="preserve">in combination </w:t>
      </w:r>
      <w:r w:rsidRPr="000D3ABA">
        <w:rPr>
          <w:szCs w:val="24"/>
        </w:rPr>
        <w:t>with trametinib.</w:t>
      </w:r>
    </w:p>
    <w:tbl>
      <w:tblPr>
        <w:tblStyle w:val="TableGrid"/>
        <w:tblW w:w="0" w:type="auto"/>
        <w:tblLook w:val="04A0" w:firstRow="1" w:lastRow="0" w:firstColumn="1" w:lastColumn="0" w:noHBand="0" w:noVBand="1"/>
        <w:tblDescription w:val="Consumer summary of MSAC consideration"/>
      </w:tblPr>
      <w:tblGrid>
        <w:gridCol w:w="9016"/>
      </w:tblGrid>
      <w:tr w:rsidR="007D11AF" w14:paraId="0DD948EE" w14:textId="77777777" w:rsidTr="009C21D8">
        <w:trPr>
          <w:tblHeader/>
        </w:trPr>
        <w:tc>
          <w:tcPr>
            <w:tcW w:w="9016" w:type="dxa"/>
          </w:tcPr>
          <w:p w14:paraId="61517A9A" w14:textId="077CDF85" w:rsidR="007D11AF" w:rsidRPr="009C21D8" w:rsidRDefault="009C21D8" w:rsidP="009C21D8">
            <w:pPr>
              <w:pStyle w:val="Bullet"/>
              <w:numPr>
                <w:ilvl w:val="0"/>
                <w:numId w:val="0"/>
              </w:numPr>
              <w:spacing w:before="120"/>
              <w:ind w:hanging="11"/>
              <w:rPr>
                <w:rFonts w:ascii="Times New Roman" w:hAnsi="Times New Roman" w:cs="Times New Roman"/>
                <w:b/>
                <w:szCs w:val="24"/>
              </w:rPr>
            </w:pPr>
            <w:r w:rsidRPr="00240FA8">
              <w:rPr>
                <w:rFonts w:ascii="Times New Roman" w:hAnsi="Times New Roman" w:cs="Times New Roman"/>
                <w:b/>
                <w:szCs w:val="24"/>
              </w:rPr>
              <w:t>Consumer summary</w:t>
            </w:r>
          </w:p>
        </w:tc>
      </w:tr>
      <w:tr w:rsidR="007D11AF" w14:paraId="2B047D5A" w14:textId="77777777" w:rsidTr="007D11AF">
        <w:tc>
          <w:tcPr>
            <w:tcW w:w="9016" w:type="dxa"/>
          </w:tcPr>
          <w:p w14:paraId="7174AD03" w14:textId="77777777" w:rsidR="009C21D8" w:rsidRPr="004E4BBB" w:rsidRDefault="009C21D8" w:rsidP="009C21D8">
            <w:pPr>
              <w:spacing w:before="120"/>
              <w:rPr>
                <w:rFonts w:ascii="Times New Roman" w:hAnsi="Times New Roman" w:cs="Times New Roman"/>
                <w:sz w:val="22"/>
              </w:rPr>
            </w:pPr>
            <w:r w:rsidRPr="004E4BBB">
              <w:rPr>
                <w:rFonts w:ascii="Times New Roman" w:hAnsi="Times New Roman" w:cs="Times New Roman"/>
              </w:rPr>
              <w:t>Novartis Australia Pty Ltd applied to have the word</w:t>
            </w:r>
            <w:r w:rsidRPr="004E4BBB">
              <w:rPr>
                <w:rFonts w:ascii="Times New Roman" w:hAnsi="Times New Roman" w:cs="Times New Roman"/>
                <w:b/>
                <w:bCs/>
              </w:rPr>
              <w:t xml:space="preserve"> </w:t>
            </w:r>
            <w:r w:rsidRPr="004E4BBB">
              <w:rPr>
                <w:rFonts w:ascii="Times New Roman" w:hAnsi="Times New Roman" w:cs="Times New Roman"/>
              </w:rPr>
              <w:t xml:space="preserve">“unresectable” (that is, cannot be removed completely by surgery) removed from the Medicare Benefits Schedule (MBS) item which relates to testing for </w:t>
            </w:r>
            <w:r w:rsidRPr="004E4BBB">
              <w:rPr>
                <w:rFonts w:ascii="Times New Roman" w:hAnsi="Times New Roman" w:cs="Times New Roman"/>
                <w:i/>
                <w:iCs/>
              </w:rPr>
              <w:t>BRAF</w:t>
            </w:r>
            <w:r w:rsidRPr="004E4BBB">
              <w:rPr>
                <w:rFonts w:ascii="Times New Roman" w:hAnsi="Times New Roman" w:cs="Times New Roman"/>
              </w:rPr>
              <w:t xml:space="preserve"> gene mutation in patients with stage III or stage IV melanoma. </w:t>
            </w:r>
          </w:p>
          <w:p w14:paraId="241E3A50" w14:textId="77777777" w:rsidR="009C21D8" w:rsidRPr="004E4BBB" w:rsidRDefault="009C21D8" w:rsidP="009C21D8">
            <w:pPr>
              <w:spacing w:before="240"/>
              <w:rPr>
                <w:rFonts w:ascii="Times New Roman" w:hAnsi="Times New Roman" w:cs="Times New Roman"/>
              </w:rPr>
            </w:pPr>
            <w:r w:rsidRPr="004E4BBB">
              <w:rPr>
                <w:rFonts w:ascii="Times New Roman" w:hAnsi="Times New Roman" w:cs="Times New Roman"/>
                <w:szCs w:val="24"/>
              </w:rPr>
              <w:t>Removing the word “unresectable” means funding would be available for patients with Stage III melanoma who have had surgery to be tested for BRAF gene mutations; the most common mutation is called V600. The test result would identify the need for drug treatment to target V600.</w:t>
            </w:r>
          </w:p>
          <w:p w14:paraId="17D3079B" w14:textId="77777777" w:rsidR="009C21D8" w:rsidRDefault="009C21D8" w:rsidP="009C21D8">
            <w:pPr>
              <w:spacing w:after="120"/>
              <w:rPr>
                <w:rFonts w:ascii="Times New Roman" w:hAnsi="Times New Roman" w:cs="Times New Roman"/>
              </w:rPr>
            </w:pPr>
            <w:r w:rsidRPr="004E4BBB">
              <w:rPr>
                <w:rFonts w:ascii="Times New Roman" w:hAnsi="Times New Roman" w:cs="Times New Roman"/>
              </w:rPr>
              <w:t xml:space="preserve">The Pharmaceutical Benefits Advisory Committee has recently recommended extending an existing listing on the Pharmaceutical Benefits Scheme (PBS) for a medicine that targets V600 (dabrafenib). Currently, patients with unresectable Stage III or Stage IV metastatic cutaneous melanoma whose tumour tissue cells have the </w:t>
            </w:r>
            <w:r w:rsidRPr="004E4BBB">
              <w:rPr>
                <w:rFonts w:ascii="Times New Roman" w:hAnsi="Times New Roman" w:cs="Times New Roman"/>
                <w:i/>
                <w:iCs/>
              </w:rPr>
              <w:t>BRAF</w:t>
            </w:r>
            <w:r w:rsidRPr="004E4BBB">
              <w:rPr>
                <w:rFonts w:ascii="Times New Roman" w:hAnsi="Times New Roman" w:cs="Times New Roman"/>
              </w:rPr>
              <w:t xml:space="preserve"> V600 mutation are eligible for PBS-funded treatment with dabrafenib (given in combination with trametinib).</w:t>
            </w:r>
          </w:p>
          <w:p w14:paraId="7AB2E36F" w14:textId="328AF483" w:rsidR="007D11AF" w:rsidRPr="004E4BBB" w:rsidRDefault="007D11AF" w:rsidP="009C21D8">
            <w:pPr>
              <w:spacing w:after="120"/>
              <w:rPr>
                <w:rFonts w:ascii="Times New Roman" w:hAnsi="Times New Roman" w:cs="Times New Roman"/>
                <w:b/>
              </w:rPr>
            </w:pPr>
            <w:r w:rsidRPr="000A0160">
              <w:rPr>
                <w:rFonts w:ascii="Times New Roman" w:hAnsi="Times New Roman" w:cs="Times New Roman"/>
                <w:b/>
              </w:rPr>
              <w:lastRenderedPageBreak/>
              <w:t>MSAC’s recommendation to the Commonwealth Health Minister</w:t>
            </w:r>
          </w:p>
          <w:p w14:paraId="63CF83E9" w14:textId="3BCC0F1D" w:rsidR="007D11AF" w:rsidRDefault="007D11AF" w:rsidP="007D11AF">
            <w:pPr>
              <w:rPr>
                <w:szCs w:val="24"/>
              </w:rPr>
            </w:pPr>
            <w:r w:rsidRPr="004E4BBB">
              <w:rPr>
                <w:rFonts w:ascii="Times New Roman" w:hAnsi="Times New Roman" w:cs="Times New Roman"/>
              </w:rPr>
              <w:t>MSAC agreed to remove the word “unresectable” from the MBS item descriptor.</w:t>
            </w:r>
          </w:p>
        </w:tc>
      </w:tr>
    </w:tbl>
    <w:p w14:paraId="7D1AAE84" w14:textId="77777777" w:rsidR="00550354" w:rsidRPr="00F715D1" w:rsidRDefault="00550354" w:rsidP="00F715D1">
      <w:pPr>
        <w:pStyle w:val="Heading1"/>
      </w:pPr>
      <w:r w:rsidRPr="00F715D1">
        <w:lastRenderedPageBreak/>
        <w:t xml:space="preserve">Summary of consideration </w:t>
      </w:r>
      <w:r w:rsidR="00831F89">
        <w:t>and rationale for MSAC’s advice</w:t>
      </w:r>
    </w:p>
    <w:p w14:paraId="0F9EA99B" w14:textId="56CC55FB" w:rsidR="00CD2C2C" w:rsidRDefault="00CD2C2C" w:rsidP="00914B9C">
      <w:pPr>
        <w:spacing w:after="240"/>
      </w:pPr>
      <w:r>
        <w:t>MSAC note</w:t>
      </w:r>
      <w:r w:rsidR="006B73D6">
        <w:t>d that Application 1524 is part of a streamlined co</w:t>
      </w:r>
      <w:r>
        <w:t xml:space="preserve">dependent </w:t>
      </w:r>
      <w:r w:rsidR="006B73D6">
        <w:t>submission</w:t>
      </w:r>
      <w:r>
        <w:t xml:space="preserve"> seeking to extend MBS item 73336 to include patients with completely resected Stage III metastatic cutaneous melanoma</w:t>
      </w:r>
      <w:r w:rsidR="006B73D6">
        <w:t xml:space="preserve"> alongside a corresponding request </w:t>
      </w:r>
      <w:r>
        <w:t>to the Pharmaceutical Benefits Advisory Committee (PBAC)</w:t>
      </w:r>
      <w:r w:rsidR="006B73D6">
        <w:t xml:space="preserve"> to extend the</w:t>
      </w:r>
      <w:r>
        <w:t xml:space="preserve"> </w:t>
      </w:r>
      <w:r w:rsidR="00D551C7">
        <w:t>Pharmaceutical Benefits Scheme (</w:t>
      </w:r>
      <w:r>
        <w:t>PBS</w:t>
      </w:r>
      <w:r w:rsidR="00D551C7">
        <w:t>)</w:t>
      </w:r>
      <w:r w:rsidR="006B73D6">
        <w:t xml:space="preserve"> listing </w:t>
      </w:r>
      <w:r w:rsidR="00D551C7">
        <w:t>of</w:t>
      </w:r>
      <w:r>
        <w:t xml:space="preserve"> dabrafenib (in combination with trametinib). MSAC noted that Stage III resected melanoma patients are at high risk of relapse and standard of care is routine follow-up. At present, no effective adjuvant ther</w:t>
      </w:r>
      <w:r w:rsidR="00831F89">
        <w:t>apies are available on the PBS.</w:t>
      </w:r>
    </w:p>
    <w:p w14:paraId="4C613C4D" w14:textId="5F5C8608" w:rsidR="00CD2C2C" w:rsidRDefault="00CD2C2C" w:rsidP="00914B9C">
      <w:pPr>
        <w:spacing w:after="240"/>
      </w:pPr>
      <w:r>
        <w:t xml:space="preserve">MSAC noted that, at its April 2018 meeting, PASC supported expanding the current population within existing </w:t>
      </w:r>
      <w:r w:rsidR="006B73D6">
        <w:t xml:space="preserve">MBS </w:t>
      </w:r>
      <w:r>
        <w:t xml:space="preserve">item 73336, as opposed to creating a new </w:t>
      </w:r>
      <w:r w:rsidR="006B73D6">
        <w:t xml:space="preserve">MBS </w:t>
      </w:r>
      <w:r>
        <w:t>item. PASC also recommended that the application be considered by the MSAC Executive for</w:t>
      </w:r>
      <w:r w:rsidR="00D551C7">
        <w:t xml:space="preserve"> a streamlined process pathway.</w:t>
      </w:r>
    </w:p>
    <w:p w14:paraId="44594CF3" w14:textId="1F332073" w:rsidR="00EE7B2B" w:rsidRDefault="00CD2C2C" w:rsidP="00914B9C">
      <w:pPr>
        <w:spacing w:after="240"/>
      </w:pPr>
      <w:r>
        <w:t xml:space="preserve">MSAC noted that, at the July 2019 </w:t>
      </w:r>
      <w:r w:rsidR="006B73D6">
        <w:t xml:space="preserve">PBAC </w:t>
      </w:r>
      <w:r>
        <w:t xml:space="preserve">meeting, the PBAC made a positive recommendation to amend the PBS listing for dabrafenib and trametinib to include </w:t>
      </w:r>
      <w:r w:rsidR="00D551C7">
        <w:t xml:space="preserve">the adjuvant treatment of </w:t>
      </w:r>
      <w:r>
        <w:t>patients who have h</w:t>
      </w:r>
      <w:r w:rsidR="00D551C7">
        <w:t>ad complete surgically resected</w:t>
      </w:r>
      <w:r>
        <w:t xml:space="preserve"> </w:t>
      </w:r>
      <w:r w:rsidRPr="001B53E4">
        <w:rPr>
          <w:i/>
          <w:iCs/>
        </w:rPr>
        <w:t>BRAF</w:t>
      </w:r>
      <w:r>
        <w:t xml:space="preserve"> V600 mutation positive Stage III</w:t>
      </w:r>
      <w:r w:rsidR="00D551C7">
        <w:t>B, IIIC or IIID</w:t>
      </w:r>
      <w:r>
        <w:t xml:space="preserve"> malignant melanoma.</w:t>
      </w:r>
      <w:r w:rsidRPr="00BC5CE9">
        <w:t xml:space="preserve"> </w:t>
      </w:r>
      <w:r w:rsidR="00D551C7">
        <w:t>MSAC advised that t</w:t>
      </w:r>
      <w:r>
        <w:t xml:space="preserve">he removal of the word “unresectable” from the descriptor for MBS item 73336 </w:t>
      </w:r>
      <w:r w:rsidR="006B73D6">
        <w:t>would be</w:t>
      </w:r>
      <w:r>
        <w:t xml:space="preserve"> sufficient to extend MBS item 73336 to </w:t>
      </w:r>
      <w:r w:rsidR="00D551C7">
        <w:t xml:space="preserve">complement this PBAC recommendation by </w:t>
      </w:r>
      <w:r>
        <w:t>includ</w:t>
      </w:r>
      <w:r w:rsidR="00D551C7">
        <w:t>ing</w:t>
      </w:r>
      <w:r>
        <w:t xml:space="preserve"> patients with completely resected Stage III metastatic cutaneous melanoma.</w:t>
      </w:r>
    </w:p>
    <w:p w14:paraId="15E5812E" w14:textId="2403730E" w:rsidR="006B73D6" w:rsidRDefault="00EE7B2B" w:rsidP="00914B9C">
      <w:pPr>
        <w:spacing w:after="240"/>
      </w:pPr>
      <w:r w:rsidRPr="00D2600E">
        <w:t xml:space="preserve">The PBAC recommendation was for stage </w:t>
      </w:r>
      <w:r w:rsidR="00876419" w:rsidRPr="00876419">
        <w:t xml:space="preserve">IIIB, IIIC or IIID </w:t>
      </w:r>
      <w:r w:rsidRPr="00D2600E">
        <w:t xml:space="preserve">tumour with the exclusion of </w:t>
      </w:r>
      <w:r w:rsidR="00137A5C">
        <w:t>micrometastatic disea</w:t>
      </w:r>
      <w:r w:rsidR="004761C0">
        <w:t>s</w:t>
      </w:r>
      <w:r w:rsidR="00137A5C">
        <w:t>e</w:t>
      </w:r>
      <w:r w:rsidRPr="00D2600E">
        <w:t xml:space="preserve"> III</w:t>
      </w:r>
      <w:r w:rsidR="00C4439B">
        <w:t>A</w:t>
      </w:r>
      <w:r w:rsidRPr="00D2600E">
        <w:t xml:space="preserve"> It </w:t>
      </w:r>
      <w:r w:rsidR="00D2600E">
        <w:t>i</w:t>
      </w:r>
      <w:r w:rsidRPr="00D2600E">
        <w:t>s proposed that the Department consider the inclusion of a clarifying practice note with the proposed descriptor.</w:t>
      </w:r>
    </w:p>
    <w:p w14:paraId="3A8AA01A" w14:textId="29CEE807" w:rsidR="00CD2C2C" w:rsidRDefault="00CD2C2C" w:rsidP="00914B9C">
      <w:pPr>
        <w:spacing w:after="240"/>
      </w:pPr>
      <w:r>
        <w:t xml:space="preserve">MSAC noted that the </w:t>
      </w:r>
      <w:r w:rsidRPr="00E97EC8">
        <w:t>MSAC Exec</w:t>
      </w:r>
      <w:r>
        <w:t>utive</w:t>
      </w:r>
      <w:r w:rsidRPr="00E97EC8">
        <w:t xml:space="preserve"> ha</w:t>
      </w:r>
      <w:r w:rsidR="006B73D6">
        <w:t>d</w:t>
      </w:r>
      <w:r w:rsidR="008A0B0D">
        <w:t xml:space="preserve"> recently</w:t>
      </w:r>
      <w:r w:rsidRPr="00E97EC8">
        <w:t xml:space="preserve"> opposed </w:t>
      </w:r>
      <w:r w:rsidR="00D551C7">
        <w:t xml:space="preserve">the option of </w:t>
      </w:r>
      <w:r>
        <w:t>replacing dabrafenib</w:t>
      </w:r>
      <w:r w:rsidR="008A0B0D">
        <w:t>, vemurafenib</w:t>
      </w:r>
      <w:r>
        <w:t xml:space="preserve"> and </w:t>
      </w:r>
      <w:r w:rsidR="008A0B0D">
        <w:t>encorafenib</w:t>
      </w:r>
      <w:r w:rsidRPr="00E97EC8">
        <w:t xml:space="preserve"> with a generic descriptor (</w:t>
      </w:r>
      <w:r w:rsidR="006B73D6">
        <w:t>for example</w:t>
      </w:r>
      <w:r>
        <w:t>,</w:t>
      </w:r>
      <w:r w:rsidRPr="00E97EC8">
        <w:t xml:space="preserve"> </w:t>
      </w:r>
      <w:r>
        <w:t>“</w:t>
      </w:r>
      <w:r w:rsidRPr="001B53E4">
        <w:rPr>
          <w:i/>
          <w:iCs/>
        </w:rPr>
        <w:t>BRAF</w:t>
      </w:r>
      <w:r w:rsidRPr="00E97EC8">
        <w:t xml:space="preserve"> inhibitor therapies </w:t>
      </w:r>
      <w:r w:rsidR="008A0B0D">
        <w:t xml:space="preserve">listed on </w:t>
      </w:r>
      <w:r w:rsidRPr="00E97EC8">
        <w:t>the PBS</w:t>
      </w:r>
      <w:r>
        <w:t>”</w:t>
      </w:r>
      <w:r w:rsidRPr="00E97EC8">
        <w:t>)</w:t>
      </w:r>
      <w:r>
        <w:t>, because</w:t>
      </w:r>
      <w:r w:rsidRPr="00E97EC8">
        <w:t xml:space="preserve"> </w:t>
      </w:r>
      <w:r>
        <w:t>“</w:t>
      </w:r>
      <w:r w:rsidRPr="00E97EC8">
        <w:t>the nomenclature and interpretation for the drug class is not precise or agreed on by all stakeholders</w:t>
      </w:r>
      <w:r>
        <w:t>”.</w:t>
      </w:r>
    </w:p>
    <w:p w14:paraId="1987BBD3" w14:textId="066243DF" w:rsidR="006B73D6" w:rsidRDefault="00CD2C2C" w:rsidP="00914B9C">
      <w:pPr>
        <w:spacing w:after="240"/>
      </w:pPr>
      <w:r>
        <w:t xml:space="preserve">MSAC </w:t>
      </w:r>
      <w:r w:rsidR="008A0B0D">
        <w:t>recalled</w:t>
      </w:r>
      <w:r>
        <w:t xml:space="preserve"> that i</w:t>
      </w:r>
      <w:r w:rsidR="00693A3B">
        <w:t>t</w:t>
      </w:r>
      <w:r>
        <w:t xml:space="preserve"> ha</w:t>
      </w:r>
      <w:r w:rsidR="006B73D6">
        <w:t>d</w:t>
      </w:r>
      <w:r>
        <w:t xml:space="preserve"> previously </w:t>
      </w:r>
      <w:r w:rsidR="008A0B0D">
        <w:t>advised</w:t>
      </w:r>
      <w:r>
        <w:t xml:space="preserve"> that the </w:t>
      </w:r>
      <w:r w:rsidRPr="001B53E4">
        <w:rPr>
          <w:i/>
          <w:iCs/>
        </w:rPr>
        <w:t>BRAF</w:t>
      </w:r>
      <w:r>
        <w:t xml:space="preserve"> V600 mutation test listed in MBS item 73336 is safe, clinically effective and cost-effective in late</w:t>
      </w:r>
      <w:r w:rsidR="006B73D6">
        <w:t>r</w:t>
      </w:r>
      <w:r>
        <w:t xml:space="preserve"> stage melanoma.</w:t>
      </w:r>
    </w:p>
    <w:p w14:paraId="43E2DB2A" w14:textId="5EA4091C" w:rsidR="00CD2C2C" w:rsidRDefault="00CD2C2C" w:rsidP="00914B9C">
      <w:pPr>
        <w:spacing w:after="240"/>
      </w:pPr>
      <w:r>
        <w:t>MSAC noted that the submission suggest</w:t>
      </w:r>
      <w:r w:rsidR="00D75A24">
        <w:t>ed that</w:t>
      </w:r>
      <w:r>
        <w:t xml:space="preserve"> around </w:t>
      </w:r>
      <w:r w:rsidR="00C4439B" w:rsidRPr="00C4439B">
        <w:rPr>
          <w:b/>
        </w:rPr>
        <w:t>redacted</w:t>
      </w:r>
      <w:r w:rsidR="00C4439B">
        <w:t xml:space="preserve"> </w:t>
      </w:r>
      <w:r>
        <w:t xml:space="preserve">“additional” patients with resected Stage III melanoma would be eligible for </w:t>
      </w:r>
      <w:r w:rsidRPr="001B53E4">
        <w:rPr>
          <w:i/>
          <w:iCs/>
        </w:rPr>
        <w:t>BRAF</w:t>
      </w:r>
      <w:r>
        <w:t xml:space="preserve"> testing per year ($230.95 per patient; $</w:t>
      </w:r>
      <w:r w:rsidR="00C4439B" w:rsidRPr="00E86019">
        <w:rPr>
          <w:b/>
        </w:rPr>
        <w:t>redacted</w:t>
      </w:r>
      <w:r w:rsidR="00C4439B" w:rsidDel="00C4439B">
        <w:t xml:space="preserve"> </w:t>
      </w:r>
      <w:r>
        <w:t xml:space="preserve">in total) with around </w:t>
      </w:r>
      <w:r w:rsidR="00C4439B" w:rsidRPr="00E86019">
        <w:rPr>
          <w:b/>
        </w:rPr>
        <w:t>redacted</w:t>
      </w:r>
      <w:r>
        <w:t xml:space="preserve"> found positive and eligible for treatment. The figure of </w:t>
      </w:r>
      <w:r w:rsidR="00C4439B" w:rsidRPr="00E86019">
        <w:rPr>
          <w:b/>
        </w:rPr>
        <w:t>redacted</w:t>
      </w:r>
      <w:r>
        <w:t xml:space="preserve"> was obtained via a survey of 31 oncologists who estimated that </w:t>
      </w:r>
      <w:r w:rsidR="00C4439B" w:rsidRPr="00E86019">
        <w:rPr>
          <w:b/>
        </w:rPr>
        <w:t>redacted</w:t>
      </w:r>
      <w:r>
        <w:t xml:space="preserve">% of patients with Stage III disease would undergo nodal resection. However, </w:t>
      </w:r>
      <w:r w:rsidR="008A0B0D">
        <w:t xml:space="preserve">MSAC considered that </w:t>
      </w:r>
      <w:r w:rsidR="00D551C7">
        <w:t xml:space="preserve">these </w:t>
      </w:r>
      <w:r>
        <w:t xml:space="preserve">calculations do not take into account the change in timing of the test; a subset of these patients would no longer require testing in the “unresectable” or metastatic setting down the track, so the </w:t>
      </w:r>
      <w:r w:rsidR="00D75A24">
        <w:t xml:space="preserve">requested </w:t>
      </w:r>
      <w:r>
        <w:t xml:space="preserve">testing </w:t>
      </w:r>
      <w:r w:rsidR="00D75A24">
        <w:t>would</w:t>
      </w:r>
      <w:r>
        <w:t xml:space="preserve"> not </w:t>
      </w:r>
      <w:r w:rsidR="00D75A24">
        <w:t xml:space="preserve">be </w:t>
      </w:r>
      <w:r>
        <w:t xml:space="preserve">all additive to the status quo (that is, </w:t>
      </w:r>
      <w:r w:rsidR="00D551C7">
        <w:t>the increase</w:t>
      </w:r>
      <w:r w:rsidR="00D75A24">
        <w:t xml:space="preserve"> in testing</w:t>
      </w:r>
      <w:r>
        <w:t xml:space="preserve"> would be somewhat </w:t>
      </w:r>
      <w:r w:rsidR="00D551C7">
        <w:t>smaller</w:t>
      </w:r>
      <w:r>
        <w:t xml:space="preserve"> than estimated).</w:t>
      </w:r>
    </w:p>
    <w:p w14:paraId="73B529C2" w14:textId="15FC8F17" w:rsidR="00CD2C2C" w:rsidRDefault="00CD2C2C" w:rsidP="00914B9C">
      <w:pPr>
        <w:spacing w:after="240"/>
      </w:pPr>
      <w:r>
        <w:t xml:space="preserve">MSAC </w:t>
      </w:r>
      <w:r w:rsidR="00D551C7">
        <w:t xml:space="preserve">considered </w:t>
      </w:r>
      <w:r>
        <w:t>whether</w:t>
      </w:r>
      <w:r w:rsidRPr="00E97EC8">
        <w:t xml:space="preserve"> </w:t>
      </w:r>
      <w:r w:rsidRPr="001B53E4">
        <w:rPr>
          <w:i/>
          <w:iCs/>
        </w:rPr>
        <w:t>BRAF</w:t>
      </w:r>
      <w:r w:rsidRPr="00E97EC8">
        <w:t xml:space="preserve"> testing</w:t>
      </w:r>
      <w:r>
        <w:t xml:space="preserve"> should</w:t>
      </w:r>
      <w:r w:rsidRPr="00E97EC8">
        <w:t xml:space="preserve"> be pathologist-determinable</w:t>
      </w:r>
      <w:r>
        <w:t>,</w:t>
      </w:r>
      <w:r w:rsidRPr="00E97EC8">
        <w:t xml:space="preserve"> if required</w:t>
      </w:r>
      <w:r>
        <w:t>,</w:t>
      </w:r>
      <w:r w:rsidRPr="00E97EC8">
        <w:t xml:space="preserve"> in the adjuvant setting</w:t>
      </w:r>
      <w:r>
        <w:t>.</w:t>
      </w:r>
      <w:r w:rsidRPr="00E97EC8">
        <w:t xml:space="preserve"> Currently</w:t>
      </w:r>
      <w:r>
        <w:t>,</w:t>
      </w:r>
      <w:r w:rsidRPr="00E97EC8">
        <w:t xml:space="preserve"> </w:t>
      </w:r>
      <w:r>
        <w:t xml:space="preserve">it is </w:t>
      </w:r>
      <w:r w:rsidRPr="00E97EC8">
        <w:t>an add-on request required from a clinician (creating additional delay)</w:t>
      </w:r>
      <w:r>
        <w:t>,</w:t>
      </w:r>
      <w:r w:rsidRPr="00E97EC8">
        <w:t xml:space="preserve"> whereas </w:t>
      </w:r>
      <w:r w:rsidRPr="001B53E4">
        <w:rPr>
          <w:i/>
          <w:iCs/>
        </w:rPr>
        <w:t>BRAF</w:t>
      </w:r>
      <w:r w:rsidRPr="00E97EC8">
        <w:t xml:space="preserve"> testing could be expedited following diagnosis of a nodal or </w:t>
      </w:r>
      <w:r w:rsidRPr="00E97EC8">
        <w:lastRenderedPageBreak/>
        <w:t>distant metastasis if it were pathologist-determinable</w:t>
      </w:r>
      <w:r>
        <w:t xml:space="preserve">. </w:t>
      </w:r>
      <w:r w:rsidR="00D75A24">
        <w:t xml:space="preserve">However, </w:t>
      </w:r>
      <w:r>
        <w:t xml:space="preserve">MSAC noted that this could be too complicated in practice, </w:t>
      </w:r>
      <w:r w:rsidR="00D75A24">
        <w:t xml:space="preserve">and </w:t>
      </w:r>
      <w:r>
        <w:t xml:space="preserve">so did not support </w:t>
      </w:r>
      <w:r w:rsidR="00D75A24">
        <w:t xml:space="preserve">this </w:t>
      </w:r>
      <w:r>
        <w:t>testing be</w:t>
      </w:r>
      <w:r w:rsidR="00D75A24">
        <w:t>com</w:t>
      </w:r>
      <w:r>
        <w:t>ing pathologist-determinable.</w:t>
      </w:r>
    </w:p>
    <w:p w14:paraId="080FEB3F" w14:textId="77777777" w:rsidR="00CD2C2C" w:rsidRDefault="00CD2C2C" w:rsidP="00CD2C2C">
      <w:r>
        <w:t xml:space="preserve">MSAC noted that this is the first adjuvant application for this type of combination therapy and that other </w:t>
      </w:r>
      <w:r w:rsidRPr="00576856">
        <w:t xml:space="preserve">currently listed or future </w:t>
      </w:r>
      <w:r w:rsidRPr="001B53E4">
        <w:rPr>
          <w:i/>
          <w:iCs/>
        </w:rPr>
        <w:t>BRAF</w:t>
      </w:r>
      <w:r w:rsidRPr="00576856">
        <w:t xml:space="preserve"> inhibitor combinations would require additional successful PBAC application to extend coverage to adjuvant </w:t>
      </w:r>
      <w:r>
        <w:t>therapy</w:t>
      </w:r>
      <w:r w:rsidRPr="00576856">
        <w:t xml:space="preserve"> in resected Stage III melanoma</w:t>
      </w:r>
      <w:r>
        <w:t>.</w:t>
      </w:r>
    </w:p>
    <w:p w14:paraId="03CDD7E7" w14:textId="77777777" w:rsidR="00BC1364" w:rsidRPr="00F715D1" w:rsidRDefault="00BC1364" w:rsidP="00F715D1">
      <w:pPr>
        <w:pStyle w:val="Heading1"/>
      </w:pPr>
      <w:r w:rsidRPr="00F715D1">
        <w:t>Background</w:t>
      </w:r>
    </w:p>
    <w:p w14:paraId="0AE074A4" w14:textId="68106DE9" w:rsidR="00CF0DF7" w:rsidRPr="00193A1E" w:rsidRDefault="00CF0DF7" w:rsidP="00CF0DF7">
      <w:r>
        <w:t xml:space="preserve">The </w:t>
      </w:r>
      <w:r w:rsidR="006B73D6">
        <w:t xml:space="preserve">other part of the streamlined codependent submission was lodged </w:t>
      </w:r>
      <w:r>
        <w:t>in November 201</w:t>
      </w:r>
      <w:r w:rsidR="00831F89">
        <w:t>8</w:t>
      </w:r>
      <w:r w:rsidR="006B73D6">
        <w:t xml:space="preserve"> to extend the </w:t>
      </w:r>
      <w:r w:rsidRPr="00193A1E">
        <w:t xml:space="preserve">listing of dabrafenib in combination with trametinib (dabrafenib+trametinib) on the Pharmaceutical Benefits Scheme (PBS), </w:t>
      </w:r>
      <w:r w:rsidR="006B73D6">
        <w:t xml:space="preserve">to be used </w:t>
      </w:r>
      <w:r w:rsidRPr="00193A1E">
        <w:t xml:space="preserve">as an adjuvant therapy for patients with </w:t>
      </w:r>
      <w:r w:rsidRPr="00CF0DF7">
        <w:rPr>
          <w:i/>
        </w:rPr>
        <w:t>BRAF</w:t>
      </w:r>
      <w:r w:rsidRPr="00193A1E">
        <w:t xml:space="preserve"> V600 mutation positive</w:t>
      </w:r>
      <w:r w:rsidR="006B73D6">
        <w:t>, completely</w:t>
      </w:r>
      <w:r w:rsidRPr="00193A1E">
        <w:t xml:space="preserve"> resected Stage III melanoma</w:t>
      </w:r>
      <w:r w:rsidR="006B73D6">
        <w:t>. This submission</w:t>
      </w:r>
      <w:r>
        <w:t xml:space="preserve"> was deferred at </w:t>
      </w:r>
      <w:r w:rsidRPr="00193A1E">
        <w:t xml:space="preserve">the March 2019 PBAC </w:t>
      </w:r>
      <w:r w:rsidR="00831F89" w:rsidRPr="00193A1E">
        <w:t>m</w:t>
      </w:r>
      <w:r w:rsidRPr="00193A1E">
        <w:t xml:space="preserve">eeting. </w:t>
      </w:r>
      <w:r>
        <w:t xml:space="preserve">Novartis subsequently </w:t>
      </w:r>
      <w:r w:rsidR="00831F89">
        <w:t xml:space="preserve">lodged </w:t>
      </w:r>
      <w:r>
        <w:t xml:space="preserve">a minor </w:t>
      </w:r>
      <w:r w:rsidR="00831F89">
        <w:t>re</w:t>
      </w:r>
      <w:r>
        <w:t xml:space="preserve">submission which </w:t>
      </w:r>
      <w:r w:rsidR="00831F89">
        <w:t>was</w:t>
      </w:r>
      <w:r>
        <w:t xml:space="preserve"> considered at the July 2019 PBAC </w:t>
      </w:r>
      <w:r w:rsidR="00831F89">
        <w:t>meeting.</w:t>
      </w:r>
    </w:p>
    <w:p w14:paraId="5FE76223" w14:textId="77777777" w:rsidR="00BC1364" w:rsidRPr="00F715D1" w:rsidRDefault="00BC1364" w:rsidP="00F715D1">
      <w:pPr>
        <w:pStyle w:val="Heading1"/>
      </w:pPr>
      <w:r w:rsidRPr="00F715D1">
        <w:t>Prerequisites to implementation of any funding advice</w:t>
      </w:r>
    </w:p>
    <w:p w14:paraId="4AACB926" w14:textId="77777777" w:rsidR="00CF0DF7" w:rsidRDefault="00CF0DF7" w:rsidP="00CF0DF7">
      <w:r>
        <w:t xml:space="preserve">Confirmation of </w:t>
      </w:r>
      <w:r w:rsidRPr="005E7E55">
        <w:rPr>
          <w:i/>
        </w:rPr>
        <w:t>BRAF</w:t>
      </w:r>
      <w:r>
        <w:t xml:space="preserve"> V600 mutation using an approved/validated test is required for selection of patients appropriate for dabrafenib+trametinib, as per the approved TGA indications:</w:t>
      </w:r>
    </w:p>
    <w:p w14:paraId="5F47B7E0" w14:textId="77777777" w:rsidR="00CF0DF7" w:rsidRDefault="00831F89" w:rsidP="00CF0DF7">
      <w:pPr>
        <w:pStyle w:val="ListParagraph"/>
        <w:numPr>
          <w:ilvl w:val="0"/>
          <w:numId w:val="26"/>
        </w:numPr>
      </w:pPr>
      <w:r>
        <w:t>t</w:t>
      </w:r>
      <w:r w:rsidR="00CF0DF7">
        <w:t xml:space="preserve">he treatment of patients with </w:t>
      </w:r>
      <w:r w:rsidR="00CF0DF7" w:rsidRPr="005E7E55">
        <w:rPr>
          <w:i/>
        </w:rPr>
        <w:t>BRAF</w:t>
      </w:r>
      <w:r w:rsidR="00CF0DF7">
        <w:t xml:space="preserve"> V600 mutation positive unresectable Stage III or metastatic (Stage IV) melanoma; and</w:t>
      </w:r>
    </w:p>
    <w:p w14:paraId="5D65FABE" w14:textId="77777777" w:rsidR="00BC1364" w:rsidRPr="0041184F" w:rsidRDefault="00831F89" w:rsidP="00CF0DF7">
      <w:pPr>
        <w:pStyle w:val="ListParagraph"/>
        <w:numPr>
          <w:ilvl w:val="0"/>
          <w:numId w:val="26"/>
        </w:numPr>
      </w:pPr>
      <w:r>
        <w:t>a</w:t>
      </w:r>
      <w:r w:rsidR="00CF0DF7">
        <w:t xml:space="preserve">djuvant treatment of patients with a </w:t>
      </w:r>
      <w:r w:rsidR="00CF0DF7" w:rsidRPr="005E7E55">
        <w:rPr>
          <w:i/>
        </w:rPr>
        <w:t>BRAF</w:t>
      </w:r>
      <w:r w:rsidR="00CF0DF7">
        <w:t xml:space="preserve"> mutation and involvement of the lymph node(s), following complete resection.</w:t>
      </w:r>
    </w:p>
    <w:p w14:paraId="2C513A38" w14:textId="77777777" w:rsidR="00BC1364" w:rsidRPr="00F715D1" w:rsidRDefault="00BC1364" w:rsidP="00F715D1">
      <w:pPr>
        <w:pStyle w:val="Heading1"/>
      </w:pPr>
      <w:r w:rsidRPr="00F715D1">
        <w:t>Proposal for public funding</w:t>
      </w:r>
    </w:p>
    <w:p w14:paraId="20088A3C" w14:textId="5BFFD80F" w:rsidR="0008419B" w:rsidRDefault="00CF0DF7" w:rsidP="00914B9C">
      <w:pPr>
        <w:spacing w:after="240"/>
      </w:pPr>
      <w:r>
        <w:t xml:space="preserve">The application </w:t>
      </w:r>
      <w:r w:rsidRPr="00CF0DF7">
        <w:t>propose</w:t>
      </w:r>
      <w:r w:rsidR="00CF091F">
        <w:t>d that</w:t>
      </w:r>
      <w:r w:rsidRPr="00CF0DF7">
        <w:t xml:space="preserve"> the term ‘unresectable’ </w:t>
      </w:r>
      <w:r w:rsidR="00CF091F">
        <w:t>be</w:t>
      </w:r>
      <w:r w:rsidRPr="00CF0DF7">
        <w:t xml:space="preserve"> removed from the current item descriptor, to expand access to include</w:t>
      </w:r>
      <w:r>
        <w:t xml:space="preserve"> patients with Stage III resected melanoma:</w:t>
      </w:r>
    </w:p>
    <w:p w14:paraId="02ABE5B6" w14:textId="482BFC81" w:rsidR="00CF0DF7" w:rsidRPr="009C21D8" w:rsidRDefault="0008419B" w:rsidP="009C21D8">
      <w:pPr>
        <w:rPr>
          <w:rFonts w:ascii="Arial Narrow" w:hAnsi="Arial Narrow"/>
          <w:b/>
          <w:sz w:val="20"/>
        </w:rPr>
      </w:pPr>
      <w:bookmarkStart w:id="1" w:name="_Ref4752188"/>
      <w:bookmarkStart w:id="2" w:name="_Toc4752147"/>
      <w:bookmarkStart w:id="3" w:name="_Toc5279009"/>
      <w:bookmarkStart w:id="4" w:name="_Toc5361469"/>
      <w:r w:rsidRPr="009C21D8">
        <w:rPr>
          <w:rFonts w:ascii="Arial Narrow" w:hAnsi="Arial Narrow"/>
          <w:b/>
          <w:sz w:val="20"/>
        </w:rPr>
        <w:t>Table</w:t>
      </w:r>
      <w:bookmarkEnd w:id="1"/>
      <w:r w:rsidRPr="009C21D8">
        <w:rPr>
          <w:rFonts w:ascii="Arial Narrow" w:hAnsi="Arial Narrow"/>
          <w:b/>
          <w:sz w:val="20"/>
        </w:rPr>
        <w:t xml:space="preserve"> 1</w:t>
      </w:r>
      <w:r w:rsidR="00831F89" w:rsidRPr="009C21D8">
        <w:rPr>
          <w:rFonts w:ascii="Arial Narrow" w:hAnsi="Arial Narrow"/>
          <w:b/>
          <w:sz w:val="20"/>
        </w:rPr>
        <w:t xml:space="preserve"> </w:t>
      </w:r>
      <w:r w:rsidRPr="009C21D8">
        <w:rPr>
          <w:rFonts w:ascii="Arial Narrow" w:hAnsi="Arial Narrow"/>
          <w:b/>
          <w:sz w:val="20"/>
        </w:rPr>
        <w:t xml:space="preserve">Proposed </w:t>
      </w:r>
      <w:bookmarkEnd w:id="2"/>
      <w:bookmarkEnd w:id="3"/>
      <w:bookmarkEnd w:id="4"/>
      <w:r w:rsidRPr="009C21D8">
        <w:rPr>
          <w:rFonts w:ascii="Arial Narrow" w:hAnsi="Arial Narrow"/>
          <w:b/>
          <w:sz w:val="20"/>
        </w:rPr>
        <w:t>amendment to MBS item 73336</w:t>
      </w:r>
    </w:p>
    <w:tbl>
      <w:tblPr>
        <w:tblStyle w:val="TableGrid"/>
        <w:tblW w:w="0" w:type="auto"/>
        <w:tblLook w:val="04A0" w:firstRow="1" w:lastRow="0" w:firstColumn="1" w:lastColumn="0" w:noHBand="0" w:noVBand="1"/>
        <w:tblCaption w:val="Proposed amendment to MBS item 73343"/>
        <w:tblDescription w:val="Proposed MBS item descriptor"/>
      </w:tblPr>
      <w:tblGrid>
        <w:gridCol w:w="9016"/>
      </w:tblGrid>
      <w:tr w:rsidR="0008419B" w:rsidRPr="005909BE" w14:paraId="409BDDF1" w14:textId="77777777" w:rsidTr="009C21D8">
        <w:trPr>
          <w:tblHeader/>
        </w:trPr>
        <w:tc>
          <w:tcPr>
            <w:tcW w:w="9350" w:type="dxa"/>
          </w:tcPr>
          <w:p w14:paraId="1798164A" w14:textId="77777777" w:rsidR="0008419B" w:rsidRPr="005909BE" w:rsidRDefault="0008419B" w:rsidP="006F0C7D">
            <w:pPr>
              <w:keepNext/>
              <w:spacing w:before="40" w:after="40"/>
              <w:rPr>
                <w:rFonts w:ascii="Arial Narrow" w:eastAsia="Calibri" w:hAnsi="Arial Narrow" w:cs="Arial"/>
                <w:b/>
                <w:sz w:val="20"/>
              </w:rPr>
            </w:pPr>
            <w:r w:rsidRPr="005909BE">
              <w:rPr>
                <w:rFonts w:ascii="Arial Narrow" w:eastAsia="Calibri" w:hAnsi="Arial Narrow" w:cs="Arial"/>
                <w:b/>
                <w:sz w:val="20"/>
              </w:rPr>
              <w:t>Category 6 – PATHOLOGY SERVICES</w:t>
            </w:r>
          </w:p>
        </w:tc>
      </w:tr>
      <w:tr w:rsidR="0008419B" w:rsidRPr="005909BE" w14:paraId="05306D63" w14:textId="77777777" w:rsidTr="009C21D8">
        <w:tc>
          <w:tcPr>
            <w:tcW w:w="9350" w:type="dxa"/>
          </w:tcPr>
          <w:p w14:paraId="6E5E61EA" w14:textId="5F19EFAB" w:rsidR="0008419B" w:rsidRPr="0008419B" w:rsidRDefault="00CF091F" w:rsidP="00914B9C">
            <w:pPr>
              <w:keepNext/>
              <w:spacing w:before="40" w:after="240"/>
              <w:rPr>
                <w:rFonts w:ascii="Arial Narrow" w:eastAsia="Calibri" w:hAnsi="Arial Narrow" w:cs="Arial"/>
                <w:sz w:val="20"/>
              </w:rPr>
            </w:pPr>
            <w:r>
              <w:rPr>
                <w:rFonts w:ascii="Arial Narrow" w:eastAsia="Calibri" w:hAnsi="Arial Narrow" w:cs="Arial"/>
                <w:sz w:val="20"/>
              </w:rPr>
              <w:t>Proposed item descriptor:</w:t>
            </w:r>
          </w:p>
          <w:p w14:paraId="35DF3C3A" w14:textId="77777777" w:rsidR="0008419B" w:rsidRPr="0008419B" w:rsidRDefault="0008419B" w:rsidP="0008419B">
            <w:pPr>
              <w:keepNext/>
              <w:spacing w:before="40" w:after="40"/>
              <w:rPr>
                <w:rFonts w:ascii="Arial Narrow" w:eastAsia="Calibri" w:hAnsi="Arial Narrow" w:cs="Arial"/>
                <w:sz w:val="20"/>
              </w:rPr>
            </w:pPr>
            <w:r w:rsidRPr="0008419B">
              <w:rPr>
                <w:rFonts w:ascii="Arial Narrow" w:eastAsia="Calibri" w:hAnsi="Arial Narrow" w:cs="Arial"/>
                <w:sz w:val="20"/>
              </w:rPr>
              <w:t xml:space="preserve">A test of tumour tissue from a patient with </w:t>
            </w:r>
            <w:r w:rsidRPr="0008419B">
              <w:rPr>
                <w:rFonts w:ascii="Arial Narrow" w:eastAsia="Calibri" w:hAnsi="Arial Narrow" w:cs="Arial"/>
                <w:strike/>
                <w:sz w:val="20"/>
              </w:rPr>
              <w:t>unresectable</w:t>
            </w:r>
            <w:r w:rsidRPr="0008419B">
              <w:rPr>
                <w:rFonts w:ascii="Arial Narrow" w:eastAsia="Calibri" w:hAnsi="Arial Narrow" w:cs="Arial"/>
                <w:sz w:val="20"/>
              </w:rPr>
              <w:t xml:space="preserve"> Stage III or Stage IV metastatic cutaneous melanoma, requested by, or on behalf of, a specialist or consultant physician, to determine if the requirements relating to BRAF V600 mutation status for access to dabrafenib or vemurafenib under the Pharmaceutical Benefits Scheme are fulfilled.</w:t>
            </w:r>
          </w:p>
          <w:p w14:paraId="50165E67" w14:textId="77777777" w:rsidR="0008419B" w:rsidRPr="005909BE" w:rsidRDefault="0008419B" w:rsidP="006F0C7D">
            <w:pPr>
              <w:keepNext/>
              <w:spacing w:before="40" w:after="40"/>
              <w:rPr>
                <w:rFonts w:ascii="Arial Narrow" w:eastAsia="Calibri" w:hAnsi="Arial Narrow" w:cs="Arial"/>
                <w:sz w:val="20"/>
              </w:rPr>
            </w:pPr>
            <w:r w:rsidRPr="0008419B">
              <w:rPr>
                <w:rFonts w:ascii="Arial Narrow" w:eastAsia="Calibri" w:hAnsi="Arial Narrow" w:cs="Arial"/>
                <w:sz w:val="20"/>
              </w:rPr>
              <w:t>Fee: $230.95</w:t>
            </w:r>
          </w:p>
        </w:tc>
      </w:tr>
    </w:tbl>
    <w:p w14:paraId="2DE12BE2" w14:textId="77777777" w:rsidR="00BC1364" w:rsidRPr="00F715D1" w:rsidRDefault="00BC1364" w:rsidP="00F715D1">
      <w:pPr>
        <w:pStyle w:val="Heading1"/>
      </w:pPr>
      <w:r w:rsidRPr="00F715D1">
        <w:t>Proposed intervention’s place in clinical management</w:t>
      </w:r>
    </w:p>
    <w:p w14:paraId="325D4A6E" w14:textId="3B101838" w:rsidR="00BC1364" w:rsidRPr="00F72715" w:rsidRDefault="0008419B" w:rsidP="0008419B">
      <w:r>
        <w:t xml:space="preserve">Inclusion of patients with Stage III </w:t>
      </w:r>
      <w:r w:rsidRPr="0008419B">
        <w:t xml:space="preserve">resected melanoma </w:t>
      </w:r>
      <w:r>
        <w:t xml:space="preserve">to the MBS item descriptor </w:t>
      </w:r>
      <w:r w:rsidR="00CF091F">
        <w:t>was</w:t>
      </w:r>
      <w:r>
        <w:t xml:space="preserve"> expected to extend </w:t>
      </w:r>
      <w:r w:rsidRPr="0008419B">
        <w:t>access to adjuvant dabrafenib+trametinib on the PBS</w:t>
      </w:r>
      <w:r w:rsidR="005E7E55">
        <w:t xml:space="preserve">, which the </w:t>
      </w:r>
      <w:r w:rsidR="00831F89">
        <w:t>application</w:t>
      </w:r>
      <w:r w:rsidR="005E7E55">
        <w:t xml:space="preserve"> claimed</w:t>
      </w:r>
      <w:r w:rsidRPr="0008419B">
        <w:t xml:space="preserve"> w</w:t>
      </w:r>
      <w:r w:rsidR="00CF091F">
        <w:t>ould</w:t>
      </w:r>
      <w:r w:rsidRPr="0008419B">
        <w:t xml:space="preserve"> significantly reduce the risk of disease recurrence in patients with Stage III </w:t>
      </w:r>
      <w:r w:rsidRPr="005E7E55">
        <w:rPr>
          <w:i/>
        </w:rPr>
        <w:t>BRAF</w:t>
      </w:r>
      <w:r w:rsidRPr="0008419B">
        <w:t xml:space="preserve"> positive melanoma, leading to improved overall survival and quality of life</w:t>
      </w:r>
      <w:r w:rsidR="005E7E55">
        <w:t>.</w:t>
      </w:r>
    </w:p>
    <w:p w14:paraId="3FFD22D2" w14:textId="77777777" w:rsidR="00BC1364" w:rsidRPr="00F715D1" w:rsidRDefault="00BC1364" w:rsidP="00F715D1">
      <w:pPr>
        <w:pStyle w:val="Heading1"/>
      </w:pPr>
      <w:r w:rsidRPr="00F715D1">
        <w:t>Financial/budgetary impacts</w:t>
      </w:r>
    </w:p>
    <w:p w14:paraId="6D2DA95A" w14:textId="77777777" w:rsidR="005E7E55" w:rsidRDefault="005E7E55" w:rsidP="005E7E55">
      <w:r w:rsidRPr="005E7E55">
        <w:t>An epidemiological approach was used to estimate the number of additional patients el</w:t>
      </w:r>
      <w:r>
        <w:t xml:space="preserve">igible for </w:t>
      </w:r>
      <w:r w:rsidRPr="008D7E53">
        <w:rPr>
          <w:i/>
        </w:rPr>
        <w:t>BRAF</w:t>
      </w:r>
      <w:r>
        <w:t xml:space="preserve"> mutation testing on the MBS (Table 2).</w:t>
      </w:r>
    </w:p>
    <w:p w14:paraId="6836C1E7" w14:textId="53A7F01F" w:rsidR="005E7E55" w:rsidRPr="005E7E55" w:rsidRDefault="005E7E55" w:rsidP="00914B9C">
      <w:pPr>
        <w:keepNext/>
        <w:keepLines/>
        <w:spacing w:before="240"/>
        <w:rPr>
          <w:rFonts w:ascii="Arial Narrow" w:hAnsi="Arial Narrow" w:cs="Calibri"/>
          <w:b/>
          <w:sz w:val="20"/>
        </w:rPr>
      </w:pPr>
      <w:r>
        <w:rPr>
          <w:rFonts w:ascii="Arial Narrow" w:hAnsi="Arial Narrow" w:cs="Calibri"/>
          <w:b/>
          <w:sz w:val="20"/>
        </w:rPr>
        <w:lastRenderedPageBreak/>
        <w:t>Table 2</w:t>
      </w:r>
      <w:r w:rsidRPr="005E7E55">
        <w:rPr>
          <w:rFonts w:ascii="Arial Narrow" w:hAnsi="Arial Narrow" w:cs="Calibri"/>
          <w:b/>
          <w:sz w:val="20"/>
        </w:rPr>
        <w:t xml:space="preserve"> Estimated number of additional patients eligible for BRAF mutation testing</w:t>
      </w:r>
    </w:p>
    <w:tbl>
      <w:tblPr>
        <w:tblStyle w:val="TableGrid"/>
        <w:tblW w:w="9323" w:type="dxa"/>
        <w:tblInd w:w="-5" w:type="dxa"/>
        <w:tblLayout w:type="fixed"/>
        <w:tblLook w:val="04A0" w:firstRow="1" w:lastRow="0" w:firstColumn="1" w:lastColumn="0" w:noHBand="0" w:noVBand="1"/>
        <w:tblCaption w:val="Estimated number of additional patients eligible for BRAF mutation testing"/>
        <w:tblDescription w:val="Applicant's estimates for patient numbers for BRAF testing"/>
      </w:tblPr>
      <w:tblGrid>
        <w:gridCol w:w="1247"/>
        <w:gridCol w:w="2127"/>
        <w:gridCol w:w="992"/>
        <w:gridCol w:w="915"/>
        <w:gridCol w:w="1011"/>
        <w:gridCol w:w="1010"/>
        <w:gridCol w:w="1010"/>
        <w:gridCol w:w="1011"/>
      </w:tblGrid>
      <w:tr w:rsidR="005E7E55" w:rsidRPr="005E7E55" w14:paraId="5CE6A299" w14:textId="77777777" w:rsidTr="00831F89">
        <w:trPr>
          <w:trHeight w:val="291"/>
          <w:tblHeader/>
        </w:trPr>
        <w:tc>
          <w:tcPr>
            <w:tcW w:w="1247" w:type="dxa"/>
          </w:tcPr>
          <w:p w14:paraId="17B9A89E" w14:textId="77777777" w:rsidR="005E7E55" w:rsidRPr="005E7E55" w:rsidRDefault="005E7E55" w:rsidP="00914B9C">
            <w:pPr>
              <w:keepNext/>
              <w:keepLines/>
              <w:spacing w:before="40" w:after="40"/>
              <w:rPr>
                <w:rFonts w:ascii="Arial Narrow" w:hAnsi="Arial Narrow"/>
                <w:sz w:val="20"/>
              </w:rPr>
            </w:pPr>
          </w:p>
        </w:tc>
        <w:tc>
          <w:tcPr>
            <w:tcW w:w="2127" w:type="dxa"/>
          </w:tcPr>
          <w:p w14:paraId="488665E0" w14:textId="77777777" w:rsidR="005E7E55" w:rsidRPr="005E7E55" w:rsidRDefault="005E7E55" w:rsidP="00914B9C">
            <w:pPr>
              <w:keepNext/>
              <w:keepLines/>
              <w:spacing w:before="40" w:after="40"/>
              <w:rPr>
                <w:rFonts w:ascii="Arial Narrow" w:hAnsi="Arial Narrow"/>
                <w:sz w:val="20"/>
              </w:rPr>
            </w:pPr>
          </w:p>
        </w:tc>
        <w:tc>
          <w:tcPr>
            <w:tcW w:w="992" w:type="dxa"/>
          </w:tcPr>
          <w:p w14:paraId="66FF3038" w14:textId="77777777" w:rsidR="005E7E55" w:rsidRPr="005E7E55" w:rsidRDefault="005E7E55" w:rsidP="00914B9C">
            <w:pPr>
              <w:keepNext/>
              <w:keepLines/>
              <w:spacing w:before="40" w:after="40"/>
              <w:jc w:val="center"/>
              <w:rPr>
                <w:rFonts w:ascii="Arial Narrow" w:hAnsi="Arial Narrow"/>
                <w:b/>
                <w:sz w:val="20"/>
              </w:rPr>
            </w:pPr>
            <w:r w:rsidRPr="005E7E55">
              <w:rPr>
                <w:rFonts w:ascii="Arial Narrow" w:hAnsi="Arial Narrow"/>
                <w:b/>
                <w:sz w:val="20"/>
              </w:rPr>
              <w:t>2019</w:t>
            </w:r>
          </w:p>
        </w:tc>
        <w:tc>
          <w:tcPr>
            <w:tcW w:w="915" w:type="dxa"/>
          </w:tcPr>
          <w:p w14:paraId="66E9B91F" w14:textId="77777777" w:rsidR="005E7E55" w:rsidRPr="005E7E55" w:rsidRDefault="005E7E55" w:rsidP="00914B9C">
            <w:pPr>
              <w:keepNext/>
              <w:keepLines/>
              <w:spacing w:before="40" w:after="40"/>
              <w:jc w:val="center"/>
              <w:rPr>
                <w:rFonts w:ascii="Arial Narrow" w:hAnsi="Arial Narrow"/>
                <w:b/>
                <w:sz w:val="20"/>
              </w:rPr>
            </w:pPr>
            <w:r w:rsidRPr="005E7E55">
              <w:rPr>
                <w:rFonts w:ascii="Arial Narrow" w:hAnsi="Arial Narrow"/>
                <w:b/>
                <w:sz w:val="20"/>
              </w:rPr>
              <w:t>2020</w:t>
            </w:r>
          </w:p>
        </w:tc>
        <w:tc>
          <w:tcPr>
            <w:tcW w:w="1011" w:type="dxa"/>
          </w:tcPr>
          <w:p w14:paraId="2F6FBFDE" w14:textId="77777777" w:rsidR="005E7E55" w:rsidRPr="005E7E55" w:rsidRDefault="005E7E55" w:rsidP="00914B9C">
            <w:pPr>
              <w:keepNext/>
              <w:keepLines/>
              <w:spacing w:before="40" w:after="40"/>
              <w:jc w:val="center"/>
              <w:rPr>
                <w:rFonts w:ascii="Arial Narrow" w:hAnsi="Arial Narrow"/>
                <w:b/>
                <w:sz w:val="20"/>
              </w:rPr>
            </w:pPr>
            <w:r w:rsidRPr="005E7E55">
              <w:rPr>
                <w:rFonts w:ascii="Arial Narrow" w:hAnsi="Arial Narrow"/>
                <w:b/>
                <w:sz w:val="20"/>
              </w:rPr>
              <w:t>2021</w:t>
            </w:r>
          </w:p>
        </w:tc>
        <w:tc>
          <w:tcPr>
            <w:tcW w:w="1010" w:type="dxa"/>
          </w:tcPr>
          <w:p w14:paraId="6D2066D0" w14:textId="77777777" w:rsidR="005E7E55" w:rsidRPr="005E7E55" w:rsidRDefault="005E7E55" w:rsidP="00914B9C">
            <w:pPr>
              <w:keepNext/>
              <w:keepLines/>
              <w:spacing w:before="40" w:after="40"/>
              <w:jc w:val="center"/>
              <w:rPr>
                <w:rFonts w:ascii="Arial Narrow" w:hAnsi="Arial Narrow"/>
                <w:b/>
                <w:sz w:val="20"/>
              </w:rPr>
            </w:pPr>
            <w:r w:rsidRPr="005E7E55">
              <w:rPr>
                <w:rFonts w:ascii="Arial Narrow" w:hAnsi="Arial Narrow"/>
                <w:b/>
                <w:sz w:val="20"/>
              </w:rPr>
              <w:t>2022</w:t>
            </w:r>
          </w:p>
        </w:tc>
        <w:tc>
          <w:tcPr>
            <w:tcW w:w="1010" w:type="dxa"/>
          </w:tcPr>
          <w:p w14:paraId="0F151820" w14:textId="77777777" w:rsidR="005E7E55" w:rsidRPr="005E7E55" w:rsidRDefault="005E7E55" w:rsidP="00914B9C">
            <w:pPr>
              <w:keepNext/>
              <w:keepLines/>
              <w:spacing w:before="40" w:after="40"/>
              <w:jc w:val="center"/>
              <w:rPr>
                <w:rFonts w:ascii="Arial Narrow" w:hAnsi="Arial Narrow"/>
                <w:b/>
                <w:sz w:val="20"/>
              </w:rPr>
            </w:pPr>
            <w:r w:rsidRPr="005E7E55">
              <w:rPr>
                <w:rFonts w:ascii="Arial Narrow" w:hAnsi="Arial Narrow"/>
                <w:b/>
                <w:sz w:val="20"/>
              </w:rPr>
              <w:t>2023</w:t>
            </w:r>
          </w:p>
        </w:tc>
        <w:tc>
          <w:tcPr>
            <w:tcW w:w="1011" w:type="dxa"/>
          </w:tcPr>
          <w:p w14:paraId="374B4018" w14:textId="77777777" w:rsidR="005E7E55" w:rsidRPr="005E7E55" w:rsidRDefault="005E7E55" w:rsidP="00914B9C">
            <w:pPr>
              <w:keepNext/>
              <w:keepLines/>
              <w:spacing w:before="40" w:after="40"/>
              <w:jc w:val="center"/>
              <w:rPr>
                <w:rFonts w:ascii="Arial Narrow" w:hAnsi="Arial Narrow"/>
                <w:b/>
                <w:sz w:val="20"/>
              </w:rPr>
            </w:pPr>
            <w:r w:rsidRPr="005E7E55">
              <w:rPr>
                <w:rFonts w:ascii="Arial Narrow" w:hAnsi="Arial Narrow"/>
                <w:b/>
                <w:sz w:val="20"/>
              </w:rPr>
              <w:t>2024</w:t>
            </w:r>
          </w:p>
        </w:tc>
      </w:tr>
      <w:tr w:rsidR="005E7E55" w:rsidRPr="005E7E55" w14:paraId="1D4F2B1C" w14:textId="77777777" w:rsidTr="00831F89">
        <w:tc>
          <w:tcPr>
            <w:tcW w:w="1247" w:type="dxa"/>
          </w:tcPr>
          <w:p w14:paraId="16F8A52C" w14:textId="77777777" w:rsidR="005E7E55" w:rsidRPr="005E7E55" w:rsidRDefault="005E7E55" w:rsidP="00914B9C">
            <w:pPr>
              <w:keepNext/>
              <w:keepLines/>
              <w:spacing w:before="40" w:after="40"/>
              <w:rPr>
                <w:rFonts w:ascii="Arial Narrow" w:hAnsi="Arial Narrow"/>
                <w:sz w:val="20"/>
              </w:rPr>
            </w:pPr>
            <w:r w:rsidRPr="005E7E55">
              <w:rPr>
                <w:rFonts w:ascii="Arial Narrow" w:hAnsi="Arial Narrow"/>
                <w:sz w:val="20"/>
              </w:rPr>
              <w:t>A</w:t>
            </w:r>
          </w:p>
        </w:tc>
        <w:tc>
          <w:tcPr>
            <w:tcW w:w="2127" w:type="dxa"/>
          </w:tcPr>
          <w:p w14:paraId="5BE53770" w14:textId="77777777" w:rsidR="005E7E55" w:rsidRPr="005E7E55" w:rsidRDefault="005E7E55" w:rsidP="00914B9C">
            <w:pPr>
              <w:keepNext/>
              <w:keepLines/>
              <w:spacing w:before="40" w:after="40"/>
              <w:rPr>
                <w:rFonts w:ascii="Arial Narrow" w:hAnsi="Arial Narrow"/>
                <w:sz w:val="20"/>
              </w:rPr>
            </w:pPr>
            <w:r w:rsidRPr="005E7E55">
              <w:rPr>
                <w:rFonts w:ascii="Arial Narrow" w:hAnsi="Arial Narrow"/>
                <w:sz w:val="20"/>
              </w:rPr>
              <w:t>Total stage III</w:t>
            </w:r>
          </w:p>
        </w:tc>
        <w:tc>
          <w:tcPr>
            <w:tcW w:w="992" w:type="dxa"/>
            <w:vAlign w:val="center"/>
          </w:tcPr>
          <w:p w14:paraId="038CB535" w14:textId="390B5474" w:rsidR="005E7E55" w:rsidRPr="005E7E55" w:rsidRDefault="00C4439B" w:rsidP="00914B9C">
            <w:pPr>
              <w:keepNext/>
              <w:keepLines/>
              <w:spacing w:before="40" w:after="40"/>
              <w:jc w:val="center"/>
              <w:rPr>
                <w:rFonts w:ascii="Arial Narrow" w:hAnsi="Arial Narrow"/>
                <w:sz w:val="20"/>
              </w:rPr>
            </w:pPr>
            <w:r>
              <w:rPr>
                <w:rFonts w:ascii="Arial Narrow" w:hAnsi="Arial Narrow"/>
                <w:sz w:val="20"/>
              </w:rPr>
              <w:t>redacted</w:t>
            </w:r>
          </w:p>
        </w:tc>
        <w:tc>
          <w:tcPr>
            <w:tcW w:w="915" w:type="dxa"/>
            <w:vAlign w:val="center"/>
          </w:tcPr>
          <w:p w14:paraId="48106CD9" w14:textId="07C7A579" w:rsidR="005E7E55" w:rsidRPr="005E7E55" w:rsidRDefault="00C4439B" w:rsidP="00914B9C">
            <w:pPr>
              <w:keepNext/>
              <w:keepLines/>
              <w:spacing w:before="40" w:after="40"/>
              <w:jc w:val="center"/>
              <w:rPr>
                <w:rFonts w:ascii="Arial Narrow" w:hAnsi="Arial Narrow"/>
                <w:sz w:val="20"/>
              </w:rPr>
            </w:pPr>
            <w:r>
              <w:rPr>
                <w:rFonts w:ascii="Arial Narrow" w:hAnsi="Arial Narrow"/>
                <w:sz w:val="20"/>
              </w:rPr>
              <w:t>redacted</w:t>
            </w:r>
          </w:p>
        </w:tc>
        <w:tc>
          <w:tcPr>
            <w:tcW w:w="1011" w:type="dxa"/>
            <w:vAlign w:val="center"/>
          </w:tcPr>
          <w:p w14:paraId="392C9C52" w14:textId="569881D8" w:rsidR="005E7E55" w:rsidRPr="005E7E55" w:rsidRDefault="00C4439B" w:rsidP="00914B9C">
            <w:pPr>
              <w:keepNext/>
              <w:keepLines/>
              <w:spacing w:before="40" w:after="40"/>
              <w:jc w:val="center"/>
              <w:rPr>
                <w:rFonts w:ascii="Arial Narrow" w:hAnsi="Arial Narrow"/>
                <w:sz w:val="20"/>
              </w:rPr>
            </w:pPr>
            <w:r>
              <w:rPr>
                <w:rFonts w:ascii="Arial Narrow" w:hAnsi="Arial Narrow"/>
                <w:sz w:val="20"/>
              </w:rPr>
              <w:t>redacted</w:t>
            </w:r>
          </w:p>
        </w:tc>
        <w:tc>
          <w:tcPr>
            <w:tcW w:w="1010" w:type="dxa"/>
            <w:vAlign w:val="center"/>
          </w:tcPr>
          <w:p w14:paraId="7F75C74F" w14:textId="525E847A" w:rsidR="005E7E55" w:rsidRPr="005E7E55" w:rsidRDefault="00C4439B" w:rsidP="00914B9C">
            <w:pPr>
              <w:keepNext/>
              <w:keepLines/>
              <w:spacing w:before="40" w:after="40"/>
              <w:jc w:val="center"/>
              <w:rPr>
                <w:rFonts w:ascii="Arial Narrow" w:hAnsi="Arial Narrow"/>
                <w:sz w:val="20"/>
              </w:rPr>
            </w:pPr>
            <w:r>
              <w:rPr>
                <w:rFonts w:ascii="Arial Narrow" w:hAnsi="Arial Narrow"/>
                <w:sz w:val="20"/>
              </w:rPr>
              <w:t>redacted</w:t>
            </w:r>
          </w:p>
        </w:tc>
        <w:tc>
          <w:tcPr>
            <w:tcW w:w="1010" w:type="dxa"/>
            <w:vAlign w:val="center"/>
          </w:tcPr>
          <w:p w14:paraId="646C1383" w14:textId="53CF452C" w:rsidR="005E7E55" w:rsidRPr="005E7E55" w:rsidRDefault="00C4439B" w:rsidP="00914B9C">
            <w:pPr>
              <w:keepNext/>
              <w:keepLines/>
              <w:spacing w:before="40" w:after="40"/>
              <w:jc w:val="center"/>
              <w:rPr>
                <w:rFonts w:ascii="Arial Narrow" w:hAnsi="Arial Narrow"/>
                <w:sz w:val="20"/>
              </w:rPr>
            </w:pPr>
            <w:r>
              <w:rPr>
                <w:rFonts w:ascii="Arial Narrow" w:hAnsi="Arial Narrow"/>
                <w:sz w:val="20"/>
              </w:rPr>
              <w:t>redacted</w:t>
            </w:r>
          </w:p>
        </w:tc>
        <w:tc>
          <w:tcPr>
            <w:tcW w:w="1011" w:type="dxa"/>
            <w:vAlign w:val="center"/>
          </w:tcPr>
          <w:p w14:paraId="2135857F" w14:textId="0B7D66A5" w:rsidR="005E7E55" w:rsidRPr="005E7E55" w:rsidRDefault="00C4439B" w:rsidP="00914B9C">
            <w:pPr>
              <w:keepNext/>
              <w:keepLines/>
              <w:spacing w:before="40" w:after="40"/>
              <w:jc w:val="center"/>
              <w:rPr>
                <w:rFonts w:ascii="Arial Narrow" w:hAnsi="Arial Narrow"/>
                <w:sz w:val="20"/>
              </w:rPr>
            </w:pPr>
            <w:r>
              <w:rPr>
                <w:rFonts w:ascii="Arial Narrow" w:hAnsi="Arial Narrow"/>
                <w:sz w:val="20"/>
              </w:rPr>
              <w:t>redacted</w:t>
            </w:r>
          </w:p>
        </w:tc>
      </w:tr>
      <w:tr w:rsidR="005E7E55" w:rsidRPr="005E7E55" w14:paraId="1D3ACADD" w14:textId="77777777" w:rsidTr="00831F89">
        <w:tc>
          <w:tcPr>
            <w:tcW w:w="1247" w:type="dxa"/>
          </w:tcPr>
          <w:p w14:paraId="0135A013" w14:textId="4DF1D168" w:rsidR="005E7E55" w:rsidRPr="005E7E55" w:rsidRDefault="005E7E55" w:rsidP="00EE797C">
            <w:pPr>
              <w:spacing w:before="40" w:after="40"/>
              <w:rPr>
                <w:rFonts w:ascii="Arial Narrow" w:hAnsi="Arial Narrow"/>
                <w:sz w:val="20"/>
              </w:rPr>
            </w:pPr>
            <w:r w:rsidRPr="005E7E55">
              <w:rPr>
                <w:rFonts w:ascii="Arial Narrow" w:hAnsi="Arial Narrow"/>
                <w:sz w:val="20"/>
              </w:rPr>
              <w:t>B = A*</w:t>
            </w:r>
            <w:r w:rsidR="00C4439B">
              <w:rPr>
                <w:rFonts w:ascii="Arial Narrow" w:hAnsi="Arial Narrow"/>
                <w:sz w:val="20"/>
              </w:rPr>
              <w:t xml:space="preserve"> redacted</w:t>
            </w:r>
            <w:r w:rsidR="00C4439B" w:rsidRPr="005E7E55" w:rsidDel="00C4439B">
              <w:rPr>
                <w:rFonts w:ascii="Arial Narrow" w:hAnsi="Arial Narrow"/>
                <w:sz w:val="20"/>
              </w:rPr>
              <w:t xml:space="preserve"> </w:t>
            </w:r>
            <w:r w:rsidRPr="005E7E55">
              <w:rPr>
                <w:rFonts w:ascii="Arial Narrow" w:hAnsi="Arial Narrow"/>
                <w:sz w:val="20"/>
              </w:rPr>
              <w:t>%</w:t>
            </w:r>
            <w:r w:rsidRPr="005E7E55">
              <w:rPr>
                <w:rFonts w:ascii="Arial Narrow" w:hAnsi="Arial Narrow"/>
                <w:sz w:val="20"/>
                <w:vertAlign w:val="superscript"/>
              </w:rPr>
              <w:t>1</w:t>
            </w:r>
          </w:p>
        </w:tc>
        <w:tc>
          <w:tcPr>
            <w:tcW w:w="2127" w:type="dxa"/>
          </w:tcPr>
          <w:p w14:paraId="014AB6A6" w14:textId="77777777" w:rsidR="005E7E55" w:rsidRPr="005E7E55" w:rsidRDefault="005E7E55" w:rsidP="00EE797C">
            <w:pPr>
              <w:spacing w:before="40" w:after="40"/>
              <w:rPr>
                <w:rFonts w:ascii="Arial Narrow" w:hAnsi="Arial Narrow"/>
                <w:sz w:val="20"/>
              </w:rPr>
            </w:pPr>
            <w:r w:rsidRPr="005E7E55">
              <w:rPr>
                <w:rFonts w:ascii="Arial Narrow" w:hAnsi="Arial Narrow"/>
                <w:sz w:val="20"/>
              </w:rPr>
              <w:t>Stage III resected</w:t>
            </w:r>
          </w:p>
        </w:tc>
        <w:tc>
          <w:tcPr>
            <w:tcW w:w="992" w:type="dxa"/>
            <w:vAlign w:val="center"/>
          </w:tcPr>
          <w:p w14:paraId="2A4DA532" w14:textId="1E6C110C" w:rsidR="005E7E55" w:rsidRPr="005E7E55" w:rsidRDefault="00C4439B" w:rsidP="00EE797C">
            <w:pPr>
              <w:spacing w:before="40" w:after="40"/>
              <w:jc w:val="center"/>
              <w:rPr>
                <w:rFonts w:ascii="Arial Narrow" w:hAnsi="Arial Narrow"/>
                <w:sz w:val="20"/>
              </w:rPr>
            </w:pPr>
            <w:r>
              <w:rPr>
                <w:rFonts w:ascii="Arial Narrow" w:hAnsi="Arial Narrow"/>
                <w:sz w:val="20"/>
              </w:rPr>
              <w:t>redacted</w:t>
            </w:r>
          </w:p>
        </w:tc>
        <w:tc>
          <w:tcPr>
            <w:tcW w:w="915" w:type="dxa"/>
            <w:vAlign w:val="center"/>
          </w:tcPr>
          <w:p w14:paraId="7FC7388D" w14:textId="0A286AE3" w:rsidR="005E7E55" w:rsidRPr="005E7E55" w:rsidRDefault="00C4439B" w:rsidP="00EE797C">
            <w:pPr>
              <w:spacing w:before="40" w:after="40"/>
              <w:jc w:val="center"/>
              <w:rPr>
                <w:rFonts w:ascii="Arial Narrow" w:hAnsi="Arial Narrow"/>
                <w:sz w:val="20"/>
              </w:rPr>
            </w:pPr>
            <w:r>
              <w:rPr>
                <w:rFonts w:ascii="Arial Narrow" w:hAnsi="Arial Narrow"/>
                <w:sz w:val="20"/>
              </w:rPr>
              <w:t>redacted</w:t>
            </w:r>
          </w:p>
        </w:tc>
        <w:tc>
          <w:tcPr>
            <w:tcW w:w="1011" w:type="dxa"/>
            <w:vAlign w:val="center"/>
          </w:tcPr>
          <w:p w14:paraId="18D1726C" w14:textId="621A7111" w:rsidR="005E7E55" w:rsidRPr="005E7E55" w:rsidRDefault="00C4439B" w:rsidP="00EE797C">
            <w:pPr>
              <w:spacing w:before="40" w:after="40"/>
              <w:jc w:val="center"/>
              <w:rPr>
                <w:rFonts w:ascii="Arial Narrow" w:hAnsi="Arial Narrow"/>
                <w:sz w:val="20"/>
              </w:rPr>
            </w:pPr>
            <w:r>
              <w:rPr>
                <w:rFonts w:ascii="Arial Narrow" w:hAnsi="Arial Narrow"/>
                <w:sz w:val="20"/>
              </w:rPr>
              <w:t>redacted</w:t>
            </w:r>
          </w:p>
        </w:tc>
        <w:tc>
          <w:tcPr>
            <w:tcW w:w="1010" w:type="dxa"/>
            <w:vAlign w:val="center"/>
          </w:tcPr>
          <w:p w14:paraId="361F5866" w14:textId="3FFEA8C4" w:rsidR="005E7E55" w:rsidRPr="005E7E55" w:rsidRDefault="00C4439B" w:rsidP="00EE797C">
            <w:pPr>
              <w:spacing w:before="40" w:after="40"/>
              <w:jc w:val="center"/>
              <w:rPr>
                <w:rFonts w:ascii="Arial Narrow" w:hAnsi="Arial Narrow"/>
                <w:sz w:val="20"/>
              </w:rPr>
            </w:pPr>
            <w:r>
              <w:rPr>
                <w:rFonts w:ascii="Arial Narrow" w:hAnsi="Arial Narrow"/>
                <w:sz w:val="20"/>
              </w:rPr>
              <w:t>redacted</w:t>
            </w:r>
          </w:p>
        </w:tc>
        <w:tc>
          <w:tcPr>
            <w:tcW w:w="1010" w:type="dxa"/>
            <w:vAlign w:val="center"/>
          </w:tcPr>
          <w:p w14:paraId="6B8F1F9D" w14:textId="59847B0A" w:rsidR="005E7E55" w:rsidRPr="005E7E55" w:rsidRDefault="00C4439B" w:rsidP="00EE797C">
            <w:pPr>
              <w:spacing w:before="40" w:after="40"/>
              <w:jc w:val="center"/>
              <w:rPr>
                <w:rFonts w:ascii="Arial Narrow" w:hAnsi="Arial Narrow"/>
                <w:sz w:val="20"/>
              </w:rPr>
            </w:pPr>
            <w:r>
              <w:rPr>
                <w:rFonts w:ascii="Arial Narrow" w:hAnsi="Arial Narrow"/>
                <w:sz w:val="20"/>
              </w:rPr>
              <w:t>redacted</w:t>
            </w:r>
          </w:p>
        </w:tc>
        <w:tc>
          <w:tcPr>
            <w:tcW w:w="1011" w:type="dxa"/>
            <w:vAlign w:val="center"/>
          </w:tcPr>
          <w:p w14:paraId="6CBCACB7" w14:textId="3E8BC40A" w:rsidR="005E7E55" w:rsidRPr="005E7E55" w:rsidRDefault="00C4439B" w:rsidP="00EE797C">
            <w:pPr>
              <w:spacing w:before="40" w:after="40"/>
              <w:jc w:val="center"/>
              <w:rPr>
                <w:rFonts w:ascii="Arial Narrow" w:hAnsi="Arial Narrow"/>
                <w:sz w:val="20"/>
              </w:rPr>
            </w:pPr>
            <w:r>
              <w:rPr>
                <w:rFonts w:ascii="Arial Narrow" w:hAnsi="Arial Narrow"/>
                <w:sz w:val="20"/>
              </w:rPr>
              <w:t>redacted</w:t>
            </w:r>
          </w:p>
        </w:tc>
      </w:tr>
      <w:tr w:rsidR="005E7E55" w:rsidRPr="005E7E55" w14:paraId="4073DAB6" w14:textId="77777777" w:rsidTr="00831F89">
        <w:tc>
          <w:tcPr>
            <w:tcW w:w="1247" w:type="dxa"/>
          </w:tcPr>
          <w:p w14:paraId="738546CA" w14:textId="77777777" w:rsidR="005E7E55" w:rsidRPr="005E7E55" w:rsidRDefault="005E7E55" w:rsidP="00EE797C">
            <w:pPr>
              <w:spacing w:before="40" w:after="40"/>
              <w:rPr>
                <w:rFonts w:ascii="Arial Narrow" w:hAnsi="Arial Narrow"/>
                <w:sz w:val="20"/>
              </w:rPr>
            </w:pPr>
            <w:r w:rsidRPr="005E7E55">
              <w:rPr>
                <w:rFonts w:ascii="Arial Narrow" w:hAnsi="Arial Narrow"/>
                <w:sz w:val="20"/>
              </w:rPr>
              <w:t>C = B*44.5%</w:t>
            </w:r>
            <w:r w:rsidRPr="005E7E55">
              <w:rPr>
                <w:rFonts w:ascii="Arial Narrow" w:hAnsi="Arial Narrow"/>
                <w:sz w:val="20"/>
                <w:vertAlign w:val="superscript"/>
              </w:rPr>
              <w:t>2</w:t>
            </w:r>
          </w:p>
        </w:tc>
        <w:tc>
          <w:tcPr>
            <w:tcW w:w="2127" w:type="dxa"/>
          </w:tcPr>
          <w:p w14:paraId="5AF9B0A9" w14:textId="77777777" w:rsidR="005E7E55" w:rsidRPr="005E7E55" w:rsidRDefault="005E7E55" w:rsidP="00EE797C">
            <w:pPr>
              <w:spacing w:before="40" w:after="40"/>
              <w:rPr>
                <w:rFonts w:ascii="Arial Narrow" w:hAnsi="Arial Narrow"/>
                <w:sz w:val="20"/>
              </w:rPr>
            </w:pPr>
            <w:r w:rsidRPr="005E7E55">
              <w:rPr>
                <w:rFonts w:ascii="Arial Narrow" w:hAnsi="Arial Narrow"/>
                <w:sz w:val="20"/>
              </w:rPr>
              <w:t xml:space="preserve">Stage III resected </w:t>
            </w:r>
            <w:r w:rsidRPr="00CF091F">
              <w:rPr>
                <w:rFonts w:ascii="Arial Narrow" w:hAnsi="Arial Narrow"/>
                <w:i/>
                <w:sz w:val="20"/>
              </w:rPr>
              <w:t>BRAF</w:t>
            </w:r>
            <w:r w:rsidRPr="005E7E55">
              <w:rPr>
                <w:rFonts w:ascii="Arial Narrow" w:hAnsi="Arial Narrow"/>
                <w:sz w:val="20"/>
              </w:rPr>
              <w:t>+</w:t>
            </w:r>
          </w:p>
        </w:tc>
        <w:tc>
          <w:tcPr>
            <w:tcW w:w="992" w:type="dxa"/>
            <w:vAlign w:val="center"/>
          </w:tcPr>
          <w:p w14:paraId="37FB3835" w14:textId="0848BF4E" w:rsidR="005E7E55" w:rsidRPr="005E7E55" w:rsidRDefault="003608AF" w:rsidP="00EE797C">
            <w:pPr>
              <w:spacing w:before="40" w:after="40"/>
              <w:jc w:val="center"/>
              <w:rPr>
                <w:rFonts w:ascii="Arial Narrow" w:hAnsi="Arial Narrow"/>
                <w:sz w:val="20"/>
              </w:rPr>
            </w:pPr>
            <w:r>
              <w:rPr>
                <w:rFonts w:ascii="Arial Narrow" w:hAnsi="Arial Narrow"/>
                <w:sz w:val="20"/>
              </w:rPr>
              <w:t>redacted</w:t>
            </w:r>
          </w:p>
        </w:tc>
        <w:tc>
          <w:tcPr>
            <w:tcW w:w="915" w:type="dxa"/>
            <w:vAlign w:val="center"/>
          </w:tcPr>
          <w:p w14:paraId="3BA829E9" w14:textId="22057FC5" w:rsidR="005E7E55" w:rsidRPr="005E7E55" w:rsidRDefault="003608AF" w:rsidP="00EE797C">
            <w:pPr>
              <w:spacing w:before="40" w:after="40"/>
              <w:jc w:val="center"/>
              <w:rPr>
                <w:rFonts w:ascii="Arial Narrow" w:hAnsi="Arial Narrow"/>
                <w:sz w:val="20"/>
              </w:rPr>
            </w:pPr>
            <w:r>
              <w:rPr>
                <w:rFonts w:ascii="Arial Narrow" w:hAnsi="Arial Narrow"/>
                <w:sz w:val="20"/>
              </w:rPr>
              <w:t>redacted</w:t>
            </w:r>
          </w:p>
        </w:tc>
        <w:tc>
          <w:tcPr>
            <w:tcW w:w="1011" w:type="dxa"/>
            <w:vAlign w:val="center"/>
          </w:tcPr>
          <w:p w14:paraId="3D5CB59F" w14:textId="4BAC332F" w:rsidR="005E7E55" w:rsidRPr="005E7E55" w:rsidRDefault="003608AF" w:rsidP="00EE797C">
            <w:pPr>
              <w:spacing w:before="40" w:after="40"/>
              <w:jc w:val="center"/>
              <w:rPr>
                <w:rFonts w:ascii="Arial Narrow" w:hAnsi="Arial Narrow"/>
                <w:sz w:val="20"/>
              </w:rPr>
            </w:pPr>
            <w:r>
              <w:rPr>
                <w:rFonts w:ascii="Arial Narrow" w:hAnsi="Arial Narrow"/>
                <w:sz w:val="20"/>
              </w:rPr>
              <w:t>redacted</w:t>
            </w:r>
          </w:p>
        </w:tc>
        <w:tc>
          <w:tcPr>
            <w:tcW w:w="1010" w:type="dxa"/>
            <w:vAlign w:val="center"/>
          </w:tcPr>
          <w:p w14:paraId="28B076C5" w14:textId="1D689CA5" w:rsidR="005E7E55" w:rsidRPr="005E7E55" w:rsidRDefault="003608AF" w:rsidP="00EE797C">
            <w:pPr>
              <w:spacing w:before="40" w:after="40"/>
              <w:jc w:val="center"/>
              <w:rPr>
                <w:rFonts w:ascii="Arial Narrow" w:hAnsi="Arial Narrow"/>
                <w:sz w:val="20"/>
              </w:rPr>
            </w:pPr>
            <w:r>
              <w:rPr>
                <w:rFonts w:ascii="Arial Narrow" w:hAnsi="Arial Narrow"/>
                <w:sz w:val="20"/>
              </w:rPr>
              <w:t>redacted</w:t>
            </w:r>
          </w:p>
        </w:tc>
        <w:tc>
          <w:tcPr>
            <w:tcW w:w="1010" w:type="dxa"/>
            <w:vAlign w:val="center"/>
          </w:tcPr>
          <w:p w14:paraId="14C92D86" w14:textId="7E996FFC" w:rsidR="005E7E55" w:rsidRPr="005E7E55" w:rsidRDefault="003608AF" w:rsidP="00EE797C">
            <w:pPr>
              <w:spacing w:before="40" w:after="40"/>
              <w:jc w:val="center"/>
              <w:rPr>
                <w:rFonts w:ascii="Arial Narrow" w:hAnsi="Arial Narrow"/>
                <w:sz w:val="20"/>
              </w:rPr>
            </w:pPr>
            <w:r>
              <w:rPr>
                <w:rFonts w:ascii="Arial Narrow" w:hAnsi="Arial Narrow"/>
                <w:sz w:val="20"/>
              </w:rPr>
              <w:t>redacted</w:t>
            </w:r>
          </w:p>
        </w:tc>
        <w:tc>
          <w:tcPr>
            <w:tcW w:w="1011" w:type="dxa"/>
            <w:vAlign w:val="center"/>
          </w:tcPr>
          <w:p w14:paraId="04E42BE0" w14:textId="0BD11571" w:rsidR="005E7E55" w:rsidRPr="005E7E55" w:rsidRDefault="003608AF" w:rsidP="00EE797C">
            <w:pPr>
              <w:spacing w:before="40" w:after="40"/>
              <w:jc w:val="center"/>
              <w:rPr>
                <w:rFonts w:ascii="Arial Narrow" w:hAnsi="Arial Narrow"/>
                <w:sz w:val="20"/>
              </w:rPr>
            </w:pPr>
            <w:r>
              <w:rPr>
                <w:rFonts w:ascii="Arial Narrow" w:hAnsi="Arial Narrow"/>
                <w:sz w:val="20"/>
              </w:rPr>
              <w:t>redacted</w:t>
            </w:r>
          </w:p>
        </w:tc>
      </w:tr>
    </w:tbl>
    <w:p w14:paraId="379A43A5" w14:textId="77777777" w:rsidR="005E7E55" w:rsidRPr="005E7E55" w:rsidRDefault="005E7E55" w:rsidP="005E7E55">
      <w:pPr>
        <w:rPr>
          <w:rFonts w:ascii="Arial Narrow" w:hAnsi="Arial Narrow" w:cs="Calibri"/>
          <w:sz w:val="18"/>
          <w:szCs w:val="18"/>
        </w:rPr>
      </w:pPr>
      <w:r w:rsidRPr="005E7E55">
        <w:rPr>
          <w:rFonts w:ascii="Arial Narrow" w:hAnsi="Arial Narrow" w:cs="Calibri"/>
          <w:sz w:val="18"/>
          <w:szCs w:val="18"/>
        </w:rPr>
        <w:t xml:space="preserve">Source: </w:t>
      </w:r>
      <w:r>
        <w:rPr>
          <w:rFonts w:ascii="Arial Narrow" w:hAnsi="Arial Narrow" w:cs="Calibri"/>
          <w:sz w:val="18"/>
          <w:szCs w:val="18"/>
        </w:rPr>
        <w:t>Table 1, p2 of Minor Submission</w:t>
      </w:r>
    </w:p>
    <w:p w14:paraId="3421EE61" w14:textId="38CFB29F" w:rsidR="005E7E55" w:rsidRPr="005E7E55" w:rsidRDefault="005E7E55" w:rsidP="005E7E55">
      <w:pPr>
        <w:rPr>
          <w:rFonts w:ascii="Arial Narrow" w:hAnsi="Arial Narrow" w:cs="Calibri"/>
          <w:sz w:val="18"/>
          <w:szCs w:val="18"/>
        </w:rPr>
      </w:pPr>
      <w:r w:rsidRPr="005E7E55">
        <w:rPr>
          <w:rFonts w:ascii="Arial Narrow" w:hAnsi="Arial Narrow" w:cs="Calibri"/>
          <w:sz w:val="18"/>
          <w:szCs w:val="18"/>
          <w:vertAlign w:val="superscript"/>
        </w:rPr>
        <w:t>1</w:t>
      </w:r>
      <w:r w:rsidRPr="005E7E55">
        <w:rPr>
          <w:rFonts w:ascii="Arial Narrow" w:hAnsi="Arial Narrow" w:cs="Calibri"/>
          <w:sz w:val="18"/>
          <w:szCs w:val="18"/>
        </w:rPr>
        <w:t>Market research s</w:t>
      </w:r>
      <w:r w:rsidR="00CF091F">
        <w:rPr>
          <w:rFonts w:ascii="Arial Narrow" w:hAnsi="Arial Narrow" w:cs="Calibri"/>
          <w:sz w:val="18"/>
          <w:szCs w:val="18"/>
        </w:rPr>
        <w:t>urvey of 31 medical oncologists</w:t>
      </w:r>
    </w:p>
    <w:p w14:paraId="14C2C620" w14:textId="77777777" w:rsidR="005E7E55" w:rsidRPr="005E7E55" w:rsidRDefault="005E7E55" w:rsidP="005E7E55">
      <w:pPr>
        <w:spacing w:after="240"/>
        <w:rPr>
          <w:rFonts w:ascii="Arial Narrow" w:hAnsi="Arial Narrow" w:cs="Calibri"/>
          <w:sz w:val="18"/>
          <w:szCs w:val="18"/>
        </w:rPr>
      </w:pPr>
      <w:r w:rsidRPr="005E7E55">
        <w:rPr>
          <w:rFonts w:ascii="Arial Narrow" w:hAnsi="Arial Narrow" w:cs="Calibri"/>
          <w:sz w:val="18"/>
          <w:szCs w:val="18"/>
          <w:vertAlign w:val="superscript"/>
        </w:rPr>
        <w:t>2</w:t>
      </w:r>
      <w:r w:rsidRPr="005E7E55">
        <w:rPr>
          <w:rFonts w:ascii="Arial Narrow" w:hAnsi="Arial Narrow" w:cs="Calibri"/>
          <w:sz w:val="18"/>
          <w:szCs w:val="18"/>
        </w:rPr>
        <w:t>Menzies et al 2012</w:t>
      </w:r>
    </w:p>
    <w:p w14:paraId="5B6A1B3D" w14:textId="50C38699" w:rsidR="00EE797C" w:rsidRDefault="005E7E55" w:rsidP="00914B9C">
      <w:pPr>
        <w:spacing w:after="240"/>
      </w:pPr>
      <w:r>
        <w:t xml:space="preserve">The application’s estimated additional costs to the MBS for </w:t>
      </w:r>
      <w:r w:rsidRPr="00EE797C">
        <w:rPr>
          <w:i/>
        </w:rPr>
        <w:t>BRAF</w:t>
      </w:r>
      <w:r>
        <w:t xml:space="preserve"> mutation testing are summarised in Table 3.</w:t>
      </w:r>
    </w:p>
    <w:p w14:paraId="10A3D5B2" w14:textId="28CE072C" w:rsidR="00EE797C" w:rsidRPr="00EE797C" w:rsidRDefault="00EE797C" w:rsidP="00EE797C">
      <w:pPr>
        <w:rPr>
          <w:rFonts w:ascii="Arial Narrow" w:hAnsi="Arial Narrow" w:cs="Calibri"/>
          <w:b/>
          <w:sz w:val="20"/>
        </w:rPr>
      </w:pPr>
      <w:r>
        <w:rPr>
          <w:rFonts w:ascii="Arial Narrow" w:hAnsi="Arial Narrow" w:cs="Calibri"/>
          <w:b/>
          <w:sz w:val="20"/>
        </w:rPr>
        <w:t>Table 3</w:t>
      </w:r>
      <w:r w:rsidRPr="00EE797C">
        <w:rPr>
          <w:rFonts w:ascii="Arial Narrow" w:hAnsi="Arial Narrow" w:cs="Calibri"/>
          <w:b/>
          <w:sz w:val="20"/>
        </w:rPr>
        <w:t xml:space="preserve"> Estimated additional costs to the MBS for BRAF mutation testing</w:t>
      </w:r>
    </w:p>
    <w:tbl>
      <w:tblPr>
        <w:tblStyle w:val="TableGrid"/>
        <w:tblW w:w="9323" w:type="dxa"/>
        <w:tblInd w:w="-5" w:type="dxa"/>
        <w:tblLayout w:type="fixed"/>
        <w:tblLook w:val="04A0" w:firstRow="1" w:lastRow="0" w:firstColumn="1" w:lastColumn="0" w:noHBand="0" w:noVBand="1"/>
        <w:tblCaption w:val="Estimated additional costs to the MBS for BRAF mutation testing"/>
        <w:tblDescription w:val="Applicant's financial estimates"/>
      </w:tblPr>
      <w:tblGrid>
        <w:gridCol w:w="3261"/>
        <w:gridCol w:w="1010"/>
        <w:gridCol w:w="1010"/>
        <w:gridCol w:w="1011"/>
        <w:gridCol w:w="1010"/>
        <w:gridCol w:w="1010"/>
        <w:gridCol w:w="1011"/>
      </w:tblGrid>
      <w:tr w:rsidR="00EE797C" w:rsidRPr="00EE797C" w14:paraId="318514E1" w14:textId="77777777" w:rsidTr="000C63E0">
        <w:trPr>
          <w:tblHeader/>
        </w:trPr>
        <w:tc>
          <w:tcPr>
            <w:tcW w:w="3261" w:type="dxa"/>
          </w:tcPr>
          <w:p w14:paraId="7849BBAB" w14:textId="77777777" w:rsidR="00EE797C" w:rsidRPr="00EE797C" w:rsidRDefault="00EE797C" w:rsidP="00EE797C">
            <w:pPr>
              <w:spacing w:before="40" w:after="40"/>
              <w:rPr>
                <w:rFonts w:ascii="Arial Narrow" w:hAnsi="Arial Narrow"/>
                <w:sz w:val="20"/>
              </w:rPr>
            </w:pPr>
          </w:p>
        </w:tc>
        <w:tc>
          <w:tcPr>
            <w:tcW w:w="1010" w:type="dxa"/>
          </w:tcPr>
          <w:p w14:paraId="3FB17D31" w14:textId="77777777" w:rsidR="00EE797C" w:rsidRPr="00EE797C" w:rsidRDefault="00EE797C" w:rsidP="00EE797C">
            <w:pPr>
              <w:spacing w:before="40" w:after="40"/>
              <w:jc w:val="center"/>
              <w:rPr>
                <w:rFonts w:ascii="Arial Narrow" w:hAnsi="Arial Narrow"/>
                <w:b/>
                <w:sz w:val="20"/>
              </w:rPr>
            </w:pPr>
            <w:r w:rsidRPr="00EE797C">
              <w:rPr>
                <w:rFonts w:ascii="Arial Narrow" w:hAnsi="Arial Narrow"/>
                <w:b/>
                <w:sz w:val="20"/>
              </w:rPr>
              <w:t>2019</w:t>
            </w:r>
          </w:p>
        </w:tc>
        <w:tc>
          <w:tcPr>
            <w:tcW w:w="1010" w:type="dxa"/>
          </w:tcPr>
          <w:p w14:paraId="171C9433" w14:textId="77777777" w:rsidR="00EE797C" w:rsidRPr="00EE797C" w:rsidRDefault="00EE797C" w:rsidP="00EE797C">
            <w:pPr>
              <w:spacing w:before="40" w:after="40"/>
              <w:jc w:val="center"/>
              <w:rPr>
                <w:rFonts w:ascii="Arial Narrow" w:hAnsi="Arial Narrow"/>
                <w:b/>
                <w:sz w:val="20"/>
              </w:rPr>
            </w:pPr>
            <w:r w:rsidRPr="00EE797C">
              <w:rPr>
                <w:rFonts w:ascii="Arial Narrow" w:hAnsi="Arial Narrow"/>
                <w:b/>
                <w:sz w:val="20"/>
              </w:rPr>
              <w:t>2020</w:t>
            </w:r>
          </w:p>
        </w:tc>
        <w:tc>
          <w:tcPr>
            <w:tcW w:w="1011" w:type="dxa"/>
          </w:tcPr>
          <w:p w14:paraId="3E6E225F" w14:textId="77777777" w:rsidR="00EE797C" w:rsidRPr="00EE797C" w:rsidRDefault="00EE797C" w:rsidP="00EE797C">
            <w:pPr>
              <w:spacing w:before="40" w:after="40"/>
              <w:jc w:val="center"/>
              <w:rPr>
                <w:rFonts w:ascii="Arial Narrow" w:hAnsi="Arial Narrow"/>
                <w:b/>
                <w:sz w:val="20"/>
              </w:rPr>
            </w:pPr>
            <w:r w:rsidRPr="00EE797C">
              <w:rPr>
                <w:rFonts w:ascii="Arial Narrow" w:hAnsi="Arial Narrow"/>
                <w:b/>
                <w:sz w:val="20"/>
              </w:rPr>
              <w:t>2021</w:t>
            </w:r>
          </w:p>
        </w:tc>
        <w:tc>
          <w:tcPr>
            <w:tcW w:w="1010" w:type="dxa"/>
          </w:tcPr>
          <w:p w14:paraId="2229790B" w14:textId="77777777" w:rsidR="00EE797C" w:rsidRPr="00EE797C" w:rsidRDefault="00EE797C" w:rsidP="00EE797C">
            <w:pPr>
              <w:spacing w:before="40" w:after="40"/>
              <w:jc w:val="center"/>
              <w:rPr>
                <w:rFonts w:ascii="Arial Narrow" w:hAnsi="Arial Narrow"/>
                <w:b/>
                <w:sz w:val="20"/>
              </w:rPr>
            </w:pPr>
            <w:r w:rsidRPr="00EE797C">
              <w:rPr>
                <w:rFonts w:ascii="Arial Narrow" w:hAnsi="Arial Narrow"/>
                <w:b/>
                <w:sz w:val="20"/>
              </w:rPr>
              <w:t>2022</w:t>
            </w:r>
          </w:p>
        </w:tc>
        <w:tc>
          <w:tcPr>
            <w:tcW w:w="1010" w:type="dxa"/>
          </w:tcPr>
          <w:p w14:paraId="2C156F5E" w14:textId="77777777" w:rsidR="00EE797C" w:rsidRPr="00EE797C" w:rsidRDefault="00EE797C" w:rsidP="00EE797C">
            <w:pPr>
              <w:spacing w:before="40" w:after="40"/>
              <w:jc w:val="center"/>
              <w:rPr>
                <w:rFonts w:ascii="Arial Narrow" w:hAnsi="Arial Narrow"/>
                <w:b/>
                <w:sz w:val="20"/>
              </w:rPr>
            </w:pPr>
            <w:r w:rsidRPr="00EE797C">
              <w:rPr>
                <w:rFonts w:ascii="Arial Narrow" w:hAnsi="Arial Narrow"/>
                <w:b/>
                <w:sz w:val="20"/>
              </w:rPr>
              <w:t>2023</w:t>
            </w:r>
          </w:p>
        </w:tc>
        <w:tc>
          <w:tcPr>
            <w:tcW w:w="1011" w:type="dxa"/>
          </w:tcPr>
          <w:p w14:paraId="4D5E30DB" w14:textId="77777777" w:rsidR="00EE797C" w:rsidRPr="00EE797C" w:rsidRDefault="00EE797C" w:rsidP="00EE797C">
            <w:pPr>
              <w:spacing w:before="40" w:after="40"/>
              <w:jc w:val="center"/>
              <w:rPr>
                <w:rFonts w:ascii="Arial Narrow" w:hAnsi="Arial Narrow"/>
                <w:b/>
                <w:sz w:val="20"/>
              </w:rPr>
            </w:pPr>
            <w:r w:rsidRPr="00EE797C">
              <w:rPr>
                <w:rFonts w:ascii="Arial Narrow" w:hAnsi="Arial Narrow"/>
                <w:b/>
                <w:sz w:val="20"/>
              </w:rPr>
              <w:t>2024</w:t>
            </w:r>
          </w:p>
        </w:tc>
      </w:tr>
      <w:tr w:rsidR="00EE797C" w:rsidRPr="00EE797C" w14:paraId="0163CE89" w14:textId="77777777" w:rsidTr="006F0C7D">
        <w:tc>
          <w:tcPr>
            <w:tcW w:w="3261" w:type="dxa"/>
          </w:tcPr>
          <w:p w14:paraId="597ED4FA" w14:textId="77777777" w:rsidR="00EE797C" w:rsidRPr="00EE797C" w:rsidRDefault="00EE797C" w:rsidP="00EE797C">
            <w:pPr>
              <w:spacing w:before="40" w:after="40"/>
              <w:rPr>
                <w:rFonts w:ascii="Arial Narrow" w:hAnsi="Arial Narrow"/>
                <w:sz w:val="20"/>
              </w:rPr>
            </w:pPr>
            <w:r w:rsidRPr="00EE797C">
              <w:rPr>
                <w:rFonts w:ascii="Arial Narrow" w:hAnsi="Arial Narrow"/>
                <w:sz w:val="20"/>
              </w:rPr>
              <w:t>Total MBS cost, 100% scheduled fee</w:t>
            </w:r>
          </w:p>
        </w:tc>
        <w:tc>
          <w:tcPr>
            <w:tcW w:w="1010" w:type="dxa"/>
          </w:tcPr>
          <w:p w14:paraId="71BD6178" w14:textId="1D61654C"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0" w:type="dxa"/>
          </w:tcPr>
          <w:p w14:paraId="095132F5" w14:textId="39C2D8C9"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1" w:type="dxa"/>
          </w:tcPr>
          <w:p w14:paraId="0B1C85F2" w14:textId="735B9C31"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0" w:type="dxa"/>
          </w:tcPr>
          <w:p w14:paraId="604B5D71" w14:textId="191040AF"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0" w:type="dxa"/>
          </w:tcPr>
          <w:p w14:paraId="464CB1A9" w14:textId="5392BDA6"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1" w:type="dxa"/>
          </w:tcPr>
          <w:p w14:paraId="074872AB" w14:textId="2D363B7D"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r>
      <w:tr w:rsidR="00EE797C" w:rsidRPr="00EE797C" w14:paraId="3EDC7A88" w14:textId="77777777" w:rsidTr="006F0C7D">
        <w:tc>
          <w:tcPr>
            <w:tcW w:w="3261" w:type="dxa"/>
          </w:tcPr>
          <w:p w14:paraId="6CF70B06" w14:textId="77777777" w:rsidR="00EE797C" w:rsidRPr="00EE797C" w:rsidRDefault="00EE797C" w:rsidP="00EE797C">
            <w:pPr>
              <w:spacing w:before="40" w:after="40"/>
              <w:rPr>
                <w:rFonts w:ascii="Arial Narrow" w:hAnsi="Arial Narrow"/>
                <w:sz w:val="20"/>
              </w:rPr>
            </w:pPr>
            <w:r w:rsidRPr="00EE797C">
              <w:rPr>
                <w:rFonts w:ascii="Arial Narrow" w:hAnsi="Arial Narrow"/>
                <w:sz w:val="20"/>
              </w:rPr>
              <w:t>Total MBS cost, 85% scheduled fee</w:t>
            </w:r>
          </w:p>
        </w:tc>
        <w:tc>
          <w:tcPr>
            <w:tcW w:w="1010" w:type="dxa"/>
          </w:tcPr>
          <w:p w14:paraId="5C6EDA4B" w14:textId="76153A7F"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0" w:type="dxa"/>
          </w:tcPr>
          <w:p w14:paraId="23B95108" w14:textId="6905CE1C"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1" w:type="dxa"/>
          </w:tcPr>
          <w:p w14:paraId="176654F5" w14:textId="02CF8354"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0" w:type="dxa"/>
          </w:tcPr>
          <w:p w14:paraId="4BD6058F" w14:textId="27758C20"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0" w:type="dxa"/>
          </w:tcPr>
          <w:p w14:paraId="6CA00E85" w14:textId="587B004F"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c>
          <w:tcPr>
            <w:tcW w:w="1011" w:type="dxa"/>
          </w:tcPr>
          <w:p w14:paraId="535A00C5" w14:textId="05732BA4" w:rsidR="00EE797C" w:rsidRPr="00EE797C" w:rsidRDefault="00EE797C" w:rsidP="00EE797C">
            <w:pPr>
              <w:spacing w:before="40" w:after="40"/>
              <w:jc w:val="center"/>
              <w:rPr>
                <w:rFonts w:ascii="Arial Narrow" w:hAnsi="Arial Narrow"/>
                <w:sz w:val="20"/>
              </w:rPr>
            </w:pPr>
            <w:r w:rsidRPr="00EE797C">
              <w:rPr>
                <w:rFonts w:ascii="Arial Narrow" w:hAnsi="Arial Narrow"/>
                <w:sz w:val="20"/>
              </w:rPr>
              <w:t>$</w:t>
            </w:r>
            <w:r w:rsidR="00C4439B">
              <w:rPr>
                <w:rFonts w:ascii="Arial Narrow" w:hAnsi="Arial Narrow"/>
                <w:sz w:val="20"/>
              </w:rPr>
              <w:t xml:space="preserve"> redacted</w:t>
            </w:r>
          </w:p>
        </w:tc>
      </w:tr>
    </w:tbl>
    <w:p w14:paraId="2B557BA4" w14:textId="77777777" w:rsidR="00EE797C" w:rsidRPr="005E7E55" w:rsidRDefault="00EE797C" w:rsidP="00EE797C">
      <w:pPr>
        <w:rPr>
          <w:rFonts w:ascii="Arial Narrow" w:hAnsi="Arial Narrow" w:cs="Calibri"/>
          <w:sz w:val="18"/>
          <w:szCs w:val="18"/>
        </w:rPr>
      </w:pPr>
      <w:r w:rsidRPr="005E7E55">
        <w:rPr>
          <w:rFonts w:ascii="Arial Narrow" w:hAnsi="Arial Narrow" w:cs="Calibri"/>
          <w:sz w:val="18"/>
          <w:szCs w:val="18"/>
        </w:rPr>
        <w:t xml:space="preserve">Source: </w:t>
      </w:r>
      <w:r>
        <w:rPr>
          <w:rFonts w:ascii="Arial Narrow" w:hAnsi="Arial Narrow" w:cs="Calibri"/>
          <w:sz w:val="18"/>
          <w:szCs w:val="18"/>
        </w:rPr>
        <w:t>Table 2, p2 of Minor Submission</w:t>
      </w:r>
    </w:p>
    <w:p w14:paraId="0974F9F4" w14:textId="77777777" w:rsidR="00BC1364" w:rsidRPr="00F715D1" w:rsidRDefault="00BC1364" w:rsidP="00F715D1">
      <w:pPr>
        <w:pStyle w:val="Heading1"/>
      </w:pPr>
      <w:r w:rsidRPr="00F715D1">
        <w:t xml:space="preserve">Applicant’s comments on MSAC’s </w:t>
      </w:r>
      <w:r w:rsidR="00DA56AA" w:rsidRPr="00F715D1">
        <w:t>Public Summary Document</w:t>
      </w:r>
    </w:p>
    <w:p w14:paraId="4C899A01" w14:textId="1EEA84C8" w:rsidR="00B002EA" w:rsidRPr="00914B9C" w:rsidRDefault="00B002EA" w:rsidP="00F715D1">
      <w:pPr>
        <w:spacing w:after="240"/>
        <w:rPr>
          <w:szCs w:val="24"/>
        </w:rPr>
      </w:pPr>
      <w:r w:rsidRPr="00914B9C">
        <w:rPr>
          <w:szCs w:val="24"/>
        </w:rPr>
        <w:t xml:space="preserve">Novartis welcomes MSAC’s decision to broaden </w:t>
      </w:r>
      <w:r w:rsidRPr="00914B9C">
        <w:t xml:space="preserve">the existing MBS item for </w:t>
      </w:r>
      <w:r w:rsidRPr="00914B9C">
        <w:rPr>
          <w:i/>
        </w:rPr>
        <w:t>BRAF</w:t>
      </w:r>
      <w:r w:rsidRPr="00914B9C">
        <w:t xml:space="preserve"> V600 testing to include Stage III resected melanoma patients for access to</w:t>
      </w:r>
      <w:r w:rsidRPr="00914B9C">
        <w:rPr>
          <w:szCs w:val="24"/>
        </w:rPr>
        <w:t xml:space="preserve"> dabrafenib and trametinib</w:t>
      </w:r>
      <w:r w:rsidR="00506A61" w:rsidRPr="00914B9C">
        <w:rPr>
          <w:szCs w:val="24"/>
        </w:rPr>
        <w:t xml:space="preserve"> on the PBS</w:t>
      </w:r>
      <w:r w:rsidRPr="00914B9C">
        <w:rPr>
          <w:szCs w:val="24"/>
        </w:rPr>
        <w:t xml:space="preserve">.  </w:t>
      </w:r>
    </w:p>
    <w:p w14:paraId="5D11962E" w14:textId="77777777" w:rsidR="00BC1364" w:rsidRPr="00F715D1" w:rsidRDefault="00271F18" w:rsidP="00F715D1">
      <w:pPr>
        <w:pStyle w:val="Heading1"/>
      </w:pPr>
      <w:r w:rsidRPr="00F715D1">
        <w:t>Further information on MSAC</w:t>
      </w:r>
    </w:p>
    <w:p w14:paraId="06BB446C"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9"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D06EC" w16cid:durableId="212D1B82"/>
  <w16cid:commentId w16cid:paraId="350955D3" w16cid:durableId="212D1B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EC968" w14:textId="77777777" w:rsidR="00062DB3" w:rsidRDefault="00062DB3" w:rsidP="00065623">
      <w:r>
        <w:separator/>
      </w:r>
    </w:p>
  </w:endnote>
  <w:endnote w:type="continuationSeparator" w:id="0">
    <w:p w14:paraId="0FE5F2C4" w14:textId="77777777" w:rsidR="00062DB3" w:rsidRDefault="00062DB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BB59" w14:textId="77777777" w:rsidR="00F569E3" w:rsidRDefault="00F56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912E7D9" w14:textId="27715A25" w:rsidR="00352224" w:rsidRDefault="00352224">
        <w:pPr>
          <w:pStyle w:val="Footer"/>
          <w:jc w:val="right"/>
        </w:pPr>
        <w:r>
          <w:fldChar w:fldCharType="begin"/>
        </w:r>
        <w:r>
          <w:instrText xml:space="preserve"> PAGE   \* MERGEFORMAT </w:instrText>
        </w:r>
        <w:r>
          <w:fldChar w:fldCharType="separate"/>
        </w:r>
        <w:r w:rsidR="00F569E3">
          <w:rPr>
            <w:noProof/>
          </w:rPr>
          <w:t>1</w:t>
        </w:r>
        <w:r>
          <w:rPr>
            <w:noProof/>
          </w:rPr>
          <w:fldChar w:fldCharType="end"/>
        </w:r>
      </w:p>
    </w:sdtContent>
  </w:sdt>
  <w:p w14:paraId="15555A4F" w14:textId="77777777" w:rsidR="00BC1364" w:rsidRDefault="00BC1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34C96" w14:textId="77777777" w:rsidR="00F569E3" w:rsidRDefault="00F56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E6633" w14:textId="77777777" w:rsidR="00062DB3" w:rsidRDefault="00062DB3" w:rsidP="00065623">
      <w:r>
        <w:separator/>
      </w:r>
    </w:p>
  </w:footnote>
  <w:footnote w:type="continuationSeparator" w:id="0">
    <w:p w14:paraId="5E3C51FE" w14:textId="77777777" w:rsidR="00062DB3" w:rsidRDefault="00062DB3"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B729" w14:textId="77777777" w:rsidR="00F569E3" w:rsidRDefault="00F5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F0CA" w14:textId="77777777" w:rsidR="00F569E3" w:rsidRDefault="00F56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CAC6" w14:textId="77777777" w:rsidR="00F569E3" w:rsidRDefault="00F56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E594E"/>
    <w:multiLevelType w:val="hybridMultilevel"/>
    <w:tmpl w:val="BB50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6"/>
  </w:num>
  <w:num w:numId="5">
    <w:abstractNumId w:val="9"/>
  </w:num>
  <w:num w:numId="6">
    <w:abstractNumId w:val="14"/>
  </w:num>
  <w:num w:numId="7">
    <w:abstractNumId w:val="19"/>
  </w:num>
  <w:num w:numId="8">
    <w:abstractNumId w:val="10"/>
  </w:num>
  <w:num w:numId="9">
    <w:abstractNumId w:val="26"/>
  </w:num>
  <w:num w:numId="10">
    <w:abstractNumId w:val="0"/>
  </w:num>
  <w:num w:numId="11">
    <w:abstractNumId w:val="18"/>
  </w:num>
  <w:num w:numId="12">
    <w:abstractNumId w:val="20"/>
  </w:num>
  <w:num w:numId="13">
    <w:abstractNumId w:val="4"/>
  </w:num>
  <w:num w:numId="14">
    <w:abstractNumId w:val="24"/>
  </w:num>
  <w:num w:numId="15">
    <w:abstractNumId w:val="17"/>
  </w:num>
  <w:num w:numId="16">
    <w:abstractNumId w:val="21"/>
  </w:num>
  <w:num w:numId="17">
    <w:abstractNumId w:val="11"/>
  </w:num>
  <w:num w:numId="18">
    <w:abstractNumId w:val="12"/>
  </w:num>
  <w:num w:numId="19">
    <w:abstractNumId w:val="23"/>
  </w:num>
  <w:num w:numId="20">
    <w:abstractNumId w:val="22"/>
  </w:num>
  <w:num w:numId="21">
    <w:abstractNumId w:val="3"/>
  </w:num>
  <w:num w:numId="22">
    <w:abstractNumId w:val="8"/>
  </w:num>
  <w:num w:numId="23">
    <w:abstractNumId w:val="2"/>
  </w:num>
  <w:num w:numId="24">
    <w:abstractNumId w:val="7"/>
  </w:num>
  <w:num w:numId="25">
    <w:abstractNumId w:val="5"/>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308F9"/>
    <w:rsid w:val="0003789D"/>
    <w:rsid w:val="00047606"/>
    <w:rsid w:val="00062DB3"/>
    <w:rsid w:val="00065623"/>
    <w:rsid w:val="0006650C"/>
    <w:rsid w:val="000756B9"/>
    <w:rsid w:val="00082A27"/>
    <w:rsid w:val="0008419B"/>
    <w:rsid w:val="00096B67"/>
    <w:rsid w:val="00096DAF"/>
    <w:rsid w:val="000C2F47"/>
    <w:rsid w:val="000C63E0"/>
    <w:rsid w:val="000D2B9A"/>
    <w:rsid w:val="000D6C00"/>
    <w:rsid w:val="000E4E04"/>
    <w:rsid w:val="000F14B4"/>
    <w:rsid w:val="000F75DF"/>
    <w:rsid w:val="0010075C"/>
    <w:rsid w:val="001023DC"/>
    <w:rsid w:val="001328FA"/>
    <w:rsid w:val="00137A5C"/>
    <w:rsid w:val="00147AAF"/>
    <w:rsid w:val="001552C0"/>
    <w:rsid w:val="001640B1"/>
    <w:rsid w:val="0018435E"/>
    <w:rsid w:val="001C5821"/>
    <w:rsid w:val="002041A1"/>
    <w:rsid w:val="002054F0"/>
    <w:rsid w:val="00230D6B"/>
    <w:rsid w:val="00232068"/>
    <w:rsid w:val="002330F2"/>
    <w:rsid w:val="00243D9E"/>
    <w:rsid w:val="00253B66"/>
    <w:rsid w:val="00261DF1"/>
    <w:rsid w:val="00271F18"/>
    <w:rsid w:val="00282779"/>
    <w:rsid w:val="0028334D"/>
    <w:rsid w:val="002A7F26"/>
    <w:rsid w:val="002B7FFA"/>
    <w:rsid w:val="002C2BCF"/>
    <w:rsid w:val="002F279D"/>
    <w:rsid w:val="002F43B8"/>
    <w:rsid w:val="00336856"/>
    <w:rsid w:val="0034554D"/>
    <w:rsid w:val="00352224"/>
    <w:rsid w:val="003608AF"/>
    <w:rsid w:val="003671E6"/>
    <w:rsid w:val="00384272"/>
    <w:rsid w:val="00386D67"/>
    <w:rsid w:val="003945B8"/>
    <w:rsid w:val="003D7F29"/>
    <w:rsid w:val="00405A6B"/>
    <w:rsid w:val="00407B1F"/>
    <w:rsid w:val="0041184F"/>
    <w:rsid w:val="00414C57"/>
    <w:rsid w:val="0041758C"/>
    <w:rsid w:val="004539DE"/>
    <w:rsid w:val="004761C0"/>
    <w:rsid w:val="004A2CF1"/>
    <w:rsid w:val="004C3035"/>
    <w:rsid w:val="004C307F"/>
    <w:rsid w:val="004E4BA8"/>
    <w:rsid w:val="004E4BBB"/>
    <w:rsid w:val="004F2E88"/>
    <w:rsid w:val="004F340F"/>
    <w:rsid w:val="004F5694"/>
    <w:rsid w:val="004F7B7C"/>
    <w:rsid w:val="00506A61"/>
    <w:rsid w:val="00507ADC"/>
    <w:rsid w:val="0052243D"/>
    <w:rsid w:val="00532435"/>
    <w:rsid w:val="00550354"/>
    <w:rsid w:val="00571236"/>
    <w:rsid w:val="005953A1"/>
    <w:rsid w:val="005A4362"/>
    <w:rsid w:val="005B5434"/>
    <w:rsid w:val="005D0332"/>
    <w:rsid w:val="005D0D8C"/>
    <w:rsid w:val="005E3EBC"/>
    <w:rsid w:val="005E7E55"/>
    <w:rsid w:val="006776AE"/>
    <w:rsid w:val="00693A3B"/>
    <w:rsid w:val="006A0D97"/>
    <w:rsid w:val="006B1F86"/>
    <w:rsid w:val="006B2A0D"/>
    <w:rsid w:val="006B73D6"/>
    <w:rsid w:val="006C0A91"/>
    <w:rsid w:val="007054BB"/>
    <w:rsid w:val="00707064"/>
    <w:rsid w:val="00730683"/>
    <w:rsid w:val="0075261F"/>
    <w:rsid w:val="0075468E"/>
    <w:rsid w:val="007665D8"/>
    <w:rsid w:val="00766E36"/>
    <w:rsid w:val="007765F4"/>
    <w:rsid w:val="00776633"/>
    <w:rsid w:val="00784D53"/>
    <w:rsid w:val="00797797"/>
    <w:rsid w:val="007A6350"/>
    <w:rsid w:val="007A63C9"/>
    <w:rsid w:val="007B32D1"/>
    <w:rsid w:val="007B7095"/>
    <w:rsid w:val="007D11AF"/>
    <w:rsid w:val="007D24E1"/>
    <w:rsid w:val="007D6288"/>
    <w:rsid w:val="007F4CE9"/>
    <w:rsid w:val="007F4E20"/>
    <w:rsid w:val="00822C7E"/>
    <w:rsid w:val="00831F89"/>
    <w:rsid w:val="00847060"/>
    <w:rsid w:val="00847A36"/>
    <w:rsid w:val="00856A33"/>
    <w:rsid w:val="00876419"/>
    <w:rsid w:val="00892620"/>
    <w:rsid w:val="008A0B0D"/>
    <w:rsid w:val="008C7D37"/>
    <w:rsid w:val="008D5885"/>
    <w:rsid w:val="008D7E53"/>
    <w:rsid w:val="00914B9C"/>
    <w:rsid w:val="00923FA2"/>
    <w:rsid w:val="00931C73"/>
    <w:rsid w:val="0096060D"/>
    <w:rsid w:val="00974A50"/>
    <w:rsid w:val="0097585A"/>
    <w:rsid w:val="009924B0"/>
    <w:rsid w:val="009942C9"/>
    <w:rsid w:val="009B35C4"/>
    <w:rsid w:val="009C21D8"/>
    <w:rsid w:val="009C630A"/>
    <w:rsid w:val="009E0D98"/>
    <w:rsid w:val="00A068A1"/>
    <w:rsid w:val="00A1207D"/>
    <w:rsid w:val="00A12FD8"/>
    <w:rsid w:val="00A151D0"/>
    <w:rsid w:val="00A346FC"/>
    <w:rsid w:val="00A4706E"/>
    <w:rsid w:val="00A846F2"/>
    <w:rsid w:val="00A84F93"/>
    <w:rsid w:val="00AB1AC5"/>
    <w:rsid w:val="00AB3BFC"/>
    <w:rsid w:val="00AC4F2E"/>
    <w:rsid w:val="00AD0C37"/>
    <w:rsid w:val="00AD385F"/>
    <w:rsid w:val="00AD5660"/>
    <w:rsid w:val="00AE6E2A"/>
    <w:rsid w:val="00B002EA"/>
    <w:rsid w:val="00B03EAB"/>
    <w:rsid w:val="00B31E9C"/>
    <w:rsid w:val="00B35595"/>
    <w:rsid w:val="00B51C6D"/>
    <w:rsid w:val="00B83DD2"/>
    <w:rsid w:val="00B86D64"/>
    <w:rsid w:val="00BA4AC5"/>
    <w:rsid w:val="00BC1364"/>
    <w:rsid w:val="00BC2667"/>
    <w:rsid w:val="00BC7DE9"/>
    <w:rsid w:val="00BF479B"/>
    <w:rsid w:val="00C02577"/>
    <w:rsid w:val="00C204FB"/>
    <w:rsid w:val="00C20BEE"/>
    <w:rsid w:val="00C2158D"/>
    <w:rsid w:val="00C4439B"/>
    <w:rsid w:val="00C67DD2"/>
    <w:rsid w:val="00C725CB"/>
    <w:rsid w:val="00C76F5C"/>
    <w:rsid w:val="00C96BAD"/>
    <w:rsid w:val="00CA6944"/>
    <w:rsid w:val="00CB0F8E"/>
    <w:rsid w:val="00CB7E7D"/>
    <w:rsid w:val="00CC2911"/>
    <w:rsid w:val="00CD2C2C"/>
    <w:rsid w:val="00CF091F"/>
    <w:rsid w:val="00CF0C6D"/>
    <w:rsid w:val="00CF0DF7"/>
    <w:rsid w:val="00CF7307"/>
    <w:rsid w:val="00CF7C68"/>
    <w:rsid w:val="00D124FA"/>
    <w:rsid w:val="00D2600E"/>
    <w:rsid w:val="00D340DE"/>
    <w:rsid w:val="00D551C7"/>
    <w:rsid w:val="00D55723"/>
    <w:rsid w:val="00D62FAD"/>
    <w:rsid w:val="00D64355"/>
    <w:rsid w:val="00D70450"/>
    <w:rsid w:val="00D75A24"/>
    <w:rsid w:val="00D83BFD"/>
    <w:rsid w:val="00D90A38"/>
    <w:rsid w:val="00DA0515"/>
    <w:rsid w:val="00DA171E"/>
    <w:rsid w:val="00DA56AA"/>
    <w:rsid w:val="00DB5833"/>
    <w:rsid w:val="00DD2858"/>
    <w:rsid w:val="00E03E33"/>
    <w:rsid w:val="00E059E0"/>
    <w:rsid w:val="00E3642A"/>
    <w:rsid w:val="00E415C4"/>
    <w:rsid w:val="00E50016"/>
    <w:rsid w:val="00E50EAA"/>
    <w:rsid w:val="00E656D6"/>
    <w:rsid w:val="00E706F1"/>
    <w:rsid w:val="00E977EE"/>
    <w:rsid w:val="00EA2F24"/>
    <w:rsid w:val="00EA67A2"/>
    <w:rsid w:val="00EB630F"/>
    <w:rsid w:val="00EB6B6F"/>
    <w:rsid w:val="00EC4F98"/>
    <w:rsid w:val="00EE797C"/>
    <w:rsid w:val="00EE7B2B"/>
    <w:rsid w:val="00F12F02"/>
    <w:rsid w:val="00F135DC"/>
    <w:rsid w:val="00F32E0D"/>
    <w:rsid w:val="00F35134"/>
    <w:rsid w:val="00F37B9C"/>
    <w:rsid w:val="00F41812"/>
    <w:rsid w:val="00F569E3"/>
    <w:rsid w:val="00F715D1"/>
    <w:rsid w:val="00F72715"/>
    <w:rsid w:val="00F73333"/>
    <w:rsid w:val="00F83EAF"/>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694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08419B"/>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08419B"/>
    <w:rPr>
      <w:rFonts w:ascii="Arial Narrow" w:eastAsia="Times New Roman" w:hAnsi="Arial Narrow" w:cs="Arial"/>
      <w:b/>
      <w:bCs/>
      <w:iCs/>
      <w:sz w:val="20"/>
      <w:szCs w:val="20"/>
      <w:lang w:eastAsia="en-US"/>
    </w:rPr>
  </w:style>
  <w:style w:type="table" w:styleId="TableGrid">
    <w:name w:val="Table Grid"/>
    <w:aliases w:val="Summary box"/>
    <w:basedOn w:val="TableNormal"/>
    <w:uiPriority w:val="59"/>
    <w:locked/>
    <w:rsid w:val="005E7E5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4E4BBB"/>
    <w:pPr>
      <w:numPr>
        <w:numId w:val="27"/>
      </w:numPr>
      <w:ind w:left="720"/>
    </w:pPr>
    <w:rPr>
      <w:color w:val="000000"/>
    </w:rPr>
  </w:style>
  <w:style w:type="paragraph" w:customStyle="1" w:styleId="Bullet">
    <w:name w:val="Bullet"/>
    <w:basedOn w:val="BulletBeforeDash"/>
    <w:qFormat/>
    <w:rsid w:val="004E4BB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041180">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8342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1524 - Final PSD</dc:title>
  <dc:creator/>
  <cp:lastModifiedBy/>
  <cp:revision>1</cp:revision>
  <dcterms:created xsi:type="dcterms:W3CDTF">2019-10-22T03:54:00Z</dcterms:created>
  <dcterms:modified xsi:type="dcterms:W3CDTF">2019-10-22T03:55:00Z</dcterms:modified>
</cp:coreProperties>
</file>