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15ED" w14:textId="77777777" w:rsidR="00A819FB" w:rsidRDefault="00A819FB" w:rsidP="00A819FB">
      <w:pPr>
        <w:pStyle w:val="Heading1"/>
        <w:numPr>
          <w:ilvl w:val="0"/>
          <w:numId w:val="0"/>
        </w:numPr>
        <w:pBdr>
          <w:bottom w:val="none" w:sz="0" w:space="0" w:color="auto"/>
        </w:pBdr>
        <w:spacing w:before="0" w:after="0"/>
        <w:ind w:left="788"/>
        <w:jc w:val="center"/>
        <w:rPr>
          <w:rFonts w:ascii="Arial" w:hAnsi="Arial" w:cs="Arial"/>
          <w:b/>
          <w:bCs/>
          <w:color w:val="000080"/>
          <w:sz w:val="36"/>
          <w:szCs w:val="36"/>
        </w:rPr>
      </w:pPr>
      <w:r>
        <w:rPr>
          <w:rFonts w:ascii="Arial" w:hAnsi="Arial" w:cs="Arial"/>
          <w:b/>
          <w:bCs/>
          <w:color w:val="000080"/>
          <w:sz w:val="36"/>
          <w:szCs w:val="36"/>
        </w:rPr>
        <w:t>Medical Services Advisory Committee (MSAC)</w:t>
      </w:r>
    </w:p>
    <w:p w14:paraId="75CEA33A" w14:textId="0BE8B19A" w:rsidR="006B2C8F" w:rsidRPr="000F6CFA" w:rsidRDefault="006B2C8F" w:rsidP="000F6CFA">
      <w:pPr>
        <w:pStyle w:val="Heading1"/>
        <w:numPr>
          <w:ilvl w:val="0"/>
          <w:numId w:val="0"/>
        </w:numPr>
        <w:pBdr>
          <w:bottom w:val="none" w:sz="0" w:space="0" w:color="auto"/>
        </w:pBdr>
        <w:spacing w:before="0" w:after="0"/>
        <w:jc w:val="center"/>
        <w:rPr>
          <w:rFonts w:ascii="Arial" w:hAnsi="Arial" w:cs="Arial"/>
          <w:b/>
          <w:bCs/>
          <w:color w:val="000080"/>
          <w:sz w:val="36"/>
          <w:szCs w:val="36"/>
        </w:rPr>
      </w:pPr>
      <w:r>
        <w:rPr>
          <w:rFonts w:ascii="Arial" w:hAnsi="Arial" w:cs="Arial"/>
          <w:b/>
          <w:bCs/>
          <w:color w:val="000080"/>
          <w:sz w:val="36"/>
          <w:szCs w:val="36"/>
        </w:rPr>
        <w:t>Public Summary Document</w:t>
      </w:r>
    </w:p>
    <w:p w14:paraId="7A128FDE" w14:textId="7B839D4F" w:rsidR="00772829" w:rsidRPr="00FF148B" w:rsidRDefault="00772829" w:rsidP="000F6CFA">
      <w:pPr>
        <w:pStyle w:val="Subtitle"/>
        <w:spacing w:before="360"/>
        <w:ind w:left="788"/>
        <w:jc w:val="left"/>
        <w:rPr>
          <w:highlight w:val="cyan"/>
        </w:rPr>
      </w:pPr>
      <w:r w:rsidRPr="00CE28E3">
        <w:t xml:space="preserve">Application No. </w:t>
      </w:r>
      <w:r w:rsidR="00FF148B" w:rsidRPr="00FF148B">
        <w:t>1525.1</w:t>
      </w:r>
      <w:r w:rsidRPr="00FF148B">
        <w:t xml:space="preserve"> – </w:t>
      </w:r>
      <w:r w:rsidR="00FF148B" w:rsidRPr="00FF148B">
        <w:t>Low dose rate brachytherapy for intermediate</w:t>
      </w:r>
      <w:r w:rsidR="004137D8">
        <w:t>-</w:t>
      </w:r>
      <w:r w:rsidR="00FF148B" w:rsidRPr="00FF148B">
        <w:t xml:space="preserve"> and high-risk prostate cancer</w:t>
      </w:r>
    </w:p>
    <w:p w14:paraId="35263561" w14:textId="0FC24372" w:rsidR="00772829" w:rsidRPr="00CE28E3" w:rsidRDefault="00772829" w:rsidP="00772829">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FF148B" w:rsidRPr="00FF148B">
        <w:rPr>
          <w:rFonts w:ascii="Arial" w:hAnsi="Arial" w:cs="Arial"/>
          <w:b/>
          <w:szCs w:val="24"/>
        </w:rPr>
        <w:t>BXTAccelyon Australia Pty Ltd</w:t>
      </w:r>
    </w:p>
    <w:p w14:paraId="15DA9C4A" w14:textId="77841653" w:rsidR="009A3778" w:rsidRDefault="00772829" w:rsidP="00772829">
      <w:pPr>
        <w:tabs>
          <w:tab w:val="left" w:pos="3686"/>
        </w:tabs>
        <w:spacing w:after="360"/>
        <w:rPr>
          <w:rFonts w:ascii="Arial" w:hAnsi="Arial" w:cs="Arial"/>
          <w:b/>
          <w:szCs w:val="24"/>
        </w:rPr>
      </w:pPr>
      <w:r w:rsidRPr="00CE28E3">
        <w:rPr>
          <w:rFonts w:ascii="Arial" w:hAnsi="Arial" w:cs="Arial"/>
          <w:b/>
          <w:szCs w:val="24"/>
        </w:rPr>
        <w:t>Date of</w:t>
      </w:r>
      <w:r w:rsidR="0057279C">
        <w:rPr>
          <w:rFonts w:ascii="Arial" w:hAnsi="Arial" w:cs="Arial"/>
          <w:b/>
          <w:szCs w:val="24"/>
        </w:rPr>
        <w:t xml:space="preserve"> MSAC</w:t>
      </w:r>
      <w:r w:rsidRPr="00CE28E3">
        <w:rPr>
          <w:rFonts w:ascii="Arial" w:hAnsi="Arial" w:cs="Arial"/>
          <w:b/>
          <w:szCs w:val="24"/>
        </w:rPr>
        <w:t xml:space="preserve"> consideration:</w:t>
      </w:r>
      <w:r w:rsidRPr="00CE28E3">
        <w:rPr>
          <w:rFonts w:ascii="Arial" w:hAnsi="Arial" w:cs="Arial"/>
          <w:b/>
          <w:szCs w:val="24"/>
        </w:rPr>
        <w:tab/>
      </w:r>
      <w:r w:rsidR="006B2C8F">
        <w:rPr>
          <w:rFonts w:ascii="Arial" w:hAnsi="Arial" w:cs="Arial"/>
          <w:b/>
          <w:szCs w:val="24"/>
        </w:rPr>
        <w:t>30-31 March</w:t>
      </w:r>
      <w:r w:rsidR="00633E59">
        <w:rPr>
          <w:rFonts w:ascii="Arial" w:hAnsi="Arial" w:cs="Arial"/>
          <w:b/>
          <w:szCs w:val="24"/>
        </w:rPr>
        <w:t xml:space="preserve"> 2023</w:t>
      </w:r>
    </w:p>
    <w:p w14:paraId="4057B266" w14:textId="2C784CDD" w:rsidR="006B2C8F" w:rsidRDefault="006B2C8F" w:rsidP="006B2C8F">
      <w:pPr>
        <w:tabs>
          <w:tab w:val="left" w:pos="3686"/>
        </w:tabs>
        <w:spacing w:after="360"/>
        <w:rPr>
          <w:rFonts w:ascii="Arial" w:hAnsi="Arial" w:cs="Arial"/>
          <w:b/>
          <w:szCs w:val="24"/>
          <w:highlight w:val="cyan"/>
        </w:rPr>
      </w:pPr>
      <w:r>
        <w:t xml:space="preserve">Context for decision: MSAC makes its advice in accordance with its Terms of Reference, </w:t>
      </w:r>
      <w:hyperlink r:id="rId8" w:history="1">
        <w:r w:rsidRPr="005D5742">
          <w:rPr>
            <w:rStyle w:val="Hyperlink"/>
            <w:rFonts w:ascii="Calibri" w:hAnsi="Calibri" w:cs="Calibri"/>
            <w:shd w:val="clear" w:color="auto" w:fill="FFFFFF"/>
          </w:rPr>
          <w:t>visit the MSAC website</w:t>
        </w:r>
      </w:hyperlink>
      <w:r>
        <w:rPr>
          <w:rStyle w:val="Hyperlink"/>
          <w:rFonts w:ascii="Calibri" w:hAnsi="Calibri" w:cs="Calibri"/>
          <w:shd w:val="clear" w:color="auto" w:fill="FFFFFF"/>
        </w:rPr>
        <w:t>.</w:t>
      </w:r>
    </w:p>
    <w:p w14:paraId="7EAA7262" w14:textId="7DC1C769" w:rsidR="00772829" w:rsidRPr="00CE28E3" w:rsidRDefault="00C36633" w:rsidP="00633E59">
      <w:pPr>
        <w:pStyle w:val="Heading2"/>
        <w:numPr>
          <w:ilvl w:val="0"/>
          <w:numId w:val="0"/>
        </w:numPr>
      </w:pPr>
      <w:bookmarkStart w:id="0" w:name="_Toc69491415"/>
      <w:r>
        <w:t>1.</w:t>
      </w:r>
      <w:r>
        <w:tab/>
      </w:r>
      <w:r w:rsidR="00772829" w:rsidRPr="00CE28E3">
        <w:t xml:space="preserve">Purpose </w:t>
      </w:r>
      <w:r w:rsidR="00772829" w:rsidRPr="00633E59">
        <w:t>of</w:t>
      </w:r>
      <w:r w:rsidR="00772829" w:rsidRPr="00CE28E3">
        <w:t xml:space="preserve"> application</w:t>
      </w:r>
      <w:bookmarkEnd w:id="0"/>
    </w:p>
    <w:p w14:paraId="6BF31FF2" w14:textId="02095137" w:rsidR="00772829" w:rsidRDefault="00772829" w:rsidP="00772829">
      <w:pPr>
        <w:spacing w:after="240"/>
        <w:rPr>
          <w:iCs/>
        </w:rPr>
      </w:pPr>
      <w:bookmarkStart w:id="1" w:name="_Hlk69734469"/>
      <w:r w:rsidRPr="009A3778">
        <w:rPr>
          <w:iCs/>
        </w:rPr>
        <w:t xml:space="preserve">An application requesting </w:t>
      </w:r>
      <w:r w:rsidRPr="00904228">
        <w:rPr>
          <w:iCs/>
        </w:rPr>
        <w:t>Medicare Benefits Schedule (MBS) listing of</w:t>
      </w:r>
      <w:r w:rsidRPr="009A3778">
        <w:rPr>
          <w:iCs/>
        </w:rPr>
        <w:t xml:space="preserve"> </w:t>
      </w:r>
      <w:r w:rsidR="00904228">
        <w:rPr>
          <w:iCs/>
        </w:rPr>
        <w:t>low dose-rate</w:t>
      </w:r>
      <w:r w:rsidRPr="009A3778">
        <w:rPr>
          <w:iCs/>
        </w:rPr>
        <w:t xml:space="preserve"> </w:t>
      </w:r>
      <w:r w:rsidR="00904228">
        <w:rPr>
          <w:iCs/>
        </w:rPr>
        <w:t xml:space="preserve">brachytherapy (LDR-BT) </w:t>
      </w:r>
      <w:r w:rsidRPr="009A3778">
        <w:rPr>
          <w:iCs/>
        </w:rPr>
        <w:t xml:space="preserve">for </w:t>
      </w:r>
      <w:r w:rsidR="00904228">
        <w:rPr>
          <w:iCs/>
        </w:rPr>
        <w:t>intermediate and high-risk prostate cancer</w:t>
      </w:r>
      <w:r w:rsidRPr="009A3778">
        <w:rPr>
          <w:iCs/>
        </w:rPr>
        <w:t xml:space="preserve"> was received from the </w:t>
      </w:r>
      <w:r w:rsidR="00904228" w:rsidRPr="00904228">
        <w:rPr>
          <w:bCs/>
          <w:iCs/>
        </w:rPr>
        <w:t>BXTAccelyon Australia Pty Ltd</w:t>
      </w:r>
      <w:r w:rsidRPr="009A3778">
        <w:rPr>
          <w:iCs/>
        </w:rPr>
        <w:t xml:space="preserve"> by the Department of Health</w:t>
      </w:r>
      <w:r w:rsidR="00904228">
        <w:rPr>
          <w:iCs/>
        </w:rPr>
        <w:t xml:space="preserve"> and Aged Care</w:t>
      </w:r>
      <w:r w:rsidRPr="009A3778">
        <w:rPr>
          <w:iCs/>
        </w:rPr>
        <w:t>.</w:t>
      </w:r>
    </w:p>
    <w:p w14:paraId="6710B69D" w14:textId="37175D06" w:rsidR="00772829" w:rsidRDefault="00C36633" w:rsidP="002A18BE">
      <w:pPr>
        <w:pStyle w:val="Heading2"/>
        <w:numPr>
          <w:ilvl w:val="0"/>
          <w:numId w:val="0"/>
        </w:numPr>
      </w:pPr>
      <w:bookmarkStart w:id="2" w:name="_Toc69491416"/>
      <w:bookmarkEnd w:id="1"/>
      <w:r>
        <w:t>2.</w:t>
      </w:r>
      <w:r>
        <w:tab/>
      </w:r>
      <w:bookmarkEnd w:id="2"/>
      <w:r w:rsidR="006B2C8F">
        <w:t>MSAC’s advice to the Minister</w:t>
      </w:r>
    </w:p>
    <w:p w14:paraId="3BFCBE1C" w14:textId="22FBCD82" w:rsidR="00281AC0" w:rsidRDefault="00281AC0" w:rsidP="00281AC0">
      <w:pPr>
        <w:rPr>
          <w:szCs w:val="24"/>
        </w:rPr>
      </w:pPr>
      <w:r w:rsidRPr="00D81A81">
        <w:t>After considering the strength of the available evidence in relation to comparative safety</w:t>
      </w:r>
      <w:r>
        <w:t xml:space="preserve"> and</w:t>
      </w:r>
      <w:r w:rsidRPr="00D81A81">
        <w:t xml:space="preserve"> clinical effectiveness, </w:t>
      </w:r>
      <w:r w:rsidRPr="00E43529">
        <w:t>MSAC did not support progression to the second (economic) stage of the assessment for low dose-rate brachytherapy (LDR-BT) boost (following primary external beam radiotherapy [EBRT]) for intermediate and high-risk prostate cancer. MSAC considered that the limited new evidence presented did not change its previous conclusions from August 2019 that</w:t>
      </w:r>
      <w:r w:rsidR="009D3F31">
        <w:t>,</w:t>
      </w:r>
      <w:r w:rsidRPr="00E43529">
        <w:t xml:space="preserve"> compared with dose-escalated </w:t>
      </w:r>
      <w:r w:rsidR="00862E7E">
        <w:t>DE-</w:t>
      </w:r>
      <w:r w:rsidRPr="00E43529">
        <w:t xml:space="preserve">EBRT, EBRT plus LDR-BT boost has inferior safety and uncertain effectiveness. Compared with high dose-rate (HDR) brachytherapy boost following EBRT, MSAC considered that the additional very low certainty evidence assessed in this </w:t>
      </w:r>
      <w:r w:rsidR="008730EA" w:rsidRPr="00E43529">
        <w:t>re</w:t>
      </w:r>
      <w:r w:rsidR="008730EA">
        <w:t>submission</w:t>
      </w:r>
      <w:r w:rsidR="008730EA" w:rsidRPr="00E43529">
        <w:t xml:space="preserve"> </w:t>
      </w:r>
      <w:r w:rsidRPr="00E43529">
        <w:t xml:space="preserve">suggested that LDR-BT boost has </w:t>
      </w:r>
      <w:r w:rsidR="00F52D3D">
        <w:t>uncertain</w:t>
      </w:r>
      <w:r w:rsidR="006F520F">
        <w:t xml:space="preserve"> safety</w:t>
      </w:r>
      <w:r w:rsidR="00F52D3D">
        <w:t xml:space="preserve"> (possibly non</w:t>
      </w:r>
      <w:r w:rsidRPr="00E43529">
        <w:t>inferior safety</w:t>
      </w:r>
      <w:r w:rsidR="00731BA9">
        <w:t xml:space="preserve"> over the longer term</w:t>
      </w:r>
      <w:r w:rsidR="00F52D3D">
        <w:t>)</w:t>
      </w:r>
      <w:r w:rsidRPr="00E43529">
        <w:t xml:space="preserve"> and uncertain effectiveness. MSAC considered that there is insufficient evidence to support use of biochemical progression</w:t>
      </w:r>
      <w:r>
        <w:t>-</w:t>
      </w:r>
      <w:r w:rsidRPr="00E43529">
        <w:t>free survival as an intermediate clinical endpoint in prostate cancer radiation therapy-based trials, in the absence of other</w:t>
      </w:r>
      <w:r>
        <w:t xml:space="preserve"> direct</w:t>
      </w:r>
      <w:r w:rsidRPr="00E43529">
        <w:t xml:space="preserve"> evidence of clinical benefit</w:t>
      </w:r>
      <w:r>
        <w:t>.</w:t>
      </w:r>
    </w:p>
    <w:tbl>
      <w:tblPr>
        <w:tblStyle w:val="TableGrid"/>
        <w:tblW w:w="0" w:type="auto"/>
        <w:tblLook w:val="04A0" w:firstRow="1" w:lastRow="0" w:firstColumn="1" w:lastColumn="0" w:noHBand="0" w:noVBand="1"/>
        <w:tblDescription w:val="Consumer summary of MSAC consideration"/>
      </w:tblPr>
      <w:tblGrid>
        <w:gridCol w:w="9016"/>
      </w:tblGrid>
      <w:tr w:rsidR="00281AC0" w:rsidRPr="00AF46D8" w14:paraId="6C82B5DD" w14:textId="77777777" w:rsidTr="009D3F31">
        <w:trPr>
          <w:tblHeader/>
        </w:trPr>
        <w:tc>
          <w:tcPr>
            <w:tcW w:w="9016" w:type="dxa"/>
          </w:tcPr>
          <w:p w14:paraId="6A161724" w14:textId="77777777" w:rsidR="00281AC0" w:rsidRPr="00AF46D8" w:rsidRDefault="00281AC0" w:rsidP="007E2DFC">
            <w:pPr>
              <w:pStyle w:val="Heading3"/>
              <w:spacing w:before="120" w:after="120"/>
              <w:outlineLvl w:val="2"/>
              <w:rPr>
                <w:rFonts w:eastAsiaTheme="minorHAnsi" w:cstheme="minorBidi"/>
                <w:iCs/>
              </w:rPr>
            </w:pPr>
            <w:r w:rsidRPr="00AF46D8">
              <w:t>Consumer summary</w:t>
            </w:r>
            <w:r>
              <w:t xml:space="preserve"> </w:t>
            </w:r>
          </w:p>
        </w:tc>
      </w:tr>
      <w:tr w:rsidR="00281AC0" w:rsidRPr="00AF46D8" w14:paraId="53846146" w14:textId="77777777" w:rsidTr="009D3F31">
        <w:tc>
          <w:tcPr>
            <w:tcW w:w="9016" w:type="dxa"/>
          </w:tcPr>
          <w:p w14:paraId="6D87CDCD" w14:textId="74400C56" w:rsidR="00281AC0" w:rsidRDefault="00281AC0" w:rsidP="009D3F31">
            <w:r w:rsidRPr="00AF46D8">
              <w:t xml:space="preserve">This is an application from </w:t>
            </w:r>
            <w:r>
              <w:t>BXTAccelyon Australia</w:t>
            </w:r>
            <w:r w:rsidRPr="00AF46D8">
              <w:t xml:space="preserve"> requesting Medicare Benefits Schedule (MBS) listing o</w:t>
            </w:r>
            <w:r>
              <w:t>f low dose-rate brachytherapy</w:t>
            </w:r>
            <w:r w:rsidR="00B9273F">
              <w:t xml:space="preserve"> (LDR-BT)</w:t>
            </w:r>
            <w:r>
              <w:t xml:space="preserve"> for the treatment of intermediate- and high-risk prostate cancer. This is a resubmission that is in the first stage of a two-stage application process, so only effectiveness and safety were considered (i.e. not value for money or costs).</w:t>
            </w:r>
          </w:p>
          <w:p w14:paraId="0DEF2EAE" w14:textId="42F8D285" w:rsidR="00281AC0" w:rsidRDefault="00281AC0" w:rsidP="009D3F31">
            <w:r>
              <w:t>Radiation therapy is commonly used in cancer treatments, where radioactivity is used to kill cancer cells. In low dose-rate brachytherapy, small radioactive “seeds” are placed into the prostate gland and stay there permanently to deliver radiation close to the tumour. This is done to boost the radiation dose after a patient has already had radiation directed at the tumour from outside the body (called external beam radiotherapy, or EBRT).</w:t>
            </w:r>
            <w:r w:rsidR="00287B6E">
              <w:t xml:space="preserve"> </w:t>
            </w:r>
            <w:r w:rsidR="00287B6E" w:rsidRPr="00287B6E">
              <w:t>Other options for patients who have already had EBRT are more doses of EBRT (called dose-escalated EBRT</w:t>
            </w:r>
            <w:r w:rsidR="00E66F48">
              <w:t xml:space="preserve"> or </w:t>
            </w:r>
            <w:r w:rsidR="00E66F48">
              <w:lastRenderedPageBreak/>
              <w:t>DE-EBRT</w:t>
            </w:r>
            <w:r w:rsidR="00287B6E" w:rsidRPr="00287B6E">
              <w:t>) or temporary radiation given through a small tube into the prostate (called high dose-rate brachytherapy, or HDR-BT).</w:t>
            </w:r>
          </w:p>
          <w:p w14:paraId="2BDE90C5" w14:textId="2B4AA17C" w:rsidR="00281AC0" w:rsidRDefault="00281AC0" w:rsidP="009D3F31">
            <w:r>
              <w:t>Low dose-rate brachytherapy is already listed on the MBS for use in patients who have low-risk prostate cancer. This application is requesting MBS listing for low dose-rate brachytherapy to be used as a radiation boost after EBRT in patients with intermediate- to high-risk prostate cancer</w:t>
            </w:r>
            <w:r w:rsidR="00274AFC">
              <w:t>.</w:t>
            </w:r>
          </w:p>
          <w:p w14:paraId="14649AF4" w14:textId="33BB751F" w:rsidR="00281AC0" w:rsidRPr="00463E4C" w:rsidRDefault="00281AC0" w:rsidP="009D3F31">
            <w:r w:rsidRPr="00463E4C">
              <w:t xml:space="preserve">Overall, MSAC considered the new studies provided in the resubmission to be of </w:t>
            </w:r>
            <w:r w:rsidR="005565C3">
              <w:t xml:space="preserve">very </w:t>
            </w:r>
            <w:r w:rsidRPr="00463E4C">
              <w:t xml:space="preserve">low quality, so there was no evidence to prove that low dose-rate brachytherapy benefits people with intermediate- and high-risk prostate cancer. </w:t>
            </w:r>
            <w:r>
              <w:t>Furthermore, MSAC considered that</w:t>
            </w:r>
            <w:r w:rsidRPr="00463E4C">
              <w:t xml:space="preserve"> low dose-rate brachytherapy </w:t>
            </w:r>
            <w:r>
              <w:t>is</w:t>
            </w:r>
            <w:r w:rsidRPr="00463E4C">
              <w:t xml:space="preserve"> less safe than other treatments</w:t>
            </w:r>
            <w:r>
              <w:t xml:space="preserve"> when used in these patients</w:t>
            </w:r>
            <w:r w:rsidRPr="00463E4C">
              <w:t>.</w:t>
            </w:r>
          </w:p>
          <w:p w14:paraId="72993DC2" w14:textId="5949BB95" w:rsidR="00281AC0" w:rsidRPr="00463E4C" w:rsidRDefault="00281AC0" w:rsidP="009D3F31">
            <w:pPr>
              <w:pStyle w:val="Heading3"/>
              <w:outlineLvl w:val="2"/>
            </w:pPr>
            <w:r w:rsidRPr="00463E4C">
              <w:t>MSAC’s advice to the Commonwealth Minister for Health</w:t>
            </w:r>
            <w:r w:rsidR="00CE56D5">
              <w:t xml:space="preserve"> and Aged Care</w:t>
            </w:r>
          </w:p>
          <w:p w14:paraId="7BE32160" w14:textId="0B72F68B" w:rsidR="00281AC0" w:rsidRPr="00AF46D8" w:rsidRDefault="00281AC0" w:rsidP="009D3F31">
            <w:r w:rsidRPr="00463E4C">
              <w:t xml:space="preserve">MSAC did not support </w:t>
            </w:r>
            <w:r>
              <w:t xml:space="preserve">progressing this application for </w:t>
            </w:r>
            <w:r w:rsidRPr="00463E4C">
              <w:t xml:space="preserve">low dose-rate brachytherapy for the treatment of intermediate- and high-risk prostate cancer. </w:t>
            </w:r>
            <w:r w:rsidR="00BC40B6">
              <w:t xml:space="preserve">Overall, </w:t>
            </w:r>
            <w:r w:rsidRPr="00463E4C">
              <w:t>MSAC considered low dose-rate brachytherapy to be less safe than other treatments</w:t>
            </w:r>
            <w:r>
              <w:t xml:space="preserve"> for these patients</w:t>
            </w:r>
            <w:r w:rsidRPr="00463E4C">
              <w:t>, and was not convinced of its effectiveness</w:t>
            </w:r>
            <w:r>
              <w:t>.</w:t>
            </w:r>
          </w:p>
        </w:tc>
      </w:tr>
    </w:tbl>
    <w:p w14:paraId="15DD5AE9" w14:textId="697D338A" w:rsidR="006B2C8F" w:rsidRDefault="006B2C8F" w:rsidP="00D24449">
      <w:pPr>
        <w:pStyle w:val="Heading2"/>
        <w:numPr>
          <w:ilvl w:val="0"/>
          <w:numId w:val="0"/>
        </w:numPr>
      </w:pPr>
      <w:r>
        <w:lastRenderedPageBreak/>
        <w:t>3.</w:t>
      </w:r>
      <w:r>
        <w:tab/>
        <w:t>Summary of consideration and rationale for MSAC’s advice</w:t>
      </w:r>
    </w:p>
    <w:p w14:paraId="595DA5C8" w14:textId="77777777" w:rsidR="00AE1BDB" w:rsidRDefault="00AE1BDB" w:rsidP="00AE1BDB">
      <w:r w:rsidRPr="00516D4E">
        <w:t>MSAC</w:t>
      </w:r>
      <w:r>
        <w:t xml:space="preserve"> noted that this application from BXTAccelyon Australia Pty Ltd was requesting Medicare Benefits Schedule (MBS) listing of low dose-rate brachytherapy (LDR-BT) for intermediate- and high-risk prostate cancer. LDR-BT is used as a boost following external beam radiotherapy (EBRT) to deliver a higher dose of radiation to the prostate, which is supported in current international prostate cancer consensus guidelines.</w:t>
      </w:r>
    </w:p>
    <w:p w14:paraId="78ADDF37" w14:textId="6378F41C" w:rsidR="00AE1BDB" w:rsidRDefault="00AE1BDB" w:rsidP="00AE1BDB">
      <w:r>
        <w:t xml:space="preserve">MSAC noted that it previously considered LDR-BT for intermediate- and high-risk prostate cancer groups at its </w:t>
      </w:r>
      <w:hyperlink r:id="rId9" w:history="1">
        <w:r w:rsidRPr="0015566A">
          <w:rPr>
            <w:rStyle w:val="Hyperlink"/>
          </w:rPr>
          <w:t>August 2019 meeting</w:t>
        </w:r>
      </w:hyperlink>
      <w:r>
        <w:t>. MSAC did not support public funding of LDR-BT boost (following EBRT, i.e. EBRT+LDR-BT</w:t>
      </w:r>
      <w:r w:rsidR="0015008C">
        <w:t xml:space="preserve"> boost</w:t>
      </w:r>
      <w:r>
        <w:t>) because comparative safety and effectiveness were too uncertain relative to dose-escalated EBRT (DE-EBRT) and no evidence was provided relative to high dose-rate (HDR) brachytherapy boost following EBRT (EBRT+HDR-BT</w:t>
      </w:r>
      <w:r w:rsidR="0015008C">
        <w:t xml:space="preserve"> boost</w:t>
      </w:r>
      <w:r>
        <w:t>) or radical prostatectomy (RP). MSAC concluded that, relative to DE-EBRT, EBRT+LDR-BT</w:t>
      </w:r>
      <w:r w:rsidR="0015008C">
        <w:t xml:space="preserve"> boost</w:t>
      </w:r>
      <w:r>
        <w:t xml:space="preserve"> has superior effectiveness for biochemical progression-free survival (bPFS), but uncertain effectiveness for overall survival (OS), metastasis-free survival (MFS) and prostate cancer-specific survival (PCSS). MSAC also concluded that EBRT+LDR-BT</w:t>
      </w:r>
      <w:r w:rsidR="0015008C">
        <w:t xml:space="preserve"> boost</w:t>
      </w:r>
      <w:r>
        <w:t xml:space="preserve"> has inferior safety relative to DE-EBRT.</w:t>
      </w:r>
    </w:p>
    <w:p w14:paraId="415940F5" w14:textId="77777777" w:rsidR="00AE1BDB" w:rsidRDefault="00AE1BDB" w:rsidP="00AE1BDB">
      <w:r>
        <w:t>MSAC noted that in August 2019, it advised that a future resubmission should include:</w:t>
      </w:r>
    </w:p>
    <w:p w14:paraId="181DDA23" w14:textId="77777777" w:rsidR="00AE1BDB" w:rsidRDefault="00AE1BDB" w:rsidP="00AE1BDB">
      <w:pPr>
        <w:pStyle w:val="ListParagraph"/>
        <w:numPr>
          <w:ilvl w:val="0"/>
          <w:numId w:val="28"/>
        </w:numPr>
        <w:spacing w:before="0" w:after="0" w:line="240" w:lineRule="auto"/>
      </w:pPr>
      <w:r>
        <w:t>comparative safety data based on up-to-date practice, ideally for all three comparators</w:t>
      </w:r>
    </w:p>
    <w:p w14:paraId="4C46301B" w14:textId="52D503B7" w:rsidR="00AE1BDB" w:rsidRDefault="00AE1BDB" w:rsidP="00AE1BDB">
      <w:pPr>
        <w:pStyle w:val="ListParagraph"/>
        <w:numPr>
          <w:ilvl w:val="0"/>
          <w:numId w:val="28"/>
        </w:numPr>
        <w:spacing w:before="0" w:after="0" w:line="240" w:lineRule="auto"/>
      </w:pPr>
      <w:r>
        <w:t>effectiveness data for EBRT+HDR-BT</w:t>
      </w:r>
      <w:r w:rsidR="00052792">
        <w:t xml:space="preserve"> boost</w:t>
      </w:r>
      <w:r>
        <w:t xml:space="preserve"> and RP</w:t>
      </w:r>
    </w:p>
    <w:p w14:paraId="3BB048E9" w14:textId="77777777" w:rsidR="00AE1BDB" w:rsidRDefault="00AE1BDB" w:rsidP="00AE1BDB">
      <w:pPr>
        <w:pStyle w:val="ListParagraph"/>
        <w:numPr>
          <w:ilvl w:val="0"/>
          <w:numId w:val="28"/>
        </w:numPr>
        <w:spacing w:before="0" w:after="0" w:line="240" w:lineRule="auto"/>
      </w:pPr>
      <w:r>
        <w:t>updated cost-effectiveness analyses to reflect any newly relevant comparative safety and effectiveness data.</w:t>
      </w:r>
    </w:p>
    <w:p w14:paraId="74E9E8F6" w14:textId="77777777" w:rsidR="00AE1BDB" w:rsidRDefault="00AE1BDB" w:rsidP="00AE1BDB">
      <w:r>
        <w:t xml:space="preserve">MSAC noted that, for this resubmission, the applicant has chosen to undergo a two-stage assessment report pathway – an option available to applicants as per the </w:t>
      </w:r>
      <w:hyperlink r:id="rId10" w:history="1">
        <w:r w:rsidRPr="00FE237F">
          <w:rPr>
            <w:rStyle w:val="Hyperlink"/>
          </w:rPr>
          <w:t>MSAC Process Framework</w:t>
        </w:r>
      </w:hyperlink>
      <w:r>
        <w:t>. The applicant has provided evidence for safety and clinical effectiveness that has become available since the previous MSAC consideration in 2019. If this first stage is successful, the applicant will submit an economic evaluation and financial impact analysis in the second stage.</w:t>
      </w:r>
    </w:p>
    <w:p w14:paraId="4C9B08CC" w14:textId="157582E8" w:rsidR="00AE1BDB" w:rsidRDefault="00AE1BDB" w:rsidP="00AE1BDB">
      <w:r>
        <w:lastRenderedPageBreak/>
        <w:t>MSAC noted from the pre-MSAC response that EBRT+LDR-BT</w:t>
      </w:r>
      <w:r w:rsidR="0015008C">
        <w:t xml:space="preserve"> boost</w:t>
      </w:r>
      <w:r>
        <w:t xml:space="preserve"> has been adopted in most countries and is considered standard therapy for the treatment of intermediate and high-risk prostate cancer.</w:t>
      </w:r>
    </w:p>
    <w:p w14:paraId="4EE862ED" w14:textId="23209581" w:rsidR="00840D8B" w:rsidRDefault="00840D8B" w:rsidP="00840D8B">
      <w:r>
        <w:t>MSAC noted that this resubmission proposed changes to the PICO-ratified population, reclassifying patients with intermediate-risk prostate cancer as having a prostate-specific antigen (PSA) of &gt;10.0 ng/mL and &lt;20.0 ng/mL, and/or a Gleason score of 7, and/or T2b-c; and high-risk prostate cancer as having a PSA &gt;20.0 ng/mL, and/or a Gleason score of 8–10, and/or T3a, or two or more intermediate risk factors. MSAC noted that the revised population is not consistent with the current NCCN Prostate Cancer Guidelines, which stratifies the intermediate-risk category into “favourable” (low-intermediate risk) and “unfavourable” (high-intermediate risk) subgroups. According to the current NCCN guidelines, only the “unfavourable” subgroup would be eligible for EBRT+LDR-BT</w:t>
      </w:r>
      <w:r w:rsidR="0015008C">
        <w:t xml:space="preserve"> boost</w:t>
      </w:r>
      <w:r>
        <w:t>.</w:t>
      </w:r>
    </w:p>
    <w:p w14:paraId="7EB3E05C" w14:textId="77777777" w:rsidR="00AE1BDB" w:rsidRDefault="00AE1BDB" w:rsidP="00AE1BDB">
      <w:r>
        <w:t>MSAC noted that the applicant had modified the two proposed item descriptors – one for a radiation oncologist and one for a urologist – from the previous submission to include revised histological grading (the International Society of Urological Pathway [ISUP] Grade Group system), which MSAC considered appropriate.</w:t>
      </w:r>
    </w:p>
    <w:p w14:paraId="55B323A1" w14:textId="48C09797" w:rsidR="00AE1BDB" w:rsidRDefault="00AE1BDB" w:rsidP="00AE1BDB">
      <w:r>
        <w:t xml:space="preserve">MSAC noted from the pre-MSAC response that, although the applicant </w:t>
      </w:r>
      <w:r w:rsidR="00DD4DE1">
        <w:t xml:space="preserve">considered </w:t>
      </w:r>
      <w:r>
        <w:t xml:space="preserve">the current proposed item descriptor is reasonable considering the complexities, they are open to any alterations that MSAC considers appropriate. MSAC noted that ESC had considered the current item descriptors to be very specific </w:t>
      </w:r>
      <w:r w:rsidR="009D3F31">
        <w:t xml:space="preserve">regarding </w:t>
      </w:r>
      <w:r>
        <w:t xml:space="preserve">the appropriate population and consistent with the pivotal ASCENDE-RT trial and PICO population. ESC had considered that using international staging/risk groupings is important, but using NCCN-specific risk groups could result in an outdated item descriptor as the guidelines are continually updated; MSAC </w:t>
      </w:r>
      <w:r w:rsidR="00BF6245">
        <w:t xml:space="preserve">considered </w:t>
      </w:r>
      <w:r>
        <w:t xml:space="preserve">that the use of any grading system is potentially problematic. MSAC noted ESC’s advice that the “current” World Health Organization (WHO) “Blue Book” classification system could be considered as the grading system used in the item descriptors; the WHO 2022 system is current, and it is expected this will be updated every 3 to 6 years. MSAC considered it important that the item descriptor reflects </w:t>
      </w:r>
      <w:r w:rsidR="00102242">
        <w:t>contemporary</w:t>
      </w:r>
      <w:r>
        <w:t xml:space="preserve"> clinical practice.</w:t>
      </w:r>
    </w:p>
    <w:p w14:paraId="4F8E97EF" w14:textId="07CBDDBA" w:rsidR="00CC6C27" w:rsidRDefault="00B30E53" w:rsidP="00AE1BDB">
      <w:r>
        <w:t xml:space="preserve">MSAC noted there are several </w:t>
      </w:r>
      <w:r w:rsidR="00D15BDC">
        <w:t>MBS-reimbursed comparator</w:t>
      </w:r>
      <w:r>
        <w:t xml:space="preserve"> options available</w:t>
      </w:r>
      <w:r w:rsidR="00451373">
        <w:t xml:space="preserve"> for this patient population</w:t>
      </w:r>
      <w:r>
        <w:t xml:space="preserve">: </w:t>
      </w:r>
      <w:r w:rsidR="00281878">
        <w:t>DE-</w:t>
      </w:r>
      <w:r w:rsidR="00D85C83">
        <w:t xml:space="preserve">EBRT or EBRT+HDR-BT boost. </w:t>
      </w:r>
      <w:r w:rsidR="00CC6C27">
        <w:t xml:space="preserve">MSAC agreed with the applicant-developed assessment report (ADAR) that RP exclusion from the comparator list is appropriate. </w:t>
      </w:r>
    </w:p>
    <w:p w14:paraId="546ABB38" w14:textId="56E5C36D" w:rsidR="00AE1BDB" w:rsidRDefault="00AE1BDB" w:rsidP="00AE1BDB">
      <w:r w:rsidRPr="0070453F">
        <w:t xml:space="preserve">MSAC noted that one of the primary outcomes of the revised PICO was quality of life, </w:t>
      </w:r>
      <w:r w:rsidR="00C53729">
        <w:t>and</w:t>
      </w:r>
      <w:r w:rsidR="00C53729" w:rsidRPr="0070453F">
        <w:t xml:space="preserve"> </w:t>
      </w:r>
      <w:r w:rsidRPr="0070453F">
        <w:t xml:space="preserve">that </w:t>
      </w:r>
      <w:r w:rsidR="00C53729">
        <w:t>only limited</w:t>
      </w:r>
      <w:r w:rsidR="00C53729" w:rsidRPr="0070453F">
        <w:t xml:space="preserve"> </w:t>
      </w:r>
      <w:r w:rsidRPr="0070453F">
        <w:t>evidence for this had been provided. MSAC also considered that some of the secondary outcomes outlined in the revised PICO would usually be considered as primary outcomes</w:t>
      </w:r>
      <w:r w:rsidR="00612579">
        <w:t xml:space="preserve"> (e.g. </w:t>
      </w:r>
      <w:r w:rsidR="002C5F21">
        <w:t>OS</w:t>
      </w:r>
      <w:r w:rsidR="00612579">
        <w:t xml:space="preserve">, </w:t>
      </w:r>
      <w:r w:rsidR="00B054CA">
        <w:t>MFS</w:t>
      </w:r>
      <w:r w:rsidR="00D6723F">
        <w:t xml:space="preserve"> and </w:t>
      </w:r>
      <w:r w:rsidR="00961B30">
        <w:t>PCSS</w:t>
      </w:r>
      <w:r w:rsidR="00D6723F">
        <w:t>)</w:t>
      </w:r>
      <w:r w:rsidRPr="0070453F">
        <w:t>.</w:t>
      </w:r>
    </w:p>
    <w:p w14:paraId="307F6565" w14:textId="1F845B9E" w:rsidR="00AE1BDB" w:rsidRDefault="00AE1BDB" w:rsidP="00AE1BDB">
      <w:r>
        <w:t xml:space="preserve">MSAC noted that the resubmission identified 16 mostly retrospective studies (including four from the ASCENDE-RT trial), </w:t>
      </w:r>
      <w:r w:rsidR="00360528">
        <w:t xml:space="preserve">but that the commentary deemed only one randomised controlled trial (RCT) – the ASCENDE-RT, included in the previous submission – and four observational studies to be relevant to the assessment, as the other studies did not include an eligible comparator. </w:t>
      </w:r>
      <w:r>
        <w:t>MSAC considered these exclusions appropriate. MSAC also noted that no new evidence was reported in the resubmission for comparative safety and effectiveness of EBRT+LDR-BT</w:t>
      </w:r>
      <w:r w:rsidR="0015008C">
        <w:t xml:space="preserve"> boost</w:t>
      </w:r>
      <w:r>
        <w:t xml:space="preserve"> versus DE-EBRT, relying on </w:t>
      </w:r>
      <w:r w:rsidR="005C4011">
        <w:t xml:space="preserve">updated </w:t>
      </w:r>
      <w:r>
        <w:t>data from the ASCENDE-RT trial</w:t>
      </w:r>
      <w:r w:rsidR="00C7789F">
        <w:t xml:space="preserve"> identified in the commentary</w:t>
      </w:r>
      <w:r>
        <w:t xml:space="preserve">. MSAC noted the pre-ESC response that stated that the ASCENDE-RT trial will continue to be the largest trial ever performed in this patient population. </w:t>
      </w:r>
      <w:r w:rsidR="005C4011">
        <w:t xml:space="preserve">MSAC noted that all four retrospective studies </w:t>
      </w:r>
      <w:r w:rsidR="005C4011" w:rsidRPr="00F96E54">
        <w:t>informing safety and clinical effectiveness of EBRT+LDR-BT boost vs EBRT+HDR-BT boost</w:t>
      </w:r>
      <w:r w:rsidR="005C4011">
        <w:t xml:space="preserve"> had a moderate to serious risk of bias, and ha</w:t>
      </w:r>
      <w:r w:rsidR="009D3F31">
        <w:t>d</w:t>
      </w:r>
      <w:r w:rsidR="005C4011">
        <w:t xml:space="preserve"> issues around patient selection, missing data, outcome measurements and a lack of risk stratification, making it difficult to generalise the findings to the population of interest. </w:t>
      </w:r>
      <w:r>
        <w:t xml:space="preserve">MSAC noted that there is an ongoing randomised controlled trial (RCT) </w:t>
      </w:r>
      <w:r>
        <w:lastRenderedPageBreak/>
        <w:t>comparing quality of life and PSA recurrence-free survival of ERBT+LDR-BT</w:t>
      </w:r>
      <w:r w:rsidR="0015008C">
        <w:t xml:space="preserve"> boost</w:t>
      </w:r>
      <w:r>
        <w:t xml:space="preserve"> versus EBRT+HDR-BT</w:t>
      </w:r>
      <w:r w:rsidR="0015008C">
        <w:t xml:space="preserve"> boost</w:t>
      </w:r>
      <w:r w:rsidR="00B652B2">
        <w:t xml:space="preserve"> (NCT019</w:t>
      </w:r>
      <w:r w:rsidR="00DC47A2">
        <w:t>36883)</w:t>
      </w:r>
      <w:r>
        <w:t>.</w:t>
      </w:r>
    </w:p>
    <w:p w14:paraId="2261AD02" w14:textId="7C0C5A90" w:rsidR="00AE1BDB" w:rsidRDefault="00AE1BDB" w:rsidP="00AE1BDB">
      <w:r>
        <w:t>MSAC noted that the clinical claim of superiority versus DE-EBRT and noninferiority versus EBRT+HDR-BT</w:t>
      </w:r>
      <w:r w:rsidR="00052792">
        <w:t xml:space="preserve"> boost</w:t>
      </w:r>
      <w:r>
        <w:t xml:space="preserve"> is the same as that from the previous application.</w:t>
      </w:r>
    </w:p>
    <w:p w14:paraId="1836ECFC" w14:textId="64EC8DF2" w:rsidR="00AE1BDB" w:rsidRPr="00AE09BC" w:rsidRDefault="00AE1BDB" w:rsidP="00AE1BDB">
      <w:r>
        <w:t>Regarding comparative safety of EBRT+LDR-BT</w:t>
      </w:r>
      <w:r w:rsidR="00052792">
        <w:t xml:space="preserve"> boost</w:t>
      </w:r>
      <w:r>
        <w:t xml:space="preserve"> versus DE-EBRT, MSAC </w:t>
      </w:r>
      <w:r w:rsidR="00EF2132">
        <w:t xml:space="preserve">recalled </w:t>
      </w:r>
      <w:r>
        <w:t>that results from the ASCENDE-RT trial showed that 5-year cumulative incidence of Grade 3 genitourinary (GU) toxicity events was significantly higher for EBRT+LDR-BT</w:t>
      </w:r>
      <w:r w:rsidR="00052792">
        <w:t xml:space="preserve"> boost</w:t>
      </w:r>
      <w:r>
        <w:t xml:space="preserve"> (18.4% versus 5.2%; </w:t>
      </w:r>
      <w:r>
        <w:rPr>
          <w:i/>
          <w:iCs/>
        </w:rPr>
        <w:t>P </w:t>
      </w:r>
      <w:r>
        <w:t xml:space="preserve">&lt;0.001). </w:t>
      </w:r>
      <w:r w:rsidR="00922E07">
        <w:t>Compared with</w:t>
      </w:r>
      <w:r>
        <w:t xml:space="preserve"> EBRT+HDR-BT</w:t>
      </w:r>
      <w:r w:rsidR="00922E07">
        <w:t xml:space="preserve"> boost</w:t>
      </w:r>
      <w:r>
        <w:t>, MSAC noted that EBRT+LDR-BT</w:t>
      </w:r>
      <w:r w:rsidR="00052792">
        <w:t xml:space="preserve"> boost</w:t>
      </w:r>
      <w:r>
        <w:t xml:space="preserve"> had a greater number of GU toxicity events, but there was no difference in severe (≥) Grade 3 toxicity. Differences in toxicity between the intervention and comparator were most prominent in the short term, but resolved with long-term follow-up</w:t>
      </w:r>
      <w:r w:rsidR="00501ADF">
        <w:t xml:space="preserve">; MSAC </w:t>
      </w:r>
      <w:r w:rsidR="009A2DE5">
        <w:t>considered that</w:t>
      </w:r>
      <w:r w:rsidR="009D3F31">
        <w:t>,</w:t>
      </w:r>
      <w:r w:rsidR="009A2DE5">
        <w:t xml:space="preserve"> </w:t>
      </w:r>
      <w:r w:rsidR="00F808D8">
        <w:t>compared with</w:t>
      </w:r>
      <w:r w:rsidR="00F808D8" w:rsidRPr="00F808D8">
        <w:t xml:space="preserve"> </w:t>
      </w:r>
      <w:r w:rsidR="00F808D8">
        <w:t>EBRT+HDR-BT boost</w:t>
      </w:r>
      <w:r w:rsidR="009D3F31">
        <w:t>,</w:t>
      </w:r>
      <w:r w:rsidR="00F808D8">
        <w:t xml:space="preserve"> </w:t>
      </w:r>
      <w:r w:rsidR="009A2DE5">
        <w:t>EBRT+LDR-BT boost has possibly inferior safety over the short term and noninferior safety over the longer term</w:t>
      </w:r>
      <w:r w:rsidR="00322EEA">
        <w:t>.</w:t>
      </w:r>
      <w:r w:rsidR="009A2DE5">
        <w:t xml:space="preserve"> </w:t>
      </w:r>
      <w:r>
        <w:t xml:space="preserve"> However, MSAC noted that there was a serious risk of bias with the retrospective studies, and that these studies were likely underpowered for the safety outcomes. Therefore, MSAC considered the conclusions to be </w:t>
      </w:r>
      <w:r w:rsidR="000B5F8C">
        <w:t xml:space="preserve">highly </w:t>
      </w:r>
      <w:r>
        <w:t>uncertain.</w:t>
      </w:r>
      <w:r w:rsidRPr="008478D4">
        <w:t xml:space="preserve"> </w:t>
      </w:r>
      <w:r>
        <w:t>Overall, based on the evidence provided, MSAC considered that EBRT+LDR-BT</w:t>
      </w:r>
      <w:r w:rsidR="00052792">
        <w:t xml:space="preserve"> boost</w:t>
      </w:r>
      <w:r>
        <w:t xml:space="preserve"> has inferior safety </w:t>
      </w:r>
      <w:r w:rsidR="000074A7">
        <w:t xml:space="preserve">compared with </w:t>
      </w:r>
      <w:r>
        <w:t xml:space="preserve">DE-EBRT and </w:t>
      </w:r>
      <w:r w:rsidR="003C768C">
        <w:t>uncertain</w:t>
      </w:r>
      <w:r w:rsidR="00E27C15">
        <w:t xml:space="preserve"> safety</w:t>
      </w:r>
      <w:r w:rsidR="00895A38">
        <w:t xml:space="preserve"> </w:t>
      </w:r>
      <w:r>
        <w:t>compared with EBRT+HDR-BT</w:t>
      </w:r>
      <w:r w:rsidR="003C3C36">
        <w:t>.</w:t>
      </w:r>
    </w:p>
    <w:p w14:paraId="0E2E4F6C" w14:textId="6EEEA849" w:rsidR="00AE1BDB" w:rsidRDefault="00AE1BDB" w:rsidP="00AE1BDB">
      <w:r>
        <w:t>Regarding comparative effectiveness, MSAC noted that updated results for the survival outcomes from the ASCENDE-RT trial over a median follow-up of 10 years (Oh et al. 2022) showed that EBRT+LDR-BT</w:t>
      </w:r>
      <w:r w:rsidR="00052792">
        <w:t xml:space="preserve"> boost</w:t>
      </w:r>
      <w:r>
        <w:t xml:space="preserve"> had superior time to treatment progression compared with DE-EBRT, but there was no difference in OS or time to distant metastasis. Overall, MSAC considered that</w:t>
      </w:r>
      <w:r w:rsidR="00397665" w:rsidRPr="00397665">
        <w:t xml:space="preserve"> </w:t>
      </w:r>
      <w:r w:rsidR="00397665">
        <w:t>longer term results from the ASCENDE-RT trial continues to suggest</w:t>
      </w:r>
      <w:r w:rsidR="005C50F9">
        <w:t xml:space="preserve"> that</w:t>
      </w:r>
      <w:r w:rsidR="00E82415">
        <w:t xml:space="preserve"> compared with DE-EBRT,</w:t>
      </w:r>
      <w:r>
        <w:t xml:space="preserve"> EBRT+LDR-BT</w:t>
      </w:r>
      <w:r w:rsidR="00E82415">
        <w:t xml:space="preserve"> boost</w:t>
      </w:r>
      <w:r>
        <w:t xml:space="preserve"> has superior effectiveness for bPFS and noninferior effectiveness for other outcomes</w:t>
      </w:r>
      <w:r w:rsidR="00E82415" w:rsidRPr="00DD3796">
        <w:rPr>
          <w:rFonts w:eastAsia="Calibri" w:cs="Times New Roman"/>
        </w:rPr>
        <w:t>–</w:t>
      </w:r>
      <w:r w:rsidR="00E82415">
        <w:rPr>
          <w:rFonts w:eastAsia="Calibri" w:cs="Times New Roman"/>
        </w:rPr>
        <w:t xml:space="preserve"> </w:t>
      </w:r>
      <w:r w:rsidR="00E82415">
        <w:t>but uncertainty remains because the trial was underpowered to assess differences in survival endpoints</w:t>
      </w:r>
      <w:r>
        <w:t xml:space="preserve">. MSAC agreed with ESC that the arguments made by the applicant </w:t>
      </w:r>
      <w:r w:rsidR="009D3F31">
        <w:t xml:space="preserve">concerning </w:t>
      </w:r>
      <w:r>
        <w:t>the importance of bPFS do not override the conclusions from the ASCENDE trial – that, with long-term follow-up, improved PSA control did not translate to improvement in any other disease</w:t>
      </w:r>
      <w:r w:rsidR="009D3F31">
        <w:t>-related</w:t>
      </w:r>
      <w:r>
        <w:t xml:space="preserve"> end point.</w:t>
      </w:r>
    </w:p>
    <w:p w14:paraId="21A9ADD7" w14:textId="03264CEE" w:rsidR="00AE1BDB" w:rsidRDefault="00AE1BDB" w:rsidP="00AE1BDB">
      <w:r>
        <w:t>For effectiveness compared with EBRT+HDR-BT, MSAC noted that very limited and poor-quality evidence suggested that EBRT+LDR-BT</w:t>
      </w:r>
      <w:r w:rsidR="00052792">
        <w:t xml:space="preserve"> boost</w:t>
      </w:r>
      <w:r>
        <w:t xml:space="preserve"> is superior in terms of bPFS but no different for other survival outcomes. MSAC also noted that, while there was no difference in Expanded Prostate Cancer Index Composite (EPIC) score, </w:t>
      </w:r>
      <w:r w:rsidR="00983E63">
        <w:t xml:space="preserve">the outcomes for </w:t>
      </w:r>
      <w:r>
        <w:t>urinary incontinence score/urinary irritative symptoms, International Prostate Symptom Score (IPSS) and bowel function were worse for EBRT+LDR-BT</w:t>
      </w:r>
      <w:r w:rsidR="00052792">
        <w:t xml:space="preserve"> boost</w:t>
      </w:r>
      <w:r>
        <w:t>. Therefore, MSAC considered EBRT+LDR-BT</w:t>
      </w:r>
      <w:r w:rsidR="00052792">
        <w:t xml:space="preserve"> boost</w:t>
      </w:r>
      <w:r>
        <w:t xml:space="preserve"> to have uncertain effectiveness compared with EBRT+HDR-BT</w:t>
      </w:r>
      <w:r w:rsidR="00052792">
        <w:t xml:space="preserve"> boost</w:t>
      </w:r>
      <w:r>
        <w:t xml:space="preserve">. MSAC also considered that, without evidence of improved quality of life, an economic analysis would not find this treatment </w:t>
      </w:r>
      <w:r w:rsidR="00BF7258">
        <w:t xml:space="preserve">to be </w:t>
      </w:r>
      <w:r>
        <w:t>worthwhile</w:t>
      </w:r>
      <w:r w:rsidR="00D17F2E">
        <w:t xml:space="preserve"> given the </w:t>
      </w:r>
      <w:r w:rsidR="00223826">
        <w:t xml:space="preserve">worse </w:t>
      </w:r>
      <w:r w:rsidR="00D17F2E">
        <w:t>early toxicity associated with</w:t>
      </w:r>
      <w:r w:rsidR="00223826">
        <w:t xml:space="preserve"> </w:t>
      </w:r>
      <w:r w:rsidR="00940FEC">
        <w:t>EBRT+LDR-BT boost</w:t>
      </w:r>
      <w:r>
        <w:t>.</w:t>
      </w:r>
    </w:p>
    <w:p w14:paraId="1E5BF36D" w14:textId="7EC47A87" w:rsidR="00840D8B" w:rsidRDefault="0061579C" w:rsidP="00AE1BDB">
      <w:r>
        <w:t>R</w:t>
      </w:r>
      <w:r w:rsidR="00840D8B">
        <w:t>egarding the use of bPFS as the primary outcome measure, MSAC considered that, while the systematic review provided by the applicant (Van den Broeck et al. 2019</w:t>
      </w:r>
      <w:r w:rsidR="00840D8B">
        <w:rPr>
          <w:rStyle w:val="FootnoteReference"/>
        </w:rPr>
        <w:footnoteReference w:id="2"/>
      </w:r>
      <w:r w:rsidR="00840D8B">
        <w:t>) showed a strong relationship between biochemical relapse (BCR), PCSS and distant metastases, the relationship between BCR and OS was less clear. MSAC also noted a meta-analysis by Xie et al. (2020)</w:t>
      </w:r>
      <w:r w:rsidR="00840D8B">
        <w:rPr>
          <w:rStyle w:val="FootnoteReference"/>
        </w:rPr>
        <w:footnoteReference w:id="3"/>
      </w:r>
      <w:r w:rsidR="00840D8B">
        <w:t xml:space="preserve"> that concluded that event-free survival </w:t>
      </w:r>
      <w:r w:rsidR="007F369D">
        <w:t>(a</w:t>
      </w:r>
      <w:r w:rsidR="000E3BEA">
        <w:t xml:space="preserve"> </w:t>
      </w:r>
      <w:r w:rsidR="00202849">
        <w:t xml:space="preserve">prostate specific antigen based composite endpoint) </w:t>
      </w:r>
      <w:r w:rsidR="00840D8B">
        <w:t xml:space="preserve">was an inappropriate surrogate for OS for prostate cancer treated with radiation. MSAC acknowledged </w:t>
      </w:r>
      <w:r w:rsidR="00840D8B">
        <w:lastRenderedPageBreak/>
        <w:t>that EBRT+LDR-BT</w:t>
      </w:r>
      <w:r w:rsidR="00052792">
        <w:t xml:space="preserve"> boost</w:t>
      </w:r>
      <w:r w:rsidR="00840D8B">
        <w:t xml:space="preserve"> may show a benefit in effectiveness, but considered that it was important to demonstrate benefit beyond just a biochemical outcome – other cancer treatments often have other clinical evidence of benefit.</w:t>
      </w:r>
      <w:r w:rsidR="00D80F8B">
        <w:t xml:space="preserve"> </w:t>
      </w:r>
    </w:p>
    <w:p w14:paraId="057ECF26" w14:textId="1DC44F7B" w:rsidR="00AE1BDB" w:rsidRDefault="00AE1BDB" w:rsidP="00AE1BDB">
      <w:r>
        <w:t>Overall, MSAC considered that the resubmission did not adequately address its concerns from August 2019. There was no new evidence reported in the resubmission for comparative safety and effectiveness of EBRT+LDR-BT</w:t>
      </w:r>
      <w:r w:rsidR="00052792">
        <w:t xml:space="preserve"> boost</w:t>
      </w:r>
      <w:r>
        <w:t xml:space="preserve"> versus DE-EBRT. The four retrospective studies informing safety and clinical effectiveness of EBRT+LDR-BT</w:t>
      </w:r>
      <w:r w:rsidR="00052792">
        <w:t xml:space="preserve"> boost</w:t>
      </w:r>
      <w:r>
        <w:t xml:space="preserve"> versus EBRT+HDR-BT</w:t>
      </w:r>
      <w:r w:rsidR="00052792">
        <w:t xml:space="preserve"> boost</w:t>
      </w:r>
      <w:r>
        <w:t xml:space="preserve"> had a moderate to serious risk of bias and had issues that make it difficult to generalise the findings to the population of interest. MSAC also considered the evidence to support using bPFS as an intermediate clinical end point in prostate cancer radiation therapy-based trials to be insufficient, and that the increased bPFS seen with the intervention did not justify the increased toxicity. Therefore, MSAC considered that the new evidence does not change its previous </w:t>
      </w:r>
      <w:r w:rsidR="00633A07">
        <w:t>advice</w:t>
      </w:r>
      <w:r>
        <w:t xml:space="preserve">, which was based on </w:t>
      </w:r>
      <w:r w:rsidR="00107B9E">
        <w:t xml:space="preserve">comparative </w:t>
      </w:r>
      <w:r>
        <w:t>safety and clinical effectiveness (and not health economics or financial impact), so advised that the application should not progress to the next stage of the assessment report pathway.</w:t>
      </w:r>
    </w:p>
    <w:p w14:paraId="6CDDA790" w14:textId="6C6C367A" w:rsidR="00AE1BDB" w:rsidRPr="00AF46D8" w:rsidRDefault="00AE1BDB" w:rsidP="00AE1BDB">
      <w:r>
        <w:t>MSAC advised that a resubmission should provide adequately powered RCT evidence demonstrating increased PCSS or MFS, although MSAC acknowledged that the use of brachytherapy treatment is declining. Alternatively, a resubmission should provide evidence to support using bPFS as an intermediate clinical end point in prostate cancer radiation therapy-based trials, ideally using individual patient data.</w:t>
      </w:r>
    </w:p>
    <w:p w14:paraId="5E455A39" w14:textId="2BB6619E" w:rsidR="006B2C8F" w:rsidRPr="00CE28E3" w:rsidRDefault="006B2C8F" w:rsidP="006B2C8F">
      <w:pPr>
        <w:pStyle w:val="Heading2"/>
        <w:numPr>
          <w:ilvl w:val="0"/>
          <w:numId w:val="0"/>
        </w:numPr>
      </w:pPr>
      <w:r>
        <w:t>4.</w:t>
      </w:r>
      <w:r>
        <w:tab/>
      </w:r>
      <w:r w:rsidRPr="00CE28E3">
        <w:t>Background</w:t>
      </w:r>
    </w:p>
    <w:p w14:paraId="5607BD61" w14:textId="0BF4039B" w:rsidR="00904228" w:rsidRDefault="00CA42D6" w:rsidP="00904228">
      <w:bookmarkStart w:id="3" w:name="_Hlk69734494"/>
      <w:r w:rsidRPr="00904228">
        <w:t>MSAC has previously considered</w:t>
      </w:r>
      <w:r w:rsidR="00BE5374" w:rsidRPr="00CE28E3">
        <w:t xml:space="preserve"> </w:t>
      </w:r>
      <w:r w:rsidR="00904228">
        <w:rPr>
          <w:iCs/>
        </w:rPr>
        <w:t>low dose-rate</w:t>
      </w:r>
      <w:r w:rsidR="00904228" w:rsidRPr="009A3778">
        <w:rPr>
          <w:iCs/>
        </w:rPr>
        <w:t xml:space="preserve"> </w:t>
      </w:r>
      <w:r w:rsidR="00904228">
        <w:rPr>
          <w:iCs/>
        </w:rPr>
        <w:t xml:space="preserve">brachytherapy (LDR-BT) </w:t>
      </w:r>
      <w:r w:rsidR="00DB4DB1">
        <w:rPr>
          <w:iCs/>
        </w:rPr>
        <w:t xml:space="preserve">boost </w:t>
      </w:r>
      <w:r w:rsidR="00904228" w:rsidRPr="009A3778">
        <w:rPr>
          <w:iCs/>
        </w:rPr>
        <w:t xml:space="preserve">for </w:t>
      </w:r>
      <w:r w:rsidR="00904228">
        <w:rPr>
          <w:iCs/>
        </w:rPr>
        <w:t>intermediate and high-risk prostate cancer</w:t>
      </w:r>
      <w:r w:rsidR="0058705C">
        <w:rPr>
          <w:iCs/>
        </w:rPr>
        <w:t xml:space="preserve"> </w:t>
      </w:r>
      <w:r w:rsidR="0058705C">
        <w:t xml:space="preserve">in 2019. MSAC did not support public funding of LDR-BT boost </w:t>
      </w:r>
      <w:r w:rsidR="00C77899">
        <w:t>(</w:t>
      </w:r>
      <w:r w:rsidR="0058705C">
        <w:t xml:space="preserve">following primary external beam radiotherapy </w:t>
      </w:r>
      <w:r w:rsidR="00C77899">
        <w:t>[</w:t>
      </w:r>
      <w:r w:rsidR="0058705C">
        <w:t>EBRT</w:t>
      </w:r>
      <w:r w:rsidR="00C77899">
        <w:t>])</w:t>
      </w:r>
      <w:r w:rsidR="0058705C">
        <w:t xml:space="preserve"> due to limited comparative safety and effectiveness evidence.</w:t>
      </w:r>
    </w:p>
    <w:p w14:paraId="56B3240E" w14:textId="65A3E06F" w:rsidR="00984058" w:rsidRPr="00984058" w:rsidRDefault="00984058" w:rsidP="00984058">
      <w:r w:rsidRPr="00984058">
        <w:t>MSAC advised</w:t>
      </w:r>
      <w:bookmarkStart w:id="4" w:name="_Ref120695715"/>
      <w:r w:rsidR="00DB4DB1">
        <w:rPr>
          <w:rStyle w:val="FootnoteReference"/>
        </w:rPr>
        <w:footnoteReference w:id="4"/>
      </w:r>
      <w:bookmarkEnd w:id="4"/>
      <w:r w:rsidRPr="00984058">
        <w:t xml:space="preserve"> that any future resubmission should include:</w:t>
      </w:r>
    </w:p>
    <w:p w14:paraId="317B07C0" w14:textId="2B34B904" w:rsidR="00984058" w:rsidRPr="00984058" w:rsidRDefault="00984058" w:rsidP="0003474F">
      <w:pPr>
        <w:pStyle w:val="ListParagraph"/>
        <w:numPr>
          <w:ilvl w:val="0"/>
          <w:numId w:val="10"/>
        </w:numPr>
      </w:pPr>
      <w:r w:rsidRPr="00984058">
        <w:t>comparative safety data based on up-to</w:t>
      </w:r>
      <w:r w:rsidR="00DB4DB1">
        <w:t>-</w:t>
      </w:r>
      <w:r w:rsidRPr="00984058">
        <w:t>date practice, ideally for all three comparators</w:t>
      </w:r>
      <w:r w:rsidR="00DB4DB1">
        <w:t>: radical prostatectomy, dose-escalated external beam radiation therapy (DE-EBRT) and high dose-rate brachytherapy (HDR-BT) boost following primary EBRT</w:t>
      </w:r>
      <w:r w:rsidRPr="00984058">
        <w:t>;</w:t>
      </w:r>
    </w:p>
    <w:p w14:paraId="57E52259" w14:textId="2369108D" w:rsidR="00984058" w:rsidRPr="00984058" w:rsidRDefault="00984058" w:rsidP="0003474F">
      <w:pPr>
        <w:pStyle w:val="ListParagraph"/>
        <w:numPr>
          <w:ilvl w:val="0"/>
          <w:numId w:val="10"/>
        </w:numPr>
      </w:pPr>
      <w:r w:rsidRPr="00984058">
        <w:t>effectiveness data for the other two comparators (</w:t>
      </w:r>
      <w:r w:rsidR="00561AD4">
        <w:t>radical prostatectomy</w:t>
      </w:r>
      <w:r w:rsidR="00561AD4" w:rsidRPr="00984058">
        <w:t xml:space="preserve"> </w:t>
      </w:r>
      <w:r w:rsidRPr="00984058">
        <w:t>and EBRT+HDR-BT boost); and</w:t>
      </w:r>
    </w:p>
    <w:p w14:paraId="39824EFC" w14:textId="58F965B9" w:rsidR="00984058" w:rsidRDefault="00984058" w:rsidP="0003474F">
      <w:pPr>
        <w:pStyle w:val="ListParagraph"/>
        <w:numPr>
          <w:ilvl w:val="0"/>
          <w:numId w:val="10"/>
        </w:numPr>
      </w:pPr>
      <w:r w:rsidRPr="00984058">
        <w:t>cost-effectiveness analyses should be updated to reflect any newly relevant</w:t>
      </w:r>
      <w:r>
        <w:t xml:space="preserve"> </w:t>
      </w:r>
      <w:r w:rsidRPr="00984058">
        <w:t>comparative safety and effectiveness data.</w:t>
      </w:r>
    </w:p>
    <w:p w14:paraId="4943C0FF" w14:textId="23FADD6F" w:rsidR="00DB4DB1" w:rsidRDefault="00DB4DB1" w:rsidP="00DB4DB1">
      <w:r>
        <w:t xml:space="preserve">The key matters of concern from previous considerations, as presented in the </w:t>
      </w:r>
      <w:r w:rsidR="0030141E" w:rsidRPr="00697619">
        <w:t>Applicant Developed Assessment Repor</w:t>
      </w:r>
      <w:r w:rsidR="0030141E">
        <w:t>t (</w:t>
      </w:r>
      <w:r>
        <w:t>ADAR</w:t>
      </w:r>
      <w:r w:rsidR="0030141E">
        <w:t>)</w:t>
      </w:r>
      <w:r>
        <w:t xml:space="preserve">, are summarised in </w:t>
      </w:r>
      <w:r>
        <w:fldChar w:fldCharType="begin"/>
      </w:r>
      <w:r>
        <w:instrText xml:space="preserve"> REF _Ref69480768 \h  \* MERGEFORMAT </w:instrText>
      </w:r>
      <w:r>
        <w:fldChar w:fldCharType="separate"/>
      </w:r>
      <w:r w:rsidRPr="00CE28E3">
        <w:t>Table</w:t>
      </w:r>
      <w:r>
        <w:t> 1</w:t>
      </w:r>
      <w:r>
        <w:fldChar w:fldCharType="end"/>
      </w:r>
      <w:r>
        <w:t>.</w:t>
      </w:r>
    </w:p>
    <w:p w14:paraId="474FD473" w14:textId="57C90DB2" w:rsidR="00DB4DB1" w:rsidRPr="00310C3F" w:rsidRDefault="00DB4DB1" w:rsidP="00DB4DB1">
      <w:r>
        <w:t>Th</w:t>
      </w:r>
      <w:r w:rsidR="00CF52F1">
        <w:t xml:space="preserve">e applicant has taken </w:t>
      </w:r>
      <w:r w:rsidR="005E480F">
        <w:t xml:space="preserve">the option </w:t>
      </w:r>
      <w:r>
        <w:t xml:space="preserve">of a two-stage pathway, providing </w:t>
      </w:r>
      <w:r w:rsidR="00F317E6">
        <w:t xml:space="preserve">evidence </w:t>
      </w:r>
      <w:r w:rsidR="00D4561D">
        <w:t xml:space="preserve">for </w:t>
      </w:r>
      <w:r>
        <w:t>safety and clinical effectiveness that has become available since</w:t>
      </w:r>
      <w:r w:rsidR="00590167">
        <w:t xml:space="preserve"> the previous MSAC consideration in</w:t>
      </w:r>
      <w:r>
        <w:t xml:space="preserve"> 2019. </w:t>
      </w:r>
      <w:r w:rsidR="00AF3AB8">
        <w:t>If successful</w:t>
      </w:r>
      <w:r w:rsidR="00FE5FDD">
        <w:t>,</w:t>
      </w:r>
      <w:r w:rsidR="00AF3AB8">
        <w:t xml:space="preserve"> </w:t>
      </w:r>
      <w:r w:rsidR="00073295">
        <w:t>an</w:t>
      </w:r>
      <w:r w:rsidR="006D4837">
        <w:t xml:space="preserve"> </w:t>
      </w:r>
      <w:r>
        <w:t xml:space="preserve">economic evaluation </w:t>
      </w:r>
      <w:r w:rsidR="0034749B">
        <w:t xml:space="preserve">and financial impact analyses </w:t>
      </w:r>
      <w:r>
        <w:t>would follow in the second stage.</w:t>
      </w:r>
    </w:p>
    <w:p w14:paraId="016ECE39" w14:textId="6F27AD7A" w:rsidR="0058705C" w:rsidRDefault="007321C8" w:rsidP="00904228">
      <w:r>
        <w:lastRenderedPageBreak/>
        <w:t xml:space="preserve">Item 37220 for </w:t>
      </w:r>
      <w:r w:rsidR="0058705C" w:rsidRPr="0058705C">
        <w:t xml:space="preserve">LDR-BT has been </w:t>
      </w:r>
      <w:r>
        <w:t xml:space="preserve">available </w:t>
      </w:r>
      <w:r w:rsidR="0058705C" w:rsidRPr="0058705C">
        <w:t xml:space="preserve">on the MBS for the treatment of low-risk prostate cancer since 2001. The indication was expanded in 2006 to include low-risk prostate cancer with Gleason score 7. Low risk is defined as localised prostatic malignancy at clinical stages T1 (clinically inapparent tumour not palpable or visible by imaging) or T2 (tumour confined within prostate), with a Gleason score of ≤7 and a </w:t>
      </w:r>
      <w:r w:rsidR="00561AD4">
        <w:t>prostate-specific antigen (</w:t>
      </w:r>
      <w:r w:rsidR="0058705C" w:rsidRPr="0058705C">
        <w:t>PSA</w:t>
      </w:r>
      <w:r w:rsidR="00561AD4">
        <w:t>)</w:t>
      </w:r>
      <w:r w:rsidR="0058705C" w:rsidRPr="0058705C">
        <w:t xml:space="preserve"> of ≤10 ng/m</w:t>
      </w:r>
      <w:r w:rsidR="00561AD4">
        <w:t>L</w:t>
      </w:r>
      <w:r w:rsidR="0058705C" w:rsidRPr="0058705C">
        <w:t xml:space="preserve"> at the time of diagnosis. In this indication, LDR-BT is used alone, not in combination with EBRT.</w:t>
      </w:r>
    </w:p>
    <w:p w14:paraId="6EC12EDF" w14:textId="576DB884" w:rsidR="0068682C" w:rsidRPr="00CE28E3" w:rsidRDefault="0068682C" w:rsidP="00E47FAB">
      <w:pPr>
        <w:pStyle w:val="Caption"/>
      </w:pPr>
      <w:bookmarkStart w:id="6" w:name="_Ref122533878"/>
      <w:bookmarkStart w:id="7" w:name="_Ref69480768"/>
      <w:bookmarkStart w:id="8" w:name="_Hlk69734557"/>
      <w:bookmarkEnd w:id="3"/>
      <w:r w:rsidRPr="00CE28E3">
        <w:t>Table</w:t>
      </w:r>
      <w:r w:rsidR="004A4FDF">
        <w:t> </w:t>
      </w:r>
      <w:fldSimple w:instr=" SEQ Table \* ARABIC ">
        <w:r w:rsidR="007F6EFD">
          <w:rPr>
            <w:noProof/>
          </w:rPr>
          <w:t>1</w:t>
        </w:r>
      </w:fldSimple>
      <w:bookmarkEnd w:id="6"/>
      <w:bookmarkEnd w:id="7"/>
      <w:r w:rsidRPr="00CE28E3">
        <w:tab/>
        <w:t>Summary of key matters of concern</w:t>
      </w:r>
    </w:p>
    <w:tbl>
      <w:tblPr>
        <w:tblStyle w:val="TableGrid1"/>
        <w:tblW w:w="5000" w:type="pct"/>
        <w:tblLook w:val="04A0" w:firstRow="1" w:lastRow="0" w:firstColumn="1" w:lastColumn="0" w:noHBand="0" w:noVBand="1"/>
      </w:tblPr>
      <w:tblGrid>
        <w:gridCol w:w="1696"/>
        <w:gridCol w:w="2440"/>
        <w:gridCol w:w="2440"/>
        <w:gridCol w:w="2440"/>
      </w:tblGrid>
      <w:tr w:rsidR="00FB7F80" w:rsidRPr="009F12BB" w14:paraId="7E382003" w14:textId="35DDA4B9" w:rsidTr="006022DD">
        <w:trPr>
          <w:cnfStyle w:val="100000000000" w:firstRow="1" w:lastRow="0" w:firstColumn="0" w:lastColumn="0" w:oddVBand="0" w:evenVBand="0" w:oddHBand="0" w:evenHBand="0" w:firstRowFirstColumn="0" w:firstRowLastColumn="0" w:lastRowFirstColumn="0" w:lastRowLastColumn="0"/>
          <w:cantSplit/>
          <w:tblHeader/>
        </w:trPr>
        <w:tc>
          <w:tcPr>
            <w:tcW w:w="941" w:type="pct"/>
            <w:vAlign w:val="center"/>
          </w:tcPr>
          <w:p w14:paraId="4031E6DE" w14:textId="77777777" w:rsidR="00FB7F80" w:rsidRPr="009F12BB" w:rsidRDefault="00FB7F80" w:rsidP="0047393B">
            <w:pPr>
              <w:pStyle w:val="In-tableHeading"/>
              <w:keepNext w:val="0"/>
              <w:spacing w:before="0"/>
              <w:rPr>
                <w:szCs w:val="20"/>
              </w:rPr>
            </w:pPr>
            <w:bookmarkStart w:id="9" w:name="ColumnTitle_Table1"/>
            <w:bookmarkStart w:id="10" w:name="_Hlk68275617"/>
            <w:bookmarkEnd w:id="9"/>
            <w:r w:rsidRPr="009F12BB">
              <w:rPr>
                <w:szCs w:val="20"/>
              </w:rPr>
              <w:t>Component</w:t>
            </w:r>
          </w:p>
        </w:tc>
        <w:tc>
          <w:tcPr>
            <w:tcW w:w="1353" w:type="pct"/>
            <w:vAlign w:val="center"/>
          </w:tcPr>
          <w:p w14:paraId="5572ABBD" w14:textId="0A7C9BD0" w:rsidR="00FB7F80" w:rsidRPr="009F12BB" w:rsidRDefault="00FB7F80" w:rsidP="0047393B">
            <w:pPr>
              <w:pStyle w:val="In-tableHeading"/>
              <w:keepNext w:val="0"/>
              <w:spacing w:before="0"/>
              <w:rPr>
                <w:szCs w:val="20"/>
              </w:rPr>
            </w:pPr>
            <w:r w:rsidRPr="009F12BB">
              <w:rPr>
                <w:szCs w:val="20"/>
              </w:rPr>
              <w:t>Matter of concern (as presented in the ADAR)</w:t>
            </w:r>
          </w:p>
        </w:tc>
        <w:tc>
          <w:tcPr>
            <w:tcW w:w="1353" w:type="pct"/>
          </w:tcPr>
          <w:p w14:paraId="69B9211C" w14:textId="274C88DB" w:rsidR="00FB7F80" w:rsidRPr="009F12BB" w:rsidRDefault="00FB7F80" w:rsidP="0047393B">
            <w:pPr>
              <w:pStyle w:val="In-tableHeading"/>
              <w:keepNext w:val="0"/>
              <w:spacing w:before="0"/>
              <w:rPr>
                <w:szCs w:val="20"/>
              </w:rPr>
            </w:pPr>
            <w:r w:rsidRPr="009F12BB">
              <w:rPr>
                <w:szCs w:val="20"/>
              </w:rPr>
              <w:t xml:space="preserve">How the current assessment report addresses it </w:t>
            </w:r>
          </w:p>
        </w:tc>
        <w:tc>
          <w:tcPr>
            <w:tcW w:w="1353" w:type="pct"/>
          </w:tcPr>
          <w:p w14:paraId="13050C60" w14:textId="5FF5BAF1" w:rsidR="00FB7F80" w:rsidRPr="009F12BB" w:rsidRDefault="00FB7F80" w:rsidP="0047393B">
            <w:pPr>
              <w:pStyle w:val="In-tableHeading"/>
              <w:keepNext w:val="0"/>
              <w:spacing w:before="0"/>
              <w:rPr>
                <w:szCs w:val="20"/>
              </w:rPr>
            </w:pPr>
            <w:r w:rsidRPr="009F12BB">
              <w:rPr>
                <w:szCs w:val="20"/>
              </w:rPr>
              <w:t>Commentar</w:t>
            </w:r>
            <w:r w:rsidR="007E6EA5" w:rsidRPr="009F12BB">
              <w:rPr>
                <w:szCs w:val="20"/>
              </w:rPr>
              <w:t>y fee</w:t>
            </w:r>
            <w:r w:rsidR="00F56729" w:rsidRPr="009F12BB">
              <w:rPr>
                <w:szCs w:val="20"/>
              </w:rPr>
              <w:t>d</w:t>
            </w:r>
            <w:r w:rsidR="007E6EA5" w:rsidRPr="009F12BB">
              <w:rPr>
                <w:szCs w:val="20"/>
              </w:rPr>
              <w:t>back</w:t>
            </w:r>
          </w:p>
        </w:tc>
      </w:tr>
      <w:tr w:rsidR="00FB7F80" w:rsidRPr="009F12BB" w14:paraId="55734E7F" w14:textId="43B87712" w:rsidTr="006022DD">
        <w:trPr>
          <w:cantSplit/>
        </w:trPr>
        <w:tc>
          <w:tcPr>
            <w:tcW w:w="941" w:type="pct"/>
            <w:vAlign w:val="center"/>
          </w:tcPr>
          <w:p w14:paraId="255B5615" w14:textId="1B315156" w:rsidR="00FB7F80" w:rsidRPr="009F12BB" w:rsidRDefault="00FB7F80" w:rsidP="0047393B">
            <w:pPr>
              <w:pStyle w:val="TableText"/>
              <w:spacing w:before="0" w:after="0"/>
            </w:pPr>
            <w:r w:rsidRPr="009F12BB">
              <w:t>Comparator</w:t>
            </w:r>
          </w:p>
        </w:tc>
        <w:tc>
          <w:tcPr>
            <w:tcW w:w="1353" w:type="pct"/>
          </w:tcPr>
          <w:p w14:paraId="3C023BD2" w14:textId="7E8A8A56" w:rsidR="00FB7F80" w:rsidRPr="009F12BB" w:rsidRDefault="00FB7F80" w:rsidP="0047393B">
            <w:pPr>
              <w:pStyle w:val="TableText"/>
              <w:spacing w:before="0" w:after="0"/>
            </w:pPr>
            <w:r w:rsidRPr="009F12BB">
              <w:t>No comparative safety and efficacy data were presented comparing EBRT + LDR-BT boost with RP.</w:t>
            </w:r>
          </w:p>
        </w:tc>
        <w:tc>
          <w:tcPr>
            <w:tcW w:w="1353" w:type="pct"/>
          </w:tcPr>
          <w:p w14:paraId="2D17DCB7" w14:textId="55E1C7E6" w:rsidR="00FB7F80" w:rsidRPr="009F12BB" w:rsidRDefault="00FB7F80" w:rsidP="0047393B">
            <w:pPr>
              <w:pStyle w:val="TableText"/>
              <w:spacing w:before="0" w:after="0"/>
            </w:pPr>
            <w:r w:rsidRPr="009F12BB">
              <w:t>DE-EBRT</w:t>
            </w:r>
            <w:r w:rsidR="0029715E" w:rsidRPr="009F12BB">
              <w:t xml:space="preserve"> boost</w:t>
            </w:r>
            <w:r w:rsidRPr="009F12BB">
              <w:t xml:space="preserve"> and HDR-BT </w:t>
            </w:r>
            <w:r w:rsidR="005C04EA" w:rsidRPr="009F12BB">
              <w:t xml:space="preserve">boost </w:t>
            </w:r>
            <w:r w:rsidRPr="009F12BB">
              <w:t>remain the nominated comparators.</w:t>
            </w:r>
          </w:p>
          <w:p w14:paraId="3CBDB91C" w14:textId="11893049" w:rsidR="00FB7F80" w:rsidRPr="009F12BB" w:rsidRDefault="00FB7F80" w:rsidP="0047393B">
            <w:pPr>
              <w:pStyle w:val="TableText"/>
              <w:spacing w:before="0" w:after="0"/>
            </w:pPr>
            <w:r w:rsidRPr="009F12BB">
              <w:t xml:space="preserve">The ADAR </w:t>
            </w:r>
            <w:r w:rsidR="00ED6379" w:rsidRPr="009F12BB">
              <w:t>explained</w:t>
            </w:r>
            <w:r w:rsidRPr="009F12BB">
              <w:t xml:space="preserve"> the exclusion of RP (included in Ratified PICO) as a relevant comparator.</w:t>
            </w:r>
          </w:p>
        </w:tc>
        <w:tc>
          <w:tcPr>
            <w:tcW w:w="1353" w:type="pct"/>
          </w:tcPr>
          <w:p w14:paraId="16BCD039" w14:textId="7650D75E" w:rsidR="00FB7F80" w:rsidRPr="009F12BB" w:rsidRDefault="00832C0A" w:rsidP="0047393B">
            <w:pPr>
              <w:pStyle w:val="TableText"/>
              <w:spacing w:before="0" w:after="0"/>
            </w:pPr>
            <w:r w:rsidRPr="009F12BB">
              <w:t>MSAC may wish to consider if RP exclusion from the comparator list is appropriate.</w:t>
            </w:r>
            <w:r w:rsidR="00FF2AC3" w:rsidRPr="009F12BB">
              <w:t xml:space="preserve"> </w:t>
            </w:r>
          </w:p>
        </w:tc>
      </w:tr>
      <w:tr w:rsidR="00FB7F80" w:rsidRPr="009F12BB" w14:paraId="16D30D44" w14:textId="648CD6A6" w:rsidTr="006022DD">
        <w:trPr>
          <w:cantSplit/>
        </w:trPr>
        <w:tc>
          <w:tcPr>
            <w:tcW w:w="941" w:type="pct"/>
            <w:vAlign w:val="center"/>
          </w:tcPr>
          <w:p w14:paraId="4A31020F" w14:textId="77777777" w:rsidR="00FB7F80" w:rsidRPr="009F12BB" w:rsidRDefault="00FB7F80" w:rsidP="0047393B">
            <w:pPr>
              <w:pStyle w:val="TableText"/>
              <w:spacing w:before="0" w:after="0"/>
            </w:pPr>
            <w:r w:rsidRPr="009F12BB">
              <w:t>Comparative safety data</w:t>
            </w:r>
          </w:p>
        </w:tc>
        <w:tc>
          <w:tcPr>
            <w:tcW w:w="1353" w:type="pct"/>
          </w:tcPr>
          <w:p w14:paraId="5528D3BD" w14:textId="4BCAE874" w:rsidR="00FB7F80" w:rsidRPr="009F12BB" w:rsidRDefault="00FB7F80" w:rsidP="0047393B">
            <w:pPr>
              <w:pStyle w:val="TableText"/>
              <w:spacing w:before="0" w:after="0"/>
              <w:rPr>
                <w:rFonts w:cs="Arial"/>
                <w:snapToGrid w:val="0"/>
              </w:rPr>
            </w:pPr>
            <w:r w:rsidRPr="009F12BB">
              <w:t>No safety data were provided comparing EBRT + LDR-BT boost with RP or EBRT + HDR-BT boost</w:t>
            </w:r>
          </w:p>
        </w:tc>
        <w:tc>
          <w:tcPr>
            <w:tcW w:w="1353" w:type="pct"/>
          </w:tcPr>
          <w:p w14:paraId="02BC8F53" w14:textId="0E12E777" w:rsidR="00FB7F80" w:rsidRPr="009F12BB" w:rsidRDefault="00FB7F80" w:rsidP="0047393B">
            <w:pPr>
              <w:pStyle w:val="TableText"/>
              <w:spacing w:before="0" w:after="0"/>
            </w:pPr>
            <w:r w:rsidRPr="009F12BB">
              <w:t>The ADAR provided comparative safety data for EBRT + LDR-BT versus EBRT + HDR-BT.</w:t>
            </w:r>
          </w:p>
        </w:tc>
        <w:tc>
          <w:tcPr>
            <w:tcW w:w="1353" w:type="pct"/>
          </w:tcPr>
          <w:p w14:paraId="5F6AC33A" w14:textId="77777777" w:rsidR="00295B39" w:rsidRPr="006A46A2" w:rsidRDefault="00FF2AC3" w:rsidP="0047393B">
            <w:pPr>
              <w:pStyle w:val="TableText"/>
              <w:spacing w:before="0" w:after="0"/>
              <w:rPr>
                <w:rFonts w:cs="Arial"/>
                <w:bCs/>
                <w:snapToGrid w:val="0"/>
              </w:rPr>
            </w:pPr>
            <w:r w:rsidRPr="006A46A2">
              <w:rPr>
                <w:rFonts w:cs="Arial"/>
                <w:bCs/>
                <w:snapToGrid w:val="0"/>
              </w:rPr>
              <w:t>A</w:t>
            </w:r>
            <w:r w:rsidR="00295B39" w:rsidRPr="006A46A2">
              <w:rPr>
                <w:rFonts w:cs="Arial"/>
                <w:bCs/>
                <w:snapToGrid w:val="0"/>
              </w:rPr>
              <w:t>d</w:t>
            </w:r>
            <w:r w:rsidRPr="006A46A2">
              <w:rPr>
                <w:rFonts w:cs="Arial"/>
                <w:bCs/>
                <w:snapToGrid w:val="0"/>
              </w:rPr>
              <w:t>dressed.</w:t>
            </w:r>
          </w:p>
          <w:p w14:paraId="0A138423" w14:textId="7C7B856E" w:rsidR="00FB7F80" w:rsidRPr="006A46A2" w:rsidRDefault="005D350D" w:rsidP="0047393B">
            <w:pPr>
              <w:pStyle w:val="TableText"/>
              <w:spacing w:before="0" w:after="0"/>
              <w:rPr>
                <w:rFonts w:cs="Arial"/>
                <w:bCs/>
                <w:snapToGrid w:val="0"/>
              </w:rPr>
            </w:pPr>
            <w:r w:rsidRPr="006A46A2">
              <w:rPr>
                <w:rFonts w:cs="Arial"/>
                <w:bCs/>
                <w:snapToGrid w:val="0"/>
              </w:rPr>
              <w:t>S</w:t>
            </w:r>
            <w:r w:rsidR="005C04EA" w:rsidRPr="006A46A2">
              <w:rPr>
                <w:rFonts w:cs="Arial"/>
                <w:bCs/>
                <w:snapToGrid w:val="0"/>
              </w:rPr>
              <w:t>ome of the included evidence was not relevant.</w:t>
            </w:r>
          </w:p>
        </w:tc>
      </w:tr>
      <w:tr w:rsidR="00FB7F80" w:rsidRPr="009F12BB" w14:paraId="6069A6FF" w14:textId="29C0E06C" w:rsidTr="006022DD">
        <w:trPr>
          <w:cantSplit/>
        </w:trPr>
        <w:tc>
          <w:tcPr>
            <w:tcW w:w="941" w:type="pct"/>
            <w:vAlign w:val="center"/>
          </w:tcPr>
          <w:p w14:paraId="39B0A054" w14:textId="1EB6E562" w:rsidR="00FB7F80" w:rsidRPr="009F12BB" w:rsidRDefault="00FB7F80" w:rsidP="0047393B">
            <w:pPr>
              <w:pStyle w:val="TableText"/>
              <w:spacing w:before="0" w:after="0"/>
            </w:pPr>
            <w:r w:rsidRPr="009F12BB">
              <w:t>Clinical effectiveness- primary outcome</w:t>
            </w:r>
          </w:p>
        </w:tc>
        <w:tc>
          <w:tcPr>
            <w:tcW w:w="1353" w:type="pct"/>
          </w:tcPr>
          <w:p w14:paraId="480390F4" w14:textId="5740801C" w:rsidR="00FB7F80" w:rsidRPr="009F12BB" w:rsidRDefault="00FB7F80" w:rsidP="0047393B">
            <w:pPr>
              <w:pStyle w:val="TableText"/>
              <w:spacing w:before="0" w:after="0"/>
            </w:pPr>
            <w:r w:rsidRPr="009F12BB">
              <w:t>The ASCENDE-RT trial suggested superior effectiveness of EBRT + LDR-BT boost versus DE-EBRT for biochemical progression-free survival. However, there was no difference in overall survival, metastasis-free survival or prostate cancer–specific survival, and the study was not powered or long enough to assess survival outcomes.</w:t>
            </w:r>
          </w:p>
        </w:tc>
        <w:tc>
          <w:tcPr>
            <w:tcW w:w="1353" w:type="pct"/>
          </w:tcPr>
          <w:p w14:paraId="6F4C6272" w14:textId="7633904B" w:rsidR="00FB7F80" w:rsidRPr="009F12BB" w:rsidRDefault="00FB7F80" w:rsidP="0047393B">
            <w:pPr>
              <w:pStyle w:val="TableText"/>
              <w:spacing w:before="0" w:after="0"/>
            </w:pPr>
            <w:r w:rsidRPr="009F12BB">
              <w:t xml:space="preserve">The ADAR </w:t>
            </w:r>
            <w:r w:rsidR="00DB267F" w:rsidRPr="009F12BB">
              <w:t xml:space="preserve">provided a justification for b-PFS as the primary outcome measure. Reasoning included highlighting the rarity at which overall survival is used as a primary outcome in trials in the population of interest. It was also highlighted that a systematic review found BCR to be an independent risk factor for the development of distant metastases, prostate cancer-specific survival and </w:t>
            </w:r>
            <w:r w:rsidR="00210782" w:rsidRPr="009F12BB">
              <w:t>overall survival</w:t>
            </w:r>
            <w:r w:rsidR="00DB267F" w:rsidRPr="009F12BB">
              <w:t xml:space="preserve">.  </w:t>
            </w:r>
          </w:p>
        </w:tc>
        <w:tc>
          <w:tcPr>
            <w:tcW w:w="1353" w:type="pct"/>
          </w:tcPr>
          <w:p w14:paraId="54ECBD13" w14:textId="77777777" w:rsidR="00FF2AC3" w:rsidRPr="009F12BB" w:rsidRDefault="00FF2AC3" w:rsidP="0047393B">
            <w:pPr>
              <w:pStyle w:val="TableText"/>
              <w:spacing w:before="0" w:after="0"/>
            </w:pPr>
            <w:r w:rsidRPr="009F12BB">
              <w:t>Partially addressed.</w:t>
            </w:r>
          </w:p>
          <w:p w14:paraId="676E616E" w14:textId="6F75C655" w:rsidR="00FB7F80" w:rsidRPr="009F12BB" w:rsidRDefault="00DB267F" w:rsidP="0047393B">
            <w:pPr>
              <w:pStyle w:val="TableText"/>
              <w:spacing w:before="0" w:after="0"/>
            </w:pPr>
            <w:r w:rsidRPr="006A46A2">
              <w:t>The review</w:t>
            </w:r>
            <w:r w:rsidR="0029715E" w:rsidRPr="009F12BB">
              <w:t xml:space="preserve"> (by Van den Broeck et al. 2019</w:t>
            </w:r>
            <w:r w:rsidR="00334205" w:rsidRPr="009F12BB">
              <w:rPr>
                <w:rStyle w:val="FootnoteReference"/>
              </w:rPr>
              <w:footnoteReference w:id="5"/>
            </w:r>
            <w:r w:rsidR="0029715E" w:rsidRPr="009F12BB">
              <w:t>)</w:t>
            </w:r>
            <w:r w:rsidR="004030AF" w:rsidRPr="006A46A2">
              <w:t xml:space="preserve"> concluded</w:t>
            </w:r>
            <w:r w:rsidRPr="006A46A2">
              <w:t xml:space="preserve"> </w:t>
            </w:r>
            <w:r w:rsidR="004030AF" w:rsidRPr="006A46A2">
              <w:t xml:space="preserve">that there was a strong relationship between BCR and cancer-specific survival and occurrence of distant metastases. The relationship between biochemical recurrence and overall survival was less clear. The </w:t>
            </w:r>
            <w:r w:rsidR="0029715E" w:rsidRPr="009F12BB">
              <w:t xml:space="preserve">review </w:t>
            </w:r>
            <w:r w:rsidR="004030AF" w:rsidRPr="006A46A2">
              <w:t>noted disparities depending on the definition of biochemical relapse (ASTRO versus Phoenix criteria).</w:t>
            </w:r>
          </w:p>
        </w:tc>
      </w:tr>
      <w:tr w:rsidR="00FB7F80" w:rsidRPr="009F12BB" w14:paraId="319F840A" w14:textId="109C9CC5" w:rsidTr="006022DD">
        <w:trPr>
          <w:cantSplit/>
        </w:trPr>
        <w:tc>
          <w:tcPr>
            <w:tcW w:w="941" w:type="pct"/>
            <w:vAlign w:val="center"/>
          </w:tcPr>
          <w:p w14:paraId="503880F1" w14:textId="77777777" w:rsidR="00FB7F80" w:rsidRPr="009F12BB" w:rsidRDefault="00FB7F80" w:rsidP="0047393B">
            <w:pPr>
              <w:pStyle w:val="TableText"/>
              <w:spacing w:before="0" w:after="0"/>
            </w:pPr>
            <w:r w:rsidRPr="009F12BB">
              <w:t>Clinical effectiveness</w:t>
            </w:r>
          </w:p>
        </w:tc>
        <w:tc>
          <w:tcPr>
            <w:tcW w:w="1353" w:type="pct"/>
          </w:tcPr>
          <w:p w14:paraId="22B78481" w14:textId="53ADA9BA" w:rsidR="00FB7F80" w:rsidRPr="009F12BB" w:rsidRDefault="00FB7F80" w:rsidP="0047393B">
            <w:pPr>
              <w:pStyle w:val="TableText"/>
              <w:spacing w:before="0" w:after="0"/>
            </w:pPr>
            <w:r w:rsidRPr="009F12BB">
              <w:t>No data were provided comparing effectiveness of EBRT + LDR-BT boost with either RP or EBRT + HDR-BT boost. MSAC therefore concluded that EBRT + LDR-BT boost has uncertain effectiveness relative to EBRT + HDR-BT boost and RP.</w:t>
            </w:r>
          </w:p>
        </w:tc>
        <w:tc>
          <w:tcPr>
            <w:tcW w:w="1353" w:type="pct"/>
          </w:tcPr>
          <w:p w14:paraId="74C48141" w14:textId="62AFE78E" w:rsidR="00FB7F80" w:rsidRPr="009F12BB" w:rsidRDefault="00FB7F80" w:rsidP="0047393B">
            <w:pPr>
              <w:pStyle w:val="TableText"/>
              <w:spacing w:before="0" w:after="0"/>
            </w:pPr>
            <w:r w:rsidRPr="009F12BB">
              <w:t xml:space="preserve">The ADAR provided comparative clinical effectiveness data for EBRT + LDR-BT versus EBRT + HDR-BT. </w:t>
            </w:r>
          </w:p>
        </w:tc>
        <w:tc>
          <w:tcPr>
            <w:tcW w:w="1353" w:type="pct"/>
          </w:tcPr>
          <w:p w14:paraId="0A5E2F06" w14:textId="77777777" w:rsidR="00295B39" w:rsidRPr="009F12BB" w:rsidRDefault="00295B39" w:rsidP="0047393B">
            <w:pPr>
              <w:pStyle w:val="TableText"/>
              <w:spacing w:before="0" w:after="0"/>
            </w:pPr>
            <w:r w:rsidRPr="009F12BB">
              <w:t>Partially addressed.</w:t>
            </w:r>
          </w:p>
          <w:p w14:paraId="6336E2F1" w14:textId="542E2C16" w:rsidR="00FB7F80" w:rsidRPr="009F12BB" w:rsidRDefault="00890C82" w:rsidP="0047393B">
            <w:pPr>
              <w:pStyle w:val="TableText"/>
              <w:spacing w:before="0" w:after="0"/>
            </w:pPr>
            <w:r w:rsidRPr="009F12BB">
              <w:t>P</w:t>
            </w:r>
            <w:r w:rsidR="00E92044" w:rsidRPr="009F12BB">
              <w:t>rovided studies have limited applicability due to including all intermediate-risk and high-risk patients.</w:t>
            </w:r>
          </w:p>
        </w:tc>
      </w:tr>
      <w:tr w:rsidR="00FB7F80" w:rsidRPr="009F12BB" w14:paraId="5C0F284D" w14:textId="4BAD2C4A" w:rsidTr="006022DD">
        <w:trPr>
          <w:cantSplit/>
        </w:trPr>
        <w:tc>
          <w:tcPr>
            <w:tcW w:w="941" w:type="pct"/>
            <w:vAlign w:val="center"/>
          </w:tcPr>
          <w:p w14:paraId="4F993CFD" w14:textId="77777777" w:rsidR="00FB7F80" w:rsidRPr="009F12BB" w:rsidRDefault="00FB7F80" w:rsidP="0047393B">
            <w:pPr>
              <w:pStyle w:val="TableText"/>
              <w:spacing w:before="0" w:after="0"/>
            </w:pPr>
            <w:r w:rsidRPr="009F12BB">
              <w:lastRenderedPageBreak/>
              <w:t>MBS Item descriptor</w:t>
            </w:r>
          </w:p>
        </w:tc>
        <w:tc>
          <w:tcPr>
            <w:tcW w:w="1353" w:type="pct"/>
          </w:tcPr>
          <w:p w14:paraId="44C58915" w14:textId="77777777" w:rsidR="00FB7F80" w:rsidRPr="009F12BB" w:rsidRDefault="00FB7F80" w:rsidP="0047393B">
            <w:pPr>
              <w:pStyle w:val="TableText"/>
              <w:spacing w:before="0" w:after="0"/>
            </w:pPr>
            <w:r w:rsidRPr="009F12BB">
              <w:t>MSAC confirmed that the item descriptor should specify that LDR-BT is intended for use as a boost following EBRT and in association with androgen blockade.</w:t>
            </w:r>
          </w:p>
        </w:tc>
        <w:tc>
          <w:tcPr>
            <w:tcW w:w="1353" w:type="pct"/>
          </w:tcPr>
          <w:p w14:paraId="59D85A5B" w14:textId="6312DFD3" w:rsidR="00FB7F80" w:rsidRPr="009F12BB" w:rsidRDefault="00FB7F80" w:rsidP="0047393B">
            <w:pPr>
              <w:pStyle w:val="TableText"/>
              <w:spacing w:before="0" w:after="0"/>
            </w:pPr>
            <w:r w:rsidRPr="009F12BB">
              <w:t xml:space="preserve">The ADAR proposed modifications to the MBS item descriptors. </w:t>
            </w:r>
          </w:p>
        </w:tc>
        <w:tc>
          <w:tcPr>
            <w:tcW w:w="1353" w:type="pct"/>
          </w:tcPr>
          <w:p w14:paraId="65C29A87" w14:textId="77777777" w:rsidR="00295B39" w:rsidRPr="009F12BB" w:rsidRDefault="00295B39" w:rsidP="0047393B">
            <w:pPr>
              <w:pStyle w:val="TableText"/>
              <w:spacing w:before="0" w:after="0"/>
            </w:pPr>
            <w:r w:rsidRPr="009F12BB">
              <w:t>Partially addressed.</w:t>
            </w:r>
          </w:p>
          <w:p w14:paraId="49930BFE" w14:textId="0E15B34B" w:rsidR="007B2468" w:rsidRPr="009F12BB" w:rsidRDefault="00EB3675" w:rsidP="0047393B">
            <w:pPr>
              <w:pStyle w:val="TableText"/>
              <w:spacing w:before="0" w:after="0"/>
            </w:pPr>
            <w:r w:rsidRPr="009F12BB">
              <w:t xml:space="preserve">Modification of the MBS item descriptor </w:t>
            </w:r>
            <w:r w:rsidR="00334205" w:rsidRPr="009F12BB">
              <w:t>is</w:t>
            </w:r>
            <w:r w:rsidR="007B2468" w:rsidRPr="009F12BB">
              <w:t xml:space="preserve"> </w:t>
            </w:r>
            <w:r w:rsidRPr="009F12BB">
              <w:t xml:space="preserve">not the same as suggested in the </w:t>
            </w:r>
            <w:r w:rsidR="007B2468" w:rsidRPr="009F12BB">
              <w:t>1525 PSD.</w:t>
            </w:r>
            <w:r w:rsidR="00CA6FCF" w:rsidRPr="009F12BB">
              <w:t xml:space="preserve"> </w:t>
            </w:r>
          </w:p>
          <w:p w14:paraId="4D88EC92" w14:textId="4E7A42CB" w:rsidR="00FB7F80" w:rsidRPr="009F12BB" w:rsidRDefault="00CA6FCF" w:rsidP="0047393B">
            <w:pPr>
              <w:pStyle w:val="TableText"/>
              <w:spacing w:before="0" w:after="0"/>
            </w:pPr>
            <w:r w:rsidRPr="009F12BB">
              <w:t>The risk group definitions presented in the ADAR</w:t>
            </w:r>
            <w:r w:rsidR="007B2468" w:rsidRPr="009F12BB">
              <w:t xml:space="preserve"> item descriptor</w:t>
            </w:r>
            <w:r w:rsidRPr="009F12BB">
              <w:t xml:space="preserve"> are not aligned either with the Ratified PICO or with the latest NCCN risk stratification</w:t>
            </w:r>
            <w:bookmarkStart w:id="11" w:name="_Ref122532693"/>
            <w:r w:rsidR="00A2577C" w:rsidRPr="009F12BB">
              <w:rPr>
                <w:rStyle w:val="FootnoteReference"/>
              </w:rPr>
              <w:footnoteReference w:id="6"/>
            </w:r>
            <w:bookmarkEnd w:id="11"/>
            <w:r w:rsidRPr="009F12BB">
              <w:t>.</w:t>
            </w:r>
          </w:p>
        </w:tc>
      </w:tr>
      <w:tr w:rsidR="00FB7F80" w:rsidRPr="009F12BB" w14:paraId="2108482B" w14:textId="18E88724" w:rsidTr="006022DD">
        <w:trPr>
          <w:cantSplit/>
        </w:trPr>
        <w:tc>
          <w:tcPr>
            <w:tcW w:w="941" w:type="pct"/>
            <w:vAlign w:val="center"/>
          </w:tcPr>
          <w:p w14:paraId="4C8A0A9B" w14:textId="77777777" w:rsidR="00FB7F80" w:rsidRPr="009F12BB" w:rsidRDefault="00FB7F80" w:rsidP="0047393B">
            <w:pPr>
              <w:pStyle w:val="TableText"/>
              <w:spacing w:before="0" w:after="0"/>
            </w:pPr>
            <w:r w:rsidRPr="009F12BB">
              <w:t>Included population</w:t>
            </w:r>
          </w:p>
        </w:tc>
        <w:tc>
          <w:tcPr>
            <w:tcW w:w="1353" w:type="pct"/>
          </w:tcPr>
          <w:p w14:paraId="66C5C714" w14:textId="77777777" w:rsidR="00FB7F80" w:rsidRPr="009F12BB" w:rsidRDefault="00FB7F80" w:rsidP="0047393B">
            <w:pPr>
              <w:pStyle w:val="TableText"/>
              <w:spacing w:before="0" w:after="0"/>
            </w:pPr>
            <w:r w:rsidRPr="009F12BB">
              <w:t xml:space="preserve">ESC noted that the designation of intermediate and high risk is arbitrary from a clinical point of view and queried which definition of intermediate risk should be used (NCCN or PICO). </w:t>
            </w:r>
          </w:p>
        </w:tc>
        <w:tc>
          <w:tcPr>
            <w:tcW w:w="1353" w:type="pct"/>
          </w:tcPr>
          <w:p w14:paraId="644FD103" w14:textId="662188AD" w:rsidR="00F23CE3" w:rsidRPr="009F12BB" w:rsidRDefault="00FB7F80" w:rsidP="0047393B">
            <w:pPr>
              <w:pStyle w:val="TableText"/>
              <w:spacing w:before="0" w:after="0"/>
            </w:pPr>
            <w:r w:rsidRPr="009F12BB">
              <w:t>The ADAR proposed including all intermediate-risk and high-risk patients</w:t>
            </w:r>
            <w:r w:rsidR="00F23CE3" w:rsidRPr="009F12BB">
              <w:t xml:space="preserve"> along with two arguments:</w:t>
            </w:r>
          </w:p>
          <w:p w14:paraId="44B7BC2E" w14:textId="2945ACBA" w:rsidR="00F23CE3" w:rsidRPr="009F12BB" w:rsidRDefault="00F23CE3" w:rsidP="0047393B">
            <w:pPr>
              <w:pStyle w:val="TableText"/>
              <w:spacing w:before="0" w:after="0"/>
            </w:pPr>
            <w:r w:rsidRPr="009F12BB">
              <w:t xml:space="preserve">1) Population definition should be standardised and follow clinical practice guidelines (NCCN) </w:t>
            </w:r>
          </w:p>
          <w:p w14:paraId="7D0E19FF" w14:textId="72A038BF" w:rsidR="00FB7F80" w:rsidRPr="009F12BB" w:rsidRDefault="00F23CE3" w:rsidP="0047393B">
            <w:pPr>
              <w:pStyle w:val="TableText"/>
              <w:spacing w:before="0" w:after="0"/>
            </w:pPr>
            <w:r w:rsidRPr="009F12BB">
              <w:t xml:space="preserve">2) Population in the original PICO was modified </w:t>
            </w:r>
            <w:r w:rsidR="00634003" w:rsidRPr="009F12BB">
              <w:t xml:space="preserve">to minimise overtreatment in </w:t>
            </w:r>
            <w:r w:rsidR="00B7545C" w:rsidRPr="009F12BB">
              <w:t xml:space="preserve">low intermediate-risk population </w:t>
            </w:r>
            <w:r w:rsidR="00295B39" w:rsidRPr="009F12BB">
              <w:t>that</w:t>
            </w:r>
            <w:r w:rsidR="00B7545C" w:rsidRPr="009F12BB">
              <w:t xml:space="preserve"> could be treated with LDR-BT monotherapy</w:t>
            </w:r>
            <w:r w:rsidR="00634003" w:rsidRPr="009F12BB">
              <w:t xml:space="preserve">. </w:t>
            </w:r>
          </w:p>
        </w:tc>
        <w:tc>
          <w:tcPr>
            <w:tcW w:w="1353" w:type="pct"/>
          </w:tcPr>
          <w:p w14:paraId="7E829EC4" w14:textId="77777777" w:rsidR="00295B39" w:rsidRPr="009F12BB" w:rsidRDefault="00295B39" w:rsidP="0047393B">
            <w:pPr>
              <w:pStyle w:val="TableText"/>
              <w:spacing w:before="0" w:after="0"/>
            </w:pPr>
            <w:r w:rsidRPr="009F12BB">
              <w:t>Not addressed.</w:t>
            </w:r>
          </w:p>
          <w:p w14:paraId="2B952B59" w14:textId="31C28689" w:rsidR="00FB7F80" w:rsidRPr="009F12BB" w:rsidRDefault="00DB267F" w:rsidP="0047393B">
            <w:pPr>
              <w:pStyle w:val="TableText"/>
              <w:spacing w:before="0" w:after="0"/>
            </w:pPr>
            <w:r w:rsidRPr="006A46A2">
              <w:t>This change is not supported by the most recent NCCN guidelines</w:t>
            </w:r>
            <w:r w:rsidR="00A2577C" w:rsidRPr="006A46A2">
              <w:rPr>
                <w:vertAlign w:val="superscript"/>
              </w:rPr>
              <w:fldChar w:fldCharType="begin"/>
            </w:r>
            <w:r w:rsidR="00A2577C" w:rsidRPr="006A46A2">
              <w:rPr>
                <w:vertAlign w:val="superscript"/>
              </w:rPr>
              <w:instrText xml:space="preserve"> NOTEREF _Ref122532693 \h </w:instrText>
            </w:r>
            <w:r w:rsidR="00A2577C" w:rsidRPr="009F12BB">
              <w:rPr>
                <w:vertAlign w:val="superscript"/>
              </w:rPr>
              <w:instrText xml:space="preserve"> \* MERGEFORMAT </w:instrText>
            </w:r>
            <w:r w:rsidR="00A2577C" w:rsidRPr="006A46A2">
              <w:rPr>
                <w:vertAlign w:val="superscript"/>
              </w:rPr>
            </w:r>
            <w:r w:rsidR="00A2577C" w:rsidRPr="006A46A2">
              <w:rPr>
                <w:vertAlign w:val="superscript"/>
              </w:rPr>
              <w:fldChar w:fldCharType="separate"/>
            </w:r>
            <w:r w:rsidR="00A2577C" w:rsidRPr="006A46A2">
              <w:rPr>
                <w:vertAlign w:val="superscript"/>
              </w:rPr>
              <w:t>3</w:t>
            </w:r>
            <w:r w:rsidR="00A2577C" w:rsidRPr="006A46A2">
              <w:rPr>
                <w:vertAlign w:val="superscript"/>
              </w:rPr>
              <w:fldChar w:fldCharType="end"/>
            </w:r>
            <w:r w:rsidRPr="006A46A2">
              <w:t xml:space="preserve"> (</w:t>
            </w:r>
            <w:r w:rsidR="00F23CE3" w:rsidRPr="009F12BB">
              <w:t>published September</w:t>
            </w:r>
            <w:r w:rsidRPr="006A46A2">
              <w:t xml:space="preserve"> 2022)</w:t>
            </w:r>
            <w:r w:rsidR="00F23CE3" w:rsidRPr="009F12BB">
              <w:t xml:space="preserve"> in which intermediate risk group is divided into favourable and unfavourable intermediate-risk populations. As per these guidelines only the unfavourable intermediate-risk group would receive EBRT + LDR-BT boost with the favourable intermediate group being treated with either EBRT or Brachytherapy as monotherapies.</w:t>
            </w:r>
          </w:p>
        </w:tc>
      </w:tr>
      <w:tr w:rsidR="00FB7F80" w:rsidRPr="009F12BB" w14:paraId="5E8CEF5E" w14:textId="14ACC2D0" w:rsidTr="006022DD">
        <w:trPr>
          <w:cantSplit/>
        </w:trPr>
        <w:tc>
          <w:tcPr>
            <w:tcW w:w="941" w:type="pct"/>
            <w:vAlign w:val="center"/>
          </w:tcPr>
          <w:p w14:paraId="55C56F43" w14:textId="77777777" w:rsidR="00FB7F80" w:rsidRPr="009F12BB" w:rsidRDefault="00FB7F80" w:rsidP="0047393B">
            <w:pPr>
              <w:pStyle w:val="TableText"/>
              <w:keepNext/>
              <w:keepLines/>
              <w:spacing w:before="0" w:after="0"/>
            </w:pPr>
            <w:r w:rsidRPr="009F12BB">
              <w:t xml:space="preserve">Applicability of trial </w:t>
            </w:r>
          </w:p>
        </w:tc>
        <w:tc>
          <w:tcPr>
            <w:tcW w:w="1353" w:type="pct"/>
          </w:tcPr>
          <w:p w14:paraId="124A4EC9" w14:textId="3BD49721" w:rsidR="00FB7F80" w:rsidRPr="009F12BB" w:rsidRDefault="00FB7F80" w:rsidP="0047393B">
            <w:pPr>
              <w:pStyle w:val="TableText"/>
              <w:keepNext/>
              <w:keepLines/>
              <w:spacing w:before="0" w:after="0"/>
            </w:pPr>
            <w:r w:rsidRPr="009F12BB">
              <w:t>Johnson study</w:t>
            </w:r>
            <w:bookmarkStart w:id="12" w:name="_Ref122532752"/>
            <w:r w:rsidR="00C07C20" w:rsidRPr="009F12BB">
              <w:rPr>
                <w:rStyle w:val="FootnoteReference"/>
              </w:rPr>
              <w:footnoteReference w:id="7"/>
            </w:r>
            <w:bookmarkEnd w:id="12"/>
            <w:r w:rsidRPr="009F12BB">
              <w:t xml:space="preserve"> is at a high risk of bias and low applicability because the majority of patients were at low-intermediate risk.</w:t>
            </w:r>
          </w:p>
        </w:tc>
        <w:tc>
          <w:tcPr>
            <w:tcW w:w="1353" w:type="pct"/>
          </w:tcPr>
          <w:p w14:paraId="3ECD218D" w14:textId="082B729C" w:rsidR="00FB7F80" w:rsidRPr="009F12BB" w:rsidRDefault="00FB7F80" w:rsidP="0047393B">
            <w:pPr>
              <w:pStyle w:val="TableText"/>
              <w:keepNext/>
              <w:keepLines/>
              <w:spacing w:before="0" w:after="0"/>
              <w:rPr>
                <w:rFonts w:cs="Arial"/>
                <w:bCs/>
                <w:snapToGrid w:val="0"/>
              </w:rPr>
            </w:pPr>
            <w:r w:rsidRPr="009F12BB">
              <w:t xml:space="preserve">The ADAR proposed a change in the population definition, including all intermediate-risk and high-risk patients, and noted that if accepted, </w:t>
            </w:r>
            <w:r w:rsidR="007B2468" w:rsidRPr="009F12BB">
              <w:t>Johnson study</w:t>
            </w:r>
            <w:r w:rsidR="00A2577C" w:rsidRPr="006A46A2">
              <w:rPr>
                <w:vertAlign w:val="superscript"/>
              </w:rPr>
              <w:fldChar w:fldCharType="begin"/>
            </w:r>
            <w:r w:rsidR="00A2577C" w:rsidRPr="006A46A2">
              <w:rPr>
                <w:vertAlign w:val="superscript"/>
              </w:rPr>
              <w:instrText xml:space="preserve"> NOTEREF _Ref122532752 \h </w:instrText>
            </w:r>
            <w:r w:rsidR="00A2577C" w:rsidRPr="009F12BB">
              <w:rPr>
                <w:vertAlign w:val="superscript"/>
              </w:rPr>
              <w:instrText xml:space="preserve"> \* MERGEFORMAT </w:instrText>
            </w:r>
            <w:r w:rsidR="00A2577C" w:rsidRPr="006A46A2">
              <w:rPr>
                <w:vertAlign w:val="superscript"/>
              </w:rPr>
            </w:r>
            <w:r w:rsidR="00A2577C" w:rsidRPr="006A46A2">
              <w:rPr>
                <w:vertAlign w:val="superscript"/>
              </w:rPr>
              <w:fldChar w:fldCharType="separate"/>
            </w:r>
            <w:r w:rsidR="00A2577C" w:rsidRPr="006A46A2">
              <w:rPr>
                <w:vertAlign w:val="superscript"/>
              </w:rPr>
              <w:t>4</w:t>
            </w:r>
            <w:r w:rsidR="00A2577C" w:rsidRPr="006A46A2">
              <w:rPr>
                <w:vertAlign w:val="superscript"/>
              </w:rPr>
              <w:fldChar w:fldCharType="end"/>
            </w:r>
            <w:r w:rsidR="007B2468" w:rsidRPr="009F12BB">
              <w:t xml:space="preserve"> </w:t>
            </w:r>
            <w:r w:rsidRPr="009F12BB">
              <w:t xml:space="preserve"> would no longer have applicability issues. </w:t>
            </w:r>
          </w:p>
        </w:tc>
        <w:tc>
          <w:tcPr>
            <w:tcW w:w="1353" w:type="pct"/>
          </w:tcPr>
          <w:p w14:paraId="6877011B" w14:textId="77777777" w:rsidR="00295B39" w:rsidRPr="009F12BB" w:rsidRDefault="00295B39" w:rsidP="0047393B">
            <w:pPr>
              <w:pStyle w:val="TableText"/>
              <w:keepNext/>
              <w:keepLines/>
              <w:spacing w:before="0" w:after="0"/>
            </w:pPr>
            <w:r w:rsidRPr="009F12BB">
              <w:t>Not addressed.</w:t>
            </w:r>
          </w:p>
          <w:p w14:paraId="42BA51FF" w14:textId="28AA201F" w:rsidR="00FB7F80" w:rsidRPr="009F12BB" w:rsidRDefault="007B2468" w:rsidP="0047393B">
            <w:pPr>
              <w:pStyle w:val="TableText"/>
              <w:keepNext/>
              <w:keepLines/>
              <w:spacing w:before="0" w:after="0"/>
            </w:pPr>
            <w:r w:rsidRPr="009F12BB">
              <w:t>This change is not supported by the most recent NCCN risk stratification and treatment guidelines (NCCN 2022)</w:t>
            </w:r>
            <w:r w:rsidR="00A2577C" w:rsidRPr="006A46A2">
              <w:rPr>
                <w:vertAlign w:val="superscript"/>
              </w:rPr>
              <w:fldChar w:fldCharType="begin"/>
            </w:r>
            <w:r w:rsidR="00A2577C" w:rsidRPr="006A46A2">
              <w:rPr>
                <w:vertAlign w:val="superscript"/>
              </w:rPr>
              <w:instrText xml:space="preserve"> NOTEREF _Ref122532693 \h </w:instrText>
            </w:r>
            <w:r w:rsidR="00A2577C" w:rsidRPr="009F12BB">
              <w:rPr>
                <w:vertAlign w:val="superscript"/>
              </w:rPr>
              <w:instrText xml:space="preserve"> \* MERGEFORMAT </w:instrText>
            </w:r>
            <w:r w:rsidR="00A2577C" w:rsidRPr="006A46A2">
              <w:rPr>
                <w:vertAlign w:val="superscript"/>
              </w:rPr>
            </w:r>
            <w:r w:rsidR="00A2577C" w:rsidRPr="006A46A2">
              <w:rPr>
                <w:vertAlign w:val="superscript"/>
              </w:rPr>
              <w:fldChar w:fldCharType="separate"/>
            </w:r>
            <w:r w:rsidR="00A2577C" w:rsidRPr="006A46A2">
              <w:rPr>
                <w:vertAlign w:val="superscript"/>
              </w:rPr>
              <w:t>3</w:t>
            </w:r>
            <w:r w:rsidR="00A2577C" w:rsidRPr="006A46A2">
              <w:rPr>
                <w:vertAlign w:val="superscript"/>
              </w:rPr>
              <w:fldChar w:fldCharType="end"/>
            </w:r>
            <w:r w:rsidRPr="009F12BB">
              <w:t xml:space="preserve"> which provide different treatment guidelines for favourable and unfavourable intermediate risk patients.</w:t>
            </w:r>
          </w:p>
        </w:tc>
      </w:tr>
    </w:tbl>
    <w:p w14:paraId="6F52500A" w14:textId="72F50BF8" w:rsidR="00772829" w:rsidRPr="00CE28E3" w:rsidRDefault="002A7F8F" w:rsidP="0047393B">
      <w:pPr>
        <w:pStyle w:val="TableFigureFooter"/>
        <w:spacing w:after="120"/>
      </w:pPr>
      <w:r>
        <w:t xml:space="preserve">Source: Table 2 of the ADAR, with third </w:t>
      </w:r>
      <w:r w:rsidR="007B2468">
        <w:t xml:space="preserve">and fourth </w:t>
      </w:r>
      <w:r>
        <w:t xml:space="preserve">column </w:t>
      </w:r>
      <w:r w:rsidR="00CF782B">
        <w:t>developed</w:t>
      </w:r>
      <w:r>
        <w:t xml:space="preserve"> for the commentary</w:t>
      </w:r>
      <w:r w:rsidR="006A46A2">
        <w:br/>
      </w:r>
      <w:r w:rsidR="005D4D8A">
        <w:t xml:space="preserve">ADAR = Applicant Developed Assessment Report; </w:t>
      </w:r>
      <w:r w:rsidR="002E1C70">
        <w:t xml:space="preserve">BCR= biochemical recurrence; </w:t>
      </w:r>
      <w:r w:rsidR="00861FF5">
        <w:t xml:space="preserve">b-PFS = biochemical progression-free survival; </w:t>
      </w:r>
      <w:r w:rsidR="005D4D8A">
        <w:t xml:space="preserve">EBRT = external beam radiation therapy; </w:t>
      </w:r>
      <w:r w:rsidR="00861FF5">
        <w:t xml:space="preserve">ESC = Evaluation Sub-Committee; </w:t>
      </w:r>
      <w:r w:rsidR="005D4D8A">
        <w:t xml:space="preserve">HDR-BT = high dose-rate brachytherapy; LDR-BT = low dose-rate brachytherapy; </w:t>
      </w:r>
      <w:r w:rsidR="00984058" w:rsidRPr="006D7211">
        <w:t xml:space="preserve">MSAC = Medical Services Advisory Committee; </w:t>
      </w:r>
      <w:r w:rsidR="00861FF5">
        <w:t>NCCN = National Comprehensive Can</w:t>
      </w:r>
      <w:r w:rsidR="001444CF">
        <w:t>c</w:t>
      </w:r>
      <w:r w:rsidR="00861FF5">
        <w:t xml:space="preserve">er Network; </w:t>
      </w:r>
      <w:r w:rsidR="00984058" w:rsidRPr="006D7211">
        <w:t>PSD = Public Summary Document</w:t>
      </w:r>
      <w:r w:rsidR="00861FF5">
        <w:t>; RP = radical prostatectomy</w:t>
      </w:r>
      <w:bookmarkStart w:id="13" w:name="_Toc69491417"/>
      <w:bookmarkEnd w:id="8"/>
      <w:bookmarkEnd w:id="10"/>
      <w:r w:rsidR="00C36633">
        <w:t>3.</w:t>
      </w:r>
      <w:r w:rsidR="00C36633">
        <w:tab/>
      </w:r>
      <w:r w:rsidR="00772829" w:rsidRPr="00CE28E3">
        <w:t>Prerequisites to implementation of any funding advice</w:t>
      </w:r>
      <w:bookmarkEnd w:id="13"/>
    </w:p>
    <w:p w14:paraId="2B952557" w14:textId="338A37A0" w:rsidR="00511181" w:rsidRPr="00511181" w:rsidRDefault="00861FF5" w:rsidP="00511181">
      <w:bookmarkStart w:id="14" w:name="_Toc69491418"/>
      <w:r>
        <w:t>LDR</w:t>
      </w:r>
      <w:r w:rsidR="00697619">
        <w:t>-BT</w:t>
      </w:r>
      <w:r>
        <w:t xml:space="preserve"> requires a radioactive seed which is a therapeutic good that is included on the </w:t>
      </w:r>
      <w:r w:rsidR="00697619">
        <w:t>Australian Register of Therapeutic Goods (</w:t>
      </w:r>
      <w:r>
        <w:t>ARTG</w:t>
      </w:r>
      <w:r w:rsidR="00697619">
        <w:t>)</w:t>
      </w:r>
      <w:r>
        <w:t xml:space="preserve">. Several products are </w:t>
      </w:r>
      <w:r w:rsidR="00EA35A6">
        <w:t xml:space="preserve">listed </w:t>
      </w:r>
      <w:r>
        <w:t>on the ARTG</w:t>
      </w:r>
      <w:r w:rsidR="001B26E3">
        <w:t xml:space="preserve"> (</w:t>
      </w:r>
      <w:r>
        <w:fldChar w:fldCharType="begin"/>
      </w:r>
      <w:r>
        <w:instrText xml:space="preserve"> REF _Ref114475322 \h </w:instrText>
      </w:r>
      <w:r>
        <w:fldChar w:fldCharType="separate"/>
      </w:r>
      <w:r>
        <w:t xml:space="preserve">Table </w:t>
      </w:r>
      <w:r>
        <w:rPr>
          <w:noProof/>
        </w:rPr>
        <w:t>2</w:t>
      </w:r>
      <w:r>
        <w:fldChar w:fldCharType="end"/>
      </w:r>
      <w:r w:rsidR="001B26E3">
        <w:t>).</w:t>
      </w:r>
      <w:r w:rsidR="00A74D42">
        <w:t xml:space="preserve"> The intervention does not require a new device.</w:t>
      </w:r>
      <w:bookmarkStart w:id="15" w:name="_Ref114475322"/>
      <w:r w:rsidR="00511181">
        <w:br w:type="page"/>
      </w:r>
    </w:p>
    <w:p w14:paraId="019EF409" w14:textId="2323B2F5" w:rsidR="00861FF5" w:rsidRDefault="00861FF5" w:rsidP="00861FF5">
      <w:pPr>
        <w:pStyle w:val="Caption"/>
      </w:pPr>
      <w:r>
        <w:lastRenderedPageBreak/>
        <w:t xml:space="preserve">Table </w:t>
      </w:r>
      <w:fldSimple w:instr=" SEQ Table \* ARABIC ">
        <w:r w:rsidR="008E2523">
          <w:rPr>
            <w:noProof/>
          </w:rPr>
          <w:t>2</w:t>
        </w:r>
      </w:fldSimple>
      <w:bookmarkEnd w:id="15"/>
      <w:r>
        <w:rPr>
          <w:noProof/>
        </w:rPr>
        <w:tab/>
      </w:r>
      <w:r>
        <w:t>List of inclusions of brachytherapy seeds on ARTG</w:t>
      </w:r>
    </w:p>
    <w:tbl>
      <w:tblPr>
        <w:tblStyle w:val="TableGrid"/>
        <w:tblW w:w="0" w:type="auto"/>
        <w:tblLook w:val="04A0" w:firstRow="1" w:lastRow="0" w:firstColumn="1" w:lastColumn="0" w:noHBand="0" w:noVBand="1"/>
      </w:tblPr>
      <w:tblGrid>
        <w:gridCol w:w="4508"/>
        <w:gridCol w:w="4508"/>
      </w:tblGrid>
      <w:tr w:rsidR="00861FF5" w14:paraId="0D612CF2" w14:textId="77777777" w:rsidTr="00861FF5">
        <w:tc>
          <w:tcPr>
            <w:tcW w:w="4508" w:type="dxa"/>
            <w:shd w:val="clear" w:color="auto" w:fill="auto"/>
          </w:tcPr>
          <w:p w14:paraId="4A04AF9F" w14:textId="77777777" w:rsidR="00861FF5" w:rsidRPr="00861FF5" w:rsidRDefault="00861FF5" w:rsidP="004137D8">
            <w:pPr>
              <w:pStyle w:val="In-tableHeading"/>
            </w:pPr>
            <w:r w:rsidRPr="00861FF5">
              <w:t>Device</w:t>
            </w:r>
          </w:p>
        </w:tc>
        <w:tc>
          <w:tcPr>
            <w:tcW w:w="4508" w:type="dxa"/>
            <w:shd w:val="clear" w:color="auto" w:fill="auto"/>
          </w:tcPr>
          <w:p w14:paraId="30D24300" w14:textId="77777777" w:rsidR="00861FF5" w:rsidRPr="00861FF5" w:rsidRDefault="00861FF5" w:rsidP="004137D8">
            <w:pPr>
              <w:pStyle w:val="In-tableHeading"/>
            </w:pPr>
            <w:r w:rsidRPr="00861FF5">
              <w:t>ARTG</w:t>
            </w:r>
          </w:p>
        </w:tc>
      </w:tr>
      <w:tr w:rsidR="00861FF5" w14:paraId="30EFDD42" w14:textId="77777777" w:rsidTr="00623849">
        <w:tc>
          <w:tcPr>
            <w:tcW w:w="4508" w:type="dxa"/>
          </w:tcPr>
          <w:p w14:paraId="64060080" w14:textId="77777777" w:rsidR="00861FF5" w:rsidRDefault="00861FF5" w:rsidP="00623849">
            <w:pPr>
              <w:pStyle w:val="Tabletext0"/>
            </w:pPr>
            <w:r w:rsidRPr="00DF13D4">
              <w:t>Advantage I-125 Seed</w:t>
            </w:r>
          </w:p>
        </w:tc>
        <w:tc>
          <w:tcPr>
            <w:tcW w:w="4508" w:type="dxa"/>
          </w:tcPr>
          <w:p w14:paraId="554E1E5E" w14:textId="77777777" w:rsidR="00861FF5" w:rsidRDefault="00861FF5" w:rsidP="00623849">
            <w:pPr>
              <w:pStyle w:val="Tabletext0"/>
            </w:pPr>
            <w:r>
              <w:t>154457</w:t>
            </w:r>
          </w:p>
        </w:tc>
      </w:tr>
      <w:tr w:rsidR="00861FF5" w14:paraId="257B755D" w14:textId="77777777" w:rsidTr="00623849">
        <w:tc>
          <w:tcPr>
            <w:tcW w:w="4508" w:type="dxa"/>
          </w:tcPr>
          <w:p w14:paraId="7D07F009" w14:textId="77777777" w:rsidR="00861FF5" w:rsidRDefault="00861FF5" w:rsidP="00623849">
            <w:pPr>
              <w:pStyle w:val="Tabletext0"/>
            </w:pPr>
            <w:r w:rsidRPr="00DF13D4">
              <w:t>BrachySource® I-125 Implant</w:t>
            </w:r>
          </w:p>
        </w:tc>
        <w:tc>
          <w:tcPr>
            <w:tcW w:w="4508" w:type="dxa"/>
          </w:tcPr>
          <w:p w14:paraId="349078EA" w14:textId="77777777" w:rsidR="00861FF5" w:rsidRDefault="00861FF5" w:rsidP="00623849">
            <w:pPr>
              <w:pStyle w:val="Tabletext0"/>
            </w:pPr>
            <w:r>
              <w:t>225229, 225230, 225231, 225237, 225238</w:t>
            </w:r>
          </w:p>
        </w:tc>
      </w:tr>
      <w:tr w:rsidR="00861FF5" w14:paraId="4302ED57" w14:textId="77777777" w:rsidTr="00623849">
        <w:tc>
          <w:tcPr>
            <w:tcW w:w="4508" w:type="dxa"/>
          </w:tcPr>
          <w:p w14:paraId="0C5227C9" w14:textId="77777777" w:rsidR="00861FF5" w:rsidRDefault="00861FF5" w:rsidP="00623849">
            <w:pPr>
              <w:pStyle w:val="Tabletext0"/>
            </w:pPr>
            <w:r w:rsidRPr="00DF13D4">
              <w:t>TheraStrand Rx with AgX100 Brachytherapy Kit</w:t>
            </w:r>
          </w:p>
        </w:tc>
        <w:tc>
          <w:tcPr>
            <w:tcW w:w="4508" w:type="dxa"/>
          </w:tcPr>
          <w:p w14:paraId="46CD09EF" w14:textId="77777777" w:rsidR="00861FF5" w:rsidRDefault="00861FF5" w:rsidP="00623849">
            <w:pPr>
              <w:pStyle w:val="Tabletext0"/>
            </w:pPr>
            <w:r>
              <w:t>205063</w:t>
            </w:r>
          </w:p>
        </w:tc>
      </w:tr>
      <w:tr w:rsidR="00861FF5" w14:paraId="0B5903A3" w14:textId="77777777" w:rsidTr="00623849">
        <w:tc>
          <w:tcPr>
            <w:tcW w:w="4508" w:type="dxa"/>
          </w:tcPr>
          <w:p w14:paraId="62580270" w14:textId="77777777" w:rsidR="00861FF5" w:rsidRDefault="00861FF5" w:rsidP="00623849">
            <w:pPr>
              <w:pStyle w:val="Tabletext0"/>
            </w:pPr>
            <w:r w:rsidRPr="00DF13D4">
              <w:t>I-Seed AgX100 Cartridge Brachytherapy Kit</w:t>
            </w:r>
          </w:p>
        </w:tc>
        <w:tc>
          <w:tcPr>
            <w:tcW w:w="4508" w:type="dxa"/>
          </w:tcPr>
          <w:p w14:paraId="656268BD" w14:textId="77777777" w:rsidR="00861FF5" w:rsidRDefault="00861FF5" w:rsidP="00623849">
            <w:pPr>
              <w:pStyle w:val="Tabletext0"/>
            </w:pPr>
            <w:r>
              <w:t>205023</w:t>
            </w:r>
          </w:p>
        </w:tc>
      </w:tr>
      <w:tr w:rsidR="00861FF5" w14:paraId="2DA54B23" w14:textId="77777777" w:rsidTr="00623849">
        <w:tc>
          <w:tcPr>
            <w:tcW w:w="4508" w:type="dxa"/>
          </w:tcPr>
          <w:p w14:paraId="70ED4A0C" w14:textId="77777777" w:rsidR="00861FF5" w:rsidRDefault="00861FF5" w:rsidP="00623849">
            <w:pPr>
              <w:pStyle w:val="Tabletext0"/>
            </w:pPr>
            <w:r w:rsidRPr="00DF13D4">
              <w:t>Advantage I-125 Pre-load</w:t>
            </w:r>
          </w:p>
        </w:tc>
        <w:tc>
          <w:tcPr>
            <w:tcW w:w="4508" w:type="dxa"/>
          </w:tcPr>
          <w:p w14:paraId="5A3E9349" w14:textId="77777777" w:rsidR="00861FF5" w:rsidRDefault="00861FF5" w:rsidP="00623849">
            <w:pPr>
              <w:pStyle w:val="Tabletext0"/>
            </w:pPr>
            <w:r>
              <w:t>175081</w:t>
            </w:r>
          </w:p>
        </w:tc>
      </w:tr>
    </w:tbl>
    <w:p w14:paraId="6826A5A8" w14:textId="50257575" w:rsidR="00CF782B" w:rsidRDefault="00CF782B" w:rsidP="00CF782B">
      <w:pPr>
        <w:pStyle w:val="Tablenotes"/>
      </w:pPr>
      <w:r>
        <w:t>Source: Table 3 of the ADAR</w:t>
      </w:r>
    </w:p>
    <w:bookmarkEnd w:id="14"/>
    <w:p w14:paraId="0AEEBD19" w14:textId="4730EF23" w:rsidR="005C38D0" w:rsidRPr="005C38D0" w:rsidRDefault="00F04024" w:rsidP="005C38D0">
      <w:pPr>
        <w:pStyle w:val="Heading2"/>
        <w:numPr>
          <w:ilvl w:val="0"/>
          <w:numId w:val="0"/>
        </w:numPr>
      </w:pPr>
      <w:r>
        <w:t>5</w:t>
      </w:r>
      <w:r w:rsidR="005C38D0">
        <w:t>.</w:t>
      </w:r>
      <w:r w:rsidR="005C38D0">
        <w:tab/>
        <w:t>Proposal for public funding</w:t>
      </w:r>
    </w:p>
    <w:p w14:paraId="60A87717" w14:textId="705CD862" w:rsidR="004134CA" w:rsidRPr="004134CA" w:rsidRDefault="004134CA" w:rsidP="004134CA">
      <w:r>
        <w:t xml:space="preserve">The ADAR proposed two </w:t>
      </w:r>
      <w:r w:rsidR="00173132">
        <w:t>MBS</w:t>
      </w:r>
      <w:r>
        <w:t xml:space="preserve"> item descriptors, presented in </w:t>
      </w:r>
      <w:r>
        <w:fldChar w:fldCharType="begin"/>
      </w:r>
      <w:r>
        <w:instrText xml:space="preserve"> REF _Ref46132829 \h </w:instrText>
      </w:r>
      <w:r>
        <w:fldChar w:fldCharType="separate"/>
      </w:r>
      <w:r w:rsidRPr="00CE28E3">
        <w:t>Table</w:t>
      </w:r>
      <w:r>
        <w:t> </w:t>
      </w:r>
      <w:r>
        <w:rPr>
          <w:noProof/>
        </w:rPr>
        <w:t>3</w:t>
      </w:r>
      <w:r>
        <w:fldChar w:fldCharType="end"/>
      </w:r>
      <w:r>
        <w:t xml:space="preserve"> </w:t>
      </w:r>
      <w:r w:rsidR="004137D8">
        <w:t xml:space="preserve">(radiation oncology component) </w:t>
      </w:r>
      <w:r>
        <w:t xml:space="preserve">and </w:t>
      </w:r>
      <w:r>
        <w:fldChar w:fldCharType="begin"/>
      </w:r>
      <w:r>
        <w:instrText xml:space="preserve"> REF _Ref115429179 \h </w:instrText>
      </w:r>
      <w:r>
        <w:fldChar w:fldCharType="separate"/>
      </w:r>
      <w:r>
        <w:t xml:space="preserve">Table </w:t>
      </w:r>
      <w:r>
        <w:rPr>
          <w:noProof/>
        </w:rPr>
        <w:t>4</w:t>
      </w:r>
      <w:r>
        <w:fldChar w:fldCharType="end"/>
      </w:r>
      <w:r w:rsidR="004137D8">
        <w:t xml:space="preserve"> (urology component)</w:t>
      </w:r>
      <w:r>
        <w:t xml:space="preserve">. They </w:t>
      </w:r>
      <w:r w:rsidR="00697619">
        <w:t xml:space="preserve">are </w:t>
      </w:r>
      <w:r>
        <w:t xml:space="preserve">based on the proposed item descriptors </w:t>
      </w:r>
      <w:r w:rsidR="004137D8">
        <w:t>from</w:t>
      </w:r>
      <w:r>
        <w:t xml:space="preserve"> the Ratified PICO, on MSAC’s advice (outlined in </w:t>
      </w:r>
      <w:r>
        <w:fldChar w:fldCharType="begin"/>
      </w:r>
      <w:r>
        <w:instrText xml:space="preserve"> REF _Ref69480768 \h </w:instrText>
      </w:r>
      <w:r>
        <w:fldChar w:fldCharType="separate"/>
      </w:r>
      <w:r w:rsidRPr="00CE28E3">
        <w:t>Table</w:t>
      </w:r>
      <w:r>
        <w:t> </w:t>
      </w:r>
      <w:r>
        <w:rPr>
          <w:noProof/>
        </w:rPr>
        <w:t>1</w:t>
      </w:r>
      <w:r>
        <w:fldChar w:fldCharType="end"/>
      </w:r>
      <w:r>
        <w:t xml:space="preserve">) and on the 2020 description updates to brachytherapy item numbers. However, </w:t>
      </w:r>
      <w:r w:rsidRPr="004134CA">
        <w:t xml:space="preserve">the proposed item descriptors </w:t>
      </w:r>
      <w:r w:rsidRPr="004134CA" w:rsidDel="00041E3A">
        <w:t>did not incorporate</w:t>
      </w:r>
      <w:r w:rsidRPr="004134CA">
        <w:t xml:space="preserve"> the wording suggested</w:t>
      </w:r>
      <w:r w:rsidR="00041E3A">
        <w:t xml:space="preserve"> by the Department</w:t>
      </w:r>
      <w:r w:rsidR="00D919E8">
        <w:t xml:space="preserve"> (and noted by ESC)</w:t>
      </w:r>
      <w:r w:rsidRPr="004134CA">
        <w:t xml:space="preserve"> in the Public Summary Document 1525</w:t>
      </w:r>
      <w:r w:rsidR="00697619" w:rsidRPr="00697619">
        <w:rPr>
          <w:vertAlign w:val="superscript"/>
        </w:rPr>
        <w:fldChar w:fldCharType="begin"/>
      </w:r>
      <w:r w:rsidR="00697619" w:rsidRPr="00697619">
        <w:rPr>
          <w:vertAlign w:val="superscript"/>
        </w:rPr>
        <w:instrText xml:space="preserve"> NOTEREF _Ref120695715 \h </w:instrText>
      </w:r>
      <w:r w:rsidR="00697619">
        <w:rPr>
          <w:vertAlign w:val="superscript"/>
        </w:rPr>
        <w:instrText xml:space="preserve"> \* MERGEFORMAT </w:instrText>
      </w:r>
      <w:r w:rsidR="00697619" w:rsidRPr="00697619">
        <w:rPr>
          <w:vertAlign w:val="superscript"/>
        </w:rPr>
      </w:r>
      <w:r w:rsidR="00697619" w:rsidRPr="00697619">
        <w:rPr>
          <w:vertAlign w:val="superscript"/>
        </w:rPr>
        <w:fldChar w:fldCharType="separate"/>
      </w:r>
      <w:r w:rsidR="00697619" w:rsidRPr="00697619">
        <w:rPr>
          <w:vertAlign w:val="superscript"/>
        </w:rPr>
        <w:t>1</w:t>
      </w:r>
      <w:r w:rsidR="00697619" w:rsidRPr="00697619">
        <w:rPr>
          <w:vertAlign w:val="superscript"/>
        </w:rPr>
        <w:fldChar w:fldCharType="end"/>
      </w:r>
      <w:r w:rsidR="007C4B87">
        <w:t xml:space="preserve">. </w:t>
      </w:r>
      <w:bookmarkStart w:id="16" w:name="_Hlk122527115"/>
      <w:r w:rsidR="007C4B87">
        <w:t xml:space="preserve">Both modifications (the Department’s and the ADAR’s are shown in item descriptors </w:t>
      </w:r>
      <w:bookmarkEnd w:id="16"/>
      <w:r w:rsidR="007C4B87">
        <w:t>(Table 3, Table 4).</w:t>
      </w:r>
    </w:p>
    <w:p w14:paraId="5A69F7CD" w14:textId="4E19F3B2" w:rsidR="004134CA" w:rsidRDefault="004134CA" w:rsidP="004134CA">
      <w:r w:rsidRPr="004134CA">
        <w:t xml:space="preserve">The ADAR also </w:t>
      </w:r>
      <w:r>
        <w:t xml:space="preserve">proposed to </w:t>
      </w:r>
      <w:r w:rsidRPr="004134CA">
        <w:t xml:space="preserve">change the definitions of intermediate and high risk according to their modification of the PICO. </w:t>
      </w:r>
      <w:r w:rsidR="007C4B87">
        <w:t xml:space="preserve">These </w:t>
      </w:r>
      <w:r w:rsidRPr="004134CA">
        <w:t>are not aligned either with the original PICO, or with the latest NCCN risk stratification (NCCN 2022</w:t>
      </w:r>
      <w:r w:rsidR="00A2577C" w:rsidRPr="006A46A2">
        <w:rPr>
          <w:vertAlign w:val="superscript"/>
        </w:rPr>
        <w:fldChar w:fldCharType="begin"/>
      </w:r>
      <w:r w:rsidR="00A2577C" w:rsidRPr="006A46A2">
        <w:rPr>
          <w:vertAlign w:val="superscript"/>
        </w:rPr>
        <w:instrText xml:space="preserve"> NOTEREF _Ref122532693 \h </w:instrText>
      </w:r>
      <w:r w:rsidR="00A2577C">
        <w:rPr>
          <w:vertAlign w:val="superscript"/>
        </w:rPr>
        <w:instrText xml:space="preserve"> \* MERGEFORMAT </w:instrText>
      </w:r>
      <w:r w:rsidR="00A2577C" w:rsidRPr="006A46A2">
        <w:rPr>
          <w:vertAlign w:val="superscript"/>
        </w:rPr>
      </w:r>
      <w:r w:rsidR="00A2577C" w:rsidRPr="006A46A2">
        <w:rPr>
          <w:vertAlign w:val="superscript"/>
        </w:rPr>
        <w:fldChar w:fldCharType="separate"/>
      </w:r>
      <w:r w:rsidR="00A2577C" w:rsidRPr="006A46A2">
        <w:rPr>
          <w:vertAlign w:val="superscript"/>
        </w:rPr>
        <w:t>3</w:t>
      </w:r>
      <w:r w:rsidR="00A2577C" w:rsidRPr="006A46A2">
        <w:rPr>
          <w:vertAlign w:val="superscript"/>
        </w:rPr>
        <w:fldChar w:fldCharType="end"/>
      </w:r>
      <w:r w:rsidRPr="004134CA">
        <w:t>).</w:t>
      </w:r>
      <w:r>
        <w:t xml:space="preserve"> </w:t>
      </w:r>
      <w:r w:rsidRPr="004134CA">
        <w:t>Additionally, a mix of outdated and current tumour grade nomenclature was used within the MBS item descriptor (i.e., Gleason score and Grade Group).</w:t>
      </w:r>
    </w:p>
    <w:p w14:paraId="2E545C4C" w14:textId="12FFE533" w:rsidR="004134CA" w:rsidRPr="006B5340" w:rsidRDefault="004134CA" w:rsidP="004134CA">
      <w:pPr>
        <w:pStyle w:val="Caption"/>
      </w:pPr>
      <w:bookmarkStart w:id="17" w:name="_Ref46132829"/>
      <w:bookmarkStart w:id="18" w:name="_Hlk114566275"/>
      <w:r w:rsidRPr="00CE28E3">
        <w:t>Table</w:t>
      </w:r>
      <w:r>
        <w:t> </w:t>
      </w:r>
      <w:fldSimple w:instr=" SEQ Table \* ARABIC ">
        <w:r w:rsidR="008E2523">
          <w:rPr>
            <w:noProof/>
          </w:rPr>
          <w:t>3</w:t>
        </w:r>
      </w:fldSimple>
      <w:bookmarkEnd w:id="17"/>
      <w:r w:rsidRPr="00CE28E3">
        <w:tab/>
      </w:r>
      <w:bookmarkStart w:id="19" w:name="_Hlk114570272"/>
      <w:r w:rsidRPr="00CE28E3">
        <w:t xml:space="preserve">Proposed item descriptor for </w:t>
      </w:r>
      <w:r w:rsidRPr="006B5340">
        <w:t>LDR brachytherapy for intermediate to high-risk prostate cancer</w:t>
      </w:r>
      <w:bookmarkEnd w:id="19"/>
      <w:r>
        <w:t xml:space="preserve"> (radiation oncology)</w:t>
      </w:r>
      <w:bookmarkStart w:id="20" w:name="_Hlk122527291"/>
      <w:r w:rsidR="008A3810">
        <w:t>;</w:t>
      </w:r>
      <w:r w:rsidR="001B0451">
        <w:t xml:space="preserve"> </w:t>
      </w:r>
      <w:r w:rsidR="0067054D">
        <w:t xml:space="preserve">ADAR modifications based on MSAC’s </w:t>
      </w:r>
      <w:r w:rsidR="001B0451">
        <w:t>previous advice</w:t>
      </w:r>
      <w:r w:rsidR="00182DBC">
        <w:t xml:space="preserve"> in italics</w:t>
      </w:r>
      <w:r w:rsidR="001B0451">
        <w:t xml:space="preserve"> and</w:t>
      </w:r>
      <w:r w:rsidR="008A3810">
        <w:t xml:space="preserve"> </w:t>
      </w:r>
      <w:r w:rsidR="00EB3675">
        <w:t xml:space="preserve">wording suggested by the </w:t>
      </w:r>
      <w:r w:rsidR="008A3810">
        <w:t xml:space="preserve">Department </w:t>
      </w:r>
      <w:r w:rsidR="00872713">
        <w:t>in 1525 PSD</w:t>
      </w:r>
      <w:r w:rsidR="00E970AD">
        <w:t xml:space="preserve"> </w:t>
      </w:r>
      <w:r w:rsidR="00D53004">
        <w:t>in strikethrough</w:t>
      </w:r>
      <w:bookmarkEnd w:id="20"/>
    </w:p>
    <w:tbl>
      <w:tblPr>
        <w:tblStyle w:val="TableGrid"/>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4134CA" w:rsidRPr="00CE28E3" w14:paraId="58CC0AD1" w14:textId="77777777" w:rsidTr="00623849">
        <w:trPr>
          <w:cantSplit/>
          <w:trHeight w:val="350"/>
          <w:tblHeader/>
        </w:trPr>
        <w:tc>
          <w:tcPr>
            <w:tcW w:w="9016" w:type="dxa"/>
          </w:tcPr>
          <w:p w14:paraId="7565ADDE" w14:textId="45A53E63" w:rsidR="004134CA" w:rsidRPr="00170D5B" w:rsidRDefault="004134CA" w:rsidP="00623849">
            <w:pPr>
              <w:pStyle w:val="TableText"/>
            </w:pPr>
            <w:bookmarkStart w:id="21" w:name="_Hlk114570458"/>
            <w:r w:rsidRPr="00170D5B">
              <w:t xml:space="preserve">Category </w:t>
            </w:r>
            <w:r>
              <w:t xml:space="preserve">3 – </w:t>
            </w:r>
            <w:r w:rsidR="00550A45" w:rsidRPr="00D37354">
              <w:t>THERAPEUTIC PROCEDURES</w:t>
            </w:r>
          </w:p>
        </w:tc>
      </w:tr>
      <w:tr w:rsidR="004134CA" w:rsidRPr="00CE28E3" w14:paraId="04B8F740" w14:textId="77777777" w:rsidTr="00623849">
        <w:trPr>
          <w:cantSplit/>
          <w:tblHeader/>
        </w:trPr>
        <w:tc>
          <w:tcPr>
            <w:tcW w:w="9016" w:type="dxa"/>
          </w:tcPr>
          <w:p w14:paraId="26C7E6CB" w14:textId="77777777" w:rsidR="004134CA" w:rsidRPr="00C0345A" w:rsidRDefault="004134CA" w:rsidP="00623849">
            <w:pPr>
              <w:spacing w:after="120"/>
              <w:rPr>
                <w:szCs w:val="20"/>
                <w:lang w:val="en-US" w:eastAsia="ja-JP"/>
              </w:rPr>
            </w:pPr>
            <w:r w:rsidRPr="00C0345A">
              <w:rPr>
                <w:rFonts w:ascii="Arial Narrow" w:hAnsi="Arial Narrow"/>
                <w:sz w:val="20"/>
                <w:szCs w:val="20"/>
                <w:lang w:val="en-US" w:eastAsia="ja-JP"/>
              </w:rPr>
              <w:t>MBS item *XXXX</w:t>
            </w:r>
          </w:p>
          <w:p w14:paraId="5DEDBEAE" w14:textId="3CD588E9" w:rsidR="004134CA" w:rsidRPr="00C0345A" w:rsidRDefault="004134CA" w:rsidP="00623849">
            <w:pPr>
              <w:spacing w:after="120"/>
              <w:rPr>
                <w:rFonts w:ascii="Arial Narrow" w:hAnsi="Arial Narrow"/>
                <w:sz w:val="20"/>
                <w:szCs w:val="20"/>
              </w:rPr>
            </w:pPr>
            <w:r w:rsidRPr="00B10DF4">
              <w:rPr>
                <w:rFonts w:ascii="Arial Narrow" w:hAnsi="Arial Narrow"/>
                <w:sz w:val="20"/>
                <w:szCs w:val="20"/>
              </w:rPr>
              <w:t>PROSTATE, radioactive seed implantation (radiation oncology component), using transrectal ultrasound guidance, for localised (non-metastatic) prostatic malignancy classified as intermediate risk (defined as having a prostate specific antigen (PSA) of 10-20 ng/ml and</w:t>
            </w:r>
            <w:r>
              <w:rPr>
                <w:rFonts w:ascii="Arial Narrow" w:hAnsi="Arial Narrow"/>
                <w:sz w:val="20"/>
                <w:szCs w:val="20"/>
              </w:rPr>
              <w:t xml:space="preserve">/or </w:t>
            </w:r>
            <w:r w:rsidRPr="00B10DF4">
              <w:rPr>
                <w:rFonts w:ascii="Arial Narrow" w:hAnsi="Arial Narrow"/>
                <w:sz w:val="20"/>
                <w:szCs w:val="20"/>
              </w:rPr>
              <w:t xml:space="preserve"> a Gleason score of 7</w:t>
            </w:r>
            <w:r>
              <w:rPr>
                <w:rFonts w:ascii="Arial Narrow" w:hAnsi="Arial Narrow"/>
                <w:sz w:val="20"/>
                <w:szCs w:val="20"/>
              </w:rPr>
              <w:t xml:space="preserve"> (Grade Group 2 or 3)</w:t>
            </w:r>
            <w:r w:rsidRPr="00B10DF4">
              <w:rPr>
                <w:rFonts w:ascii="Arial Narrow" w:hAnsi="Arial Narrow"/>
                <w:sz w:val="20"/>
                <w:szCs w:val="20"/>
              </w:rPr>
              <w:t xml:space="preserve"> and</w:t>
            </w:r>
            <w:r>
              <w:rPr>
                <w:rFonts w:ascii="Arial Narrow" w:hAnsi="Arial Narrow"/>
                <w:sz w:val="20"/>
                <w:szCs w:val="20"/>
              </w:rPr>
              <w:t>/or</w:t>
            </w:r>
            <w:r w:rsidRPr="00B10DF4">
              <w:rPr>
                <w:rFonts w:ascii="Arial Narrow" w:hAnsi="Arial Narrow"/>
                <w:sz w:val="20"/>
                <w:szCs w:val="20"/>
              </w:rPr>
              <w:t xml:space="preserve"> a tumour classified as T2b-c or high risk (defined as having a PSA of greater than 20 ng/ml and/or a Gleason score of 8-10</w:t>
            </w:r>
            <w:r>
              <w:rPr>
                <w:rFonts w:ascii="Arial Narrow" w:hAnsi="Arial Narrow"/>
                <w:sz w:val="20"/>
                <w:szCs w:val="20"/>
              </w:rPr>
              <w:t xml:space="preserve"> (Grade Group 4 </w:t>
            </w:r>
            <w:r w:rsidR="007D6DA4">
              <w:rPr>
                <w:rFonts w:ascii="Arial Narrow" w:hAnsi="Arial Narrow"/>
                <w:sz w:val="20"/>
                <w:szCs w:val="20"/>
              </w:rPr>
              <w:t xml:space="preserve">or </w:t>
            </w:r>
            <w:r>
              <w:rPr>
                <w:rFonts w:ascii="Arial Narrow" w:hAnsi="Arial Narrow"/>
                <w:sz w:val="20"/>
                <w:szCs w:val="20"/>
              </w:rPr>
              <w:t>5)</w:t>
            </w:r>
            <w:r w:rsidRPr="00B10DF4">
              <w:rPr>
                <w:rFonts w:ascii="Arial Narrow" w:hAnsi="Arial Narrow"/>
                <w:sz w:val="20"/>
                <w:szCs w:val="20"/>
              </w:rPr>
              <w:t xml:space="preserve"> and/or a tumour classified as T3</w:t>
            </w:r>
            <w:r w:rsidR="00E801CE">
              <w:rPr>
                <w:rFonts w:ascii="Arial Narrow" w:hAnsi="Arial Narrow"/>
                <w:sz w:val="20"/>
                <w:szCs w:val="20"/>
              </w:rPr>
              <w:t>a</w:t>
            </w:r>
            <w:r>
              <w:rPr>
                <w:sz w:val="20"/>
                <w:szCs w:val="20"/>
              </w:rPr>
              <w:t xml:space="preserve">. </w:t>
            </w:r>
            <w:r w:rsidR="0012523B" w:rsidRPr="006A46A2">
              <w:rPr>
                <w:rFonts w:ascii="Arial Narrow" w:hAnsi="Arial Narrow"/>
                <w:strike/>
                <w:sz w:val="20"/>
                <w:szCs w:val="20"/>
                <w:u w:val="single"/>
              </w:rPr>
              <w:t>For the population above this procedure will be rebated if it is performed at an approved site as a boost treatment in addition to external beam radiotherapy and in association with androgen blockade,</w:t>
            </w:r>
            <w:r w:rsidR="0012523B" w:rsidRPr="006A46A2">
              <w:rPr>
                <w:rFonts w:ascii="Arial Narrow" w:hAnsi="Arial Narrow"/>
                <w:strike/>
                <w:sz w:val="20"/>
                <w:szCs w:val="20"/>
              </w:rPr>
              <w:t xml:space="preserve"> </w:t>
            </w:r>
            <w:r w:rsidR="00EB311D" w:rsidRPr="006A46A2">
              <w:rPr>
                <w:rFonts w:ascii="Arial Narrow" w:hAnsi="Arial Narrow"/>
                <w:strike/>
                <w:sz w:val="20"/>
                <w:szCs w:val="20"/>
              </w:rPr>
              <w:t>in association with a radiation oncologist.</w:t>
            </w:r>
            <w:r w:rsidR="00EB311D" w:rsidRPr="006677BF">
              <w:rPr>
                <w:rFonts w:ascii="Arial Narrow" w:hAnsi="Arial Narrow"/>
                <w:sz w:val="20"/>
                <w:szCs w:val="20"/>
              </w:rPr>
              <w:t xml:space="preserve"> </w:t>
            </w:r>
            <w:r w:rsidRPr="006A46A2">
              <w:rPr>
                <w:i/>
                <w:sz w:val="20"/>
                <w:szCs w:val="20"/>
              </w:rPr>
              <w:t>It</w:t>
            </w:r>
            <w:r w:rsidRPr="006A46A2">
              <w:rPr>
                <w:rFonts w:ascii="Arial Narrow" w:hAnsi="Arial Narrow"/>
                <w:i/>
                <w:sz w:val="20"/>
                <w:szCs w:val="20"/>
              </w:rPr>
              <w:t xml:space="preserve"> is intended for use as a boost following EBRT and in association with androgen blockade, in addition to external beam radiotherapy, at an approved site in association with a </w:t>
            </w:r>
            <w:r w:rsidR="003B26B6" w:rsidRPr="00EB3675">
              <w:rPr>
                <w:rFonts w:ascii="Arial Narrow" w:hAnsi="Arial Narrow"/>
                <w:i/>
                <w:sz w:val="20"/>
                <w:szCs w:val="20"/>
              </w:rPr>
              <w:t>radiation oncologist</w:t>
            </w:r>
            <w:r w:rsidR="003B26B6" w:rsidRPr="006A46A2">
              <w:rPr>
                <w:rFonts w:ascii="Arial Narrow" w:hAnsi="Arial Narrow"/>
                <w:i/>
                <w:strike/>
                <w:sz w:val="20"/>
                <w:szCs w:val="20"/>
              </w:rPr>
              <w:t xml:space="preserve"> </w:t>
            </w:r>
          </w:p>
        </w:tc>
      </w:tr>
      <w:bookmarkEnd w:id="18"/>
      <w:tr w:rsidR="004134CA" w:rsidRPr="00CE28E3" w14:paraId="4D9624F5" w14:textId="77777777" w:rsidTr="00623849">
        <w:trPr>
          <w:cantSplit/>
          <w:trHeight w:val="223"/>
          <w:tblHeader/>
        </w:trPr>
        <w:tc>
          <w:tcPr>
            <w:tcW w:w="9016" w:type="dxa"/>
          </w:tcPr>
          <w:p w14:paraId="46F20427" w14:textId="3F049AAE" w:rsidR="004134CA" w:rsidRPr="00E3330E" w:rsidRDefault="004134CA" w:rsidP="00623849">
            <w:pPr>
              <w:pStyle w:val="TableText"/>
              <w:rPr>
                <w:snapToGrid w:val="0"/>
                <w:szCs w:val="20"/>
              </w:rPr>
            </w:pPr>
            <w:r w:rsidRPr="00E3330E">
              <w:rPr>
                <w:szCs w:val="20"/>
              </w:rPr>
              <w:t xml:space="preserve">Fee: </w:t>
            </w:r>
            <w:r w:rsidRPr="00E34059">
              <w:rPr>
                <w:szCs w:val="20"/>
              </w:rPr>
              <w:t>$989.10 Benefit: 75% = $741.85 85% = $</w:t>
            </w:r>
            <w:r w:rsidR="00A07838">
              <w:rPr>
                <w:szCs w:val="20"/>
              </w:rPr>
              <w:t>895.90</w:t>
            </w:r>
            <w:r w:rsidR="00F2432D" w:rsidRPr="006A46A2">
              <w:rPr>
                <w:szCs w:val="20"/>
                <w:vertAlign w:val="superscript"/>
              </w:rPr>
              <w:t>a</w:t>
            </w:r>
          </w:p>
        </w:tc>
      </w:tr>
    </w:tbl>
    <w:p w14:paraId="157142CD" w14:textId="1C3835C8" w:rsidR="00FC6821" w:rsidRPr="00FC6821" w:rsidRDefault="00CF782B" w:rsidP="006A46A2">
      <w:pPr>
        <w:pStyle w:val="Tablenotes"/>
        <w:rPr>
          <w:rFonts w:cs="Calibri"/>
          <w:szCs w:val="18"/>
          <w:lang w:eastAsia="en-AU"/>
        </w:rPr>
      </w:pPr>
      <w:bookmarkStart w:id="22" w:name="_Ref115429179"/>
      <w:bookmarkEnd w:id="21"/>
      <w:r>
        <w:t>Source: Table 9 of the ADAR</w:t>
      </w:r>
      <w:r w:rsidR="006A46A2">
        <w:br/>
      </w:r>
      <w:bookmarkStart w:id="23" w:name="_Hlk122528417"/>
      <w:r w:rsidR="00F2432D" w:rsidRPr="006A46A2">
        <w:rPr>
          <w:rFonts w:cs="Calibri"/>
          <w:szCs w:val="18"/>
          <w:vertAlign w:val="superscript"/>
          <w:lang w:eastAsia="en-AU"/>
        </w:rPr>
        <w:t>a</w:t>
      </w:r>
      <w:r w:rsidR="00FC6821" w:rsidRPr="00FC6821">
        <w:rPr>
          <w:rFonts w:cs="Calibri"/>
          <w:szCs w:val="18"/>
          <w:lang w:eastAsia="en-AU"/>
        </w:rPr>
        <w:t xml:space="preserve"> Reflects the 1 November 202</w:t>
      </w:r>
      <w:r w:rsidR="00FC6821">
        <w:rPr>
          <w:rFonts w:cs="Calibri"/>
          <w:szCs w:val="18"/>
          <w:lang w:eastAsia="en-AU"/>
        </w:rPr>
        <w:t>2</w:t>
      </w:r>
      <w:r w:rsidR="00FC6821" w:rsidRPr="00FC6821">
        <w:rPr>
          <w:rFonts w:cs="Calibri"/>
          <w:szCs w:val="18"/>
          <w:lang w:eastAsia="en-AU"/>
        </w:rPr>
        <w:t xml:space="preserve"> Greatest Permissible Gap (GPG) of $</w:t>
      </w:r>
      <w:r w:rsidR="00FC6821">
        <w:rPr>
          <w:rFonts w:cs="Calibri"/>
          <w:szCs w:val="18"/>
          <w:lang w:eastAsia="en-AU"/>
        </w:rPr>
        <w:t>93.20</w:t>
      </w:r>
      <w:r w:rsidR="00FC6821" w:rsidRPr="00FC6821">
        <w:rPr>
          <w:rFonts w:cs="Calibri"/>
          <w:szCs w:val="18"/>
          <w:lang w:eastAsia="en-AU"/>
        </w:rPr>
        <w:t xml:space="preserve">. All out-of-hospital Medicare services </w:t>
      </w:r>
      <w:r w:rsidR="00223416">
        <w:rPr>
          <w:rFonts w:cs="Calibri"/>
          <w:szCs w:val="18"/>
          <w:lang w:eastAsia="en-AU"/>
        </w:rPr>
        <w:t xml:space="preserve">which </w:t>
      </w:r>
      <w:r w:rsidR="00FC6821" w:rsidRPr="00FC6821">
        <w:rPr>
          <w:rFonts w:cs="Calibri"/>
          <w:szCs w:val="18"/>
          <w:lang w:eastAsia="en-AU"/>
        </w:rPr>
        <w:t>have an MBS fee of $</w:t>
      </w:r>
      <w:r w:rsidR="00E96593">
        <w:rPr>
          <w:rFonts w:cs="Calibri"/>
          <w:szCs w:val="18"/>
          <w:lang w:eastAsia="en-AU"/>
        </w:rPr>
        <w:t>621.50</w:t>
      </w:r>
      <w:r w:rsidR="00FC6821" w:rsidRPr="00FC6821">
        <w:rPr>
          <w:rFonts w:cs="Calibri"/>
          <w:szCs w:val="18"/>
          <w:lang w:eastAsia="en-AU"/>
        </w:rPr>
        <w:t xml:space="preserve"> or more will attract a benefit that is greater than 85% of the MBS fee – being the schedule fee less the GPG amount. The GPG amount is indexed annually on 1 November in line with the Consumer Price Index (CPI) (June quarter).</w:t>
      </w:r>
    </w:p>
    <w:bookmarkEnd w:id="23"/>
    <w:p w14:paraId="786C13F9" w14:textId="1C504FB9" w:rsidR="004134CA" w:rsidRDefault="004134CA" w:rsidP="004134CA">
      <w:pPr>
        <w:pStyle w:val="Caption"/>
      </w:pPr>
      <w:r>
        <w:lastRenderedPageBreak/>
        <w:t xml:space="preserve">Table </w:t>
      </w:r>
      <w:fldSimple w:instr=" SEQ Table \* ARABIC ">
        <w:r w:rsidR="008E2523">
          <w:rPr>
            <w:noProof/>
          </w:rPr>
          <w:t>4</w:t>
        </w:r>
      </w:fldSimple>
      <w:bookmarkEnd w:id="22"/>
      <w:r w:rsidR="004137D8">
        <w:rPr>
          <w:noProof/>
        </w:rPr>
        <w:tab/>
      </w:r>
      <w:r w:rsidRPr="00CE28E3">
        <w:t xml:space="preserve">Proposed item descriptor for </w:t>
      </w:r>
      <w:r w:rsidRPr="006B5340">
        <w:t>LDR brachytherapy for intermediate to high-risk prostate cancer</w:t>
      </w:r>
      <w:r>
        <w:t xml:space="preserve"> (urology)</w:t>
      </w:r>
      <w:r w:rsidR="00182DBC">
        <w:t xml:space="preserve">; ADAR modifications based on MSAC’s previous advice in italics and </w:t>
      </w:r>
      <w:r w:rsidR="00EB3675">
        <w:t xml:space="preserve">wording suggested by the </w:t>
      </w:r>
      <w:r w:rsidR="00182DBC">
        <w:t>Department in 1525 PSD in strikethrough</w:t>
      </w:r>
    </w:p>
    <w:tbl>
      <w:tblPr>
        <w:tblStyle w:val="TableGrid"/>
        <w:tblW w:w="0" w:type="auto"/>
        <w:tblLook w:val="04A0" w:firstRow="1" w:lastRow="0" w:firstColumn="1" w:lastColumn="0" w:noHBand="0" w:noVBand="1"/>
      </w:tblPr>
      <w:tblGrid>
        <w:gridCol w:w="9016"/>
      </w:tblGrid>
      <w:tr w:rsidR="004134CA" w:rsidRPr="00170D5B" w14:paraId="75A85D50" w14:textId="77777777" w:rsidTr="00623849">
        <w:trPr>
          <w:cantSplit/>
          <w:trHeight w:val="350"/>
          <w:tblHeader/>
        </w:trPr>
        <w:tc>
          <w:tcPr>
            <w:tcW w:w="9016" w:type="dxa"/>
          </w:tcPr>
          <w:p w14:paraId="654726CC" w14:textId="4D87411F" w:rsidR="004134CA" w:rsidRPr="00170D5B" w:rsidRDefault="004134CA" w:rsidP="00623849">
            <w:pPr>
              <w:pStyle w:val="TableText"/>
            </w:pPr>
            <w:r w:rsidRPr="00170D5B">
              <w:t xml:space="preserve">Category </w:t>
            </w:r>
            <w:r>
              <w:t xml:space="preserve">3 – </w:t>
            </w:r>
            <w:r w:rsidR="00550A45" w:rsidRPr="00D37354">
              <w:t>THERAPEUTIC PROCEDURES</w:t>
            </w:r>
          </w:p>
        </w:tc>
      </w:tr>
      <w:tr w:rsidR="004134CA" w:rsidRPr="00C0345A" w14:paraId="4BBED4CB" w14:textId="77777777" w:rsidTr="00623849">
        <w:trPr>
          <w:cantSplit/>
          <w:tblHeader/>
        </w:trPr>
        <w:tc>
          <w:tcPr>
            <w:tcW w:w="9016" w:type="dxa"/>
          </w:tcPr>
          <w:p w14:paraId="5710B3E8" w14:textId="77777777" w:rsidR="004134CA" w:rsidRPr="00C0345A" w:rsidRDefault="004134CA" w:rsidP="00623849">
            <w:pPr>
              <w:spacing w:after="120"/>
              <w:rPr>
                <w:szCs w:val="20"/>
                <w:lang w:val="en-US" w:eastAsia="ja-JP"/>
              </w:rPr>
            </w:pPr>
            <w:r w:rsidRPr="00C0345A">
              <w:rPr>
                <w:rFonts w:ascii="Arial Narrow" w:hAnsi="Arial Narrow"/>
                <w:sz w:val="20"/>
                <w:szCs w:val="20"/>
                <w:lang w:val="en-US" w:eastAsia="ja-JP"/>
              </w:rPr>
              <w:t>MBS item *XXXX</w:t>
            </w:r>
          </w:p>
          <w:p w14:paraId="36D2B036" w14:textId="2DD9956A" w:rsidR="004134CA" w:rsidRPr="00C0345A" w:rsidRDefault="004134CA" w:rsidP="00623849">
            <w:pPr>
              <w:spacing w:after="120"/>
              <w:rPr>
                <w:rFonts w:ascii="Arial Narrow" w:hAnsi="Arial Narrow"/>
                <w:sz w:val="20"/>
                <w:szCs w:val="20"/>
              </w:rPr>
            </w:pPr>
            <w:r w:rsidRPr="00B10DF4">
              <w:rPr>
                <w:rFonts w:ascii="Arial Narrow" w:hAnsi="Arial Narrow"/>
                <w:sz w:val="20"/>
                <w:szCs w:val="20"/>
              </w:rPr>
              <w:t>PROSTATE, radioactive seed implantation (</w:t>
            </w:r>
            <w:r>
              <w:rPr>
                <w:rFonts w:ascii="Arial Narrow" w:hAnsi="Arial Narrow"/>
                <w:sz w:val="20"/>
                <w:szCs w:val="20"/>
              </w:rPr>
              <w:t xml:space="preserve">urology </w:t>
            </w:r>
            <w:r w:rsidRPr="00B10DF4">
              <w:rPr>
                <w:rFonts w:ascii="Arial Narrow" w:hAnsi="Arial Narrow"/>
                <w:sz w:val="20"/>
                <w:szCs w:val="20"/>
              </w:rPr>
              <w:t>component), using transrectal ultrasound guidance, for localised (non-metastatic) prostatic malignancy classified as intermediate risk (defined as having a prostate specific antigen (PSA) of 10-20 ng/ml and</w:t>
            </w:r>
            <w:r>
              <w:rPr>
                <w:rFonts w:ascii="Arial Narrow" w:hAnsi="Arial Narrow"/>
                <w:sz w:val="20"/>
                <w:szCs w:val="20"/>
              </w:rPr>
              <w:t xml:space="preserve">/or </w:t>
            </w:r>
            <w:r w:rsidRPr="00B10DF4">
              <w:rPr>
                <w:rFonts w:ascii="Arial Narrow" w:hAnsi="Arial Narrow"/>
                <w:sz w:val="20"/>
                <w:szCs w:val="20"/>
              </w:rPr>
              <w:t xml:space="preserve"> a Gleason score of 7</w:t>
            </w:r>
            <w:r>
              <w:rPr>
                <w:rFonts w:ascii="Arial Narrow" w:hAnsi="Arial Narrow"/>
                <w:sz w:val="20"/>
                <w:szCs w:val="20"/>
              </w:rPr>
              <w:t xml:space="preserve"> (Grade Group 2 or 3)</w:t>
            </w:r>
            <w:r w:rsidRPr="00B10DF4">
              <w:rPr>
                <w:rFonts w:ascii="Arial Narrow" w:hAnsi="Arial Narrow"/>
                <w:sz w:val="20"/>
                <w:szCs w:val="20"/>
              </w:rPr>
              <w:t xml:space="preserve"> and</w:t>
            </w:r>
            <w:r>
              <w:rPr>
                <w:rFonts w:ascii="Arial Narrow" w:hAnsi="Arial Narrow"/>
                <w:sz w:val="20"/>
                <w:szCs w:val="20"/>
              </w:rPr>
              <w:t>/or</w:t>
            </w:r>
            <w:r w:rsidRPr="00B10DF4">
              <w:rPr>
                <w:rFonts w:ascii="Arial Narrow" w:hAnsi="Arial Narrow"/>
                <w:sz w:val="20"/>
                <w:szCs w:val="20"/>
              </w:rPr>
              <w:t xml:space="preserve"> a tumour classified as T2b-c or high risk (defined as having a PSA of greater than 20 ng/ml and/or a Gleason score of 8-10</w:t>
            </w:r>
            <w:r>
              <w:rPr>
                <w:rFonts w:ascii="Arial Narrow" w:hAnsi="Arial Narrow"/>
                <w:sz w:val="20"/>
                <w:szCs w:val="20"/>
              </w:rPr>
              <w:t xml:space="preserve"> (Grade Group 4 0r 5)</w:t>
            </w:r>
            <w:r w:rsidRPr="00B10DF4">
              <w:rPr>
                <w:rFonts w:ascii="Arial Narrow" w:hAnsi="Arial Narrow"/>
                <w:sz w:val="20"/>
                <w:szCs w:val="20"/>
              </w:rPr>
              <w:t xml:space="preserve"> and/or a tumour classified as T3</w:t>
            </w:r>
            <w:r w:rsidR="009A2AD0">
              <w:rPr>
                <w:rFonts w:ascii="Arial Narrow" w:hAnsi="Arial Narrow"/>
                <w:sz w:val="20"/>
                <w:szCs w:val="20"/>
              </w:rPr>
              <w:t>a</w:t>
            </w:r>
            <w:r>
              <w:rPr>
                <w:sz w:val="20"/>
                <w:szCs w:val="20"/>
              </w:rPr>
              <w:t xml:space="preserve">. </w:t>
            </w:r>
            <w:r w:rsidR="00882101" w:rsidRPr="009259BF">
              <w:rPr>
                <w:rFonts w:ascii="Arial Narrow" w:hAnsi="Arial Narrow"/>
                <w:strike/>
                <w:sz w:val="20"/>
                <w:szCs w:val="20"/>
              </w:rPr>
              <w:t>For the population above this procedure will be rebated if it is performed at an approved site as a boost treatment in addition to external beam radiotherapy and in association with androgen blockade</w:t>
            </w:r>
            <w:r w:rsidR="00882101" w:rsidRPr="00EB3675">
              <w:rPr>
                <w:rFonts w:ascii="Arial Narrow" w:hAnsi="Arial Narrow"/>
                <w:strike/>
                <w:sz w:val="20"/>
                <w:szCs w:val="20"/>
              </w:rPr>
              <w:t>,</w:t>
            </w:r>
            <w:r w:rsidR="00882101" w:rsidRPr="006A46A2">
              <w:rPr>
                <w:rFonts w:ascii="Arial Narrow" w:hAnsi="Arial Narrow"/>
                <w:strike/>
                <w:sz w:val="20"/>
                <w:szCs w:val="20"/>
              </w:rPr>
              <w:t xml:space="preserve"> </w:t>
            </w:r>
            <w:r w:rsidR="00EB3675" w:rsidRPr="006A46A2">
              <w:rPr>
                <w:rFonts w:ascii="Arial Narrow" w:hAnsi="Arial Narrow"/>
                <w:strike/>
                <w:sz w:val="20"/>
                <w:szCs w:val="20"/>
              </w:rPr>
              <w:t>in association with a urologist.</w:t>
            </w:r>
            <w:r w:rsidR="00EB3675">
              <w:rPr>
                <w:rFonts w:ascii="Arial Narrow" w:hAnsi="Arial Narrow"/>
                <w:sz w:val="20"/>
                <w:szCs w:val="20"/>
              </w:rPr>
              <w:t xml:space="preserve"> </w:t>
            </w:r>
            <w:r w:rsidRPr="006A46A2">
              <w:rPr>
                <w:i/>
                <w:sz w:val="20"/>
                <w:szCs w:val="20"/>
              </w:rPr>
              <w:t>It</w:t>
            </w:r>
            <w:r w:rsidRPr="006A46A2">
              <w:rPr>
                <w:rFonts w:ascii="Arial Narrow" w:hAnsi="Arial Narrow"/>
                <w:i/>
                <w:sz w:val="20"/>
                <w:szCs w:val="20"/>
              </w:rPr>
              <w:t xml:space="preserve"> is intended for use as a boost following EBRT and in association with androgen blockade, in addition to external beam radiotherapy, at an approved site in association with a</w:t>
            </w:r>
            <w:r w:rsidR="00C82C93">
              <w:rPr>
                <w:rFonts w:ascii="Arial Narrow" w:hAnsi="Arial Narrow"/>
                <w:i/>
                <w:sz w:val="20"/>
                <w:szCs w:val="20"/>
              </w:rPr>
              <w:t>n</w:t>
            </w:r>
            <w:r w:rsidRPr="006A46A2">
              <w:rPr>
                <w:rFonts w:ascii="Arial Narrow" w:hAnsi="Arial Narrow"/>
                <w:i/>
                <w:sz w:val="20"/>
                <w:szCs w:val="20"/>
              </w:rPr>
              <w:t xml:space="preserve"> </w:t>
            </w:r>
            <w:r w:rsidR="00C82C93">
              <w:rPr>
                <w:rFonts w:ascii="Arial Narrow" w:hAnsi="Arial Narrow"/>
                <w:i/>
                <w:sz w:val="20"/>
                <w:szCs w:val="20"/>
              </w:rPr>
              <w:t>urologist</w:t>
            </w:r>
          </w:p>
        </w:tc>
      </w:tr>
      <w:tr w:rsidR="004134CA" w:rsidRPr="00E3330E" w14:paraId="6DF60B36" w14:textId="77777777" w:rsidTr="00623849">
        <w:trPr>
          <w:cantSplit/>
          <w:trHeight w:val="223"/>
          <w:tblHeader/>
        </w:trPr>
        <w:tc>
          <w:tcPr>
            <w:tcW w:w="9016" w:type="dxa"/>
          </w:tcPr>
          <w:p w14:paraId="72F64D07" w14:textId="77777777" w:rsidR="004134CA" w:rsidRPr="00E3330E" w:rsidRDefault="004134CA" w:rsidP="00623849">
            <w:pPr>
              <w:pStyle w:val="TableText"/>
              <w:rPr>
                <w:snapToGrid w:val="0"/>
                <w:szCs w:val="20"/>
              </w:rPr>
            </w:pPr>
            <w:r w:rsidRPr="00E3330E">
              <w:rPr>
                <w:szCs w:val="20"/>
              </w:rPr>
              <w:t xml:space="preserve">Fee: </w:t>
            </w:r>
            <w:r w:rsidRPr="00E34059">
              <w:rPr>
                <w:szCs w:val="20"/>
              </w:rPr>
              <w:t>$</w:t>
            </w:r>
            <w:r>
              <w:rPr>
                <w:szCs w:val="20"/>
              </w:rPr>
              <w:t>1,103.90</w:t>
            </w:r>
            <w:r w:rsidRPr="00E34059">
              <w:rPr>
                <w:szCs w:val="20"/>
              </w:rPr>
              <w:t> Benefit: 75% = $</w:t>
            </w:r>
            <w:r>
              <w:rPr>
                <w:szCs w:val="20"/>
              </w:rPr>
              <w:t>827.95</w:t>
            </w:r>
          </w:p>
        </w:tc>
      </w:tr>
    </w:tbl>
    <w:p w14:paraId="7240A999" w14:textId="0FBCBC37" w:rsidR="00CF782B" w:rsidRDefault="00CF782B" w:rsidP="00CF782B">
      <w:pPr>
        <w:pStyle w:val="Tablenotes"/>
      </w:pPr>
      <w:bookmarkStart w:id="24" w:name="_Toc69491419"/>
      <w:r>
        <w:t>Source: Table 10 of the ADAR</w:t>
      </w:r>
    </w:p>
    <w:p w14:paraId="34E0B08F" w14:textId="7731D79C" w:rsidR="00772829" w:rsidRPr="00CE28E3" w:rsidRDefault="00F04024" w:rsidP="002A18BE">
      <w:pPr>
        <w:pStyle w:val="Heading2"/>
        <w:numPr>
          <w:ilvl w:val="0"/>
          <w:numId w:val="0"/>
        </w:numPr>
      </w:pPr>
      <w:r>
        <w:t>6</w:t>
      </w:r>
      <w:r w:rsidR="00C36633">
        <w:t>.</w:t>
      </w:r>
      <w:r w:rsidR="00C36633">
        <w:tab/>
      </w:r>
      <w:r w:rsidR="00772829" w:rsidRPr="00CE28E3">
        <w:t>Population</w:t>
      </w:r>
      <w:bookmarkEnd w:id="24"/>
    </w:p>
    <w:p w14:paraId="62B5E8CC" w14:textId="316BE8AB" w:rsidR="00255B36" w:rsidRDefault="00255B36" w:rsidP="00255B36">
      <w:r>
        <w:t xml:space="preserve">The </w:t>
      </w:r>
      <w:r w:rsidR="00321BF4">
        <w:t xml:space="preserve">original </w:t>
      </w:r>
      <w:r>
        <w:t>Ratified PICO proposed the following two populations</w:t>
      </w:r>
      <w:r w:rsidR="00321BF4">
        <w:t xml:space="preserve"> </w:t>
      </w:r>
      <w:r w:rsidR="00697619">
        <w:t xml:space="preserve">for </w:t>
      </w:r>
      <w:r w:rsidR="00321BF4">
        <w:t xml:space="preserve">LDR-BT boost </w:t>
      </w:r>
      <w:r w:rsidR="00697619">
        <w:t>following primary</w:t>
      </w:r>
      <w:r w:rsidR="00321BF4">
        <w:t xml:space="preserve"> EBRT</w:t>
      </w:r>
      <w:r>
        <w:t>:</w:t>
      </w:r>
    </w:p>
    <w:p w14:paraId="14AED2CD" w14:textId="2C5037CA" w:rsidR="00255B36" w:rsidRDefault="00255B36" w:rsidP="0003474F">
      <w:pPr>
        <w:pStyle w:val="ListParagraph"/>
        <w:numPr>
          <w:ilvl w:val="0"/>
          <w:numId w:val="11"/>
        </w:numPr>
      </w:pPr>
      <w:r>
        <w:t xml:space="preserve">patients with high-intermediate risk prostate cancer: </w:t>
      </w:r>
      <w:r w:rsidRPr="00B346C4">
        <w:t>PSA &gt;10.0</w:t>
      </w:r>
      <w:r w:rsidR="00697619">
        <w:t xml:space="preserve"> ng/mL</w:t>
      </w:r>
      <w:r w:rsidRPr="00B346C4">
        <w:t xml:space="preserve"> &lt;20.0 </w:t>
      </w:r>
      <w:r w:rsidR="00697619">
        <w:t>ng/mL</w:t>
      </w:r>
      <w:r w:rsidR="00697619" w:rsidRPr="00B346C4">
        <w:t xml:space="preserve"> </w:t>
      </w:r>
      <w:r w:rsidRPr="00B346C4">
        <w:t>and Gleason = 7 and T2b-c</w:t>
      </w:r>
    </w:p>
    <w:p w14:paraId="5C6DBA41" w14:textId="2731F0A8" w:rsidR="00255B36" w:rsidRDefault="00255B36" w:rsidP="0003474F">
      <w:pPr>
        <w:pStyle w:val="ListParagraph"/>
        <w:numPr>
          <w:ilvl w:val="0"/>
          <w:numId w:val="11"/>
        </w:numPr>
      </w:pPr>
      <w:r>
        <w:t>patients with high-risk prostate cancer</w:t>
      </w:r>
      <w:r w:rsidR="00321BF4">
        <w:t>:</w:t>
      </w:r>
      <w:r>
        <w:t xml:space="preserve"> </w:t>
      </w:r>
      <w:r w:rsidRPr="00405A44">
        <w:t>PSA</w:t>
      </w:r>
      <w:r w:rsidR="00561AD4">
        <w:t xml:space="preserve"> </w:t>
      </w:r>
      <w:r w:rsidRPr="00405A44">
        <w:t xml:space="preserve">&gt;20.0 </w:t>
      </w:r>
      <w:r w:rsidR="00697619">
        <w:t>ng/mL</w:t>
      </w:r>
      <w:r w:rsidR="00697619" w:rsidRPr="00B346C4">
        <w:t xml:space="preserve"> </w:t>
      </w:r>
      <w:r w:rsidRPr="00405A44">
        <w:t>and/or Gleason 8-10 and/or T3a</w:t>
      </w:r>
      <w:r w:rsidR="00321BF4">
        <w:t>.</w:t>
      </w:r>
    </w:p>
    <w:p w14:paraId="5B9AC02D" w14:textId="7053869C" w:rsidR="00255B36" w:rsidRDefault="00255B36" w:rsidP="00255B36">
      <w:r>
        <w:t>The ADAR proposed to change the population to the following definitions:</w:t>
      </w:r>
    </w:p>
    <w:p w14:paraId="72232DE7" w14:textId="2DBA1EE5" w:rsidR="00255B36" w:rsidRPr="00255B36" w:rsidRDefault="00255B36" w:rsidP="0003474F">
      <w:pPr>
        <w:pStyle w:val="ListParagraph"/>
        <w:numPr>
          <w:ilvl w:val="0"/>
          <w:numId w:val="11"/>
        </w:numPr>
      </w:pPr>
      <w:r>
        <w:t>patients with i</w:t>
      </w:r>
      <w:r w:rsidRPr="00255B36">
        <w:t xml:space="preserve">ntermediate </w:t>
      </w:r>
      <w:r>
        <w:t>r</w:t>
      </w:r>
      <w:r w:rsidRPr="00255B36">
        <w:t>isk</w:t>
      </w:r>
      <w:r w:rsidR="00321BF4">
        <w:t xml:space="preserve"> prostate cancer</w:t>
      </w:r>
      <w:r w:rsidRPr="00255B36">
        <w:t xml:space="preserve">: PSA &gt;10.0 </w:t>
      </w:r>
      <w:r w:rsidR="00697619">
        <w:t>ng/mL</w:t>
      </w:r>
      <w:r w:rsidR="00697619" w:rsidRPr="00B346C4">
        <w:t xml:space="preserve"> </w:t>
      </w:r>
      <w:r w:rsidRPr="00255B36">
        <w:t>&lt;20.0</w:t>
      </w:r>
      <w:r w:rsidR="00697619" w:rsidRPr="00697619">
        <w:t xml:space="preserve"> </w:t>
      </w:r>
      <w:r w:rsidR="00697619">
        <w:t>ng/mL</w:t>
      </w:r>
      <w:r w:rsidRPr="00255B36">
        <w:t xml:space="preserve"> and/or Gleason = 7 and/or T2b-c </w:t>
      </w:r>
    </w:p>
    <w:p w14:paraId="323C7987" w14:textId="1A6A5BC8" w:rsidR="00255B36" w:rsidRDefault="00255B36" w:rsidP="0003474F">
      <w:pPr>
        <w:pStyle w:val="ListParagraph"/>
        <w:numPr>
          <w:ilvl w:val="0"/>
          <w:numId w:val="11"/>
        </w:numPr>
      </w:pPr>
      <w:r>
        <w:t xml:space="preserve">patients with high-risk prostate cancer: </w:t>
      </w:r>
      <w:r w:rsidRPr="00255B36">
        <w:t>PSA</w:t>
      </w:r>
      <w:r w:rsidR="00561AD4">
        <w:t xml:space="preserve"> </w:t>
      </w:r>
      <w:r w:rsidRPr="00255B36">
        <w:t>&gt;20.0</w:t>
      </w:r>
      <w:r w:rsidR="00561AD4">
        <w:t xml:space="preserve"> ng/mL</w:t>
      </w:r>
      <w:r w:rsidRPr="00255B36">
        <w:t xml:space="preserve"> and/or Gleason 8-10 and/or T3a </w:t>
      </w:r>
      <w:r w:rsidRPr="006A46A2">
        <w:rPr>
          <w:i/>
          <w:iCs/>
        </w:rPr>
        <w:t>OR 2 or more intermediate risk features</w:t>
      </w:r>
      <w:r w:rsidR="00321BF4" w:rsidRPr="006A46A2">
        <w:rPr>
          <w:i/>
          <w:iCs/>
        </w:rPr>
        <w:t>.</w:t>
      </w:r>
    </w:p>
    <w:p w14:paraId="0BEF1175" w14:textId="106881C8" w:rsidR="00321BF4" w:rsidRDefault="00321BF4" w:rsidP="00321BF4">
      <w:r w:rsidRPr="00321BF4">
        <w:t>Th</w:t>
      </w:r>
      <w:r w:rsidR="00EA009C">
        <w:t xml:space="preserve">e resubmission’s revised population </w:t>
      </w:r>
      <w:r w:rsidRPr="00321BF4">
        <w:t xml:space="preserve">is </w:t>
      </w:r>
      <w:r w:rsidR="006A77DA">
        <w:t xml:space="preserve">not </w:t>
      </w:r>
      <w:r w:rsidRPr="00321BF4">
        <w:t xml:space="preserve">coherent with the </w:t>
      </w:r>
      <w:r w:rsidR="00E30F03">
        <w:t xml:space="preserve">current </w:t>
      </w:r>
      <w:r w:rsidRPr="00321BF4">
        <w:t xml:space="preserve">NCCN Prostate Cancer </w:t>
      </w:r>
      <w:r w:rsidR="004C0F47">
        <w:t>G</w:t>
      </w:r>
      <w:r w:rsidRPr="00321BF4">
        <w:t>uidelines</w:t>
      </w:r>
      <w:r w:rsidR="008107A1">
        <w:t>. P</w:t>
      </w:r>
      <w:r w:rsidR="00917C16">
        <w:t xml:space="preserve">revious </w:t>
      </w:r>
      <w:r w:rsidR="00001F8D">
        <w:t xml:space="preserve">versions </w:t>
      </w:r>
      <w:r w:rsidR="002F1366">
        <w:t>of the guidelines</w:t>
      </w:r>
      <w:r w:rsidR="00316B74">
        <w:t>,</w:t>
      </w:r>
      <w:r w:rsidR="009D7126">
        <w:t xml:space="preserve"> which</w:t>
      </w:r>
      <w:r w:rsidR="002F1366">
        <w:t xml:space="preserve"> </w:t>
      </w:r>
      <w:r w:rsidRPr="00321BF4">
        <w:t>included a single definition of intermediate risk</w:t>
      </w:r>
      <w:r w:rsidR="009D7126">
        <w:t>,</w:t>
      </w:r>
      <w:r w:rsidR="00316B74">
        <w:t xml:space="preserve"> </w:t>
      </w:r>
      <w:r>
        <w:t>are now outdated</w:t>
      </w:r>
      <w:r w:rsidRPr="00321BF4">
        <w:t>.</w:t>
      </w:r>
      <w:r>
        <w:t xml:space="preserve"> T</w:t>
      </w:r>
      <w:r w:rsidRPr="00321BF4">
        <w:t xml:space="preserve">he </w:t>
      </w:r>
      <w:r>
        <w:t>current</w:t>
      </w:r>
      <w:r w:rsidRPr="00321BF4">
        <w:t xml:space="preserve"> version of the NCCN guidelines</w:t>
      </w:r>
      <w:r w:rsidR="008E2523" w:rsidRPr="006A46A2">
        <w:rPr>
          <w:vertAlign w:val="superscript"/>
        </w:rPr>
        <w:fldChar w:fldCharType="begin"/>
      </w:r>
      <w:r w:rsidR="008E2523" w:rsidRPr="006A46A2">
        <w:rPr>
          <w:vertAlign w:val="superscript"/>
        </w:rPr>
        <w:instrText xml:space="preserve"> NOTEREF _Ref122532693 \h </w:instrText>
      </w:r>
      <w:r w:rsidR="008E2523">
        <w:rPr>
          <w:vertAlign w:val="superscript"/>
        </w:rPr>
        <w:instrText xml:space="preserve"> \* MERGEFORMAT </w:instrText>
      </w:r>
      <w:r w:rsidR="008E2523" w:rsidRPr="006A46A2">
        <w:rPr>
          <w:vertAlign w:val="superscript"/>
        </w:rPr>
      </w:r>
      <w:r w:rsidR="008E2523" w:rsidRPr="006A46A2">
        <w:rPr>
          <w:vertAlign w:val="superscript"/>
        </w:rPr>
        <w:fldChar w:fldCharType="separate"/>
      </w:r>
      <w:r w:rsidR="008E2523" w:rsidRPr="006A46A2">
        <w:rPr>
          <w:vertAlign w:val="superscript"/>
        </w:rPr>
        <w:t>3</w:t>
      </w:r>
      <w:r w:rsidR="008E2523" w:rsidRPr="006A46A2">
        <w:rPr>
          <w:vertAlign w:val="superscript"/>
        </w:rPr>
        <w:fldChar w:fldCharType="end"/>
      </w:r>
      <w:r w:rsidRPr="00321BF4">
        <w:t xml:space="preserve"> </w:t>
      </w:r>
      <w:r>
        <w:t>further stratifies</w:t>
      </w:r>
      <w:r w:rsidRPr="00321BF4">
        <w:t xml:space="preserve"> the intermediate-risk category into </w:t>
      </w:r>
      <w:r w:rsidR="00680D22">
        <w:t>‘</w:t>
      </w:r>
      <w:r w:rsidRPr="00321BF4">
        <w:t>Favourable</w:t>
      </w:r>
      <w:r w:rsidR="00680D22">
        <w:t>’</w:t>
      </w:r>
      <w:r w:rsidRPr="00321BF4">
        <w:t xml:space="preserve"> </w:t>
      </w:r>
      <w:r w:rsidR="009803EF">
        <w:t>(</w:t>
      </w:r>
      <w:r w:rsidR="00AE6F46">
        <w:t>low</w:t>
      </w:r>
      <w:r w:rsidR="009803EF">
        <w:t>-</w:t>
      </w:r>
      <w:r w:rsidR="009F290C">
        <w:t xml:space="preserve">intermediate </w:t>
      </w:r>
      <w:r w:rsidR="009803EF">
        <w:t>risk</w:t>
      </w:r>
      <w:r w:rsidR="009F290C">
        <w:t xml:space="preserve">) </w:t>
      </w:r>
      <w:r w:rsidRPr="00321BF4">
        <w:t xml:space="preserve">and </w:t>
      </w:r>
      <w:r w:rsidR="00680D22">
        <w:t>‘</w:t>
      </w:r>
      <w:r w:rsidRPr="00321BF4">
        <w:t>Unfavourable</w:t>
      </w:r>
      <w:r w:rsidR="00680D22">
        <w:t>’</w:t>
      </w:r>
      <w:r w:rsidRPr="00321BF4">
        <w:t xml:space="preserve"> </w:t>
      </w:r>
      <w:r w:rsidR="009F290C">
        <w:t>(</w:t>
      </w:r>
      <w:r w:rsidR="00AE6F46">
        <w:t>high</w:t>
      </w:r>
      <w:r w:rsidR="009F290C">
        <w:t xml:space="preserve">-intermediate risk) </w:t>
      </w:r>
      <w:r w:rsidRPr="00321BF4">
        <w:t>subgroups</w:t>
      </w:r>
      <w:r>
        <w:t xml:space="preserve">. Only the Unfavourable </w:t>
      </w:r>
      <w:r w:rsidR="008E2523">
        <w:t>(</w:t>
      </w:r>
      <w:r w:rsidR="005437FE">
        <w:t>high-</w:t>
      </w:r>
      <w:r w:rsidR="00A8082A">
        <w:t>intermediate</w:t>
      </w:r>
      <w:r w:rsidR="008E2523">
        <w:t>)</w:t>
      </w:r>
      <w:r>
        <w:t xml:space="preserve"> </w:t>
      </w:r>
      <w:r w:rsidR="005437FE">
        <w:t xml:space="preserve">risk </w:t>
      </w:r>
      <w:r>
        <w:t xml:space="preserve">subgroup is eligible for EBRT + brachytherapy boost according to the current guidelines. </w:t>
      </w:r>
      <w:r w:rsidR="00141B88">
        <w:t>The</w:t>
      </w:r>
      <w:r w:rsidRPr="00321BF4">
        <w:t xml:space="preserve"> updated NCCN risk categorisation and treatment guidelines </w:t>
      </w:r>
      <w:r w:rsidR="00141B88">
        <w:t>appear to</w:t>
      </w:r>
      <w:r w:rsidRPr="00321BF4">
        <w:t xml:space="preserve"> validate the PASC’s </w:t>
      </w:r>
      <w:r>
        <w:t xml:space="preserve">original </w:t>
      </w:r>
      <w:r w:rsidRPr="00321BF4">
        <w:t>decision to stratify the intermediate-risk group into lower and higher risk, and to limit the use of LDR-BT boost to high-intermediate risk</w:t>
      </w:r>
      <w:r w:rsidR="00FE2EF8">
        <w:t xml:space="preserve"> group</w:t>
      </w:r>
      <w:r w:rsidRPr="00321BF4">
        <w:t>.</w:t>
      </w:r>
      <w:r w:rsidR="00FE2EF8">
        <w:t xml:space="preserve"> </w:t>
      </w:r>
      <w:r w:rsidRPr="00321BF4">
        <w:t xml:space="preserve"> The ADAR’s proposal to include all intermediate-risk and high-risk patients </w:t>
      </w:r>
      <w:r w:rsidR="00FE2EF8">
        <w:t xml:space="preserve">may be </w:t>
      </w:r>
      <w:r w:rsidRPr="00321BF4">
        <w:t>inappropriate.</w:t>
      </w:r>
      <w:r w:rsidR="00FE2EF8">
        <w:t xml:space="preserve"> See </w:t>
      </w:r>
      <w:r w:rsidR="00FE2EF8">
        <w:fldChar w:fldCharType="begin"/>
      </w:r>
      <w:r w:rsidR="00FE2EF8">
        <w:instrText xml:space="preserve"> REF _Ref122093163 \h </w:instrText>
      </w:r>
      <w:r w:rsidR="00FE2EF8">
        <w:fldChar w:fldCharType="separate"/>
      </w:r>
      <w:r w:rsidR="00FE2EF8">
        <w:t xml:space="preserve">Table </w:t>
      </w:r>
      <w:r w:rsidR="00FE2EF8">
        <w:rPr>
          <w:noProof/>
        </w:rPr>
        <w:t>5</w:t>
      </w:r>
      <w:r w:rsidR="00FE2EF8">
        <w:fldChar w:fldCharType="end"/>
      </w:r>
      <w:r w:rsidR="00FE2EF8">
        <w:t xml:space="preserve"> for comparison of risk stratification definitions across different approaches. </w:t>
      </w:r>
    </w:p>
    <w:p w14:paraId="278E4CF8" w14:textId="4FA17564" w:rsidR="00FE2EF8" w:rsidRPr="009F12BB" w:rsidRDefault="00FE2EF8" w:rsidP="000B6074">
      <w:pPr>
        <w:pStyle w:val="Caption"/>
        <w:keepLines/>
      </w:pPr>
      <w:bookmarkStart w:id="25" w:name="_Ref122093163"/>
      <w:r>
        <w:lastRenderedPageBreak/>
        <w:t xml:space="preserve">Table </w:t>
      </w:r>
      <w:fldSimple w:instr=" SEQ Table \* ARABIC ">
        <w:r w:rsidR="008E2523">
          <w:rPr>
            <w:noProof/>
          </w:rPr>
          <w:t>5</w:t>
        </w:r>
      </w:fldSimple>
      <w:bookmarkEnd w:id="25"/>
      <w:r w:rsidRPr="009F12BB">
        <w:tab/>
      </w:r>
      <w:r w:rsidRPr="006A46A2">
        <w:t>Risk stratification of prostate cancer – comparison of different approaches</w:t>
      </w:r>
    </w:p>
    <w:tbl>
      <w:tblPr>
        <w:tblStyle w:val="TableGrid"/>
        <w:tblW w:w="0" w:type="auto"/>
        <w:tblLook w:val="04A0" w:firstRow="1" w:lastRow="0" w:firstColumn="1" w:lastColumn="0" w:noHBand="0" w:noVBand="1"/>
      </w:tblPr>
      <w:tblGrid>
        <w:gridCol w:w="1454"/>
        <w:gridCol w:w="1784"/>
        <w:gridCol w:w="2008"/>
        <w:gridCol w:w="1829"/>
        <w:gridCol w:w="1941"/>
      </w:tblGrid>
      <w:tr w:rsidR="009F12BB" w:rsidRPr="009F12BB" w14:paraId="116A52F7" w14:textId="77777777" w:rsidTr="009D3F31">
        <w:trPr>
          <w:tblHeader/>
        </w:trPr>
        <w:tc>
          <w:tcPr>
            <w:tcW w:w="0" w:type="auto"/>
            <w:tcBorders>
              <w:bottom w:val="single" w:sz="4" w:space="0" w:color="auto"/>
            </w:tcBorders>
          </w:tcPr>
          <w:p w14:paraId="2D37E264" w14:textId="77777777" w:rsidR="00FE2EF8" w:rsidRPr="006A46A2" w:rsidRDefault="00FE2EF8" w:rsidP="000B6074">
            <w:pPr>
              <w:pStyle w:val="TableHeading0"/>
              <w:keepNext/>
              <w:keepLines/>
            </w:pPr>
            <w:r w:rsidRPr="006A46A2">
              <w:t>Risk category</w:t>
            </w:r>
          </w:p>
        </w:tc>
        <w:tc>
          <w:tcPr>
            <w:tcW w:w="0" w:type="auto"/>
          </w:tcPr>
          <w:p w14:paraId="53F4E214" w14:textId="77777777" w:rsidR="00FE2EF8" w:rsidRPr="006A46A2" w:rsidRDefault="00FE2EF8" w:rsidP="000B6074">
            <w:pPr>
              <w:pStyle w:val="TableHeading0"/>
              <w:keepNext/>
              <w:keepLines/>
            </w:pPr>
            <w:r w:rsidRPr="006A46A2">
              <w:t>Ratified PICO 1525</w:t>
            </w:r>
          </w:p>
        </w:tc>
        <w:tc>
          <w:tcPr>
            <w:tcW w:w="0" w:type="auto"/>
            <w:tcBorders>
              <w:bottom w:val="single" w:sz="4" w:space="0" w:color="auto"/>
              <w:right w:val="single" w:sz="4" w:space="0" w:color="auto"/>
            </w:tcBorders>
          </w:tcPr>
          <w:p w14:paraId="21D41A31" w14:textId="22663BA3" w:rsidR="00FE2EF8" w:rsidRPr="006A46A2" w:rsidRDefault="00FE2EF8" w:rsidP="000B6074">
            <w:pPr>
              <w:pStyle w:val="TableHeading0"/>
              <w:keepNext/>
              <w:keepLines/>
            </w:pPr>
            <w:r w:rsidRPr="006A46A2">
              <w:t>NCCN 2017</w:t>
            </w:r>
          </w:p>
        </w:tc>
        <w:tc>
          <w:tcPr>
            <w:tcW w:w="0" w:type="auto"/>
            <w:tcBorders>
              <w:top w:val="single" w:sz="4" w:space="0" w:color="auto"/>
              <w:left w:val="single" w:sz="4" w:space="0" w:color="auto"/>
              <w:bottom w:val="single" w:sz="4" w:space="0" w:color="auto"/>
              <w:right w:val="nil"/>
            </w:tcBorders>
          </w:tcPr>
          <w:p w14:paraId="60FD9E65" w14:textId="16CA563D" w:rsidR="00FE2EF8" w:rsidRPr="006A46A2" w:rsidRDefault="00FE2EF8" w:rsidP="000B6074">
            <w:pPr>
              <w:pStyle w:val="TableHeading0"/>
              <w:keepNext/>
              <w:keepLines/>
            </w:pPr>
            <w:r w:rsidRPr="006A46A2">
              <w:t>NCCN Version 1.2023 (NCCN 2022)</w:t>
            </w:r>
          </w:p>
        </w:tc>
        <w:tc>
          <w:tcPr>
            <w:tcW w:w="0" w:type="auto"/>
            <w:tcBorders>
              <w:top w:val="single" w:sz="4" w:space="0" w:color="auto"/>
              <w:left w:val="nil"/>
              <w:bottom w:val="single" w:sz="4" w:space="0" w:color="auto"/>
              <w:right w:val="single" w:sz="4" w:space="0" w:color="auto"/>
            </w:tcBorders>
          </w:tcPr>
          <w:p w14:paraId="7CB2654D" w14:textId="77777777" w:rsidR="00FE2EF8" w:rsidRPr="006A46A2" w:rsidRDefault="00FE2EF8" w:rsidP="000B6074">
            <w:pPr>
              <w:pStyle w:val="TableHeading0"/>
              <w:keepNext/>
              <w:keepLines/>
              <w:rPr>
                <w:i/>
                <w:iCs/>
              </w:rPr>
            </w:pPr>
          </w:p>
        </w:tc>
      </w:tr>
      <w:tr w:rsidR="009F12BB" w:rsidRPr="009F12BB" w14:paraId="55F493B4" w14:textId="77777777" w:rsidTr="009D3F31">
        <w:tc>
          <w:tcPr>
            <w:tcW w:w="0" w:type="auto"/>
            <w:tcBorders>
              <w:top w:val="single" w:sz="4" w:space="0" w:color="auto"/>
              <w:left w:val="single" w:sz="4" w:space="0" w:color="auto"/>
              <w:bottom w:val="nil"/>
              <w:right w:val="single" w:sz="4" w:space="0" w:color="auto"/>
            </w:tcBorders>
          </w:tcPr>
          <w:p w14:paraId="0C479FB0" w14:textId="77777777" w:rsidR="00FE2EF8" w:rsidRPr="006A46A2" w:rsidRDefault="00FE2EF8" w:rsidP="000B6074">
            <w:pPr>
              <w:pStyle w:val="TableText"/>
              <w:keepNext/>
              <w:keepLines/>
            </w:pPr>
            <w:r w:rsidRPr="006A46A2">
              <w:t>Intermediate risk</w:t>
            </w:r>
          </w:p>
        </w:tc>
        <w:tc>
          <w:tcPr>
            <w:tcW w:w="0" w:type="auto"/>
            <w:tcBorders>
              <w:left w:val="single" w:sz="4" w:space="0" w:color="auto"/>
              <w:right w:val="single" w:sz="4" w:space="0" w:color="auto"/>
            </w:tcBorders>
          </w:tcPr>
          <w:p w14:paraId="32C5DFA1" w14:textId="77777777" w:rsidR="00FE2EF8" w:rsidRPr="006A46A2" w:rsidRDefault="00FE2EF8" w:rsidP="000B6074">
            <w:pPr>
              <w:pStyle w:val="TableText"/>
              <w:keepNext/>
              <w:keepLines/>
            </w:pPr>
            <w:r w:rsidRPr="006A46A2">
              <w:t>Low-intermediate: NA (not of interest)</w:t>
            </w:r>
          </w:p>
        </w:tc>
        <w:tc>
          <w:tcPr>
            <w:tcW w:w="0" w:type="auto"/>
            <w:vMerge w:val="restart"/>
            <w:tcBorders>
              <w:top w:val="single" w:sz="4" w:space="0" w:color="auto"/>
              <w:left w:val="single" w:sz="4" w:space="0" w:color="auto"/>
              <w:right w:val="single" w:sz="4" w:space="0" w:color="auto"/>
            </w:tcBorders>
          </w:tcPr>
          <w:p w14:paraId="6C210245" w14:textId="77777777" w:rsidR="00FE2EF8" w:rsidRPr="006A46A2" w:rsidRDefault="00FE2EF8" w:rsidP="000B6074">
            <w:pPr>
              <w:pStyle w:val="TableText"/>
              <w:keepNext/>
              <w:keepLines/>
              <w:numPr>
                <w:ilvl w:val="0"/>
                <w:numId w:val="18"/>
              </w:numPr>
            </w:pPr>
            <w:r w:rsidRPr="006A46A2">
              <w:t xml:space="preserve">PSA &gt; 10.0 &lt; 20.0 ng/mL and/or </w:t>
            </w:r>
          </w:p>
          <w:p w14:paraId="496108A7" w14:textId="77777777" w:rsidR="00FE2EF8" w:rsidRPr="006A46A2" w:rsidRDefault="00FE2EF8" w:rsidP="000B6074">
            <w:pPr>
              <w:pStyle w:val="TableText"/>
              <w:keepNext/>
              <w:keepLines/>
              <w:numPr>
                <w:ilvl w:val="0"/>
                <w:numId w:val="18"/>
              </w:numPr>
            </w:pPr>
            <w:r w:rsidRPr="006A46A2">
              <w:t xml:space="preserve">Gleason = 7 and/or </w:t>
            </w:r>
          </w:p>
          <w:p w14:paraId="2A95C49D" w14:textId="77777777" w:rsidR="00FE2EF8" w:rsidRPr="006A46A2" w:rsidRDefault="00FE2EF8" w:rsidP="000B6074">
            <w:pPr>
              <w:pStyle w:val="TableText"/>
              <w:keepNext/>
              <w:keepLines/>
              <w:numPr>
                <w:ilvl w:val="0"/>
                <w:numId w:val="18"/>
              </w:numPr>
            </w:pPr>
            <w:r w:rsidRPr="006A46A2">
              <w:t>T2b-c</w:t>
            </w:r>
          </w:p>
        </w:tc>
        <w:tc>
          <w:tcPr>
            <w:tcW w:w="0" w:type="auto"/>
            <w:vMerge w:val="restart"/>
            <w:tcBorders>
              <w:top w:val="single" w:sz="4" w:space="0" w:color="auto"/>
              <w:left w:val="single" w:sz="4" w:space="0" w:color="auto"/>
            </w:tcBorders>
          </w:tcPr>
          <w:p w14:paraId="4EA47B9F" w14:textId="77777777" w:rsidR="00FE2EF8" w:rsidRPr="006A46A2" w:rsidRDefault="00FE2EF8" w:rsidP="000B6074">
            <w:pPr>
              <w:pStyle w:val="TableText"/>
              <w:keepNext/>
              <w:keepLines/>
            </w:pPr>
            <w:r w:rsidRPr="006A46A2">
              <w:t xml:space="preserve">All of the following: </w:t>
            </w:r>
          </w:p>
          <w:p w14:paraId="172772A2" w14:textId="77777777" w:rsidR="00FE2EF8" w:rsidRPr="006A46A2" w:rsidRDefault="00FE2EF8" w:rsidP="000B6074">
            <w:pPr>
              <w:pStyle w:val="TableText"/>
              <w:keepNext/>
              <w:keepLines/>
              <w:numPr>
                <w:ilvl w:val="0"/>
                <w:numId w:val="20"/>
              </w:numPr>
            </w:pPr>
            <w:r w:rsidRPr="006A46A2">
              <w:t>No high-risk group features</w:t>
            </w:r>
          </w:p>
          <w:p w14:paraId="5F656B98" w14:textId="77777777" w:rsidR="00FE2EF8" w:rsidRPr="006A46A2" w:rsidRDefault="00FE2EF8" w:rsidP="000B6074">
            <w:pPr>
              <w:pStyle w:val="TableText"/>
              <w:keepNext/>
              <w:keepLines/>
              <w:numPr>
                <w:ilvl w:val="0"/>
                <w:numId w:val="20"/>
              </w:numPr>
            </w:pPr>
            <w:r w:rsidRPr="006A46A2">
              <w:t>No very-high-risk group features</w:t>
            </w:r>
          </w:p>
          <w:p w14:paraId="50DD8FA4" w14:textId="77777777" w:rsidR="00FE2EF8" w:rsidRPr="006A46A2" w:rsidRDefault="00FE2EF8" w:rsidP="000B6074">
            <w:pPr>
              <w:pStyle w:val="TableText"/>
              <w:keepNext/>
              <w:keepLines/>
              <w:numPr>
                <w:ilvl w:val="0"/>
                <w:numId w:val="20"/>
              </w:numPr>
            </w:pPr>
            <w:r w:rsidRPr="006A46A2">
              <w:t>≥1 or IRFs:</w:t>
            </w:r>
          </w:p>
          <w:p w14:paraId="5EDC7638" w14:textId="77777777" w:rsidR="00FE2EF8" w:rsidRPr="006A46A2" w:rsidRDefault="00FE2EF8" w:rsidP="000B6074">
            <w:pPr>
              <w:pStyle w:val="TableText"/>
              <w:keepNext/>
              <w:keepLines/>
              <w:numPr>
                <w:ilvl w:val="1"/>
                <w:numId w:val="19"/>
              </w:numPr>
            </w:pPr>
            <w:r w:rsidRPr="006A46A2">
              <w:t>cT2b-cT2c</w:t>
            </w:r>
          </w:p>
          <w:p w14:paraId="4AB034E9" w14:textId="77777777" w:rsidR="00FE2EF8" w:rsidRPr="006A46A2" w:rsidRDefault="00FE2EF8" w:rsidP="000B6074">
            <w:pPr>
              <w:pStyle w:val="TableText"/>
              <w:keepNext/>
              <w:keepLines/>
              <w:numPr>
                <w:ilvl w:val="1"/>
                <w:numId w:val="19"/>
              </w:numPr>
            </w:pPr>
            <w:r w:rsidRPr="006A46A2">
              <w:t>Grade Group 2 or 3</w:t>
            </w:r>
          </w:p>
          <w:p w14:paraId="64EA9E11" w14:textId="77777777" w:rsidR="00FE2EF8" w:rsidRPr="006A46A2" w:rsidRDefault="00FE2EF8" w:rsidP="000B6074">
            <w:pPr>
              <w:pStyle w:val="TableText"/>
              <w:keepNext/>
              <w:keepLines/>
              <w:numPr>
                <w:ilvl w:val="1"/>
                <w:numId w:val="19"/>
              </w:numPr>
            </w:pPr>
            <w:r w:rsidRPr="006A46A2">
              <w:t>PSA 10-20 ng/mL</w:t>
            </w:r>
          </w:p>
        </w:tc>
        <w:tc>
          <w:tcPr>
            <w:tcW w:w="0" w:type="auto"/>
            <w:tcBorders>
              <w:top w:val="single" w:sz="4" w:space="0" w:color="auto"/>
            </w:tcBorders>
          </w:tcPr>
          <w:p w14:paraId="17BEE0B3" w14:textId="77777777" w:rsidR="00FE2EF8" w:rsidRPr="006A46A2" w:rsidRDefault="00FE2EF8" w:rsidP="000B6074">
            <w:pPr>
              <w:pStyle w:val="TableText"/>
              <w:keepNext/>
              <w:keepLines/>
            </w:pPr>
            <w:r w:rsidRPr="006A46A2">
              <w:t>Favourable: all of the following:</w:t>
            </w:r>
          </w:p>
          <w:p w14:paraId="10BEE36F" w14:textId="77777777" w:rsidR="00FE2EF8" w:rsidRPr="006A46A2" w:rsidRDefault="00FE2EF8" w:rsidP="000B6074">
            <w:pPr>
              <w:pStyle w:val="TableText"/>
              <w:keepNext/>
              <w:keepLines/>
              <w:numPr>
                <w:ilvl w:val="0"/>
                <w:numId w:val="21"/>
              </w:numPr>
            </w:pPr>
            <w:r w:rsidRPr="006A46A2">
              <w:t>1 IRF</w:t>
            </w:r>
          </w:p>
          <w:p w14:paraId="0627D9D7" w14:textId="77777777" w:rsidR="00FE2EF8" w:rsidRPr="006A46A2" w:rsidRDefault="00FE2EF8" w:rsidP="000B6074">
            <w:pPr>
              <w:pStyle w:val="TableText"/>
              <w:keepNext/>
              <w:keepLines/>
              <w:numPr>
                <w:ilvl w:val="0"/>
                <w:numId w:val="21"/>
              </w:numPr>
            </w:pPr>
            <w:r w:rsidRPr="006A46A2">
              <w:t>Grade Group 1 or 2</w:t>
            </w:r>
          </w:p>
          <w:p w14:paraId="41DCCFA4" w14:textId="77777777" w:rsidR="00FE2EF8" w:rsidRPr="006A46A2" w:rsidRDefault="00FE2EF8" w:rsidP="000B6074">
            <w:pPr>
              <w:pStyle w:val="TableText"/>
              <w:keepNext/>
              <w:keepLines/>
              <w:numPr>
                <w:ilvl w:val="0"/>
                <w:numId w:val="21"/>
              </w:numPr>
            </w:pPr>
            <w:r w:rsidRPr="006A46A2">
              <w:t>&lt;50% biopsy cores (+)</w:t>
            </w:r>
          </w:p>
        </w:tc>
      </w:tr>
      <w:tr w:rsidR="009F12BB" w:rsidRPr="009F12BB" w14:paraId="5B61A50C" w14:textId="77777777" w:rsidTr="009D3F31">
        <w:tc>
          <w:tcPr>
            <w:tcW w:w="0" w:type="auto"/>
            <w:tcBorders>
              <w:top w:val="nil"/>
              <w:left w:val="single" w:sz="4" w:space="0" w:color="auto"/>
              <w:bottom w:val="single" w:sz="4" w:space="0" w:color="auto"/>
              <w:right w:val="single" w:sz="4" w:space="0" w:color="auto"/>
            </w:tcBorders>
          </w:tcPr>
          <w:p w14:paraId="33C9E6E3" w14:textId="77777777" w:rsidR="00FE2EF8" w:rsidRPr="006A46A2" w:rsidRDefault="00FE2EF8" w:rsidP="000B6074">
            <w:pPr>
              <w:pStyle w:val="TableText"/>
              <w:keepNext/>
              <w:keepLines/>
            </w:pPr>
          </w:p>
        </w:tc>
        <w:tc>
          <w:tcPr>
            <w:tcW w:w="0" w:type="auto"/>
            <w:tcBorders>
              <w:left w:val="single" w:sz="4" w:space="0" w:color="auto"/>
              <w:right w:val="single" w:sz="4" w:space="0" w:color="auto"/>
            </w:tcBorders>
          </w:tcPr>
          <w:p w14:paraId="63AB5F44" w14:textId="77777777" w:rsidR="00FE2EF8" w:rsidRPr="006A46A2" w:rsidRDefault="00FE2EF8" w:rsidP="000B6074">
            <w:pPr>
              <w:pStyle w:val="TableText"/>
              <w:keepNext/>
              <w:keepLines/>
            </w:pPr>
            <w:r w:rsidRPr="006A46A2">
              <w:t xml:space="preserve">High-intermediate: </w:t>
            </w:r>
          </w:p>
          <w:p w14:paraId="40729483" w14:textId="77777777" w:rsidR="00FE2EF8" w:rsidRPr="006A46A2" w:rsidRDefault="00FE2EF8" w:rsidP="000B6074">
            <w:pPr>
              <w:pStyle w:val="TableText"/>
              <w:keepNext/>
              <w:keepLines/>
              <w:numPr>
                <w:ilvl w:val="0"/>
                <w:numId w:val="16"/>
              </w:numPr>
            </w:pPr>
            <w:r w:rsidRPr="006A46A2">
              <w:t xml:space="preserve">PSA &gt; 10.0 &lt; 20.0 ng/mL and </w:t>
            </w:r>
          </w:p>
          <w:p w14:paraId="06B83325" w14:textId="77777777" w:rsidR="00FE2EF8" w:rsidRPr="006A46A2" w:rsidRDefault="00FE2EF8" w:rsidP="000B6074">
            <w:pPr>
              <w:pStyle w:val="TableText"/>
              <w:keepNext/>
              <w:keepLines/>
              <w:numPr>
                <w:ilvl w:val="0"/>
                <w:numId w:val="16"/>
              </w:numPr>
            </w:pPr>
            <w:r w:rsidRPr="006A46A2">
              <w:t xml:space="preserve">Gleason = 7 and </w:t>
            </w:r>
          </w:p>
          <w:p w14:paraId="638EC5D7" w14:textId="77777777" w:rsidR="00FE2EF8" w:rsidRPr="006A46A2" w:rsidRDefault="00FE2EF8" w:rsidP="000B6074">
            <w:pPr>
              <w:pStyle w:val="TableText"/>
              <w:keepNext/>
              <w:keepLines/>
              <w:numPr>
                <w:ilvl w:val="0"/>
                <w:numId w:val="16"/>
              </w:numPr>
            </w:pPr>
            <w:r w:rsidRPr="006A46A2">
              <w:t>T2b-c</w:t>
            </w:r>
          </w:p>
        </w:tc>
        <w:tc>
          <w:tcPr>
            <w:tcW w:w="0" w:type="auto"/>
            <w:vMerge/>
            <w:tcBorders>
              <w:left w:val="single" w:sz="4" w:space="0" w:color="auto"/>
              <w:bottom w:val="single" w:sz="4" w:space="0" w:color="auto"/>
              <w:right w:val="single" w:sz="4" w:space="0" w:color="auto"/>
            </w:tcBorders>
          </w:tcPr>
          <w:p w14:paraId="7748BA2B" w14:textId="77777777" w:rsidR="00FE2EF8" w:rsidRPr="006A46A2" w:rsidRDefault="00FE2EF8" w:rsidP="000B6074">
            <w:pPr>
              <w:pStyle w:val="TableText"/>
              <w:keepNext/>
              <w:keepLines/>
            </w:pPr>
          </w:p>
        </w:tc>
        <w:tc>
          <w:tcPr>
            <w:tcW w:w="0" w:type="auto"/>
            <w:vMerge/>
            <w:tcBorders>
              <w:left w:val="single" w:sz="4" w:space="0" w:color="auto"/>
            </w:tcBorders>
          </w:tcPr>
          <w:p w14:paraId="3C1B077F" w14:textId="77777777" w:rsidR="00FE2EF8" w:rsidRPr="006A46A2" w:rsidRDefault="00FE2EF8" w:rsidP="000B6074">
            <w:pPr>
              <w:pStyle w:val="TableText"/>
              <w:keepNext/>
              <w:keepLines/>
            </w:pPr>
          </w:p>
        </w:tc>
        <w:tc>
          <w:tcPr>
            <w:tcW w:w="0" w:type="auto"/>
          </w:tcPr>
          <w:p w14:paraId="73FB60FC" w14:textId="77777777" w:rsidR="00FE2EF8" w:rsidRPr="006A46A2" w:rsidRDefault="00FE2EF8" w:rsidP="000B6074">
            <w:pPr>
              <w:pStyle w:val="TableText"/>
              <w:keepNext/>
              <w:keepLines/>
            </w:pPr>
            <w:r w:rsidRPr="006A46A2">
              <w:t>Unfavourable: one or more of the following</w:t>
            </w:r>
          </w:p>
          <w:p w14:paraId="0DC49930" w14:textId="77777777" w:rsidR="00FE2EF8" w:rsidRPr="006A46A2" w:rsidRDefault="00FE2EF8" w:rsidP="000B6074">
            <w:pPr>
              <w:pStyle w:val="TableText"/>
              <w:keepNext/>
              <w:keepLines/>
              <w:numPr>
                <w:ilvl w:val="0"/>
                <w:numId w:val="22"/>
              </w:numPr>
            </w:pPr>
            <w:r w:rsidRPr="006A46A2">
              <w:t>2 or 3 IRFs</w:t>
            </w:r>
          </w:p>
          <w:p w14:paraId="4A3580CE" w14:textId="77777777" w:rsidR="00FE2EF8" w:rsidRPr="006A46A2" w:rsidRDefault="00FE2EF8" w:rsidP="000B6074">
            <w:pPr>
              <w:pStyle w:val="TableText"/>
              <w:keepNext/>
              <w:keepLines/>
              <w:numPr>
                <w:ilvl w:val="0"/>
                <w:numId w:val="22"/>
              </w:numPr>
            </w:pPr>
            <w:r w:rsidRPr="006A46A2">
              <w:t>Grade Group 3</w:t>
            </w:r>
          </w:p>
          <w:p w14:paraId="019B4BC9" w14:textId="77777777" w:rsidR="00FE2EF8" w:rsidRPr="006A46A2" w:rsidRDefault="00FE2EF8" w:rsidP="000B6074">
            <w:pPr>
              <w:pStyle w:val="TableText"/>
              <w:keepNext/>
              <w:keepLines/>
              <w:numPr>
                <w:ilvl w:val="0"/>
                <w:numId w:val="22"/>
              </w:numPr>
            </w:pPr>
            <w:r w:rsidRPr="006A46A2">
              <w:t>≥50% biopsy cores (+)</w:t>
            </w:r>
          </w:p>
        </w:tc>
      </w:tr>
      <w:tr w:rsidR="009F12BB" w:rsidRPr="009F12BB" w14:paraId="4B9C125A" w14:textId="77777777" w:rsidTr="009D3F31">
        <w:tc>
          <w:tcPr>
            <w:tcW w:w="0" w:type="auto"/>
            <w:tcBorders>
              <w:top w:val="single" w:sz="4" w:space="0" w:color="auto"/>
              <w:bottom w:val="single" w:sz="4" w:space="0" w:color="auto"/>
            </w:tcBorders>
          </w:tcPr>
          <w:p w14:paraId="33C23FD4" w14:textId="77777777" w:rsidR="00FE2EF8" w:rsidRPr="006A46A2" w:rsidRDefault="00FE2EF8" w:rsidP="000B6074">
            <w:pPr>
              <w:pStyle w:val="TableText"/>
              <w:keepNext/>
              <w:keepLines/>
            </w:pPr>
            <w:r w:rsidRPr="006A46A2">
              <w:t>High risk (non-metastatic)</w:t>
            </w:r>
          </w:p>
        </w:tc>
        <w:tc>
          <w:tcPr>
            <w:tcW w:w="0" w:type="auto"/>
          </w:tcPr>
          <w:p w14:paraId="3E176E26" w14:textId="77777777" w:rsidR="00FE2EF8" w:rsidRPr="006A46A2" w:rsidRDefault="00FE2EF8" w:rsidP="000B6074">
            <w:pPr>
              <w:pStyle w:val="TableText"/>
              <w:keepNext/>
              <w:keepLines/>
              <w:numPr>
                <w:ilvl w:val="0"/>
                <w:numId w:val="17"/>
              </w:numPr>
            </w:pPr>
            <w:r w:rsidRPr="006A46A2">
              <w:t xml:space="preserve">PSA &gt;20.0 ng/mL and/or </w:t>
            </w:r>
          </w:p>
          <w:p w14:paraId="23E9823F" w14:textId="77777777" w:rsidR="00FE2EF8" w:rsidRPr="006A46A2" w:rsidRDefault="00FE2EF8" w:rsidP="000B6074">
            <w:pPr>
              <w:pStyle w:val="TableText"/>
              <w:keepNext/>
              <w:keepLines/>
              <w:numPr>
                <w:ilvl w:val="0"/>
                <w:numId w:val="17"/>
              </w:numPr>
            </w:pPr>
            <w:r w:rsidRPr="006A46A2">
              <w:t>Gleason 8-10 and/or</w:t>
            </w:r>
          </w:p>
          <w:p w14:paraId="50366794" w14:textId="77777777" w:rsidR="00FE2EF8" w:rsidRPr="006A46A2" w:rsidRDefault="00FE2EF8" w:rsidP="000B6074">
            <w:pPr>
              <w:pStyle w:val="TableText"/>
              <w:keepNext/>
              <w:keepLines/>
              <w:numPr>
                <w:ilvl w:val="0"/>
                <w:numId w:val="17"/>
              </w:numPr>
            </w:pPr>
            <w:r w:rsidRPr="006A46A2">
              <w:t>T3a</w:t>
            </w:r>
          </w:p>
        </w:tc>
        <w:tc>
          <w:tcPr>
            <w:tcW w:w="0" w:type="auto"/>
            <w:tcBorders>
              <w:top w:val="single" w:sz="4" w:space="0" w:color="auto"/>
              <w:bottom w:val="single" w:sz="4" w:space="0" w:color="auto"/>
            </w:tcBorders>
          </w:tcPr>
          <w:p w14:paraId="5230778D" w14:textId="77777777" w:rsidR="00FE2EF8" w:rsidRPr="006A46A2" w:rsidRDefault="00FE2EF8" w:rsidP="000B6074">
            <w:pPr>
              <w:pStyle w:val="TableText"/>
              <w:keepNext/>
              <w:keepLines/>
              <w:numPr>
                <w:ilvl w:val="0"/>
                <w:numId w:val="17"/>
              </w:numPr>
            </w:pPr>
            <w:r w:rsidRPr="006A46A2">
              <w:t xml:space="preserve">PSA &gt;20.0 ng/mL and/or </w:t>
            </w:r>
          </w:p>
          <w:p w14:paraId="28672D72" w14:textId="77777777" w:rsidR="00FE2EF8" w:rsidRPr="006A46A2" w:rsidRDefault="00FE2EF8" w:rsidP="000B6074">
            <w:pPr>
              <w:pStyle w:val="TableText"/>
              <w:keepNext/>
              <w:keepLines/>
              <w:numPr>
                <w:ilvl w:val="0"/>
                <w:numId w:val="17"/>
              </w:numPr>
            </w:pPr>
            <w:r w:rsidRPr="006A46A2">
              <w:t xml:space="preserve">Gleason 8-10 and/or </w:t>
            </w:r>
          </w:p>
          <w:p w14:paraId="1947445C" w14:textId="77777777" w:rsidR="00FE2EF8" w:rsidRPr="006A46A2" w:rsidRDefault="00FE2EF8" w:rsidP="000B6074">
            <w:pPr>
              <w:pStyle w:val="TableText"/>
              <w:keepNext/>
              <w:keepLines/>
              <w:numPr>
                <w:ilvl w:val="0"/>
                <w:numId w:val="17"/>
              </w:numPr>
            </w:pPr>
            <w:r w:rsidRPr="006A46A2">
              <w:t xml:space="preserve">T3a or </w:t>
            </w:r>
          </w:p>
          <w:p w14:paraId="5E163E02" w14:textId="77777777" w:rsidR="00FE2EF8" w:rsidRPr="006A46A2" w:rsidRDefault="00FE2EF8" w:rsidP="000B6074">
            <w:pPr>
              <w:pStyle w:val="TableText"/>
              <w:keepNext/>
              <w:keepLines/>
              <w:numPr>
                <w:ilvl w:val="0"/>
                <w:numId w:val="17"/>
              </w:numPr>
            </w:pPr>
            <w:r w:rsidRPr="006A46A2">
              <w:t>≥2 intermediate-risk features</w:t>
            </w:r>
          </w:p>
        </w:tc>
        <w:tc>
          <w:tcPr>
            <w:tcW w:w="0" w:type="auto"/>
            <w:gridSpan w:val="2"/>
          </w:tcPr>
          <w:p w14:paraId="1655C299" w14:textId="77777777" w:rsidR="00FE2EF8" w:rsidRPr="006A46A2" w:rsidRDefault="00FE2EF8" w:rsidP="000B6074">
            <w:pPr>
              <w:pStyle w:val="TableText"/>
              <w:keepNext/>
              <w:keepLines/>
            </w:pPr>
            <w:r w:rsidRPr="006A46A2">
              <w:t>No very-high-risk features and exactly one high-risk feature:</w:t>
            </w:r>
          </w:p>
          <w:p w14:paraId="73172253" w14:textId="77777777" w:rsidR="00FE2EF8" w:rsidRPr="006A46A2" w:rsidRDefault="00FE2EF8" w:rsidP="000B6074">
            <w:pPr>
              <w:pStyle w:val="TableText"/>
              <w:keepNext/>
              <w:keepLines/>
              <w:numPr>
                <w:ilvl w:val="0"/>
                <w:numId w:val="23"/>
              </w:numPr>
            </w:pPr>
            <w:r w:rsidRPr="006A46A2">
              <w:t>cT3a or</w:t>
            </w:r>
          </w:p>
          <w:p w14:paraId="598CB393" w14:textId="77777777" w:rsidR="00FE2EF8" w:rsidRPr="006A46A2" w:rsidRDefault="00FE2EF8" w:rsidP="000B6074">
            <w:pPr>
              <w:pStyle w:val="TableText"/>
              <w:keepNext/>
              <w:keepLines/>
              <w:numPr>
                <w:ilvl w:val="0"/>
                <w:numId w:val="23"/>
              </w:numPr>
            </w:pPr>
            <w:r w:rsidRPr="006A46A2">
              <w:t>Grade Group 4 or 5 or</w:t>
            </w:r>
          </w:p>
          <w:p w14:paraId="05D1FE20" w14:textId="77777777" w:rsidR="00FE2EF8" w:rsidRPr="006A46A2" w:rsidRDefault="00FE2EF8" w:rsidP="000B6074">
            <w:pPr>
              <w:pStyle w:val="TableText"/>
              <w:keepNext/>
              <w:keepLines/>
              <w:numPr>
                <w:ilvl w:val="0"/>
                <w:numId w:val="23"/>
              </w:numPr>
            </w:pPr>
            <w:r w:rsidRPr="006A46A2">
              <w:t>PSA &gt;20 ng/mL</w:t>
            </w:r>
          </w:p>
        </w:tc>
      </w:tr>
    </w:tbl>
    <w:p w14:paraId="480E8855" w14:textId="77777777" w:rsidR="00FE2EF8" w:rsidRPr="006A46A2" w:rsidRDefault="00FE2EF8" w:rsidP="000B6074">
      <w:pPr>
        <w:pStyle w:val="Tablenotes"/>
        <w:keepNext/>
        <w:keepLines/>
      </w:pPr>
      <w:r w:rsidRPr="006A46A2">
        <w:t>Source: Developed for commentary</w:t>
      </w:r>
    </w:p>
    <w:p w14:paraId="0C59BB68" w14:textId="75759C4A" w:rsidR="005D1BBF" w:rsidRPr="00321BF4" w:rsidRDefault="00FE2EF8" w:rsidP="000B6074">
      <w:pPr>
        <w:pStyle w:val="Tablenotes"/>
        <w:keepNext/>
        <w:keepLines/>
      </w:pPr>
      <w:r w:rsidRPr="006A46A2">
        <w:t>IRF = intermediate risk factor; NA = not applicable; PSA = prostate-specific antigen</w:t>
      </w:r>
    </w:p>
    <w:p w14:paraId="66BDFCC1" w14:textId="255A568A" w:rsidR="00772829" w:rsidRPr="00CE28E3" w:rsidRDefault="00F04024" w:rsidP="002A18BE">
      <w:pPr>
        <w:pStyle w:val="Heading2"/>
        <w:numPr>
          <w:ilvl w:val="0"/>
          <w:numId w:val="0"/>
        </w:numPr>
      </w:pPr>
      <w:bookmarkStart w:id="26" w:name="_Toc69491420"/>
      <w:r>
        <w:t>7</w:t>
      </w:r>
      <w:r w:rsidR="00C36633">
        <w:t>.</w:t>
      </w:r>
      <w:r w:rsidR="00C36633">
        <w:tab/>
      </w:r>
      <w:r w:rsidR="00772829" w:rsidRPr="00CE28E3">
        <w:t>Comparator</w:t>
      </w:r>
      <w:bookmarkEnd w:id="26"/>
    </w:p>
    <w:p w14:paraId="2EA10EB8" w14:textId="77777777" w:rsidR="00E47FAB" w:rsidRDefault="002203AF" w:rsidP="002203AF">
      <w:r w:rsidRPr="002203AF">
        <w:t>The original MSAC application 1525 nominated</w:t>
      </w:r>
      <w:r w:rsidR="00E47FAB">
        <w:t xml:space="preserve"> two comparators:</w:t>
      </w:r>
    </w:p>
    <w:p w14:paraId="1AF37E54" w14:textId="0C26BCDB" w:rsidR="00E47FAB" w:rsidRDefault="002203AF" w:rsidP="0003474F">
      <w:pPr>
        <w:pStyle w:val="ListParagraph"/>
        <w:numPr>
          <w:ilvl w:val="0"/>
          <w:numId w:val="12"/>
        </w:numPr>
      </w:pPr>
      <w:r w:rsidRPr="002203AF">
        <w:t>DE-EBRT</w:t>
      </w:r>
      <w:r w:rsidR="00550A45">
        <w:t xml:space="preserve"> </w:t>
      </w:r>
      <w:r w:rsidR="00561AD4">
        <w:t>(</w:t>
      </w:r>
      <w:r w:rsidR="00550A45">
        <w:fldChar w:fldCharType="begin"/>
      </w:r>
      <w:r w:rsidR="00550A45">
        <w:instrText xml:space="preserve"> REF _Ref531779820 \h </w:instrText>
      </w:r>
      <w:r w:rsidR="00550A45">
        <w:fldChar w:fldCharType="separate"/>
      </w:r>
      <w:r w:rsidR="008E2523" w:rsidRPr="00D37354">
        <w:t xml:space="preserve">Table </w:t>
      </w:r>
      <w:r w:rsidR="008E2523">
        <w:rPr>
          <w:noProof/>
        </w:rPr>
        <w:t>6</w:t>
      </w:r>
      <w:r w:rsidR="00550A45">
        <w:fldChar w:fldCharType="end"/>
      </w:r>
      <w:r w:rsidR="00E47FAB">
        <w:t>)</w:t>
      </w:r>
      <w:r w:rsidRPr="002203AF">
        <w:t xml:space="preserve"> and</w:t>
      </w:r>
    </w:p>
    <w:p w14:paraId="1401D081" w14:textId="64CAF785" w:rsidR="00E47FAB" w:rsidRDefault="002203AF" w:rsidP="0003474F">
      <w:pPr>
        <w:pStyle w:val="ListParagraph"/>
        <w:numPr>
          <w:ilvl w:val="0"/>
          <w:numId w:val="12"/>
        </w:numPr>
      </w:pPr>
      <w:r w:rsidRPr="002203AF">
        <w:t>EBRT + HDR-BT boost</w:t>
      </w:r>
      <w:r w:rsidR="008E2523">
        <w:t xml:space="preserve"> (</w:t>
      </w:r>
      <w:r w:rsidR="008E2523">
        <w:fldChar w:fldCharType="begin"/>
      </w:r>
      <w:r w:rsidR="008E2523">
        <w:instrText xml:space="preserve"> REF _Ref122533126 \h </w:instrText>
      </w:r>
      <w:r w:rsidR="008E2523">
        <w:fldChar w:fldCharType="separate"/>
      </w:r>
      <w:r w:rsidR="008E2523" w:rsidRPr="00D37354">
        <w:t xml:space="preserve">Table </w:t>
      </w:r>
      <w:r w:rsidR="008E2523">
        <w:rPr>
          <w:noProof/>
        </w:rPr>
        <w:t>7</w:t>
      </w:r>
      <w:r w:rsidR="008E2523">
        <w:fldChar w:fldCharType="end"/>
      </w:r>
      <w:r w:rsidR="008E2523">
        <w:t>)</w:t>
      </w:r>
      <w:r w:rsidRPr="002203AF">
        <w:t>.</w:t>
      </w:r>
    </w:p>
    <w:p w14:paraId="4EE0AB2F" w14:textId="77777777" w:rsidR="00E47FAB" w:rsidRDefault="002203AF" w:rsidP="00E47FAB">
      <w:r w:rsidRPr="002203AF">
        <w:t xml:space="preserve">During the PASC process, a third comparator </w:t>
      </w:r>
      <w:r w:rsidR="00E47FAB">
        <w:t>was added:</w:t>
      </w:r>
    </w:p>
    <w:p w14:paraId="33D52F41" w14:textId="2C129C3E" w:rsidR="00E47FAB" w:rsidRDefault="002203AF" w:rsidP="0003474F">
      <w:pPr>
        <w:pStyle w:val="ListParagraph"/>
        <w:numPr>
          <w:ilvl w:val="0"/>
          <w:numId w:val="13"/>
        </w:numPr>
      </w:pPr>
      <w:r w:rsidRPr="002203AF">
        <w:t>radical prostatectomy</w:t>
      </w:r>
      <w:r w:rsidR="008E2523">
        <w:t xml:space="preserve"> </w:t>
      </w:r>
      <w:r w:rsidR="007F6EFD">
        <w:t>(</w:t>
      </w:r>
      <w:r w:rsidR="007F6EFD">
        <w:fldChar w:fldCharType="begin"/>
      </w:r>
      <w:r w:rsidR="007F6EFD">
        <w:instrText xml:space="preserve"> REF _Ref122533746 \h </w:instrText>
      </w:r>
      <w:r w:rsidR="007F6EFD">
        <w:fldChar w:fldCharType="separate"/>
      </w:r>
      <w:r w:rsidR="007F6EFD">
        <w:t xml:space="preserve">Table </w:t>
      </w:r>
      <w:r w:rsidR="007F6EFD">
        <w:rPr>
          <w:noProof/>
        </w:rPr>
        <w:t>8</w:t>
      </w:r>
      <w:r w:rsidR="007F6EFD">
        <w:fldChar w:fldCharType="end"/>
      </w:r>
      <w:r w:rsidR="007F6EFD">
        <w:t>)</w:t>
      </w:r>
    </w:p>
    <w:p w14:paraId="37E93F87" w14:textId="11C145B5" w:rsidR="002A7F8F" w:rsidRDefault="002A7F8F" w:rsidP="002A7F8F">
      <w:r>
        <w:t>All three comparators are currently funded through MBS.</w:t>
      </w:r>
    </w:p>
    <w:p w14:paraId="1FF8E89C" w14:textId="6100C01A" w:rsidR="00550A45" w:rsidRPr="00D37354" w:rsidRDefault="00550A45" w:rsidP="000B6074">
      <w:pPr>
        <w:pStyle w:val="Caption"/>
        <w:keepLines/>
        <w:tabs>
          <w:tab w:val="left" w:pos="1134"/>
        </w:tabs>
        <w:jc w:val="both"/>
      </w:pPr>
      <w:bookmarkStart w:id="27" w:name="_Ref531779820"/>
      <w:bookmarkStart w:id="28" w:name="_Toc534800171"/>
      <w:bookmarkStart w:id="29" w:name="_Toc459512"/>
      <w:bookmarkStart w:id="30" w:name="_Ref69481033"/>
      <w:r w:rsidRPr="00D37354">
        <w:lastRenderedPageBreak/>
        <w:t xml:space="preserve">Table </w:t>
      </w:r>
      <w:fldSimple w:instr=" SEQ Table \* ARABIC ">
        <w:r w:rsidR="008E2523">
          <w:rPr>
            <w:noProof/>
          </w:rPr>
          <w:t>6</w:t>
        </w:r>
      </w:fldSimple>
      <w:bookmarkEnd w:id="27"/>
      <w:r w:rsidR="00561AD4">
        <w:rPr>
          <w:noProof/>
        </w:rPr>
        <w:tab/>
      </w:r>
      <w:r w:rsidRPr="00D37354">
        <w:t>Relevant MBS items for DE-EBRT</w:t>
      </w:r>
      <w:bookmarkEnd w:id="28"/>
      <w:bookmarkEnd w:id="29"/>
    </w:p>
    <w:tbl>
      <w:tblPr>
        <w:tblStyle w:val="TableGrid1"/>
        <w:tblW w:w="5000" w:type="pct"/>
        <w:tblLook w:val="04A0" w:firstRow="1" w:lastRow="0" w:firstColumn="1" w:lastColumn="0" w:noHBand="0" w:noVBand="1"/>
        <w:tblCaption w:val="Table 12 Relevant MBS item for the comparator"/>
        <w:tblDescription w:val="This table describes the current item descriptor in the Medicare Benefits Schedule for the main comparator technology."/>
      </w:tblPr>
      <w:tblGrid>
        <w:gridCol w:w="9016"/>
      </w:tblGrid>
      <w:tr w:rsidR="00550A45" w:rsidRPr="00D37354" w14:paraId="4C933929" w14:textId="77777777" w:rsidTr="006A46A2">
        <w:trPr>
          <w:cnfStyle w:val="100000000000" w:firstRow="1" w:lastRow="0" w:firstColumn="0" w:lastColumn="0" w:oddVBand="0" w:evenVBand="0" w:oddHBand="0" w:evenHBand="0" w:firstRowFirstColumn="0" w:firstRowLastColumn="0" w:lastRowFirstColumn="0" w:lastRowLastColumn="0"/>
          <w:cantSplit/>
          <w:trHeight w:val="335"/>
        </w:trPr>
        <w:tc>
          <w:tcPr>
            <w:tcW w:w="5000" w:type="pct"/>
          </w:tcPr>
          <w:p w14:paraId="2B007B9E" w14:textId="77777777" w:rsidR="00550A45" w:rsidRPr="00D37354" w:rsidRDefault="00550A45" w:rsidP="000B6074">
            <w:pPr>
              <w:pStyle w:val="Tabletext0"/>
              <w:keepNext/>
              <w:keepLines/>
            </w:pPr>
            <w:r w:rsidRPr="00D37354">
              <w:t xml:space="preserve">Category 3 – </w:t>
            </w:r>
            <w:bookmarkStart w:id="31" w:name="_Hlk120632275"/>
            <w:r w:rsidRPr="00D37354">
              <w:t>THERAPEUTIC PROCEDURES</w:t>
            </w:r>
            <w:bookmarkEnd w:id="31"/>
          </w:p>
        </w:tc>
      </w:tr>
      <w:tr w:rsidR="00550A45" w:rsidRPr="00D37354" w14:paraId="2F05C4CB" w14:textId="77777777" w:rsidTr="006A46A2">
        <w:trPr>
          <w:cantSplit/>
        </w:trPr>
        <w:tc>
          <w:tcPr>
            <w:tcW w:w="5000" w:type="pct"/>
          </w:tcPr>
          <w:p w14:paraId="4704AECA" w14:textId="6333C00B" w:rsidR="00550A45" w:rsidRPr="00550A45" w:rsidRDefault="00550A45" w:rsidP="000B6074">
            <w:pPr>
              <w:keepNext/>
              <w:keepLines/>
              <w:spacing w:after="120"/>
              <w:rPr>
                <w:rFonts w:ascii="Arial Narrow" w:hAnsi="Arial Narrow"/>
                <w:lang w:val="en-US" w:eastAsia="ja-JP"/>
              </w:rPr>
            </w:pPr>
            <w:r w:rsidRPr="00550A45">
              <w:rPr>
                <w:rFonts w:ascii="Arial Narrow" w:hAnsi="Arial Narrow"/>
                <w:lang w:val="en-US" w:eastAsia="ja-JP"/>
              </w:rPr>
              <w:t>MBS item 15555</w:t>
            </w:r>
          </w:p>
          <w:p w14:paraId="2B267981" w14:textId="77777777" w:rsidR="00550A45" w:rsidRPr="00550A45" w:rsidRDefault="00550A45" w:rsidP="000B6074">
            <w:pPr>
              <w:keepNext/>
              <w:keepLines/>
              <w:spacing w:after="120"/>
              <w:rPr>
                <w:rFonts w:ascii="Arial Narrow" w:hAnsi="Arial Narrow"/>
              </w:rPr>
            </w:pPr>
            <w:r w:rsidRPr="00550A45">
              <w:rPr>
                <w:rFonts w:ascii="Arial Narrow" w:hAnsi="Arial Narrow"/>
              </w:rPr>
              <w:t>SIMULATION FOR INTENSITY-MODULATED RADIATION THERAPY (IMRT), with or without intravenous contrast medium, if:</w:t>
            </w:r>
          </w:p>
          <w:p w14:paraId="7E100175" w14:textId="77777777" w:rsidR="00550A45" w:rsidRPr="00550A45" w:rsidRDefault="00550A45" w:rsidP="000B6074">
            <w:pPr>
              <w:keepNext/>
              <w:keepLines/>
              <w:spacing w:after="120"/>
              <w:rPr>
                <w:rFonts w:ascii="Arial Narrow" w:hAnsi="Arial Narrow"/>
              </w:rPr>
            </w:pPr>
            <w:r w:rsidRPr="00550A45">
              <w:rPr>
                <w:rFonts w:ascii="Arial Narrow" w:hAnsi="Arial Narrow"/>
              </w:rPr>
              <w:t>1.    treatment set-up and technique specifications are in preparations for three-dimensional conformal radiotherapy dose planning; and</w:t>
            </w:r>
          </w:p>
          <w:p w14:paraId="4714DD2A" w14:textId="77777777" w:rsidR="00550A45" w:rsidRPr="00550A45" w:rsidRDefault="00550A45" w:rsidP="000B6074">
            <w:pPr>
              <w:keepNext/>
              <w:keepLines/>
              <w:spacing w:after="120"/>
              <w:rPr>
                <w:rFonts w:ascii="Arial Narrow" w:hAnsi="Arial Narrow"/>
              </w:rPr>
            </w:pPr>
            <w:r w:rsidRPr="00550A45">
              <w:rPr>
                <w:rFonts w:ascii="Arial Narrow" w:hAnsi="Arial Narrow"/>
              </w:rPr>
              <w:t>2.    patient set-up and immobilisation techniques are suitable for reliable CT-image volume data acquisition and three-dimensional conformal radiotherapy; and</w:t>
            </w:r>
          </w:p>
          <w:p w14:paraId="0675713F" w14:textId="77777777" w:rsidR="00550A45" w:rsidRPr="00550A45" w:rsidRDefault="00550A45" w:rsidP="000B6074">
            <w:pPr>
              <w:keepNext/>
              <w:keepLines/>
              <w:spacing w:after="120"/>
              <w:rPr>
                <w:rFonts w:ascii="Arial Narrow" w:hAnsi="Arial Narrow"/>
              </w:rPr>
            </w:pPr>
            <w:r w:rsidRPr="00550A45">
              <w:rPr>
                <w:rFonts w:ascii="Arial Narrow" w:hAnsi="Arial Narrow"/>
              </w:rPr>
              <w:t>3.    a high-quality CT-image volume dataset is acquired for the relevant region of interest to be planned and treated; and</w:t>
            </w:r>
          </w:p>
          <w:p w14:paraId="62864152" w14:textId="77777777" w:rsidR="00550A45" w:rsidRPr="00550A45" w:rsidRDefault="00550A45" w:rsidP="000B6074">
            <w:pPr>
              <w:keepNext/>
              <w:keepLines/>
              <w:spacing w:after="120"/>
              <w:rPr>
                <w:rFonts w:ascii="Arial Narrow" w:hAnsi="Arial Narrow"/>
              </w:rPr>
            </w:pPr>
            <w:r w:rsidRPr="00550A45">
              <w:rPr>
                <w:rFonts w:ascii="Arial Narrow" w:hAnsi="Arial Narrow"/>
              </w:rPr>
              <w:t>4.    the image set is suitable for the generation of quality digitally-reconstructed radiographic images.</w:t>
            </w:r>
          </w:p>
          <w:p w14:paraId="62A6AB48" w14:textId="5F15E6B9" w:rsidR="00550A45" w:rsidRPr="00D37354" w:rsidRDefault="00550A45" w:rsidP="000B6074">
            <w:pPr>
              <w:pStyle w:val="Tabletext0"/>
              <w:keepNext/>
              <w:keepLines/>
              <w:rPr>
                <w:b/>
              </w:rPr>
            </w:pPr>
            <w:r w:rsidRPr="00550A45">
              <w:rPr>
                <w:b/>
                <w:bCs/>
              </w:rPr>
              <w:t>Fee:</w:t>
            </w:r>
            <w:r w:rsidRPr="00550A45">
              <w:t> $751.20 Benefit: 75% = $563.40 85% = $658.00</w:t>
            </w:r>
          </w:p>
        </w:tc>
      </w:tr>
      <w:tr w:rsidR="00550A45" w:rsidRPr="00D37354" w14:paraId="518E19F1" w14:textId="77777777" w:rsidTr="006A46A2">
        <w:trPr>
          <w:cantSplit/>
        </w:trPr>
        <w:tc>
          <w:tcPr>
            <w:tcW w:w="5000" w:type="pct"/>
          </w:tcPr>
          <w:p w14:paraId="0B5B7F35" w14:textId="6202B328" w:rsidR="00550A45" w:rsidRPr="00550A45" w:rsidRDefault="00550A45" w:rsidP="00550A45">
            <w:pPr>
              <w:spacing w:after="120"/>
              <w:rPr>
                <w:rFonts w:ascii="Arial Narrow" w:hAnsi="Arial Narrow"/>
                <w:lang w:val="en-US" w:eastAsia="ja-JP"/>
              </w:rPr>
            </w:pPr>
            <w:r w:rsidRPr="00550A45">
              <w:rPr>
                <w:rFonts w:ascii="Arial Narrow" w:hAnsi="Arial Narrow"/>
                <w:lang w:val="en-US" w:eastAsia="ja-JP"/>
              </w:rPr>
              <w:t>MBS item 15550</w:t>
            </w:r>
          </w:p>
          <w:p w14:paraId="59FB3498" w14:textId="77777777" w:rsidR="00550A45" w:rsidRPr="00550A45" w:rsidRDefault="00550A45" w:rsidP="00550A45">
            <w:pPr>
              <w:pStyle w:val="Tabletext0"/>
            </w:pPr>
            <w:r w:rsidRPr="00550A45">
              <w:t>SIMULATION FOR THREE DIMENSIONAL CONFORMAL RADIOTHERAPY without intravenous contrast medium, where:</w:t>
            </w:r>
          </w:p>
          <w:p w14:paraId="151D9D30" w14:textId="77777777" w:rsidR="00550A45" w:rsidRPr="00550A45" w:rsidRDefault="00550A45" w:rsidP="00550A45">
            <w:pPr>
              <w:pStyle w:val="Tabletext0"/>
            </w:pPr>
            <w:r w:rsidRPr="00550A45">
              <w:t>(a)    treatment set up and technique specifications are in preparations for three dimensional conformal radiotherapy dose planning; and</w:t>
            </w:r>
          </w:p>
          <w:p w14:paraId="2C23F87B" w14:textId="77777777" w:rsidR="00550A45" w:rsidRPr="00550A45" w:rsidRDefault="00550A45" w:rsidP="00550A45">
            <w:pPr>
              <w:pStyle w:val="Tabletext0"/>
            </w:pPr>
            <w:r w:rsidRPr="00550A45">
              <w:t>(b)    patient set up and immobilisation techniques are suitable for reliable CT image volume data acquisition and three dimensional conformal radiotherapy treatment; and</w:t>
            </w:r>
          </w:p>
          <w:p w14:paraId="7B004971" w14:textId="77777777" w:rsidR="00550A45" w:rsidRPr="00550A45" w:rsidRDefault="00550A45" w:rsidP="00550A45">
            <w:pPr>
              <w:pStyle w:val="Tabletext0"/>
            </w:pPr>
            <w:r w:rsidRPr="00550A45">
              <w:t>(c)    a high-quality CT-image volume dataset must be acquired for the relevant region of interest to be planned and treated; and</w:t>
            </w:r>
          </w:p>
          <w:p w14:paraId="550E6E2F" w14:textId="77777777" w:rsidR="00550A45" w:rsidRPr="00550A45" w:rsidRDefault="00550A45" w:rsidP="00550A45">
            <w:pPr>
              <w:pStyle w:val="Tabletext0"/>
            </w:pPr>
            <w:r w:rsidRPr="00550A45">
              <w:t>(d)    the image set must be suitable for the generation of quality digitally reconstructed radiographic images</w:t>
            </w:r>
          </w:p>
          <w:p w14:paraId="5C8E137A" w14:textId="4810FD46" w:rsidR="00550A45" w:rsidRPr="00D37354" w:rsidRDefault="00550A45" w:rsidP="00623849">
            <w:pPr>
              <w:pStyle w:val="Tabletext0"/>
            </w:pPr>
            <w:r w:rsidRPr="00550A45">
              <w:rPr>
                <w:b/>
                <w:bCs/>
              </w:rPr>
              <w:t>Fee:</w:t>
            </w:r>
            <w:r w:rsidRPr="00550A45">
              <w:rPr>
                <w:b/>
              </w:rPr>
              <w:t> </w:t>
            </w:r>
            <w:r w:rsidRPr="00550A45">
              <w:rPr>
                <w:bCs/>
              </w:rPr>
              <w:t>$696.25 Benefit: 75% = $522.20 85% = $603.05</w:t>
            </w:r>
          </w:p>
        </w:tc>
      </w:tr>
      <w:tr w:rsidR="00550A45" w:rsidRPr="00D37354" w14:paraId="07A331ED" w14:textId="77777777" w:rsidTr="006A46A2">
        <w:trPr>
          <w:cantSplit/>
        </w:trPr>
        <w:tc>
          <w:tcPr>
            <w:tcW w:w="5000" w:type="pct"/>
          </w:tcPr>
          <w:p w14:paraId="53861E99" w14:textId="291FAE23" w:rsidR="00550A45" w:rsidRPr="00550A45" w:rsidRDefault="00550A45" w:rsidP="00E80B7D">
            <w:pPr>
              <w:keepNext/>
              <w:keepLines/>
              <w:spacing w:after="120"/>
              <w:rPr>
                <w:rFonts w:ascii="Arial Narrow" w:hAnsi="Arial Narrow"/>
                <w:lang w:val="en-US" w:eastAsia="ja-JP"/>
              </w:rPr>
            </w:pPr>
            <w:r w:rsidRPr="00550A45">
              <w:rPr>
                <w:rFonts w:ascii="Arial Narrow" w:hAnsi="Arial Narrow"/>
                <w:lang w:val="en-US" w:eastAsia="ja-JP"/>
              </w:rPr>
              <w:t>MBS item 15559</w:t>
            </w:r>
          </w:p>
          <w:p w14:paraId="154281F1" w14:textId="77777777" w:rsidR="00550A45" w:rsidRPr="00550A45" w:rsidRDefault="00550A45" w:rsidP="00E80B7D">
            <w:pPr>
              <w:keepNext/>
              <w:keepLines/>
              <w:shd w:val="clear" w:color="auto" w:fill="FBFBFB"/>
              <w:spacing w:after="0"/>
              <w:rPr>
                <w:rFonts w:ascii="Arial Narrow" w:hAnsi="Arial Narrow"/>
              </w:rPr>
            </w:pPr>
            <w:r w:rsidRPr="00550A45">
              <w:rPr>
                <w:rFonts w:ascii="Arial Narrow" w:hAnsi="Arial Narrow"/>
              </w:rPr>
              <w:t>DOSIMETRY FOR THREE DIMENSIONAL CONFORMAL RADIOTHERAPY OF LEVEL 2 COMPLEXITY where:</w:t>
            </w:r>
          </w:p>
          <w:p w14:paraId="337FB213" w14:textId="77777777" w:rsidR="00550A45" w:rsidRPr="00550A45" w:rsidRDefault="00550A45" w:rsidP="00E80B7D">
            <w:pPr>
              <w:keepNext/>
              <w:keepLines/>
              <w:shd w:val="clear" w:color="auto" w:fill="FBFBFB"/>
              <w:spacing w:after="0"/>
              <w:rPr>
                <w:rFonts w:ascii="Arial Narrow" w:hAnsi="Arial Narrow"/>
              </w:rPr>
            </w:pPr>
            <w:r w:rsidRPr="00550A45">
              <w:rPr>
                <w:rFonts w:ascii="Arial Narrow" w:hAnsi="Arial Narrow"/>
              </w:rPr>
              <w:t>(a)    dosimetry for a two phase three dimensional conformal treatment plan using CT image volume dataset(s) with at least one gross tumour volume, two planning target volumes and one organ at risk defined in the prescription; or</w:t>
            </w:r>
          </w:p>
          <w:p w14:paraId="44DF4D3B" w14:textId="77777777" w:rsidR="00550A45" w:rsidRPr="00550A45" w:rsidRDefault="00550A45" w:rsidP="00E80B7D">
            <w:pPr>
              <w:keepNext/>
              <w:keepLines/>
              <w:shd w:val="clear" w:color="auto" w:fill="FBFBFB"/>
              <w:spacing w:after="0"/>
              <w:rPr>
                <w:rFonts w:ascii="Arial Narrow" w:hAnsi="Arial Narrow"/>
              </w:rPr>
            </w:pPr>
            <w:r w:rsidRPr="00550A45">
              <w:rPr>
                <w:rFonts w:ascii="Arial Narrow" w:hAnsi="Arial Narrow"/>
              </w:rPr>
              <w:t>(b)    dosimetry for a one phase three dimensional conformal treatment plan using CT image volume datasets with at least one gross tumour volume, one planning target volume and two organ at risk dose goals or constraints defined in the prescription; or</w:t>
            </w:r>
          </w:p>
          <w:p w14:paraId="45A2B177" w14:textId="77777777" w:rsidR="00550A45" w:rsidRPr="00550A45" w:rsidRDefault="00550A45" w:rsidP="00E80B7D">
            <w:pPr>
              <w:keepNext/>
              <w:keepLines/>
              <w:shd w:val="clear" w:color="auto" w:fill="FBFBFB"/>
              <w:spacing w:after="0"/>
              <w:rPr>
                <w:rFonts w:ascii="Arial Narrow" w:hAnsi="Arial Narrow"/>
              </w:rPr>
            </w:pPr>
            <w:r w:rsidRPr="00550A45">
              <w:rPr>
                <w:rFonts w:ascii="Arial Narrow" w:hAnsi="Arial Narrow"/>
              </w:rPr>
              <w:t>(c)    image fusion with a secondary image (CT, MRI or PET) volume dataset used to define target and organ at risk volumes in conjunction with and as specified in dosimetry for three dimensional conformal radiotherapy of level 1 complexity.</w:t>
            </w:r>
          </w:p>
          <w:p w14:paraId="5CE3A156" w14:textId="0A6D71BD" w:rsidR="00550A45" w:rsidRPr="00550A45" w:rsidRDefault="00550A45" w:rsidP="00E80B7D">
            <w:pPr>
              <w:keepNext/>
              <w:keepLines/>
              <w:shd w:val="clear" w:color="auto" w:fill="FBFBFB"/>
              <w:spacing w:after="0"/>
              <w:rPr>
                <w:rFonts w:ascii="Arial Narrow" w:hAnsi="Arial Narrow"/>
              </w:rPr>
            </w:pPr>
            <w:r w:rsidRPr="00550A45">
              <w:rPr>
                <w:rFonts w:ascii="Arial Narrow" w:hAnsi="Arial Narrow"/>
              </w:rPr>
              <w:br/>
              <w:t>All gross tumour targets, clinical targets, planning targets and organs at risk as defined in the prescription must be rendered as volumes. The organ at risk must be nominated as planning dose goals or constraints and the prescription must specify the organs at risk as dose goals or constraints. Dose volume histograms must be generated, approved and recorded with the plan. A CT image volume dataset must be used for the relevant region to be planned and treated. The CT images must be suitable for the generation of quality digitally reconstructed radiographic images</w:t>
            </w:r>
          </w:p>
          <w:p w14:paraId="32A1E38C" w14:textId="5226B6D8" w:rsidR="00550A45" w:rsidRPr="00D37354" w:rsidRDefault="00550A45" w:rsidP="00623849">
            <w:pPr>
              <w:pStyle w:val="Tabletext0"/>
            </w:pPr>
            <w:r w:rsidRPr="00D37354">
              <w:rPr>
                <w:b/>
              </w:rPr>
              <w:t>Fee</w:t>
            </w:r>
            <w:r w:rsidRPr="00D37354">
              <w:t>: </w:t>
            </w:r>
            <w:r w:rsidRPr="00550A45">
              <w:t>$916.10 Benefit: 75% = $687.10 85% = $822.90</w:t>
            </w:r>
          </w:p>
        </w:tc>
      </w:tr>
      <w:tr w:rsidR="00550A45" w:rsidRPr="00D37354" w14:paraId="3FD8B9E6" w14:textId="77777777" w:rsidTr="006A46A2">
        <w:trPr>
          <w:cantSplit/>
        </w:trPr>
        <w:tc>
          <w:tcPr>
            <w:tcW w:w="5000" w:type="pct"/>
          </w:tcPr>
          <w:p w14:paraId="1ABF1031" w14:textId="294EF7D3" w:rsidR="00550A45" w:rsidRPr="00550A45" w:rsidRDefault="00550A45" w:rsidP="00550A45">
            <w:pPr>
              <w:spacing w:after="120"/>
              <w:rPr>
                <w:rFonts w:ascii="Arial Narrow" w:hAnsi="Arial Narrow"/>
                <w:lang w:val="en-US" w:eastAsia="ja-JP"/>
              </w:rPr>
            </w:pPr>
            <w:r w:rsidRPr="00550A45">
              <w:rPr>
                <w:rFonts w:ascii="Arial Narrow" w:hAnsi="Arial Narrow"/>
                <w:lang w:val="en-US" w:eastAsia="ja-JP"/>
              </w:rPr>
              <w:t>MBS item 15248</w:t>
            </w:r>
          </w:p>
          <w:p w14:paraId="009D7010" w14:textId="77777777" w:rsidR="00550A45" w:rsidRDefault="00550A45" w:rsidP="00623849">
            <w:pPr>
              <w:pStyle w:val="Tabletext0"/>
            </w:pPr>
            <w:r w:rsidRPr="00550A45">
              <w:t>RADIATION ONCOLOGY TREATMENT, using a dual photon energy linear accelerator with a minimum higher energy of at least 10MV photons, with electron facilities - each attendance at which treatment is given - 1 field - treatment delivered to primary site (prostate)</w:t>
            </w:r>
          </w:p>
          <w:p w14:paraId="697EC858" w14:textId="60C9B9A2" w:rsidR="00550A45" w:rsidRPr="00D37354" w:rsidRDefault="00550A45" w:rsidP="00623849">
            <w:pPr>
              <w:pStyle w:val="Tabletext0"/>
            </w:pPr>
            <w:r w:rsidRPr="00D37354">
              <w:rPr>
                <w:b/>
                <w:bCs/>
              </w:rPr>
              <w:t>Fee</w:t>
            </w:r>
            <w:r w:rsidRPr="00D37354">
              <w:rPr>
                <w:bCs/>
              </w:rPr>
              <w:t>:</w:t>
            </w:r>
            <w:r w:rsidRPr="00D37354">
              <w:t> </w:t>
            </w:r>
            <w:r w:rsidRPr="00550A45">
              <w:t>$63.05 Benefit: 75% = $47.30 85% = $53.60</w:t>
            </w:r>
          </w:p>
        </w:tc>
      </w:tr>
      <w:tr w:rsidR="00550A45" w:rsidRPr="00D37354" w14:paraId="45057D6B" w14:textId="77777777" w:rsidTr="006A46A2">
        <w:trPr>
          <w:cantSplit/>
        </w:trPr>
        <w:tc>
          <w:tcPr>
            <w:tcW w:w="5000" w:type="pct"/>
          </w:tcPr>
          <w:p w14:paraId="786095E7" w14:textId="54D6C26B" w:rsidR="00550A45" w:rsidRPr="00D37354" w:rsidRDefault="00550A45" w:rsidP="00550A45">
            <w:pPr>
              <w:spacing w:after="120"/>
            </w:pPr>
            <w:r w:rsidRPr="00550A45">
              <w:rPr>
                <w:rFonts w:ascii="Arial Narrow" w:hAnsi="Arial Narrow"/>
                <w:lang w:val="en-US" w:eastAsia="ja-JP"/>
              </w:rPr>
              <w:lastRenderedPageBreak/>
              <w:t>MBS item 15263</w:t>
            </w:r>
            <w:r>
              <w:rPr>
                <w:b/>
              </w:rPr>
              <w:tab/>
            </w:r>
          </w:p>
          <w:p w14:paraId="092E7D4A" w14:textId="77777777" w:rsidR="00550A45" w:rsidRDefault="00550A45" w:rsidP="00623849">
            <w:pPr>
              <w:pStyle w:val="Tabletext0"/>
            </w:pPr>
            <w:r w:rsidRPr="00550A45">
              <w:t xml:space="preserve">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(prostate) </w:t>
            </w:r>
          </w:p>
          <w:p w14:paraId="0621429F" w14:textId="0EBF1D61" w:rsidR="00550A45" w:rsidRPr="00D37354" w:rsidRDefault="00550A45" w:rsidP="00623849">
            <w:pPr>
              <w:pStyle w:val="Tabletext0"/>
            </w:pPr>
            <w:r w:rsidRPr="00D37354">
              <w:t xml:space="preserve">The </w:t>
            </w:r>
            <w:r w:rsidRPr="00D37354">
              <w:rPr>
                <w:b/>
              </w:rPr>
              <w:t>fee</w:t>
            </w:r>
            <w:r w:rsidRPr="00D37354">
              <w:t xml:space="preserve"> for item 15248 plus for each field in excess of 1, an amount of $</w:t>
            </w:r>
            <w:r>
              <w:t>40.1</w:t>
            </w:r>
            <w:r w:rsidRPr="00D37354">
              <w:t>5</w:t>
            </w:r>
          </w:p>
        </w:tc>
      </w:tr>
      <w:tr w:rsidR="00550A45" w:rsidRPr="00D37354" w14:paraId="24858FBC" w14:textId="77777777" w:rsidTr="006A46A2">
        <w:trPr>
          <w:cantSplit/>
        </w:trPr>
        <w:tc>
          <w:tcPr>
            <w:tcW w:w="5000" w:type="pct"/>
          </w:tcPr>
          <w:p w14:paraId="7EA9396D" w14:textId="3E491AA8" w:rsidR="00550A45" w:rsidRPr="00550A45" w:rsidRDefault="00550A45" w:rsidP="00550A45">
            <w:pPr>
              <w:spacing w:after="120"/>
              <w:rPr>
                <w:rFonts w:ascii="Arial Narrow" w:hAnsi="Arial Narrow"/>
                <w:lang w:val="en-US" w:eastAsia="ja-JP"/>
              </w:rPr>
            </w:pPr>
            <w:r w:rsidRPr="00550A45">
              <w:rPr>
                <w:rFonts w:ascii="Arial Narrow" w:hAnsi="Arial Narrow"/>
                <w:lang w:val="en-US" w:eastAsia="ja-JP"/>
              </w:rPr>
              <w:t>MBS item 37217</w:t>
            </w:r>
          </w:p>
          <w:p w14:paraId="04E7902A" w14:textId="77777777" w:rsidR="00550A45" w:rsidRPr="00550A45" w:rsidRDefault="00550A45" w:rsidP="00550A45">
            <w:pPr>
              <w:pStyle w:val="Tabletext0"/>
              <w:spacing w:after="0"/>
            </w:pPr>
            <w:r w:rsidRPr="00550A45">
              <w:t>Prostate, implantation of radio-opaque fiducial markers into the prostate gland or prostate surgical bed, under ultrasound guidance, being an item associated with a service to which item 55603 applies</w:t>
            </w:r>
          </w:p>
          <w:p w14:paraId="42923EC6" w14:textId="0D359166" w:rsidR="00550A45" w:rsidRPr="00550A45" w:rsidRDefault="00550A45" w:rsidP="00550A45">
            <w:pPr>
              <w:pStyle w:val="Tabletext0"/>
              <w:spacing w:after="0"/>
            </w:pPr>
            <w:r w:rsidRPr="00550A45">
              <w:t>Multiple Operation Rule</w:t>
            </w:r>
          </w:p>
          <w:p w14:paraId="78484ADE" w14:textId="46DAAD95" w:rsidR="00550A45" w:rsidRDefault="00550A45" w:rsidP="00550A45">
            <w:pPr>
              <w:pStyle w:val="Tabletext0"/>
            </w:pPr>
            <w:r w:rsidRPr="00550A45">
              <w:t>(Anaes.)</w:t>
            </w:r>
          </w:p>
          <w:p w14:paraId="1300E609" w14:textId="763CC008" w:rsidR="00550A45" w:rsidRPr="00D37354" w:rsidRDefault="00550A45" w:rsidP="00550A45">
            <w:pPr>
              <w:pStyle w:val="Tabletext0"/>
            </w:pPr>
            <w:r w:rsidRPr="00D37354">
              <w:rPr>
                <w:b/>
                <w:bCs/>
                <w:lang w:val="en-US"/>
              </w:rPr>
              <w:t>Fee</w:t>
            </w:r>
            <w:r w:rsidRPr="00D37354">
              <w:rPr>
                <w:bCs/>
                <w:lang w:val="en-US"/>
              </w:rPr>
              <w:t>:</w:t>
            </w:r>
            <w:r w:rsidRPr="00D37354">
              <w:rPr>
                <w:lang w:val="en-US"/>
              </w:rPr>
              <w:t> </w:t>
            </w:r>
            <w:r w:rsidRPr="00550A45">
              <w:t>$146.20 Benefit: 75% = $109.65 85% = $124.30</w:t>
            </w:r>
          </w:p>
        </w:tc>
      </w:tr>
      <w:tr w:rsidR="00550A45" w:rsidRPr="00D37354" w14:paraId="3A5D1A82" w14:textId="77777777" w:rsidTr="006A46A2">
        <w:trPr>
          <w:cantSplit/>
        </w:trPr>
        <w:tc>
          <w:tcPr>
            <w:tcW w:w="5000" w:type="pct"/>
          </w:tcPr>
          <w:p w14:paraId="32E7D612" w14:textId="5F816A64" w:rsidR="00550A45" w:rsidRPr="00550A45" w:rsidRDefault="00550A45" w:rsidP="00550A45">
            <w:pPr>
              <w:spacing w:after="120"/>
              <w:rPr>
                <w:rFonts w:ascii="Arial Narrow" w:hAnsi="Arial Narrow"/>
                <w:lang w:val="en-US" w:eastAsia="ja-JP"/>
              </w:rPr>
            </w:pPr>
            <w:r w:rsidRPr="00550A45">
              <w:rPr>
                <w:rFonts w:ascii="Arial Narrow" w:hAnsi="Arial Narrow"/>
                <w:lang w:val="en-US" w:eastAsia="ja-JP"/>
              </w:rPr>
              <w:t>MBS item 45566</w:t>
            </w:r>
          </w:p>
          <w:p w14:paraId="030C41EA" w14:textId="77777777" w:rsidR="00550A45" w:rsidRPr="00D37354" w:rsidRDefault="00550A45" w:rsidP="00623849">
            <w:pPr>
              <w:pStyle w:val="Tabletext0"/>
            </w:pPr>
            <w:r w:rsidRPr="00D37354">
              <w:t>TISSUE EXPANSION not being a service to which item 45539 or 45542 applies - insertion of tissue expansion unit and all attendances for subsequent expansion injections</w:t>
            </w:r>
          </w:p>
          <w:p w14:paraId="720A356B" w14:textId="77777777" w:rsidR="00550A45" w:rsidRPr="00550A45" w:rsidRDefault="00550A45" w:rsidP="00550A45">
            <w:pPr>
              <w:pStyle w:val="Tabletext0"/>
              <w:spacing w:after="0"/>
            </w:pPr>
            <w:r w:rsidRPr="00550A45">
              <w:t>Multiple Operation Rule</w:t>
            </w:r>
          </w:p>
          <w:p w14:paraId="0CB038D8" w14:textId="4E41FE20" w:rsidR="00550A45" w:rsidRDefault="00550A45" w:rsidP="00550A45">
            <w:pPr>
              <w:pStyle w:val="Tabletext0"/>
            </w:pPr>
            <w:r w:rsidRPr="00550A45">
              <w:t>(Anaes.)</w:t>
            </w:r>
          </w:p>
          <w:p w14:paraId="64CA2793" w14:textId="75AC82D9" w:rsidR="00550A45" w:rsidRPr="00D37354" w:rsidRDefault="00550A45" w:rsidP="00623849">
            <w:pPr>
              <w:pStyle w:val="Tabletext0"/>
            </w:pPr>
            <w:r w:rsidRPr="00D37354">
              <w:rPr>
                <w:b/>
              </w:rPr>
              <w:t>Fee</w:t>
            </w:r>
            <w:r w:rsidRPr="00D37354">
              <w:t>: </w:t>
            </w:r>
            <w:r w:rsidRPr="00550A45">
              <w:t>$1,132.50 Benefit: 75% = $849.40</w:t>
            </w:r>
          </w:p>
        </w:tc>
      </w:tr>
    </w:tbl>
    <w:p w14:paraId="02F46942" w14:textId="4034962C" w:rsidR="00CF782B" w:rsidRDefault="00CF782B" w:rsidP="006A46A2">
      <w:pPr>
        <w:pStyle w:val="Tablenotes0"/>
      </w:pPr>
      <w:bookmarkStart w:id="32" w:name="_Ref530558135"/>
      <w:bookmarkStart w:id="33" w:name="_Toc534800172"/>
      <w:bookmarkStart w:id="34" w:name="_Toc459513"/>
      <w:r>
        <w:t xml:space="preserve">Source: </w:t>
      </w:r>
      <w:hyperlink r:id="rId11" w:history="1">
        <w:r w:rsidRPr="00302AE7">
          <w:rPr>
            <w:rStyle w:val="Hyperlink"/>
          </w:rPr>
          <w:t>www.mbsonline.gov.au</w:t>
        </w:r>
      </w:hyperlink>
      <w:r>
        <w:t>, based on Contracted Assessment 1525</w:t>
      </w:r>
    </w:p>
    <w:p w14:paraId="34CC4A79" w14:textId="74D68D85" w:rsidR="00550A45" w:rsidRPr="00D37354" w:rsidRDefault="00550A45" w:rsidP="006A46A2">
      <w:pPr>
        <w:pStyle w:val="TableHeading"/>
      </w:pPr>
      <w:bookmarkStart w:id="35" w:name="_Ref122533126"/>
      <w:r w:rsidRPr="00D37354">
        <w:t xml:space="preserve">Table </w:t>
      </w:r>
      <w:fldSimple w:instr=" SEQ Table \* ARABIC ">
        <w:r w:rsidR="008E2523">
          <w:rPr>
            <w:noProof/>
          </w:rPr>
          <w:t>7</w:t>
        </w:r>
      </w:fldSimple>
      <w:bookmarkEnd w:id="32"/>
      <w:bookmarkEnd w:id="35"/>
      <w:r w:rsidRPr="00D37354">
        <w:rPr>
          <w:noProof/>
        </w:rPr>
        <w:tab/>
      </w:r>
      <w:r w:rsidRPr="00D37354">
        <w:t>Relevant MBS items for HDR</w:t>
      </w:r>
      <w:r>
        <w:t>-BT</w:t>
      </w:r>
      <w:bookmarkEnd w:id="33"/>
      <w:bookmarkEnd w:id="34"/>
    </w:p>
    <w:tbl>
      <w:tblPr>
        <w:tblStyle w:val="TableGrid1"/>
        <w:tblW w:w="5000" w:type="pct"/>
        <w:tblLook w:val="04A0" w:firstRow="1" w:lastRow="0" w:firstColumn="1" w:lastColumn="0" w:noHBand="0" w:noVBand="1"/>
        <w:tblCaption w:val="Table 12 Relevant MBS item for the comparator"/>
        <w:tblDescription w:val="This table describes the current item descriptor in the Medicare Benefits Schedule for the main comparator technology."/>
      </w:tblPr>
      <w:tblGrid>
        <w:gridCol w:w="9016"/>
      </w:tblGrid>
      <w:tr w:rsidR="00550A45" w:rsidRPr="00D37354" w14:paraId="0B3DF237" w14:textId="77777777" w:rsidTr="00CF782B">
        <w:trPr>
          <w:cnfStyle w:val="100000000000" w:firstRow="1" w:lastRow="0" w:firstColumn="0" w:lastColumn="0" w:oddVBand="0" w:evenVBand="0" w:oddHBand="0" w:evenHBand="0" w:firstRowFirstColumn="0" w:firstRowLastColumn="0" w:lastRowFirstColumn="0" w:lastRowLastColumn="0"/>
          <w:trHeight w:val="335"/>
        </w:trPr>
        <w:tc>
          <w:tcPr>
            <w:tcW w:w="5000" w:type="pct"/>
          </w:tcPr>
          <w:p w14:paraId="1C51DAA7" w14:textId="77777777" w:rsidR="00550A45" w:rsidRPr="00D37354" w:rsidRDefault="00550A45" w:rsidP="00E80B7D">
            <w:pPr>
              <w:pStyle w:val="Tabletext0"/>
              <w:keepNext/>
              <w:keepLines/>
            </w:pPr>
            <w:r w:rsidRPr="00D37354">
              <w:t>Category 3 – THERAPEUTIC PROCEDURES</w:t>
            </w:r>
          </w:p>
        </w:tc>
      </w:tr>
      <w:tr w:rsidR="00550A45" w:rsidRPr="00D37354" w14:paraId="0D9BEAAF" w14:textId="77777777" w:rsidTr="00CF782B">
        <w:tc>
          <w:tcPr>
            <w:tcW w:w="5000" w:type="pct"/>
          </w:tcPr>
          <w:p w14:paraId="6281EEA3" w14:textId="7EC65E7D" w:rsidR="00550A45" w:rsidRPr="00550A45" w:rsidRDefault="00550A45" w:rsidP="00E80B7D">
            <w:pPr>
              <w:keepNext/>
              <w:keepLines/>
              <w:spacing w:after="120"/>
              <w:rPr>
                <w:rFonts w:ascii="Arial Narrow" w:hAnsi="Arial Narrow"/>
                <w:lang w:val="en-US" w:eastAsia="ja-JP"/>
              </w:rPr>
            </w:pPr>
            <w:r w:rsidRPr="00550A45">
              <w:rPr>
                <w:rFonts w:ascii="Arial Narrow" w:hAnsi="Arial Narrow"/>
                <w:lang w:val="en-US" w:eastAsia="ja-JP"/>
              </w:rPr>
              <w:t>MBS item 37227</w:t>
            </w:r>
          </w:p>
          <w:p w14:paraId="7C12A27E" w14:textId="77777777" w:rsidR="00550A45" w:rsidRPr="00550A45" w:rsidRDefault="00550A45" w:rsidP="00E80B7D">
            <w:pPr>
              <w:pStyle w:val="Tabletext0"/>
              <w:keepNext/>
              <w:keepLines/>
            </w:pPr>
            <w:r w:rsidRPr="00550A45">
              <w:t>PROSTATE, transperineal insertion of catheters into, for high dose rate brachytherapy using ultrasound guidance including any associated cystoscopy. The procedure must be performed at an approved site in association with a radiation oncologist, and be associated with a service to which item 15331 or 15332 applies.</w:t>
            </w:r>
          </w:p>
          <w:p w14:paraId="71F0C6EA" w14:textId="4B0330D0" w:rsidR="00550A45" w:rsidRPr="00550A45" w:rsidRDefault="00550A45" w:rsidP="00E80B7D">
            <w:pPr>
              <w:pStyle w:val="Tabletext0"/>
              <w:keepNext/>
              <w:keepLines/>
            </w:pPr>
            <w:r w:rsidRPr="00550A45">
              <w:t>Multiple Operation Rule</w:t>
            </w:r>
          </w:p>
          <w:p w14:paraId="5D6225AD" w14:textId="29949636" w:rsidR="00550A45" w:rsidRDefault="00550A45" w:rsidP="00E80B7D">
            <w:pPr>
              <w:pStyle w:val="Tabletext0"/>
              <w:keepNext/>
              <w:keepLines/>
            </w:pPr>
            <w:r w:rsidRPr="00550A45">
              <w:t xml:space="preserve">(Anaes.) </w:t>
            </w:r>
            <w:r w:rsidRPr="00D37354">
              <w:t>(Anaes.)</w:t>
            </w:r>
          </w:p>
          <w:p w14:paraId="5FE920CB" w14:textId="1FDE0020" w:rsidR="00550A45" w:rsidRPr="00D37354" w:rsidRDefault="00550A45" w:rsidP="00E80B7D">
            <w:pPr>
              <w:pStyle w:val="Tabletext0"/>
              <w:keepNext/>
              <w:keepLines/>
            </w:pPr>
            <w:r w:rsidRPr="00550A45">
              <w:rPr>
                <w:b/>
                <w:bCs/>
              </w:rPr>
              <w:t>Fee:</w:t>
            </w:r>
            <w:r w:rsidRPr="00550A45">
              <w:t> $598.15 </w:t>
            </w:r>
            <w:r w:rsidRPr="002A7F8F">
              <w:t>Benefit: 75</w:t>
            </w:r>
            <w:r w:rsidRPr="00550A45">
              <w:t>% = $448.65 85% = $508.45</w:t>
            </w:r>
          </w:p>
        </w:tc>
      </w:tr>
      <w:tr w:rsidR="00550A45" w:rsidRPr="00D37354" w14:paraId="46734D40" w14:textId="77777777" w:rsidTr="00CF782B">
        <w:tc>
          <w:tcPr>
            <w:tcW w:w="5000" w:type="pct"/>
          </w:tcPr>
          <w:p w14:paraId="3186F45F" w14:textId="2E2F5ABF" w:rsidR="00550A45" w:rsidRPr="002A7F8F" w:rsidRDefault="00550A45" w:rsidP="002A7F8F">
            <w:pPr>
              <w:spacing w:after="120"/>
              <w:rPr>
                <w:rFonts w:ascii="Arial Narrow" w:hAnsi="Arial Narrow"/>
                <w:lang w:val="en-US" w:eastAsia="ja-JP"/>
              </w:rPr>
            </w:pPr>
            <w:r w:rsidRPr="002A7F8F">
              <w:rPr>
                <w:rFonts w:ascii="Arial Narrow" w:hAnsi="Arial Narrow"/>
                <w:lang w:val="en-US" w:eastAsia="ja-JP"/>
              </w:rPr>
              <w:t>MBS item 15331</w:t>
            </w:r>
          </w:p>
          <w:p w14:paraId="2159AE37" w14:textId="77777777" w:rsidR="00550A45" w:rsidRPr="009A361F" w:rsidRDefault="00550A45" w:rsidP="00623849">
            <w:pPr>
              <w:pStyle w:val="Tabletext0"/>
            </w:pPr>
            <w:r w:rsidRPr="009A361F">
              <w:t>IMPLANTATION OF A SEALED RADIOACTIVE SOURCE (having a half-life of less than 115 days including iodine, gold, iridium or tantalum) to a site (including the tongue, mouth, salivary gland, axilla, subcutaneous sites), where the volume treated involves multiple planes but does not require surgical exposure and using manual afterloading techniques</w:t>
            </w:r>
          </w:p>
          <w:p w14:paraId="4C242684" w14:textId="21E681A1" w:rsidR="002A7F8F" w:rsidRDefault="00550A45" w:rsidP="00623849">
            <w:pPr>
              <w:pStyle w:val="Tabletext0"/>
              <w:rPr>
                <w:shd w:val="clear" w:color="auto" w:fill="FBFBFB"/>
              </w:rPr>
            </w:pPr>
            <w:r w:rsidRPr="009A361F">
              <w:rPr>
                <w:shd w:val="clear" w:color="auto" w:fill="FBFBFB"/>
              </w:rPr>
              <w:t>(Anaes.)</w:t>
            </w:r>
          </w:p>
          <w:p w14:paraId="087D3552" w14:textId="3D644E7F" w:rsidR="00550A45" w:rsidRPr="009A361F" w:rsidRDefault="00550A45" w:rsidP="00623849">
            <w:pPr>
              <w:pStyle w:val="Tabletext0"/>
            </w:pPr>
            <w:r w:rsidRPr="009A361F">
              <w:rPr>
                <w:b/>
                <w:bCs/>
              </w:rPr>
              <w:t>Fee:</w:t>
            </w:r>
            <w:r w:rsidRPr="009A361F">
              <w:t> </w:t>
            </w:r>
            <w:r w:rsidR="002A7F8F" w:rsidRPr="002A7F8F">
              <w:t>$788.40 Benefit: 75% = $591.30 85% = $695.20</w:t>
            </w:r>
          </w:p>
        </w:tc>
      </w:tr>
      <w:tr w:rsidR="00550A45" w:rsidRPr="00D37354" w14:paraId="7A9FC202" w14:textId="77777777" w:rsidTr="00CF782B">
        <w:tc>
          <w:tcPr>
            <w:tcW w:w="5000" w:type="pct"/>
          </w:tcPr>
          <w:p w14:paraId="50676E82" w14:textId="58775B9C" w:rsidR="00550A45" w:rsidRPr="002A7F8F" w:rsidRDefault="00550A45" w:rsidP="002A7F8F">
            <w:pPr>
              <w:spacing w:after="120"/>
              <w:rPr>
                <w:rFonts w:ascii="Arial Narrow" w:hAnsi="Arial Narrow"/>
                <w:lang w:val="en-US" w:eastAsia="ja-JP"/>
              </w:rPr>
            </w:pPr>
            <w:r w:rsidRPr="002A7F8F">
              <w:rPr>
                <w:rFonts w:ascii="Arial Narrow" w:hAnsi="Arial Narrow"/>
                <w:lang w:val="en-US" w:eastAsia="ja-JP"/>
              </w:rPr>
              <w:t>MBS item 15332</w:t>
            </w:r>
          </w:p>
          <w:p w14:paraId="2B075E66" w14:textId="77777777" w:rsidR="00550A45" w:rsidRPr="00D37354" w:rsidRDefault="00550A45" w:rsidP="00623849">
            <w:pPr>
              <w:pStyle w:val="Tabletext0"/>
            </w:pPr>
            <w:r w:rsidRPr="00D37354">
              <w:t>MPLANTATION OF A SEALED RADIOACTIVE SOURCE (having a half-life of less than 115 days including iodine, gold, iridium or tantalum) to a site (including the tongue, mouth, salivary gland, axilla, subcutaneous sites), where the volume treated involves multiple planes but does not require surgical exposure and using automatic afterloading techniques</w:t>
            </w:r>
          </w:p>
          <w:p w14:paraId="54BD3B7B" w14:textId="02631E9A" w:rsidR="00550A45" w:rsidRPr="00D37354" w:rsidRDefault="00550A45" w:rsidP="00623849">
            <w:pPr>
              <w:pStyle w:val="Tabletext0"/>
            </w:pPr>
            <w:r w:rsidRPr="00D37354">
              <w:t>(Anaes.) </w:t>
            </w:r>
            <w:r w:rsidRPr="00D37354">
              <w:br/>
            </w:r>
            <w:r w:rsidR="002A7F8F" w:rsidRPr="009A361F">
              <w:rPr>
                <w:b/>
                <w:bCs/>
              </w:rPr>
              <w:t>Fee:</w:t>
            </w:r>
            <w:r w:rsidR="002A7F8F" w:rsidRPr="009A361F">
              <w:t> </w:t>
            </w:r>
            <w:r w:rsidR="002A7F8F" w:rsidRPr="002A7F8F">
              <w:t>$788.40 Benefit: 75% = $591.30 85% = $695.20</w:t>
            </w:r>
          </w:p>
        </w:tc>
      </w:tr>
    </w:tbl>
    <w:p w14:paraId="4C6FACE2" w14:textId="2EF9CCDA" w:rsidR="00CF782B" w:rsidRDefault="00CF782B" w:rsidP="00CF782B">
      <w:pPr>
        <w:pStyle w:val="Tablenotes"/>
      </w:pPr>
      <w:r>
        <w:t xml:space="preserve">Source: </w:t>
      </w:r>
      <w:hyperlink r:id="rId12" w:history="1">
        <w:r w:rsidRPr="00302AE7">
          <w:rPr>
            <w:rStyle w:val="Hyperlink"/>
          </w:rPr>
          <w:t>www.mbsonline.gov.au</w:t>
        </w:r>
      </w:hyperlink>
      <w:r>
        <w:t>, based on Contracted Assessment 1525</w:t>
      </w:r>
    </w:p>
    <w:p w14:paraId="0ED03942" w14:textId="65413D20" w:rsidR="00E47FAB" w:rsidRPr="00CE28E3" w:rsidRDefault="007F6EFD" w:rsidP="007F6EFD">
      <w:pPr>
        <w:pStyle w:val="Caption"/>
      </w:pPr>
      <w:bookmarkStart w:id="36" w:name="_Ref122533746"/>
      <w:r>
        <w:lastRenderedPageBreak/>
        <w:t xml:space="preserve">Table </w:t>
      </w:r>
      <w:fldSimple w:instr=" SEQ Table \* ARABIC ">
        <w:r>
          <w:rPr>
            <w:noProof/>
          </w:rPr>
          <w:t>8</w:t>
        </w:r>
      </w:fldSimple>
      <w:bookmarkEnd w:id="36"/>
      <w:r>
        <w:tab/>
      </w:r>
      <w:r w:rsidR="008E2523" w:rsidRPr="00CE28E3">
        <w:rPr>
          <w:rFonts w:cs="Arial"/>
        </w:rPr>
        <w:t xml:space="preserve">MBS item </w:t>
      </w:r>
      <w:r w:rsidR="008E2523">
        <w:rPr>
          <w:rFonts w:cs="Arial"/>
        </w:rPr>
        <w:t>37210, radical prostatectomy</w:t>
      </w:r>
      <w:r w:rsidR="008E2523" w:rsidDel="008E2523">
        <w:t xml:space="preserve"> </w:t>
      </w:r>
      <w:bookmarkEnd w:id="30"/>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47FAB" w:rsidRPr="00CE28E3" w14:paraId="2FD029FE" w14:textId="77777777" w:rsidTr="006A46A2">
        <w:trPr>
          <w:cnfStyle w:val="100000000000" w:firstRow="1" w:lastRow="0" w:firstColumn="0" w:lastColumn="0" w:oddVBand="0" w:evenVBand="0" w:oddHBand="0" w:evenHBand="0" w:firstRowFirstColumn="0" w:firstRowLastColumn="0" w:lastRowFirstColumn="0" w:lastRowLastColumn="0"/>
          <w:cantSplit/>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65314FD2" w14:textId="595BF021" w:rsidR="00E47FAB" w:rsidRPr="00CE28E3" w:rsidRDefault="00E47FAB" w:rsidP="00623849">
            <w:pPr>
              <w:pStyle w:val="TableText"/>
              <w:rPr>
                <w:sz w:val="24"/>
              </w:rPr>
            </w:pPr>
            <w:r w:rsidRPr="00CE28E3">
              <w:t xml:space="preserve">Category </w:t>
            </w:r>
            <w:r>
              <w:t>3</w:t>
            </w:r>
            <w:r w:rsidRPr="00CE28E3">
              <w:t xml:space="preserve"> – </w:t>
            </w:r>
            <w:r>
              <w:t>THERAPEUTIC PROCEDURES</w:t>
            </w:r>
          </w:p>
        </w:tc>
      </w:tr>
      <w:tr w:rsidR="00E47FAB" w:rsidRPr="00CE28E3" w14:paraId="66AB8686" w14:textId="77777777" w:rsidTr="006A46A2">
        <w:trPr>
          <w:cantSplit/>
        </w:trPr>
        <w:tc>
          <w:tcPr>
            <w:tcW w:w="5000" w:type="pct"/>
            <w:tcBorders>
              <w:top w:val="single" w:sz="4" w:space="0" w:color="000000"/>
              <w:left w:val="single" w:sz="4" w:space="0" w:color="000000"/>
              <w:bottom w:val="single" w:sz="4" w:space="0" w:color="000000"/>
              <w:right w:val="single" w:sz="4" w:space="0" w:color="000000"/>
            </w:tcBorders>
            <w:hideMark/>
          </w:tcPr>
          <w:p w14:paraId="5FE7D508" w14:textId="714597D5" w:rsidR="00E47FAB" w:rsidRPr="00170D5B" w:rsidRDefault="00E47FAB" w:rsidP="00623849">
            <w:pPr>
              <w:spacing w:after="120"/>
              <w:rPr>
                <w:rFonts w:ascii="Arial Narrow" w:hAnsi="Arial Narrow"/>
                <w:lang w:val="en-US" w:eastAsia="ja-JP"/>
              </w:rPr>
            </w:pPr>
            <w:r w:rsidRPr="00170D5B">
              <w:rPr>
                <w:rFonts w:ascii="Arial Narrow" w:hAnsi="Arial Narrow"/>
                <w:lang w:val="en-US" w:eastAsia="ja-JP"/>
              </w:rPr>
              <w:t xml:space="preserve">MBS item </w:t>
            </w:r>
            <w:r>
              <w:rPr>
                <w:rFonts w:ascii="Arial Narrow" w:hAnsi="Arial Narrow"/>
                <w:lang w:val="en-US" w:eastAsia="ja-JP"/>
              </w:rPr>
              <w:t>37210</w:t>
            </w:r>
          </w:p>
          <w:p w14:paraId="574334E0" w14:textId="77777777" w:rsidR="00E47FAB" w:rsidRPr="00E47FAB" w:rsidRDefault="00E47FAB" w:rsidP="00E47FAB">
            <w:pPr>
              <w:spacing w:after="120"/>
              <w:rPr>
                <w:rFonts w:ascii="Arial Narrow" w:hAnsi="Arial Narrow"/>
                <w:lang w:eastAsia="ja-JP"/>
              </w:rPr>
            </w:pPr>
            <w:r w:rsidRPr="00E47FAB">
              <w:rPr>
                <w:rFonts w:ascii="Arial Narrow" w:hAnsi="Arial Narrow"/>
                <w:lang w:eastAsia="ja-JP"/>
              </w:rPr>
              <w:t>Prostatectomy, radical, involving total excision of the prostate, sparing of nerves around the prostate (where clinically indicated) with or without bladder neck reconstruction, other than a service associated with a service to which item 30390, 30627, 35551, 36502 or 37375 applies</w:t>
            </w:r>
          </w:p>
          <w:p w14:paraId="48506219" w14:textId="34AC2E18" w:rsidR="00E47FAB" w:rsidRPr="00E47FAB" w:rsidRDefault="00E47FAB" w:rsidP="00E47FAB">
            <w:pPr>
              <w:spacing w:after="120"/>
              <w:rPr>
                <w:rFonts w:ascii="Arial Narrow" w:hAnsi="Arial Narrow"/>
                <w:lang w:eastAsia="ja-JP"/>
              </w:rPr>
            </w:pPr>
            <w:r w:rsidRPr="00E47FAB">
              <w:rPr>
                <w:rFonts w:ascii="Arial Narrow" w:hAnsi="Arial Narrow"/>
                <w:lang w:eastAsia="ja-JP"/>
              </w:rPr>
              <w:t>Multiple Operation Rule</w:t>
            </w:r>
          </w:p>
          <w:p w14:paraId="64F6AF2F" w14:textId="5A3E7829" w:rsidR="00E47FAB" w:rsidRPr="00170D5B" w:rsidRDefault="00E47FAB" w:rsidP="00E47FAB">
            <w:pPr>
              <w:spacing w:after="120"/>
              <w:rPr>
                <w:rFonts w:ascii="Arial Narrow" w:hAnsi="Arial Narrow"/>
                <w:lang w:val="en-US" w:eastAsia="ja-JP"/>
              </w:rPr>
            </w:pPr>
            <w:r w:rsidRPr="00E47FAB">
              <w:rPr>
                <w:rFonts w:ascii="Arial Narrow" w:hAnsi="Arial Narrow"/>
                <w:lang w:eastAsia="ja-JP"/>
              </w:rPr>
              <w:t>(Anaes.) (Assist.)</w:t>
            </w:r>
          </w:p>
        </w:tc>
      </w:tr>
      <w:tr w:rsidR="00E47FAB" w:rsidRPr="005D749D" w14:paraId="13361E48" w14:textId="77777777" w:rsidTr="006A46A2">
        <w:trPr>
          <w:cantSplit/>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5D54A476" w14:textId="2FED5E0F" w:rsidR="00E47FAB" w:rsidRPr="005D749D" w:rsidRDefault="00E47FAB" w:rsidP="00623849">
            <w:pPr>
              <w:pStyle w:val="TableText"/>
            </w:pPr>
            <w:r w:rsidRPr="005D749D">
              <w:t xml:space="preserve">Fee: </w:t>
            </w:r>
            <w:r w:rsidRPr="00E47FAB">
              <w:rPr>
                <w:lang w:eastAsia="ja-JP"/>
              </w:rPr>
              <w:t>1,684.55 Benefit: 75% = $1,263.45</w:t>
            </w:r>
          </w:p>
        </w:tc>
      </w:tr>
    </w:tbl>
    <w:p w14:paraId="26F17C34" w14:textId="3C4B4744" w:rsidR="00CF782B" w:rsidRDefault="00CF782B" w:rsidP="00CF782B">
      <w:pPr>
        <w:pStyle w:val="Tablenotes"/>
      </w:pPr>
      <w:r>
        <w:t xml:space="preserve">Source: </w:t>
      </w:r>
      <w:hyperlink r:id="rId13" w:history="1">
        <w:r w:rsidRPr="00302AE7">
          <w:rPr>
            <w:rStyle w:val="Hyperlink"/>
          </w:rPr>
          <w:t>www.mbsonline.gov.au</w:t>
        </w:r>
      </w:hyperlink>
      <w:r>
        <w:t>, based on Contracted Assessment 1525</w:t>
      </w:r>
    </w:p>
    <w:p w14:paraId="7B04C2F3" w14:textId="418BA040" w:rsidR="002203AF" w:rsidRPr="002203AF" w:rsidRDefault="002203AF" w:rsidP="00E47FAB">
      <w:r w:rsidRPr="002203AF">
        <w:t xml:space="preserve">The ADAR </w:t>
      </w:r>
      <w:r w:rsidR="00295B39">
        <w:t xml:space="preserve">may have </w:t>
      </w:r>
      <w:r w:rsidR="00380F8D">
        <w:t xml:space="preserve">appropriately </w:t>
      </w:r>
      <w:r w:rsidR="00B77341">
        <w:t>justified</w:t>
      </w:r>
      <w:r w:rsidRPr="002203AF">
        <w:t xml:space="preserve"> that radical prostatectomy was not </w:t>
      </w:r>
      <w:r w:rsidR="00380F8D">
        <w:t>a relevant</w:t>
      </w:r>
      <w:r w:rsidRPr="002203AF">
        <w:t xml:space="preserve"> comparator to EBRT + LDR-BT boost because the decision to undergo either surgical or radiation treatment occurs in a previous step within the clinical management algorithm (</w:t>
      </w:r>
      <w:r w:rsidRPr="002203AF">
        <w:fldChar w:fldCharType="begin"/>
      </w:r>
      <w:r w:rsidRPr="002203AF">
        <w:instrText xml:space="preserve"> REF _Ref114480162 \h  \* MERGEFORMAT </w:instrText>
      </w:r>
      <w:r w:rsidRPr="002203AF">
        <w:fldChar w:fldCharType="separate"/>
      </w:r>
      <w:r w:rsidRPr="002203AF">
        <w:t xml:space="preserve">Figure </w:t>
      </w:r>
      <w:r w:rsidRPr="002203AF">
        <w:rPr>
          <w:noProof/>
        </w:rPr>
        <w:t>1</w:t>
      </w:r>
      <w:r w:rsidRPr="002203AF">
        <w:fldChar w:fldCharType="end"/>
      </w:r>
      <w:r w:rsidRPr="002203AF">
        <w:t>).</w:t>
      </w:r>
      <w:r w:rsidRPr="00E47FAB">
        <w:rPr>
          <w:lang w:val="en-US"/>
        </w:rPr>
        <w:t xml:space="preserve"> The ADAR argued that patient, tumour, treatment, and logistical factors will determine the option for either surgical or radiation therapy treatment for individual patients, and this is usually a personalised decision made in conjunction with the patient’s treating physician</w:t>
      </w:r>
      <w:r w:rsidRPr="002203AF">
        <w:rPr>
          <w:vertAlign w:val="superscript"/>
          <w:lang w:val="en-US"/>
        </w:rPr>
        <w:footnoteReference w:id="8"/>
      </w:r>
      <w:r w:rsidRPr="00E47FAB">
        <w:rPr>
          <w:lang w:val="en-US"/>
        </w:rPr>
        <w:t>. Many patients are not suitable for surgery or will choose a non-surgical option based upon their individual circumstances.</w:t>
      </w:r>
    </w:p>
    <w:p w14:paraId="31E18C27" w14:textId="77777777" w:rsidR="002203AF" w:rsidRDefault="002203AF" w:rsidP="002203AF">
      <w:r>
        <w:rPr>
          <w:noProof/>
        </w:rPr>
        <w:lastRenderedPageBreak/>
        <w:drawing>
          <wp:inline distT="0" distB="0" distL="0" distR="0" wp14:anchorId="5763AF2B" wp14:editId="7C61E9EA">
            <wp:extent cx="5487035" cy="5730875"/>
            <wp:effectExtent l="0" t="0" r="0" b="3175"/>
            <wp:docPr id="4" name="Picture 4" descr="Current and proposed (shaded) clinical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rrent and proposed (shaded) clinical algorith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7035" cy="5730875"/>
                    </a:xfrm>
                    <a:prstGeom prst="rect">
                      <a:avLst/>
                    </a:prstGeom>
                    <a:noFill/>
                  </pic:spPr>
                </pic:pic>
              </a:graphicData>
            </a:graphic>
          </wp:inline>
        </w:drawing>
      </w:r>
    </w:p>
    <w:p w14:paraId="3A8A42B4" w14:textId="4CBBB1FF" w:rsidR="002203AF" w:rsidRDefault="002203AF" w:rsidP="002203AF">
      <w:pPr>
        <w:pStyle w:val="Caption"/>
      </w:pPr>
      <w:bookmarkStart w:id="37" w:name="_Ref114480162"/>
      <w:r>
        <w:t xml:space="preserve">Figure </w:t>
      </w:r>
      <w:r>
        <w:fldChar w:fldCharType="begin"/>
      </w:r>
      <w:r>
        <w:instrText>SEQ Figure \* ARABIC</w:instrText>
      </w:r>
      <w:r>
        <w:fldChar w:fldCharType="separate"/>
      </w:r>
      <w:r>
        <w:rPr>
          <w:noProof/>
        </w:rPr>
        <w:t>1</w:t>
      </w:r>
      <w:r>
        <w:fldChar w:fldCharType="end"/>
      </w:r>
      <w:bookmarkEnd w:id="37"/>
      <w:r>
        <w:rPr>
          <w:noProof/>
        </w:rPr>
        <w:tab/>
      </w:r>
      <w:r>
        <w:t>Current and proposed (shaded) clinical algorithm</w:t>
      </w:r>
    </w:p>
    <w:p w14:paraId="2E985653" w14:textId="7CF288C2" w:rsidR="00CF782B" w:rsidRPr="00CF782B" w:rsidRDefault="00CF782B" w:rsidP="00CF782B">
      <w:pPr>
        <w:pStyle w:val="Tablenotes"/>
      </w:pPr>
      <w:r>
        <w:t>Source: Figure 1 of the ADAR</w:t>
      </w:r>
    </w:p>
    <w:p w14:paraId="47BC3A84" w14:textId="1D2C71C8" w:rsidR="00772829" w:rsidRPr="00CE28E3" w:rsidRDefault="00F04024" w:rsidP="002A18BE">
      <w:pPr>
        <w:pStyle w:val="Heading2"/>
        <w:numPr>
          <w:ilvl w:val="0"/>
          <w:numId w:val="0"/>
        </w:numPr>
      </w:pPr>
      <w:bookmarkStart w:id="38" w:name="_Toc69491421"/>
      <w:r>
        <w:t>8</w:t>
      </w:r>
      <w:r w:rsidR="00C36633">
        <w:t>.</w:t>
      </w:r>
      <w:r w:rsidR="00C36633">
        <w:tab/>
      </w:r>
      <w:r w:rsidR="00772829" w:rsidRPr="00CE28E3">
        <w:t xml:space="preserve">Summary of public consultation </w:t>
      </w:r>
      <w:r w:rsidR="0052575D">
        <w:t>input</w:t>
      </w:r>
      <w:bookmarkEnd w:id="38"/>
    </w:p>
    <w:p w14:paraId="507A6D80" w14:textId="59BDC1B9" w:rsidR="00772829" w:rsidRDefault="00461548" w:rsidP="00FB2FF1">
      <w:r>
        <w:t>P</w:t>
      </w:r>
      <w:r w:rsidR="00B4335E">
        <w:t>lease refer to</w:t>
      </w:r>
      <w:r w:rsidR="00E6010A">
        <w:t xml:space="preserve"> p4 of</w:t>
      </w:r>
      <w:r w:rsidR="00B4335E">
        <w:t xml:space="preserve"> </w:t>
      </w:r>
      <w:hyperlink r:id="rId15" w:history="1">
        <w:r w:rsidR="00E6010A" w:rsidRPr="00AC501E">
          <w:rPr>
            <w:rStyle w:val="Hyperlink"/>
          </w:rPr>
          <w:t>1525 PSD</w:t>
        </w:r>
      </w:hyperlink>
      <w:r w:rsidR="00E6010A">
        <w:t xml:space="preserve"> for</w:t>
      </w:r>
      <w:r w:rsidR="00AC501E">
        <w:t xml:space="preserve"> the</w:t>
      </w:r>
      <w:r w:rsidR="00E6010A">
        <w:t xml:space="preserve"> summary of </w:t>
      </w:r>
      <w:r w:rsidR="004935AE">
        <w:t xml:space="preserve">public </w:t>
      </w:r>
      <w:r w:rsidR="00E6010A">
        <w:t>consultation feedback which</w:t>
      </w:r>
      <w:r w:rsidR="004C261B">
        <w:t xml:space="preserve"> was</w:t>
      </w:r>
      <w:r w:rsidR="00E6010A">
        <w:t xml:space="preserve"> support</w:t>
      </w:r>
      <w:r w:rsidR="004C261B">
        <w:t xml:space="preserve">ive </w:t>
      </w:r>
      <w:r w:rsidR="00AB5BBD">
        <w:t>of the previous application.</w:t>
      </w:r>
    </w:p>
    <w:p w14:paraId="529D1C06" w14:textId="77777777" w:rsidR="00461548" w:rsidRDefault="00461548" w:rsidP="00461548">
      <w:r>
        <w:t>Consultation feedback for 1525.1 was received from two medical organisations but no consumers or consumer organisations:</w:t>
      </w:r>
    </w:p>
    <w:p w14:paraId="7048E75F" w14:textId="77777777" w:rsidR="00461548" w:rsidRDefault="00461548" w:rsidP="00461548">
      <w:pPr>
        <w:pStyle w:val="ListParagraph"/>
        <w:numPr>
          <w:ilvl w:val="0"/>
          <w:numId w:val="29"/>
        </w:numPr>
        <w:spacing w:before="0" w:after="200" w:line="276" w:lineRule="auto"/>
      </w:pPr>
      <w:r>
        <w:t>The Royal Australian and New Zealand College of Radiologists (RANZCR)</w:t>
      </w:r>
    </w:p>
    <w:p w14:paraId="37E11582" w14:textId="77777777" w:rsidR="00461548" w:rsidRDefault="00461548" w:rsidP="00461548">
      <w:pPr>
        <w:pStyle w:val="ListParagraph"/>
        <w:numPr>
          <w:ilvl w:val="0"/>
          <w:numId w:val="29"/>
        </w:numPr>
        <w:spacing w:before="0" w:after="200" w:line="276" w:lineRule="auto"/>
      </w:pPr>
      <w:r>
        <w:t>The Urological Society of Australia and New Zealand (USANZ)</w:t>
      </w:r>
    </w:p>
    <w:p w14:paraId="5102E894" w14:textId="77777777" w:rsidR="00461548" w:rsidRDefault="00461548" w:rsidP="00461548">
      <w:r>
        <w:t>Both organisations were broadly supportive of having alternative treatment options available to patients in this population.</w:t>
      </w:r>
    </w:p>
    <w:p w14:paraId="77A15320" w14:textId="7F60F5D2" w:rsidR="00461548" w:rsidRDefault="00461548" w:rsidP="00461548">
      <w:r>
        <w:lastRenderedPageBreak/>
        <w:t>However, USANZ did not consider the evidence demonstrated that LDR brachytherapy was superior to current standard therapy and</w:t>
      </w:r>
      <w:r w:rsidR="009D3F31">
        <w:t>,</w:t>
      </w:r>
      <w:r>
        <w:t xml:space="preserve"> as such, claims of superiority compared to standard care may be misleading.</w:t>
      </w:r>
    </w:p>
    <w:p w14:paraId="02FED8E8" w14:textId="77777777" w:rsidR="00461548" w:rsidRDefault="00461548" w:rsidP="00461548">
      <w:r>
        <w:t>RANZCR considered that the use of LDR brachytherapy should be confined to unit of sufficient skills and expertise in order to ensure the safe implementation of the service.</w:t>
      </w:r>
    </w:p>
    <w:p w14:paraId="133425DC" w14:textId="5466FDE9" w:rsidR="00461548" w:rsidRPr="003251C2" w:rsidRDefault="00461548" w:rsidP="00FB2FF1">
      <w:r>
        <w:t>Both organisations suggested that LDR brachytherapy could be considered as an option for patients undergoing dose escalation for intermediate and high-risk prostate cancer.</w:t>
      </w:r>
    </w:p>
    <w:p w14:paraId="03C7A1F1" w14:textId="54EBBB88" w:rsidR="00772829" w:rsidRPr="00CE28E3" w:rsidRDefault="00F04024" w:rsidP="002A18BE">
      <w:pPr>
        <w:pStyle w:val="Heading2"/>
        <w:numPr>
          <w:ilvl w:val="0"/>
          <w:numId w:val="0"/>
        </w:numPr>
      </w:pPr>
      <w:bookmarkStart w:id="39" w:name="_Toc69491422"/>
      <w:r>
        <w:t>9</w:t>
      </w:r>
      <w:r w:rsidR="00C36633">
        <w:t>.</w:t>
      </w:r>
      <w:r w:rsidR="00C36633">
        <w:tab/>
      </w:r>
      <w:r w:rsidR="00772829" w:rsidRPr="00CE28E3">
        <w:t>Characteristics of the evidence base</w:t>
      </w:r>
      <w:bookmarkEnd w:id="39"/>
    </w:p>
    <w:p w14:paraId="1ED7ED22" w14:textId="77777777" w:rsidR="004C68C3" w:rsidRDefault="004C68C3" w:rsidP="004C68C3">
      <w:bookmarkStart w:id="40" w:name="_Ref69725651"/>
      <w:r>
        <w:t>The ADAR included two RCTs and eleven observational studies in the evidence base. However, after reviewing the included studies against the Ratified PICO criteria, only one RCT (</w:t>
      </w:r>
      <w:r w:rsidR="005728AA">
        <w:t xml:space="preserve">ASCENDE-RT, </w:t>
      </w:r>
      <w:r>
        <w:t xml:space="preserve">with results reported across </w:t>
      </w:r>
      <w:r w:rsidR="003E4BD8" w:rsidRPr="003E4BD8">
        <w:t>f</w:t>
      </w:r>
      <w:r w:rsidRPr="003E4BD8">
        <w:t>our papers</w:t>
      </w:r>
      <w:r>
        <w:t xml:space="preserve">, already included in </w:t>
      </w:r>
      <w:r w:rsidR="00657CBA">
        <w:t>the previous submission</w:t>
      </w:r>
      <w:r w:rsidR="009C0339">
        <w:t>)</w:t>
      </w:r>
      <w:r>
        <w:t xml:space="preserve">, and four observational studies were </w:t>
      </w:r>
      <w:r w:rsidR="00F13B6B">
        <w:t xml:space="preserve">considered </w:t>
      </w:r>
      <w:r>
        <w:t xml:space="preserve">relevant to the assessment. </w:t>
      </w:r>
      <w:r w:rsidR="00A631E4">
        <w:t xml:space="preserve">Most studies were not relevant as they lacked </w:t>
      </w:r>
      <w:r w:rsidR="0007626F">
        <w:t>an eligible</w:t>
      </w:r>
      <w:r w:rsidR="00A631E4">
        <w:t xml:space="preserve"> comparator (</w:t>
      </w:r>
      <w:r w:rsidR="00295B39">
        <w:t xml:space="preserve">this includes </w:t>
      </w:r>
      <w:r w:rsidR="00A631E4">
        <w:t>Tanaka et al. 2019</w:t>
      </w:r>
      <w:r w:rsidR="00295B39">
        <w:rPr>
          <w:rStyle w:val="FootnoteReference"/>
        </w:rPr>
        <w:footnoteReference w:id="9"/>
      </w:r>
      <w:r w:rsidR="00A631E4">
        <w:t xml:space="preserve"> </w:t>
      </w:r>
      <w:r w:rsidR="00295B39">
        <w:t>and</w:t>
      </w:r>
      <w:r w:rsidR="00A631E4">
        <w:t xml:space="preserve"> Yamazaki et al. 2019</w:t>
      </w:r>
      <w:r w:rsidR="003430A9">
        <w:rPr>
          <w:rStyle w:val="FootnoteReference"/>
        </w:rPr>
        <w:footnoteReference w:id="10"/>
      </w:r>
      <w:r w:rsidR="00A631E4">
        <w:t xml:space="preserve">), </w:t>
      </w:r>
      <w:r>
        <w:t>The four observational studies provided comparative evidence for the safety and clinical effectiveness of EBRT + LDR-BT boost and EBRT + HDR-BT boost. Key features of the relevant evidence base are summarised in</w:t>
      </w:r>
      <w:r w:rsidR="006A46A2">
        <w:t xml:space="preserve"> </w:t>
      </w:r>
      <w:r w:rsidR="006A46A2">
        <w:fldChar w:fldCharType="begin"/>
      </w:r>
      <w:r w:rsidR="006A46A2">
        <w:instrText xml:space="preserve"> REF _Ref122593037 \h </w:instrText>
      </w:r>
      <w:r w:rsidR="006A46A2">
        <w:fldChar w:fldCharType="separate"/>
      </w:r>
      <w:r w:rsidR="006A46A2">
        <w:t xml:space="preserve">Table </w:t>
      </w:r>
      <w:r w:rsidR="006A46A2">
        <w:rPr>
          <w:noProof/>
        </w:rPr>
        <w:t>9</w:t>
      </w:r>
      <w:r w:rsidR="006A46A2">
        <w:fldChar w:fldCharType="end"/>
      </w:r>
      <w:r w:rsidR="007F6EFD">
        <w:t>.</w:t>
      </w:r>
    </w:p>
    <w:p w14:paraId="07BFBBFA" w14:textId="1F332CD7" w:rsidR="007F6EFD" w:rsidRPr="006A46A2" w:rsidRDefault="007F6EFD" w:rsidP="007F6EFD">
      <w:pPr>
        <w:pStyle w:val="Caption"/>
      </w:pPr>
      <w:bookmarkStart w:id="41" w:name="_Ref122593037"/>
      <w:bookmarkStart w:id="42" w:name="_Ref122533869"/>
      <w:bookmarkEnd w:id="40"/>
      <w:r>
        <w:t xml:space="preserve">Table </w:t>
      </w:r>
      <w:fldSimple w:instr=" SEQ Table \* ARABIC ">
        <w:r w:rsidR="006A46A2">
          <w:rPr>
            <w:noProof/>
          </w:rPr>
          <w:t>9</w:t>
        </w:r>
      </w:fldSimple>
      <w:bookmarkEnd w:id="41"/>
      <w:r>
        <w:tab/>
        <w:t>Key features of the included evidence</w:t>
      </w:r>
      <w:bookmarkEnd w:id="42"/>
    </w:p>
    <w:tbl>
      <w:tblPr>
        <w:tblStyle w:val="TableGrid1"/>
        <w:tblW w:w="5000" w:type="pct"/>
        <w:tblCellMar>
          <w:left w:w="28" w:type="dxa"/>
          <w:right w:w="28" w:type="dxa"/>
        </w:tblCellMar>
        <w:tblLook w:val="04A0" w:firstRow="1" w:lastRow="0" w:firstColumn="1" w:lastColumn="0" w:noHBand="0" w:noVBand="1"/>
      </w:tblPr>
      <w:tblGrid>
        <w:gridCol w:w="1590"/>
        <w:gridCol w:w="1035"/>
        <w:gridCol w:w="1736"/>
        <w:gridCol w:w="1379"/>
        <w:gridCol w:w="1902"/>
        <w:gridCol w:w="1374"/>
      </w:tblGrid>
      <w:tr w:rsidR="00CF782B" w:rsidRPr="00CE28E3" w14:paraId="475D8C60" w14:textId="77777777" w:rsidTr="00423460">
        <w:trPr>
          <w:cnfStyle w:val="100000000000" w:firstRow="1" w:lastRow="0" w:firstColumn="0" w:lastColumn="0" w:oddVBand="0" w:evenVBand="0" w:oddHBand="0" w:evenHBand="0" w:firstRowFirstColumn="0" w:firstRowLastColumn="0" w:lastRowFirstColumn="0" w:lastRowLastColumn="0"/>
          <w:cantSplit/>
          <w:tblHeader/>
        </w:trPr>
        <w:tc>
          <w:tcPr>
            <w:tcW w:w="881" w:type="pct"/>
            <w:shd w:val="clear" w:color="auto" w:fill="auto"/>
            <w:vAlign w:val="center"/>
          </w:tcPr>
          <w:p w14:paraId="4FFC981B" w14:textId="77777777" w:rsidR="00CF782B" w:rsidRPr="00CE28E3" w:rsidRDefault="00CF782B" w:rsidP="00824458">
            <w:pPr>
              <w:pStyle w:val="In-tableHeading"/>
            </w:pPr>
            <w:bookmarkStart w:id="43" w:name="ColumnTitle_Table3"/>
            <w:bookmarkStart w:id="44" w:name="_Hlk68276112"/>
            <w:bookmarkEnd w:id="43"/>
            <w:r w:rsidRPr="00CE28E3">
              <w:t>References</w:t>
            </w:r>
          </w:p>
        </w:tc>
        <w:tc>
          <w:tcPr>
            <w:tcW w:w="574" w:type="pct"/>
            <w:shd w:val="clear" w:color="auto" w:fill="auto"/>
            <w:vAlign w:val="center"/>
          </w:tcPr>
          <w:p w14:paraId="28641D20" w14:textId="77777777" w:rsidR="00CF782B" w:rsidRPr="00CE28E3" w:rsidRDefault="00CF782B" w:rsidP="00824458">
            <w:pPr>
              <w:pStyle w:val="In-tableHeading"/>
              <w:jc w:val="center"/>
            </w:pPr>
            <w:r w:rsidRPr="00CE28E3">
              <w:t>N</w:t>
            </w:r>
          </w:p>
        </w:tc>
        <w:tc>
          <w:tcPr>
            <w:tcW w:w="963" w:type="pct"/>
            <w:shd w:val="clear" w:color="auto" w:fill="auto"/>
            <w:vAlign w:val="center"/>
          </w:tcPr>
          <w:p w14:paraId="23BE1BE2" w14:textId="0DE3768C" w:rsidR="00CF782B" w:rsidRPr="00CE28E3" w:rsidRDefault="00CF782B" w:rsidP="00824458">
            <w:pPr>
              <w:pStyle w:val="In-tableHeading"/>
              <w:jc w:val="center"/>
            </w:pPr>
            <w:r w:rsidRPr="00CE28E3">
              <w:t>Design/duration</w:t>
            </w:r>
          </w:p>
        </w:tc>
        <w:tc>
          <w:tcPr>
            <w:tcW w:w="765" w:type="pct"/>
            <w:shd w:val="clear" w:color="auto" w:fill="auto"/>
            <w:vAlign w:val="center"/>
          </w:tcPr>
          <w:p w14:paraId="4F407CF9" w14:textId="77777777" w:rsidR="00CF782B" w:rsidRPr="00CE28E3" w:rsidRDefault="00CF782B" w:rsidP="00824458">
            <w:pPr>
              <w:pStyle w:val="In-tableHeading"/>
              <w:jc w:val="center"/>
            </w:pPr>
            <w:r w:rsidRPr="00CE28E3">
              <w:t>Risk of bias</w:t>
            </w:r>
          </w:p>
        </w:tc>
        <w:tc>
          <w:tcPr>
            <w:tcW w:w="1055" w:type="pct"/>
            <w:shd w:val="clear" w:color="auto" w:fill="auto"/>
            <w:vAlign w:val="center"/>
          </w:tcPr>
          <w:p w14:paraId="78074E6B" w14:textId="77777777" w:rsidR="00CF782B" w:rsidRPr="00CE28E3" w:rsidRDefault="00CF782B" w:rsidP="00824458">
            <w:pPr>
              <w:pStyle w:val="In-tableHeading"/>
              <w:jc w:val="center"/>
            </w:pPr>
            <w:r w:rsidRPr="00CE28E3">
              <w:t>Patient population</w:t>
            </w:r>
          </w:p>
        </w:tc>
        <w:tc>
          <w:tcPr>
            <w:tcW w:w="763" w:type="pct"/>
            <w:shd w:val="clear" w:color="auto" w:fill="auto"/>
            <w:vAlign w:val="center"/>
          </w:tcPr>
          <w:p w14:paraId="4B5869A3" w14:textId="77777777" w:rsidR="00CF782B" w:rsidRPr="00CE28E3" w:rsidRDefault="00CF782B" w:rsidP="00824458">
            <w:pPr>
              <w:pStyle w:val="In-tableHeading"/>
              <w:jc w:val="center"/>
            </w:pPr>
            <w:r w:rsidRPr="00CE28E3">
              <w:t>Outcome(s)</w:t>
            </w:r>
          </w:p>
        </w:tc>
      </w:tr>
      <w:tr w:rsidR="00CF782B" w:rsidRPr="00CE28E3" w14:paraId="1F646C67" w14:textId="77777777" w:rsidTr="00CF782B">
        <w:trPr>
          <w:cantSplit/>
        </w:trPr>
        <w:tc>
          <w:tcPr>
            <w:tcW w:w="5000" w:type="pct"/>
            <w:gridSpan w:val="6"/>
            <w:shd w:val="clear" w:color="auto" w:fill="auto"/>
            <w:vAlign w:val="center"/>
          </w:tcPr>
          <w:p w14:paraId="3994E00F" w14:textId="5DB7A0FC" w:rsidR="00CF782B" w:rsidRDefault="00CF782B" w:rsidP="00CF782B">
            <w:pPr>
              <w:pStyle w:val="TableText"/>
              <w:rPr>
                <w:lang w:val="en-US"/>
              </w:rPr>
            </w:pPr>
            <w:r w:rsidRPr="00CF782B">
              <w:rPr>
                <w:b/>
                <w:bCs/>
                <w:lang w:val="en-US"/>
              </w:rPr>
              <w:t>EBRT + LDR-BT boost vs DE-EBRT</w:t>
            </w:r>
          </w:p>
        </w:tc>
      </w:tr>
      <w:tr w:rsidR="00CF782B" w:rsidRPr="00CE28E3" w14:paraId="7E776818" w14:textId="77777777" w:rsidTr="00423460">
        <w:trPr>
          <w:cantSplit/>
        </w:trPr>
        <w:tc>
          <w:tcPr>
            <w:tcW w:w="881" w:type="pct"/>
            <w:shd w:val="clear" w:color="auto" w:fill="auto"/>
            <w:vAlign w:val="center"/>
          </w:tcPr>
          <w:p w14:paraId="7E7DCFB7" w14:textId="77777777" w:rsidR="007651CC" w:rsidRDefault="00CF782B" w:rsidP="00824458">
            <w:pPr>
              <w:pStyle w:val="TableText"/>
              <w:rPr>
                <w:lang w:val="es-ES"/>
              </w:rPr>
            </w:pPr>
            <w:r w:rsidRPr="00AD2DA3">
              <w:rPr>
                <w:lang w:val="es-ES"/>
              </w:rPr>
              <w:t>ASCENDE-RT (Morris et al. 2017</w:t>
            </w:r>
            <w:r w:rsidR="005728AA">
              <w:rPr>
                <w:rStyle w:val="FootnoteReference"/>
                <w:lang w:val="en-US"/>
              </w:rPr>
              <w:footnoteReference w:id="11"/>
            </w:r>
            <w:r w:rsidRPr="00AD2DA3">
              <w:rPr>
                <w:lang w:val="es-ES"/>
              </w:rPr>
              <w:t>, Rodda et al. 2017a</w:t>
            </w:r>
            <w:r w:rsidR="005728AA">
              <w:rPr>
                <w:rStyle w:val="FootnoteReference"/>
                <w:lang w:val="en-US"/>
              </w:rPr>
              <w:footnoteReference w:id="12"/>
            </w:r>
            <w:r w:rsidRPr="00AD2DA3">
              <w:rPr>
                <w:lang w:val="es-ES"/>
              </w:rPr>
              <w:t>, Rodda et al. 2017b</w:t>
            </w:r>
            <w:r w:rsidR="005728AA">
              <w:rPr>
                <w:rStyle w:val="FootnoteReference"/>
                <w:lang w:val="en-US"/>
              </w:rPr>
              <w:footnoteReference w:id="13"/>
            </w:r>
            <w:r w:rsidR="003E4BD8" w:rsidRPr="00AD2DA3">
              <w:rPr>
                <w:lang w:val="es-ES"/>
              </w:rPr>
              <w:t>, Morris et al. 2018</w:t>
            </w:r>
            <w:r w:rsidR="00256558">
              <w:rPr>
                <w:rStyle w:val="FootnoteReference"/>
                <w:lang w:val="en-US"/>
              </w:rPr>
              <w:footnoteReference w:id="14"/>
            </w:r>
            <w:r w:rsidRPr="00AD2DA3">
              <w:rPr>
                <w:lang w:val="es-ES"/>
              </w:rPr>
              <w:t>)</w:t>
            </w:r>
          </w:p>
          <w:p w14:paraId="1DFCDCF0" w14:textId="77777777" w:rsidR="00107463" w:rsidRDefault="00107463" w:rsidP="00824458">
            <w:pPr>
              <w:pStyle w:val="TableText"/>
              <w:rPr>
                <w:lang w:val="es-ES"/>
              </w:rPr>
            </w:pPr>
          </w:p>
          <w:p w14:paraId="563AC767" w14:textId="3B96A9CC" w:rsidR="00107463" w:rsidRPr="00AD2DA3" w:rsidRDefault="00107463" w:rsidP="00824458">
            <w:pPr>
              <w:pStyle w:val="TableText"/>
              <w:rPr>
                <w:lang w:val="es-ES"/>
              </w:rPr>
            </w:pPr>
          </w:p>
        </w:tc>
        <w:tc>
          <w:tcPr>
            <w:tcW w:w="574" w:type="pct"/>
            <w:shd w:val="clear" w:color="auto" w:fill="auto"/>
            <w:vAlign w:val="center"/>
          </w:tcPr>
          <w:p w14:paraId="280096E2" w14:textId="09D7BA2B" w:rsidR="00CF782B" w:rsidRPr="00CE28E3" w:rsidRDefault="00CF782B" w:rsidP="00824458">
            <w:pPr>
              <w:pStyle w:val="TableText"/>
              <w:jc w:val="center"/>
              <w:rPr>
                <w:lang w:val="en-US"/>
              </w:rPr>
            </w:pPr>
            <w:r>
              <w:rPr>
                <w:lang w:val="en-US"/>
              </w:rPr>
              <w:t>398</w:t>
            </w:r>
          </w:p>
        </w:tc>
        <w:tc>
          <w:tcPr>
            <w:tcW w:w="963" w:type="pct"/>
            <w:shd w:val="clear" w:color="auto" w:fill="auto"/>
            <w:vAlign w:val="center"/>
          </w:tcPr>
          <w:p w14:paraId="39A9151F" w14:textId="1A59B612" w:rsidR="00CF782B" w:rsidRPr="00CE28E3" w:rsidRDefault="004C68C3" w:rsidP="00824458">
            <w:pPr>
              <w:pStyle w:val="TableText"/>
              <w:jc w:val="center"/>
              <w:rPr>
                <w:lang w:val="en-US"/>
              </w:rPr>
            </w:pPr>
            <w:r>
              <w:rPr>
                <w:lang w:val="en-US"/>
              </w:rPr>
              <w:t xml:space="preserve">OL </w:t>
            </w:r>
            <w:r w:rsidR="00CF782B">
              <w:rPr>
                <w:lang w:val="en-US"/>
              </w:rPr>
              <w:t>RCT</w:t>
            </w:r>
          </w:p>
        </w:tc>
        <w:tc>
          <w:tcPr>
            <w:tcW w:w="765" w:type="pct"/>
            <w:shd w:val="clear" w:color="auto" w:fill="auto"/>
            <w:vAlign w:val="center"/>
          </w:tcPr>
          <w:p w14:paraId="269C28DF" w14:textId="62B54EAD" w:rsidR="00CF782B" w:rsidRPr="00CE28E3" w:rsidRDefault="00CF782B" w:rsidP="00824458">
            <w:pPr>
              <w:pStyle w:val="TableText"/>
              <w:jc w:val="center"/>
              <w:rPr>
                <w:i/>
                <w:lang w:val="en-US"/>
              </w:rPr>
            </w:pPr>
            <w:r>
              <w:rPr>
                <w:i/>
                <w:lang w:val="en-US"/>
              </w:rPr>
              <w:t>Some concern</w:t>
            </w:r>
          </w:p>
        </w:tc>
        <w:tc>
          <w:tcPr>
            <w:tcW w:w="1055" w:type="pct"/>
            <w:shd w:val="clear" w:color="auto" w:fill="auto"/>
            <w:vAlign w:val="center"/>
          </w:tcPr>
          <w:p w14:paraId="4FD8A7FC" w14:textId="77A91B3E" w:rsidR="00CF782B" w:rsidRPr="00CE28E3" w:rsidRDefault="00423460" w:rsidP="00824458">
            <w:pPr>
              <w:pStyle w:val="TableText"/>
              <w:jc w:val="center"/>
              <w:rPr>
                <w:lang w:val="en-US"/>
              </w:rPr>
            </w:pPr>
            <w:r>
              <w:rPr>
                <w:lang w:val="en-US"/>
              </w:rPr>
              <w:t>Intermediate- and high-risk prostate cancer</w:t>
            </w:r>
            <w:r w:rsidR="00F278E7">
              <w:rPr>
                <w:lang w:val="en-US"/>
              </w:rPr>
              <w:t xml:space="preserve"> (proportions NR)</w:t>
            </w:r>
          </w:p>
        </w:tc>
        <w:tc>
          <w:tcPr>
            <w:tcW w:w="763" w:type="pct"/>
            <w:shd w:val="clear" w:color="auto" w:fill="auto"/>
            <w:vAlign w:val="center"/>
          </w:tcPr>
          <w:p w14:paraId="31213046" w14:textId="37EA8104" w:rsidR="00CF782B" w:rsidRDefault="00CF782B" w:rsidP="00824458">
            <w:pPr>
              <w:pStyle w:val="TableText"/>
              <w:jc w:val="center"/>
              <w:rPr>
                <w:lang w:val="en-US"/>
              </w:rPr>
            </w:pPr>
            <w:r>
              <w:rPr>
                <w:lang w:val="en-US"/>
              </w:rPr>
              <w:t>Survival (bPFS, OS)</w:t>
            </w:r>
          </w:p>
          <w:p w14:paraId="0160A87E" w14:textId="77777777" w:rsidR="00CF782B" w:rsidRDefault="00CF782B" w:rsidP="00824458">
            <w:pPr>
              <w:pStyle w:val="TableText"/>
              <w:jc w:val="center"/>
              <w:rPr>
                <w:lang w:val="en-US"/>
              </w:rPr>
            </w:pPr>
            <w:r>
              <w:rPr>
                <w:lang w:val="en-US"/>
              </w:rPr>
              <w:t>Safety</w:t>
            </w:r>
          </w:p>
          <w:p w14:paraId="45B1587F" w14:textId="5C170B68" w:rsidR="00CF782B" w:rsidRPr="00CE28E3" w:rsidRDefault="00CF782B" w:rsidP="00824458">
            <w:pPr>
              <w:pStyle w:val="TableText"/>
              <w:jc w:val="center"/>
              <w:rPr>
                <w:lang w:val="en-US"/>
              </w:rPr>
            </w:pPr>
            <w:r>
              <w:rPr>
                <w:lang w:val="en-US"/>
              </w:rPr>
              <w:t>HRQoL</w:t>
            </w:r>
          </w:p>
        </w:tc>
      </w:tr>
      <w:tr w:rsidR="00423460" w:rsidRPr="00CE28E3" w14:paraId="2F94A182" w14:textId="77777777" w:rsidTr="00423460">
        <w:trPr>
          <w:cantSplit/>
        </w:trPr>
        <w:tc>
          <w:tcPr>
            <w:tcW w:w="5000" w:type="pct"/>
            <w:gridSpan w:val="6"/>
            <w:shd w:val="clear" w:color="auto" w:fill="auto"/>
            <w:vAlign w:val="center"/>
          </w:tcPr>
          <w:p w14:paraId="5403C475" w14:textId="0775FDCA" w:rsidR="00423460" w:rsidRPr="00423460" w:rsidRDefault="00423460" w:rsidP="00423460">
            <w:pPr>
              <w:pStyle w:val="TableText"/>
              <w:rPr>
                <w:b/>
                <w:bCs/>
                <w:lang w:val="en-US"/>
              </w:rPr>
            </w:pPr>
            <w:r w:rsidRPr="00423460">
              <w:rPr>
                <w:b/>
                <w:bCs/>
                <w:lang w:val="en-US"/>
              </w:rPr>
              <w:lastRenderedPageBreak/>
              <w:t>EBRT + LDR-BT boost vs EBRT + HDR-BT boost</w:t>
            </w:r>
          </w:p>
        </w:tc>
      </w:tr>
      <w:tr w:rsidR="00CF782B" w:rsidRPr="00CE28E3" w14:paraId="6E4E23A7" w14:textId="77777777" w:rsidTr="00423460">
        <w:trPr>
          <w:cantSplit/>
        </w:trPr>
        <w:tc>
          <w:tcPr>
            <w:tcW w:w="881" w:type="pct"/>
            <w:shd w:val="clear" w:color="auto" w:fill="auto"/>
            <w:vAlign w:val="center"/>
          </w:tcPr>
          <w:p w14:paraId="45E15921" w14:textId="1B9C47BB" w:rsidR="00CF782B" w:rsidRPr="00CE28E3" w:rsidRDefault="00CF782B" w:rsidP="00824458">
            <w:pPr>
              <w:pStyle w:val="TableText"/>
              <w:rPr>
                <w:lang w:val="en-US"/>
              </w:rPr>
            </w:pPr>
            <w:r>
              <w:rPr>
                <w:lang w:val="en-US"/>
              </w:rPr>
              <w:t>Dhere et al. (2021)</w:t>
            </w:r>
            <w:r w:rsidR="005728AA">
              <w:rPr>
                <w:rStyle w:val="FootnoteReference"/>
                <w:lang w:val="en-US"/>
              </w:rPr>
              <w:footnoteReference w:id="15"/>
            </w:r>
          </w:p>
        </w:tc>
        <w:tc>
          <w:tcPr>
            <w:tcW w:w="574" w:type="pct"/>
            <w:shd w:val="clear" w:color="auto" w:fill="auto"/>
            <w:vAlign w:val="center"/>
          </w:tcPr>
          <w:p w14:paraId="71251CEE" w14:textId="115C9E94" w:rsidR="00CF782B" w:rsidRPr="00CE28E3" w:rsidRDefault="00423460" w:rsidP="00824458">
            <w:pPr>
              <w:pStyle w:val="TableText"/>
              <w:jc w:val="center"/>
              <w:rPr>
                <w:lang w:val="en-US"/>
              </w:rPr>
            </w:pPr>
            <w:r>
              <w:rPr>
                <w:lang w:val="en-US"/>
              </w:rPr>
              <w:t>106</w:t>
            </w:r>
          </w:p>
        </w:tc>
        <w:tc>
          <w:tcPr>
            <w:tcW w:w="963" w:type="pct"/>
            <w:shd w:val="clear" w:color="auto" w:fill="auto"/>
            <w:vAlign w:val="center"/>
          </w:tcPr>
          <w:p w14:paraId="70280A44" w14:textId="77777777" w:rsidR="00CF782B" w:rsidRDefault="00423460" w:rsidP="00824458">
            <w:pPr>
              <w:pStyle w:val="TableText"/>
              <w:jc w:val="center"/>
              <w:rPr>
                <w:lang w:val="en-US"/>
              </w:rPr>
            </w:pPr>
            <w:r>
              <w:rPr>
                <w:lang w:val="en-US"/>
              </w:rPr>
              <w:t>Secondary analysis of registry data</w:t>
            </w:r>
          </w:p>
          <w:p w14:paraId="37D3BD6A" w14:textId="22C797B0" w:rsidR="00423460" w:rsidRPr="00CE28E3" w:rsidRDefault="00423460" w:rsidP="00824458">
            <w:pPr>
              <w:pStyle w:val="TableText"/>
              <w:jc w:val="center"/>
              <w:rPr>
                <w:lang w:val="en-US"/>
              </w:rPr>
            </w:pPr>
            <w:r>
              <w:rPr>
                <w:lang w:val="en-US"/>
              </w:rPr>
              <w:t>Follow-up 18-20 months</w:t>
            </w:r>
          </w:p>
        </w:tc>
        <w:tc>
          <w:tcPr>
            <w:tcW w:w="765" w:type="pct"/>
            <w:shd w:val="clear" w:color="auto" w:fill="auto"/>
            <w:vAlign w:val="center"/>
          </w:tcPr>
          <w:p w14:paraId="51165529" w14:textId="3761943F" w:rsidR="00CF782B" w:rsidRPr="00CE28E3" w:rsidRDefault="00423460" w:rsidP="00824458">
            <w:pPr>
              <w:pStyle w:val="TableText"/>
              <w:jc w:val="center"/>
              <w:rPr>
                <w:i/>
                <w:lang w:val="en-US"/>
              </w:rPr>
            </w:pPr>
            <w:r>
              <w:rPr>
                <w:i/>
                <w:lang w:val="en-US"/>
              </w:rPr>
              <w:t>Serious risk</w:t>
            </w:r>
          </w:p>
        </w:tc>
        <w:tc>
          <w:tcPr>
            <w:tcW w:w="1055" w:type="pct"/>
            <w:shd w:val="clear" w:color="auto" w:fill="auto"/>
            <w:vAlign w:val="center"/>
          </w:tcPr>
          <w:p w14:paraId="6345DC6A" w14:textId="754DC11F" w:rsidR="00CF782B" w:rsidRDefault="00423460" w:rsidP="00824458">
            <w:pPr>
              <w:pStyle w:val="TableText"/>
              <w:jc w:val="center"/>
              <w:rPr>
                <w:lang w:val="en-US"/>
              </w:rPr>
            </w:pPr>
            <w:r>
              <w:rPr>
                <w:lang w:val="en-US"/>
              </w:rPr>
              <w:t>Favourable intermediate risk (26%)</w:t>
            </w:r>
          </w:p>
          <w:p w14:paraId="46136EB6" w14:textId="2EA1465C" w:rsidR="00423460" w:rsidRDefault="00423460" w:rsidP="00824458">
            <w:pPr>
              <w:pStyle w:val="TableText"/>
              <w:jc w:val="center"/>
              <w:rPr>
                <w:lang w:val="en-US"/>
              </w:rPr>
            </w:pPr>
            <w:r>
              <w:rPr>
                <w:lang w:val="en-US"/>
              </w:rPr>
              <w:t>Unfavourable intermediate risk (42%)</w:t>
            </w:r>
          </w:p>
          <w:p w14:paraId="60CDF4F0" w14:textId="4C80E8D3" w:rsidR="00423460" w:rsidRPr="00CE28E3" w:rsidRDefault="00423460" w:rsidP="00824458">
            <w:pPr>
              <w:pStyle w:val="TableText"/>
              <w:jc w:val="center"/>
              <w:rPr>
                <w:lang w:val="en-US"/>
              </w:rPr>
            </w:pPr>
            <w:r>
              <w:rPr>
                <w:lang w:val="en-US"/>
              </w:rPr>
              <w:t>High-risk (30%)</w:t>
            </w:r>
          </w:p>
        </w:tc>
        <w:tc>
          <w:tcPr>
            <w:tcW w:w="763" w:type="pct"/>
            <w:shd w:val="clear" w:color="auto" w:fill="auto"/>
            <w:vAlign w:val="center"/>
          </w:tcPr>
          <w:p w14:paraId="43F2ECD8" w14:textId="77777777" w:rsidR="004C68C3" w:rsidRDefault="004C68C3" w:rsidP="00824458">
            <w:pPr>
              <w:pStyle w:val="TableText"/>
              <w:jc w:val="center"/>
              <w:rPr>
                <w:lang w:val="en-US"/>
              </w:rPr>
            </w:pPr>
            <w:r>
              <w:rPr>
                <w:lang w:val="en-US"/>
              </w:rPr>
              <w:t>Functional outcomes</w:t>
            </w:r>
          </w:p>
          <w:p w14:paraId="07FFEB2C" w14:textId="77777777" w:rsidR="00835EBC" w:rsidRDefault="00835EBC" w:rsidP="00824458">
            <w:pPr>
              <w:pStyle w:val="TableText"/>
              <w:jc w:val="center"/>
              <w:rPr>
                <w:lang w:val="en-US"/>
              </w:rPr>
            </w:pPr>
            <w:r>
              <w:rPr>
                <w:lang w:val="en-US"/>
              </w:rPr>
              <w:t>Safety</w:t>
            </w:r>
          </w:p>
          <w:p w14:paraId="583A7C5E" w14:textId="7FEDB1F3" w:rsidR="00CF782B" w:rsidRPr="00CE28E3" w:rsidRDefault="004C68C3" w:rsidP="00835EBC">
            <w:pPr>
              <w:pStyle w:val="TableText"/>
              <w:jc w:val="center"/>
              <w:rPr>
                <w:lang w:val="en-US"/>
              </w:rPr>
            </w:pPr>
            <w:r>
              <w:rPr>
                <w:lang w:val="en-US"/>
              </w:rPr>
              <w:t>HRQoL</w:t>
            </w:r>
          </w:p>
        </w:tc>
      </w:tr>
      <w:tr w:rsidR="00CF782B" w:rsidRPr="00CE28E3" w14:paraId="764EB7FF" w14:textId="77777777" w:rsidTr="00423460">
        <w:trPr>
          <w:cantSplit/>
        </w:trPr>
        <w:tc>
          <w:tcPr>
            <w:tcW w:w="881" w:type="pct"/>
            <w:shd w:val="clear" w:color="auto" w:fill="auto"/>
            <w:vAlign w:val="center"/>
          </w:tcPr>
          <w:p w14:paraId="46BAB09C" w14:textId="7BD8F530" w:rsidR="00CF782B" w:rsidRPr="00CE28E3" w:rsidRDefault="00CF782B" w:rsidP="00824458">
            <w:pPr>
              <w:pStyle w:val="TableText"/>
              <w:rPr>
                <w:lang w:val="en-US"/>
              </w:rPr>
            </w:pPr>
            <w:r>
              <w:rPr>
                <w:lang w:val="en-US"/>
              </w:rPr>
              <w:t>King et al. (2019)</w:t>
            </w:r>
            <w:r w:rsidR="005728AA">
              <w:rPr>
                <w:rStyle w:val="FootnoteReference"/>
                <w:lang w:val="en-US"/>
              </w:rPr>
              <w:footnoteReference w:id="16"/>
            </w:r>
          </w:p>
        </w:tc>
        <w:tc>
          <w:tcPr>
            <w:tcW w:w="574" w:type="pct"/>
            <w:shd w:val="clear" w:color="auto" w:fill="auto"/>
            <w:vAlign w:val="center"/>
          </w:tcPr>
          <w:p w14:paraId="03161CBA" w14:textId="6CE2B664" w:rsidR="00CF782B" w:rsidRPr="00CE28E3" w:rsidRDefault="00423460" w:rsidP="00824458">
            <w:pPr>
              <w:pStyle w:val="TableText"/>
              <w:jc w:val="center"/>
              <w:rPr>
                <w:lang w:val="en-US"/>
              </w:rPr>
            </w:pPr>
            <w:r>
              <w:rPr>
                <w:lang w:val="en-US"/>
              </w:rPr>
              <w:t>122,896</w:t>
            </w:r>
          </w:p>
        </w:tc>
        <w:tc>
          <w:tcPr>
            <w:tcW w:w="963" w:type="pct"/>
            <w:shd w:val="clear" w:color="auto" w:fill="auto"/>
            <w:vAlign w:val="center"/>
          </w:tcPr>
          <w:p w14:paraId="0258CD10" w14:textId="1B0E70DB" w:rsidR="00CF782B" w:rsidRPr="00CE28E3" w:rsidRDefault="00423460" w:rsidP="00824458">
            <w:pPr>
              <w:pStyle w:val="TableText"/>
              <w:jc w:val="center"/>
              <w:rPr>
                <w:lang w:val="en-US"/>
              </w:rPr>
            </w:pPr>
            <w:r>
              <w:rPr>
                <w:lang w:val="en-US"/>
              </w:rPr>
              <w:t>Retrospective analysis of the National Cancer Database</w:t>
            </w:r>
          </w:p>
        </w:tc>
        <w:tc>
          <w:tcPr>
            <w:tcW w:w="765" w:type="pct"/>
            <w:shd w:val="clear" w:color="auto" w:fill="auto"/>
            <w:vAlign w:val="center"/>
          </w:tcPr>
          <w:p w14:paraId="23BF88DA" w14:textId="0CD6A1FD" w:rsidR="00CF782B" w:rsidRPr="00CE28E3" w:rsidRDefault="00423460" w:rsidP="00824458">
            <w:pPr>
              <w:pStyle w:val="TableText"/>
              <w:jc w:val="center"/>
              <w:rPr>
                <w:i/>
                <w:lang w:val="en-US"/>
              </w:rPr>
            </w:pPr>
            <w:r>
              <w:rPr>
                <w:i/>
                <w:lang w:val="en-US"/>
              </w:rPr>
              <w:t>Moderate risk</w:t>
            </w:r>
          </w:p>
        </w:tc>
        <w:tc>
          <w:tcPr>
            <w:tcW w:w="1055" w:type="pct"/>
            <w:shd w:val="clear" w:color="auto" w:fill="auto"/>
            <w:vAlign w:val="center"/>
          </w:tcPr>
          <w:p w14:paraId="05F1D9DA" w14:textId="3B0C3069" w:rsidR="00CF782B" w:rsidRPr="00CE28E3" w:rsidRDefault="00423460" w:rsidP="00824458">
            <w:pPr>
              <w:pStyle w:val="TableText"/>
              <w:jc w:val="center"/>
              <w:rPr>
                <w:lang w:val="en-US"/>
              </w:rPr>
            </w:pPr>
            <w:r>
              <w:rPr>
                <w:lang w:val="en-US"/>
              </w:rPr>
              <w:t>Intermediate- and high-risk prostate cancer</w:t>
            </w:r>
            <w:r w:rsidR="00F278E7">
              <w:rPr>
                <w:lang w:val="en-US"/>
              </w:rPr>
              <w:t xml:space="preserve"> (proportions NR)</w:t>
            </w:r>
          </w:p>
        </w:tc>
        <w:tc>
          <w:tcPr>
            <w:tcW w:w="763" w:type="pct"/>
            <w:shd w:val="clear" w:color="auto" w:fill="auto"/>
            <w:vAlign w:val="center"/>
          </w:tcPr>
          <w:p w14:paraId="2A3F370B" w14:textId="1761AFF8" w:rsidR="00CF782B" w:rsidRPr="00CE28E3" w:rsidRDefault="004C68C3" w:rsidP="00824458">
            <w:pPr>
              <w:pStyle w:val="TableText"/>
              <w:jc w:val="center"/>
              <w:rPr>
                <w:lang w:val="en-US"/>
              </w:rPr>
            </w:pPr>
            <w:r>
              <w:rPr>
                <w:lang w:val="en-US"/>
              </w:rPr>
              <w:t>Survival (OS)</w:t>
            </w:r>
          </w:p>
        </w:tc>
      </w:tr>
      <w:tr w:rsidR="00CF782B" w:rsidRPr="00CE28E3" w14:paraId="4C0FCC71" w14:textId="77777777" w:rsidTr="00423460">
        <w:trPr>
          <w:cantSplit/>
        </w:trPr>
        <w:tc>
          <w:tcPr>
            <w:tcW w:w="881" w:type="pct"/>
            <w:shd w:val="clear" w:color="auto" w:fill="auto"/>
            <w:vAlign w:val="center"/>
          </w:tcPr>
          <w:p w14:paraId="6D249FDD" w14:textId="2BD1EB23" w:rsidR="00CF782B" w:rsidRPr="00CE28E3" w:rsidRDefault="00CF782B" w:rsidP="00CF782B">
            <w:pPr>
              <w:pStyle w:val="TableText"/>
              <w:rPr>
                <w:lang w:val="en-US"/>
              </w:rPr>
            </w:pPr>
            <w:r>
              <w:rPr>
                <w:lang w:val="en-US"/>
              </w:rPr>
              <w:t>Parry et al. (2020)</w:t>
            </w:r>
            <w:r w:rsidR="005728AA">
              <w:rPr>
                <w:rStyle w:val="FootnoteReference"/>
                <w:lang w:val="en-US"/>
              </w:rPr>
              <w:footnoteReference w:id="17"/>
            </w:r>
          </w:p>
        </w:tc>
        <w:tc>
          <w:tcPr>
            <w:tcW w:w="574" w:type="pct"/>
            <w:shd w:val="clear" w:color="auto" w:fill="auto"/>
            <w:vAlign w:val="center"/>
          </w:tcPr>
          <w:p w14:paraId="3115E3F6" w14:textId="03FFF4BD" w:rsidR="00CF782B" w:rsidRPr="00CE28E3" w:rsidRDefault="00423460" w:rsidP="00CF782B">
            <w:pPr>
              <w:pStyle w:val="TableText"/>
              <w:jc w:val="center"/>
              <w:rPr>
                <w:lang w:val="en-US"/>
              </w:rPr>
            </w:pPr>
            <w:r>
              <w:rPr>
                <w:lang w:val="en-US"/>
              </w:rPr>
              <w:t>54,642</w:t>
            </w:r>
          </w:p>
        </w:tc>
        <w:tc>
          <w:tcPr>
            <w:tcW w:w="963" w:type="pct"/>
            <w:shd w:val="clear" w:color="auto" w:fill="auto"/>
            <w:vAlign w:val="center"/>
          </w:tcPr>
          <w:p w14:paraId="2FD725D1" w14:textId="7CD3A0B3" w:rsidR="00CF782B" w:rsidRPr="00CE28E3" w:rsidRDefault="00423460" w:rsidP="00CF782B">
            <w:pPr>
              <w:pStyle w:val="TableText"/>
              <w:jc w:val="center"/>
              <w:rPr>
                <w:lang w:val="en-US"/>
              </w:rPr>
            </w:pPr>
            <w:r>
              <w:rPr>
                <w:lang w:val="en-US"/>
              </w:rPr>
              <w:t>Retrospective case series</w:t>
            </w:r>
          </w:p>
        </w:tc>
        <w:tc>
          <w:tcPr>
            <w:tcW w:w="765" w:type="pct"/>
            <w:shd w:val="clear" w:color="auto" w:fill="auto"/>
            <w:vAlign w:val="center"/>
          </w:tcPr>
          <w:p w14:paraId="69B173AA" w14:textId="77777777" w:rsidR="00423460" w:rsidRPr="00423460" w:rsidRDefault="00423460" w:rsidP="00CF782B">
            <w:pPr>
              <w:pStyle w:val="TableText"/>
              <w:jc w:val="center"/>
              <w:rPr>
                <w:i/>
                <w:lang w:val="en-US"/>
              </w:rPr>
            </w:pPr>
            <w:r w:rsidRPr="00423460">
              <w:rPr>
                <w:i/>
                <w:lang w:val="en-US"/>
              </w:rPr>
              <w:t>Moderate risk for survival and safety</w:t>
            </w:r>
          </w:p>
          <w:p w14:paraId="6BD28768" w14:textId="0979A6A9" w:rsidR="00CF782B" w:rsidRPr="00CE28E3" w:rsidRDefault="00423460" w:rsidP="00CF782B">
            <w:pPr>
              <w:pStyle w:val="TableText"/>
              <w:jc w:val="center"/>
              <w:rPr>
                <w:lang w:val="en-US"/>
              </w:rPr>
            </w:pPr>
            <w:r w:rsidRPr="00423460">
              <w:rPr>
                <w:i/>
                <w:lang w:val="en-US"/>
              </w:rPr>
              <w:t xml:space="preserve">Serious risk for </w:t>
            </w:r>
            <w:r w:rsidR="00322408">
              <w:rPr>
                <w:i/>
                <w:lang w:val="en-US"/>
              </w:rPr>
              <w:t>functional outcomes</w:t>
            </w:r>
          </w:p>
        </w:tc>
        <w:tc>
          <w:tcPr>
            <w:tcW w:w="1055" w:type="pct"/>
            <w:shd w:val="clear" w:color="auto" w:fill="auto"/>
            <w:vAlign w:val="center"/>
          </w:tcPr>
          <w:p w14:paraId="06A1A1BD" w14:textId="5D1398F8" w:rsidR="00CF782B" w:rsidRPr="00CE28E3" w:rsidRDefault="00423460" w:rsidP="00CF782B">
            <w:pPr>
              <w:pStyle w:val="TableText"/>
              <w:jc w:val="center"/>
              <w:rPr>
                <w:lang w:val="en-US"/>
              </w:rPr>
            </w:pPr>
            <w:r>
              <w:rPr>
                <w:lang w:val="en-US"/>
              </w:rPr>
              <w:t>Intermediate-, high-risk and locally advanced prostate cancer</w:t>
            </w:r>
            <w:r w:rsidR="00F278E7">
              <w:rPr>
                <w:lang w:val="en-US"/>
              </w:rPr>
              <w:t xml:space="preserve"> (proportions NR)</w:t>
            </w:r>
          </w:p>
        </w:tc>
        <w:tc>
          <w:tcPr>
            <w:tcW w:w="763" w:type="pct"/>
            <w:shd w:val="clear" w:color="auto" w:fill="auto"/>
            <w:vAlign w:val="center"/>
          </w:tcPr>
          <w:p w14:paraId="556D1DE0" w14:textId="1992A018" w:rsidR="004C68C3" w:rsidRDefault="004C68C3" w:rsidP="00CF782B">
            <w:pPr>
              <w:pStyle w:val="TableText"/>
              <w:jc w:val="center"/>
              <w:rPr>
                <w:lang w:val="en-US"/>
              </w:rPr>
            </w:pPr>
            <w:r>
              <w:rPr>
                <w:lang w:val="en-US"/>
              </w:rPr>
              <w:t>Mortality (PCS)</w:t>
            </w:r>
          </w:p>
          <w:p w14:paraId="10146581" w14:textId="61E7F913" w:rsidR="004C68C3" w:rsidRDefault="004C68C3" w:rsidP="00CF782B">
            <w:pPr>
              <w:pStyle w:val="TableText"/>
              <w:jc w:val="center"/>
              <w:rPr>
                <w:lang w:val="en-US"/>
              </w:rPr>
            </w:pPr>
            <w:r>
              <w:rPr>
                <w:lang w:val="en-US"/>
              </w:rPr>
              <w:t>Functional outcomes</w:t>
            </w:r>
          </w:p>
          <w:p w14:paraId="01C67401" w14:textId="29146FDE" w:rsidR="00CF782B" w:rsidRPr="00CE28E3" w:rsidRDefault="004C68C3" w:rsidP="00CF782B">
            <w:pPr>
              <w:pStyle w:val="TableText"/>
              <w:jc w:val="center"/>
              <w:rPr>
                <w:lang w:val="en-US"/>
              </w:rPr>
            </w:pPr>
            <w:r>
              <w:rPr>
                <w:lang w:val="en-US"/>
              </w:rPr>
              <w:t>Safety</w:t>
            </w:r>
          </w:p>
        </w:tc>
      </w:tr>
      <w:tr w:rsidR="00CF782B" w:rsidRPr="00CE28E3" w14:paraId="74CD02CE" w14:textId="77777777" w:rsidTr="00423460">
        <w:trPr>
          <w:cantSplit/>
        </w:trPr>
        <w:tc>
          <w:tcPr>
            <w:tcW w:w="881" w:type="pct"/>
            <w:shd w:val="clear" w:color="auto" w:fill="auto"/>
            <w:vAlign w:val="center"/>
          </w:tcPr>
          <w:p w14:paraId="1522F155" w14:textId="27619C16" w:rsidR="00CF782B" w:rsidRPr="00CE28E3" w:rsidRDefault="00CF782B" w:rsidP="00CF782B">
            <w:pPr>
              <w:pStyle w:val="TableText"/>
              <w:rPr>
                <w:lang w:val="en-US"/>
              </w:rPr>
            </w:pPr>
            <w:r>
              <w:rPr>
                <w:lang w:val="en-US"/>
              </w:rPr>
              <w:t>Slevin et al. (2020)</w:t>
            </w:r>
            <w:r w:rsidR="005728AA">
              <w:rPr>
                <w:rStyle w:val="FootnoteReference"/>
                <w:lang w:val="en-US"/>
              </w:rPr>
              <w:footnoteReference w:id="18"/>
            </w:r>
          </w:p>
        </w:tc>
        <w:tc>
          <w:tcPr>
            <w:tcW w:w="574" w:type="pct"/>
            <w:shd w:val="clear" w:color="auto" w:fill="auto"/>
            <w:vAlign w:val="center"/>
          </w:tcPr>
          <w:p w14:paraId="7890FB07" w14:textId="45E1DA6D" w:rsidR="00CF782B" w:rsidRPr="00CE28E3" w:rsidRDefault="00423460" w:rsidP="00CF782B">
            <w:pPr>
              <w:pStyle w:val="TableText"/>
              <w:jc w:val="center"/>
              <w:rPr>
                <w:lang w:val="en-US"/>
              </w:rPr>
            </w:pPr>
            <w:r>
              <w:rPr>
                <w:lang w:val="en-US"/>
              </w:rPr>
              <w:t>287</w:t>
            </w:r>
          </w:p>
        </w:tc>
        <w:tc>
          <w:tcPr>
            <w:tcW w:w="963" w:type="pct"/>
            <w:shd w:val="clear" w:color="auto" w:fill="auto"/>
            <w:vAlign w:val="center"/>
          </w:tcPr>
          <w:p w14:paraId="6CFB41BD" w14:textId="0BAB87C0" w:rsidR="00CF782B" w:rsidRPr="00CE28E3" w:rsidRDefault="00423460" w:rsidP="00CF782B">
            <w:pPr>
              <w:pStyle w:val="TableText"/>
              <w:jc w:val="center"/>
              <w:rPr>
                <w:lang w:val="en-US"/>
              </w:rPr>
            </w:pPr>
            <w:r>
              <w:rPr>
                <w:lang w:val="en-US"/>
              </w:rPr>
              <w:t>Cohort study</w:t>
            </w:r>
          </w:p>
        </w:tc>
        <w:tc>
          <w:tcPr>
            <w:tcW w:w="765" w:type="pct"/>
            <w:shd w:val="clear" w:color="auto" w:fill="auto"/>
            <w:vAlign w:val="center"/>
          </w:tcPr>
          <w:p w14:paraId="7E15D5C9" w14:textId="54C38C5A" w:rsidR="00CF782B" w:rsidRPr="00CE28E3" w:rsidRDefault="00423460" w:rsidP="00CF782B">
            <w:pPr>
              <w:pStyle w:val="TableText"/>
              <w:jc w:val="center"/>
              <w:rPr>
                <w:lang w:val="en-US"/>
              </w:rPr>
            </w:pPr>
            <w:r w:rsidRPr="00423460">
              <w:rPr>
                <w:i/>
                <w:lang w:val="en-US"/>
              </w:rPr>
              <w:t>Serious risk</w:t>
            </w:r>
          </w:p>
        </w:tc>
        <w:tc>
          <w:tcPr>
            <w:tcW w:w="1055" w:type="pct"/>
            <w:shd w:val="clear" w:color="auto" w:fill="auto"/>
            <w:vAlign w:val="center"/>
          </w:tcPr>
          <w:p w14:paraId="26B7700A" w14:textId="5FA6CC1F" w:rsidR="00CF782B" w:rsidRPr="00CE28E3" w:rsidRDefault="004C68C3" w:rsidP="00CF782B">
            <w:pPr>
              <w:pStyle w:val="TableText"/>
              <w:jc w:val="center"/>
              <w:rPr>
                <w:lang w:val="en-US"/>
              </w:rPr>
            </w:pPr>
            <w:r>
              <w:rPr>
                <w:lang w:val="en-US"/>
              </w:rPr>
              <w:t>Intermediate- and high-risk prostate cancer</w:t>
            </w:r>
            <w:r w:rsidR="00F278E7">
              <w:rPr>
                <w:lang w:val="en-US"/>
              </w:rPr>
              <w:t xml:space="preserve"> (proportions NR)</w:t>
            </w:r>
          </w:p>
        </w:tc>
        <w:tc>
          <w:tcPr>
            <w:tcW w:w="763" w:type="pct"/>
            <w:shd w:val="clear" w:color="auto" w:fill="auto"/>
            <w:vAlign w:val="center"/>
          </w:tcPr>
          <w:p w14:paraId="7193D8F0" w14:textId="3919535F" w:rsidR="004C68C3" w:rsidRDefault="004C68C3" w:rsidP="00CF782B">
            <w:pPr>
              <w:pStyle w:val="TableText"/>
              <w:jc w:val="center"/>
              <w:rPr>
                <w:lang w:val="en-US"/>
              </w:rPr>
            </w:pPr>
            <w:r>
              <w:rPr>
                <w:lang w:val="en-US"/>
              </w:rPr>
              <w:t>Survival (bPFS)</w:t>
            </w:r>
          </w:p>
          <w:p w14:paraId="6651F863" w14:textId="19A888C6" w:rsidR="00CF782B" w:rsidRPr="00CE28E3" w:rsidRDefault="004C68C3" w:rsidP="00CF782B">
            <w:pPr>
              <w:pStyle w:val="TableText"/>
              <w:jc w:val="center"/>
              <w:rPr>
                <w:lang w:val="en-US"/>
              </w:rPr>
            </w:pPr>
            <w:r>
              <w:rPr>
                <w:lang w:val="en-US"/>
              </w:rPr>
              <w:t>Safety</w:t>
            </w:r>
          </w:p>
        </w:tc>
      </w:tr>
    </w:tbl>
    <w:p w14:paraId="77F184CE" w14:textId="161AF39F" w:rsidR="00956ACE" w:rsidRPr="00CE28E3" w:rsidRDefault="004C68C3" w:rsidP="00E76AE0">
      <w:pPr>
        <w:pStyle w:val="TableFigureFooter"/>
        <w:rPr>
          <w:sz w:val="20"/>
        </w:rPr>
      </w:pPr>
      <w:bookmarkStart w:id="45" w:name="_Hlk68276176"/>
      <w:bookmarkEnd w:id="44"/>
      <w:r>
        <w:t>b</w:t>
      </w:r>
      <w:r w:rsidRPr="00CE28E3">
        <w:t>PFS =</w:t>
      </w:r>
      <w:r>
        <w:t xml:space="preserve"> biochemical</w:t>
      </w:r>
      <w:r w:rsidRPr="00CE28E3">
        <w:t xml:space="preserve"> progression-free survival; </w:t>
      </w:r>
      <w:r>
        <w:t xml:space="preserve">HRQoL = health-related quality of life; </w:t>
      </w:r>
      <w:r w:rsidR="00F278E7">
        <w:t xml:space="preserve">NR = not reported; </w:t>
      </w:r>
      <w:r w:rsidR="00956ACE" w:rsidRPr="00CE28E3">
        <w:t xml:space="preserve">OL = open label; OS = overall survival; </w:t>
      </w:r>
      <w:r>
        <w:t xml:space="preserve">PCS = prostate-cancer specific; </w:t>
      </w:r>
      <w:r w:rsidR="00956ACE" w:rsidRPr="00CE28E3">
        <w:t>R</w:t>
      </w:r>
      <w:r>
        <w:t>CT</w:t>
      </w:r>
      <w:r w:rsidR="00956ACE" w:rsidRPr="00CE28E3">
        <w:t xml:space="preserve"> = randomised</w:t>
      </w:r>
      <w:r>
        <w:t xml:space="preserve"> controlled trial</w:t>
      </w:r>
    </w:p>
    <w:p w14:paraId="3B9FC2AD" w14:textId="1FADC8F5" w:rsidR="00772829" w:rsidRPr="00CE28E3" w:rsidRDefault="005C38D0" w:rsidP="002A18BE">
      <w:pPr>
        <w:pStyle w:val="Heading2"/>
        <w:numPr>
          <w:ilvl w:val="0"/>
          <w:numId w:val="0"/>
        </w:numPr>
      </w:pPr>
      <w:bookmarkStart w:id="46" w:name="_Toc69491423"/>
      <w:bookmarkEnd w:id="45"/>
      <w:r>
        <w:t>1</w:t>
      </w:r>
      <w:r w:rsidR="00F04024">
        <w:t>0</w:t>
      </w:r>
      <w:r w:rsidR="00C36633">
        <w:t>.</w:t>
      </w:r>
      <w:r w:rsidR="00C36633">
        <w:tab/>
      </w:r>
      <w:r w:rsidR="00772829" w:rsidRPr="00CE28E3">
        <w:t>Comparative safety</w:t>
      </w:r>
      <w:bookmarkEnd w:id="46"/>
    </w:p>
    <w:p w14:paraId="575C57E5" w14:textId="016B2038" w:rsidR="00835EBC" w:rsidRPr="00835EBC" w:rsidRDefault="00835EBC" w:rsidP="00835EBC">
      <w:pPr>
        <w:autoSpaceDE w:val="0"/>
        <w:autoSpaceDN w:val="0"/>
        <w:adjustRightInd w:val="0"/>
        <w:spacing w:line="240" w:lineRule="auto"/>
        <w:rPr>
          <w:rStyle w:val="Emphasis"/>
        </w:rPr>
      </w:pPr>
      <w:r w:rsidRPr="00835EBC">
        <w:rPr>
          <w:rStyle w:val="Emphasis"/>
        </w:rPr>
        <w:t>EBRT + LDR-BT boost</w:t>
      </w:r>
      <w:r w:rsidR="00673CA3">
        <w:rPr>
          <w:rStyle w:val="Emphasis"/>
        </w:rPr>
        <w:t xml:space="preserve"> versus DE-EBRT</w:t>
      </w:r>
    </w:p>
    <w:p w14:paraId="1E2A6473" w14:textId="2491C0C5" w:rsidR="00835EBC" w:rsidRDefault="00835EBC" w:rsidP="00835EBC">
      <w:r w:rsidRPr="002419B8">
        <w:t xml:space="preserve">The safety outcomes of the ASCENDE-RT trial </w:t>
      </w:r>
      <w:r>
        <w:t xml:space="preserve">comparing DE-EBRT and EBRT + LDR-BT boost </w:t>
      </w:r>
      <w:r w:rsidRPr="002419B8">
        <w:t xml:space="preserve">were reported in </w:t>
      </w:r>
      <w:r w:rsidR="0093109A">
        <w:t>the previous submission</w:t>
      </w:r>
      <w:r w:rsidRPr="002419B8">
        <w:t xml:space="preserve">; no new findings were reported in </w:t>
      </w:r>
      <w:r w:rsidR="007607A3">
        <w:t>the resubmission</w:t>
      </w:r>
      <w:r w:rsidR="000C1639">
        <w:t>.</w:t>
      </w:r>
    </w:p>
    <w:p w14:paraId="6F7138EA" w14:textId="069D07C4" w:rsidR="00907F4C" w:rsidRDefault="00A7177E" w:rsidP="004560A3">
      <w:pPr>
        <w:autoSpaceDE w:val="0"/>
        <w:autoSpaceDN w:val="0"/>
        <w:adjustRightInd w:val="0"/>
        <w:spacing w:before="0" w:after="0" w:line="240" w:lineRule="auto"/>
      </w:pPr>
      <w:r>
        <w:t xml:space="preserve">Previously MSAC </w:t>
      </w:r>
      <w:r w:rsidR="00907F4C">
        <w:t>concluded that</w:t>
      </w:r>
      <w:r w:rsidR="00907F4C" w:rsidRPr="00907F4C">
        <w:t xml:space="preserve">, relative to DE-EBRT, EBRT </w:t>
      </w:r>
      <w:r w:rsidR="004560A3">
        <w:t>+</w:t>
      </w:r>
      <w:r w:rsidR="00907F4C" w:rsidRPr="00907F4C">
        <w:t xml:space="preserve"> LDR-BT boost has inferior safety in men with high-intermediate and high-risk prostate cancer.</w:t>
      </w:r>
      <w:r>
        <w:t xml:space="preserve"> This conclusion remains unchanged as no new evidence was presented.</w:t>
      </w:r>
    </w:p>
    <w:p w14:paraId="36511D79" w14:textId="513F9540" w:rsidR="00835EBC" w:rsidRDefault="00835EBC" w:rsidP="00835EBC">
      <w:pPr>
        <w:autoSpaceDE w:val="0"/>
        <w:autoSpaceDN w:val="0"/>
        <w:adjustRightInd w:val="0"/>
        <w:spacing w:line="240" w:lineRule="auto"/>
        <w:rPr>
          <w:rStyle w:val="Emphasis"/>
        </w:rPr>
      </w:pPr>
      <w:r w:rsidRPr="00835EBC">
        <w:rPr>
          <w:rStyle w:val="Emphasis"/>
        </w:rPr>
        <w:t>EBRT + LDR-BT boost versus EBRT + HDR-BT boost</w:t>
      </w:r>
    </w:p>
    <w:p w14:paraId="5651AF4E" w14:textId="2D1147C1" w:rsidR="00BA570A" w:rsidRDefault="00BA570A" w:rsidP="00835EBC">
      <w:pPr>
        <w:autoSpaceDE w:val="0"/>
        <w:autoSpaceDN w:val="0"/>
        <w:adjustRightInd w:val="0"/>
        <w:spacing w:line="240" w:lineRule="auto"/>
      </w:pPr>
      <w:r>
        <w:t xml:space="preserve">Relevant evidence for the gastrointestinal and genitourinary toxicity of EBRT + LDR-BT boost compared with EBRT + HDR-BT boost is summarised in </w:t>
      </w:r>
      <w:r>
        <w:fldChar w:fldCharType="begin"/>
      </w:r>
      <w:r>
        <w:instrText xml:space="preserve"> REF _Ref120699414 \h </w:instrText>
      </w:r>
      <w:r>
        <w:fldChar w:fldCharType="separate"/>
      </w:r>
      <w:r w:rsidR="007F6EFD">
        <w:t xml:space="preserve">Table </w:t>
      </w:r>
      <w:r w:rsidR="007F6EFD">
        <w:rPr>
          <w:noProof/>
        </w:rPr>
        <w:t>10</w:t>
      </w:r>
      <w:r>
        <w:fldChar w:fldCharType="end"/>
      </w:r>
      <w:r>
        <w:t>.</w:t>
      </w:r>
    </w:p>
    <w:p w14:paraId="2B19BED3" w14:textId="49A331CB" w:rsidR="00BA570A" w:rsidRDefault="00BA570A" w:rsidP="00835EBC">
      <w:pPr>
        <w:autoSpaceDE w:val="0"/>
        <w:autoSpaceDN w:val="0"/>
        <w:adjustRightInd w:val="0"/>
        <w:spacing w:line="240" w:lineRule="auto"/>
      </w:pPr>
      <w:r>
        <w:t xml:space="preserve">Generally, EBRT + LDR-BT boost was associated with higher cumulative late toxicity incidence than EBRT + HDR-BT boost, however, the </w:t>
      </w:r>
      <w:r w:rsidR="00F278E7">
        <w:t xml:space="preserve">differences did not always reach statistical significance and depended on the choice of outcome measurement (i.e., severity). One study reported significantly worse gastrointestinal and genitourinary toxicity </w:t>
      </w:r>
      <w:r w:rsidR="00E049B2">
        <w:t>G</w:t>
      </w:r>
      <w:r w:rsidR="00F278E7">
        <w:t xml:space="preserve">rade ≥2 after EBRT + LDR-BT boost </w:t>
      </w:r>
      <w:r w:rsidR="00F278E7">
        <w:lastRenderedPageBreak/>
        <w:t>compared with EBRT + HDR-BT boost. It should be noted that the studies were likely underpowered for the safety outcomes. Additionally, all three studies had applicability concerns</w:t>
      </w:r>
      <w:r w:rsidR="00442A22">
        <w:t xml:space="preserve">, </w:t>
      </w:r>
      <w:r w:rsidR="00F278E7">
        <w:t>including a broader population than the Ratified PICO 1525</w:t>
      </w:r>
      <w:r w:rsidR="00907F4C">
        <w:t>, and were at risk of bias</w:t>
      </w:r>
      <w:r w:rsidR="00F278E7">
        <w:t>.</w:t>
      </w:r>
    </w:p>
    <w:p w14:paraId="7D4FC832" w14:textId="30F0AD40" w:rsidR="00F278E7" w:rsidRDefault="00F278E7" w:rsidP="00835EBC">
      <w:pPr>
        <w:autoSpaceDE w:val="0"/>
        <w:autoSpaceDN w:val="0"/>
        <w:adjustRightInd w:val="0"/>
        <w:spacing w:line="240" w:lineRule="auto"/>
        <w:rPr>
          <w:rStyle w:val="Emphasis"/>
        </w:rPr>
      </w:pPr>
      <w:r>
        <w:t xml:space="preserve">Overall, EBRT + LDR-BT </w:t>
      </w:r>
      <w:r w:rsidR="00C45208">
        <w:t xml:space="preserve">boost </w:t>
      </w:r>
      <w:r w:rsidR="004560A3">
        <w:t>may have</w:t>
      </w:r>
      <w:r>
        <w:t xml:space="preserve"> </w:t>
      </w:r>
      <w:r w:rsidR="004560A3">
        <w:t>inferior safety compared with</w:t>
      </w:r>
      <w:r>
        <w:t xml:space="preserve"> EBRT + HDR-BT boost.</w:t>
      </w:r>
    </w:p>
    <w:p w14:paraId="55169AE5" w14:textId="14BA2804" w:rsidR="00BA570A" w:rsidRDefault="00BA570A" w:rsidP="0017060B">
      <w:pPr>
        <w:pStyle w:val="Caption"/>
      </w:pPr>
      <w:bookmarkStart w:id="47" w:name="_Ref122533836"/>
      <w:bookmarkStart w:id="48" w:name="_Ref120699414"/>
      <w:r>
        <w:t xml:space="preserve">Table </w:t>
      </w:r>
      <w:fldSimple w:instr=" SEQ Table \* ARABIC ">
        <w:r w:rsidR="007F6EFD">
          <w:rPr>
            <w:noProof/>
          </w:rPr>
          <w:t>10</w:t>
        </w:r>
      </w:fldSimple>
      <w:bookmarkEnd w:id="47"/>
      <w:bookmarkEnd w:id="48"/>
      <w:r>
        <w:tab/>
        <w:t>Results of safety across the studies</w:t>
      </w:r>
    </w:p>
    <w:tbl>
      <w:tblPr>
        <w:tblStyle w:val="TableGrid"/>
        <w:tblW w:w="0" w:type="auto"/>
        <w:tblLook w:val="04A0" w:firstRow="1" w:lastRow="0" w:firstColumn="1" w:lastColumn="0" w:noHBand="0" w:noVBand="1"/>
      </w:tblPr>
      <w:tblGrid>
        <w:gridCol w:w="1016"/>
        <w:gridCol w:w="992"/>
        <w:gridCol w:w="2752"/>
        <w:gridCol w:w="2713"/>
        <w:gridCol w:w="1543"/>
      </w:tblGrid>
      <w:tr w:rsidR="0057502C" w:rsidRPr="00835EBC" w14:paraId="3B11A64F" w14:textId="77777777" w:rsidTr="00322408">
        <w:trPr>
          <w:tblHeader/>
        </w:trPr>
        <w:tc>
          <w:tcPr>
            <w:tcW w:w="0" w:type="auto"/>
          </w:tcPr>
          <w:p w14:paraId="4A6C339A" w14:textId="01B237FD" w:rsidR="0057502C" w:rsidRPr="00835EBC" w:rsidRDefault="0057502C" w:rsidP="00AD56C3">
            <w:pPr>
              <w:pStyle w:val="TableHeading"/>
              <w:rPr>
                <w:rStyle w:val="Emphasis"/>
                <w:i w:val="0"/>
                <w:iCs w:val="0"/>
              </w:rPr>
            </w:pPr>
            <w:r w:rsidRPr="00835EBC">
              <w:rPr>
                <w:rStyle w:val="Emphasis"/>
                <w:i w:val="0"/>
                <w:iCs w:val="0"/>
              </w:rPr>
              <w:t>Study ID</w:t>
            </w:r>
          </w:p>
        </w:tc>
        <w:tc>
          <w:tcPr>
            <w:tcW w:w="0" w:type="auto"/>
          </w:tcPr>
          <w:p w14:paraId="26AC5915" w14:textId="5885EB22" w:rsidR="0057502C" w:rsidRPr="0057502C" w:rsidRDefault="0057502C">
            <w:pPr>
              <w:pStyle w:val="TableHeading"/>
              <w:rPr>
                <w:rStyle w:val="Emphasis"/>
                <w:i w:val="0"/>
                <w:iCs w:val="0"/>
              </w:rPr>
            </w:pPr>
            <w:r w:rsidRPr="0057502C">
              <w:rPr>
                <w:rStyle w:val="Emphasis"/>
                <w:i w:val="0"/>
                <w:iCs w:val="0"/>
              </w:rPr>
              <w:t>Risk of bias</w:t>
            </w:r>
          </w:p>
        </w:tc>
        <w:tc>
          <w:tcPr>
            <w:tcW w:w="0" w:type="auto"/>
          </w:tcPr>
          <w:p w14:paraId="09FD4324" w14:textId="77777777" w:rsidR="0057502C" w:rsidRDefault="0057502C">
            <w:pPr>
              <w:pStyle w:val="TableHeading"/>
              <w:rPr>
                <w:rStyle w:val="Emphasis"/>
                <w:i w:val="0"/>
                <w:iCs w:val="0"/>
              </w:rPr>
            </w:pPr>
            <w:r w:rsidRPr="0057502C">
              <w:rPr>
                <w:rStyle w:val="Emphasis"/>
                <w:i w:val="0"/>
                <w:iCs w:val="0"/>
              </w:rPr>
              <w:t>Intervention</w:t>
            </w:r>
          </w:p>
          <w:p w14:paraId="34048498" w14:textId="29A189C3" w:rsidR="0057502C" w:rsidRPr="0057502C" w:rsidRDefault="0057502C">
            <w:pPr>
              <w:pStyle w:val="TableHeading"/>
              <w:rPr>
                <w:rStyle w:val="Emphasis"/>
                <w:i w:val="0"/>
                <w:iCs w:val="0"/>
              </w:rPr>
            </w:pPr>
            <w:r>
              <w:rPr>
                <w:rStyle w:val="Emphasis"/>
                <w:i w:val="0"/>
                <w:iCs w:val="0"/>
              </w:rPr>
              <w:t>EBRT + LDR-BT boost</w:t>
            </w:r>
          </w:p>
        </w:tc>
        <w:tc>
          <w:tcPr>
            <w:tcW w:w="0" w:type="auto"/>
          </w:tcPr>
          <w:p w14:paraId="68DCAAE5" w14:textId="77777777" w:rsidR="0057502C" w:rsidRDefault="0057502C">
            <w:pPr>
              <w:pStyle w:val="TableHeading"/>
              <w:rPr>
                <w:rStyle w:val="Emphasis"/>
                <w:i w:val="0"/>
                <w:iCs w:val="0"/>
              </w:rPr>
            </w:pPr>
            <w:r w:rsidRPr="0057502C">
              <w:rPr>
                <w:rStyle w:val="Emphasis"/>
                <w:i w:val="0"/>
                <w:iCs w:val="0"/>
              </w:rPr>
              <w:t>Comparator</w:t>
            </w:r>
          </w:p>
          <w:p w14:paraId="2C5F9968" w14:textId="663AED5F" w:rsidR="0057502C" w:rsidRPr="0057502C" w:rsidRDefault="0057502C">
            <w:pPr>
              <w:pStyle w:val="TableHeading"/>
              <w:rPr>
                <w:rStyle w:val="Emphasis"/>
                <w:i w:val="0"/>
                <w:iCs w:val="0"/>
              </w:rPr>
            </w:pPr>
            <w:r>
              <w:rPr>
                <w:rStyle w:val="Emphasis"/>
                <w:i w:val="0"/>
                <w:iCs w:val="0"/>
              </w:rPr>
              <w:t>EBRT + HDR-BT boost</w:t>
            </w:r>
          </w:p>
        </w:tc>
        <w:tc>
          <w:tcPr>
            <w:tcW w:w="0" w:type="auto"/>
          </w:tcPr>
          <w:p w14:paraId="6A8CEA9E" w14:textId="3EBEDB5D" w:rsidR="0057502C" w:rsidRPr="0057502C" w:rsidRDefault="0057502C">
            <w:pPr>
              <w:pStyle w:val="TableHeading"/>
              <w:rPr>
                <w:rStyle w:val="Emphasis"/>
                <w:i w:val="0"/>
                <w:iCs w:val="0"/>
              </w:rPr>
            </w:pPr>
            <w:r>
              <w:rPr>
                <w:rStyle w:val="Emphasis"/>
                <w:i w:val="0"/>
                <w:iCs w:val="0"/>
              </w:rPr>
              <w:t>Relative difference</w:t>
            </w:r>
          </w:p>
        </w:tc>
      </w:tr>
      <w:tr w:rsidR="00BA570A" w:rsidRPr="00835EBC" w14:paraId="6CD4362D" w14:textId="77777777" w:rsidTr="00322408">
        <w:tc>
          <w:tcPr>
            <w:tcW w:w="0" w:type="auto"/>
            <w:gridSpan w:val="5"/>
          </w:tcPr>
          <w:p w14:paraId="71C34FAB" w14:textId="5DAD5E06" w:rsidR="00BA570A" w:rsidRPr="00835EBC" w:rsidRDefault="00BA570A" w:rsidP="0017060B">
            <w:pPr>
              <w:pStyle w:val="TableText"/>
              <w:keepNext/>
              <w:rPr>
                <w:rStyle w:val="Emphasis"/>
                <w:i w:val="0"/>
                <w:iCs w:val="0"/>
              </w:rPr>
            </w:pPr>
            <w:r w:rsidRPr="00692AFA">
              <w:rPr>
                <w:rStyle w:val="Emphasis"/>
                <w:b/>
                <w:bCs/>
                <w:i w:val="0"/>
                <w:iCs w:val="0"/>
              </w:rPr>
              <w:t xml:space="preserve">Gastrointestinal </w:t>
            </w:r>
            <w:r>
              <w:rPr>
                <w:rStyle w:val="Emphasis"/>
                <w:b/>
                <w:bCs/>
                <w:i w:val="0"/>
                <w:iCs w:val="0"/>
              </w:rPr>
              <w:t>toxicity</w:t>
            </w:r>
          </w:p>
        </w:tc>
      </w:tr>
      <w:tr w:rsidR="0057502C" w:rsidRPr="00835EBC" w14:paraId="4DB2612E" w14:textId="77777777" w:rsidTr="00322408">
        <w:tc>
          <w:tcPr>
            <w:tcW w:w="0" w:type="auto"/>
            <w:tcBorders>
              <w:top w:val="single" w:sz="4" w:space="0" w:color="auto"/>
              <w:left w:val="single" w:sz="4" w:space="0" w:color="auto"/>
              <w:bottom w:val="nil"/>
              <w:right w:val="single" w:sz="4" w:space="0" w:color="auto"/>
            </w:tcBorders>
          </w:tcPr>
          <w:p w14:paraId="242F3B49" w14:textId="2B1B6D11" w:rsidR="0057502C" w:rsidRPr="00835EBC" w:rsidRDefault="0057502C" w:rsidP="0017060B">
            <w:pPr>
              <w:pStyle w:val="TableText"/>
              <w:keepNext/>
              <w:rPr>
                <w:rStyle w:val="Emphasis"/>
                <w:i w:val="0"/>
                <w:iCs w:val="0"/>
              </w:rPr>
            </w:pPr>
            <w:r>
              <w:rPr>
                <w:rStyle w:val="Emphasis"/>
                <w:i w:val="0"/>
                <w:iCs w:val="0"/>
              </w:rPr>
              <w:t>Parry et al. (2020)</w:t>
            </w:r>
          </w:p>
        </w:tc>
        <w:tc>
          <w:tcPr>
            <w:tcW w:w="0" w:type="auto"/>
            <w:tcBorders>
              <w:top w:val="single" w:sz="4" w:space="0" w:color="auto"/>
              <w:left w:val="single" w:sz="4" w:space="0" w:color="auto"/>
              <w:bottom w:val="nil"/>
              <w:right w:val="single" w:sz="4" w:space="0" w:color="auto"/>
            </w:tcBorders>
          </w:tcPr>
          <w:p w14:paraId="50869EA0" w14:textId="35D0937E" w:rsidR="0057502C" w:rsidRPr="00835EBC" w:rsidRDefault="0057502C" w:rsidP="0017060B">
            <w:pPr>
              <w:pStyle w:val="TableText"/>
              <w:keepNext/>
              <w:rPr>
                <w:rStyle w:val="Emphasis"/>
                <w:i w:val="0"/>
                <w:iCs w:val="0"/>
              </w:rPr>
            </w:pPr>
            <w:r>
              <w:rPr>
                <w:rStyle w:val="Emphasis"/>
                <w:i w:val="0"/>
                <w:iCs w:val="0"/>
              </w:rPr>
              <w:t>Moderate</w:t>
            </w:r>
          </w:p>
        </w:tc>
        <w:tc>
          <w:tcPr>
            <w:tcW w:w="0" w:type="auto"/>
            <w:tcBorders>
              <w:left w:val="single" w:sz="4" w:space="0" w:color="auto"/>
            </w:tcBorders>
          </w:tcPr>
          <w:p w14:paraId="43021864" w14:textId="537FA730" w:rsidR="0057502C" w:rsidRPr="00835EBC" w:rsidRDefault="0057502C" w:rsidP="0017060B">
            <w:pPr>
              <w:pStyle w:val="TableText"/>
              <w:keepNext/>
              <w:rPr>
                <w:rStyle w:val="Emphasis"/>
                <w:i w:val="0"/>
                <w:iCs w:val="0"/>
              </w:rPr>
            </w:pPr>
            <w:r>
              <w:rPr>
                <w:rStyle w:val="Emphasis"/>
                <w:i w:val="0"/>
                <w:iCs w:val="0"/>
              </w:rPr>
              <w:t>5-year cumulative incidence (grade ≥2):</w:t>
            </w:r>
            <w:r w:rsidR="00BA570A">
              <w:rPr>
                <w:rStyle w:val="Emphasis"/>
                <w:i w:val="0"/>
                <w:iCs w:val="0"/>
              </w:rPr>
              <w:t xml:space="preserve"> </w:t>
            </w:r>
            <w:r>
              <w:rPr>
                <w:rStyle w:val="Emphasis"/>
                <w:i w:val="0"/>
                <w:iCs w:val="0"/>
              </w:rPr>
              <w:t>32.3% (95% CI 26.9-37.2)</w:t>
            </w:r>
          </w:p>
        </w:tc>
        <w:tc>
          <w:tcPr>
            <w:tcW w:w="0" w:type="auto"/>
          </w:tcPr>
          <w:p w14:paraId="426E88FF" w14:textId="1DFF3704" w:rsidR="0057502C" w:rsidRPr="00835EBC" w:rsidRDefault="0057502C" w:rsidP="0017060B">
            <w:pPr>
              <w:pStyle w:val="TableText"/>
              <w:keepNext/>
              <w:rPr>
                <w:rStyle w:val="Emphasis"/>
                <w:i w:val="0"/>
                <w:iCs w:val="0"/>
              </w:rPr>
            </w:pPr>
            <w:r>
              <w:rPr>
                <w:rStyle w:val="Emphasis"/>
                <w:i w:val="0"/>
                <w:iCs w:val="0"/>
              </w:rPr>
              <w:t>5-year cumulative incidence (grade ≥2): 16.7</w:t>
            </w:r>
            <w:r w:rsidR="006D7EA8">
              <w:rPr>
                <w:rStyle w:val="Emphasis"/>
                <w:i w:val="0"/>
                <w:iCs w:val="0"/>
              </w:rPr>
              <w:t>%</w:t>
            </w:r>
            <w:r>
              <w:rPr>
                <w:rStyle w:val="Emphasis"/>
                <w:i w:val="0"/>
                <w:iCs w:val="0"/>
              </w:rPr>
              <w:t xml:space="preserve"> (95% CI 15.2-18.2)</w:t>
            </w:r>
          </w:p>
        </w:tc>
        <w:tc>
          <w:tcPr>
            <w:tcW w:w="0" w:type="auto"/>
          </w:tcPr>
          <w:p w14:paraId="258A8238" w14:textId="693106E1" w:rsidR="0057502C" w:rsidRPr="00F278E7" w:rsidRDefault="0057502C" w:rsidP="0017060B">
            <w:pPr>
              <w:pStyle w:val="TableText"/>
              <w:keepNext/>
              <w:rPr>
                <w:rStyle w:val="Emphasis"/>
                <w:b/>
                <w:bCs/>
                <w:i w:val="0"/>
                <w:iCs w:val="0"/>
              </w:rPr>
            </w:pPr>
            <w:r w:rsidRPr="00F278E7">
              <w:rPr>
                <w:rStyle w:val="Emphasis"/>
                <w:b/>
                <w:bCs/>
                <w:i w:val="0"/>
                <w:iCs w:val="0"/>
              </w:rPr>
              <w:t>sHR</w:t>
            </w:r>
            <w:r w:rsidR="0004730A">
              <w:rPr>
                <w:rStyle w:val="Emphasis"/>
                <w:b/>
                <w:bCs/>
                <w:i w:val="0"/>
                <w:iCs w:val="0"/>
              </w:rPr>
              <w:t>*</w:t>
            </w:r>
            <w:r w:rsidRPr="00F278E7">
              <w:rPr>
                <w:rStyle w:val="Emphasis"/>
                <w:b/>
                <w:bCs/>
                <w:i w:val="0"/>
                <w:iCs w:val="0"/>
              </w:rPr>
              <w:t>=2.08 (95% CI 1.43-2.94)</w:t>
            </w:r>
          </w:p>
        </w:tc>
      </w:tr>
      <w:tr w:rsidR="0057502C" w:rsidRPr="00835EBC" w14:paraId="282A601D" w14:textId="77777777" w:rsidTr="00322408">
        <w:tc>
          <w:tcPr>
            <w:tcW w:w="0" w:type="auto"/>
            <w:tcBorders>
              <w:top w:val="nil"/>
              <w:left w:val="single" w:sz="4" w:space="0" w:color="auto"/>
              <w:bottom w:val="single" w:sz="4" w:space="0" w:color="auto"/>
              <w:right w:val="single" w:sz="4" w:space="0" w:color="auto"/>
            </w:tcBorders>
          </w:tcPr>
          <w:p w14:paraId="4F46FC73" w14:textId="77777777" w:rsidR="0057502C" w:rsidRPr="00835EBC" w:rsidRDefault="0057502C" w:rsidP="0057502C">
            <w:pPr>
              <w:pStyle w:val="TableText"/>
              <w:rPr>
                <w:rStyle w:val="Emphasis"/>
                <w:i w:val="0"/>
                <w:iCs w:val="0"/>
              </w:rPr>
            </w:pPr>
          </w:p>
        </w:tc>
        <w:tc>
          <w:tcPr>
            <w:tcW w:w="0" w:type="auto"/>
            <w:tcBorders>
              <w:top w:val="nil"/>
              <w:left w:val="single" w:sz="4" w:space="0" w:color="auto"/>
              <w:bottom w:val="single" w:sz="4" w:space="0" w:color="auto"/>
              <w:right w:val="single" w:sz="4" w:space="0" w:color="auto"/>
            </w:tcBorders>
          </w:tcPr>
          <w:p w14:paraId="6DDD8328" w14:textId="77777777" w:rsidR="0057502C" w:rsidRPr="00835EBC" w:rsidRDefault="0057502C" w:rsidP="0057502C">
            <w:pPr>
              <w:pStyle w:val="TableText"/>
              <w:rPr>
                <w:rStyle w:val="Emphasis"/>
                <w:i w:val="0"/>
                <w:iCs w:val="0"/>
              </w:rPr>
            </w:pPr>
          </w:p>
        </w:tc>
        <w:tc>
          <w:tcPr>
            <w:tcW w:w="0" w:type="auto"/>
            <w:tcBorders>
              <w:left w:val="single" w:sz="4" w:space="0" w:color="auto"/>
            </w:tcBorders>
          </w:tcPr>
          <w:p w14:paraId="714FA057" w14:textId="5235EB93" w:rsidR="0057502C" w:rsidRPr="00835EBC" w:rsidRDefault="0057502C" w:rsidP="00BA570A">
            <w:pPr>
              <w:pStyle w:val="TableText"/>
              <w:rPr>
                <w:rStyle w:val="Emphasis"/>
                <w:i w:val="0"/>
                <w:iCs w:val="0"/>
              </w:rPr>
            </w:pPr>
            <w:r>
              <w:rPr>
                <w:rStyle w:val="Emphasis"/>
                <w:i w:val="0"/>
                <w:iCs w:val="0"/>
              </w:rPr>
              <w:t>5-year cumulative incidence (</w:t>
            </w:r>
            <w:r w:rsidR="00692AFA">
              <w:rPr>
                <w:rStyle w:val="Emphasis"/>
                <w:i w:val="0"/>
                <w:iCs w:val="0"/>
              </w:rPr>
              <w:t xml:space="preserve">severe, </w:t>
            </w:r>
            <w:r>
              <w:rPr>
                <w:rStyle w:val="Emphasis"/>
                <w:i w:val="0"/>
                <w:iCs w:val="0"/>
              </w:rPr>
              <w:t>grade ≥</w:t>
            </w:r>
            <w:r w:rsidR="00692AFA">
              <w:rPr>
                <w:rStyle w:val="Emphasis"/>
                <w:i w:val="0"/>
                <w:iCs w:val="0"/>
              </w:rPr>
              <w:t>3</w:t>
            </w:r>
            <w:r>
              <w:rPr>
                <w:rStyle w:val="Emphasis"/>
                <w:i w:val="0"/>
                <w:iCs w:val="0"/>
              </w:rPr>
              <w:t>):</w:t>
            </w:r>
            <w:r w:rsidR="00BA570A">
              <w:rPr>
                <w:rStyle w:val="Emphasis"/>
                <w:i w:val="0"/>
                <w:iCs w:val="0"/>
              </w:rPr>
              <w:t xml:space="preserve"> </w:t>
            </w:r>
            <w:r>
              <w:rPr>
                <w:rStyle w:val="Emphasis"/>
                <w:i w:val="0"/>
                <w:iCs w:val="0"/>
              </w:rPr>
              <w:t>5.1</w:t>
            </w:r>
            <w:r w:rsidR="00692AFA">
              <w:rPr>
                <w:rStyle w:val="Emphasis"/>
                <w:i w:val="0"/>
                <w:iCs w:val="0"/>
              </w:rPr>
              <w:t>% (95% CI 2.9-8.2)</w:t>
            </w:r>
          </w:p>
        </w:tc>
        <w:tc>
          <w:tcPr>
            <w:tcW w:w="0" w:type="auto"/>
          </w:tcPr>
          <w:p w14:paraId="16C71E46" w14:textId="3C4D110D" w:rsidR="0057502C" w:rsidRPr="00835EBC" w:rsidRDefault="00692AFA" w:rsidP="0057502C">
            <w:pPr>
              <w:pStyle w:val="TableText"/>
              <w:rPr>
                <w:rStyle w:val="Emphasis"/>
                <w:i w:val="0"/>
                <w:iCs w:val="0"/>
              </w:rPr>
            </w:pPr>
            <w:r>
              <w:rPr>
                <w:rStyle w:val="Emphasis"/>
                <w:i w:val="0"/>
                <w:iCs w:val="0"/>
              </w:rPr>
              <w:t>5-year cumulative incidence (severe, grade ≥3): 1.8% (95% CI 1.4-2.8)</w:t>
            </w:r>
          </w:p>
        </w:tc>
        <w:tc>
          <w:tcPr>
            <w:tcW w:w="0" w:type="auto"/>
          </w:tcPr>
          <w:p w14:paraId="6FE10FDC" w14:textId="1CEE4E26" w:rsidR="0057502C" w:rsidRPr="00835EBC" w:rsidRDefault="00692AFA" w:rsidP="0057502C">
            <w:pPr>
              <w:pStyle w:val="TableText"/>
              <w:rPr>
                <w:rStyle w:val="Emphasis"/>
                <w:i w:val="0"/>
                <w:iCs w:val="0"/>
              </w:rPr>
            </w:pPr>
            <w:r>
              <w:rPr>
                <w:rStyle w:val="Emphasis"/>
                <w:i w:val="0"/>
                <w:iCs w:val="0"/>
              </w:rPr>
              <w:t>p-value NR</w:t>
            </w:r>
          </w:p>
        </w:tc>
      </w:tr>
      <w:tr w:rsidR="0057502C" w:rsidRPr="00835EBC" w14:paraId="6CE10A29" w14:textId="77777777" w:rsidTr="00322408">
        <w:tc>
          <w:tcPr>
            <w:tcW w:w="0" w:type="auto"/>
            <w:tcBorders>
              <w:top w:val="single" w:sz="4" w:space="0" w:color="auto"/>
            </w:tcBorders>
          </w:tcPr>
          <w:p w14:paraId="7CB5EF4E" w14:textId="462D199C" w:rsidR="0057502C" w:rsidRPr="00835EBC" w:rsidRDefault="00692AFA" w:rsidP="0057502C">
            <w:pPr>
              <w:pStyle w:val="TableText"/>
              <w:rPr>
                <w:rStyle w:val="Emphasis"/>
                <w:i w:val="0"/>
                <w:iCs w:val="0"/>
              </w:rPr>
            </w:pPr>
            <w:r>
              <w:rPr>
                <w:rStyle w:val="Emphasis"/>
                <w:i w:val="0"/>
                <w:iCs w:val="0"/>
              </w:rPr>
              <w:t>Dhere et al. (2021)</w:t>
            </w:r>
          </w:p>
        </w:tc>
        <w:tc>
          <w:tcPr>
            <w:tcW w:w="0" w:type="auto"/>
            <w:tcBorders>
              <w:top w:val="single" w:sz="4" w:space="0" w:color="auto"/>
            </w:tcBorders>
          </w:tcPr>
          <w:p w14:paraId="4C3DE0DB" w14:textId="7924A527" w:rsidR="0057502C" w:rsidRPr="00835EBC" w:rsidRDefault="00692AFA" w:rsidP="0057502C">
            <w:pPr>
              <w:pStyle w:val="TableText"/>
              <w:rPr>
                <w:rStyle w:val="Emphasis"/>
                <w:i w:val="0"/>
                <w:iCs w:val="0"/>
              </w:rPr>
            </w:pPr>
            <w:r>
              <w:rPr>
                <w:rStyle w:val="Emphasis"/>
                <w:i w:val="0"/>
                <w:iCs w:val="0"/>
              </w:rPr>
              <w:t>Serious</w:t>
            </w:r>
          </w:p>
        </w:tc>
        <w:tc>
          <w:tcPr>
            <w:tcW w:w="0" w:type="auto"/>
          </w:tcPr>
          <w:p w14:paraId="6AAA7B12" w14:textId="5FBF22FD" w:rsidR="0057502C" w:rsidRPr="00835EBC" w:rsidRDefault="00692AFA" w:rsidP="0057502C">
            <w:pPr>
              <w:pStyle w:val="TableText"/>
              <w:rPr>
                <w:rStyle w:val="Emphasis"/>
                <w:i w:val="0"/>
                <w:iCs w:val="0"/>
              </w:rPr>
            </w:pPr>
            <w:r>
              <w:rPr>
                <w:rStyle w:val="Emphasis"/>
                <w:i w:val="0"/>
                <w:iCs w:val="0"/>
              </w:rPr>
              <w:t>Late toxicity (grade ≥2) at years 1-3 post-treatment: 2.6%</w:t>
            </w:r>
          </w:p>
        </w:tc>
        <w:tc>
          <w:tcPr>
            <w:tcW w:w="0" w:type="auto"/>
          </w:tcPr>
          <w:p w14:paraId="29404592" w14:textId="3153C327" w:rsidR="0057502C" w:rsidRPr="00835EBC" w:rsidRDefault="00692AFA" w:rsidP="0057502C">
            <w:pPr>
              <w:pStyle w:val="TableText"/>
              <w:rPr>
                <w:rStyle w:val="Emphasis"/>
                <w:i w:val="0"/>
                <w:iCs w:val="0"/>
              </w:rPr>
            </w:pPr>
            <w:r>
              <w:rPr>
                <w:rStyle w:val="Emphasis"/>
                <w:i w:val="0"/>
                <w:iCs w:val="0"/>
              </w:rPr>
              <w:t>Late toxicity (grade ≥2) at years 1-3 post-treatment: 2.0%</w:t>
            </w:r>
          </w:p>
        </w:tc>
        <w:tc>
          <w:tcPr>
            <w:tcW w:w="0" w:type="auto"/>
          </w:tcPr>
          <w:p w14:paraId="21B9B853" w14:textId="08A0F0D7" w:rsidR="0057502C" w:rsidRPr="00835EBC" w:rsidRDefault="00692AFA" w:rsidP="0057502C">
            <w:pPr>
              <w:pStyle w:val="TableText"/>
              <w:rPr>
                <w:rStyle w:val="Emphasis"/>
                <w:i w:val="0"/>
                <w:iCs w:val="0"/>
              </w:rPr>
            </w:pPr>
            <w:r>
              <w:rPr>
                <w:rStyle w:val="Emphasis"/>
                <w:i w:val="0"/>
                <w:iCs w:val="0"/>
              </w:rPr>
              <w:t>p=1.00</w:t>
            </w:r>
          </w:p>
        </w:tc>
      </w:tr>
      <w:tr w:rsidR="0057502C" w:rsidRPr="00835EBC" w14:paraId="285BD8E8" w14:textId="77777777" w:rsidTr="00322408">
        <w:tc>
          <w:tcPr>
            <w:tcW w:w="0" w:type="auto"/>
          </w:tcPr>
          <w:p w14:paraId="104FC813" w14:textId="3F9E20E7" w:rsidR="0057502C" w:rsidRPr="00835EBC" w:rsidRDefault="00692AFA" w:rsidP="0057502C">
            <w:pPr>
              <w:pStyle w:val="TableText"/>
              <w:rPr>
                <w:rStyle w:val="Emphasis"/>
                <w:i w:val="0"/>
                <w:iCs w:val="0"/>
              </w:rPr>
            </w:pPr>
            <w:r>
              <w:rPr>
                <w:rStyle w:val="Emphasis"/>
                <w:i w:val="0"/>
                <w:iCs w:val="0"/>
              </w:rPr>
              <w:t xml:space="preserve">Slevin et al. </w:t>
            </w:r>
            <w:r w:rsidR="00F278E7" w:rsidRPr="00F278E7">
              <w:rPr>
                <w:rStyle w:val="Emphasis"/>
                <w:i w:val="0"/>
                <w:iCs w:val="0"/>
              </w:rPr>
              <w:t>(2020)</w:t>
            </w:r>
          </w:p>
        </w:tc>
        <w:tc>
          <w:tcPr>
            <w:tcW w:w="0" w:type="auto"/>
          </w:tcPr>
          <w:p w14:paraId="6B2A0F52" w14:textId="7D7A71F3" w:rsidR="0057502C" w:rsidRPr="00835EBC" w:rsidRDefault="00692AFA" w:rsidP="0057502C">
            <w:pPr>
              <w:pStyle w:val="TableText"/>
              <w:rPr>
                <w:rStyle w:val="Emphasis"/>
                <w:i w:val="0"/>
                <w:iCs w:val="0"/>
              </w:rPr>
            </w:pPr>
            <w:r>
              <w:rPr>
                <w:rStyle w:val="Emphasis"/>
                <w:i w:val="0"/>
                <w:iCs w:val="0"/>
              </w:rPr>
              <w:t>Serious</w:t>
            </w:r>
          </w:p>
        </w:tc>
        <w:tc>
          <w:tcPr>
            <w:tcW w:w="0" w:type="auto"/>
          </w:tcPr>
          <w:p w14:paraId="5FBB3A12" w14:textId="3485D4DB" w:rsidR="0057502C" w:rsidRPr="00835EBC" w:rsidRDefault="00B235C7" w:rsidP="0057502C">
            <w:pPr>
              <w:pStyle w:val="TableText"/>
              <w:rPr>
                <w:rStyle w:val="Emphasis"/>
                <w:i w:val="0"/>
                <w:iCs w:val="0"/>
              </w:rPr>
            </w:pPr>
            <w:r w:rsidRPr="00B235C7">
              <w:rPr>
                <w:rStyle w:val="Emphasis"/>
                <w:i w:val="0"/>
                <w:iCs w:val="0"/>
              </w:rPr>
              <w:t>5-year c</w:t>
            </w:r>
            <w:r w:rsidR="00692AFA" w:rsidRPr="00B235C7">
              <w:rPr>
                <w:rStyle w:val="Emphasis"/>
                <w:i w:val="0"/>
                <w:iCs w:val="0"/>
              </w:rPr>
              <w:t>umulative</w:t>
            </w:r>
            <w:r w:rsidR="00692AFA">
              <w:rPr>
                <w:rStyle w:val="Emphasis"/>
                <w:i w:val="0"/>
                <w:iCs w:val="0"/>
              </w:rPr>
              <w:t xml:space="preserve"> incidence (severe, grade ≥3): 5%</w:t>
            </w:r>
          </w:p>
        </w:tc>
        <w:tc>
          <w:tcPr>
            <w:tcW w:w="0" w:type="auto"/>
          </w:tcPr>
          <w:p w14:paraId="2CAFB515" w14:textId="7FB0845A" w:rsidR="0057502C" w:rsidRPr="00835EBC" w:rsidRDefault="00B235C7" w:rsidP="0057502C">
            <w:pPr>
              <w:pStyle w:val="TableText"/>
              <w:rPr>
                <w:rStyle w:val="Emphasis"/>
                <w:i w:val="0"/>
                <w:iCs w:val="0"/>
              </w:rPr>
            </w:pPr>
            <w:r w:rsidRPr="00B235C7">
              <w:rPr>
                <w:rStyle w:val="Emphasis"/>
                <w:i w:val="0"/>
                <w:iCs w:val="0"/>
              </w:rPr>
              <w:t>5-year cumulative</w:t>
            </w:r>
            <w:r>
              <w:rPr>
                <w:rStyle w:val="Emphasis"/>
                <w:i w:val="0"/>
                <w:iCs w:val="0"/>
              </w:rPr>
              <w:t xml:space="preserve"> </w:t>
            </w:r>
            <w:r w:rsidR="00692AFA">
              <w:rPr>
                <w:rStyle w:val="Emphasis"/>
                <w:i w:val="0"/>
                <w:iCs w:val="0"/>
              </w:rPr>
              <w:t>incidence (severe, grade ≥3): 1%</w:t>
            </w:r>
          </w:p>
        </w:tc>
        <w:tc>
          <w:tcPr>
            <w:tcW w:w="0" w:type="auto"/>
          </w:tcPr>
          <w:p w14:paraId="6BC2B9B9" w14:textId="5F6BBF07" w:rsidR="0057502C" w:rsidRPr="00835EBC" w:rsidRDefault="00692AFA" w:rsidP="0057502C">
            <w:pPr>
              <w:pStyle w:val="TableText"/>
              <w:rPr>
                <w:rStyle w:val="Emphasis"/>
                <w:i w:val="0"/>
                <w:iCs w:val="0"/>
              </w:rPr>
            </w:pPr>
            <w:r>
              <w:rPr>
                <w:rStyle w:val="Emphasis"/>
                <w:i w:val="0"/>
                <w:iCs w:val="0"/>
              </w:rPr>
              <w:t>p=0.13</w:t>
            </w:r>
          </w:p>
        </w:tc>
      </w:tr>
      <w:tr w:rsidR="00BA570A" w:rsidRPr="00835EBC" w14:paraId="4745C610" w14:textId="77777777" w:rsidTr="00322408">
        <w:tc>
          <w:tcPr>
            <w:tcW w:w="0" w:type="auto"/>
            <w:gridSpan w:val="5"/>
          </w:tcPr>
          <w:p w14:paraId="7B9CBE84" w14:textId="391C30CA" w:rsidR="00BA570A" w:rsidRPr="00835EBC" w:rsidRDefault="00BA570A" w:rsidP="00E80B7D">
            <w:pPr>
              <w:pStyle w:val="TableText"/>
              <w:keepNext/>
              <w:keepLines/>
              <w:rPr>
                <w:rStyle w:val="Emphasis"/>
                <w:i w:val="0"/>
                <w:iCs w:val="0"/>
              </w:rPr>
            </w:pPr>
            <w:r>
              <w:rPr>
                <w:rStyle w:val="Emphasis"/>
                <w:b/>
                <w:bCs/>
                <w:i w:val="0"/>
                <w:iCs w:val="0"/>
              </w:rPr>
              <w:t>Genitourinary</w:t>
            </w:r>
            <w:r w:rsidRPr="00692AFA">
              <w:rPr>
                <w:rStyle w:val="Emphasis"/>
                <w:b/>
                <w:bCs/>
                <w:i w:val="0"/>
                <w:iCs w:val="0"/>
              </w:rPr>
              <w:t xml:space="preserve"> </w:t>
            </w:r>
            <w:r>
              <w:rPr>
                <w:rStyle w:val="Emphasis"/>
                <w:b/>
                <w:bCs/>
                <w:i w:val="0"/>
                <w:iCs w:val="0"/>
              </w:rPr>
              <w:t>toxicity</w:t>
            </w:r>
          </w:p>
        </w:tc>
      </w:tr>
      <w:tr w:rsidR="00692AFA" w:rsidRPr="00835EBC" w14:paraId="5F0DCD82" w14:textId="77777777" w:rsidTr="00322408">
        <w:tc>
          <w:tcPr>
            <w:tcW w:w="0" w:type="auto"/>
            <w:tcBorders>
              <w:top w:val="single" w:sz="4" w:space="0" w:color="auto"/>
              <w:left w:val="single" w:sz="4" w:space="0" w:color="auto"/>
              <w:bottom w:val="nil"/>
              <w:right w:val="single" w:sz="4" w:space="0" w:color="auto"/>
            </w:tcBorders>
          </w:tcPr>
          <w:p w14:paraId="5ACC343E" w14:textId="21D6A5C5" w:rsidR="00692AFA" w:rsidRPr="00835EBC" w:rsidRDefault="00692AFA" w:rsidP="00E80B7D">
            <w:pPr>
              <w:pStyle w:val="TableText"/>
              <w:keepNext/>
              <w:keepLines/>
              <w:rPr>
                <w:rStyle w:val="Emphasis"/>
                <w:i w:val="0"/>
                <w:iCs w:val="0"/>
              </w:rPr>
            </w:pPr>
            <w:r>
              <w:rPr>
                <w:rStyle w:val="Emphasis"/>
                <w:i w:val="0"/>
                <w:iCs w:val="0"/>
              </w:rPr>
              <w:t>Parry et al. (2020)</w:t>
            </w:r>
          </w:p>
        </w:tc>
        <w:tc>
          <w:tcPr>
            <w:tcW w:w="0" w:type="auto"/>
            <w:tcBorders>
              <w:top w:val="single" w:sz="4" w:space="0" w:color="auto"/>
              <w:left w:val="single" w:sz="4" w:space="0" w:color="auto"/>
              <w:bottom w:val="nil"/>
              <w:right w:val="single" w:sz="4" w:space="0" w:color="auto"/>
            </w:tcBorders>
          </w:tcPr>
          <w:p w14:paraId="44BE7F27" w14:textId="60641C3A" w:rsidR="00692AFA" w:rsidRPr="00835EBC" w:rsidRDefault="00692AFA" w:rsidP="00E80B7D">
            <w:pPr>
              <w:pStyle w:val="TableText"/>
              <w:keepNext/>
              <w:keepLines/>
              <w:rPr>
                <w:rStyle w:val="Emphasis"/>
                <w:i w:val="0"/>
                <w:iCs w:val="0"/>
              </w:rPr>
            </w:pPr>
            <w:r>
              <w:rPr>
                <w:rStyle w:val="Emphasis"/>
                <w:i w:val="0"/>
                <w:iCs w:val="0"/>
              </w:rPr>
              <w:t>Moderate</w:t>
            </w:r>
          </w:p>
        </w:tc>
        <w:tc>
          <w:tcPr>
            <w:tcW w:w="0" w:type="auto"/>
            <w:tcBorders>
              <w:left w:val="single" w:sz="4" w:space="0" w:color="auto"/>
            </w:tcBorders>
          </w:tcPr>
          <w:p w14:paraId="66FD25F5" w14:textId="567D5F5B" w:rsidR="00692AFA" w:rsidRPr="00835EBC" w:rsidRDefault="00692AFA" w:rsidP="00E80B7D">
            <w:pPr>
              <w:pStyle w:val="TableText"/>
              <w:keepNext/>
              <w:keepLines/>
              <w:rPr>
                <w:rStyle w:val="Emphasis"/>
                <w:i w:val="0"/>
                <w:iCs w:val="0"/>
              </w:rPr>
            </w:pPr>
            <w:r>
              <w:rPr>
                <w:rStyle w:val="Emphasis"/>
                <w:i w:val="0"/>
                <w:iCs w:val="0"/>
              </w:rPr>
              <w:t>5-year cumulative incidence (grade ≥2):</w:t>
            </w:r>
            <w:r w:rsidR="00BA570A">
              <w:rPr>
                <w:rStyle w:val="Emphasis"/>
                <w:i w:val="0"/>
                <w:iCs w:val="0"/>
              </w:rPr>
              <w:t xml:space="preserve"> </w:t>
            </w:r>
            <w:r>
              <w:rPr>
                <w:rStyle w:val="Emphasis"/>
                <w:i w:val="0"/>
                <w:iCs w:val="0"/>
              </w:rPr>
              <w:t>15.8% (95% CI 11.9-20.2)</w:t>
            </w:r>
          </w:p>
        </w:tc>
        <w:tc>
          <w:tcPr>
            <w:tcW w:w="0" w:type="auto"/>
          </w:tcPr>
          <w:p w14:paraId="18A61660" w14:textId="0DF46A98" w:rsidR="00692AFA" w:rsidRPr="00835EBC" w:rsidRDefault="00692AFA" w:rsidP="00E80B7D">
            <w:pPr>
              <w:pStyle w:val="TableText"/>
              <w:keepNext/>
              <w:keepLines/>
              <w:rPr>
                <w:rStyle w:val="Emphasis"/>
                <w:i w:val="0"/>
                <w:iCs w:val="0"/>
              </w:rPr>
            </w:pPr>
            <w:r>
              <w:rPr>
                <w:rStyle w:val="Emphasis"/>
                <w:i w:val="0"/>
                <w:iCs w:val="0"/>
              </w:rPr>
              <w:t>5-year cumulative incidence (grade ≥2): 16.6 (95% CI 15.1-18.2)</w:t>
            </w:r>
          </w:p>
        </w:tc>
        <w:tc>
          <w:tcPr>
            <w:tcW w:w="0" w:type="auto"/>
          </w:tcPr>
          <w:p w14:paraId="36B529B5" w14:textId="3C5FC60B" w:rsidR="00692AFA" w:rsidRPr="00835EBC" w:rsidRDefault="00692AFA" w:rsidP="00E80B7D">
            <w:pPr>
              <w:pStyle w:val="TableText"/>
              <w:keepNext/>
              <w:keepLines/>
              <w:rPr>
                <w:rStyle w:val="Emphasis"/>
                <w:i w:val="0"/>
                <w:iCs w:val="0"/>
              </w:rPr>
            </w:pPr>
            <w:r>
              <w:rPr>
                <w:rStyle w:val="Emphasis"/>
                <w:i w:val="0"/>
                <w:iCs w:val="0"/>
              </w:rPr>
              <w:t>NS</w:t>
            </w:r>
          </w:p>
        </w:tc>
      </w:tr>
      <w:tr w:rsidR="00692AFA" w:rsidRPr="00835EBC" w14:paraId="715C26AF" w14:textId="77777777" w:rsidTr="00322408">
        <w:tc>
          <w:tcPr>
            <w:tcW w:w="0" w:type="auto"/>
            <w:tcBorders>
              <w:top w:val="nil"/>
              <w:left w:val="single" w:sz="4" w:space="0" w:color="auto"/>
              <w:bottom w:val="single" w:sz="4" w:space="0" w:color="auto"/>
              <w:right w:val="single" w:sz="4" w:space="0" w:color="auto"/>
            </w:tcBorders>
          </w:tcPr>
          <w:p w14:paraId="297C3E72" w14:textId="77777777" w:rsidR="00692AFA" w:rsidRPr="00835EBC" w:rsidRDefault="00692AFA" w:rsidP="00692AFA">
            <w:pPr>
              <w:pStyle w:val="TableText"/>
              <w:rPr>
                <w:rStyle w:val="Emphasis"/>
                <w:i w:val="0"/>
                <w:iCs w:val="0"/>
              </w:rPr>
            </w:pPr>
          </w:p>
        </w:tc>
        <w:tc>
          <w:tcPr>
            <w:tcW w:w="0" w:type="auto"/>
            <w:tcBorders>
              <w:top w:val="nil"/>
              <w:left w:val="single" w:sz="4" w:space="0" w:color="auto"/>
              <w:bottom w:val="single" w:sz="4" w:space="0" w:color="auto"/>
              <w:right w:val="single" w:sz="4" w:space="0" w:color="auto"/>
            </w:tcBorders>
          </w:tcPr>
          <w:p w14:paraId="1E74532A" w14:textId="77777777" w:rsidR="00692AFA" w:rsidRPr="00835EBC" w:rsidRDefault="00692AFA" w:rsidP="00692AFA">
            <w:pPr>
              <w:pStyle w:val="TableText"/>
              <w:rPr>
                <w:rStyle w:val="Emphasis"/>
                <w:i w:val="0"/>
                <w:iCs w:val="0"/>
              </w:rPr>
            </w:pPr>
          </w:p>
        </w:tc>
        <w:tc>
          <w:tcPr>
            <w:tcW w:w="0" w:type="auto"/>
            <w:tcBorders>
              <w:left w:val="single" w:sz="4" w:space="0" w:color="auto"/>
            </w:tcBorders>
          </w:tcPr>
          <w:p w14:paraId="6FA72B20" w14:textId="3AFCA9E6" w:rsidR="00692AFA" w:rsidRPr="00835EBC" w:rsidRDefault="00692AFA" w:rsidP="00BA570A">
            <w:pPr>
              <w:pStyle w:val="TableText"/>
              <w:rPr>
                <w:rStyle w:val="Emphasis"/>
                <w:i w:val="0"/>
                <w:iCs w:val="0"/>
              </w:rPr>
            </w:pPr>
            <w:r>
              <w:rPr>
                <w:rStyle w:val="Emphasis"/>
                <w:i w:val="0"/>
                <w:iCs w:val="0"/>
              </w:rPr>
              <w:t>5-year cumulative incidence (severe, grade ≥3):</w:t>
            </w:r>
            <w:r w:rsidR="00BA570A">
              <w:rPr>
                <w:rStyle w:val="Emphasis"/>
                <w:i w:val="0"/>
                <w:iCs w:val="0"/>
              </w:rPr>
              <w:t xml:space="preserve"> </w:t>
            </w:r>
            <w:r>
              <w:rPr>
                <w:rStyle w:val="Emphasis"/>
                <w:i w:val="0"/>
                <w:iCs w:val="0"/>
              </w:rPr>
              <w:t>11.1% (95% CI 7.8-15.1)</w:t>
            </w:r>
          </w:p>
        </w:tc>
        <w:tc>
          <w:tcPr>
            <w:tcW w:w="0" w:type="auto"/>
          </w:tcPr>
          <w:p w14:paraId="7B2E65A7" w14:textId="6312F8D2" w:rsidR="00692AFA" w:rsidRPr="00835EBC" w:rsidRDefault="00692AFA" w:rsidP="00692AFA">
            <w:pPr>
              <w:pStyle w:val="TableText"/>
              <w:rPr>
                <w:rStyle w:val="Emphasis"/>
                <w:i w:val="0"/>
                <w:iCs w:val="0"/>
              </w:rPr>
            </w:pPr>
            <w:r>
              <w:rPr>
                <w:rStyle w:val="Emphasis"/>
                <w:i w:val="0"/>
                <w:iCs w:val="0"/>
              </w:rPr>
              <w:t>5-year cumulative incidence (severe, grade ≥3): 9.0% (95% CI 7.9-10.2)</w:t>
            </w:r>
          </w:p>
        </w:tc>
        <w:tc>
          <w:tcPr>
            <w:tcW w:w="0" w:type="auto"/>
          </w:tcPr>
          <w:p w14:paraId="3DFEC1C3" w14:textId="615165CA" w:rsidR="00692AFA" w:rsidRPr="00835EBC" w:rsidRDefault="00692AFA" w:rsidP="00692AFA">
            <w:pPr>
              <w:pStyle w:val="TableText"/>
              <w:rPr>
                <w:rStyle w:val="Emphasis"/>
                <w:i w:val="0"/>
                <w:iCs w:val="0"/>
              </w:rPr>
            </w:pPr>
            <w:r>
              <w:rPr>
                <w:rStyle w:val="Emphasis"/>
                <w:i w:val="0"/>
                <w:iCs w:val="0"/>
              </w:rPr>
              <w:t>p-value NR</w:t>
            </w:r>
          </w:p>
        </w:tc>
      </w:tr>
      <w:tr w:rsidR="00BA570A" w:rsidRPr="00835EBC" w14:paraId="43070113" w14:textId="77777777" w:rsidTr="00322408">
        <w:tc>
          <w:tcPr>
            <w:tcW w:w="0" w:type="auto"/>
            <w:tcBorders>
              <w:top w:val="single" w:sz="4" w:space="0" w:color="auto"/>
              <w:left w:val="single" w:sz="4" w:space="0" w:color="auto"/>
              <w:bottom w:val="nil"/>
              <w:right w:val="single" w:sz="4" w:space="0" w:color="auto"/>
            </w:tcBorders>
          </w:tcPr>
          <w:p w14:paraId="70D0BC62" w14:textId="5F8960AC" w:rsidR="00BA570A" w:rsidRPr="00835EBC" w:rsidRDefault="00BA570A" w:rsidP="00BA570A">
            <w:pPr>
              <w:pStyle w:val="TableText"/>
              <w:rPr>
                <w:rStyle w:val="Emphasis"/>
                <w:i w:val="0"/>
                <w:iCs w:val="0"/>
              </w:rPr>
            </w:pPr>
            <w:r>
              <w:rPr>
                <w:rStyle w:val="Emphasis"/>
                <w:i w:val="0"/>
                <w:iCs w:val="0"/>
              </w:rPr>
              <w:t>Dhere et al. (2021)</w:t>
            </w:r>
          </w:p>
        </w:tc>
        <w:tc>
          <w:tcPr>
            <w:tcW w:w="0" w:type="auto"/>
            <w:tcBorders>
              <w:top w:val="single" w:sz="4" w:space="0" w:color="auto"/>
              <w:left w:val="single" w:sz="4" w:space="0" w:color="auto"/>
              <w:bottom w:val="nil"/>
              <w:right w:val="single" w:sz="4" w:space="0" w:color="auto"/>
            </w:tcBorders>
          </w:tcPr>
          <w:p w14:paraId="12D7EAE0" w14:textId="344E85F2" w:rsidR="00BA570A" w:rsidRPr="00835EBC" w:rsidRDefault="00BA570A" w:rsidP="00BA570A">
            <w:pPr>
              <w:pStyle w:val="TableText"/>
              <w:rPr>
                <w:rStyle w:val="Emphasis"/>
                <w:i w:val="0"/>
                <w:iCs w:val="0"/>
              </w:rPr>
            </w:pPr>
            <w:r>
              <w:rPr>
                <w:rStyle w:val="Emphasis"/>
                <w:i w:val="0"/>
                <w:iCs w:val="0"/>
              </w:rPr>
              <w:t>Serious</w:t>
            </w:r>
          </w:p>
        </w:tc>
        <w:tc>
          <w:tcPr>
            <w:tcW w:w="0" w:type="auto"/>
            <w:tcBorders>
              <w:left w:val="single" w:sz="4" w:space="0" w:color="auto"/>
            </w:tcBorders>
          </w:tcPr>
          <w:p w14:paraId="005A3CD1" w14:textId="66557DC4" w:rsidR="00BA570A" w:rsidRPr="00835EBC" w:rsidRDefault="00BA570A" w:rsidP="00BA570A">
            <w:pPr>
              <w:pStyle w:val="TableText"/>
              <w:rPr>
                <w:rStyle w:val="Emphasis"/>
                <w:i w:val="0"/>
                <w:iCs w:val="0"/>
              </w:rPr>
            </w:pPr>
            <w:r>
              <w:rPr>
                <w:rStyle w:val="Emphasis"/>
                <w:i w:val="0"/>
                <w:iCs w:val="0"/>
              </w:rPr>
              <w:t>Late toxicity (grade ≥2) at years 1-3 post-treatment: 67.5%</w:t>
            </w:r>
          </w:p>
        </w:tc>
        <w:tc>
          <w:tcPr>
            <w:tcW w:w="0" w:type="auto"/>
          </w:tcPr>
          <w:p w14:paraId="20DBBC33" w14:textId="63CE332F" w:rsidR="00BA570A" w:rsidRPr="00835EBC" w:rsidRDefault="00BA570A" w:rsidP="00BA570A">
            <w:pPr>
              <w:pStyle w:val="TableText"/>
              <w:rPr>
                <w:rStyle w:val="Emphasis"/>
                <w:i w:val="0"/>
                <w:iCs w:val="0"/>
              </w:rPr>
            </w:pPr>
            <w:r>
              <w:rPr>
                <w:rStyle w:val="Emphasis"/>
                <w:i w:val="0"/>
                <w:iCs w:val="0"/>
              </w:rPr>
              <w:t>Late toxicity (grade ≥2) at years 1-3 post-treatment: 42.9%</w:t>
            </w:r>
          </w:p>
        </w:tc>
        <w:tc>
          <w:tcPr>
            <w:tcW w:w="0" w:type="auto"/>
          </w:tcPr>
          <w:p w14:paraId="28CFB2B1" w14:textId="03D92798" w:rsidR="00BA570A" w:rsidRPr="00F278E7" w:rsidRDefault="00BA570A" w:rsidP="00BA570A">
            <w:pPr>
              <w:pStyle w:val="TableText"/>
              <w:rPr>
                <w:rStyle w:val="Emphasis"/>
                <w:b/>
                <w:bCs/>
                <w:i w:val="0"/>
                <w:iCs w:val="0"/>
              </w:rPr>
            </w:pPr>
            <w:r w:rsidRPr="00F278E7">
              <w:rPr>
                <w:rStyle w:val="Emphasis"/>
                <w:b/>
                <w:bCs/>
                <w:i w:val="0"/>
                <w:iCs w:val="0"/>
              </w:rPr>
              <w:t>p&lt;0.001</w:t>
            </w:r>
          </w:p>
        </w:tc>
      </w:tr>
      <w:tr w:rsidR="00BA570A" w:rsidRPr="00835EBC" w14:paraId="0189B61D" w14:textId="77777777" w:rsidTr="00B235C7">
        <w:tc>
          <w:tcPr>
            <w:tcW w:w="0" w:type="auto"/>
            <w:tcBorders>
              <w:top w:val="nil"/>
              <w:left w:val="single" w:sz="4" w:space="0" w:color="auto"/>
              <w:bottom w:val="single" w:sz="4" w:space="0" w:color="auto"/>
              <w:right w:val="single" w:sz="4" w:space="0" w:color="auto"/>
            </w:tcBorders>
          </w:tcPr>
          <w:p w14:paraId="3317CF6C" w14:textId="77777777" w:rsidR="00BA570A" w:rsidRDefault="00BA570A" w:rsidP="00BA570A">
            <w:pPr>
              <w:pStyle w:val="TableText"/>
              <w:rPr>
                <w:rStyle w:val="Emphasis"/>
                <w:i w:val="0"/>
                <w:iCs w:val="0"/>
              </w:rPr>
            </w:pPr>
          </w:p>
        </w:tc>
        <w:tc>
          <w:tcPr>
            <w:tcW w:w="0" w:type="auto"/>
            <w:tcBorders>
              <w:top w:val="nil"/>
              <w:left w:val="single" w:sz="4" w:space="0" w:color="auto"/>
              <w:bottom w:val="single" w:sz="4" w:space="0" w:color="auto"/>
              <w:right w:val="single" w:sz="4" w:space="0" w:color="auto"/>
            </w:tcBorders>
          </w:tcPr>
          <w:p w14:paraId="337D31A9" w14:textId="77777777" w:rsidR="00BA570A" w:rsidRDefault="00BA570A" w:rsidP="00BA570A">
            <w:pPr>
              <w:pStyle w:val="TableText"/>
              <w:rPr>
                <w:rStyle w:val="Emphasis"/>
                <w:i w:val="0"/>
                <w:iCs w:val="0"/>
              </w:rPr>
            </w:pPr>
          </w:p>
        </w:tc>
        <w:tc>
          <w:tcPr>
            <w:tcW w:w="0" w:type="auto"/>
            <w:tcBorders>
              <w:left w:val="single" w:sz="4" w:space="0" w:color="auto"/>
              <w:bottom w:val="single" w:sz="4" w:space="0" w:color="auto"/>
            </w:tcBorders>
          </w:tcPr>
          <w:p w14:paraId="64E6F40D" w14:textId="0F5E41BE" w:rsidR="00BA570A" w:rsidRDefault="00BA570A" w:rsidP="00BA570A">
            <w:pPr>
              <w:pStyle w:val="TableText"/>
              <w:rPr>
                <w:rStyle w:val="Emphasis"/>
                <w:i w:val="0"/>
                <w:iCs w:val="0"/>
              </w:rPr>
            </w:pPr>
            <w:r>
              <w:rPr>
                <w:rStyle w:val="Emphasis"/>
                <w:i w:val="0"/>
                <w:iCs w:val="0"/>
              </w:rPr>
              <w:t>Late toxicity (severe, grade ≥3) at years 1-3 post-treatment: 12.5%</w:t>
            </w:r>
          </w:p>
        </w:tc>
        <w:tc>
          <w:tcPr>
            <w:tcW w:w="0" w:type="auto"/>
            <w:tcBorders>
              <w:bottom w:val="single" w:sz="4" w:space="0" w:color="auto"/>
            </w:tcBorders>
          </w:tcPr>
          <w:p w14:paraId="0B2D7C24" w14:textId="3D27B353" w:rsidR="00BA570A" w:rsidRDefault="00BA570A" w:rsidP="00BA570A">
            <w:pPr>
              <w:pStyle w:val="TableText"/>
              <w:rPr>
                <w:rStyle w:val="Emphasis"/>
                <w:i w:val="0"/>
                <w:iCs w:val="0"/>
              </w:rPr>
            </w:pPr>
            <w:r>
              <w:rPr>
                <w:rStyle w:val="Emphasis"/>
                <w:i w:val="0"/>
                <w:iCs w:val="0"/>
              </w:rPr>
              <w:t>Late toxicity (severe, grade ≥3) at years 1-3 post-treatment: 0%</w:t>
            </w:r>
          </w:p>
        </w:tc>
        <w:tc>
          <w:tcPr>
            <w:tcW w:w="0" w:type="auto"/>
            <w:tcBorders>
              <w:bottom w:val="single" w:sz="4" w:space="0" w:color="auto"/>
            </w:tcBorders>
          </w:tcPr>
          <w:p w14:paraId="6B0031F7" w14:textId="157C6716" w:rsidR="00BA570A" w:rsidRDefault="00BA570A" w:rsidP="00BA570A">
            <w:pPr>
              <w:pStyle w:val="TableText"/>
              <w:rPr>
                <w:rStyle w:val="Emphasis"/>
                <w:i w:val="0"/>
                <w:iCs w:val="0"/>
              </w:rPr>
            </w:pPr>
            <w:r>
              <w:rPr>
                <w:rStyle w:val="Emphasis"/>
                <w:i w:val="0"/>
                <w:iCs w:val="0"/>
              </w:rPr>
              <w:t>p-value NR</w:t>
            </w:r>
          </w:p>
        </w:tc>
      </w:tr>
      <w:tr w:rsidR="00B235C7" w:rsidRPr="00835EBC" w14:paraId="5C4C5228" w14:textId="77777777" w:rsidTr="00B235C7">
        <w:tc>
          <w:tcPr>
            <w:tcW w:w="0" w:type="auto"/>
            <w:tcBorders>
              <w:top w:val="single" w:sz="4" w:space="0" w:color="auto"/>
              <w:left w:val="single" w:sz="4" w:space="0" w:color="auto"/>
              <w:bottom w:val="single" w:sz="4" w:space="0" w:color="auto"/>
              <w:right w:val="single" w:sz="4" w:space="0" w:color="auto"/>
            </w:tcBorders>
          </w:tcPr>
          <w:p w14:paraId="18E73FA5" w14:textId="56BB50D4" w:rsidR="00B235C7" w:rsidRDefault="00B235C7" w:rsidP="00B235C7">
            <w:pPr>
              <w:pStyle w:val="TableText"/>
              <w:rPr>
                <w:rStyle w:val="Emphasis"/>
                <w:i w:val="0"/>
                <w:iCs w:val="0"/>
              </w:rPr>
            </w:pPr>
            <w:r>
              <w:rPr>
                <w:rStyle w:val="Emphasis"/>
                <w:i w:val="0"/>
                <w:iCs w:val="0"/>
              </w:rPr>
              <w:t xml:space="preserve">Slevin et al. </w:t>
            </w:r>
            <w:r w:rsidRPr="00F278E7">
              <w:rPr>
                <w:rStyle w:val="Emphasis"/>
                <w:i w:val="0"/>
                <w:iCs w:val="0"/>
              </w:rPr>
              <w:t>(2020)</w:t>
            </w:r>
          </w:p>
        </w:tc>
        <w:tc>
          <w:tcPr>
            <w:tcW w:w="0" w:type="auto"/>
            <w:tcBorders>
              <w:top w:val="single" w:sz="4" w:space="0" w:color="auto"/>
              <w:left w:val="single" w:sz="4" w:space="0" w:color="auto"/>
              <w:bottom w:val="single" w:sz="4" w:space="0" w:color="auto"/>
              <w:right w:val="single" w:sz="4" w:space="0" w:color="auto"/>
            </w:tcBorders>
          </w:tcPr>
          <w:p w14:paraId="7A816D43" w14:textId="6B18B226" w:rsidR="00B235C7" w:rsidRDefault="00B235C7" w:rsidP="00B235C7">
            <w:pPr>
              <w:pStyle w:val="TableText"/>
              <w:rPr>
                <w:rStyle w:val="Emphasis"/>
                <w:i w:val="0"/>
                <w:iCs w:val="0"/>
              </w:rPr>
            </w:pPr>
            <w:r>
              <w:rPr>
                <w:rStyle w:val="Emphasis"/>
                <w:i w:val="0"/>
                <w:iCs w:val="0"/>
              </w:rPr>
              <w:t>Serious</w:t>
            </w:r>
          </w:p>
        </w:tc>
        <w:tc>
          <w:tcPr>
            <w:tcW w:w="0" w:type="auto"/>
            <w:tcBorders>
              <w:top w:val="single" w:sz="4" w:space="0" w:color="auto"/>
              <w:left w:val="single" w:sz="4" w:space="0" w:color="auto"/>
            </w:tcBorders>
          </w:tcPr>
          <w:p w14:paraId="524998C0" w14:textId="6CF7993F" w:rsidR="00B235C7" w:rsidRDefault="00B235C7" w:rsidP="00B235C7">
            <w:pPr>
              <w:pStyle w:val="TableText"/>
              <w:rPr>
                <w:rStyle w:val="Emphasis"/>
                <w:i w:val="0"/>
                <w:iCs w:val="0"/>
              </w:rPr>
            </w:pPr>
            <w:r w:rsidRPr="00B235C7">
              <w:rPr>
                <w:rStyle w:val="Emphasis"/>
                <w:i w:val="0"/>
                <w:iCs w:val="0"/>
              </w:rPr>
              <w:t>5-year cumulative</w:t>
            </w:r>
            <w:r>
              <w:rPr>
                <w:rStyle w:val="Emphasis"/>
                <w:i w:val="0"/>
                <w:iCs w:val="0"/>
              </w:rPr>
              <w:t xml:space="preserve"> incidence (severe, grade ≥3): 8%</w:t>
            </w:r>
          </w:p>
        </w:tc>
        <w:tc>
          <w:tcPr>
            <w:tcW w:w="0" w:type="auto"/>
            <w:tcBorders>
              <w:top w:val="single" w:sz="4" w:space="0" w:color="auto"/>
            </w:tcBorders>
          </w:tcPr>
          <w:p w14:paraId="6C75EFDD" w14:textId="23019C9A" w:rsidR="00B235C7" w:rsidRDefault="00B235C7" w:rsidP="00B235C7">
            <w:pPr>
              <w:pStyle w:val="TableText"/>
              <w:rPr>
                <w:rStyle w:val="Emphasis"/>
                <w:i w:val="0"/>
                <w:iCs w:val="0"/>
              </w:rPr>
            </w:pPr>
            <w:r w:rsidRPr="00B235C7">
              <w:rPr>
                <w:rStyle w:val="Emphasis"/>
                <w:i w:val="0"/>
                <w:iCs w:val="0"/>
              </w:rPr>
              <w:t>5-year cumulative</w:t>
            </w:r>
            <w:r>
              <w:rPr>
                <w:rStyle w:val="Emphasis"/>
                <w:i w:val="0"/>
                <w:iCs w:val="0"/>
              </w:rPr>
              <w:t xml:space="preserve"> incidence (severe, grade ≥3): 4%</w:t>
            </w:r>
          </w:p>
        </w:tc>
        <w:tc>
          <w:tcPr>
            <w:tcW w:w="0" w:type="auto"/>
            <w:tcBorders>
              <w:top w:val="single" w:sz="4" w:space="0" w:color="auto"/>
            </w:tcBorders>
          </w:tcPr>
          <w:p w14:paraId="037FE3A1" w14:textId="4B8D3C60" w:rsidR="00B235C7" w:rsidRDefault="00B235C7" w:rsidP="00B235C7">
            <w:pPr>
              <w:pStyle w:val="TableText"/>
              <w:rPr>
                <w:rStyle w:val="Emphasis"/>
                <w:i w:val="0"/>
                <w:iCs w:val="0"/>
              </w:rPr>
            </w:pPr>
            <w:r>
              <w:rPr>
                <w:rStyle w:val="Emphasis"/>
                <w:i w:val="0"/>
                <w:iCs w:val="0"/>
              </w:rPr>
              <w:t>p=0.17</w:t>
            </w:r>
          </w:p>
        </w:tc>
      </w:tr>
    </w:tbl>
    <w:p w14:paraId="24B67DAF" w14:textId="21676E72" w:rsidR="00835EBC" w:rsidRDefault="0057502C" w:rsidP="0057502C">
      <w:pPr>
        <w:pStyle w:val="Tablenotes"/>
        <w:rPr>
          <w:rStyle w:val="Emphasis"/>
          <w:i w:val="0"/>
          <w:iCs w:val="0"/>
        </w:rPr>
      </w:pPr>
      <w:r>
        <w:rPr>
          <w:rStyle w:val="Emphasis"/>
          <w:i w:val="0"/>
          <w:iCs w:val="0"/>
        </w:rPr>
        <w:t>* HR</w:t>
      </w:r>
      <w:r w:rsidR="005E3873">
        <w:rPr>
          <w:rStyle w:val="Emphasis"/>
          <w:i w:val="0"/>
          <w:iCs w:val="0"/>
        </w:rPr>
        <w:t xml:space="preserve"> was inverted for purposes of this table using 1/HR</w:t>
      </w:r>
    </w:p>
    <w:p w14:paraId="0AACFD6F" w14:textId="6897E965" w:rsidR="0057502C" w:rsidRPr="0057502C" w:rsidRDefault="0057502C" w:rsidP="0057502C">
      <w:pPr>
        <w:pStyle w:val="Tablenotes"/>
        <w:rPr>
          <w:rStyle w:val="Emphasis"/>
          <w:i w:val="0"/>
          <w:iCs w:val="0"/>
        </w:rPr>
      </w:pPr>
      <w:r>
        <w:rPr>
          <w:rStyle w:val="Emphasis"/>
          <w:i w:val="0"/>
          <w:iCs w:val="0"/>
        </w:rPr>
        <w:t xml:space="preserve">CI = confidence interval; </w:t>
      </w:r>
      <w:r w:rsidR="00BA570A">
        <w:rPr>
          <w:rStyle w:val="Emphasis"/>
          <w:i w:val="0"/>
          <w:iCs w:val="0"/>
        </w:rPr>
        <w:t xml:space="preserve">EBRT = external beam radiation therapy; HDR-BT = high dose-rate brachytherapy; LDR-BT = low dose-rate brachytherapy; </w:t>
      </w:r>
      <w:r w:rsidR="00692AFA">
        <w:rPr>
          <w:rStyle w:val="Emphasis"/>
          <w:i w:val="0"/>
          <w:iCs w:val="0"/>
        </w:rPr>
        <w:t>NR = not reported; NS = not significant; sHR = subdistribution hazard ratio</w:t>
      </w:r>
    </w:p>
    <w:p w14:paraId="3717AA01" w14:textId="39979FF0" w:rsidR="00772829" w:rsidRPr="00CE28E3" w:rsidRDefault="00C36633" w:rsidP="002A18BE">
      <w:pPr>
        <w:pStyle w:val="Heading2"/>
        <w:numPr>
          <w:ilvl w:val="0"/>
          <w:numId w:val="0"/>
        </w:numPr>
      </w:pPr>
      <w:bookmarkStart w:id="49" w:name="_Toc69491424"/>
      <w:r>
        <w:t>1</w:t>
      </w:r>
      <w:r w:rsidR="00F04024">
        <w:t>1</w:t>
      </w:r>
      <w:r>
        <w:t>.</w:t>
      </w:r>
      <w:r>
        <w:tab/>
      </w:r>
      <w:r w:rsidR="00772829" w:rsidRPr="00CE28E3">
        <w:t>Comparative effectiveness</w:t>
      </w:r>
      <w:bookmarkEnd w:id="49"/>
    </w:p>
    <w:p w14:paraId="4F80A2C3" w14:textId="2B434B75" w:rsidR="00442A22" w:rsidRPr="00835EBC" w:rsidRDefault="00442A22" w:rsidP="00442A22">
      <w:pPr>
        <w:autoSpaceDE w:val="0"/>
        <w:autoSpaceDN w:val="0"/>
        <w:adjustRightInd w:val="0"/>
        <w:spacing w:line="240" w:lineRule="auto"/>
        <w:rPr>
          <w:rStyle w:val="Emphasis"/>
        </w:rPr>
      </w:pPr>
      <w:r w:rsidRPr="00835EBC">
        <w:rPr>
          <w:rStyle w:val="Emphasis"/>
        </w:rPr>
        <w:t>EBRT + LDR-BT boost</w:t>
      </w:r>
      <w:r w:rsidR="00250DCE">
        <w:rPr>
          <w:rStyle w:val="Emphasis"/>
        </w:rPr>
        <w:t xml:space="preserve"> </w:t>
      </w:r>
      <w:r w:rsidR="00250DCE" w:rsidRPr="00835EBC">
        <w:rPr>
          <w:rStyle w:val="Emphasis"/>
        </w:rPr>
        <w:t>versus</w:t>
      </w:r>
      <w:r w:rsidR="00250DCE">
        <w:rPr>
          <w:rStyle w:val="Emphasis"/>
        </w:rPr>
        <w:t xml:space="preserve"> </w:t>
      </w:r>
      <w:r w:rsidR="00250DCE" w:rsidRPr="00835EBC">
        <w:rPr>
          <w:rStyle w:val="Emphasis"/>
        </w:rPr>
        <w:t>DE-EBRT</w:t>
      </w:r>
    </w:p>
    <w:p w14:paraId="22398DE5" w14:textId="77777777" w:rsidR="0042476F" w:rsidRDefault="00442A22" w:rsidP="00541CB6">
      <w:r w:rsidRPr="002419B8">
        <w:t xml:space="preserve">The </w:t>
      </w:r>
      <w:r>
        <w:t>clinical effectiveness</w:t>
      </w:r>
      <w:r w:rsidRPr="002419B8">
        <w:t xml:space="preserve"> outcomes of the ASCENDE-RT trial </w:t>
      </w:r>
      <w:r>
        <w:t xml:space="preserve">comparing DE-EBRT and EBRT + LDR-BT boost </w:t>
      </w:r>
      <w:r w:rsidRPr="002419B8">
        <w:t xml:space="preserve">were reported in </w:t>
      </w:r>
      <w:r w:rsidR="00F11D1C">
        <w:t xml:space="preserve">the previous </w:t>
      </w:r>
      <w:r w:rsidR="0066510F">
        <w:t>submission (see p</w:t>
      </w:r>
      <w:r w:rsidR="0012627B">
        <w:t>p7-9</w:t>
      </w:r>
      <w:r w:rsidR="0066510F">
        <w:t xml:space="preserve"> of </w:t>
      </w:r>
      <w:hyperlink r:id="rId16" w:history="1">
        <w:r w:rsidR="0066510F" w:rsidRPr="00AC501E">
          <w:rPr>
            <w:rStyle w:val="Hyperlink"/>
          </w:rPr>
          <w:t>1525 PSD</w:t>
        </w:r>
      </w:hyperlink>
      <w:r w:rsidR="0012627B">
        <w:t>)</w:t>
      </w:r>
      <w:r w:rsidRPr="002419B8">
        <w:t xml:space="preserve">; </w:t>
      </w:r>
      <w:r w:rsidR="006173AD">
        <w:t>N</w:t>
      </w:r>
      <w:r w:rsidRPr="002419B8">
        <w:t xml:space="preserve">o new </w:t>
      </w:r>
      <w:r w:rsidR="00225AF6">
        <w:t xml:space="preserve">relevant </w:t>
      </w:r>
      <w:r w:rsidRPr="002419B8">
        <w:t xml:space="preserve">findings were </w:t>
      </w:r>
      <w:r w:rsidR="00225AF6">
        <w:t>provided</w:t>
      </w:r>
      <w:r w:rsidRPr="002419B8">
        <w:t xml:space="preserve"> in </w:t>
      </w:r>
      <w:r w:rsidR="006173AD">
        <w:t xml:space="preserve">the resubmission. </w:t>
      </w:r>
      <w:bookmarkStart w:id="50" w:name="_Hlk124238255"/>
      <w:bookmarkStart w:id="51" w:name="_Hlk122530751"/>
      <w:r w:rsidR="00541CB6" w:rsidRPr="0042476F">
        <w:t xml:space="preserve">Of note the updated analysis of the ASCENDE-RT trial survival outcomes was recently published (Oh J, et al. (2022)) after the ADAR was submitted. The authors concluded that </w:t>
      </w:r>
      <w:r w:rsidR="00DC15F4">
        <w:t xml:space="preserve">although men randomised to the LDR-PB boost arm </w:t>
      </w:r>
      <w:r w:rsidR="00E515F0">
        <w:t xml:space="preserve">continue to </w:t>
      </w:r>
      <w:r w:rsidR="00DC15F4">
        <w:t xml:space="preserve">experience a large advantage in TTP compared to patients randomized to the DE-EBRT arm, </w:t>
      </w:r>
      <w:bookmarkStart w:id="52" w:name="_Hlk124237977"/>
      <w:r w:rsidR="00541CB6" w:rsidRPr="0042476F">
        <w:t xml:space="preserve">the trial was not powered to detect differences in overall survival (OS), metastasis free </w:t>
      </w:r>
      <w:r w:rsidR="00541CB6" w:rsidRPr="0042476F">
        <w:lastRenderedPageBreak/>
        <w:t>survival (MFS) and prostate cancer specific survival (PCSS) and none were detected at 10-year median follow-up</w:t>
      </w:r>
      <w:bookmarkEnd w:id="52"/>
      <w:r w:rsidR="00541CB6" w:rsidRPr="0042476F">
        <w:t>.</w:t>
      </w:r>
      <w:r w:rsidR="00DC15F4">
        <w:rPr>
          <w:rStyle w:val="FootnoteReference"/>
        </w:rPr>
        <w:footnoteReference w:id="19"/>
      </w:r>
      <w:r w:rsidR="00541CB6" w:rsidRPr="0042476F">
        <w:t xml:space="preserve"> </w:t>
      </w:r>
      <w:bookmarkEnd w:id="50"/>
      <w:bookmarkEnd w:id="51"/>
    </w:p>
    <w:p w14:paraId="7AC71AF1" w14:textId="5BE95A49" w:rsidR="004560A3" w:rsidRDefault="0011476C" w:rsidP="00541CB6">
      <w:pPr>
        <w:rPr>
          <w:rStyle w:val="Emphasis"/>
        </w:rPr>
      </w:pPr>
      <w:r>
        <w:t>Thus</w:t>
      </w:r>
      <w:r w:rsidR="004560A3" w:rsidRPr="00907F4C">
        <w:t xml:space="preserve">, relative to DE-EBRT, EBRT </w:t>
      </w:r>
      <w:r w:rsidR="004560A3">
        <w:t>+</w:t>
      </w:r>
      <w:r w:rsidR="004560A3" w:rsidRPr="00907F4C">
        <w:t xml:space="preserve"> LDR-BT boost has superior effectiveness for biochemical progression-free survival (b-PFS)</w:t>
      </w:r>
      <w:r w:rsidR="006173AD">
        <w:t>. The effectiveness for OS, MFS and PCSS remains</w:t>
      </w:r>
      <w:r w:rsidR="004560A3" w:rsidRPr="00907F4C">
        <w:t xml:space="preserve"> uncertain</w:t>
      </w:r>
      <w:r w:rsidR="006173AD">
        <w:t xml:space="preserve"> as the ASCENDE-RT was underpowered for these outcomes and because no new evidence for the comparison with DE-EBRT was provided in the resubmission.  </w:t>
      </w:r>
    </w:p>
    <w:p w14:paraId="789DCD6D" w14:textId="276D2D68" w:rsidR="00442A22" w:rsidRDefault="00442A22" w:rsidP="00442A22">
      <w:pPr>
        <w:autoSpaceDE w:val="0"/>
        <w:autoSpaceDN w:val="0"/>
        <w:adjustRightInd w:val="0"/>
        <w:spacing w:line="240" w:lineRule="auto"/>
        <w:rPr>
          <w:rStyle w:val="Emphasis"/>
        </w:rPr>
      </w:pPr>
      <w:r w:rsidRPr="00835EBC">
        <w:rPr>
          <w:rStyle w:val="Emphasis"/>
        </w:rPr>
        <w:t>EBRT + LDR-BT boost versus EBRT + HDR-BT boost</w:t>
      </w:r>
    </w:p>
    <w:p w14:paraId="5B5DD5B3" w14:textId="4BE1F018" w:rsidR="00907F4C" w:rsidRDefault="00907F4C" w:rsidP="00907F4C">
      <w:pPr>
        <w:autoSpaceDE w:val="0"/>
        <w:autoSpaceDN w:val="0"/>
        <w:adjustRightInd w:val="0"/>
        <w:spacing w:line="240" w:lineRule="auto"/>
      </w:pPr>
      <w:r>
        <w:t xml:space="preserve">Relevant evidence for the clinical effectiveness of EBRT + LDR-BT boost compared with EBRT + HDR-BT boost is summarised in </w:t>
      </w:r>
      <w:r>
        <w:fldChar w:fldCharType="begin"/>
      </w:r>
      <w:r>
        <w:instrText xml:space="preserve"> REF _Ref120703259 \h </w:instrText>
      </w:r>
      <w:r>
        <w:fldChar w:fldCharType="separate"/>
      </w:r>
      <w:r w:rsidR="007F6EFD">
        <w:t xml:space="preserve">Table </w:t>
      </w:r>
      <w:r w:rsidR="007F6EFD">
        <w:rPr>
          <w:noProof/>
        </w:rPr>
        <w:t>11</w:t>
      </w:r>
      <w:r>
        <w:fldChar w:fldCharType="end"/>
      </w:r>
      <w:r>
        <w:t>.</w:t>
      </w:r>
    </w:p>
    <w:p w14:paraId="1ABF601B" w14:textId="3D6C9BA3" w:rsidR="00907F4C" w:rsidRDefault="00907F4C" w:rsidP="00907F4C">
      <w:pPr>
        <w:autoSpaceDE w:val="0"/>
        <w:autoSpaceDN w:val="0"/>
        <w:adjustRightInd w:val="0"/>
        <w:spacing w:line="240" w:lineRule="auto"/>
      </w:pPr>
      <w:r>
        <w:t xml:space="preserve">One </w:t>
      </w:r>
      <w:r w:rsidR="00134F15">
        <w:t xml:space="preserve">small cohort </w:t>
      </w:r>
      <w:r>
        <w:t xml:space="preserve">study reported better 5-year biochemical progression-free survival (bPFS) after LDR-BT boost compared with HDR-BT boost. Two studies reporting on prostate cancer-specific mortality </w:t>
      </w:r>
      <w:r w:rsidR="0007626F">
        <w:t xml:space="preserve">(Parr et al. 2020) </w:t>
      </w:r>
      <w:r>
        <w:t>and overall survival</w:t>
      </w:r>
      <w:r w:rsidR="0007626F">
        <w:t xml:space="preserve"> (King et al. 2019)</w:t>
      </w:r>
      <w:r>
        <w:t xml:space="preserve"> did not find any differences between the two treatments.</w:t>
      </w:r>
      <w:r w:rsidR="0007626F">
        <w:t xml:space="preserve"> Both studies had large patient </w:t>
      </w:r>
      <w:r w:rsidR="00134F15">
        <w:t>populations,</w:t>
      </w:r>
      <w:r w:rsidR="0007626F">
        <w:t xml:space="preserve"> so they are likely to be powered for detecting differences in </w:t>
      </w:r>
      <w:r w:rsidR="007B0F18">
        <w:t>these</w:t>
      </w:r>
      <w:r w:rsidR="0007626F">
        <w:t xml:space="preserve"> outcomes</w:t>
      </w:r>
      <w:r w:rsidR="00134F15">
        <w:t xml:space="preserve">. Limitations of these studies should be considered when interpreting the data </w:t>
      </w:r>
      <w:r w:rsidR="007B0F18">
        <w:t>(e.g.</w:t>
      </w:r>
      <w:r w:rsidR="0007626F">
        <w:t xml:space="preserve"> selection bias, </w:t>
      </w:r>
      <w:r w:rsidR="00134F15">
        <w:t xml:space="preserve">unknown </w:t>
      </w:r>
      <w:r w:rsidR="0007626F">
        <w:t>details of co-treatments</w:t>
      </w:r>
      <w:r w:rsidR="00134F15">
        <w:t xml:space="preserve"> </w:t>
      </w:r>
      <w:r w:rsidR="0007626F">
        <w:t>and dosing regimens</w:t>
      </w:r>
      <w:r w:rsidR="007B0F18">
        <w:t>).</w:t>
      </w:r>
      <w:r w:rsidR="0007626F">
        <w:t xml:space="preserve"> </w:t>
      </w:r>
    </w:p>
    <w:p w14:paraId="7696828A" w14:textId="31919A9E" w:rsidR="00907F4C" w:rsidRDefault="007B0F18" w:rsidP="00907F4C">
      <w:pPr>
        <w:autoSpaceDE w:val="0"/>
        <w:autoSpaceDN w:val="0"/>
        <w:adjustRightInd w:val="0"/>
        <w:spacing w:line="240" w:lineRule="auto"/>
      </w:pPr>
      <w:r>
        <w:t>Two studies reported f</w:t>
      </w:r>
      <w:r w:rsidR="00907F4C">
        <w:t xml:space="preserve">unctional outcomes </w:t>
      </w:r>
      <w:r>
        <w:t xml:space="preserve">(such as bowel function, urinary function, and erectile function) results. Bowel function and urinary function </w:t>
      </w:r>
      <w:r w:rsidR="00134F15">
        <w:t xml:space="preserve">scores </w:t>
      </w:r>
      <w:r>
        <w:t>were worse in patients undergoing LDR-BT boost compared with the HDR-BT boost group in one study, but no difference was observed in the second study.</w:t>
      </w:r>
      <w:r w:rsidR="009F12BB">
        <w:t xml:space="preserve"> </w:t>
      </w:r>
      <w:r>
        <w:t xml:space="preserve">One study reported </w:t>
      </w:r>
      <w:r w:rsidR="00907F4C">
        <w:t>health-related quality of life</w:t>
      </w:r>
      <w:r w:rsidR="00127958">
        <w:t>, the scores were worse for patients undergoing LDR-BT boost than in the patients undergoing HDR-BT boost (up to 3 years post treatment).</w:t>
      </w:r>
    </w:p>
    <w:p w14:paraId="138D03F1" w14:textId="5A5A1EC3" w:rsidR="00907F4C" w:rsidRDefault="00907F4C" w:rsidP="00907F4C">
      <w:pPr>
        <w:autoSpaceDE w:val="0"/>
        <w:autoSpaceDN w:val="0"/>
        <w:adjustRightInd w:val="0"/>
        <w:spacing w:line="240" w:lineRule="auto"/>
      </w:pPr>
      <w:r>
        <w:t>It should be noted that all four studies had applicability concerns, including a broader population than the Ratified PICO 1525, and were at risk of bias.</w:t>
      </w:r>
    </w:p>
    <w:p w14:paraId="27D97121" w14:textId="112BCD12" w:rsidR="007651CC" w:rsidRPr="007651CC" w:rsidRDefault="004560A3" w:rsidP="007651CC">
      <w:pPr>
        <w:autoSpaceDE w:val="0"/>
        <w:autoSpaceDN w:val="0"/>
        <w:adjustRightInd w:val="0"/>
        <w:spacing w:before="0" w:after="0" w:line="240" w:lineRule="auto"/>
      </w:pPr>
      <w:r>
        <w:t xml:space="preserve">Overall, </w:t>
      </w:r>
      <w:r w:rsidRPr="00907F4C">
        <w:t xml:space="preserve">EBRT </w:t>
      </w:r>
      <w:r>
        <w:t>+</w:t>
      </w:r>
      <w:r w:rsidRPr="00907F4C">
        <w:t xml:space="preserve"> LDR-BT boost </w:t>
      </w:r>
      <w:r>
        <w:t>may have</w:t>
      </w:r>
      <w:r w:rsidRPr="00907F4C">
        <w:t xml:space="preserve"> superior effectiveness </w:t>
      </w:r>
      <w:r>
        <w:t xml:space="preserve">for </w:t>
      </w:r>
      <w:r w:rsidRPr="00907F4C">
        <w:t>b-PFS</w:t>
      </w:r>
      <w:r w:rsidR="00361D05">
        <w:t xml:space="preserve"> (</w:t>
      </w:r>
      <w:r w:rsidR="002226B4">
        <w:t>surrogate outcome)</w:t>
      </w:r>
      <w:r w:rsidRPr="00907F4C">
        <w:t xml:space="preserve">, and </w:t>
      </w:r>
      <w:r>
        <w:t xml:space="preserve">noninferior </w:t>
      </w:r>
      <w:r w:rsidRPr="00907F4C">
        <w:t xml:space="preserve">effectiveness for </w:t>
      </w:r>
      <w:r w:rsidR="003050B8">
        <w:t>OS</w:t>
      </w:r>
      <w:r>
        <w:t xml:space="preserve"> </w:t>
      </w:r>
      <w:r w:rsidRPr="00907F4C">
        <w:t>and PCSS</w:t>
      </w:r>
      <w:r w:rsidR="003050B8">
        <w:t xml:space="preserve"> compared with EBRT + HDR-BT boost</w:t>
      </w:r>
      <w:r>
        <w:t>.</w:t>
      </w:r>
      <w:bookmarkStart w:id="53" w:name="_Ref120703259"/>
      <w:r w:rsidR="007651CC">
        <w:br w:type="page"/>
      </w:r>
    </w:p>
    <w:p w14:paraId="6AEEDAB8" w14:textId="70BD43A8" w:rsidR="00442A22" w:rsidRDefault="00442A22" w:rsidP="00442A22">
      <w:pPr>
        <w:pStyle w:val="Caption"/>
      </w:pPr>
      <w:r>
        <w:lastRenderedPageBreak/>
        <w:t xml:space="preserve">Table </w:t>
      </w:r>
      <w:fldSimple w:instr=" SEQ Table \* ARABIC ">
        <w:r w:rsidR="007F6EFD">
          <w:rPr>
            <w:noProof/>
          </w:rPr>
          <w:t>11</w:t>
        </w:r>
      </w:fldSimple>
      <w:bookmarkEnd w:id="53"/>
      <w:r>
        <w:tab/>
        <w:t>Results of clinical effectiveness across the studies</w:t>
      </w:r>
    </w:p>
    <w:tbl>
      <w:tblPr>
        <w:tblStyle w:val="TableGrid"/>
        <w:tblW w:w="0" w:type="auto"/>
        <w:tblLook w:val="04A0" w:firstRow="1" w:lastRow="0" w:firstColumn="1" w:lastColumn="0" w:noHBand="0" w:noVBand="1"/>
      </w:tblPr>
      <w:tblGrid>
        <w:gridCol w:w="1194"/>
        <w:gridCol w:w="1002"/>
        <w:gridCol w:w="2284"/>
        <w:gridCol w:w="2262"/>
        <w:gridCol w:w="2274"/>
      </w:tblGrid>
      <w:tr w:rsidR="00442A22" w:rsidRPr="00835EBC" w14:paraId="0431261F" w14:textId="77777777" w:rsidTr="00322408">
        <w:trPr>
          <w:tblHeader/>
        </w:trPr>
        <w:tc>
          <w:tcPr>
            <w:tcW w:w="0" w:type="auto"/>
          </w:tcPr>
          <w:p w14:paraId="4F6F585F" w14:textId="77777777" w:rsidR="00442A22" w:rsidRDefault="00442A22" w:rsidP="00623849">
            <w:pPr>
              <w:pStyle w:val="TableHeading"/>
              <w:rPr>
                <w:rStyle w:val="Emphasis"/>
                <w:i w:val="0"/>
                <w:iCs w:val="0"/>
              </w:rPr>
            </w:pPr>
            <w:r w:rsidRPr="00835EBC">
              <w:rPr>
                <w:rStyle w:val="Emphasis"/>
                <w:i w:val="0"/>
                <w:iCs w:val="0"/>
              </w:rPr>
              <w:t>Study ID</w:t>
            </w:r>
          </w:p>
          <w:p w14:paraId="6849A533" w14:textId="28A741BF" w:rsidR="00D3146E" w:rsidRPr="00835EBC" w:rsidRDefault="00D3146E" w:rsidP="00623849">
            <w:pPr>
              <w:pStyle w:val="TableHeading"/>
              <w:rPr>
                <w:rStyle w:val="Emphasis"/>
                <w:i w:val="0"/>
                <w:iCs w:val="0"/>
              </w:rPr>
            </w:pPr>
            <w:r>
              <w:rPr>
                <w:rStyle w:val="Emphasis"/>
                <w:i w:val="0"/>
                <w:iCs w:val="0"/>
              </w:rPr>
              <w:t>Outcome</w:t>
            </w:r>
          </w:p>
        </w:tc>
        <w:tc>
          <w:tcPr>
            <w:tcW w:w="0" w:type="auto"/>
          </w:tcPr>
          <w:p w14:paraId="6C538624" w14:textId="77777777" w:rsidR="00442A22" w:rsidRPr="0057502C" w:rsidRDefault="00442A22" w:rsidP="00623849">
            <w:pPr>
              <w:pStyle w:val="TableHeading"/>
              <w:rPr>
                <w:rStyle w:val="Emphasis"/>
                <w:i w:val="0"/>
                <w:iCs w:val="0"/>
              </w:rPr>
            </w:pPr>
            <w:r w:rsidRPr="0057502C">
              <w:rPr>
                <w:rStyle w:val="Emphasis"/>
                <w:i w:val="0"/>
                <w:iCs w:val="0"/>
              </w:rPr>
              <w:t>Risk of bias</w:t>
            </w:r>
          </w:p>
        </w:tc>
        <w:tc>
          <w:tcPr>
            <w:tcW w:w="0" w:type="auto"/>
          </w:tcPr>
          <w:p w14:paraId="5B4E1381" w14:textId="77777777" w:rsidR="00442A22" w:rsidRDefault="00442A22" w:rsidP="00623849">
            <w:pPr>
              <w:pStyle w:val="TableHeading"/>
              <w:rPr>
                <w:rStyle w:val="Emphasis"/>
                <w:i w:val="0"/>
                <w:iCs w:val="0"/>
              </w:rPr>
            </w:pPr>
            <w:r w:rsidRPr="0057502C">
              <w:rPr>
                <w:rStyle w:val="Emphasis"/>
                <w:i w:val="0"/>
                <w:iCs w:val="0"/>
              </w:rPr>
              <w:t>Intervention</w:t>
            </w:r>
          </w:p>
          <w:p w14:paraId="5D4F2297" w14:textId="77777777" w:rsidR="00442A22" w:rsidRPr="0057502C" w:rsidRDefault="00442A22" w:rsidP="00623849">
            <w:pPr>
              <w:pStyle w:val="TableHeading"/>
              <w:rPr>
                <w:rStyle w:val="Emphasis"/>
                <w:i w:val="0"/>
                <w:iCs w:val="0"/>
              </w:rPr>
            </w:pPr>
            <w:r>
              <w:rPr>
                <w:rStyle w:val="Emphasis"/>
                <w:i w:val="0"/>
                <w:iCs w:val="0"/>
              </w:rPr>
              <w:t>EBRT + LDR-BT boost</w:t>
            </w:r>
          </w:p>
        </w:tc>
        <w:tc>
          <w:tcPr>
            <w:tcW w:w="0" w:type="auto"/>
          </w:tcPr>
          <w:p w14:paraId="3FEED5D2" w14:textId="77777777" w:rsidR="00442A22" w:rsidRDefault="00442A22" w:rsidP="00623849">
            <w:pPr>
              <w:pStyle w:val="TableHeading"/>
              <w:rPr>
                <w:rStyle w:val="Emphasis"/>
                <w:i w:val="0"/>
                <w:iCs w:val="0"/>
              </w:rPr>
            </w:pPr>
            <w:r w:rsidRPr="0057502C">
              <w:rPr>
                <w:rStyle w:val="Emphasis"/>
                <w:i w:val="0"/>
                <w:iCs w:val="0"/>
              </w:rPr>
              <w:t>Comparator</w:t>
            </w:r>
          </w:p>
          <w:p w14:paraId="488DA065" w14:textId="77777777" w:rsidR="00442A22" w:rsidRPr="0057502C" w:rsidRDefault="00442A22" w:rsidP="00623849">
            <w:pPr>
              <w:pStyle w:val="TableHeading"/>
              <w:rPr>
                <w:rStyle w:val="Emphasis"/>
                <w:i w:val="0"/>
                <w:iCs w:val="0"/>
              </w:rPr>
            </w:pPr>
            <w:r>
              <w:rPr>
                <w:rStyle w:val="Emphasis"/>
                <w:i w:val="0"/>
                <w:iCs w:val="0"/>
              </w:rPr>
              <w:t>EBRT + HDR-BT boost</w:t>
            </w:r>
          </w:p>
        </w:tc>
        <w:tc>
          <w:tcPr>
            <w:tcW w:w="0" w:type="auto"/>
          </w:tcPr>
          <w:p w14:paraId="7C4F2AFD" w14:textId="77777777" w:rsidR="00442A22" w:rsidRPr="0057502C" w:rsidRDefault="00442A22" w:rsidP="00623849">
            <w:pPr>
              <w:pStyle w:val="TableHeading"/>
              <w:rPr>
                <w:rStyle w:val="Emphasis"/>
                <w:i w:val="0"/>
                <w:iCs w:val="0"/>
              </w:rPr>
            </w:pPr>
            <w:r>
              <w:rPr>
                <w:rStyle w:val="Emphasis"/>
                <w:i w:val="0"/>
                <w:iCs w:val="0"/>
              </w:rPr>
              <w:t>Relative difference</w:t>
            </w:r>
          </w:p>
        </w:tc>
      </w:tr>
      <w:tr w:rsidR="006D7EA8" w:rsidRPr="00835EBC" w14:paraId="60981B62" w14:textId="77777777" w:rsidTr="00322408">
        <w:tc>
          <w:tcPr>
            <w:tcW w:w="0" w:type="auto"/>
            <w:tcBorders>
              <w:top w:val="single" w:sz="4" w:space="0" w:color="auto"/>
              <w:left w:val="single" w:sz="4" w:space="0" w:color="auto"/>
              <w:bottom w:val="single" w:sz="4" w:space="0" w:color="auto"/>
              <w:right w:val="nil"/>
            </w:tcBorders>
          </w:tcPr>
          <w:p w14:paraId="2960BB55" w14:textId="7C9BDF0A" w:rsidR="006D7EA8" w:rsidRDefault="006D7EA8" w:rsidP="00623849">
            <w:pPr>
              <w:pStyle w:val="TableText"/>
              <w:rPr>
                <w:rStyle w:val="Emphasis"/>
                <w:i w:val="0"/>
                <w:iCs w:val="0"/>
              </w:rPr>
            </w:pPr>
            <w:r w:rsidRPr="00442A22">
              <w:rPr>
                <w:rStyle w:val="Emphasis"/>
                <w:b/>
                <w:bCs/>
                <w:i w:val="0"/>
                <w:iCs w:val="0"/>
              </w:rPr>
              <w:t>bPFS</w:t>
            </w:r>
          </w:p>
        </w:tc>
        <w:tc>
          <w:tcPr>
            <w:tcW w:w="0" w:type="auto"/>
            <w:tcBorders>
              <w:top w:val="single" w:sz="4" w:space="0" w:color="auto"/>
              <w:left w:val="nil"/>
              <w:bottom w:val="single" w:sz="4" w:space="0" w:color="auto"/>
              <w:right w:val="nil"/>
            </w:tcBorders>
          </w:tcPr>
          <w:p w14:paraId="7EFF6A71" w14:textId="77777777" w:rsidR="006D7EA8" w:rsidRDefault="006D7EA8" w:rsidP="00623849">
            <w:pPr>
              <w:pStyle w:val="TableText"/>
              <w:rPr>
                <w:rStyle w:val="Emphasis"/>
                <w:i w:val="0"/>
                <w:iCs w:val="0"/>
              </w:rPr>
            </w:pPr>
          </w:p>
        </w:tc>
        <w:tc>
          <w:tcPr>
            <w:tcW w:w="0" w:type="auto"/>
            <w:tcBorders>
              <w:top w:val="single" w:sz="4" w:space="0" w:color="auto"/>
              <w:left w:val="nil"/>
              <w:bottom w:val="single" w:sz="4" w:space="0" w:color="auto"/>
              <w:right w:val="nil"/>
            </w:tcBorders>
          </w:tcPr>
          <w:p w14:paraId="27A36498" w14:textId="77777777" w:rsidR="006D7EA8" w:rsidRPr="00442A22" w:rsidRDefault="006D7EA8" w:rsidP="00623849">
            <w:pPr>
              <w:pStyle w:val="TableText"/>
              <w:rPr>
                <w:rStyle w:val="Emphasis"/>
                <w:i w:val="0"/>
                <w:iCs w:val="0"/>
              </w:rPr>
            </w:pPr>
          </w:p>
        </w:tc>
        <w:tc>
          <w:tcPr>
            <w:tcW w:w="0" w:type="auto"/>
            <w:tcBorders>
              <w:top w:val="single" w:sz="4" w:space="0" w:color="auto"/>
              <w:left w:val="nil"/>
              <w:bottom w:val="single" w:sz="4" w:space="0" w:color="auto"/>
              <w:right w:val="nil"/>
            </w:tcBorders>
          </w:tcPr>
          <w:p w14:paraId="4256D24B" w14:textId="77777777" w:rsidR="006D7EA8" w:rsidRPr="00442A22" w:rsidRDefault="006D7EA8" w:rsidP="00442A22">
            <w:pPr>
              <w:pStyle w:val="TableText"/>
              <w:rPr>
                <w:rStyle w:val="Emphasis"/>
                <w:i w:val="0"/>
                <w:iCs w:val="0"/>
              </w:rPr>
            </w:pPr>
          </w:p>
        </w:tc>
        <w:tc>
          <w:tcPr>
            <w:tcW w:w="0" w:type="auto"/>
            <w:tcBorders>
              <w:top w:val="single" w:sz="4" w:space="0" w:color="auto"/>
              <w:left w:val="nil"/>
              <w:bottom w:val="single" w:sz="4" w:space="0" w:color="auto"/>
              <w:right w:val="single" w:sz="4" w:space="0" w:color="auto"/>
            </w:tcBorders>
          </w:tcPr>
          <w:p w14:paraId="17CE4E22" w14:textId="77777777" w:rsidR="006D7EA8" w:rsidRDefault="006D7EA8" w:rsidP="00623849">
            <w:pPr>
              <w:pStyle w:val="TableText"/>
              <w:rPr>
                <w:rStyle w:val="Emphasis"/>
                <w:i w:val="0"/>
                <w:iCs w:val="0"/>
              </w:rPr>
            </w:pPr>
          </w:p>
        </w:tc>
      </w:tr>
      <w:tr w:rsidR="00442A22" w:rsidRPr="00835EBC" w14:paraId="2949B399" w14:textId="77777777" w:rsidTr="00322408">
        <w:tc>
          <w:tcPr>
            <w:tcW w:w="0" w:type="auto"/>
            <w:tcBorders>
              <w:top w:val="single" w:sz="4" w:space="0" w:color="auto"/>
            </w:tcBorders>
          </w:tcPr>
          <w:p w14:paraId="3D9EE2DA" w14:textId="77777777" w:rsidR="00442A22" w:rsidRPr="00835EBC" w:rsidRDefault="00442A22" w:rsidP="00623849">
            <w:pPr>
              <w:pStyle w:val="TableText"/>
              <w:rPr>
                <w:rStyle w:val="Emphasis"/>
                <w:i w:val="0"/>
                <w:iCs w:val="0"/>
              </w:rPr>
            </w:pPr>
            <w:r>
              <w:rPr>
                <w:rStyle w:val="Emphasis"/>
                <w:i w:val="0"/>
                <w:iCs w:val="0"/>
              </w:rPr>
              <w:t xml:space="preserve">Slevin et al. </w:t>
            </w:r>
            <w:r w:rsidRPr="00F278E7">
              <w:rPr>
                <w:rStyle w:val="Emphasis"/>
                <w:i w:val="0"/>
                <w:iCs w:val="0"/>
              </w:rPr>
              <w:t>(2020)</w:t>
            </w:r>
          </w:p>
        </w:tc>
        <w:tc>
          <w:tcPr>
            <w:tcW w:w="0" w:type="auto"/>
            <w:tcBorders>
              <w:top w:val="single" w:sz="4" w:space="0" w:color="auto"/>
            </w:tcBorders>
          </w:tcPr>
          <w:p w14:paraId="13719B4A" w14:textId="77777777" w:rsidR="00442A22" w:rsidRPr="00835EBC" w:rsidRDefault="00442A22" w:rsidP="00623849">
            <w:pPr>
              <w:pStyle w:val="TableText"/>
              <w:rPr>
                <w:rStyle w:val="Emphasis"/>
                <w:i w:val="0"/>
                <w:iCs w:val="0"/>
              </w:rPr>
            </w:pPr>
            <w:r>
              <w:rPr>
                <w:rStyle w:val="Emphasis"/>
                <w:i w:val="0"/>
                <w:iCs w:val="0"/>
              </w:rPr>
              <w:t>Serious</w:t>
            </w:r>
          </w:p>
        </w:tc>
        <w:tc>
          <w:tcPr>
            <w:tcW w:w="0" w:type="auto"/>
            <w:tcBorders>
              <w:top w:val="single" w:sz="4" w:space="0" w:color="auto"/>
            </w:tcBorders>
          </w:tcPr>
          <w:p w14:paraId="52DAD57F" w14:textId="77777777" w:rsidR="00442A22" w:rsidRDefault="00442A22" w:rsidP="00623849">
            <w:pPr>
              <w:pStyle w:val="TableText"/>
              <w:rPr>
                <w:rStyle w:val="Emphasis"/>
                <w:i w:val="0"/>
                <w:iCs w:val="0"/>
              </w:rPr>
            </w:pPr>
            <w:r w:rsidRPr="00442A22">
              <w:rPr>
                <w:rStyle w:val="Emphasis"/>
                <w:i w:val="0"/>
                <w:iCs w:val="0"/>
              </w:rPr>
              <w:t>3-year bPFS: 94.1%</w:t>
            </w:r>
          </w:p>
          <w:p w14:paraId="085F3469" w14:textId="0AC1E96F" w:rsidR="00442A22" w:rsidRPr="00442A22" w:rsidRDefault="00442A22" w:rsidP="00623849">
            <w:pPr>
              <w:pStyle w:val="TableText"/>
              <w:rPr>
                <w:rStyle w:val="Emphasis"/>
                <w:i w:val="0"/>
                <w:iCs w:val="0"/>
              </w:rPr>
            </w:pPr>
            <w:r w:rsidRPr="00442A22">
              <w:rPr>
                <w:rStyle w:val="Emphasis"/>
                <w:i w:val="0"/>
                <w:iCs w:val="0"/>
              </w:rPr>
              <w:t>5-year bPFS: 90.5%</w:t>
            </w:r>
          </w:p>
        </w:tc>
        <w:tc>
          <w:tcPr>
            <w:tcW w:w="0" w:type="auto"/>
            <w:tcBorders>
              <w:top w:val="single" w:sz="4" w:space="0" w:color="auto"/>
            </w:tcBorders>
          </w:tcPr>
          <w:p w14:paraId="0B0DB96C" w14:textId="439DCFDB" w:rsidR="00442A22" w:rsidRDefault="00442A22" w:rsidP="00442A22">
            <w:pPr>
              <w:pStyle w:val="TableText"/>
              <w:rPr>
                <w:rStyle w:val="Emphasis"/>
                <w:i w:val="0"/>
                <w:iCs w:val="0"/>
              </w:rPr>
            </w:pPr>
            <w:r w:rsidRPr="00442A22">
              <w:rPr>
                <w:rStyle w:val="Emphasis"/>
                <w:i w:val="0"/>
                <w:iCs w:val="0"/>
              </w:rPr>
              <w:t xml:space="preserve">3-year bPFS: </w:t>
            </w:r>
            <w:r>
              <w:rPr>
                <w:rStyle w:val="Emphasis"/>
                <w:i w:val="0"/>
                <w:iCs w:val="0"/>
              </w:rPr>
              <w:t>9</w:t>
            </w:r>
            <w:r w:rsidRPr="00442A22">
              <w:rPr>
                <w:rStyle w:val="Emphasis"/>
                <w:i w:val="0"/>
                <w:iCs w:val="0"/>
              </w:rPr>
              <w:t>3.7%</w:t>
            </w:r>
          </w:p>
          <w:p w14:paraId="476A6168" w14:textId="015CA036" w:rsidR="00442A22" w:rsidRPr="00835EBC" w:rsidRDefault="00442A22" w:rsidP="00442A22">
            <w:pPr>
              <w:pStyle w:val="TableText"/>
              <w:rPr>
                <w:rStyle w:val="Emphasis"/>
                <w:i w:val="0"/>
                <w:iCs w:val="0"/>
              </w:rPr>
            </w:pPr>
            <w:r w:rsidRPr="00442A22">
              <w:rPr>
                <w:rStyle w:val="Emphasis"/>
                <w:i w:val="0"/>
                <w:iCs w:val="0"/>
              </w:rPr>
              <w:t>5-year bPFS: 77.6%</w:t>
            </w:r>
          </w:p>
        </w:tc>
        <w:tc>
          <w:tcPr>
            <w:tcW w:w="0" w:type="auto"/>
            <w:tcBorders>
              <w:top w:val="single" w:sz="4" w:space="0" w:color="auto"/>
            </w:tcBorders>
          </w:tcPr>
          <w:p w14:paraId="1215F5A4" w14:textId="77777777" w:rsidR="006D7EA8" w:rsidRPr="00D3146E" w:rsidRDefault="006D7EA8" w:rsidP="00623849">
            <w:pPr>
              <w:pStyle w:val="TableText"/>
              <w:rPr>
                <w:rStyle w:val="Emphasis"/>
                <w:b/>
                <w:bCs/>
                <w:i w:val="0"/>
                <w:iCs w:val="0"/>
              </w:rPr>
            </w:pPr>
            <w:r>
              <w:rPr>
                <w:rStyle w:val="Emphasis"/>
                <w:i w:val="0"/>
                <w:iCs w:val="0"/>
              </w:rPr>
              <w:t xml:space="preserve">5-year bPFS: </w:t>
            </w:r>
            <w:r w:rsidRPr="00D3146E">
              <w:rPr>
                <w:rStyle w:val="Emphasis"/>
                <w:b/>
                <w:bCs/>
                <w:i w:val="0"/>
                <w:iCs w:val="0"/>
              </w:rPr>
              <w:t>p=0.01</w:t>
            </w:r>
          </w:p>
          <w:p w14:paraId="5727B4A3" w14:textId="636C919E" w:rsidR="00442A22" w:rsidRPr="00835EBC" w:rsidRDefault="00442A22" w:rsidP="00623849">
            <w:pPr>
              <w:pStyle w:val="TableText"/>
              <w:rPr>
                <w:rStyle w:val="Emphasis"/>
                <w:i w:val="0"/>
                <w:iCs w:val="0"/>
              </w:rPr>
            </w:pPr>
            <w:r w:rsidRPr="00D3146E">
              <w:rPr>
                <w:rStyle w:val="Emphasis"/>
                <w:b/>
                <w:bCs/>
                <w:i w:val="0"/>
                <w:iCs w:val="0"/>
              </w:rPr>
              <w:t>HR=0.43 (95% CI</w:t>
            </w:r>
            <w:r w:rsidR="004560A3">
              <w:rPr>
                <w:rStyle w:val="Emphasis"/>
                <w:b/>
                <w:bCs/>
                <w:i w:val="0"/>
                <w:iCs w:val="0"/>
              </w:rPr>
              <w:t xml:space="preserve"> </w:t>
            </w:r>
            <w:r w:rsidR="006D7EA8" w:rsidRPr="00D3146E">
              <w:rPr>
                <w:rStyle w:val="Emphasis"/>
                <w:b/>
                <w:bCs/>
                <w:i w:val="0"/>
                <w:iCs w:val="0"/>
              </w:rPr>
              <w:t>0.25-0.89)</w:t>
            </w:r>
          </w:p>
        </w:tc>
      </w:tr>
      <w:tr w:rsidR="00442A22" w:rsidRPr="00835EBC" w14:paraId="24C25867" w14:textId="77777777" w:rsidTr="00322408">
        <w:tc>
          <w:tcPr>
            <w:tcW w:w="0" w:type="auto"/>
            <w:gridSpan w:val="5"/>
          </w:tcPr>
          <w:p w14:paraId="0B7BBB05" w14:textId="0234783C" w:rsidR="00442A22" w:rsidRPr="006D7EA8" w:rsidRDefault="00442A22" w:rsidP="00623849">
            <w:pPr>
              <w:pStyle w:val="TableText"/>
              <w:rPr>
                <w:rStyle w:val="Emphasis"/>
                <w:i w:val="0"/>
                <w:iCs w:val="0"/>
              </w:rPr>
            </w:pPr>
            <w:r w:rsidRPr="006D7EA8">
              <w:rPr>
                <w:rStyle w:val="Emphasis"/>
                <w:b/>
                <w:bCs/>
                <w:i w:val="0"/>
                <w:iCs w:val="0"/>
              </w:rPr>
              <w:t>P</w:t>
            </w:r>
            <w:r w:rsidR="006D7EA8" w:rsidRPr="006D7EA8">
              <w:rPr>
                <w:rStyle w:val="Emphasis"/>
                <w:b/>
                <w:bCs/>
                <w:i w:val="0"/>
                <w:iCs w:val="0"/>
              </w:rPr>
              <w:t>rostate</w:t>
            </w:r>
            <w:r w:rsidR="0004730A">
              <w:rPr>
                <w:rStyle w:val="Emphasis"/>
                <w:b/>
                <w:bCs/>
                <w:i w:val="0"/>
                <w:iCs w:val="0"/>
              </w:rPr>
              <w:t xml:space="preserve"> </w:t>
            </w:r>
            <w:r w:rsidR="006D7EA8" w:rsidRPr="006D7EA8">
              <w:rPr>
                <w:rStyle w:val="Emphasis"/>
                <w:b/>
                <w:bCs/>
                <w:i w:val="0"/>
                <w:iCs w:val="0"/>
              </w:rPr>
              <w:t>cancer</w:t>
            </w:r>
            <w:r w:rsidR="0004730A">
              <w:rPr>
                <w:rStyle w:val="Emphasis"/>
                <w:b/>
                <w:bCs/>
                <w:i w:val="0"/>
                <w:iCs w:val="0"/>
              </w:rPr>
              <w:t>-</w:t>
            </w:r>
            <w:r w:rsidR="006D7EA8" w:rsidRPr="006D7EA8">
              <w:rPr>
                <w:rStyle w:val="Emphasis"/>
                <w:b/>
                <w:bCs/>
                <w:i w:val="0"/>
                <w:iCs w:val="0"/>
              </w:rPr>
              <w:t xml:space="preserve">specific </w:t>
            </w:r>
            <w:r w:rsidRPr="006D7EA8">
              <w:rPr>
                <w:rStyle w:val="Emphasis"/>
                <w:b/>
                <w:bCs/>
                <w:i w:val="0"/>
                <w:iCs w:val="0"/>
              </w:rPr>
              <w:t>mortality</w:t>
            </w:r>
          </w:p>
        </w:tc>
      </w:tr>
      <w:tr w:rsidR="00442A22" w:rsidRPr="00835EBC" w14:paraId="10EF7D2F" w14:textId="77777777" w:rsidTr="00322408">
        <w:tc>
          <w:tcPr>
            <w:tcW w:w="0" w:type="auto"/>
            <w:tcBorders>
              <w:top w:val="single" w:sz="4" w:space="0" w:color="auto"/>
              <w:left w:val="single" w:sz="4" w:space="0" w:color="auto"/>
              <w:bottom w:val="single" w:sz="4" w:space="0" w:color="auto"/>
              <w:right w:val="single" w:sz="4" w:space="0" w:color="auto"/>
            </w:tcBorders>
          </w:tcPr>
          <w:p w14:paraId="4EC639FD" w14:textId="77777777" w:rsidR="00442A22" w:rsidRPr="00835EBC" w:rsidRDefault="00442A22" w:rsidP="00623849">
            <w:pPr>
              <w:pStyle w:val="TableText"/>
              <w:rPr>
                <w:rStyle w:val="Emphasis"/>
                <w:i w:val="0"/>
                <w:iCs w:val="0"/>
              </w:rPr>
            </w:pPr>
            <w:r>
              <w:rPr>
                <w:rStyle w:val="Emphasis"/>
                <w:i w:val="0"/>
                <w:iCs w:val="0"/>
              </w:rPr>
              <w:t>Parry et al. (2020)</w:t>
            </w:r>
          </w:p>
        </w:tc>
        <w:tc>
          <w:tcPr>
            <w:tcW w:w="0" w:type="auto"/>
            <w:tcBorders>
              <w:top w:val="single" w:sz="4" w:space="0" w:color="auto"/>
              <w:left w:val="single" w:sz="4" w:space="0" w:color="auto"/>
              <w:bottom w:val="single" w:sz="4" w:space="0" w:color="auto"/>
              <w:right w:val="single" w:sz="4" w:space="0" w:color="auto"/>
            </w:tcBorders>
          </w:tcPr>
          <w:p w14:paraId="25AB7F32" w14:textId="77777777" w:rsidR="00442A22" w:rsidRPr="00835EBC" w:rsidRDefault="00442A22" w:rsidP="00623849">
            <w:pPr>
              <w:pStyle w:val="TableText"/>
              <w:rPr>
                <w:rStyle w:val="Emphasis"/>
                <w:i w:val="0"/>
                <w:iCs w:val="0"/>
              </w:rPr>
            </w:pPr>
            <w:r>
              <w:rPr>
                <w:rStyle w:val="Emphasis"/>
                <w:i w:val="0"/>
                <w:iCs w:val="0"/>
              </w:rPr>
              <w:t>Moderate</w:t>
            </w:r>
          </w:p>
        </w:tc>
        <w:tc>
          <w:tcPr>
            <w:tcW w:w="0" w:type="auto"/>
            <w:tcBorders>
              <w:left w:val="single" w:sz="4" w:space="0" w:color="auto"/>
              <w:bottom w:val="single" w:sz="4" w:space="0" w:color="auto"/>
            </w:tcBorders>
          </w:tcPr>
          <w:p w14:paraId="3F3B644D" w14:textId="596663EF" w:rsidR="00442A22" w:rsidRPr="00835EBC" w:rsidRDefault="00442A22" w:rsidP="00623849">
            <w:pPr>
              <w:pStyle w:val="TableText"/>
              <w:rPr>
                <w:rStyle w:val="Emphasis"/>
                <w:i w:val="0"/>
                <w:iCs w:val="0"/>
              </w:rPr>
            </w:pPr>
            <w:r>
              <w:rPr>
                <w:rStyle w:val="Emphasis"/>
                <w:i w:val="0"/>
                <w:iCs w:val="0"/>
              </w:rPr>
              <w:t xml:space="preserve">5-year cumulative </w:t>
            </w:r>
            <w:r w:rsidR="006D7EA8">
              <w:rPr>
                <w:rStyle w:val="Emphasis"/>
                <w:i w:val="0"/>
                <w:iCs w:val="0"/>
              </w:rPr>
              <w:t>mortality</w:t>
            </w:r>
            <w:r>
              <w:rPr>
                <w:rStyle w:val="Emphasis"/>
                <w:i w:val="0"/>
                <w:iCs w:val="0"/>
              </w:rPr>
              <w:t xml:space="preserve">: </w:t>
            </w:r>
            <w:r w:rsidR="006D7EA8">
              <w:rPr>
                <w:rStyle w:val="Emphasis"/>
                <w:i w:val="0"/>
                <w:iCs w:val="0"/>
              </w:rPr>
              <w:t>2.7</w:t>
            </w:r>
            <w:r>
              <w:rPr>
                <w:rStyle w:val="Emphasis"/>
                <w:i w:val="0"/>
                <w:iCs w:val="0"/>
              </w:rPr>
              <w:t>% (95% CI 1</w:t>
            </w:r>
            <w:r w:rsidR="006D7EA8">
              <w:rPr>
                <w:rStyle w:val="Emphasis"/>
                <w:i w:val="0"/>
                <w:iCs w:val="0"/>
              </w:rPr>
              <w:t>.0-5.9</w:t>
            </w:r>
            <w:r>
              <w:rPr>
                <w:rStyle w:val="Emphasis"/>
                <w:i w:val="0"/>
                <w:iCs w:val="0"/>
              </w:rPr>
              <w:t>)</w:t>
            </w:r>
          </w:p>
        </w:tc>
        <w:tc>
          <w:tcPr>
            <w:tcW w:w="0" w:type="auto"/>
            <w:tcBorders>
              <w:bottom w:val="single" w:sz="4" w:space="0" w:color="auto"/>
            </w:tcBorders>
          </w:tcPr>
          <w:p w14:paraId="6483AE38" w14:textId="78A99D29" w:rsidR="00442A22" w:rsidRPr="00835EBC" w:rsidRDefault="00442A22" w:rsidP="00623849">
            <w:pPr>
              <w:pStyle w:val="TableText"/>
              <w:rPr>
                <w:rStyle w:val="Emphasis"/>
                <w:i w:val="0"/>
                <w:iCs w:val="0"/>
              </w:rPr>
            </w:pPr>
            <w:r>
              <w:rPr>
                <w:rStyle w:val="Emphasis"/>
                <w:i w:val="0"/>
                <w:iCs w:val="0"/>
              </w:rPr>
              <w:t xml:space="preserve">5-year cumulative </w:t>
            </w:r>
            <w:r w:rsidR="006D7EA8">
              <w:rPr>
                <w:rStyle w:val="Emphasis"/>
                <w:i w:val="0"/>
                <w:iCs w:val="0"/>
              </w:rPr>
              <w:t>mortality</w:t>
            </w:r>
            <w:r>
              <w:rPr>
                <w:rStyle w:val="Emphasis"/>
                <w:i w:val="0"/>
                <w:iCs w:val="0"/>
              </w:rPr>
              <w:t xml:space="preserve">: </w:t>
            </w:r>
            <w:r w:rsidR="006D7EA8">
              <w:rPr>
                <w:rStyle w:val="Emphasis"/>
                <w:i w:val="0"/>
                <w:iCs w:val="0"/>
              </w:rPr>
              <w:t>2.7%</w:t>
            </w:r>
            <w:r>
              <w:rPr>
                <w:rStyle w:val="Emphasis"/>
                <w:i w:val="0"/>
                <w:iCs w:val="0"/>
              </w:rPr>
              <w:t xml:space="preserve"> (95% CI </w:t>
            </w:r>
            <w:r w:rsidR="006D7EA8">
              <w:rPr>
                <w:rStyle w:val="Emphasis"/>
                <w:i w:val="0"/>
                <w:iCs w:val="0"/>
              </w:rPr>
              <w:t>2.0-3.5</w:t>
            </w:r>
            <w:r>
              <w:rPr>
                <w:rStyle w:val="Emphasis"/>
                <w:i w:val="0"/>
                <w:iCs w:val="0"/>
              </w:rPr>
              <w:t>)</w:t>
            </w:r>
          </w:p>
        </w:tc>
        <w:tc>
          <w:tcPr>
            <w:tcW w:w="0" w:type="auto"/>
            <w:tcBorders>
              <w:bottom w:val="single" w:sz="4" w:space="0" w:color="auto"/>
            </w:tcBorders>
          </w:tcPr>
          <w:p w14:paraId="2ABF88CA" w14:textId="77777777" w:rsidR="00442A22" w:rsidRPr="00835EBC" w:rsidRDefault="00442A22" w:rsidP="00623849">
            <w:pPr>
              <w:pStyle w:val="TableText"/>
              <w:rPr>
                <w:rStyle w:val="Emphasis"/>
                <w:i w:val="0"/>
                <w:iCs w:val="0"/>
              </w:rPr>
            </w:pPr>
            <w:r>
              <w:rPr>
                <w:rStyle w:val="Emphasis"/>
                <w:i w:val="0"/>
                <w:iCs w:val="0"/>
              </w:rPr>
              <w:t>NS</w:t>
            </w:r>
          </w:p>
        </w:tc>
      </w:tr>
      <w:tr w:rsidR="006D7EA8" w:rsidRPr="00835EBC" w14:paraId="32633517" w14:textId="77777777" w:rsidTr="00322408">
        <w:tc>
          <w:tcPr>
            <w:tcW w:w="0" w:type="auto"/>
            <w:tcBorders>
              <w:top w:val="single" w:sz="4" w:space="0" w:color="auto"/>
              <w:left w:val="single" w:sz="4" w:space="0" w:color="auto"/>
              <w:bottom w:val="single" w:sz="4" w:space="0" w:color="auto"/>
              <w:right w:val="nil"/>
            </w:tcBorders>
          </w:tcPr>
          <w:p w14:paraId="00DDBF35" w14:textId="302BB86E" w:rsidR="006D7EA8" w:rsidRPr="006D7EA8" w:rsidRDefault="006D7EA8" w:rsidP="00623849">
            <w:pPr>
              <w:pStyle w:val="TableText"/>
              <w:rPr>
                <w:rStyle w:val="Emphasis"/>
                <w:b/>
                <w:bCs/>
                <w:i w:val="0"/>
                <w:iCs w:val="0"/>
              </w:rPr>
            </w:pPr>
            <w:r w:rsidRPr="006D7EA8">
              <w:rPr>
                <w:rStyle w:val="Emphasis"/>
                <w:b/>
                <w:bCs/>
                <w:i w:val="0"/>
                <w:iCs w:val="0"/>
              </w:rPr>
              <w:t>OS</w:t>
            </w:r>
          </w:p>
        </w:tc>
        <w:tc>
          <w:tcPr>
            <w:tcW w:w="0" w:type="auto"/>
            <w:tcBorders>
              <w:top w:val="single" w:sz="4" w:space="0" w:color="auto"/>
              <w:left w:val="nil"/>
              <w:bottom w:val="single" w:sz="4" w:space="0" w:color="auto"/>
              <w:right w:val="nil"/>
            </w:tcBorders>
          </w:tcPr>
          <w:p w14:paraId="55FD0B7A" w14:textId="77777777" w:rsidR="006D7EA8" w:rsidRPr="00835EBC" w:rsidRDefault="006D7EA8" w:rsidP="00623849">
            <w:pPr>
              <w:pStyle w:val="TableText"/>
              <w:rPr>
                <w:rStyle w:val="Emphasis"/>
                <w:i w:val="0"/>
                <w:iCs w:val="0"/>
              </w:rPr>
            </w:pPr>
          </w:p>
        </w:tc>
        <w:tc>
          <w:tcPr>
            <w:tcW w:w="0" w:type="auto"/>
            <w:tcBorders>
              <w:top w:val="single" w:sz="4" w:space="0" w:color="auto"/>
              <w:left w:val="nil"/>
              <w:bottom w:val="single" w:sz="4" w:space="0" w:color="auto"/>
              <w:right w:val="nil"/>
            </w:tcBorders>
          </w:tcPr>
          <w:p w14:paraId="67AE1C23" w14:textId="77777777" w:rsidR="006D7EA8" w:rsidRDefault="006D7EA8" w:rsidP="00623849">
            <w:pPr>
              <w:pStyle w:val="TableText"/>
              <w:rPr>
                <w:rStyle w:val="Emphasis"/>
                <w:i w:val="0"/>
                <w:iCs w:val="0"/>
              </w:rPr>
            </w:pPr>
          </w:p>
        </w:tc>
        <w:tc>
          <w:tcPr>
            <w:tcW w:w="0" w:type="auto"/>
            <w:tcBorders>
              <w:top w:val="single" w:sz="4" w:space="0" w:color="auto"/>
              <w:left w:val="nil"/>
              <w:bottom w:val="single" w:sz="4" w:space="0" w:color="auto"/>
              <w:right w:val="nil"/>
            </w:tcBorders>
          </w:tcPr>
          <w:p w14:paraId="1D7A67B3" w14:textId="77777777" w:rsidR="006D7EA8" w:rsidRDefault="006D7EA8" w:rsidP="00623849">
            <w:pPr>
              <w:pStyle w:val="TableText"/>
              <w:rPr>
                <w:rStyle w:val="Emphasis"/>
                <w:i w:val="0"/>
                <w:iCs w:val="0"/>
              </w:rPr>
            </w:pPr>
          </w:p>
        </w:tc>
        <w:tc>
          <w:tcPr>
            <w:tcW w:w="0" w:type="auto"/>
            <w:tcBorders>
              <w:top w:val="single" w:sz="4" w:space="0" w:color="auto"/>
              <w:left w:val="nil"/>
              <w:bottom w:val="single" w:sz="4" w:space="0" w:color="auto"/>
              <w:right w:val="single" w:sz="4" w:space="0" w:color="auto"/>
            </w:tcBorders>
          </w:tcPr>
          <w:p w14:paraId="7BE8F09A" w14:textId="77777777" w:rsidR="006D7EA8" w:rsidRDefault="006D7EA8" w:rsidP="00623849">
            <w:pPr>
              <w:pStyle w:val="TableText"/>
              <w:rPr>
                <w:rStyle w:val="Emphasis"/>
                <w:i w:val="0"/>
                <w:iCs w:val="0"/>
              </w:rPr>
            </w:pPr>
          </w:p>
        </w:tc>
      </w:tr>
      <w:tr w:rsidR="00442A22" w:rsidRPr="00835EBC" w14:paraId="4C04724A" w14:textId="77777777" w:rsidTr="00322408">
        <w:tc>
          <w:tcPr>
            <w:tcW w:w="0" w:type="auto"/>
            <w:tcBorders>
              <w:top w:val="single" w:sz="4" w:space="0" w:color="auto"/>
              <w:left w:val="single" w:sz="4" w:space="0" w:color="auto"/>
              <w:bottom w:val="single" w:sz="4" w:space="0" w:color="auto"/>
              <w:right w:val="single" w:sz="4" w:space="0" w:color="auto"/>
            </w:tcBorders>
          </w:tcPr>
          <w:p w14:paraId="1B9C5877" w14:textId="6F63439D" w:rsidR="00442A22" w:rsidRPr="00835EBC" w:rsidRDefault="006D7EA8" w:rsidP="00623849">
            <w:pPr>
              <w:pStyle w:val="TableText"/>
              <w:rPr>
                <w:rStyle w:val="Emphasis"/>
                <w:i w:val="0"/>
                <w:iCs w:val="0"/>
              </w:rPr>
            </w:pPr>
            <w:r>
              <w:rPr>
                <w:rStyle w:val="Emphasis"/>
                <w:i w:val="0"/>
                <w:iCs w:val="0"/>
              </w:rPr>
              <w:t>King</w:t>
            </w:r>
            <w:r w:rsidR="00442A22">
              <w:rPr>
                <w:rStyle w:val="Emphasis"/>
                <w:i w:val="0"/>
                <w:iCs w:val="0"/>
              </w:rPr>
              <w:t xml:space="preserve"> et al. (201</w:t>
            </w:r>
            <w:r>
              <w:rPr>
                <w:rStyle w:val="Emphasis"/>
                <w:i w:val="0"/>
                <w:iCs w:val="0"/>
              </w:rPr>
              <w:t>9</w:t>
            </w:r>
            <w:r w:rsidR="00442A22">
              <w:rPr>
                <w:rStyle w:val="Emphasis"/>
                <w:i w:val="0"/>
                <w:iCs w:val="0"/>
              </w:rPr>
              <w:t>)</w:t>
            </w:r>
          </w:p>
        </w:tc>
        <w:tc>
          <w:tcPr>
            <w:tcW w:w="0" w:type="auto"/>
            <w:tcBorders>
              <w:top w:val="single" w:sz="4" w:space="0" w:color="auto"/>
              <w:left w:val="single" w:sz="4" w:space="0" w:color="auto"/>
              <w:bottom w:val="single" w:sz="4" w:space="0" w:color="auto"/>
              <w:right w:val="single" w:sz="4" w:space="0" w:color="auto"/>
            </w:tcBorders>
          </w:tcPr>
          <w:p w14:paraId="57FA7E3C" w14:textId="38BBCE97" w:rsidR="00442A22" w:rsidRPr="00835EBC" w:rsidRDefault="006D7EA8" w:rsidP="00623849">
            <w:pPr>
              <w:pStyle w:val="TableText"/>
              <w:rPr>
                <w:rStyle w:val="Emphasis"/>
                <w:i w:val="0"/>
                <w:iCs w:val="0"/>
              </w:rPr>
            </w:pPr>
            <w:r>
              <w:rPr>
                <w:rStyle w:val="Emphasis"/>
                <w:i w:val="0"/>
                <w:iCs w:val="0"/>
              </w:rPr>
              <w:t>Moderate</w:t>
            </w:r>
          </w:p>
        </w:tc>
        <w:tc>
          <w:tcPr>
            <w:tcW w:w="0" w:type="auto"/>
            <w:tcBorders>
              <w:top w:val="single" w:sz="4" w:space="0" w:color="auto"/>
              <w:left w:val="single" w:sz="4" w:space="0" w:color="auto"/>
              <w:bottom w:val="single" w:sz="4" w:space="0" w:color="auto"/>
            </w:tcBorders>
          </w:tcPr>
          <w:p w14:paraId="3FC995B2" w14:textId="0416D5B3" w:rsidR="00442A22" w:rsidRPr="00835EBC" w:rsidRDefault="0004730A" w:rsidP="00623849">
            <w:pPr>
              <w:pStyle w:val="TableText"/>
              <w:rPr>
                <w:rStyle w:val="Emphasis"/>
                <w:i w:val="0"/>
                <w:iCs w:val="0"/>
              </w:rPr>
            </w:pPr>
            <w:r>
              <w:rPr>
                <w:rStyle w:val="Emphasis"/>
                <w:i w:val="0"/>
                <w:iCs w:val="0"/>
              </w:rPr>
              <w:t>NR</w:t>
            </w:r>
          </w:p>
        </w:tc>
        <w:tc>
          <w:tcPr>
            <w:tcW w:w="0" w:type="auto"/>
            <w:tcBorders>
              <w:top w:val="single" w:sz="4" w:space="0" w:color="auto"/>
              <w:bottom w:val="single" w:sz="4" w:space="0" w:color="auto"/>
            </w:tcBorders>
          </w:tcPr>
          <w:p w14:paraId="33809599" w14:textId="508B88AF" w:rsidR="00442A22" w:rsidRPr="00835EBC" w:rsidRDefault="0004730A" w:rsidP="00623849">
            <w:pPr>
              <w:pStyle w:val="TableText"/>
              <w:rPr>
                <w:rStyle w:val="Emphasis"/>
                <w:i w:val="0"/>
                <w:iCs w:val="0"/>
              </w:rPr>
            </w:pPr>
            <w:r>
              <w:rPr>
                <w:rStyle w:val="Emphasis"/>
                <w:i w:val="0"/>
                <w:iCs w:val="0"/>
              </w:rPr>
              <w:t>NR</w:t>
            </w:r>
          </w:p>
        </w:tc>
        <w:tc>
          <w:tcPr>
            <w:tcW w:w="0" w:type="auto"/>
            <w:tcBorders>
              <w:top w:val="single" w:sz="4" w:space="0" w:color="auto"/>
              <w:bottom w:val="single" w:sz="4" w:space="0" w:color="auto"/>
            </w:tcBorders>
          </w:tcPr>
          <w:p w14:paraId="4DACC2CB" w14:textId="77777777" w:rsidR="00442A22" w:rsidRDefault="006D7EA8" w:rsidP="00623849">
            <w:pPr>
              <w:pStyle w:val="TableText"/>
              <w:rPr>
                <w:rStyle w:val="Emphasis"/>
                <w:i w:val="0"/>
                <w:iCs w:val="0"/>
              </w:rPr>
            </w:pPr>
            <w:r w:rsidRPr="0004730A">
              <w:rPr>
                <w:rStyle w:val="Emphasis"/>
                <w:i w:val="0"/>
                <w:iCs w:val="0"/>
              </w:rPr>
              <w:t>aHR</w:t>
            </w:r>
            <w:r w:rsidR="0004730A" w:rsidRPr="0004730A">
              <w:rPr>
                <w:rStyle w:val="Emphasis"/>
                <w:i w:val="0"/>
                <w:iCs w:val="0"/>
              </w:rPr>
              <w:t>*</w:t>
            </w:r>
            <w:r w:rsidRPr="0004730A">
              <w:rPr>
                <w:rStyle w:val="Emphasis"/>
                <w:i w:val="0"/>
                <w:iCs w:val="0"/>
              </w:rPr>
              <w:t>=</w:t>
            </w:r>
            <w:r w:rsidR="0004730A" w:rsidRPr="0004730A">
              <w:rPr>
                <w:rStyle w:val="Emphasis"/>
                <w:i w:val="0"/>
                <w:iCs w:val="0"/>
              </w:rPr>
              <w:t>0.97 (95% CI 0.90-1.04)</w:t>
            </w:r>
          </w:p>
          <w:p w14:paraId="66F7D071" w14:textId="2765E515" w:rsidR="0004730A" w:rsidRPr="0004730A" w:rsidRDefault="0004730A" w:rsidP="00623849">
            <w:pPr>
              <w:pStyle w:val="TableText"/>
              <w:rPr>
                <w:rStyle w:val="Emphasis"/>
                <w:i w:val="0"/>
                <w:iCs w:val="0"/>
              </w:rPr>
            </w:pPr>
            <w:r w:rsidRPr="0004730A">
              <w:rPr>
                <w:rStyle w:val="Emphasis"/>
                <w:i w:val="0"/>
                <w:iCs w:val="0"/>
              </w:rPr>
              <w:t>aHR*</w:t>
            </w:r>
            <w:r>
              <w:rPr>
                <w:rStyle w:val="Emphasis"/>
                <w:i w:val="0"/>
                <w:iCs w:val="0"/>
              </w:rPr>
              <w:t xml:space="preserve"> (IPTW)=0.99 (95% CI 0.91-1.08)</w:t>
            </w:r>
          </w:p>
        </w:tc>
      </w:tr>
      <w:tr w:rsidR="00322408" w:rsidRPr="00835EBC" w14:paraId="7B676ADE" w14:textId="77777777" w:rsidTr="00623849">
        <w:tc>
          <w:tcPr>
            <w:tcW w:w="0" w:type="auto"/>
            <w:gridSpan w:val="5"/>
            <w:tcBorders>
              <w:top w:val="single" w:sz="4" w:space="0" w:color="auto"/>
              <w:left w:val="single" w:sz="4" w:space="0" w:color="auto"/>
              <w:bottom w:val="single" w:sz="4" w:space="0" w:color="auto"/>
              <w:right w:val="single" w:sz="4" w:space="0" w:color="auto"/>
            </w:tcBorders>
          </w:tcPr>
          <w:p w14:paraId="1D0C495E" w14:textId="58ADB736" w:rsidR="00322408" w:rsidRDefault="00322408" w:rsidP="00623849">
            <w:pPr>
              <w:pStyle w:val="TableText"/>
              <w:rPr>
                <w:rStyle w:val="Emphasis"/>
                <w:i w:val="0"/>
                <w:iCs w:val="0"/>
              </w:rPr>
            </w:pPr>
            <w:r w:rsidRPr="0004730A">
              <w:rPr>
                <w:rStyle w:val="Emphasis"/>
                <w:b/>
                <w:bCs/>
                <w:i w:val="0"/>
                <w:iCs w:val="0"/>
              </w:rPr>
              <w:t>Functional outcomes</w:t>
            </w:r>
          </w:p>
        </w:tc>
      </w:tr>
      <w:tr w:rsidR="0004730A" w:rsidRPr="00835EBC" w14:paraId="3CDF5D93" w14:textId="77777777" w:rsidTr="00322408">
        <w:tc>
          <w:tcPr>
            <w:tcW w:w="0" w:type="auto"/>
            <w:tcBorders>
              <w:top w:val="single" w:sz="4" w:space="0" w:color="auto"/>
              <w:left w:val="single" w:sz="4" w:space="0" w:color="auto"/>
              <w:bottom w:val="nil"/>
              <w:right w:val="single" w:sz="4" w:space="0" w:color="auto"/>
            </w:tcBorders>
          </w:tcPr>
          <w:p w14:paraId="6D18AD75" w14:textId="5DD28148" w:rsidR="00D3146E" w:rsidRPr="00D3146E" w:rsidRDefault="0004730A" w:rsidP="00623849">
            <w:pPr>
              <w:pStyle w:val="TableText"/>
              <w:rPr>
                <w:rStyle w:val="Emphasis"/>
                <w:i w:val="0"/>
                <w:iCs w:val="0"/>
              </w:rPr>
            </w:pPr>
            <w:r>
              <w:rPr>
                <w:rStyle w:val="Emphasis"/>
                <w:i w:val="0"/>
                <w:iCs w:val="0"/>
              </w:rPr>
              <w:t>Parry et al. (2020)</w:t>
            </w:r>
          </w:p>
        </w:tc>
        <w:tc>
          <w:tcPr>
            <w:tcW w:w="0" w:type="auto"/>
            <w:tcBorders>
              <w:top w:val="single" w:sz="4" w:space="0" w:color="auto"/>
              <w:left w:val="single" w:sz="4" w:space="0" w:color="auto"/>
              <w:bottom w:val="nil"/>
              <w:right w:val="single" w:sz="4" w:space="0" w:color="auto"/>
            </w:tcBorders>
          </w:tcPr>
          <w:p w14:paraId="66C34096" w14:textId="32C4B85E" w:rsidR="0004730A" w:rsidRDefault="00D3146E" w:rsidP="00623849">
            <w:pPr>
              <w:pStyle w:val="TableText"/>
              <w:rPr>
                <w:rStyle w:val="Emphasis"/>
                <w:i w:val="0"/>
                <w:iCs w:val="0"/>
              </w:rPr>
            </w:pPr>
            <w:r>
              <w:rPr>
                <w:rStyle w:val="Emphasis"/>
                <w:i w:val="0"/>
                <w:iCs w:val="0"/>
              </w:rPr>
              <w:t>Serious</w:t>
            </w:r>
          </w:p>
        </w:tc>
        <w:tc>
          <w:tcPr>
            <w:tcW w:w="0" w:type="auto"/>
            <w:tcBorders>
              <w:top w:val="single" w:sz="4" w:space="0" w:color="auto"/>
              <w:left w:val="single" w:sz="4" w:space="0" w:color="auto"/>
            </w:tcBorders>
          </w:tcPr>
          <w:p w14:paraId="6B91A7A9" w14:textId="3707ACFE" w:rsidR="0004730A" w:rsidRDefault="0004730A" w:rsidP="00623849">
            <w:pPr>
              <w:pStyle w:val="TableText"/>
              <w:rPr>
                <w:rStyle w:val="Emphasis"/>
                <w:i w:val="0"/>
                <w:iCs w:val="0"/>
              </w:rPr>
            </w:pPr>
            <w:r>
              <w:rPr>
                <w:rStyle w:val="Emphasis"/>
                <w:i w:val="0"/>
                <w:iCs w:val="0"/>
              </w:rPr>
              <w:t>Bowel:</w:t>
            </w:r>
            <w:r w:rsidR="00D3146E">
              <w:rPr>
                <w:rStyle w:val="Emphasis"/>
                <w:i w:val="0"/>
                <w:iCs w:val="0"/>
              </w:rPr>
              <w:t xml:space="preserve"> M=77.3</w:t>
            </w:r>
          </w:p>
        </w:tc>
        <w:tc>
          <w:tcPr>
            <w:tcW w:w="0" w:type="auto"/>
            <w:tcBorders>
              <w:top w:val="single" w:sz="4" w:space="0" w:color="auto"/>
            </w:tcBorders>
          </w:tcPr>
          <w:p w14:paraId="4DD9F12F" w14:textId="77C4C9DE" w:rsidR="0004730A" w:rsidRDefault="00D3146E" w:rsidP="00623849">
            <w:pPr>
              <w:pStyle w:val="TableText"/>
              <w:rPr>
                <w:rStyle w:val="Emphasis"/>
                <w:i w:val="0"/>
                <w:iCs w:val="0"/>
              </w:rPr>
            </w:pPr>
            <w:r>
              <w:rPr>
                <w:rStyle w:val="Emphasis"/>
                <w:i w:val="0"/>
                <w:iCs w:val="0"/>
              </w:rPr>
              <w:t>M=85.8</w:t>
            </w:r>
          </w:p>
        </w:tc>
        <w:tc>
          <w:tcPr>
            <w:tcW w:w="0" w:type="auto"/>
            <w:tcBorders>
              <w:top w:val="single" w:sz="4" w:space="0" w:color="auto"/>
            </w:tcBorders>
          </w:tcPr>
          <w:p w14:paraId="3D067C67" w14:textId="4C5F1039" w:rsidR="0004730A" w:rsidRPr="00225AF6" w:rsidRDefault="00D3146E" w:rsidP="00623849">
            <w:pPr>
              <w:pStyle w:val="TableText"/>
              <w:rPr>
                <w:rStyle w:val="Emphasis"/>
                <w:b/>
                <w:bCs/>
                <w:i w:val="0"/>
                <w:iCs w:val="0"/>
              </w:rPr>
            </w:pPr>
            <w:r w:rsidRPr="00225AF6">
              <w:rPr>
                <w:rStyle w:val="Emphasis"/>
                <w:b/>
                <w:bCs/>
                <w:i w:val="0"/>
                <w:iCs w:val="0"/>
              </w:rPr>
              <w:t>SS, CS</w:t>
            </w:r>
          </w:p>
        </w:tc>
      </w:tr>
      <w:tr w:rsidR="0004730A" w:rsidRPr="00835EBC" w14:paraId="1C23D54C" w14:textId="77777777" w:rsidTr="00322408">
        <w:tc>
          <w:tcPr>
            <w:tcW w:w="0" w:type="auto"/>
            <w:tcBorders>
              <w:top w:val="nil"/>
              <w:left w:val="single" w:sz="4" w:space="0" w:color="auto"/>
              <w:bottom w:val="nil"/>
              <w:right w:val="single" w:sz="4" w:space="0" w:color="auto"/>
            </w:tcBorders>
          </w:tcPr>
          <w:p w14:paraId="5B6DCEAD" w14:textId="5C177F2D" w:rsidR="0004730A" w:rsidRDefault="00D3146E" w:rsidP="00623849">
            <w:pPr>
              <w:pStyle w:val="TableText"/>
              <w:rPr>
                <w:rStyle w:val="Emphasis"/>
                <w:i w:val="0"/>
                <w:iCs w:val="0"/>
              </w:rPr>
            </w:pPr>
            <w:r>
              <w:rPr>
                <w:rStyle w:val="Emphasis"/>
                <w:i w:val="0"/>
                <w:iCs w:val="0"/>
              </w:rPr>
              <w:t>EPIC-26</w:t>
            </w:r>
          </w:p>
        </w:tc>
        <w:tc>
          <w:tcPr>
            <w:tcW w:w="0" w:type="auto"/>
            <w:tcBorders>
              <w:top w:val="nil"/>
              <w:left w:val="single" w:sz="4" w:space="0" w:color="auto"/>
              <w:bottom w:val="nil"/>
              <w:right w:val="single" w:sz="4" w:space="0" w:color="auto"/>
            </w:tcBorders>
          </w:tcPr>
          <w:p w14:paraId="1E9E9798" w14:textId="77777777" w:rsidR="0004730A" w:rsidRDefault="0004730A" w:rsidP="00623849">
            <w:pPr>
              <w:pStyle w:val="TableText"/>
              <w:rPr>
                <w:rStyle w:val="Emphasis"/>
                <w:i w:val="0"/>
                <w:iCs w:val="0"/>
              </w:rPr>
            </w:pPr>
          </w:p>
        </w:tc>
        <w:tc>
          <w:tcPr>
            <w:tcW w:w="0" w:type="auto"/>
            <w:tcBorders>
              <w:left w:val="single" w:sz="4" w:space="0" w:color="auto"/>
            </w:tcBorders>
          </w:tcPr>
          <w:p w14:paraId="452A6667" w14:textId="142F9503" w:rsidR="0004730A" w:rsidRDefault="0004730A" w:rsidP="00623849">
            <w:pPr>
              <w:pStyle w:val="TableText"/>
              <w:rPr>
                <w:rStyle w:val="Emphasis"/>
                <w:i w:val="0"/>
                <w:iCs w:val="0"/>
              </w:rPr>
            </w:pPr>
            <w:r>
              <w:rPr>
                <w:rStyle w:val="Emphasis"/>
                <w:i w:val="0"/>
                <w:iCs w:val="0"/>
              </w:rPr>
              <w:t>Urinary incontinence:</w:t>
            </w:r>
            <w:r w:rsidR="00D3146E">
              <w:rPr>
                <w:rStyle w:val="Emphasis"/>
                <w:i w:val="0"/>
                <w:iCs w:val="0"/>
              </w:rPr>
              <w:t xml:space="preserve"> M=87.0</w:t>
            </w:r>
          </w:p>
        </w:tc>
        <w:tc>
          <w:tcPr>
            <w:tcW w:w="0" w:type="auto"/>
          </w:tcPr>
          <w:p w14:paraId="06A76280" w14:textId="3190804A" w:rsidR="0004730A" w:rsidRDefault="00D3146E" w:rsidP="00623849">
            <w:pPr>
              <w:pStyle w:val="TableText"/>
              <w:rPr>
                <w:rStyle w:val="Emphasis"/>
                <w:i w:val="0"/>
                <w:iCs w:val="0"/>
              </w:rPr>
            </w:pPr>
            <w:r>
              <w:rPr>
                <w:rStyle w:val="Emphasis"/>
                <w:i w:val="0"/>
                <w:iCs w:val="0"/>
              </w:rPr>
              <w:t>M=86.0</w:t>
            </w:r>
          </w:p>
        </w:tc>
        <w:tc>
          <w:tcPr>
            <w:tcW w:w="0" w:type="auto"/>
          </w:tcPr>
          <w:p w14:paraId="5E7A7D3F" w14:textId="00C7B1AE" w:rsidR="0004730A" w:rsidRDefault="00D3146E" w:rsidP="00623849">
            <w:pPr>
              <w:pStyle w:val="TableText"/>
              <w:rPr>
                <w:rStyle w:val="Emphasis"/>
                <w:i w:val="0"/>
                <w:iCs w:val="0"/>
              </w:rPr>
            </w:pPr>
            <w:r>
              <w:rPr>
                <w:rStyle w:val="Emphasis"/>
                <w:i w:val="0"/>
                <w:iCs w:val="0"/>
              </w:rPr>
              <w:t>NS</w:t>
            </w:r>
          </w:p>
        </w:tc>
      </w:tr>
      <w:tr w:rsidR="0004730A" w:rsidRPr="00835EBC" w14:paraId="24C07554" w14:textId="77777777" w:rsidTr="00322408">
        <w:tc>
          <w:tcPr>
            <w:tcW w:w="0" w:type="auto"/>
            <w:tcBorders>
              <w:top w:val="nil"/>
              <w:left w:val="single" w:sz="4" w:space="0" w:color="auto"/>
              <w:bottom w:val="single" w:sz="4" w:space="0" w:color="auto"/>
              <w:right w:val="single" w:sz="4" w:space="0" w:color="auto"/>
            </w:tcBorders>
          </w:tcPr>
          <w:p w14:paraId="1A01D139" w14:textId="77777777" w:rsidR="0004730A" w:rsidRDefault="0004730A" w:rsidP="00623849">
            <w:pPr>
              <w:pStyle w:val="TableText"/>
              <w:rPr>
                <w:rStyle w:val="Emphasis"/>
                <w:i w:val="0"/>
                <w:iCs w:val="0"/>
              </w:rPr>
            </w:pPr>
          </w:p>
        </w:tc>
        <w:tc>
          <w:tcPr>
            <w:tcW w:w="0" w:type="auto"/>
            <w:tcBorders>
              <w:top w:val="nil"/>
              <w:left w:val="single" w:sz="4" w:space="0" w:color="auto"/>
              <w:bottom w:val="single" w:sz="4" w:space="0" w:color="auto"/>
              <w:right w:val="single" w:sz="4" w:space="0" w:color="auto"/>
            </w:tcBorders>
          </w:tcPr>
          <w:p w14:paraId="52C43153" w14:textId="77777777" w:rsidR="0004730A" w:rsidRDefault="0004730A" w:rsidP="00623849">
            <w:pPr>
              <w:pStyle w:val="TableText"/>
              <w:rPr>
                <w:rStyle w:val="Emphasis"/>
                <w:i w:val="0"/>
                <w:iCs w:val="0"/>
              </w:rPr>
            </w:pPr>
          </w:p>
        </w:tc>
        <w:tc>
          <w:tcPr>
            <w:tcW w:w="0" w:type="auto"/>
            <w:tcBorders>
              <w:left w:val="single" w:sz="4" w:space="0" w:color="auto"/>
            </w:tcBorders>
          </w:tcPr>
          <w:p w14:paraId="4BA53124" w14:textId="09996DE1" w:rsidR="0004730A" w:rsidRDefault="0004730A" w:rsidP="00623849">
            <w:pPr>
              <w:pStyle w:val="TableText"/>
              <w:rPr>
                <w:rStyle w:val="Emphasis"/>
                <w:i w:val="0"/>
                <w:iCs w:val="0"/>
              </w:rPr>
            </w:pPr>
            <w:r>
              <w:rPr>
                <w:rStyle w:val="Emphasis"/>
                <w:i w:val="0"/>
                <w:iCs w:val="0"/>
              </w:rPr>
              <w:t xml:space="preserve">Urinary </w:t>
            </w:r>
            <w:r w:rsidR="00322408">
              <w:rPr>
                <w:rStyle w:val="Emphasis"/>
                <w:i w:val="0"/>
                <w:iCs w:val="0"/>
              </w:rPr>
              <w:t>irritation</w:t>
            </w:r>
            <w:r>
              <w:rPr>
                <w:rStyle w:val="Emphasis"/>
                <w:i w:val="0"/>
                <w:iCs w:val="0"/>
              </w:rPr>
              <w:t>/</w:t>
            </w:r>
            <w:r w:rsidR="00D3146E">
              <w:rPr>
                <w:rStyle w:val="Emphasis"/>
                <w:i w:val="0"/>
                <w:iCs w:val="0"/>
              </w:rPr>
              <w:t xml:space="preserve"> </w:t>
            </w:r>
            <w:r>
              <w:rPr>
                <w:rStyle w:val="Emphasis"/>
                <w:i w:val="0"/>
                <w:iCs w:val="0"/>
              </w:rPr>
              <w:t>obstruction:</w:t>
            </w:r>
            <w:r w:rsidR="00D3146E">
              <w:rPr>
                <w:rStyle w:val="Emphasis"/>
                <w:i w:val="0"/>
                <w:iCs w:val="0"/>
              </w:rPr>
              <w:t xml:space="preserve"> M=72.2</w:t>
            </w:r>
          </w:p>
        </w:tc>
        <w:tc>
          <w:tcPr>
            <w:tcW w:w="0" w:type="auto"/>
          </w:tcPr>
          <w:p w14:paraId="1B5B12D0" w14:textId="28F29059" w:rsidR="0004730A" w:rsidRDefault="00D3146E" w:rsidP="00623849">
            <w:pPr>
              <w:pStyle w:val="TableText"/>
              <w:rPr>
                <w:rStyle w:val="Emphasis"/>
                <w:i w:val="0"/>
                <w:iCs w:val="0"/>
              </w:rPr>
            </w:pPr>
            <w:r>
              <w:rPr>
                <w:rStyle w:val="Emphasis"/>
                <w:i w:val="0"/>
                <w:iCs w:val="0"/>
              </w:rPr>
              <w:t>M=78.9</w:t>
            </w:r>
          </w:p>
        </w:tc>
        <w:tc>
          <w:tcPr>
            <w:tcW w:w="0" w:type="auto"/>
          </w:tcPr>
          <w:p w14:paraId="0FED7C26" w14:textId="5112AFE3" w:rsidR="0004730A" w:rsidRDefault="00D3146E" w:rsidP="00623849">
            <w:pPr>
              <w:pStyle w:val="TableText"/>
              <w:rPr>
                <w:rStyle w:val="Emphasis"/>
                <w:i w:val="0"/>
                <w:iCs w:val="0"/>
              </w:rPr>
            </w:pPr>
            <w:r>
              <w:rPr>
                <w:rStyle w:val="Emphasis"/>
                <w:i w:val="0"/>
                <w:iCs w:val="0"/>
              </w:rPr>
              <w:t>NS</w:t>
            </w:r>
          </w:p>
        </w:tc>
      </w:tr>
      <w:tr w:rsidR="0004730A" w:rsidRPr="00835EBC" w14:paraId="12D1495F" w14:textId="77777777" w:rsidTr="00322408">
        <w:tc>
          <w:tcPr>
            <w:tcW w:w="0" w:type="auto"/>
            <w:tcBorders>
              <w:top w:val="single" w:sz="4" w:space="0" w:color="auto"/>
              <w:left w:val="single" w:sz="4" w:space="0" w:color="auto"/>
              <w:bottom w:val="nil"/>
              <w:right w:val="single" w:sz="4" w:space="0" w:color="auto"/>
            </w:tcBorders>
          </w:tcPr>
          <w:p w14:paraId="6948FA9B" w14:textId="064ED5FC" w:rsidR="0004730A" w:rsidRDefault="0004730A" w:rsidP="00623849">
            <w:pPr>
              <w:pStyle w:val="TableText"/>
              <w:rPr>
                <w:rStyle w:val="Emphasis"/>
                <w:i w:val="0"/>
                <w:iCs w:val="0"/>
              </w:rPr>
            </w:pPr>
            <w:r>
              <w:rPr>
                <w:rStyle w:val="Emphasis"/>
                <w:i w:val="0"/>
                <w:iCs w:val="0"/>
              </w:rPr>
              <w:t>Dhere et al. (2021)</w:t>
            </w:r>
          </w:p>
        </w:tc>
        <w:tc>
          <w:tcPr>
            <w:tcW w:w="0" w:type="auto"/>
            <w:tcBorders>
              <w:top w:val="single" w:sz="4" w:space="0" w:color="auto"/>
              <w:left w:val="single" w:sz="4" w:space="0" w:color="auto"/>
              <w:bottom w:val="nil"/>
              <w:right w:val="single" w:sz="4" w:space="0" w:color="auto"/>
            </w:tcBorders>
          </w:tcPr>
          <w:p w14:paraId="2FC2EF37" w14:textId="7C36F37B" w:rsidR="0004730A" w:rsidRDefault="00D3146E" w:rsidP="00623849">
            <w:pPr>
              <w:pStyle w:val="TableText"/>
              <w:rPr>
                <w:rStyle w:val="Emphasis"/>
                <w:i w:val="0"/>
                <w:iCs w:val="0"/>
              </w:rPr>
            </w:pPr>
            <w:r>
              <w:rPr>
                <w:rStyle w:val="Emphasis"/>
                <w:i w:val="0"/>
                <w:iCs w:val="0"/>
              </w:rPr>
              <w:t>Serious</w:t>
            </w:r>
          </w:p>
        </w:tc>
        <w:tc>
          <w:tcPr>
            <w:tcW w:w="0" w:type="auto"/>
            <w:tcBorders>
              <w:left w:val="single" w:sz="4" w:space="0" w:color="auto"/>
            </w:tcBorders>
          </w:tcPr>
          <w:p w14:paraId="645FE1D4" w14:textId="3AA6345E" w:rsidR="0004730A" w:rsidRDefault="0004730A" w:rsidP="00623849">
            <w:pPr>
              <w:pStyle w:val="TableText"/>
              <w:rPr>
                <w:rStyle w:val="Emphasis"/>
                <w:i w:val="0"/>
                <w:iCs w:val="0"/>
              </w:rPr>
            </w:pPr>
            <w:r>
              <w:rPr>
                <w:rStyle w:val="Emphasis"/>
                <w:i w:val="0"/>
                <w:iCs w:val="0"/>
              </w:rPr>
              <w:t>Bowel:</w:t>
            </w:r>
          </w:p>
        </w:tc>
        <w:tc>
          <w:tcPr>
            <w:tcW w:w="0" w:type="auto"/>
          </w:tcPr>
          <w:p w14:paraId="4D675B7B" w14:textId="77777777" w:rsidR="0004730A" w:rsidRDefault="0004730A" w:rsidP="00623849">
            <w:pPr>
              <w:pStyle w:val="TableText"/>
              <w:rPr>
                <w:rStyle w:val="Emphasis"/>
                <w:i w:val="0"/>
                <w:iCs w:val="0"/>
              </w:rPr>
            </w:pPr>
          </w:p>
        </w:tc>
        <w:tc>
          <w:tcPr>
            <w:tcW w:w="0" w:type="auto"/>
          </w:tcPr>
          <w:p w14:paraId="112D52E1" w14:textId="538AF3F3" w:rsidR="0004730A" w:rsidRDefault="00D3146E" w:rsidP="00623849">
            <w:pPr>
              <w:pStyle w:val="TableText"/>
              <w:rPr>
                <w:rStyle w:val="Emphasis"/>
                <w:i w:val="0"/>
                <w:iCs w:val="0"/>
              </w:rPr>
            </w:pPr>
            <w:r>
              <w:rPr>
                <w:rStyle w:val="Emphasis"/>
                <w:i w:val="0"/>
                <w:iCs w:val="0"/>
              </w:rPr>
              <w:t>p=0.60; NCS</w:t>
            </w:r>
          </w:p>
        </w:tc>
      </w:tr>
      <w:tr w:rsidR="0004730A" w:rsidRPr="00835EBC" w14:paraId="5BEBE7C3" w14:textId="77777777" w:rsidTr="00322408">
        <w:tc>
          <w:tcPr>
            <w:tcW w:w="0" w:type="auto"/>
            <w:tcBorders>
              <w:top w:val="nil"/>
              <w:left w:val="single" w:sz="4" w:space="0" w:color="auto"/>
              <w:bottom w:val="nil"/>
              <w:right w:val="single" w:sz="4" w:space="0" w:color="auto"/>
            </w:tcBorders>
          </w:tcPr>
          <w:p w14:paraId="48B3B3E8" w14:textId="4214E113" w:rsidR="0004730A" w:rsidRDefault="00D3146E" w:rsidP="0004730A">
            <w:pPr>
              <w:pStyle w:val="TableText"/>
              <w:rPr>
                <w:rStyle w:val="Emphasis"/>
                <w:i w:val="0"/>
                <w:iCs w:val="0"/>
              </w:rPr>
            </w:pPr>
            <w:r>
              <w:rPr>
                <w:rStyle w:val="Emphasis"/>
                <w:i w:val="0"/>
                <w:iCs w:val="0"/>
              </w:rPr>
              <w:t>EPIC-CP</w:t>
            </w:r>
          </w:p>
        </w:tc>
        <w:tc>
          <w:tcPr>
            <w:tcW w:w="0" w:type="auto"/>
            <w:tcBorders>
              <w:top w:val="nil"/>
              <w:left w:val="single" w:sz="4" w:space="0" w:color="auto"/>
              <w:bottom w:val="nil"/>
              <w:right w:val="single" w:sz="4" w:space="0" w:color="auto"/>
            </w:tcBorders>
          </w:tcPr>
          <w:p w14:paraId="3109AE6A" w14:textId="77777777" w:rsidR="0004730A" w:rsidRDefault="0004730A" w:rsidP="0004730A">
            <w:pPr>
              <w:pStyle w:val="TableText"/>
              <w:rPr>
                <w:rStyle w:val="Emphasis"/>
                <w:i w:val="0"/>
                <w:iCs w:val="0"/>
              </w:rPr>
            </w:pPr>
          </w:p>
        </w:tc>
        <w:tc>
          <w:tcPr>
            <w:tcW w:w="0" w:type="auto"/>
            <w:tcBorders>
              <w:left w:val="single" w:sz="4" w:space="0" w:color="auto"/>
            </w:tcBorders>
          </w:tcPr>
          <w:p w14:paraId="5B74D7E5" w14:textId="55FFAE7C" w:rsidR="0004730A" w:rsidRDefault="0004730A" w:rsidP="0004730A">
            <w:pPr>
              <w:pStyle w:val="TableText"/>
              <w:rPr>
                <w:rStyle w:val="Emphasis"/>
                <w:i w:val="0"/>
                <w:iCs w:val="0"/>
              </w:rPr>
            </w:pPr>
            <w:r>
              <w:rPr>
                <w:rStyle w:val="Emphasis"/>
                <w:i w:val="0"/>
                <w:iCs w:val="0"/>
              </w:rPr>
              <w:t>Urinary incontinence:</w:t>
            </w:r>
          </w:p>
        </w:tc>
        <w:tc>
          <w:tcPr>
            <w:tcW w:w="0" w:type="auto"/>
          </w:tcPr>
          <w:p w14:paraId="2C8B5FA8" w14:textId="77777777" w:rsidR="0004730A" w:rsidRDefault="0004730A" w:rsidP="0004730A">
            <w:pPr>
              <w:pStyle w:val="TableText"/>
              <w:rPr>
                <w:rStyle w:val="Emphasis"/>
                <w:i w:val="0"/>
                <w:iCs w:val="0"/>
              </w:rPr>
            </w:pPr>
          </w:p>
        </w:tc>
        <w:tc>
          <w:tcPr>
            <w:tcW w:w="0" w:type="auto"/>
          </w:tcPr>
          <w:p w14:paraId="79E18658" w14:textId="3FF36699" w:rsidR="0004730A" w:rsidRDefault="00D3146E" w:rsidP="0004730A">
            <w:pPr>
              <w:pStyle w:val="TableText"/>
              <w:rPr>
                <w:rStyle w:val="Emphasis"/>
                <w:i w:val="0"/>
                <w:iCs w:val="0"/>
              </w:rPr>
            </w:pPr>
            <w:r>
              <w:rPr>
                <w:rStyle w:val="Emphasis"/>
                <w:i w:val="0"/>
                <w:iCs w:val="0"/>
              </w:rPr>
              <w:t>p=0.10; NCS</w:t>
            </w:r>
          </w:p>
        </w:tc>
      </w:tr>
      <w:tr w:rsidR="0004730A" w:rsidRPr="00835EBC" w14:paraId="5CF23D27" w14:textId="77777777" w:rsidTr="00322408">
        <w:tc>
          <w:tcPr>
            <w:tcW w:w="0" w:type="auto"/>
            <w:tcBorders>
              <w:top w:val="nil"/>
              <w:left w:val="single" w:sz="4" w:space="0" w:color="auto"/>
              <w:bottom w:val="nil"/>
              <w:right w:val="single" w:sz="4" w:space="0" w:color="auto"/>
            </w:tcBorders>
          </w:tcPr>
          <w:p w14:paraId="586EF5B5" w14:textId="77777777" w:rsidR="0004730A" w:rsidRDefault="0004730A" w:rsidP="0004730A">
            <w:pPr>
              <w:pStyle w:val="TableText"/>
              <w:rPr>
                <w:rStyle w:val="Emphasis"/>
                <w:i w:val="0"/>
                <w:iCs w:val="0"/>
              </w:rPr>
            </w:pPr>
          </w:p>
        </w:tc>
        <w:tc>
          <w:tcPr>
            <w:tcW w:w="0" w:type="auto"/>
            <w:tcBorders>
              <w:top w:val="nil"/>
              <w:left w:val="single" w:sz="4" w:space="0" w:color="auto"/>
              <w:bottom w:val="nil"/>
              <w:right w:val="single" w:sz="4" w:space="0" w:color="auto"/>
            </w:tcBorders>
          </w:tcPr>
          <w:p w14:paraId="33D4F2F4" w14:textId="36CBD952" w:rsidR="0004730A" w:rsidRDefault="0004730A" w:rsidP="0004730A">
            <w:pPr>
              <w:pStyle w:val="TableText"/>
              <w:rPr>
                <w:rStyle w:val="Emphasis"/>
                <w:i w:val="0"/>
                <w:iCs w:val="0"/>
              </w:rPr>
            </w:pPr>
          </w:p>
        </w:tc>
        <w:tc>
          <w:tcPr>
            <w:tcW w:w="0" w:type="auto"/>
            <w:tcBorders>
              <w:left w:val="single" w:sz="4" w:space="0" w:color="auto"/>
            </w:tcBorders>
          </w:tcPr>
          <w:p w14:paraId="0B793816" w14:textId="40CF1338" w:rsidR="0004730A" w:rsidRDefault="0004730A" w:rsidP="0004730A">
            <w:pPr>
              <w:pStyle w:val="TableText"/>
              <w:rPr>
                <w:rStyle w:val="Emphasis"/>
                <w:i w:val="0"/>
                <w:iCs w:val="0"/>
              </w:rPr>
            </w:pPr>
            <w:r>
              <w:rPr>
                <w:rStyle w:val="Emphasis"/>
                <w:i w:val="0"/>
                <w:iCs w:val="0"/>
              </w:rPr>
              <w:t xml:space="preserve">Urinary </w:t>
            </w:r>
            <w:r w:rsidR="00322408">
              <w:rPr>
                <w:rStyle w:val="Emphasis"/>
                <w:i w:val="0"/>
                <w:iCs w:val="0"/>
              </w:rPr>
              <w:t>irritation</w:t>
            </w:r>
            <w:r>
              <w:rPr>
                <w:rStyle w:val="Emphasis"/>
                <w:i w:val="0"/>
                <w:iCs w:val="0"/>
              </w:rPr>
              <w:t>:</w:t>
            </w:r>
          </w:p>
        </w:tc>
        <w:tc>
          <w:tcPr>
            <w:tcW w:w="0" w:type="auto"/>
          </w:tcPr>
          <w:p w14:paraId="4469555F" w14:textId="77777777" w:rsidR="0004730A" w:rsidRDefault="0004730A" w:rsidP="0004730A">
            <w:pPr>
              <w:pStyle w:val="TableText"/>
              <w:rPr>
                <w:rStyle w:val="Emphasis"/>
                <w:i w:val="0"/>
                <w:iCs w:val="0"/>
              </w:rPr>
            </w:pPr>
          </w:p>
        </w:tc>
        <w:tc>
          <w:tcPr>
            <w:tcW w:w="0" w:type="auto"/>
          </w:tcPr>
          <w:p w14:paraId="57CCA7D2" w14:textId="6F8331A9" w:rsidR="0004730A" w:rsidRPr="00225AF6" w:rsidRDefault="00225AF6" w:rsidP="0004730A">
            <w:pPr>
              <w:pStyle w:val="TableText"/>
              <w:rPr>
                <w:rStyle w:val="Emphasis"/>
                <w:b/>
                <w:bCs/>
                <w:i w:val="0"/>
                <w:iCs w:val="0"/>
              </w:rPr>
            </w:pPr>
            <w:r w:rsidRPr="00225AF6">
              <w:rPr>
                <w:rStyle w:val="Emphasis"/>
                <w:b/>
                <w:bCs/>
                <w:i w:val="0"/>
                <w:iCs w:val="0"/>
              </w:rPr>
              <w:t>2-</w:t>
            </w:r>
            <w:r w:rsidR="00D3146E" w:rsidRPr="00225AF6">
              <w:rPr>
                <w:rStyle w:val="Emphasis"/>
                <w:b/>
                <w:bCs/>
                <w:i w:val="0"/>
                <w:iCs w:val="0"/>
              </w:rPr>
              <w:t>18 months post-treatment: p=0.0</w:t>
            </w:r>
            <w:r w:rsidRPr="00225AF6">
              <w:rPr>
                <w:rStyle w:val="Emphasis"/>
                <w:b/>
                <w:bCs/>
                <w:i w:val="0"/>
                <w:iCs w:val="0"/>
              </w:rPr>
              <w:t>0</w:t>
            </w:r>
            <w:r w:rsidR="00D3146E" w:rsidRPr="00225AF6">
              <w:rPr>
                <w:rStyle w:val="Emphasis"/>
                <w:b/>
                <w:bCs/>
                <w:i w:val="0"/>
                <w:iCs w:val="0"/>
              </w:rPr>
              <w:t>2; CS</w:t>
            </w:r>
          </w:p>
          <w:p w14:paraId="17FCEBE4" w14:textId="77B3DBB6" w:rsidR="00D3146E" w:rsidRDefault="00D3146E" w:rsidP="0004730A">
            <w:pPr>
              <w:pStyle w:val="TableText"/>
              <w:rPr>
                <w:rStyle w:val="Emphasis"/>
                <w:i w:val="0"/>
                <w:iCs w:val="0"/>
              </w:rPr>
            </w:pPr>
            <w:r>
              <w:rPr>
                <w:rStyle w:val="Emphasis"/>
                <w:i w:val="0"/>
                <w:iCs w:val="0"/>
              </w:rPr>
              <w:t>18-30 months post-treatment: NCS</w:t>
            </w:r>
          </w:p>
        </w:tc>
      </w:tr>
      <w:tr w:rsidR="0004730A" w:rsidRPr="00835EBC" w14:paraId="6B54D661" w14:textId="77777777" w:rsidTr="00322408">
        <w:tc>
          <w:tcPr>
            <w:tcW w:w="0" w:type="auto"/>
            <w:tcBorders>
              <w:top w:val="nil"/>
              <w:left w:val="single" w:sz="4" w:space="0" w:color="auto"/>
              <w:bottom w:val="single" w:sz="4" w:space="0" w:color="auto"/>
              <w:right w:val="single" w:sz="4" w:space="0" w:color="auto"/>
            </w:tcBorders>
          </w:tcPr>
          <w:p w14:paraId="35768223" w14:textId="77777777" w:rsidR="0004730A" w:rsidRDefault="0004730A" w:rsidP="0004730A">
            <w:pPr>
              <w:pStyle w:val="TableText"/>
              <w:rPr>
                <w:rStyle w:val="Emphasis"/>
                <w:i w:val="0"/>
                <w:iCs w:val="0"/>
              </w:rPr>
            </w:pPr>
          </w:p>
        </w:tc>
        <w:tc>
          <w:tcPr>
            <w:tcW w:w="0" w:type="auto"/>
            <w:tcBorders>
              <w:top w:val="nil"/>
              <w:left w:val="single" w:sz="4" w:space="0" w:color="auto"/>
              <w:bottom w:val="single" w:sz="4" w:space="0" w:color="auto"/>
              <w:right w:val="single" w:sz="4" w:space="0" w:color="auto"/>
            </w:tcBorders>
          </w:tcPr>
          <w:p w14:paraId="1E6B4DD6" w14:textId="77777777" w:rsidR="0004730A" w:rsidRDefault="0004730A" w:rsidP="0004730A">
            <w:pPr>
              <w:pStyle w:val="TableText"/>
              <w:rPr>
                <w:rStyle w:val="Emphasis"/>
                <w:i w:val="0"/>
                <w:iCs w:val="0"/>
              </w:rPr>
            </w:pPr>
          </w:p>
        </w:tc>
        <w:tc>
          <w:tcPr>
            <w:tcW w:w="0" w:type="auto"/>
            <w:tcBorders>
              <w:left w:val="single" w:sz="4" w:space="0" w:color="auto"/>
              <w:bottom w:val="single" w:sz="4" w:space="0" w:color="auto"/>
            </w:tcBorders>
          </w:tcPr>
          <w:p w14:paraId="1595CB69" w14:textId="41FF89A7" w:rsidR="0004730A" w:rsidRDefault="0004730A" w:rsidP="0004730A">
            <w:pPr>
              <w:pStyle w:val="TableText"/>
              <w:rPr>
                <w:rStyle w:val="Emphasis"/>
                <w:i w:val="0"/>
                <w:iCs w:val="0"/>
              </w:rPr>
            </w:pPr>
            <w:r>
              <w:rPr>
                <w:rStyle w:val="Emphasis"/>
                <w:i w:val="0"/>
                <w:iCs w:val="0"/>
              </w:rPr>
              <w:t>Erectile dysfunction:</w:t>
            </w:r>
          </w:p>
        </w:tc>
        <w:tc>
          <w:tcPr>
            <w:tcW w:w="0" w:type="auto"/>
            <w:tcBorders>
              <w:bottom w:val="single" w:sz="4" w:space="0" w:color="auto"/>
            </w:tcBorders>
          </w:tcPr>
          <w:p w14:paraId="2EA92541" w14:textId="77777777" w:rsidR="0004730A" w:rsidRDefault="0004730A" w:rsidP="0004730A">
            <w:pPr>
              <w:pStyle w:val="TableText"/>
              <w:rPr>
                <w:rStyle w:val="Emphasis"/>
                <w:i w:val="0"/>
                <w:iCs w:val="0"/>
              </w:rPr>
            </w:pPr>
          </w:p>
        </w:tc>
        <w:tc>
          <w:tcPr>
            <w:tcW w:w="0" w:type="auto"/>
            <w:tcBorders>
              <w:bottom w:val="single" w:sz="4" w:space="0" w:color="auto"/>
            </w:tcBorders>
          </w:tcPr>
          <w:p w14:paraId="2A070B9A" w14:textId="63D88C7B" w:rsidR="0004730A" w:rsidRDefault="00D3146E" w:rsidP="0004730A">
            <w:pPr>
              <w:pStyle w:val="TableText"/>
              <w:rPr>
                <w:rStyle w:val="Emphasis"/>
                <w:i w:val="0"/>
                <w:iCs w:val="0"/>
              </w:rPr>
            </w:pPr>
            <w:r>
              <w:rPr>
                <w:rStyle w:val="Emphasis"/>
                <w:i w:val="0"/>
                <w:iCs w:val="0"/>
              </w:rPr>
              <w:t>p=0.88</w:t>
            </w:r>
          </w:p>
        </w:tc>
      </w:tr>
      <w:tr w:rsidR="0004730A" w:rsidRPr="00835EBC" w14:paraId="37F92C38" w14:textId="77777777" w:rsidTr="00322408">
        <w:tc>
          <w:tcPr>
            <w:tcW w:w="0" w:type="auto"/>
            <w:tcBorders>
              <w:top w:val="single" w:sz="4" w:space="0" w:color="auto"/>
              <w:left w:val="single" w:sz="4" w:space="0" w:color="auto"/>
              <w:bottom w:val="single" w:sz="4" w:space="0" w:color="auto"/>
              <w:right w:val="nil"/>
            </w:tcBorders>
          </w:tcPr>
          <w:p w14:paraId="21CB85D8" w14:textId="6AF22D7A" w:rsidR="0004730A" w:rsidRPr="0004730A" w:rsidRDefault="0004730A" w:rsidP="0004730A">
            <w:pPr>
              <w:pStyle w:val="TableText"/>
              <w:rPr>
                <w:rStyle w:val="Emphasis"/>
                <w:b/>
                <w:bCs/>
                <w:i w:val="0"/>
                <w:iCs w:val="0"/>
              </w:rPr>
            </w:pPr>
            <w:r w:rsidRPr="0004730A">
              <w:rPr>
                <w:rStyle w:val="Emphasis"/>
                <w:b/>
                <w:bCs/>
                <w:i w:val="0"/>
                <w:iCs w:val="0"/>
              </w:rPr>
              <w:t>HRQoL</w:t>
            </w:r>
          </w:p>
        </w:tc>
        <w:tc>
          <w:tcPr>
            <w:tcW w:w="0" w:type="auto"/>
            <w:tcBorders>
              <w:top w:val="single" w:sz="4" w:space="0" w:color="auto"/>
              <w:left w:val="nil"/>
              <w:bottom w:val="single" w:sz="4" w:space="0" w:color="auto"/>
              <w:right w:val="nil"/>
            </w:tcBorders>
          </w:tcPr>
          <w:p w14:paraId="17DA77DA" w14:textId="77777777" w:rsidR="0004730A" w:rsidRDefault="0004730A" w:rsidP="0004730A">
            <w:pPr>
              <w:pStyle w:val="TableText"/>
              <w:rPr>
                <w:rStyle w:val="Emphasis"/>
                <w:i w:val="0"/>
                <w:iCs w:val="0"/>
              </w:rPr>
            </w:pPr>
          </w:p>
        </w:tc>
        <w:tc>
          <w:tcPr>
            <w:tcW w:w="0" w:type="auto"/>
            <w:tcBorders>
              <w:top w:val="single" w:sz="4" w:space="0" w:color="auto"/>
              <w:left w:val="nil"/>
              <w:bottom w:val="single" w:sz="4" w:space="0" w:color="auto"/>
              <w:right w:val="nil"/>
            </w:tcBorders>
          </w:tcPr>
          <w:p w14:paraId="3334AB81" w14:textId="77777777" w:rsidR="0004730A" w:rsidRDefault="0004730A" w:rsidP="0004730A">
            <w:pPr>
              <w:pStyle w:val="TableText"/>
              <w:rPr>
                <w:rStyle w:val="Emphasis"/>
                <w:i w:val="0"/>
                <w:iCs w:val="0"/>
              </w:rPr>
            </w:pPr>
          </w:p>
        </w:tc>
        <w:tc>
          <w:tcPr>
            <w:tcW w:w="0" w:type="auto"/>
            <w:tcBorders>
              <w:top w:val="single" w:sz="4" w:space="0" w:color="auto"/>
              <w:left w:val="nil"/>
              <w:bottom w:val="single" w:sz="4" w:space="0" w:color="auto"/>
              <w:right w:val="nil"/>
            </w:tcBorders>
          </w:tcPr>
          <w:p w14:paraId="06A44E61" w14:textId="77777777" w:rsidR="0004730A" w:rsidRDefault="0004730A" w:rsidP="0004730A">
            <w:pPr>
              <w:pStyle w:val="TableText"/>
              <w:rPr>
                <w:rStyle w:val="Emphasis"/>
                <w:i w:val="0"/>
                <w:iCs w:val="0"/>
              </w:rPr>
            </w:pPr>
          </w:p>
        </w:tc>
        <w:tc>
          <w:tcPr>
            <w:tcW w:w="0" w:type="auto"/>
            <w:tcBorders>
              <w:top w:val="single" w:sz="4" w:space="0" w:color="auto"/>
              <w:left w:val="nil"/>
              <w:bottom w:val="single" w:sz="4" w:space="0" w:color="auto"/>
              <w:right w:val="single" w:sz="4" w:space="0" w:color="auto"/>
            </w:tcBorders>
          </w:tcPr>
          <w:p w14:paraId="685FA2E5" w14:textId="77777777" w:rsidR="0004730A" w:rsidRDefault="0004730A" w:rsidP="0004730A">
            <w:pPr>
              <w:pStyle w:val="TableText"/>
              <w:rPr>
                <w:rStyle w:val="Emphasis"/>
                <w:i w:val="0"/>
                <w:iCs w:val="0"/>
              </w:rPr>
            </w:pPr>
          </w:p>
        </w:tc>
      </w:tr>
      <w:tr w:rsidR="0004730A" w:rsidRPr="00835EBC" w14:paraId="02C72A68" w14:textId="77777777" w:rsidTr="00322408">
        <w:tc>
          <w:tcPr>
            <w:tcW w:w="0" w:type="auto"/>
            <w:tcBorders>
              <w:top w:val="single" w:sz="4" w:space="0" w:color="auto"/>
              <w:left w:val="single" w:sz="4" w:space="0" w:color="auto"/>
              <w:bottom w:val="single" w:sz="4" w:space="0" w:color="auto"/>
              <w:right w:val="single" w:sz="4" w:space="0" w:color="auto"/>
            </w:tcBorders>
          </w:tcPr>
          <w:p w14:paraId="6E354FED" w14:textId="77777777" w:rsidR="0004730A" w:rsidRDefault="0004730A" w:rsidP="0004730A">
            <w:pPr>
              <w:pStyle w:val="TableText"/>
              <w:rPr>
                <w:rStyle w:val="Emphasis"/>
                <w:i w:val="0"/>
                <w:iCs w:val="0"/>
              </w:rPr>
            </w:pPr>
            <w:r>
              <w:rPr>
                <w:rStyle w:val="Emphasis"/>
                <w:i w:val="0"/>
                <w:iCs w:val="0"/>
              </w:rPr>
              <w:t>Dhere et al. (2021)</w:t>
            </w:r>
          </w:p>
          <w:p w14:paraId="38C6A0B7" w14:textId="1CD31619" w:rsidR="00D3146E" w:rsidRDefault="00D3146E" w:rsidP="0004730A">
            <w:pPr>
              <w:pStyle w:val="TableText"/>
              <w:rPr>
                <w:rStyle w:val="Emphasis"/>
                <w:i w:val="0"/>
                <w:iCs w:val="0"/>
              </w:rPr>
            </w:pPr>
            <w:r>
              <w:rPr>
                <w:rStyle w:val="Emphasis"/>
                <w:i w:val="0"/>
                <w:iCs w:val="0"/>
              </w:rPr>
              <w:t>IPSS</w:t>
            </w:r>
          </w:p>
        </w:tc>
        <w:tc>
          <w:tcPr>
            <w:tcW w:w="0" w:type="auto"/>
            <w:tcBorders>
              <w:top w:val="single" w:sz="4" w:space="0" w:color="auto"/>
              <w:left w:val="single" w:sz="4" w:space="0" w:color="auto"/>
              <w:bottom w:val="single" w:sz="4" w:space="0" w:color="auto"/>
              <w:right w:val="single" w:sz="4" w:space="0" w:color="auto"/>
            </w:tcBorders>
          </w:tcPr>
          <w:p w14:paraId="37105B4E" w14:textId="348E5E18" w:rsidR="0004730A" w:rsidRDefault="00D3146E" w:rsidP="0004730A">
            <w:pPr>
              <w:pStyle w:val="TableText"/>
              <w:rPr>
                <w:rStyle w:val="Emphasis"/>
                <w:i w:val="0"/>
                <w:iCs w:val="0"/>
              </w:rPr>
            </w:pPr>
            <w:r>
              <w:rPr>
                <w:rStyle w:val="Emphasis"/>
                <w:i w:val="0"/>
                <w:iCs w:val="0"/>
              </w:rPr>
              <w:t>Serious</w:t>
            </w:r>
          </w:p>
        </w:tc>
        <w:tc>
          <w:tcPr>
            <w:tcW w:w="0" w:type="auto"/>
            <w:tcBorders>
              <w:top w:val="single" w:sz="4" w:space="0" w:color="auto"/>
              <w:left w:val="single" w:sz="4" w:space="0" w:color="auto"/>
            </w:tcBorders>
          </w:tcPr>
          <w:p w14:paraId="098B9C7A" w14:textId="77777777" w:rsidR="0004730A" w:rsidRDefault="0004730A" w:rsidP="0004730A">
            <w:pPr>
              <w:pStyle w:val="TableText"/>
              <w:rPr>
                <w:rStyle w:val="Emphasis"/>
                <w:i w:val="0"/>
                <w:iCs w:val="0"/>
              </w:rPr>
            </w:pPr>
          </w:p>
        </w:tc>
        <w:tc>
          <w:tcPr>
            <w:tcW w:w="0" w:type="auto"/>
            <w:tcBorders>
              <w:top w:val="single" w:sz="4" w:space="0" w:color="auto"/>
            </w:tcBorders>
          </w:tcPr>
          <w:p w14:paraId="4BFE9F54" w14:textId="77777777" w:rsidR="0004730A" w:rsidRDefault="0004730A" w:rsidP="0004730A">
            <w:pPr>
              <w:pStyle w:val="TableText"/>
              <w:rPr>
                <w:rStyle w:val="Emphasis"/>
                <w:i w:val="0"/>
                <w:iCs w:val="0"/>
              </w:rPr>
            </w:pPr>
          </w:p>
        </w:tc>
        <w:tc>
          <w:tcPr>
            <w:tcW w:w="0" w:type="auto"/>
            <w:tcBorders>
              <w:top w:val="single" w:sz="4" w:space="0" w:color="auto"/>
            </w:tcBorders>
          </w:tcPr>
          <w:p w14:paraId="02333D66" w14:textId="41765A86" w:rsidR="0004730A" w:rsidRPr="00225AF6" w:rsidRDefault="00225AF6" w:rsidP="0004730A">
            <w:pPr>
              <w:pStyle w:val="TableText"/>
              <w:rPr>
                <w:rStyle w:val="Emphasis"/>
                <w:b/>
                <w:bCs/>
                <w:i w:val="0"/>
                <w:iCs w:val="0"/>
              </w:rPr>
            </w:pPr>
            <w:r w:rsidRPr="00225AF6">
              <w:rPr>
                <w:rStyle w:val="Emphasis"/>
                <w:i w:val="0"/>
                <w:iCs w:val="0"/>
              </w:rPr>
              <w:t>LDR-BT boost worse than HDR-BT boost</w:t>
            </w:r>
            <w:r>
              <w:rPr>
                <w:rStyle w:val="Emphasis"/>
                <w:i w:val="0"/>
                <w:iCs w:val="0"/>
              </w:rPr>
              <w:t>;</w:t>
            </w:r>
            <w:r w:rsidRPr="00225AF6">
              <w:rPr>
                <w:rStyle w:val="Emphasis"/>
                <w:b/>
                <w:bCs/>
                <w:i w:val="0"/>
                <w:iCs w:val="0"/>
              </w:rPr>
              <w:t xml:space="preserve"> p=0.003</w:t>
            </w:r>
          </w:p>
        </w:tc>
      </w:tr>
    </w:tbl>
    <w:p w14:paraId="497BD10A" w14:textId="3EA483DA" w:rsidR="00442A22" w:rsidRDefault="00442A22" w:rsidP="00442A22">
      <w:pPr>
        <w:pStyle w:val="Tablenotes"/>
        <w:rPr>
          <w:rStyle w:val="Emphasis"/>
          <w:i w:val="0"/>
          <w:iCs w:val="0"/>
        </w:rPr>
      </w:pPr>
      <w:r>
        <w:rPr>
          <w:rStyle w:val="Emphasis"/>
          <w:i w:val="0"/>
          <w:iCs w:val="0"/>
        </w:rPr>
        <w:t>*</w:t>
      </w:r>
      <w:r w:rsidR="005E3873">
        <w:rPr>
          <w:rStyle w:val="Emphasis"/>
          <w:i w:val="0"/>
          <w:iCs w:val="0"/>
        </w:rPr>
        <w:t>HR was inverted for purposes of this table using 1/HR</w:t>
      </w:r>
    </w:p>
    <w:p w14:paraId="61D3FE15" w14:textId="70BFB211" w:rsidR="00442A22" w:rsidRPr="003251C2" w:rsidRDefault="006D7EA8" w:rsidP="00907F4C">
      <w:pPr>
        <w:pStyle w:val="Tablenotes"/>
      </w:pPr>
      <w:r>
        <w:rPr>
          <w:rStyle w:val="Emphasis"/>
          <w:i w:val="0"/>
          <w:iCs w:val="0"/>
        </w:rPr>
        <w:t xml:space="preserve">aHR = adjusted hazard ratio; bPFS = biochemical progression-free survival; </w:t>
      </w:r>
      <w:r w:rsidR="00442A22">
        <w:rPr>
          <w:rStyle w:val="Emphasis"/>
          <w:i w:val="0"/>
          <w:iCs w:val="0"/>
        </w:rPr>
        <w:t xml:space="preserve">CI = confidence interval; </w:t>
      </w:r>
      <w:r w:rsidR="00225AF6">
        <w:rPr>
          <w:rStyle w:val="Emphasis"/>
          <w:i w:val="0"/>
          <w:iCs w:val="0"/>
        </w:rPr>
        <w:t xml:space="preserve">CS = clinically significant; </w:t>
      </w:r>
      <w:r w:rsidR="00442A22">
        <w:rPr>
          <w:rStyle w:val="Emphasis"/>
          <w:i w:val="0"/>
          <w:iCs w:val="0"/>
        </w:rPr>
        <w:t xml:space="preserve">EBRT = external beam radiation therapy; </w:t>
      </w:r>
      <w:r w:rsidR="00225AF6">
        <w:rPr>
          <w:rStyle w:val="Emphasis"/>
          <w:i w:val="0"/>
          <w:iCs w:val="0"/>
        </w:rPr>
        <w:t xml:space="preserve">EPIC-26 = Expanded Prostate Cancer Index Composite 26-item version; </w:t>
      </w:r>
      <w:r w:rsidR="00D3146E">
        <w:rPr>
          <w:rStyle w:val="Emphasis"/>
          <w:i w:val="0"/>
          <w:iCs w:val="0"/>
        </w:rPr>
        <w:t xml:space="preserve">EPIC-CP = Expanded Prostate Cancer Index Composite for Clinical Practice; </w:t>
      </w:r>
      <w:r w:rsidR="00442A22">
        <w:rPr>
          <w:rStyle w:val="Emphasis"/>
          <w:i w:val="0"/>
          <w:iCs w:val="0"/>
        </w:rPr>
        <w:t xml:space="preserve">HDR-BT = high dose-rate brachytherapy; </w:t>
      </w:r>
      <w:r>
        <w:rPr>
          <w:rStyle w:val="Emphasis"/>
          <w:i w:val="0"/>
          <w:iCs w:val="0"/>
        </w:rPr>
        <w:t xml:space="preserve">HR = hazard ratio; </w:t>
      </w:r>
      <w:r w:rsidR="00907F4C">
        <w:rPr>
          <w:rStyle w:val="Emphasis"/>
          <w:i w:val="0"/>
          <w:iCs w:val="0"/>
        </w:rPr>
        <w:t xml:space="preserve">HRQoL = health-related quality of life; </w:t>
      </w:r>
      <w:r w:rsidR="00225AF6">
        <w:rPr>
          <w:rStyle w:val="Emphasis"/>
          <w:i w:val="0"/>
          <w:iCs w:val="0"/>
        </w:rPr>
        <w:t>IPSS = International Prostate Symptom Sc</w:t>
      </w:r>
      <w:r w:rsidR="009E3326">
        <w:rPr>
          <w:rStyle w:val="Emphasis"/>
          <w:i w:val="0"/>
          <w:iCs w:val="0"/>
        </w:rPr>
        <w:t>o</w:t>
      </w:r>
      <w:r w:rsidR="00225AF6">
        <w:rPr>
          <w:rStyle w:val="Emphasis"/>
          <w:i w:val="0"/>
          <w:iCs w:val="0"/>
        </w:rPr>
        <w:t xml:space="preserve">re; </w:t>
      </w:r>
      <w:r w:rsidR="0004730A">
        <w:rPr>
          <w:rStyle w:val="Emphasis"/>
          <w:i w:val="0"/>
          <w:iCs w:val="0"/>
        </w:rPr>
        <w:t xml:space="preserve">IPTW = inverse probability of treatment weighting; </w:t>
      </w:r>
      <w:r w:rsidR="00442A22">
        <w:rPr>
          <w:rStyle w:val="Emphasis"/>
          <w:i w:val="0"/>
          <w:iCs w:val="0"/>
        </w:rPr>
        <w:t xml:space="preserve">LDR-BT = low dose-rate brachytherapy; </w:t>
      </w:r>
      <w:r w:rsidR="00225AF6">
        <w:rPr>
          <w:rStyle w:val="Emphasis"/>
          <w:i w:val="0"/>
          <w:iCs w:val="0"/>
        </w:rPr>
        <w:t xml:space="preserve">NCS = not clinically significant; </w:t>
      </w:r>
      <w:r w:rsidR="00442A22">
        <w:rPr>
          <w:rStyle w:val="Emphasis"/>
          <w:i w:val="0"/>
          <w:iCs w:val="0"/>
        </w:rPr>
        <w:t>NR = not reported; NS = not significant</w:t>
      </w:r>
      <w:r w:rsidR="00225AF6">
        <w:rPr>
          <w:rStyle w:val="Emphasis"/>
          <w:i w:val="0"/>
          <w:iCs w:val="0"/>
        </w:rPr>
        <w:t>; SS = statistically significant</w:t>
      </w:r>
    </w:p>
    <w:p w14:paraId="213924C6" w14:textId="374D19FB" w:rsidR="00772829" w:rsidRDefault="00772829" w:rsidP="00223664">
      <w:pPr>
        <w:tabs>
          <w:tab w:val="left" w:pos="720"/>
          <w:tab w:val="left" w:pos="1140"/>
        </w:tabs>
        <w:spacing w:before="240" w:after="120"/>
        <w:rPr>
          <w:b/>
          <w:bCs/>
        </w:rPr>
      </w:pPr>
      <w:r w:rsidRPr="00223664">
        <w:rPr>
          <w:b/>
          <w:bCs/>
        </w:rPr>
        <w:t>Clinical claim</w:t>
      </w:r>
    </w:p>
    <w:p w14:paraId="3CB66A3D" w14:textId="41ADF7B5" w:rsidR="004560A3" w:rsidRPr="00835EBC" w:rsidRDefault="004560A3" w:rsidP="004560A3">
      <w:pPr>
        <w:autoSpaceDE w:val="0"/>
        <w:autoSpaceDN w:val="0"/>
        <w:adjustRightInd w:val="0"/>
        <w:spacing w:line="240" w:lineRule="auto"/>
        <w:rPr>
          <w:rStyle w:val="Emphasis"/>
        </w:rPr>
      </w:pPr>
      <w:r w:rsidRPr="00835EBC">
        <w:rPr>
          <w:rStyle w:val="Emphasis"/>
        </w:rPr>
        <w:t>EBRT + LDR-BT boost</w:t>
      </w:r>
      <w:r w:rsidR="00250DCE">
        <w:rPr>
          <w:rStyle w:val="Emphasis"/>
        </w:rPr>
        <w:t xml:space="preserve"> </w:t>
      </w:r>
      <w:r w:rsidR="00250DCE" w:rsidRPr="00835EBC">
        <w:rPr>
          <w:rStyle w:val="Emphasis"/>
        </w:rPr>
        <w:t>versus</w:t>
      </w:r>
      <w:r w:rsidR="00250DCE">
        <w:rPr>
          <w:rStyle w:val="Emphasis"/>
        </w:rPr>
        <w:t xml:space="preserve"> </w:t>
      </w:r>
      <w:r w:rsidR="00250DCE" w:rsidRPr="00835EBC">
        <w:rPr>
          <w:rStyle w:val="Emphasis"/>
        </w:rPr>
        <w:t>DE-EBRT</w:t>
      </w:r>
    </w:p>
    <w:p w14:paraId="23EA8D73" w14:textId="05E13368" w:rsidR="004560A3" w:rsidRDefault="004560A3" w:rsidP="004560A3">
      <w:r>
        <w:t>The ADAR proposed that EBRT + LDR-BT boost has superior effectiveness and inferior safety compared with DE-EBRT.</w:t>
      </w:r>
    </w:p>
    <w:p w14:paraId="05CCBE5F" w14:textId="281A69A6" w:rsidR="003050B8" w:rsidRDefault="003050B8" w:rsidP="003050B8">
      <w:r>
        <w:t xml:space="preserve">The ADAR did not present any new relevant effectiveness data for the comparison of EBRT + LDR-BT boost with DE-EBRT. </w:t>
      </w:r>
      <w:bookmarkStart w:id="54" w:name="_Hlk122531048"/>
      <w:r>
        <w:t xml:space="preserve">MSAC’s </w:t>
      </w:r>
      <w:r w:rsidR="003B0B58">
        <w:t>previously concluded that EBRT+LDR-BT boost has superior effectiveness for biochemical progression-free survival</w:t>
      </w:r>
      <w:r w:rsidR="00DD5787">
        <w:t xml:space="preserve">. </w:t>
      </w:r>
      <w:r w:rsidR="00DD5787" w:rsidRPr="00886EDB">
        <w:t xml:space="preserve">However, there was no difference in overall survival, metastasis-free survival or prostate cancer–specific survival, and the study was </w:t>
      </w:r>
      <w:r w:rsidR="00DD5787" w:rsidRPr="00886EDB">
        <w:lastRenderedPageBreak/>
        <w:t>not powered or long enough to assess survival outcomes.</w:t>
      </w:r>
      <w:r w:rsidR="003B0B58">
        <w:t xml:space="preserve"> </w:t>
      </w:r>
      <w:r w:rsidR="00DD5787">
        <w:t>Thus, MSAC concluded that</w:t>
      </w:r>
      <w:r w:rsidR="003B0B58">
        <w:t xml:space="preserve"> </w:t>
      </w:r>
      <w:r w:rsidR="00DD5787">
        <w:t xml:space="preserve">EBRT+LDR-BT boost has </w:t>
      </w:r>
      <w:r w:rsidR="003B0B58">
        <w:t>uncertain effectiveness for overall survival, metastasis-free survival or prostate cancer–specific survival, relative to DE-EBRT.</w:t>
      </w:r>
      <w:r w:rsidR="003B0B58" w:rsidDel="003B0B58">
        <w:t xml:space="preserve"> </w:t>
      </w:r>
      <w:bookmarkEnd w:id="54"/>
    </w:p>
    <w:p w14:paraId="79CC3E1E" w14:textId="7C22241D" w:rsidR="004560A3" w:rsidRDefault="004560A3" w:rsidP="004560A3">
      <w:pPr>
        <w:autoSpaceDE w:val="0"/>
        <w:autoSpaceDN w:val="0"/>
        <w:adjustRightInd w:val="0"/>
        <w:spacing w:line="240" w:lineRule="auto"/>
        <w:rPr>
          <w:rStyle w:val="Emphasis"/>
        </w:rPr>
      </w:pPr>
      <w:r w:rsidRPr="00835EBC">
        <w:rPr>
          <w:rStyle w:val="Emphasis"/>
        </w:rPr>
        <w:t>EBRT + LDR-BT boost versus EBRT + HDR-BT boost</w:t>
      </w:r>
    </w:p>
    <w:p w14:paraId="32DF10DB" w14:textId="3239AB04" w:rsidR="004560A3" w:rsidRDefault="004560A3" w:rsidP="004560A3">
      <w:r>
        <w:t>The ADAR proposed that EBRT + LDR-BT boost has similar effectiveness and uncertain safety compared to EBRT + HDR-BT boost.</w:t>
      </w:r>
    </w:p>
    <w:p w14:paraId="0D33A32D" w14:textId="4F3093E6" w:rsidR="00786E1B" w:rsidRDefault="004560A3" w:rsidP="00786E1B">
      <w:r>
        <w:t xml:space="preserve">The </w:t>
      </w:r>
      <w:r w:rsidR="00265222">
        <w:t xml:space="preserve">interpretation of the </w:t>
      </w:r>
      <w:r w:rsidR="00786E1B">
        <w:t>clinical claim is</w:t>
      </w:r>
      <w:r w:rsidR="00673CA3">
        <w:t xml:space="preserve"> that</w:t>
      </w:r>
      <w:r>
        <w:t xml:space="preserve"> EBRT + LDR-BT boost has noninferior effectiveness and inferior safety compared </w:t>
      </w:r>
      <w:r w:rsidR="00CD09E6">
        <w:t xml:space="preserve">with </w:t>
      </w:r>
      <w:r w:rsidR="00322408">
        <w:t>EBRT + HDR-BT boost.</w:t>
      </w:r>
      <w:r w:rsidR="00786E1B">
        <w:t xml:space="preserve"> Note, this is inconsistent with </w:t>
      </w:r>
      <w:r w:rsidR="00322E6F">
        <w:t>t</w:t>
      </w:r>
      <w:r w:rsidR="00786E1B">
        <w:t>he ADAR propos</w:t>
      </w:r>
      <w:r w:rsidR="00322E6F">
        <w:t>ing</w:t>
      </w:r>
      <w:r w:rsidR="00786E1B">
        <w:t xml:space="preserve"> that EBRT + LDR-BT boost has similar effectiveness and uncertain safety compared to EBRT + HDR-BT boost.</w:t>
      </w:r>
      <w:r w:rsidR="00174705">
        <w:t xml:space="preserve"> One small cohort study showed some improvement in b-PFS in EBRT + LDR-BT over EBRT + HDR-BT at 5 years but this evidence </w:t>
      </w:r>
      <w:r w:rsidR="005D350D">
        <w:t xml:space="preserve">was </w:t>
      </w:r>
      <w:r w:rsidR="00174705">
        <w:t>considered inadequate to claim superiority for b-PFS.</w:t>
      </w:r>
    </w:p>
    <w:p w14:paraId="1413934C" w14:textId="04D93B4B" w:rsidR="002F0B58" w:rsidRPr="00CE28E3" w:rsidRDefault="002F0B58" w:rsidP="002F0B58">
      <w:pPr>
        <w:pStyle w:val="Heading2"/>
        <w:numPr>
          <w:ilvl w:val="0"/>
          <w:numId w:val="0"/>
        </w:numPr>
      </w:pPr>
      <w:bookmarkStart w:id="55" w:name="_Toc69491427"/>
      <w:r>
        <w:t>1</w:t>
      </w:r>
      <w:r w:rsidR="00992DD2">
        <w:t>2</w:t>
      </w:r>
      <w:r>
        <w:t>.</w:t>
      </w:r>
      <w:r>
        <w:tab/>
      </w:r>
      <w:r w:rsidRPr="00CE28E3">
        <w:t xml:space="preserve">Other relevant </w:t>
      </w:r>
      <w:bookmarkEnd w:id="55"/>
      <w:r>
        <w:t>information</w:t>
      </w:r>
    </w:p>
    <w:p w14:paraId="3679D570" w14:textId="3036F76E" w:rsidR="006B2C8F" w:rsidRDefault="007F6EFD" w:rsidP="0042476F">
      <w:pPr>
        <w:pStyle w:val="NormalBeforeBullet"/>
        <w:rPr>
          <w:rFonts w:ascii="Franklin Gothic Book" w:hAnsi="Franklin Gothic Book"/>
        </w:rPr>
      </w:pPr>
      <w:r w:rsidRPr="0042476F">
        <w:rPr>
          <w:rFonts w:ascii="Franklin Gothic Book" w:hAnsi="Franklin Gothic Book"/>
        </w:rPr>
        <w:t>The ADAR made an argument for equitable access to brachytherapy services highlighting the significant infrastructure required to deliver HDR brachytherapy (currently available on MBS for intermediate and high-risk prostate cancer) which would not be needed for LDR brachytherapy since it can be delivered in any setting licenced to use low dose rate sealed radioactive materials.</w:t>
      </w:r>
    </w:p>
    <w:p w14:paraId="4B8F9C4C" w14:textId="34990DE1" w:rsidR="006B2C8F" w:rsidRPr="006B2C8F" w:rsidRDefault="006B2C8F" w:rsidP="006B2C8F">
      <w:pPr>
        <w:pStyle w:val="Heading2"/>
        <w:numPr>
          <w:ilvl w:val="0"/>
          <w:numId w:val="0"/>
        </w:numPr>
      </w:pPr>
      <w:r>
        <w:t>1</w:t>
      </w:r>
      <w:r w:rsidR="00992DD2">
        <w:t>3</w:t>
      </w:r>
      <w:r>
        <w:t>.</w:t>
      </w:r>
      <w:r>
        <w:tab/>
        <w:t>Key issues from ESC to MSAC</w:t>
      </w:r>
    </w:p>
    <w:tbl>
      <w:tblPr>
        <w:tblStyle w:val="TableGrid"/>
        <w:tblW w:w="0" w:type="auto"/>
        <w:tblLook w:val="04A0" w:firstRow="1" w:lastRow="0" w:firstColumn="1" w:lastColumn="0" w:noHBand="0" w:noVBand="1"/>
      </w:tblPr>
      <w:tblGrid>
        <w:gridCol w:w="9016"/>
      </w:tblGrid>
      <w:tr w:rsidR="006B2C8F" w:rsidRPr="00CE28E3" w14:paraId="59F507C8" w14:textId="77777777" w:rsidTr="009D3F31">
        <w:tc>
          <w:tcPr>
            <w:tcW w:w="9016" w:type="dxa"/>
          </w:tcPr>
          <w:p w14:paraId="605975C5" w14:textId="77777777" w:rsidR="006B2C8F" w:rsidRPr="008A0FB3" w:rsidRDefault="006B2C8F" w:rsidP="009D3F31">
            <w:pPr>
              <w:spacing w:before="240" w:after="240"/>
              <w:rPr>
                <w:b/>
                <w:bCs/>
                <w:sz w:val="24"/>
                <w:szCs w:val="24"/>
              </w:rPr>
            </w:pPr>
            <w:r w:rsidRPr="008A0FB3">
              <w:rPr>
                <w:b/>
                <w:bCs/>
                <w:sz w:val="24"/>
                <w:szCs w:val="24"/>
              </w:rPr>
              <w:t xml:space="preserve">Main issues for MSAC consideration </w:t>
            </w:r>
          </w:p>
          <w:p w14:paraId="6307E08E" w14:textId="77777777" w:rsidR="006B2C8F" w:rsidRPr="008A0FB3" w:rsidRDefault="006B2C8F" w:rsidP="009D3F31">
            <w:pPr>
              <w:rPr>
                <w:b/>
              </w:rPr>
            </w:pPr>
            <w:r w:rsidRPr="008A0FB3">
              <w:rPr>
                <w:b/>
              </w:rPr>
              <w:t>Clinical issues:</w:t>
            </w:r>
          </w:p>
          <w:p w14:paraId="403E8732" w14:textId="15A6C911" w:rsidR="006B2C8F" w:rsidRPr="00D22AA0" w:rsidRDefault="006B2C8F" w:rsidP="009D3F31">
            <w:pPr>
              <w:pStyle w:val="Instructionaltext-bullet"/>
              <w:rPr>
                <w:color w:val="auto"/>
              </w:rPr>
            </w:pPr>
            <w:r>
              <w:rPr>
                <w:color w:val="auto"/>
              </w:rPr>
              <w:t xml:space="preserve">Clinical claim for EBRT+LDR-BT boost vs. DE-EBRT </w:t>
            </w:r>
            <w:r w:rsidRPr="00953FDA">
              <w:rPr>
                <w:rFonts w:eastAsia="Calibri" w:cs="Times New Roman"/>
                <w:color w:val="auto"/>
              </w:rPr>
              <w:t>–</w:t>
            </w:r>
            <w:r>
              <w:rPr>
                <w:color w:val="auto"/>
              </w:rPr>
              <w:t xml:space="preserve"> l</w:t>
            </w:r>
            <w:r w:rsidRPr="00D22AA0">
              <w:rPr>
                <w:color w:val="auto"/>
              </w:rPr>
              <w:t>onger-term follow-up data from the ASCENDE</w:t>
            </w:r>
            <w:r>
              <w:rPr>
                <w:color w:val="auto"/>
              </w:rPr>
              <w:t>-RT</w:t>
            </w:r>
            <w:r w:rsidRPr="00D22AA0">
              <w:rPr>
                <w:color w:val="auto"/>
              </w:rPr>
              <w:t xml:space="preserve"> pivotal trial </w:t>
            </w:r>
            <w:r>
              <w:rPr>
                <w:color w:val="auto"/>
              </w:rPr>
              <w:t xml:space="preserve">continues to suggest that compared with DE-EBRT, </w:t>
            </w:r>
            <w:r w:rsidRPr="00D22AA0">
              <w:rPr>
                <w:color w:val="auto"/>
              </w:rPr>
              <w:t>EBRT+LDR-BT</w:t>
            </w:r>
            <w:r>
              <w:rPr>
                <w:color w:val="auto"/>
              </w:rPr>
              <w:t xml:space="preserve"> boost</w:t>
            </w:r>
            <w:r w:rsidRPr="00D22AA0">
              <w:rPr>
                <w:color w:val="auto"/>
              </w:rPr>
              <w:t xml:space="preserve"> has</w:t>
            </w:r>
            <w:r>
              <w:rPr>
                <w:color w:val="auto"/>
              </w:rPr>
              <w:t xml:space="preserve"> inferior safety,</w:t>
            </w:r>
            <w:r w:rsidRPr="00D22AA0">
              <w:rPr>
                <w:color w:val="auto"/>
              </w:rPr>
              <w:t xml:space="preserve"> superior effectiveness for bPFS and noninferior effectiveness for other </w:t>
            </w:r>
            <w:r>
              <w:rPr>
                <w:color w:val="auto"/>
              </w:rPr>
              <w:t xml:space="preserve">survival endpoints (OS, MFS and PCSS) </w:t>
            </w:r>
            <w:r w:rsidRPr="00DD3796">
              <w:rPr>
                <w:rFonts w:eastAsia="Calibri" w:cs="Times New Roman"/>
                <w:color w:val="auto"/>
              </w:rPr>
              <w:t>–</w:t>
            </w:r>
            <w:r>
              <w:rPr>
                <w:rFonts w:eastAsia="Calibri" w:cs="Times New Roman"/>
                <w:color w:val="auto"/>
              </w:rPr>
              <w:t xml:space="preserve"> </w:t>
            </w:r>
            <w:r>
              <w:rPr>
                <w:color w:val="auto"/>
              </w:rPr>
              <w:t xml:space="preserve">but </w:t>
            </w:r>
            <w:r w:rsidRPr="00334FC3">
              <w:rPr>
                <w:color w:val="auto"/>
              </w:rPr>
              <w:t>that uncertainty remain</w:t>
            </w:r>
            <w:r>
              <w:rPr>
                <w:color w:val="auto"/>
              </w:rPr>
              <w:t>s</w:t>
            </w:r>
            <w:r w:rsidRPr="00334FC3">
              <w:rPr>
                <w:color w:val="auto"/>
              </w:rPr>
              <w:t xml:space="preserve"> because the trial was underpowered to </w:t>
            </w:r>
            <w:r>
              <w:rPr>
                <w:color w:val="auto"/>
              </w:rPr>
              <w:t>detect differences in survival endpoints.</w:t>
            </w:r>
          </w:p>
          <w:p w14:paraId="39D55A50" w14:textId="77777777" w:rsidR="006B2C8F" w:rsidRDefault="006B2C8F" w:rsidP="009D3F31">
            <w:pPr>
              <w:pStyle w:val="Instructionaltext-bullet"/>
              <w:rPr>
                <w:color w:val="auto"/>
              </w:rPr>
            </w:pPr>
            <w:r>
              <w:rPr>
                <w:color w:val="auto"/>
              </w:rPr>
              <w:t xml:space="preserve">Clinical claim for EBRT+LDR-BT boost vs. EBRT+HDR-BT boost </w:t>
            </w:r>
            <w:r w:rsidRPr="00DD3796">
              <w:rPr>
                <w:rFonts w:eastAsia="Calibri" w:cs="Times New Roman"/>
                <w:color w:val="auto"/>
              </w:rPr>
              <w:t>–</w:t>
            </w:r>
            <w:r>
              <w:rPr>
                <w:color w:val="auto"/>
              </w:rPr>
              <w:t xml:space="preserve"> t</w:t>
            </w:r>
            <w:r w:rsidRPr="00D22AA0">
              <w:rPr>
                <w:color w:val="auto"/>
              </w:rPr>
              <w:t xml:space="preserve">he </w:t>
            </w:r>
            <w:r>
              <w:rPr>
                <w:color w:val="auto"/>
              </w:rPr>
              <w:t xml:space="preserve">new evidence in the resubmission is </w:t>
            </w:r>
            <w:r w:rsidRPr="00D22AA0">
              <w:rPr>
                <w:color w:val="auto"/>
              </w:rPr>
              <w:t>limited</w:t>
            </w:r>
            <w:r>
              <w:rPr>
                <w:color w:val="auto"/>
              </w:rPr>
              <w:t xml:space="preserve"> but this low-quality evidence</w:t>
            </w:r>
            <w:r w:rsidRPr="00D22AA0">
              <w:rPr>
                <w:color w:val="auto"/>
              </w:rPr>
              <w:t xml:space="preserve"> suggest</w:t>
            </w:r>
            <w:r>
              <w:rPr>
                <w:color w:val="auto"/>
              </w:rPr>
              <w:t>s</w:t>
            </w:r>
            <w:r w:rsidRPr="00D22AA0">
              <w:rPr>
                <w:color w:val="auto"/>
              </w:rPr>
              <w:t xml:space="preserve"> that EBRT+LDR-BT</w:t>
            </w:r>
            <w:r>
              <w:rPr>
                <w:color w:val="auto"/>
              </w:rPr>
              <w:t xml:space="preserve"> boost</w:t>
            </w:r>
            <w:r w:rsidRPr="00D22AA0">
              <w:rPr>
                <w:color w:val="auto"/>
              </w:rPr>
              <w:t xml:space="preserve"> has</w:t>
            </w:r>
            <w:r>
              <w:rPr>
                <w:color w:val="auto"/>
              </w:rPr>
              <w:t xml:space="preserve"> likely</w:t>
            </w:r>
            <w:r w:rsidRPr="00D22AA0">
              <w:rPr>
                <w:color w:val="auto"/>
              </w:rPr>
              <w:t xml:space="preserve"> noninferior </w:t>
            </w:r>
            <w:r>
              <w:rPr>
                <w:color w:val="auto"/>
              </w:rPr>
              <w:t xml:space="preserve">safety and </w:t>
            </w:r>
            <w:r w:rsidRPr="00D22AA0">
              <w:rPr>
                <w:color w:val="auto"/>
              </w:rPr>
              <w:t>effectiveness.</w:t>
            </w:r>
          </w:p>
          <w:p w14:paraId="48F67E09" w14:textId="77777777" w:rsidR="006B2C8F" w:rsidRPr="00D22AA0" w:rsidRDefault="006B2C8F" w:rsidP="009D3F31">
            <w:pPr>
              <w:pStyle w:val="Instructionaltext-bullet"/>
              <w:rPr>
                <w:color w:val="auto"/>
              </w:rPr>
            </w:pPr>
            <w:r>
              <w:rPr>
                <w:color w:val="auto"/>
              </w:rPr>
              <w:t>Primary outcome justified to be bPFS</w:t>
            </w:r>
            <w:r w:rsidRPr="00DD3796">
              <w:rPr>
                <w:rFonts w:eastAsia="Calibri" w:cs="Times New Roman"/>
                <w:color w:val="auto"/>
              </w:rPr>
              <w:t>–</w:t>
            </w:r>
            <w:r>
              <w:rPr>
                <w:color w:val="auto"/>
              </w:rPr>
              <w:t xml:space="preserve"> </w:t>
            </w:r>
            <w:r w:rsidRPr="00302D6D">
              <w:rPr>
                <w:color w:val="auto"/>
              </w:rPr>
              <w:t xml:space="preserve">the </w:t>
            </w:r>
            <w:r>
              <w:rPr>
                <w:color w:val="auto"/>
              </w:rPr>
              <w:t xml:space="preserve">applicant’s </w:t>
            </w:r>
            <w:r w:rsidRPr="00302D6D">
              <w:rPr>
                <w:color w:val="auto"/>
              </w:rPr>
              <w:t>argument regarding the importance of b-PFS</w:t>
            </w:r>
            <w:r>
              <w:rPr>
                <w:color w:val="auto"/>
              </w:rPr>
              <w:t xml:space="preserve"> was considered; however, </w:t>
            </w:r>
            <w:r w:rsidRPr="00302D6D">
              <w:rPr>
                <w:color w:val="auto"/>
              </w:rPr>
              <w:t>that this d</w:t>
            </w:r>
            <w:r>
              <w:rPr>
                <w:color w:val="auto"/>
              </w:rPr>
              <w:t>oesn</w:t>
            </w:r>
            <w:r w:rsidRPr="00302D6D">
              <w:rPr>
                <w:color w:val="auto"/>
              </w:rPr>
              <w:t xml:space="preserve">’t change the conclusion of the </w:t>
            </w:r>
            <w:r>
              <w:rPr>
                <w:color w:val="auto"/>
              </w:rPr>
              <w:t>study</w:t>
            </w:r>
            <w:r w:rsidRPr="00302D6D">
              <w:rPr>
                <w:color w:val="auto"/>
              </w:rPr>
              <w:t xml:space="preserve"> results</w:t>
            </w:r>
            <w:r>
              <w:rPr>
                <w:color w:val="auto"/>
              </w:rPr>
              <w:t xml:space="preserve"> showing that </w:t>
            </w:r>
            <w:r w:rsidRPr="00302D6D">
              <w:rPr>
                <w:color w:val="auto"/>
              </w:rPr>
              <w:t>improved PSA control d</w:t>
            </w:r>
            <w:r>
              <w:rPr>
                <w:color w:val="auto"/>
              </w:rPr>
              <w:t>oes</w:t>
            </w:r>
            <w:r w:rsidRPr="00302D6D">
              <w:rPr>
                <w:color w:val="auto"/>
              </w:rPr>
              <w:t xml:space="preserve"> not translate to any other disease endpoint improvement.</w:t>
            </w:r>
          </w:p>
          <w:p w14:paraId="334E0A58" w14:textId="77777777" w:rsidR="006B2C8F" w:rsidRPr="00C97893" w:rsidRDefault="006B2C8F" w:rsidP="009D3F31">
            <w:pPr>
              <w:pStyle w:val="Instructionaltext-bullet"/>
              <w:rPr>
                <w:color w:val="auto"/>
              </w:rPr>
            </w:pPr>
            <w:r>
              <w:rPr>
                <w:color w:val="auto"/>
              </w:rPr>
              <w:t xml:space="preserve">Proposed MBS items </w:t>
            </w:r>
            <w:r w:rsidRPr="00DD3796">
              <w:rPr>
                <w:rFonts w:eastAsia="Calibri" w:cs="Times New Roman"/>
                <w:color w:val="auto"/>
              </w:rPr>
              <w:t>–</w:t>
            </w:r>
            <w:r>
              <w:t xml:space="preserve"> </w:t>
            </w:r>
            <w:r>
              <w:rPr>
                <w:rFonts w:eastAsia="Calibri" w:cs="Times New Roman"/>
                <w:color w:val="auto"/>
              </w:rPr>
              <w:t>t</w:t>
            </w:r>
            <w:r w:rsidRPr="002A25A4">
              <w:rPr>
                <w:rFonts w:eastAsia="Calibri" w:cs="Times New Roman"/>
                <w:color w:val="auto"/>
              </w:rPr>
              <w:t>he current item descriptor</w:t>
            </w:r>
            <w:r>
              <w:rPr>
                <w:rFonts w:eastAsia="Calibri" w:cs="Times New Roman"/>
                <w:color w:val="auto"/>
              </w:rPr>
              <w:t>s</w:t>
            </w:r>
            <w:r w:rsidRPr="002A25A4">
              <w:rPr>
                <w:rFonts w:eastAsia="Calibri" w:cs="Times New Roman"/>
                <w:color w:val="auto"/>
              </w:rPr>
              <w:t xml:space="preserve"> </w:t>
            </w:r>
            <w:r>
              <w:rPr>
                <w:rFonts w:eastAsia="Calibri" w:cs="Times New Roman"/>
                <w:color w:val="auto"/>
              </w:rPr>
              <w:t xml:space="preserve">are </w:t>
            </w:r>
            <w:r w:rsidRPr="002A25A4">
              <w:rPr>
                <w:rFonts w:eastAsia="Calibri" w:cs="Times New Roman"/>
                <w:color w:val="auto"/>
              </w:rPr>
              <w:t>very specific about the appropriate population</w:t>
            </w:r>
            <w:r>
              <w:rPr>
                <w:rFonts w:eastAsia="Calibri" w:cs="Times New Roman"/>
                <w:color w:val="auto"/>
              </w:rPr>
              <w:t xml:space="preserve"> (</w:t>
            </w:r>
            <w:r w:rsidRPr="00D22AA0">
              <w:rPr>
                <w:color w:val="auto"/>
              </w:rPr>
              <w:t>the item descriptor does not specify treating all intermediate-risk patients</w:t>
            </w:r>
            <w:r>
              <w:rPr>
                <w:color w:val="auto"/>
              </w:rPr>
              <w:t>), and</w:t>
            </w:r>
            <w:r w:rsidRPr="002A25A4">
              <w:rPr>
                <w:rFonts w:eastAsia="Calibri" w:cs="Times New Roman"/>
                <w:color w:val="auto"/>
              </w:rPr>
              <w:t xml:space="preserve"> </w:t>
            </w:r>
            <w:r>
              <w:rPr>
                <w:rFonts w:eastAsia="Calibri" w:cs="Times New Roman"/>
                <w:color w:val="auto"/>
              </w:rPr>
              <w:t>are</w:t>
            </w:r>
            <w:r w:rsidRPr="002A25A4">
              <w:rPr>
                <w:rFonts w:eastAsia="Calibri" w:cs="Times New Roman"/>
                <w:color w:val="auto"/>
              </w:rPr>
              <w:t xml:space="preserve"> consistent with the pivotal ASCENDE</w:t>
            </w:r>
            <w:r>
              <w:rPr>
                <w:rFonts w:eastAsia="Calibri" w:cs="Times New Roman"/>
                <w:color w:val="auto"/>
              </w:rPr>
              <w:t>-RT</w:t>
            </w:r>
            <w:r w:rsidRPr="002A25A4">
              <w:rPr>
                <w:rFonts w:eastAsia="Calibri" w:cs="Times New Roman"/>
                <w:color w:val="auto"/>
              </w:rPr>
              <w:t xml:space="preserve"> trial and </w:t>
            </w:r>
            <w:r>
              <w:rPr>
                <w:rFonts w:eastAsia="Calibri" w:cs="Times New Roman"/>
                <w:color w:val="auto"/>
              </w:rPr>
              <w:t xml:space="preserve">originally agreed </w:t>
            </w:r>
            <w:r w:rsidRPr="002A25A4">
              <w:rPr>
                <w:rFonts w:eastAsia="Calibri" w:cs="Times New Roman"/>
                <w:color w:val="auto"/>
              </w:rPr>
              <w:t>PICO population</w:t>
            </w:r>
            <w:r>
              <w:rPr>
                <w:rFonts w:eastAsia="Calibri" w:cs="Times New Roman"/>
                <w:color w:val="auto"/>
              </w:rPr>
              <w:t xml:space="preserve">. </w:t>
            </w:r>
            <w:r w:rsidRPr="002A25A4">
              <w:rPr>
                <w:rFonts w:eastAsia="Calibri" w:cs="Times New Roman"/>
                <w:color w:val="auto"/>
              </w:rPr>
              <w:t xml:space="preserve">Furthermore, using NCCN-specific risk groups could result in an outdated item descriptor as guidelines are continually updated </w:t>
            </w:r>
            <w:r>
              <w:rPr>
                <w:rFonts w:eastAsia="Calibri" w:cs="Times New Roman"/>
                <w:color w:val="auto"/>
              </w:rPr>
              <w:t>and can be difficult to retrospectively apply</w:t>
            </w:r>
            <w:r w:rsidRPr="002A25A4">
              <w:rPr>
                <w:rFonts w:eastAsia="Calibri" w:cs="Times New Roman"/>
                <w:color w:val="auto"/>
              </w:rPr>
              <w:t>.</w:t>
            </w:r>
          </w:p>
          <w:p w14:paraId="53EF9B19" w14:textId="77777777" w:rsidR="006B2C8F" w:rsidRPr="00D22AA0" w:rsidRDefault="006B2C8F" w:rsidP="009D3F31">
            <w:pPr>
              <w:pStyle w:val="Instructionaltext-bullet"/>
              <w:rPr>
                <w:color w:val="auto"/>
              </w:rPr>
            </w:pPr>
            <w:r>
              <w:rPr>
                <w:color w:val="auto"/>
              </w:rPr>
              <w:t>Radical prostatectomy is excluded as a relevant comparator.</w:t>
            </w:r>
          </w:p>
          <w:p w14:paraId="2A1DF2B6" w14:textId="77777777" w:rsidR="006B2C8F" w:rsidRPr="00D22AA0" w:rsidRDefault="006B2C8F" w:rsidP="00107463">
            <w:pPr>
              <w:pStyle w:val="Instructionaltext-bullet"/>
              <w:numPr>
                <w:ilvl w:val="0"/>
                <w:numId w:val="0"/>
              </w:numPr>
              <w:rPr>
                <w:color w:val="auto"/>
              </w:rPr>
            </w:pPr>
          </w:p>
        </w:tc>
      </w:tr>
    </w:tbl>
    <w:p w14:paraId="33F94B16" w14:textId="77777777" w:rsidR="007651CC" w:rsidRDefault="007651CC">
      <w:pPr>
        <w:spacing w:before="0"/>
        <w:rPr>
          <w:rFonts w:eastAsia="Times New Roman" w:cs="Arial"/>
          <w:b/>
          <w:bCs/>
          <w:iCs/>
          <w:color w:val="000000"/>
          <w:sz w:val="24"/>
          <w:szCs w:val="28"/>
          <w:lang w:eastAsia="en-AU"/>
        </w:rPr>
      </w:pPr>
      <w:r>
        <w:rPr>
          <w:rFonts w:eastAsia="Times New Roman" w:cs="Arial"/>
          <w:b/>
          <w:bCs/>
          <w:iCs/>
          <w:color w:val="000000"/>
          <w:sz w:val="24"/>
          <w:szCs w:val="28"/>
          <w:lang w:eastAsia="en-AU"/>
        </w:rPr>
        <w:br w:type="page"/>
      </w:r>
    </w:p>
    <w:p w14:paraId="03E2A2C6" w14:textId="35024AB8" w:rsidR="006B2C8F" w:rsidRDefault="006B2C8F" w:rsidP="006B2C8F">
      <w:pPr>
        <w:rPr>
          <w:rFonts w:eastAsia="Times New Roman" w:cs="Arial"/>
          <w:b/>
          <w:bCs/>
          <w:iCs/>
          <w:color w:val="000000"/>
          <w:sz w:val="24"/>
          <w:szCs w:val="28"/>
          <w:lang w:eastAsia="en-AU"/>
        </w:rPr>
      </w:pPr>
      <w:r>
        <w:rPr>
          <w:rFonts w:eastAsia="Times New Roman" w:cs="Arial"/>
          <w:b/>
          <w:bCs/>
          <w:iCs/>
          <w:color w:val="000000"/>
          <w:sz w:val="24"/>
          <w:szCs w:val="28"/>
          <w:lang w:eastAsia="en-AU"/>
        </w:rPr>
        <w:lastRenderedPageBreak/>
        <w:t>ESC discussion</w:t>
      </w:r>
    </w:p>
    <w:p w14:paraId="5C855035" w14:textId="7D1AB019" w:rsidR="006B2C8F" w:rsidRDefault="006B2C8F" w:rsidP="006B2C8F">
      <w:r>
        <w:t>ESC noted that this application from BXTAccelyon Australia is requesting Medicare Benefits Schedule (MBS) listing of low dose-rate brachytherapy (LDR-BT), for intermediate- and high-risk prostate cancer. LDR-BT is used as a boost following external beam radiotherapy (EBRT) to deliver a higher dose of radiation to the prostate, which is supported in current international prostate cancer consensus guidelines. LDR-BT delivered as monotherapy is currently listed on the MBS for low-risk prostate cancer (MBS item 37220).</w:t>
      </w:r>
    </w:p>
    <w:p w14:paraId="0162DDDF" w14:textId="77777777" w:rsidR="006B2C8F" w:rsidRDefault="006B2C8F" w:rsidP="006B2C8F">
      <w:pPr>
        <w:pStyle w:val="NormalBeforeBullet0"/>
      </w:pPr>
      <w:r>
        <w:t xml:space="preserve">ESC noted that MSAC previously considered LDR-BT for intermediate- and high-risk prostate cancer groups at its </w:t>
      </w:r>
      <w:hyperlink r:id="rId17" w:history="1">
        <w:r>
          <w:rPr>
            <w:rStyle w:val="Hyperlink"/>
          </w:rPr>
          <w:t>August 2019 meeting</w:t>
        </w:r>
      </w:hyperlink>
      <w:r>
        <w:t xml:space="preserve">. MSAC did not support public funding of LDR-BT boost (following EBRT, i.e. EBRT+LDR-BT boost) because </w:t>
      </w:r>
      <w:r w:rsidRPr="000B35DE">
        <w:t>comparative safety and eff</w:t>
      </w:r>
      <w:r>
        <w:t>ectiveness</w:t>
      </w:r>
      <w:r w:rsidRPr="000B35DE">
        <w:t xml:space="preserve"> were too uncertain relative to dose-escalated EBRT (DE-EBRT)</w:t>
      </w:r>
      <w:r>
        <w:t xml:space="preserve"> and </w:t>
      </w:r>
      <w:r w:rsidRPr="00DD3796">
        <w:t>no evidence was provided relative to high dose-rate (HDR) brachytherapy boost</w:t>
      </w:r>
      <w:r>
        <w:t xml:space="preserve"> following EBRT or </w:t>
      </w:r>
      <w:r w:rsidRPr="00E049D7">
        <w:t>radical prostatectomy (RP).</w:t>
      </w:r>
      <w:r>
        <w:t xml:space="preserve"> MSAC noted evidence from the pivotal ASCENDE trial suggested EBRT+LDR-BT boost has superior effectiveness for biochemical progression-free survival (bPFS) compared with DE-EBRT. However, there was no difference in overall survival (OS), metastasis-free survival (MFS) or prostate cancer-specific survival (PCSS), but this conclusion was uncertain as the trial was not powered or long enough to assess survival outcomes. MSAC also concluded that EBRT+ LDR-BT boost had inferior safety relative to DE-EBRT.</w:t>
      </w:r>
    </w:p>
    <w:p w14:paraId="48E6549B" w14:textId="77777777" w:rsidR="006B2C8F" w:rsidRDefault="006B2C8F" w:rsidP="006B2C8F">
      <w:pPr>
        <w:pStyle w:val="NormalBeforeBullet0"/>
      </w:pPr>
      <w:r>
        <w:t>In August 2019, MSAC advised that a future resubmission should include:</w:t>
      </w:r>
    </w:p>
    <w:p w14:paraId="474898AC" w14:textId="77777777" w:rsidR="006B2C8F" w:rsidRPr="00953FDA" w:rsidRDefault="006B2C8F" w:rsidP="006B2C8F">
      <w:pPr>
        <w:pStyle w:val="Bullet"/>
        <w:numPr>
          <w:ilvl w:val="0"/>
          <w:numId w:val="26"/>
        </w:numPr>
        <w:spacing w:before="0"/>
        <w:rPr>
          <w:rFonts w:ascii="Franklin Gothic Book" w:hAnsi="Franklin Gothic Book"/>
        </w:rPr>
      </w:pPr>
      <w:r w:rsidRPr="00953FDA">
        <w:rPr>
          <w:rFonts w:ascii="Franklin Gothic Book" w:hAnsi="Franklin Gothic Book"/>
        </w:rPr>
        <w:t>comparative safety data based on up-to-date practice, ideally for all comparators</w:t>
      </w:r>
    </w:p>
    <w:p w14:paraId="4715E609" w14:textId="77777777" w:rsidR="006B2C8F" w:rsidRPr="00953FDA" w:rsidRDefault="006B2C8F" w:rsidP="006B2C8F">
      <w:pPr>
        <w:pStyle w:val="Bullet"/>
        <w:numPr>
          <w:ilvl w:val="0"/>
          <w:numId w:val="26"/>
        </w:numPr>
        <w:spacing w:before="0"/>
        <w:rPr>
          <w:rFonts w:ascii="Franklin Gothic Book" w:hAnsi="Franklin Gothic Book"/>
        </w:rPr>
      </w:pPr>
      <w:r w:rsidRPr="00953FDA">
        <w:rPr>
          <w:rFonts w:ascii="Franklin Gothic Book" w:hAnsi="Franklin Gothic Book"/>
        </w:rPr>
        <w:t>effectiveness data for EBRT+HDR-BT and RP</w:t>
      </w:r>
    </w:p>
    <w:p w14:paraId="2E26C229" w14:textId="77777777" w:rsidR="006B2C8F" w:rsidRPr="00D83D36" w:rsidRDefault="006B2C8F" w:rsidP="006B2C8F">
      <w:pPr>
        <w:pStyle w:val="BulletLast"/>
        <w:numPr>
          <w:ilvl w:val="0"/>
          <w:numId w:val="26"/>
        </w:numPr>
      </w:pPr>
      <w:r w:rsidRPr="00F947CE">
        <w:t>updated cost-effectiveness analyses to reflect any newly relevant comparative safety and effectiveness data.</w:t>
      </w:r>
    </w:p>
    <w:p w14:paraId="1FF35F09" w14:textId="77777777" w:rsidR="006B2C8F" w:rsidRDefault="006B2C8F" w:rsidP="006B2C8F">
      <w:r>
        <w:t xml:space="preserve">ESC noted that the applicant has chosen for this resubmission to undergo a two-stage assessment report pathway – an option available to applicants as per the </w:t>
      </w:r>
      <w:hyperlink r:id="rId18" w:history="1">
        <w:r>
          <w:rPr>
            <w:rStyle w:val="Hyperlink"/>
          </w:rPr>
          <w:t>MSAC Process Framework</w:t>
        </w:r>
      </w:hyperlink>
      <w:r>
        <w:t>. The applicant has provided evidence for safety and clinical effectiveness that has become available since the previous MSAC consideration in 2019. If this first stage is successful, the applicant will submit an economic evaluation and financial impact analysis in the second stage.</w:t>
      </w:r>
    </w:p>
    <w:p w14:paraId="5691A254" w14:textId="77777777" w:rsidR="006B2C8F" w:rsidRDefault="006B2C8F" w:rsidP="006B2C8F">
      <w:r>
        <w:t>ESC noted that the two proposed item descriptors – one for a radiation oncologist and one for a urologist – were modified from the previous submission to include revised histological grading (the International Society of Urological Pathway [ISUP] Grade Group system).</w:t>
      </w:r>
    </w:p>
    <w:p w14:paraId="2C0D43FD" w14:textId="77777777" w:rsidR="006B2C8F" w:rsidRDefault="006B2C8F" w:rsidP="006B2C8F">
      <w:r>
        <w:t xml:space="preserve">ESC recalled from the previous submission, ESC had considered that it may be more appropriate to define the eligible population using National Comprehensive Cancer Network (NCCN) risk definitions to be consistent with international classification systems. For this resubmission, ESC noted the commentary considered that the revised population is not consistent with the current NCCN Prostate Cancer Guidelines, which stratifies the intermediate-risk category into “favourable” (low-intermediate risk) and “unfavourable” (high-intermediate risk) subgroups. According to the current NCCN guidelines, only the “unfavourable” subgroup would be eligible for EBRT+LDR-BT boost. The commentary stated that it may be inappropriate to include all intermediate-risk patients as it would lead to favourable patients being overtreated. However, ESC considered that the current item descriptors are very specific about the appropriate population </w:t>
      </w:r>
      <w:r>
        <w:rPr>
          <w:rFonts w:eastAsia="Calibri" w:cs="Times New Roman"/>
        </w:rPr>
        <w:t>(</w:t>
      </w:r>
      <w:r w:rsidRPr="00D22AA0">
        <w:t>the item descriptor does not specify treating all intermediate-risk patients</w:t>
      </w:r>
      <w:r>
        <w:t xml:space="preserve">), and are consistent with the pivotal ASCENDE-RT trial and PICO population. Furthermore, ESC considered it does agree using international staging/risk groupings are important, but using NCCN-specific risk groups in this item application could result in an outdated item descriptor as the guidelines are continually updated –the use of any grading system is potentially problematic for the same reasons (e.g. including the Gleason score and Grade group as proposed in the MBS items), </w:t>
      </w:r>
      <w:r>
        <w:rPr>
          <w:rFonts w:eastAsia="Calibri" w:cs="Times New Roman"/>
        </w:rPr>
        <w:t xml:space="preserve">and </w:t>
      </w:r>
      <w:r>
        <w:rPr>
          <w:rFonts w:eastAsia="Calibri" w:cs="Times New Roman"/>
        </w:rPr>
        <w:lastRenderedPageBreak/>
        <w:t>can be difficult to retrospectively apply</w:t>
      </w:r>
      <w:r>
        <w:t>. Furthermore, ESC noted the issue that there are ‘different Gleason grades’ as different organisations use definitions that are in conflict with each other. To that end, ESC suggested that the “current’ World Health Organisation (WHO) [‘Blue Book’] classification system of the urinary and male genital tumours</w:t>
      </w:r>
      <w:r>
        <w:rPr>
          <w:rStyle w:val="FootnoteReference"/>
        </w:rPr>
        <w:footnoteReference w:id="20"/>
      </w:r>
      <w:r>
        <w:t xml:space="preserve"> could be considered as the grading system used in the item descriptors. The WHO 2022 system is current, and it is expected this will be updated every 3 to 6 years. ESC also noted that this could be an issue more broadly across existing MBS items for prostate cancer which may use outdated grading systems which may need to be reviewed (e.g. MBS item 37220 uses the Gleason score).</w:t>
      </w:r>
    </w:p>
    <w:p w14:paraId="13F601BA" w14:textId="77777777" w:rsidR="006B2C8F" w:rsidRDefault="006B2C8F" w:rsidP="006B2C8F">
      <w:r>
        <w:t>ESC noted that PASC had previously nominated RP as an additional comparator in the Ratified PICO confirmation. However, the applicant argued that RP is not a relevant comparator as the choice of treatment is either surgery or radiation therapy, and within radiation therapy, the options are EBRT alone, brachytherapy alone (i.e monotherapy), or EBRT + brachytherapy (LDR-BT or HDR-BT boost). ESC agreed that RP should be excluded as a comparator.</w:t>
      </w:r>
    </w:p>
    <w:p w14:paraId="5FACF49D" w14:textId="77777777" w:rsidR="006B2C8F" w:rsidRDefault="006B2C8F" w:rsidP="006B2C8F">
      <w:r>
        <w:t>ESC noted that no public consultation feedback was received for this resubmission. ESC noted that there is a lack of high-quality data on patient experiences and outcomes beyond survival for prostate cancer, despite it being a non-rare disease. ESC considered real world data on patient experience in this cohort would be useful to collect in future trials.</w:t>
      </w:r>
    </w:p>
    <w:p w14:paraId="09312625" w14:textId="77777777" w:rsidR="006B2C8F" w:rsidRDefault="006B2C8F" w:rsidP="006B2C8F">
      <w:r>
        <w:t>ESC noted that the resubmission identified 16 studies, but that the commentary deemed only one randomised controlled trial (RCT) – the ASCENDE-RT, included in the previous submission – and four observational studies to be relevant to the assessment, as the other studies did not include an eligible comparator. ESC noted that the pre-ESC response did not dispute these exclusions.</w:t>
      </w:r>
    </w:p>
    <w:p w14:paraId="3D911DA0" w14:textId="77777777" w:rsidR="006B2C8F" w:rsidRDefault="006B2C8F" w:rsidP="006B2C8F">
      <w:r>
        <w:t>No new evidence was reported in the resubmission for comparative safety and effectiveness of EBRT+LDR-BT boost vs. DE-EBRT.</w:t>
      </w:r>
      <w:r w:rsidRPr="007F22C8">
        <w:t xml:space="preserve"> </w:t>
      </w:r>
      <w:r>
        <w:t>ESC noted the commentary included updated results for survival outcomes from the ASCENDE-RT trial over a median follow-up of 10 years (compared with 6.5 years from the previous submission).  These longer-term results showed that EBRT+LDR-BT had superior time to treatment progression, but there was no difference in OS or time to distant metastasis.</w:t>
      </w:r>
    </w:p>
    <w:p w14:paraId="032A6835" w14:textId="77777777" w:rsidR="006B2C8F" w:rsidRDefault="006B2C8F" w:rsidP="006B2C8F">
      <w:r>
        <w:t>ESC noted that the four retrospective studies informing safety and clinical effectiveness of EBRT+LDR-BT boost vs EBRT+HDR-BT boost had a moderate to serious risk of bias, and have issues around patient selection, missing data, outcome measurements and a lack of risk stratification, making it difficult to generalise the findings to the population of interest. ESC noted that the pre-ESC response agreed, as the most recent studies available are already small in terms of patient numbers and that further risk stratification is unlikely to be able to demonstrate statistically significant differences in outcomes. ESC also noted that the pre-ESC response highlighted that the ASCENDE-RT trial will continue to be the largest trial ever performed in this patient population. The ASCENDE-RT trial remains the best available evidence in this population.</w:t>
      </w:r>
    </w:p>
    <w:p w14:paraId="0CEC6E02" w14:textId="77777777" w:rsidR="006B2C8F" w:rsidRDefault="006B2C8F" w:rsidP="006B2C8F">
      <w:pPr>
        <w:rPr>
          <w:highlight w:val="green"/>
        </w:rPr>
      </w:pPr>
      <w:r>
        <w:t>In terms of safety compared with EBRT+HDR-BT boost, ESC noted that EBRT+LDR-BT boost had a greater number of genitourinary toxicity events, but there was no difference in severe (≥) Grade 3 toxicity. Additionally, differences in toxicity between the intervention and comparator were most prominent in the short term, but resolved with long-term follow-up (see Table 10). However, ESC noted that strong conclusions could not be drawn as there was a serious risk of bias with retrospective studies, and that these studies were likely underpowered for the safety outcomes.</w:t>
      </w:r>
    </w:p>
    <w:p w14:paraId="6544F168" w14:textId="77777777" w:rsidR="006B2C8F" w:rsidRDefault="006B2C8F" w:rsidP="006B2C8F">
      <w:r>
        <w:t xml:space="preserve">In terms of clinical effectiveness compared with EBRT+HDR-BT boost, ESC noted that very low quality evidence suggested that EBRT+LDR-BT boost had superior effectiveness in terms of bPFS </w:t>
      </w:r>
      <w:r>
        <w:lastRenderedPageBreak/>
        <w:t xml:space="preserve">but no differences for other survival outcomes. In terms of functional outcomes and health-related quality of life, ESC noted that there were some differences between the intervention and comparator groups, but some of these resolved over longer term follow-up. For example, there was no difference in </w:t>
      </w:r>
      <w:r>
        <w:rPr>
          <w:rStyle w:val="Emphasis"/>
          <w:i w:val="0"/>
          <w:iCs w:val="0"/>
        </w:rPr>
        <w:t>Expanded Prostate Cancer Index Composite</w:t>
      </w:r>
      <w:r>
        <w:t xml:space="preserve"> (EPIC) score, but urinary incontinence score/urinary irritative symptoms were worse </w:t>
      </w:r>
      <w:r w:rsidRPr="00DD5787">
        <w:t xml:space="preserve">after LDR-BT boost than after HDR-BT boost for up to 18 months after treatment (p=0.002, the difference reached both statistical and clinical significance), but </w:t>
      </w:r>
      <w:r>
        <w:t xml:space="preserve">there were </w:t>
      </w:r>
      <w:r w:rsidRPr="00DD5787">
        <w:t xml:space="preserve">no meaningful differences </w:t>
      </w:r>
      <w:r>
        <w:t xml:space="preserve">over </w:t>
      </w:r>
      <w:r w:rsidRPr="00DD5787">
        <w:t>18-30 months</w:t>
      </w:r>
      <w:r>
        <w:t xml:space="preserve"> (see Table 11).</w:t>
      </w:r>
    </w:p>
    <w:p w14:paraId="20EE19D6" w14:textId="77777777" w:rsidR="006B2C8F" w:rsidRDefault="006B2C8F" w:rsidP="006B2C8F">
      <w:r>
        <w:t xml:space="preserve">ESC noted that the applicant’s claims in the resubmission is that EBRT+LDR-BT boost has superior effectiveness and inferior safety compared to DE-EBRT, and similar effectiveness and uncertain safety compared to EBRT+HDR-BT boost. ESC considered that the longer term results from the ASCENDE-RT trial continues to suggest that compared with DE-EBRT, EBRT+LDR-BT boost has inferior safety, superior effectiveness for bPFS and noninferior effectiveness for other survival endpoints </w:t>
      </w:r>
      <w:r w:rsidRPr="00DD3796">
        <w:rPr>
          <w:rFonts w:eastAsia="Calibri" w:cs="Times New Roman"/>
        </w:rPr>
        <w:t>–</w:t>
      </w:r>
      <w:r>
        <w:rPr>
          <w:rFonts w:eastAsia="Calibri" w:cs="Times New Roman"/>
        </w:rPr>
        <w:t xml:space="preserve"> </w:t>
      </w:r>
      <w:r>
        <w:t>but uncertainty remains because the trial was underpowered to assess differences in survival endpoints. Compared with EBRT+HDR-BT boost, ESC considered that, based on the limited evidence, EBRT+LDR-BT boost has likely noninferior effectiveness and noninferior safety.</w:t>
      </w:r>
    </w:p>
    <w:p w14:paraId="6961E2FB" w14:textId="77777777" w:rsidR="006B2C8F" w:rsidRDefault="006B2C8F" w:rsidP="006B2C8F">
      <w:r>
        <w:t>ESC noted that the applicant has placed importance on bPFS as an outcome measure. In the resubmission the applicant concluded that, because few trials were powered for survival in the intermediate-high risk groups or reported OS, survival outcomes in this population are impractical and rarely demonstrated. The applicant also provided a systematic review (Van den Broeck et al. 2019</w:t>
      </w:r>
      <w:r>
        <w:rPr>
          <w:rStyle w:val="FootnoteReference"/>
        </w:rPr>
        <w:footnoteReference w:id="21"/>
      </w:r>
      <w:r>
        <w:t>) showing biochemical (prostate-specific antigen, or PSA) recurrence had a strong relationship with cancer-specific survival and occurrence of distant metastases. However, the commentary noted that the relationship between biochemical recurrence and OS was less clear; OS difference was noted in subgroups, but these were a mix of patients treated with surgery and radiation therapy. ESC noted that in the pre-ESC response, the applicant stated that it is difficult to demonstrate OS benefit in early-stage prostate cancer trials given that prostate cancer is an indolent disease. ESC acknowledged this issue but considered that the arguments provided by the applicant do not override the conclusions from the ASCENDE trial: with long term follow-up, improved PSA control did not translate to any other disease endpoint improvement.</w:t>
      </w:r>
    </w:p>
    <w:p w14:paraId="6B4DB8E2" w14:textId="77777777" w:rsidR="006B2C8F" w:rsidRDefault="006B2C8F" w:rsidP="006B2C8F">
      <w:r>
        <w:t>ESC considered that because the resubmission did not include any new clinical data for EBRT+LDR-BT boost vs. DE-EBRT and that longer-term results from the ASCENDE-RT trial (included in the commentary) do not appear to change the interpretation of the clinical claim, that an updated economic analysis for this comparator was not required in the second stage of the assessment pathway (i.e. the previous economic results would apply). ESC advised that i</w:t>
      </w:r>
      <w:r w:rsidRPr="00D22AA0">
        <w:t xml:space="preserve">f this application proceeds to the second stage of the assessment pathway, </w:t>
      </w:r>
      <w:r>
        <w:t xml:space="preserve">MSAC may wish to consider whether </w:t>
      </w:r>
      <w:r w:rsidRPr="00D22AA0">
        <w:t>an updated economic evaluation</w:t>
      </w:r>
      <w:r>
        <w:t xml:space="preserve"> </w:t>
      </w:r>
      <w:r w:rsidRPr="00D22AA0">
        <w:t xml:space="preserve">should only be provided for </w:t>
      </w:r>
      <w:r>
        <w:t xml:space="preserve">EBRT+LDR-BT boost vs. </w:t>
      </w:r>
      <w:r w:rsidRPr="00D22AA0">
        <w:t>EBRT+HDR-BT</w:t>
      </w:r>
      <w:r>
        <w:t xml:space="preserve"> boost.</w:t>
      </w:r>
    </w:p>
    <w:p w14:paraId="1FBAA00D" w14:textId="77777777" w:rsidR="006B2C8F" w:rsidRDefault="006B2C8F" w:rsidP="006B2C8F">
      <w:pPr>
        <w:rPr>
          <w:rStyle w:val="Strong"/>
          <w:b w:val="0"/>
          <w:bCs w:val="0"/>
        </w:rPr>
      </w:pPr>
      <w:r>
        <w:t>ESC noted that more broadly the use of brachytherapy for prostate cancer is declining and that contemporary standard practice in radiation therapy uses external beam radiotherapy with advanced techniques such as</w:t>
      </w:r>
      <w:r w:rsidRPr="00C411A8">
        <w:t xml:space="preserve"> intensity modulated radiation therapy</w:t>
      </w:r>
      <w:r>
        <w:t xml:space="preserve"> that allows higher doses to be delivered over shorter durations (previous 8 weeks decreasing to 4 weeks) for treating localised </w:t>
      </w:r>
      <w:r w:rsidRPr="00767E0C">
        <w:t>(non-metastatic)</w:t>
      </w:r>
      <w:r>
        <w:t xml:space="preserve"> prostate cancer. Also, newer advanced techniques such as stereotactic radiotherapy for prostate cancer can deliver treatment over 5 days. Therefore, there are increasing non-brachytherapy radiotherapy options for prostate cancer patients that are non-invasive and comparatively convenient.</w:t>
      </w:r>
      <w:r w:rsidRPr="00D20923">
        <w:t xml:space="preserve"> </w:t>
      </w:r>
      <w:r>
        <w:t xml:space="preserve">ESC also noted there were no new data on the risk of </w:t>
      </w:r>
      <w:r>
        <w:lastRenderedPageBreak/>
        <w:t>development of secondary cancers in this cohort over the longer term, but that as both the intervention and comparator used radiotherapy that this risk would apply to both groups.</w:t>
      </w:r>
    </w:p>
    <w:p w14:paraId="1F936BA4" w14:textId="6246A236" w:rsidR="006B2C8F" w:rsidRDefault="006B2C8F" w:rsidP="006B2C8F">
      <w:pPr>
        <w:pStyle w:val="Heading2"/>
        <w:numPr>
          <w:ilvl w:val="0"/>
          <w:numId w:val="0"/>
        </w:numPr>
      </w:pPr>
      <w:r>
        <w:t>1</w:t>
      </w:r>
      <w:r w:rsidR="00992DD2">
        <w:t>4</w:t>
      </w:r>
      <w:r>
        <w:t>.</w:t>
      </w:r>
      <w:r>
        <w:tab/>
        <w:t>Applicant comments on MSAC’s Public Summary Document</w:t>
      </w:r>
    </w:p>
    <w:p w14:paraId="1148CFD3" w14:textId="370302D3" w:rsidR="00EE2FB5" w:rsidRPr="002E3EEE" w:rsidRDefault="00EE2FB5" w:rsidP="00EE2FB5">
      <w:pPr>
        <w:spacing w:after="240"/>
        <w:rPr>
          <w:szCs w:val="24"/>
        </w:rPr>
      </w:pPr>
      <w:r w:rsidRPr="002E3EEE">
        <w:rPr>
          <w:szCs w:val="24"/>
        </w:rPr>
        <w:t xml:space="preserve">The applicant is </w:t>
      </w:r>
      <w:r w:rsidR="00672298" w:rsidRPr="002E3EEE">
        <w:rPr>
          <w:szCs w:val="24"/>
        </w:rPr>
        <w:t xml:space="preserve">disappointed </w:t>
      </w:r>
      <w:r w:rsidRPr="002E3EEE">
        <w:rPr>
          <w:szCs w:val="24"/>
        </w:rPr>
        <w:t xml:space="preserve">by the outcome of this application that Australian men are still being </w:t>
      </w:r>
      <w:r w:rsidR="00B92671" w:rsidRPr="002E3EEE">
        <w:rPr>
          <w:szCs w:val="24"/>
        </w:rPr>
        <w:t xml:space="preserve">restricted </w:t>
      </w:r>
      <w:r w:rsidRPr="002E3EEE">
        <w:rPr>
          <w:szCs w:val="24"/>
        </w:rPr>
        <w:t xml:space="preserve">access to a medical treatment that has been </w:t>
      </w:r>
      <w:r w:rsidR="00672298" w:rsidRPr="002E3EEE">
        <w:rPr>
          <w:szCs w:val="24"/>
        </w:rPr>
        <w:t xml:space="preserve">the </w:t>
      </w:r>
      <w:r w:rsidRPr="002E3EEE">
        <w:rPr>
          <w:szCs w:val="24"/>
        </w:rPr>
        <w:t xml:space="preserve">standard of care in </w:t>
      </w:r>
      <w:r w:rsidR="00C35AE6" w:rsidRPr="002E3EEE">
        <w:rPr>
          <w:szCs w:val="24"/>
        </w:rPr>
        <w:t xml:space="preserve">most </w:t>
      </w:r>
      <w:r w:rsidRPr="002E3EEE">
        <w:rPr>
          <w:szCs w:val="24"/>
        </w:rPr>
        <w:t xml:space="preserve">major developed countries </w:t>
      </w:r>
      <w:r w:rsidR="00672298" w:rsidRPr="002E3EEE">
        <w:rPr>
          <w:szCs w:val="24"/>
        </w:rPr>
        <w:t>following the publication of the ASCENDE-RT study</w:t>
      </w:r>
      <w:r w:rsidRPr="002E3EEE">
        <w:rPr>
          <w:szCs w:val="24"/>
        </w:rPr>
        <w:t xml:space="preserve">. </w:t>
      </w:r>
      <w:r w:rsidR="00672298" w:rsidRPr="002E3EEE">
        <w:rPr>
          <w:szCs w:val="24"/>
        </w:rPr>
        <w:t>This</w:t>
      </w:r>
      <w:r w:rsidRPr="002E3EEE">
        <w:rPr>
          <w:szCs w:val="24"/>
        </w:rPr>
        <w:t xml:space="preserve"> is </w:t>
      </w:r>
      <w:r w:rsidR="00672298" w:rsidRPr="002E3EEE">
        <w:rPr>
          <w:szCs w:val="24"/>
        </w:rPr>
        <w:t>acknowledged by expert groups to be</w:t>
      </w:r>
      <w:r w:rsidRPr="002E3EEE">
        <w:rPr>
          <w:szCs w:val="24"/>
        </w:rPr>
        <w:t xml:space="preserve"> the largest and most robust clinical trial in this patient population and yet MSAC do not consider this evidence as significant and continue to downgrade </w:t>
      </w:r>
      <w:r w:rsidR="00C35AE6" w:rsidRPr="002E3EEE">
        <w:rPr>
          <w:szCs w:val="24"/>
        </w:rPr>
        <w:t>the conclusions of this research</w:t>
      </w:r>
      <w:r w:rsidRPr="002E3EEE">
        <w:rPr>
          <w:szCs w:val="24"/>
        </w:rPr>
        <w:t xml:space="preserve"> and the follow-up evidence this population continues to produce. The </w:t>
      </w:r>
      <w:r w:rsidR="00B92671" w:rsidRPr="002E3EEE">
        <w:rPr>
          <w:szCs w:val="24"/>
        </w:rPr>
        <w:t xml:space="preserve">applicant disagrees with the </w:t>
      </w:r>
      <w:r w:rsidRPr="002E3EEE">
        <w:rPr>
          <w:szCs w:val="24"/>
        </w:rPr>
        <w:t>MSAC</w:t>
      </w:r>
      <w:r w:rsidR="00B92671" w:rsidRPr="002E3EEE">
        <w:rPr>
          <w:szCs w:val="24"/>
        </w:rPr>
        <w:t>’s advice and</w:t>
      </w:r>
      <w:r w:rsidRPr="002E3EEE">
        <w:rPr>
          <w:szCs w:val="24"/>
        </w:rPr>
        <w:t xml:space="preserve"> </w:t>
      </w:r>
      <w:r w:rsidR="00E62F9D">
        <w:rPr>
          <w:szCs w:val="24"/>
        </w:rPr>
        <w:t xml:space="preserve">considers it </w:t>
      </w:r>
      <w:r w:rsidRPr="002E3EEE">
        <w:rPr>
          <w:szCs w:val="24"/>
        </w:rPr>
        <w:t>contradicts all the internationally well renowned</w:t>
      </w:r>
      <w:r w:rsidR="00C35AE6" w:rsidRPr="002E3EEE">
        <w:rPr>
          <w:szCs w:val="24"/>
        </w:rPr>
        <w:t>, professional and public bodies</w:t>
      </w:r>
      <w:r w:rsidRPr="002E3EEE">
        <w:rPr>
          <w:szCs w:val="24"/>
        </w:rPr>
        <w:t xml:space="preserve"> (including NICE, NCCN, ABS). </w:t>
      </w:r>
      <w:r w:rsidR="00B92671" w:rsidRPr="002E3EEE">
        <w:rPr>
          <w:szCs w:val="24"/>
        </w:rPr>
        <w:t>It is the applicant’s opinion that w</w:t>
      </w:r>
      <w:r w:rsidR="00C35AE6" w:rsidRPr="002E3EEE">
        <w:rPr>
          <w:szCs w:val="24"/>
        </w:rPr>
        <w:t>hile the evidence available for LDR</w:t>
      </w:r>
      <w:r w:rsidR="006B0478" w:rsidRPr="002E3EEE">
        <w:rPr>
          <w:szCs w:val="24"/>
        </w:rPr>
        <w:t xml:space="preserve"> </w:t>
      </w:r>
      <w:r w:rsidR="00C35AE6" w:rsidRPr="002E3EEE">
        <w:rPr>
          <w:szCs w:val="24"/>
        </w:rPr>
        <w:t xml:space="preserve">brachytherapy is more extensive and superior to other therapies that are included on the MBS, the applicant has been asked to supply an unrealistic and unattainable level of evidence for </w:t>
      </w:r>
      <w:r w:rsidRPr="002E3EEE">
        <w:rPr>
          <w:szCs w:val="24"/>
        </w:rPr>
        <w:t>LDR Brachytherapy</w:t>
      </w:r>
      <w:r w:rsidR="00C35AE6" w:rsidRPr="002E3EEE">
        <w:rPr>
          <w:szCs w:val="24"/>
        </w:rPr>
        <w:t xml:space="preserve"> which is not available for therapies that currently receive public funding. </w:t>
      </w:r>
      <w:r w:rsidR="00672298" w:rsidRPr="002E3EEE">
        <w:rPr>
          <w:szCs w:val="24"/>
        </w:rPr>
        <w:t xml:space="preserve"> </w:t>
      </w:r>
    </w:p>
    <w:p w14:paraId="05EDA3CE" w14:textId="70694354" w:rsidR="006B2C8F" w:rsidRDefault="006B2C8F" w:rsidP="00FE55AC">
      <w:pPr>
        <w:pStyle w:val="Heading2"/>
        <w:numPr>
          <w:ilvl w:val="0"/>
          <w:numId w:val="0"/>
        </w:numPr>
      </w:pPr>
      <w:r>
        <w:t>1</w:t>
      </w:r>
      <w:r w:rsidR="00992DD2">
        <w:t>5</w:t>
      </w:r>
      <w:r>
        <w:t>.</w:t>
      </w:r>
      <w:r>
        <w:tab/>
        <w:t>Further information on MSAC</w:t>
      </w:r>
    </w:p>
    <w:p w14:paraId="7ACC46E3" w14:textId="384B0FE2" w:rsidR="006B2C8F" w:rsidRPr="0042476F" w:rsidRDefault="006B2C8F" w:rsidP="000078D9">
      <w:r w:rsidRPr="006B2C8F">
        <w:rPr>
          <w:rStyle w:val="normaltextrun"/>
          <w:rFonts w:cs="Calibri"/>
          <w:color w:val="000000"/>
          <w:shd w:val="clear" w:color="auto" w:fill="FFFFFF"/>
        </w:rPr>
        <w:t xml:space="preserve">MSAC Terms of Reference and other information are available on the MSAC Website: </w:t>
      </w:r>
      <w:hyperlink r:id="rId19" w:history="1">
        <w:r w:rsidRPr="006B2C8F">
          <w:rPr>
            <w:rStyle w:val="Hyperlink"/>
            <w:rFonts w:cs="Calibri"/>
            <w:shd w:val="clear" w:color="auto" w:fill="FFFFFF"/>
          </w:rPr>
          <w:t>visit the MSAC website</w:t>
        </w:r>
      </w:hyperlink>
      <w:r w:rsidRPr="006B2C8F">
        <w:rPr>
          <w:rStyle w:val="normaltextrun"/>
          <w:rFonts w:cs="Calibri"/>
          <w:color w:val="000000"/>
          <w:shd w:val="clear" w:color="auto" w:fill="FFFFFF"/>
        </w:rPr>
        <w:t>.</w:t>
      </w:r>
    </w:p>
    <w:sectPr w:rsidR="006B2C8F" w:rsidRPr="0042476F" w:rsidSect="00930984">
      <w:headerReference w:type="even" r:id="rId20"/>
      <w:headerReference w:type="default" r:id="rId21"/>
      <w:footerReference w:type="even" r:id="rId22"/>
      <w:footerReference w:type="default" r:id="rId23"/>
      <w:headerReference w:type="first" r:id="rId24"/>
      <w:footerReference w:type="first" r:id="rId25"/>
      <w:type w:val="oddPage"/>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74DB" w14:textId="77777777" w:rsidR="00793B7F" w:rsidRDefault="00793B7F" w:rsidP="00B62DF2">
      <w:pPr>
        <w:spacing w:after="0" w:line="240" w:lineRule="auto"/>
      </w:pPr>
      <w:r>
        <w:separator/>
      </w:r>
    </w:p>
  </w:endnote>
  <w:endnote w:type="continuationSeparator" w:id="0">
    <w:p w14:paraId="4B639838" w14:textId="77777777" w:rsidR="00793B7F" w:rsidRDefault="00793B7F" w:rsidP="00B62DF2">
      <w:pPr>
        <w:spacing w:after="0" w:line="240" w:lineRule="auto"/>
      </w:pPr>
      <w:r>
        <w:continuationSeparator/>
      </w:r>
    </w:p>
  </w:endnote>
  <w:endnote w:type="continuationNotice" w:id="1">
    <w:p w14:paraId="38A083CD" w14:textId="77777777" w:rsidR="00793B7F" w:rsidRDefault="00793B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499" w14:textId="00BC089B" w:rsidR="009D3F31" w:rsidRDefault="009D3F31">
    <w:pPr>
      <w:pStyle w:val="Footer"/>
    </w:pPr>
    <w:r w:rsidRPr="0058705C">
      <w:fldChar w:fldCharType="begin"/>
    </w:r>
    <w:r w:rsidRPr="0058705C">
      <w:instrText xml:space="preserve"> PAGE   \* MERGEFORMAT </w:instrText>
    </w:r>
    <w:r w:rsidRPr="0058705C">
      <w:fldChar w:fldCharType="separate"/>
    </w:r>
    <w:r w:rsidRPr="0058705C">
      <w:rPr>
        <w:noProof/>
      </w:rPr>
      <w:t>22</w:t>
    </w:r>
    <w:r w:rsidRPr="0058705C">
      <w:rPr>
        <w:noProof/>
      </w:rPr>
      <w:fldChar w:fldCharType="end"/>
    </w:r>
    <w:r w:rsidRPr="0058705C">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119252"/>
      <w:docPartObj>
        <w:docPartGallery w:val="Page Numbers (Bottom of Page)"/>
        <w:docPartUnique/>
      </w:docPartObj>
    </w:sdtPr>
    <w:sdtEndPr>
      <w:rPr>
        <w:noProof/>
      </w:rPr>
    </w:sdtEndPr>
    <w:sdtContent>
      <w:p w14:paraId="6BE9385A" w14:textId="1B6A585C" w:rsidR="009D3F31" w:rsidRDefault="00AB0ECB" w:rsidP="002916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586E" w14:textId="77777777" w:rsidR="00107463" w:rsidRDefault="00107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C08BE" w14:textId="77777777" w:rsidR="00793B7F" w:rsidRDefault="00793B7F" w:rsidP="00B62DF2">
      <w:pPr>
        <w:spacing w:after="0" w:line="240" w:lineRule="auto"/>
      </w:pPr>
      <w:r>
        <w:separator/>
      </w:r>
    </w:p>
  </w:footnote>
  <w:footnote w:type="continuationSeparator" w:id="0">
    <w:p w14:paraId="5316ED27" w14:textId="77777777" w:rsidR="00793B7F" w:rsidRDefault="00793B7F" w:rsidP="00B62DF2">
      <w:pPr>
        <w:spacing w:after="0" w:line="240" w:lineRule="auto"/>
      </w:pPr>
      <w:r>
        <w:continuationSeparator/>
      </w:r>
    </w:p>
  </w:footnote>
  <w:footnote w:type="continuationNotice" w:id="1">
    <w:p w14:paraId="33796632" w14:textId="77777777" w:rsidR="00793B7F" w:rsidRDefault="00793B7F">
      <w:pPr>
        <w:spacing w:before="0" w:after="0" w:line="240" w:lineRule="auto"/>
      </w:pPr>
    </w:p>
  </w:footnote>
  <w:footnote w:id="2">
    <w:p w14:paraId="4E8FA0C4" w14:textId="77777777" w:rsidR="009D3F31" w:rsidRDefault="009D3F31" w:rsidP="00840D8B">
      <w:pPr>
        <w:pStyle w:val="FootnoteText"/>
      </w:pPr>
      <w:r>
        <w:rPr>
          <w:rStyle w:val="FootnoteReference"/>
        </w:rPr>
        <w:footnoteRef/>
      </w:r>
      <w:r>
        <w:t xml:space="preserve"> </w:t>
      </w:r>
      <w:r w:rsidRPr="00AD2DA3">
        <w:rPr>
          <w:lang w:val="es-ES"/>
        </w:rPr>
        <w:t xml:space="preserve">Van den Broeck T et al. </w:t>
      </w:r>
      <w:r>
        <w:t xml:space="preserve">(2019). </w:t>
      </w:r>
      <w:hyperlink r:id="rId1" w:history="1">
        <w:r>
          <w:rPr>
            <w:rStyle w:val="Hyperlink"/>
          </w:rPr>
          <w:t>Prognostic value of biochemical recurrence following treatment with curative intent for prostate cancer: a systematic review</w:t>
        </w:r>
      </w:hyperlink>
      <w:r>
        <w:t xml:space="preserve">. </w:t>
      </w:r>
      <w:r>
        <w:rPr>
          <w:i/>
          <w:iCs/>
        </w:rPr>
        <w:t>European Urology</w:t>
      </w:r>
      <w:r>
        <w:t xml:space="preserve"> 75(6):967-987.</w:t>
      </w:r>
    </w:p>
  </w:footnote>
  <w:footnote w:id="3">
    <w:p w14:paraId="771757EA" w14:textId="77777777" w:rsidR="009D3F31" w:rsidRPr="00450CBB" w:rsidRDefault="009D3F31" w:rsidP="00840D8B">
      <w:pPr>
        <w:pStyle w:val="FootnoteText"/>
      </w:pPr>
      <w:r>
        <w:rPr>
          <w:rStyle w:val="FootnoteReference"/>
        </w:rPr>
        <w:footnoteRef/>
      </w:r>
      <w:r>
        <w:t xml:space="preserve"> Xie et al. (2020). </w:t>
      </w:r>
      <w:hyperlink r:id="rId2" w:history="1">
        <w:r w:rsidRPr="00450CBB">
          <w:rPr>
            <w:rStyle w:val="Hyperlink"/>
          </w:rPr>
          <w:t>Event-free survival, a prostate-specific antigen-based composite end point, is not a surrogate for overall survival in men with localized prostate cancer treated with radiation</w:t>
        </w:r>
      </w:hyperlink>
      <w:r>
        <w:t xml:space="preserve">. </w:t>
      </w:r>
      <w:r>
        <w:rPr>
          <w:i/>
          <w:iCs/>
        </w:rPr>
        <w:t>J Clin Oncol</w:t>
      </w:r>
      <w:r>
        <w:t xml:space="preserve"> 38(26):3032-3041.</w:t>
      </w:r>
    </w:p>
  </w:footnote>
  <w:footnote w:id="4">
    <w:p w14:paraId="5AE5FB8F" w14:textId="26AB17AB" w:rsidR="009D3F31" w:rsidRDefault="009D3F31">
      <w:pPr>
        <w:pStyle w:val="FootnoteText"/>
      </w:pPr>
      <w:r>
        <w:rPr>
          <w:rStyle w:val="FootnoteReference"/>
        </w:rPr>
        <w:footnoteRef/>
      </w:r>
      <w:r>
        <w:t xml:space="preserve"> </w:t>
      </w:r>
      <w:bookmarkStart w:id="5" w:name="_Hlk120711911"/>
      <w:r>
        <w:t xml:space="preserve">Medical Services Advisory Committee (2019). Public Summary Document, application no. 1525 – Low dose-rate (LDR) brachytherapy for intermediate and high-risk prostate cancer. </w:t>
      </w:r>
      <w:r w:rsidRPr="00DB4DB1">
        <w:rPr>
          <w:bCs/>
        </w:rPr>
        <w:t>Commonwealth of Australia, Canberra, ACT.</w:t>
      </w:r>
      <w:r>
        <w:rPr>
          <w:bCs/>
        </w:rPr>
        <w:t xml:space="preserve"> Available at: </w:t>
      </w:r>
      <w:hyperlink r:id="rId3" w:history="1">
        <w:r w:rsidRPr="0047762B">
          <w:rPr>
            <w:rStyle w:val="Hyperlink"/>
            <w:bCs/>
          </w:rPr>
          <w:t>http://www.msac.gov.au/internet/msac/publishing.nsf/Content/03EA3F4282C75C49CA25821E001C2D23/$File/1525%20-%20Final%20PSD.pdf</w:t>
        </w:r>
      </w:hyperlink>
    </w:p>
    <w:bookmarkEnd w:id="5"/>
  </w:footnote>
  <w:footnote w:id="5">
    <w:p w14:paraId="14468B04" w14:textId="4C070C62" w:rsidR="009D3F31" w:rsidRPr="006A46A2" w:rsidRDefault="009D3F31">
      <w:pPr>
        <w:pStyle w:val="FootnoteText"/>
        <w:rPr>
          <w:lang w:val="en-US"/>
        </w:rPr>
      </w:pPr>
      <w:r>
        <w:rPr>
          <w:rStyle w:val="FootnoteReference"/>
        </w:rPr>
        <w:footnoteRef/>
      </w:r>
      <w:r>
        <w:t xml:space="preserve"> </w:t>
      </w:r>
      <w:r w:rsidRPr="00334205">
        <w:t>Van den Broeck, T., et al., Prognostic Value of Biochemical Recurrence Following Treatment with Curative Intent for Prostate Cancer: A Systematic Review. Eur Urol, 2019. 75(6): p. 967-987.</w:t>
      </w:r>
    </w:p>
  </w:footnote>
  <w:footnote w:id="6">
    <w:p w14:paraId="43615278" w14:textId="5CAB0BB9" w:rsidR="009D3F31" w:rsidRPr="006A46A2" w:rsidRDefault="009D3F31">
      <w:pPr>
        <w:pStyle w:val="FootnoteText"/>
        <w:rPr>
          <w:lang w:val="en-US"/>
        </w:rPr>
      </w:pPr>
      <w:r>
        <w:rPr>
          <w:rStyle w:val="FootnoteReference"/>
        </w:rPr>
        <w:footnoteRef/>
      </w:r>
      <w:r>
        <w:t xml:space="preserve"> National Comprehensive Cancer Network (2022). Clinical Practice Guidelines in Oncology Prostate Cancer Version 1.2023 — September 16, 2022. Available at: </w:t>
      </w:r>
      <w:hyperlink r:id="rId4" w:history="1">
        <w:r w:rsidRPr="0047762B">
          <w:rPr>
            <w:rStyle w:val="Hyperlink"/>
          </w:rPr>
          <w:t>https://www.nccn.org/professionals/physician_gls/pdf/prostate.pdf</w:t>
        </w:r>
      </w:hyperlink>
    </w:p>
  </w:footnote>
  <w:footnote w:id="7">
    <w:p w14:paraId="65B6A57A" w14:textId="60406D57" w:rsidR="009D3F31" w:rsidRPr="006A46A2" w:rsidRDefault="009D3F31">
      <w:pPr>
        <w:pStyle w:val="FootnoteText"/>
        <w:rPr>
          <w:lang w:val="en-US"/>
        </w:rPr>
      </w:pPr>
      <w:r>
        <w:rPr>
          <w:rStyle w:val="FootnoteReference"/>
        </w:rPr>
        <w:footnoteRef/>
      </w:r>
      <w:r>
        <w:t xml:space="preserve"> </w:t>
      </w:r>
      <w:r w:rsidRPr="00BA0692">
        <w:t xml:space="preserve">Johnson, S.B., et al., </w:t>
      </w:r>
      <w:r w:rsidRPr="00BA0692">
        <w:rPr>
          <w:i/>
        </w:rPr>
        <w:t>Brachytherapy Boost Utilization and Survival in Unfavorable-risk Prostate Cancer.</w:t>
      </w:r>
      <w:r w:rsidRPr="00BA0692">
        <w:t xml:space="preserve"> Eur Urol, 2017. </w:t>
      </w:r>
      <w:r w:rsidRPr="00BA0692">
        <w:rPr>
          <w:b/>
        </w:rPr>
        <w:t>72</w:t>
      </w:r>
      <w:r w:rsidRPr="00BA0692">
        <w:t>(5): p. 738-744.</w:t>
      </w:r>
    </w:p>
  </w:footnote>
  <w:footnote w:id="8">
    <w:p w14:paraId="1CE5F4B1" w14:textId="77777777" w:rsidR="009D3F31" w:rsidRPr="00F861CE" w:rsidRDefault="009D3F31" w:rsidP="002203AF">
      <w:pPr>
        <w:pStyle w:val="FootnoteText"/>
      </w:pPr>
      <w:r>
        <w:rPr>
          <w:rStyle w:val="FootnoteReference"/>
        </w:rPr>
        <w:footnoteRef/>
      </w:r>
      <w:r>
        <w:t xml:space="preserve"> Expert opinion from Dr David Malouf MBBS FRACS (UROL). Past President of the USANZ and past chair of Australian and New Zealand Association of Urological Surgeons. Currently Chair of the Awareness and Education Committee of Prostate Cancer Foundation of Australia</w:t>
      </w:r>
    </w:p>
  </w:footnote>
  <w:footnote w:id="9">
    <w:p w14:paraId="7D0B69CE" w14:textId="15528613" w:rsidR="009D3F31" w:rsidRPr="006A46A2" w:rsidRDefault="009D3F31">
      <w:pPr>
        <w:pStyle w:val="FootnoteText"/>
        <w:rPr>
          <w:lang w:val="en-US"/>
        </w:rPr>
      </w:pPr>
      <w:r>
        <w:rPr>
          <w:rStyle w:val="FootnoteReference"/>
        </w:rPr>
        <w:footnoteRef/>
      </w:r>
      <w:r>
        <w:t xml:space="preserve"> </w:t>
      </w:r>
      <w:r w:rsidRPr="003430A9">
        <w:t>Tanaka, N., et al., Genitourinary toxicity after permanent iodine-125 seed implantation: The nationwide Japanese prostate cancer outcome study of permanent iodine-125 seed implantation (J-POPS). Brachytherapy, 2019. 18(4): p. 484-492.</w:t>
      </w:r>
    </w:p>
  </w:footnote>
  <w:footnote w:id="10">
    <w:p w14:paraId="26ED984C" w14:textId="113D08AA" w:rsidR="009D3F31" w:rsidRPr="006A46A2" w:rsidRDefault="009D3F31">
      <w:pPr>
        <w:pStyle w:val="FootnoteText"/>
        <w:rPr>
          <w:lang w:val="en-US"/>
        </w:rPr>
      </w:pPr>
      <w:r>
        <w:rPr>
          <w:rStyle w:val="FootnoteReference"/>
        </w:rPr>
        <w:footnoteRef/>
      </w:r>
      <w:r>
        <w:t xml:space="preserve"> </w:t>
      </w:r>
      <w:r w:rsidRPr="003430A9">
        <w:t>Yamazaki, H., et al., High-dose-rate brachytherapy monotherapy versus low-dose-rate brachytherapy with or without external beam radiotherapy for clinically localized prostate cancer. Radiotherapy and Oncology, 2019. 132: p. 162-170.</w:t>
      </w:r>
    </w:p>
  </w:footnote>
  <w:footnote w:id="11">
    <w:p w14:paraId="1412A4FE" w14:textId="722C62C6" w:rsidR="009D3F31" w:rsidRDefault="009D3F31">
      <w:pPr>
        <w:pStyle w:val="FootnoteText"/>
      </w:pPr>
      <w:r>
        <w:rPr>
          <w:rStyle w:val="FootnoteReference"/>
        </w:rPr>
        <w:footnoteRef/>
      </w:r>
      <w:r>
        <w:t xml:space="preserve"> </w:t>
      </w:r>
      <w:r w:rsidRPr="005728AA">
        <w:t xml:space="preserve">Morris, W. J., Tyldesley, S., Rodda, S., Halperin, R., Pai, H., McKenzie, M., . . . Murray, N. (2017). Androgen Suppression Combined with Elective Nodal and Dose Escalated Radiation Therapy (the ASCENDE-RT Trial): An Analysis of Survival Endpoints for a Randomized Trial Comparing a Low-Dose-Rate Brachytherapy Boost to a Dose-Escalated External Beam Boost for High- and Intermediate-risk Prostate Cancer. </w:t>
      </w:r>
      <w:r w:rsidRPr="005728AA">
        <w:rPr>
          <w:i/>
        </w:rPr>
        <w:t>Int J Radiat Oncol Biol Phys, 98</w:t>
      </w:r>
      <w:r w:rsidRPr="005728AA">
        <w:t>(2), 275-285.</w:t>
      </w:r>
    </w:p>
  </w:footnote>
  <w:footnote w:id="12">
    <w:p w14:paraId="10A10543" w14:textId="3F12F7A8" w:rsidR="009D3F31" w:rsidRDefault="009D3F31">
      <w:pPr>
        <w:pStyle w:val="FootnoteText"/>
      </w:pPr>
      <w:r>
        <w:rPr>
          <w:rStyle w:val="FootnoteReference"/>
        </w:rPr>
        <w:footnoteRef/>
      </w:r>
      <w:r>
        <w:t xml:space="preserve"> </w:t>
      </w:r>
      <w:r w:rsidRPr="005728AA">
        <w:t>Rodda, S., Tyldesley, S., Morris, W. J., Keyes, M., Halperin, R., Pai, H., . . . Murray, N. (2017</w:t>
      </w:r>
      <w:r>
        <w:t>a</w:t>
      </w:r>
      <w:r w:rsidRPr="005728AA">
        <w:t xml:space="preserve">). ASCENDE-RT: An Analysis of Treatment-Related Morbidity for a Randomized Trial Comparing a Low-Dose-Rate Brachytherapy Boost with a Dose-Escalated External Beam Boost for High- and Intermediate-Risk Prostate Cancer. </w:t>
      </w:r>
      <w:r w:rsidRPr="005728AA">
        <w:rPr>
          <w:i/>
        </w:rPr>
        <w:t>Int J Radiat Oncol Biol Phys, 98</w:t>
      </w:r>
      <w:r w:rsidRPr="005728AA">
        <w:t>(2), 286-295.</w:t>
      </w:r>
    </w:p>
  </w:footnote>
  <w:footnote w:id="13">
    <w:p w14:paraId="0863C8CA" w14:textId="704E6F7F" w:rsidR="009D3F31" w:rsidRDefault="009D3F31">
      <w:pPr>
        <w:pStyle w:val="FootnoteText"/>
      </w:pPr>
      <w:r>
        <w:rPr>
          <w:rStyle w:val="FootnoteReference"/>
        </w:rPr>
        <w:footnoteRef/>
      </w:r>
      <w:r>
        <w:t xml:space="preserve"> </w:t>
      </w:r>
      <w:r w:rsidRPr="005728AA">
        <w:t>Rodda, S., Morris, W. J., Hamm, J., &amp; Duncan, G. (2017</w:t>
      </w:r>
      <w:r>
        <w:t>b</w:t>
      </w:r>
      <w:r w:rsidRPr="005728AA">
        <w:t xml:space="preserve">). ASCENDE-RT: An Analysis of Health-Related Quality of Life for a Randomized Trial Comparing Low-Dose-Rate Brachytherapy Boost With Dose-Escalated External Beam Boost for High- and Intermediate-Risk Prostate Cancer. </w:t>
      </w:r>
      <w:r w:rsidRPr="005728AA">
        <w:rPr>
          <w:i/>
        </w:rPr>
        <w:t>Int J Radiat Oncol Biol Phys, 98</w:t>
      </w:r>
      <w:r w:rsidRPr="005728AA">
        <w:t>(3), 581-589.</w:t>
      </w:r>
    </w:p>
  </w:footnote>
  <w:footnote w:id="14">
    <w:p w14:paraId="1EFD7227" w14:textId="287B27D9" w:rsidR="009D3F31" w:rsidRPr="00256558" w:rsidRDefault="009D3F31">
      <w:pPr>
        <w:pStyle w:val="FootnoteText"/>
        <w:rPr>
          <w:lang w:val="en-US"/>
        </w:rPr>
      </w:pPr>
      <w:r>
        <w:rPr>
          <w:rStyle w:val="FootnoteReference"/>
        </w:rPr>
        <w:footnoteRef/>
      </w:r>
      <w:r>
        <w:t xml:space="preserve"> </w:t>
      </w:r>
      <w:r w:rsidRPr="00256558">
        <w:t xml:space="preserve">Morris, W.J., Pickles, </w:t>
      </w:r>
      <w:r>
        <w:t>T. &amp;</w:t>
      </w:r>
      <w:r w:rsidRPr="00256558">
        <w:t xml:space="preserve"> Keyes</w:t>
      </w:r>
      <w:r>
        <w:t>, M. (2018).</w:t>
      </w:r>
      <w:r w:rsidRPr="00256558">
        <w:t xml:space="preserve"> </w:t>
      </w:r>
      <w:r w:rsidRPr="00256558">
        <w:rPr>
          <w:iCs/>
        </w:rPr>
        <w:t>Using a surgical prostate-specific antigen threshold of &gt;0.2 ng/mL to define biochemical failure for intermediate- and high-risk prostate cancer patients treated with definitive radiation therapy in the ASCENDE-RT randomized control trial.</w:t>
      </w:r>
      <w:r w:rsidRPr="00256558">
        <w:t xml:space="preserve"> </w:t>
      </w:r>
      <w:r w:rsidRPr="00256558">
        <w:rPr>
          <w:i/>
          <w:iCs/>
        </w:rPr>
        <w:t xml:space="preserve">Brachytherapy, </w:t>
      </w:r>
      <w:r w:rsidRPr="00256558">
        <w:rPr>
          <w:bCs/>
          <w:i/>
          <w:iCs/>
        </w:rPr>
        <w:t>17</w:t>
      </w:r>
      <w:r w:rsidRPr="00256558">
        <w:t>(6)</w:t>
      </w:r>
      <w:r>
        <w:t>,</w:t>
      </w:r>
      <w:r w:rsidRPr="00256558">
        <w:t xml:space="preserve"> 837‐844</w:t>
      </w:r>
      <w:r>
        <w:t>.</w:t>
      </w:r>
    </w:p>
  </w:footnote>
  <w:footnote w:id="15">
    <w:p w14:paraId="55789784" w14:textId="77C7D01C" w:rsidR="009D3F31" w:rsidRDefault="009D3F31">
      <w:pPr>
        <w:pStyle w:val="FootnoteText"/>
      </w:pPr>
      <w:r>
        <w:rPr>
          <w:rStyle w:val="FootnoteReference"/>
        </w:rPr>
        <w:footnoteRef/>
      </w:r>
      <w:r>
        <w:t xml:space="preserve"> </w:t>
      </w:r>
      <w:r w:rsidRPr="005728AA">
        <w:t xml:space="preserve">Dhere, V. R., Fischer-Valuck, B. W., Goyal, S., Liu, Y., Morgan, T. M., Ghavidel, E., . . . Patel, S. A. (2021). Patient-reported outcomes after Low-dose-rate versus High-dose-rate brachytherapy boost in combination with external beam radiation for intermediate and high risk prostate cancer. </w:t>
      </w:r>
      <w:r w:rsidRPr="005728AA">
        <w:rPr>
          <w:i/>
        </w:rPr>
        <w:t>Brachytherapy, 20</w:t>
      </w:r>
      <w:r w:rsidRPr="005728AA">
        <w:t>(6), 1130-1138.</w:t>
      </w:r>
    </w:p>
  </w:footnote>
  <w:footnote w:id="16">
    <w:p w14:paraId="4D431E1C" w14:textId="3F2743F7" w:rsidR="009D3F31" w:rsidRDefault="009D3F31">
      <w:pPr>
        <w:pStyle w:val="FootnoteText"/>
      </w:pPr>
      <w:r>
        <w:rPr>
          <w:rStyle w:val="FootnoteReference"/>
        </w:rPr>
        <w:footnoteRef/>
      </w:r>
      <w:r>
        <w:t xml:space="preserve"> </w:t>
      </w:r>
      <w:r w:rsidRPr="005728AA">
        <w:t xml:space="preserve">King, M. T., Yang, D. D., Muralidhar, V., Mahal, B., Butler, S., Devlin, P. M., . . . Orio, P. F., 3rd. (2019). A comparative analysis of overall survival between high-dose-rate and low-dose-rate brachytherapy boosts for unfavorable-risk prostate cancer. </w:t>
      </w:r>
      <w:r w:rsidRPr="005728AA">
        <w:rPr>
          <w:i/>
        </w:rPr>
        <w:t>Brachytherapy, 18</w:t>
      </w:r>
      <w:r w:rsidRPr="005728AA">
        <w:t>(2), 186-191.</w:t>
      </w:r>
    </w:p>
  </w:footnote>
  <w:footnote w:id="17">
    <w:p w14:paraId="2F366FB0" w14:textId="4E1D131B" w:rsidR="009D3F31" w:rsidRDefault="009D3F31">
      <w:pPr>
        <w:pStyle w:val="FootnoteText"/>
      </w:pPr>
      <w:r>
        <w:rPr>
          <w:rStyle w:val="FootnoteReference"/>
        </w:rPr>
        <w:footnoteRef/>
      </w:r>
      <w:r>
        <w:t xml:space="preserve"> </w:t>
      </w:r>
      <w:r w:rsidRPr="005728AA">
        <w:t xml:space="preserve">Parry, M. G., Nossiter, J., Sujenthiran, A., Cowling, T. E., Patel, R. N., Morris, M., . . . Aggarwal, A. (2021). Impact of High-Dose-Rate and Low-Dose-Rate Brachytherapy Boost on Toxicity, Functional and Cancer Outcomes in Patients Receiving External Beam Radiation Therapy for Prostate Cancer: A National Population-Based Study. </w:t>
      </w:r>
      <w:r w:rsidRPr="005728AA">
        <w:rPr>
          <w:i/>
        </w:rPr>
        <w:t>Int J Radiat Oncol Biol Phys, 109</w:t>
      </w:r>
      <w:r w:rsidRPr="005728AA">
        <w:t>(5), 1219-1229.</w:t>
      </w:r>
    </w:p>
  </w:footnote>
  <w:footnote w:id="18">
    <w:p w14:paraId="66ADB5E2" w14:textId="6A69D640" w:rsidR="009D3F31" w:rsidRDefault="009D3F31">
      <w:pPr>
        <w:pStyle w:val="FootnoteText"/>
      </w:pPr>
      <w:r>
        <w:rPr>
          <w:rStyle w:val="FootnoteReference"/>
        </w:rPr>
        <w:footnoteRef/>
      </w:r>
      <w:r>
        <w:t xml:space="preserve"> </w:t>
      </w:r>
      <w:r w:rsidRPr="005728AA">
        <w:t xml:space="preserve">Slevin, F., Rodda, S. L., Bownes, P., Murray, L., Bottomley, D., Wilkinson, C., . . . Henry, A. M. (2020). A comparison of outcomes for patients with intermediate and high risk prostate cancer treated with low dose rate and high dose rate brachytherapy in combination with external beam radiotherapy. </w:t>
      </w:r>
      <w:r w:rsidRPr="005728AA">
        <w:rPr>
          <w:i/>
        </w:rPr>
        <w:t>Clin Transl Radiat Oncol, 20</w:t>
      </w:r>
      <w:r w:rsidRPr="005728AA">
        <w:t>, 1-8.</w:t>
      </w:r>
    </w:p>
  </w:footnote>
  <w:footnote w:id="19">
    <w:p w14:paraId="506180B1" w14:textId="695CEC86" w:rsidR="009D3F31" w:rsidRPr="0042476F" w:rsidRDefault="009D3F31" w:rsidP="0042476F">
      <w:pPr>
        <w:pStyle w:val="pf0"/>
        <w:rPr>
          <w:rFonts w:ascii="Arial" w:hAnsi="Arial" w:cs="Arial"/>
          <w:sz w:val="14"/>
          <w:szCs w:val="18"/>
        </w:rPr>
      </w:pPr>
      <w:r w:rsidRPr="0042476F">
        <w:rPr>
          <w:rStyle w:val="FootnoteReference"/>
          <w:rFonts w:asciiTheme="minorHAnsi" w:eastAsiaTheme="minorHAnsi" w:hAnsiTheme="minorHAnsi" w:cstheme="minorBidi"/>
          <w:sz w:val="18"/>
          <w:szCs w:val="20"/>
          <w:lang w:eastAsia="en-US"/>
        </w:rPr>
        <w:footnoteRef/>
      </w:r>
      <w:r>
        <w:t xml:space="preserve"> </w:t>
      </w:r>
      <w:r w:rsidRPr="0042476F">
        <w:rPr>
          <w:rFonts w:asciiTheme="minorHAnsi" w:eastAsiaTheme="minorHAnsi" w:hAnsiTheme="minorHAnsi" w:cstheme="minorBidi"/>
          <w:sz w:val="18"/>
          <w:szCs w:val="14"/>
          <w:lang w:eastAsia="en-US"/>
        </w:rPr>
        <w:t>Oh J, et al,.(2022). An Updated Analysis of the Survival Endpoints of ASCENDE-RT. Int J Radiat Oncol Biol Phys. 2022 Dec 15:S0360-3016(22)03518-0. doi: 10.1016/j.ijrobp.2022.11.005. Epub ahead of print. PMID: 36528488</w:t>
      </w:r>
    </w:p>
  </w:footnote>
  <w:footnote w:id="20">
    <w:p w14:paraId="559AE691" w14:textId="77777777" w:rsidR="009D3F31" w:rsidRPr="00AD2DA3" w:rsidRDefault="009D3F31" w:rsidP="006B2C8F">
      <w:pPr>
        <w:pStyle w:val="FootnoteText"/>
        <w:rPr>
          <w:lang w:val="es-ES"/>
        </w:rPr>
      </w:pPr>
      <w:r>
        <w:rPr>
          <w:rStyle w:val="FootnoteReference"/>
        </w:rPr>
        <w:footnoteRef/>
      </w:r>
      <w:r>
        <w:t xml:space="preserve"> </w:t>
      </w:r>
      <w:r w:rsidRPr="00734C5D">
        <w:t>Nett</w:t>
      </w:r>
      <w:r>
        <w:t>o et al</w:t>
      </w:r>
      <w:r w:rsidRPr="00734C5D">
        <w:t xml:space="preserve">. The 2022 World Health Organization Classification of Tumors of the Urinary System and Male Genital Organs-Part B: Prostate and Urinary Tract Tumors. </w:t>
      </w:r>
      <w:r w:rsidRPr="00AD2DA3">
        <w:rPr>
          <w:lang w:val="es-ES"/>
        </w:rPr>
        <w:t>Eur Urol. 2022 Nov;82(5):469-482. doi: 10.1016/j.eururo.2022.07.002.</w:t>
      </w:r>
    </w:p>
  </w:footnote>
  <w:footnote w:id="21">
    <w:p w14:paraId="328C2C55" w14:textId="77777777" w:rsidR="009D3F31" w:rsidRDefault="009D3F31" w:rsidP="006B2C8F">
      <w:pPr>
        <w:pStyle w:val="FootnoteText"/>
      </w:pPr>
      <w:r>
        <w:rPr>
          <w:rStyle w:val="FootnoteReference"/>
        </w:rPr>
        <w:footnoteRef/>
      </w:r>
      <w:r w:rsidRPr="00AD2DA3">
        <w:rPr>
          <w:lang w:val="es-ES"/>
        </w:rPr>
        <w:t xml:space="preserve"> Van den Broeck T et al. </w:t>
      </w:r>
      <w:r>
        <w:t xml:space="preserve">(2019). </w:t>
      </w:r>
      <w:hyperlink r:id="rId5" w:history="1">
        <w:r>
          <w:rPr>
            <w:rStyle w:val="Hyperlink"/>
          </w:rPr>
          <w:t>Prognostic value of biochemical recurrence following treatment with curative intent for prostate cancer: a systematic review</w:t>
        </w:r>
      </w:hyperlink>
      <w:r>
        <w:t xml:space="preserve">. </w:t>
      </w:r>
      <w:r>
        <w:rPr>
          <w:i/>
          <w:iCs/>
        </w:rPr>
        <w:t>European Urology</w:t>
      </w:r>
      <w:r>
        <w:t xml:space="preserve"> 75(6):967-987.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2111" w14:textId="77777777" w:rsidR="00107463" w:rsidRDefault="00107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C01BC" w14:textId="77777777" w:rsidR="00107463" w:rsidRDefault="00107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3B4A" w14:textId="77777777" w:rsidR="00107463" w:rsidRDefault="00107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1233"/>
    <w:multiLevelType w:val="hybridMultilevel"/>
    <w:tmpl w:val="35E62E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187EFB"/>
    <w:multiLevelType w:val="hybridMultilevel"/>
    <w:tmpl w:val="8AC63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A6DF5"/>
    <w:multiLevelType w:val="hybridMultilevel"/>
    <w:tmpl w:val="5B08D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896817"/>
    <w:multiLevelType w:val="hybridMultilevel"/>
    <w:tmpl w:val="01486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4A463B"/>
    <w:multiLevelType w:val="hybridMultilevel"/>
    <w:tmpl w:val="04187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7F55CE"/>
    <w:multiLevelType w:val="hybridMultilevel"/>
    <w:tmpl w:val="15687C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13B18ED"/>
    <w:multiLevelType w:val="hybridMultilevel"/>
    <w:tmpl w:val="E96EB2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220014FB"/>
    <w:multiLevelType w:val="hybridMultilevel"/>
    <w:tmpl w:val="448E7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0A07EC"/>
    <w:multiLevelType w:val="singleLevel"/>
    <w:tmpl w:val="FC24B238"/>
    <w:lvl w:ilvl="0">
      <w:start w:val="1"/>
      <w:numFmt w:val="decimal"/>
      <w:pStyle w:val="ESNumberedSectionHeading"/>
      <w:lvlText w:val="A.%1"/>
      <w:lvlJc w:val="left"/>
      <w:pPr>
        <w:ind w:left="644" w:hanging="360"/>
      </w:pPr>
      <w:rPr>
        <w:rFonts w:ascii="Calibri" w:hAnsi="Calibri" w:hint="default"/>
        <w:b/>
        <w:i w:val="0"/>
        <w:color w:val="auto"/>
        <w:sz w:val="24"/>
      </w:rPr>
    </w:lvl>
  </w:abstractNum>
  <w:abstractNum w:abstractNumId="11"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2" w15:restartNumberingAfterBreak="0">
    <w:nsid w:val="259F7C9B"/>
    <w:multiLevelType w:val="hybridMultilevel"/>
    <w:tmpl w:val="23501A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110009"/>
    <w:multiLevelType w:val="hybridMultilevel"/>
    <w:tmpl w:val="A86CAE58"/>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FAE5EDA"/>
    <w:multiLevelType w:val="hybridMultilevel"/>
    <w:tmpl w:val="319CA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4F368B"/>
    <w:multiLevelType w:val="hybridMultilevel"/>
    <w:tmpl w:val="7F36D186"/>
    <w:lvl w:ilvl="0" w:tplc="A86E38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7095746"/>
    <w:multiLevelType w:val="hybridMultilevel"/>
    <w:tmpl w:val="7B005690"/>
    <w:lvl w:ilvl="0" w:tplc="28407CFC">
      <w:start w:val="1"/>
      <w:numFmt w:val="bullet"/>
      <w:pStyle w:val="Instructionaltext-bullet"/>
      <w:lvlText w:val=""/>
      <w:lvlJc w:val="left"/>
      <w:pPr>
        <w:ind w:left="720" w:hanging="360"/>
      </w:pPr>
      <w:rPr>
        <w:rFonts w:ascii="Symbol" w:hAnsi="Symbol" w:cs="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9571C04"/>
    <w:multiLevelType w:val="hybridMultilevel"/>
    <w:tmpl w:val="D4C2C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97F26C4"/>
    <w:multiLevelType w:val="hybridMultilevel"/>
    <w:tmpl w:val="76B43D16"/>
    <w:lvl w:ilvl="0" w:tplc="0C09000F">
      <w:start w:val="1"/>
      <w:numFmt w:val="decimal"/>
      <w:lvlText w:val="%1."/>
      <w:lvlJc w:val="left"/>
      <w:pPr>
        <w:ind w:left="360" w:hanging="360"/>
      </w:pPr>
      <w:rPr>
        <w:rFonts w:hint="default"/>
      </w:rPr>
    </w:lvl>
    <w:lvl w:ilvl="1" w:tplc="0C090003">
      <w:start w:val="1"/>
      <w:numFmt w:val="bullet"/>
      <w:lvlText w:val="o"/>
      <w:lvlJc w:val="left"/>
      <w:pPr>
        <w:ind w:left="594"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FCE7210"/>
    <w:multiLevelType w:val="hybridMultilevel"/>
    <w:tmpl w:val="3DD4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00510E"/>
    <w:multiLevelType w:val="hybridMultilevel"/>
    <w:tmpl w:val="86A87D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18"/>
  </w:num>
  <w:num w:numId="2">
    <w:abstractNumId w:val="27"/>
  </w:num>
  <w:num w:numId="3">
    <w:abstractNumId w:val="2"/>
  </w:num>
  <w:num w:numId="4">
    <w:abstractNumId w:val="11"/>
  </w:num>
  <w:num w:numId="5">
    <w:abstractNumId w:val="25"/>
  </w:num>
  <w:num w:numId="6">
    <w:abstractNumId w:val="14"/>
  </w:num>
  <w:num w:numId="7">
    <w:abstractNumId w:val="15"/>
  </w:num>
  <w:num w:numId="8">
    <w:abstractNumId w:val="17"/>
  </w:num>
  <w:num w:numId="9">
    <w:abstractNumId w:val="20"/>
  </w:num>
  <w:num w:numId="10">
    <w:abstractNumId w:val="0"/>
  </w:num>
  <w:num w:numId="11">
    <w:abstractNumId w:val="4"/>
  </w:num>
  <w:num w:numId="12">
    <w:abstractNumId w:val="7"/>
  </w:num>
  <w:num w:numId="13">
    <w:abstractNumId w:val="1"/>
  </w:num>
  <w:num w:numId="14">
    <w:abstractNumId w:val="10"/>
  </w:num>
  <w:num w:numId="15">
    <w:abstractNumId w:val="12"/>
  </w:num>
  <w:num w:numId="16">
    <w:abstractNumId w:val="3"/>
  </w:num>
  <w:num w:numId="17">
    <w:abstractNumId w:val="16"/>
  </w:num>
  <w:num w:numId="18">
    <w:abstractNumId w:val="9"/>
  </w:num>
  <w:num w:numId="19">
    <w:abstractNumId w:val="22"/>
  </w:num>
  <w:num w:numId="20">
    <w:abstractNumId w:val="13"/>
  </w:num>
  <w:num w:numId="21">
    <w:abstractNumId w:val="24"/>
  </w:num>
  <w:num w:numId="22">
    <w:abstractNumId w:val="21"/>
  </w:num>
  <w:num w:numId="23">
    <w:abstractNumId w:val="5"/>
  </w:num>
  <w:num w:numId="24">
    <w:abstractNumId w:val="18"/>
  </w:num>
  <w:num w:numId="25">
    <w:abstractNumId w:val="6"/>
  </w:num>
  <w:num w:numId="26">
    <w:abstractNumId w:val="26"/>
  </w:num>
  <w:num w:numId="27">
    <w:abstractNumId w:val="19"/>
  </w:num>
  <w:num w:numId="28">
    <w:abstractNumId w:val="23"/>
  </w:num>
  <w:num w:numId="29">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095evpexvza1e22z35z0etxwds2xdd0sp9&quot;&gt;1525.1&lt;record-ids&gt;&lt;item&gt;10&lt;/item&gt;&lt;/record-ids&gt;&lt;/item&gt;&lt;/Libraries&gt;"/>
  </w:docVars>
  <w:rsids>
    <w:rsidRoot w:val="008157F1"/>
    <w:rsid w:val="0000109A"/>
    <w:rsid w:val="00001AE6"/>
    <w:rsid w:val="00001D55"/>
    <w:rsid w:val="00001F8D"/>
    <w:rsid w:val="00002DE1"/>
    <w:rsid w:val="00004D69"/>
    <w:rsid w:val="00004E8B"/>
    <w:rsid w:val="00004F7F"/>
    <w:rsid w:val="000054C9"/>
    <w:rsid w:val="0000659E"/>
    <w:rsid w:val="000071B9"/>
    <w:rsid w:val="000074A7"/>
    <w:rsid w:val="000078D9"/>
    <w:rsid w:val="00007D62"/>
    <w:rsid w:val="00011568"/>
    <w:rsid w:val="00014317"/>
    <w:rsid w:val="00014974"/>
    <w:rsid w:val="000161C2"/>
    <w:rsid w:val="00016B1D"/>
    <w:rsid w:val="00020F1F"/>
    <w:rsid w:val="00021825"/>
    <w:rsid w:val="000228B8"/>
    <w:rsid w:val="0002381B"/>
    <w:rsid w:val="0002407A"/>
    <w:rsid w:val="00024EA5"/>
    <w:rsid w:val="00025D06"/>
    <w:rsid w:val="00025D26"/>
    <w:rsid w:val="0002683E"/>
    <w:rsid w:val="000270FF"/>
    <w:rsid w:val="0002755F"/>
    <w:rsid w:val="000305FE"/>
    <w:rsid w:val="00030907"/>
    <w:rsid w:val="00030942"/>
    <w:rsid w:val="0003423A"/>
    <w:rsid w:val="000344F2"/>
    <w:rsid w:val="0003474F"/>
    <w:rsid w:val="0003477F"/>
    <w:rsid w:val="00036AD8"/>
    <w:rsid w:val="00036D14"/>
    <w:rsid w:val="00037037"/>
    <w:rsid w:val="00037302"/>
    <w:rsid w:val="0004005D"/>
    <w:rsid w:val="00040ADF"/>
    <w:rsid w:val="00040FB4"/>
    <w:rsid w:val="0004178C"/>
    <w:rsid w:val="00041E3A"/>
    <w:rsid w:val="00041F5D"/>
    <w:rsid w:val="00042A49"/>
    <w:rsid w:val="00043C0B"/>
    <w:rsid w:val="00043E1D"/>
    <w:rsid w:val="000443A6"/>
    <w:rsid w:val="000449D1"/>
    <w:rsid w:val="00045B8D"/>
    <w:rsid w:val="00045CC5"/>
    <w:rsid w:val="00046B6A"/>
    <w:rsid w:val="000472D4"/>
    <w:rsid w:val="0004730A"/>
    <w:rsid w:val="00047F47"/>
    <w:rsid w:val="000513BC"/>
    <w:rsid w:val="000516B3"/>
    <w:rsid w:val="00051F3A"/>
    <w:rsid w:val="00052584"/>
    <w:rsid w:val="00052792"/>
    <w:rsid w:val="00052DD3"/>
    <w:rsid w:val="0005326D"/>
    <w:rsid w:val="00053558"/>
    <w:rsid w:val="00053BE7"/>
    <w:rsid w:val="00053F6C"/>
    <w:rsid w:val="00056C39"/>
    <w:rsid w:val="000629C1"/>
    <w:rsid w:val="0006339C"/>
    <w:rsid w:val="00064783"/>
    <w:rsid w:val="000647C2"/>
    <w:rsid w:val="00066F3F"/>
    <w:rsid w:val="0007021F"/>
    <w:rsid w:val="000709A0"/>
    <w:rsid w:val="000712C6"/>
    <w:rsid w:val="000722D6"/>
    <w:rsid w:val="00073295"/>
    <w:rsid w:val="00074199"/>
    <w:rsid w:val="00074F7C"/>
    <w:rsid w:val="000756F7"/>
    <w:rsid w:val="000761A4"/>
    <w:rsid w:val="0007626F"/>
    <w:rsid w:val="00076D81"/>
    <w:rsid w:val="00080241"/>
    <w:rsid w:val="0008028F"/>
    <w:rsid w:val="0008141D"/>
    <w:rsid w:val="00081778"/>
    <w:rsid w:val="0008388D"/>
    <w:rsid w:val="00084122"/>
    <w:rsid w:val="00086D4A"/>
    <w:rsid w:val="000870B6"/>
    <w:rsid w:val="00087E5A"/>
    <w:rsid w:val="00090613"/>
    <w:rsid w:val="00090BD1"/>
    <w:rsid w:val="00090DFF"/>
    <w:rsid w:val="00090FAE"/>
    <w:rsid w:val="0009130D"/>
    <w:rsid w:val="00091857"/>
    <w:rsid w:val="00091C59"/>
    <w:rsid w:val="00092A21"/>
    <w:rsid w:val="00093D9A"/>
    <w:rsid w:val="00094656"/>
    <w:rsid w:val="0009501E"/>
    <w:rsid w:val="00095DD5"/>
    <w:rsid w:val="00096B52"/>
    <w:rsid w:val="000A10BF"/>
    <w:rsid w:val="000A11C6"/>
    <w:rsid w:val="000A2ACD"/>
    <w:rsid w:val="000A2B65"/>
    <w:rsid w:val="000A2DA8"/>
    <w:rsid w:val="000A2DD6"/>
    <w:rsid w:val="000A3D7F"/>
    <w:rsid w:val="000A53ED"/>
    <w:rsid w:val="000A542B"/>
    <w:rsid w:val="000A5676"/>
    <w:rsid w:val="000A5C47"/>
    <w:rsid w:val="000A629E"/>
    <w:rsid w:val="000A6B30"/>
    <w:rsid w:val="000B0414"/>
    <w:rsid w:val="000B05A4"/>
    <w:rsid w:val="000B17C9"/>
    <w:rsid w:val="000B3330"/>
    <w:rsid w:val="000B35DE"/>
    <w:rsid w:val="000B486B"/>
    <w:rsid w:val="000B5F40"/>
    <w:rsid w:val="000B5F8C"/>
    <w:rsid w:val="000B6074"/>
    <w:rsid w:val="000B67D2"/>
    <w:rsid w:val="000B69E5"/>
    <w:rsid w:val="000B69E9"/>
    <w:rsid w:val="000B6CF0"/>
    <w:rsid w:val="000B720C"/>
    <w:rsid w:val="000B7665"/>
    <w:rsid w:val="000C00EE"/>
    <w:rsid w:val="000C04B7"/>
    <w:rsid w:val="000C06D3"/>
    <w:rsid w:val="000C1639"/>
    <w:rsid w:val="000C2D8A"/>
    <w:rsid w:val="000C41B1"/>
    <w:rsid w:val="000C672E"/>
    <w:rsid w:val="000C6EB6"/>
    <w:rsid w:val="000C7AA6"/>
    <w:rsid w:val="000C7C46"/>
    <w:rsid w:val="000D1B52"/>
    <w:rsid w:val="000D30CE"/>
    <w:rsid w:val="000D4429"/>
    <w:rsid w:val="000D4C1B"/>
    <w:rsid w:val="000D5523"/>
    <w:rsid w:val="000D67A6"/>
    <w:rsid w:val="000D6D48"/>
    <w:rsid w:val="000D79DF"/>
    <w:rsid w:val="000E036A"/>
    <w:rsid w:val="000E03DC"/>
    <w:rsid w:val="000E1124"/>
    <w:rsid w:val="000E180D"/>
    <w:rsid w:val="000E19E6"/>
    <w:rsid w:val="000E2986"/>
    <w:rsid w:val="000E3BA8"/>
    <w:rsid w:val="000E3BEA"/>
    <w:rsid w:val="000E5531"/>
    <w:rsid w:val="000E6410"/>
    <w:rsid w:val="000E6729"/>
    <w:rsid w:val="000E678B"/>
    <w:rsid w:val="000E7362"/>
    <w:rsid w:val="000E73BA"/>
    <w:rsid w:val="000F1B2F"/>
    <w:rsid w:val="000F2E01"/>
    <w:rsid w:val="000F3442"/>
    <w:rsid w:val="000F526B"/>
    <w:rsid w:val="000F5A54"/>
    <w:rsid w:val="000F6CFA"/>
    <w:rsid w:val="000F789C"/>
    <w:rsid w:val="000F7987"/>
    <w:rsid w:val="000F7E56"/>
    <w:rsid w:val="0010051C"/>
    <w:rsid w:val="00102242"/>
    <w:rsid w:val="0010448B"/>
    <w:rsid w:val="0010521F"/>
    <w:rsid w:val="0010625A"/>
    <w:rsid w:val="00107463"/>
    <w:rsid w:val="00107524"/>
    <w:rsid w:val="00107B9E"/>
    <w:rsid w:val="00107DCD"/>
    <w:rsid w:val="00107EF0"/>
    <w:rsid w:val="00111417"/>
    <w:rsid w:val="00113C60"/>
    <w:rsid w:val="00113C7A"/>
    <w:rsid w:val="0011476C"/>
    <w:rsid w:val="00114C3B"/>
    <w:rsid w:val="00115474"/>
    <w:rsid w:val="00115691"/>
    <w:rsid w:val="00115A54"/>
    <w:rsid w:val="001162FE"/>
    <w:rsid w:val="00117039"/>
    <w:rsid w:val="00117EF4"/>
    <w:rsid w:val="00117F04"/>
    <w:rsid w:val="00120BD3"/>
    <w:rsid w:val="00120FCA"/>
    <w:rsid w:val="001229D1"/>
    <w:rsid w:val="00122AE3"/>
    <w:rsid w:val="00122EE1"/>
    <w:rsid w:val="00123658"/>
    <w:rsid w:val="001237AF"/>
    <w:rsid w:val="001247EB"/>
    <w:rsid w:val="00124F3C"/>
    <w:rsid w:val="0012523B"/>
    <w:rsid w:val="00125B61"/>
    <w:rsid w:val="00126122"/>
    <w:rsid w:val="0012627B"/>
    <w:rsid w:val="00127115"/>
    <w:rsid w:val="001274E9"/>
    <w:rsid w:val="00127958"/>
    <w:rsid w:val="00130443"/>
    <w:rsid w:val="00131D45"/>
    <w:rsid w:val="001320F0"/>
    <w:rsid w:val="001336E0"/>
    <w:rsid w:val="00133F34"/>
    <w:rsid w:val="001347F4"/>
    <w:rsid w:val="00134B1E"/>
    <w:rsid w:val="00134F15"/>
    <w:rsid w:val="00135273"/>
    <w:rsid w:val="0013540E"/>
    <w:rsid w:val="00135A09"/>
    <w:rsid w:val="00135FC9"/>
    <w:rsid w:val="001364B6"/>
    <w:rsid w:val="00137DC6"/>
    <w:rsid w:val="00140C79"/>
    <w:rsid w:val="00140DE9"/>
    <w:rsid w:val="00141B88"/>
    <w:rsid w:val="00143478"/>
    <w:rsid w:val="00143F2F"/>
    <w:rsid w:val="001444CF"/>
    <w:rsid w:val="00144867"/>
    <w:rsid w:val="00146624"/>
    <w:rsid w:val="001469AE"/>
    <w:rsid w:val="00146DCA"/>
    <w:rsid w:val="0015008C"/>
    <w:rsid w:val="00150290"/>
    <w:rsid w:val="00150376"/>
    <w:rsid w:val="00151AE0"/>
    <w:rsid w:val="00151DBD"/>
    <w:rsid w:val="001531D6"/>
    <w:rsid w:val="00153257"/>
    <w:rsid w:val="00153EC4"/>
    <w:rsid w:val="00155434"/>
    <w:rsid w:val="00155BDA"/>
    <w:rsid w:val="00156FA7"/>
    <w:rsid w:val="0016023A"/>
    <w:rsid w:val="001616FC"/>
    <w:rsid w:val="00161ABF"/>
    <w:rsid w:val="00162DBF"/>
    <w:rsid w:val="00163061"/>
    <w:rsid w:val="00164CF8"/>
    <w:rsid w:val="00164D9F"/>
    <w:rsid w:val="001653AE"/>
    <w:rsid w:val="00167B4D"/>
    <w:rsid w:val="00167EEC"/>
    <w:rsid w:val="0017060B"/>
    <w:rsid w:val="00170D5B"/>
    <w:rsid w:val="00171BD5"/>
    <w:rsid w:val="00172B8F"/>
    <w:rsid w:val="00172CB8"/>
    <w:rsid w:val="00173132"/>
    <w:rsid w:val="001736F8"/>
    <w:rsid w:val="00173A0F"/>
    <w:rsid w:val="00173D85"/>
    <w:rsid w:val="00174705"/>
    <w:rsid w:val="00174FD4"/>
    <w:rsid w:val="0017570C"/>
    <w:rsid w:val="001768D7"/>
    <w:rsid w:val="00176E80"/>
    <w:rsid w:val="00182DBC"/>
    <w:rsid w:val="00184BAE"/>
    <w:rsid w:val="00184F6F"/>
    <w:rsid w:val="00185D2E"/>
    <w:rsid w:val="001865F6"/>
    <w:rsid w:val="0018720A"/>
    <w:rsid w:val="001920E4"/>
    <w:rsid w:val="0019362A"/>
    <w:rsid w:val="0019474E"/>
    <w:rsid w:val="001952E6"/>
    <w:rsid w:val="00195728"/>
    <w:rsid w:val="001970C0"/>
    <w:rsid w:val="001972C7"/>
    <w:rsid w:val="00197303"/>
    <w:rsid w:val="00197910"/>
    <w:rsid w:val="001A1997"/>
    <w:rsid w:val="001A1CB7"/>
    <w:rsid w:val="001A22D9"/>
    <w:rsid w:val="001A420B"/>
    <w:rsid w:val="001A4B97"/>
    <w:rsid w:val="001A4F7D"/>
    <w:rsid w:val="001A68AB"/>
    <w:rsid w:val="001A7588"/>
    <w:rsid w:val="001A7662"/>
    <w:rsid w:val="001A7846"/>
    <w:rsid w:val="001A7B42"/>
    <w:rsid w:val="001A7D8F"/>
    <w:rsid w:val="001B0451"/>
    <w:rsid w:val="001B16B4"/>
    <w:rsid w:val="001B1C1D"/>
    <w:rsid w:val="001B26E3"/>
    <w:rsid w:val="001B2A97"/>
    <w:rsid w:val="001B2CD4"/>
    <w:rsid w:val="001B3D6C"/>
    <w:rsid w:val="001B4A47"/>
    <w:rsid w:val="001B4B98"/>
    <w:rsid w:val="001B5972"/>
    <w:rsid w:val="001B6F03"/>
    <w:rsid w:val="001B7329"/>
    <w:rsid w:val="001B752E"/>
    <w:rsid w:val="001C0DEC"/>
    <w:rsid w:val="001C11BA"/>
    <w:rsid w:val="001C151D"/>
    <w:rsid w:val="001C174A"/>
    <w:rsid w:val="001C1D05"/>
    <w:rsid w:val="001C2290"/>
    <w:rsid w:val="001C2A48"/>
    <w:rsid w:val="001C605C"/>
    <w:rsid w:val="001C66B6"/>
    <w:rsid w:val="001C69E3"/>
    <w:rsid w:val="001C6DFD"/>
    <w:rsid w:val="001D3144"/>
    <w:rsid w:val="001D32C0"/>
    <w:rsid w:val="001D3A64"/>
    <w:rsid w:val="001D5793"/>
    <w:rsid w:val="001D74A7"/>
    <w:rsid w:val="001D78A6"/>
    <w:rsid w:val="001E0762"/>
    <w:rsid w:val="001E15D6"/>
    <w:rsid w:val="001E15F2"/>
    <w:rsid w:val="001E22F7"/>
    <w:rsid w:val="001E465F"/>
    <w:rsid w:val="001E4800"/>
    <w:rsid w:val="001E52D9"/>
    <w:rsid w:val="001E7945"/>
    <w:rsid w:val="001E7AC6"/>
    <w:rsid w:val="001E7BB9"/>
    <w:rsid w:val="001F15B3"/>
    <w:rsid w:val="001F2902"/>
    <w:rsid w:val="001F3F36"/>
    <w:rsid w:val="001F5F31"/>
    <w:rsid w:val="001F6218"/>
    <w:rsid w:val="001F658C"/>
    <w:rsid w:val="001F675C"/>
    <w:rsid w:val="001F6A9B"/>
    <w:rsid w:val="001F6BF2"/>
    <w:rsid w:val="001F6F44"/>
    <w:rsid w:val="001F7563"/>
    <w:rsid w:val="002016A7"/>
    <w:rsid w:val="00202849"/>
    <w:rsid w:val="00203926"/>
    <w:rsid w:val="00203E85"/>
    <w:rsid w:val="00204B71"/>
    <w:rsid w:val="00207701"/>
    <w:rsid w:val="00207F59"/>
    <w:rsid w:val="00210168"/>
    <w:rsid w:val="00210214"/>
    <w:rsid w:val="00210782"/>
    <w:rsid w:val="00211DC3"/>
    <w:rsid w:val="00214985"/>
    <w:rsid w:val="00215423"/>
    <w:rsid w:val="002155B6"/>
    <w:rsid w:val="002157E4"/>
    <w:rsid w:val="00215AFB"/>
    <w:rsid w:val="00215DEA"/>
    <w:rsid w:val="0021666B"/>
    <w:rsid w:val="002172D7"/>
    <w:rsid w:val="00217F0D"/>
    <w:rsid w:val="002200D8"/>
    <w:rsid w:val="002203AF"/>
    <w:rsid w:val="0022118E"/>
    <w:rsid w:val="00221325"/>
    <w:rsid w:val="002226B4"/>
    <w:rsid w:val="00223416"/>
    <w:rsid w:val="00223664"/>
    <w:rsid w:val="00223826"/>
    <w:rsid w:val="00223A56"/>
    <w:rsid w:val="00223B40"/>
    <w:rsid w:val="00223CFC"/>
    <w:rsid w:val="00224AF8"/>
    <w:rsid w:val="00225833"/>
    <w:rsid w:val="00225AF6"/>
    <w:rsid w:val="00225F0C"/>
    <w:rsid w:val="00226095"/>
    <w:rsid w:val="002265E5"/>
    <w:rsid w:val="00227B89"/>
    <w:rsid w:val="00227F43"/>
    <w:rsid w:val="0023046A"/>
    <w:rsid w:val="00230D23"/>
    <w:rsid w:val="00234640"/>
    <w:rsid w:val="00234C26"/>
    <w:rsid w:val="00240106"/>
    <w:rsid w:val="002411C7"/>
    <w:rsid w:val="00242F4E"/>
    <w:rsid w:val="002452A0"/>
    <w:rsid w:val="002457DF"/>
    <w:rsid w:val="002463A6"/>
    <w:rsid w:val="00246ADB"/>
    <w:rsid w:val="00250DCE"/>
    <w:rsid w:val="002517A5"/>
    <w:rsid w:val="00251C94"/>
    <w:rsid w:val="00251F6C"/>
    <w:rsid w:val="0025249C"/>
    <w:rsid w:val="002539ED"/>
    <w:rsid w:val="0025440D"/>
    <w:rsid w:val="0025450E"/>
    <w:rsid w:val="00255152"/>
    <w:rsid w:val="0025554E"/>
    <w:rsid w:val="00255B36"/>
    <w:rsid w:val="00256089"/>
    <w:rsid w:val="00256558"/>
    <w:rsid w:val="00257357"/>
    <w:rsid w:val="00257769"/>
    <w:rsid w:val="002604CD"/>
    <w:rsid w:val="00261288"/>
    <w:rsid w:val="00262E84"/>
    <w:rsid w:val="002638F4"/>
    <w:rsid w:val="00263ED6"/>
    <w:rsid w:val="00265222"/>
    <w:rsid w:val="00266314"/>
    <w:rsid w:val="00267044"/>
    <w:rsid w:val="0026745E"/>
    <w:rsid w:val="0026783D"/>
    <w:rsid w:val="00270B8F"/>
    <w:rsid w:val="002712B4"/>
    <w:rsid w:val="0027160C"/>
    <w:rsid w:val="00274AFC"/>
    <w:rsid w:val="002751D1"/>
    <w:rsid w:val="00275209"/>
    <w:rsid w:val="0027561A"/>
    <w:rsid w:val="002773BF"/>
    <w:rsid w:val="00281878"/>
    <w:rsid w:val="00281AC0"/>
    <w:rsid w:val="002835CC"/>
    <w:rsid w:val="00284340"/>
    <w:rsid w:val="002843E6"/>
    <w:rsid w:val="00284F4D"/>
    <w:rsid w:val="00287B6E"/>
    <w:rsid w:val="00287E78"/>
    <w:rsid w:val="00290676"/>
    <w:rsid w:val="00291462"/>
    <w:rsid w:val="00291572"/>
    <w:rsid w:val="002916DC"/>
    <w:rsid w:val="00295B39"/>
    <w:rsid w:val="0029715E"/>
    <w:rsid w:val="002976F7"/>
    <w:rsid w:val="002978C5"/>
    <w:rsid w:val="002A04B4"/>
    <w:rsid w:val="002A11BD"/>
    <w:rsid w:val="002A145B"/>
    <w:rsid w:val="002A18BE"/>
    <w:rsid w:val="002A25A4"/>
    <w:rsid w:val="002A36F6"/>
    <w:rsid w:val="002A4084"/>
    <w:rsid w:val="002A4AD6"/>
    <w:rsid w:val="002A4EEE"/>
    <w:rsid w:val="002A5F40"/>
    <w:rsid w:val="002A7196"/>
    <w:rsid w:val="002A76AE"/>
    <w:rsid w:val="002A7F8F"/>
    <w:rsid w:val="002B0D87"/>
    <w:rsid w:val="002B1384"/>
    <w:rsid w:val="002B26AB"/>
    <w:rsid w:val="002B3681"/>
    <w:rsid w:val="002B4F68"/>
    <w:rsid w:val="002B596A"/>
    <w:rsid w:val="002B667C"/>
    <w:rsid w:val="002B77A0"/>
    <w:rsid w:val="002C11CA"/>
    <w:rsid w:val="002C1CC2"/>
    <w:rsid w:val="002C45E8"/>
    <w:rsid w:val="002C53DC"/>
    <w:rsid w:val="002C5E18"/>
    <w:rsid w:val="002C5F21"/>
    <w:rsid w:val="002C70CE"/>
    <w:rsid w:val="002C76C8"/>
    <w:rsid w:val="002D00A1"/>
    <w:rsid w:val="002D11B3"/>
    <w:rsid w:val="002D352F"/>
    <w:rsid w:val="002D3A3B"/>
    <w:rsid w:val="002D5063"/>
    <w:rsid w:val="002D5097"/>
    <w:rsid w:val="002D54F6"/>
    <w:rsid w:val="002D55E4"/>
    <w:rsid w:val="002D5C94"/>
    <w:rsid w:val="002D690D"/>
    <w:rsid w:val="002E1798"/>
    <w:rsid w:val="002E1C70"/>
    <w:rsid w:val="002E3175"/>
    <w:rsid w:val="002E3EEE"/>
    <w:rsid w:val="002E63BE"/>
    <w:rsid w:val="002E7334"/>
    <w:rsid w:val="002E7775"/>
    <w:rsid w:val="002E7AD2"/>
    <w:rsid w:val="002F0377"/>
    <w:rsid w:val="002F0779"/>
    <w:rsid w:val="002F0A71"/>
    <w:rsid w:val="002F0B58"/>
    <w:rsid w:val="002F1366"/>
    <w:rsid w:val="002F1399"/>
    <w:rsid w:val="002F32FB"/>
    <w:rsid w:val="002F5611"/>
    <w:rsid w:val="002F5F5E"/>
    <w:rsid w:val="002F5F85"/>
    <w:rsid w:val="002F6407"/>
    <w:rsid w:val="002F693F"/>
    <w:rsid w:val="002F6D4A"/>
    <w:rsid w:val="002F7499"/>
    <w:rsid w:val="003008CC"/>
    <w:rsid w:val="0030141E"/>
    <w:rsid w:val="0030144D"/>
    <w:rsid w:val="00301763"/>
    <w:rsid w:val="00302252"/>
    <w:rsid w:val="00302D6D"/>
    <w:rsid w:val="00303C60"/>
    <w:rsid w:val="00304B00"/>
    <w:rsid w:val="00304FB8"/>
    <w:rsid w:val="003050B8"/>
    <w:rsid w:val="00306058"/>
    <w:rsid w:val="0030671C"/>
    <w:rsid w:val="00307299"/>
    <w:rsid w:val="0030744C"/>
    <w:rsid w:val="0031023D"/>
    <w:rsid w:val="00310329"/>
    <w:rsid w:val="00310B9B"/>
    <w:rsid w:val="00310C3F"/>
    <w:rsid w:val="00311309"/>
    <w:rsid w:val="003140D2"/>
    <w:rsid w:val="00316B74"/>
    <w:rsid w:val="003171DC"/>
    <w:rsid w:val="00317714"/>
    <w:rsid w:val="003203D9"/>
    <w:rsid w:val="00320A17"/>
    <w:rsid w:val="00321BF4"/>
    <w:rsid w:val="00322408"/>
    <w:rsid w:val="00322DA9"/>
    <w:rsid w:val="00322E6F"/>
    <w:rsid w:val="00322EEA"/>
    <w:rsid w:val="00323AF6"/>
    <w:rsid w:val="003251C2"/>
    <w:rsid w:val="00325FA0"/>
    <w:rsid w:val="00326F1C"/>
    <w:rsid w:val="00327162"/>
    <w:rsid w:val="00330A0A"/>
    <w:rsid w:val="00331CC6"/>
    <w:rsid w:val="00332040"/>
    <w:rsid w:val="003328A9"/>
    <w:rsid w:val="00334205"/>
    <w:rsid w:val="00334FC3"/>
    <w:rsid w:val="003371B5"/>
    <w:rsid w:val="00337BAF"/>
    <w:rsid w:val="00340341"/>
    <w:rsid w:val="00340376"/>
    <w:rsid w:val="003417CB"/>
    <w:rsid w:val="0034184C"/>
    <w:rsid w:val="003430A9"/>
    <w:rsid w:val="00343599"/>
    <w:rsid w:val="003435A9"/>
    <w:rsid w:val="00344649"/>
    <w:rsid w:val="00345496"/>
    <w:rsid w:val="00345BCF"/>
    <w:rsid w:val="003466F9"/>
    <w:rsid w:val="00346B28"/>
    <w:rsid w:val="0034749B"/>
    <w:rsid w:val="00347824"/>
    <w:rsid w:val="00347B6B"/>
    <w:rsid w:val="00350092"/>
    <w:rsid w:val="003519AD"/>
    <w:rsid w:val="00351E0E"/>
    <w:rsid w:val="00351F22"/>
    <w:rsid w:val="00352077"/>
    <w:rsid w:val="00354A07"/>
    <w:rsid w:val="00354EB4"/>
    <w:rsid w:val="00355B1B"/>
    <w:rsid w:val="00356D29"/>
    <w:rsid w:val="003571C2"/>
    <w:rsid w:val="003574E1"/>
    <w:rsid w:val="0035765C"/>
    <w:rsid w:val="00360528"/>
    <w:rsid w:val="00361D05"/>
    <w:rsid w:val="00362B46"/>
    <w:rsid w:val="003633E9"/>
    <w:rsid w:val="0036380A"/>
    <w:rsid w:val="00363C6D"/>
    <w:rsid w:val="00363F28"/>
    <w:rsid w:val="00363F5F"/>
    <w:rsid w:val="003640A7"/>
    <w:rsid w:val="00365447"/>
    <w:rsid w:val="0036794E"/>
    <w:rsid w:val="003726AE"/>
    <w:rsid w:val="00373DF9"/>
    <w:rsid w:val="0037534B"/>
    <w:rsid w:val="0037547C"/>
    <w:rsid w:val="003755D0"/>
    <w:rsid w:val="00375FA2"/>
    <w:rsid w:val="00377384"/>
    <w:rsid w:val="00380F8D"/>
    <w:rsid w:val="0038146C"/>
    <w:rsid w:val="00381DB2"/>
    <w:rsid w:val="00382390"/>
    <w:rsid w:val="00382609"/>
    <w:rsid w:val="00383EA6"/>
    <w:rsid w:val="00384774"/>
    <w:rsid w:val="0038570C"/>
    <w:rsid w:val="00386124"/>
    <w:rsid w:val="003862AE"/>
    <w:rsid w:val="003864D5"/>
    <w:rsid w:val="00386551"/>
    <w:rsid w:val="00387025"/>
    <w:rsid w:val="00390567"/>
    <w:rsid w:val="003908EE"/>
    <w:rsid w:val="00391710"/>
    <w:rsid w:val="0039413D"/>
    <w:rsid w:val="00395217"/>
    <w:rsid w:val="00395E53"/>
    <w:rsid w:val="00396514"/>
    <w:rsid w:val="003966F6"/>
    <w:rsid w:val="0039677D"/>
    <w:rsid w:val="00397030"/>
    <w:rsid w:val="00397259"/>
    <w:rsid w:val="00397665"/>
    <w:rsid w:val="0039794B"/>
    <w:rsid w:val="003A0660"/>
    <w:rsid w:val="003A0D52"/>
    <w:rsid w:val="003A1534"/>
    <w:rsid w:val="003A2ED1"/>
    <w:rsid w:val="003A4C47"/>
    <w:rsid w:val="003A5937"/>
    <w:rsid w:val="003A6724"/>
    <w:rsid w:val="003A68C3"/>
    <w:rsid w:val="003A6E1A"/>
    <w:rsid w:val="003A6EA8"/>
    <w:rsid w:val="003A7F97"/>
    <w:rsid w:val="003B0B58"/>
    <w:rsid w:val="003B0BA1"/>
    <w:rsid w:val="003B0F59"/>
    <w:rsid w:val="003B23CD"/>
    <w:rsid w:val="003B26B6"/>
    <w:rsid w:val="003B2D8C"/>
    <w:rsid w:val="003B4599"/>
    <w:rsid w:val="003B537A"/>
    <w:rsid w:val="003B61B7"/>
    <w:rsid w:val="003B7FBB"/>
    <w:rsid w:val="003C08FE"/>
    <w:rsid w:val="003C0E37"/>
    <w:rsid w:val="003C1AE2"/>
    <w:rsid w:val="003C1B64"/>
    <w:rsid w:val="003C3C36"/>
    <w:rsid w:val="003C3D01"/>
    <w:rsid w:val="003C3F44"/>
    <w:rsid w:val="003C4F8F"/>
    <w:rsid w:val="003C52A8"/>
    <w:rsid w:val="003C6B59"/>
    <w:rsid w:val="003C768C"/>
    <w:rsid w:val="003D00F3"/>
    <w:rsid w:val="003D1F08"/>
    <w:rsid w:val="003D299E"/>
    <w:rsid w:val="003D4E8F"/>
    <w:rsid w:val="003D55E1"/>
    <w:rsid w:val="003D5905"/>
    <w:rsid w:val="003D641A"/>
    <w:rsid w:val="003D6CA4"/>
    <w:rsid w:val="003D71EB"/>
    <w:rsid w:val="003E22CB"/>
    <w:rsid w:val="003E2343"/>
    <w:rsid w:val="003E406B"/>
    <w:rsid w:val="003E48C8"/>
    <w:rsid w:val="003E4BD8"/>
    <w:rsid w:val="003E4F96"/>
    <w:rsid w:val="003E5CCA"/>
    <w:rsid w:val="003E7773"/>
    <w:rsid w:val="003F0733"/>
    <w:rsid w:val="003F115E"/>
    <w:rsid w:val="003F12C9"/>
    <w:rsid w:val="003F14C2"/>
    <w:rsid w:val="003F1C95"/>
    <w:rsid w:val="003F2210"/>
    <w:rsid w:val="003F2B3F"/>
    <w:rsid w:val="003F3AEC"/>
    <w:rsid w:val="003F3D66"/>
    <w:rsid w:val="003F535C"/>
    <w:rsid w:val="003F5695"/>
    <w:rsid w:val="003F6CC2"/>
    <w:rsid w:val="003F7196"/>
    <w:rsid w:val="003F72D8"/>
    <w:rsid w:val="003F75BD"/>
    <w:rsid w:val="004008AF"/>
    <w:rsid w:val="00400B5F"/>
    <w:rsid w:val="00401DBF"/>
    <w:rsid w:val="004030AF"/>
    <w:rsid w:val="004033D9"/>
    <w:rsid w:val="004041DC"/>
    <w:rsid w:val="00404289"/>
    <w:rsid w:val="00404623"/>
    <w:rsid w:val="00404A94"/>
    <w:rsid w:val="0040551F"/>
    <w:rsid w:val="004060F7"/>
    <w:rsid w:val="00406407"/>
    <w:rsid w:val="0040771F"/>
    <w:rsid w:val="00407D2A"/>
    <w:rsid w:val="004109C9"/>
    <w:rsid w:val="004111B7"/>
    <w:rsid w:val="004111F7"/>
    <w:rsid w:val="00411EBD"/>
    <w:rsid w:val="0041217D"/>
    <w:rsid w:val="004125C6"/>
    <w:rsid w:val="00412654"/>
    <w:rsid w:val="0041275F"/>
    <w:rsid w:val="004134CA"/>
    <w:rsid w:val="004137D8"/>
    <w:rsid w:val="00416751"/>
    <w:rsid w:val="00416A88"/>
    <w:rsid w:val="00417684"/>
    <w:rsid w:val="00417F5B"/>
    <w:rsid w:val="00421A89"/>
    <w:rsid w:val="00421EBC"/>
    <w:rsid w:val="0042304B"/>
    <w:rsid w:val="00423460"/>
    <w:rsid w:val="00424084"/>
    <w:rsid w:val="004241C2"/>
    <w:rsid w:val="0042476F"/>
    <w:rsid w:val="00424A99"/>
    <w:rsid w:val="004273AD"/>
    <w:rsid w:val="004279F9"/>
    <w:rsid w:val="004305AE"/>
    <w:rsid w:val="00431800"/>
    <w:rsid w:val="00433541"/>
    <w:rsid w:val="004340C9"/>
    <w:rsid w:val="00436514"/>
    <w:rsid w:val="00436740"/>
    <w:rsid w:val="00437551"/>
    <w:rsid w:val="00437845"/>
    <w:rsid w:val="004423F7"/>
    <w:rsid w:val="00442A22"/>
    <w:rsid w:val="00442A49"/>
    <w:rsid w:val="004434E7"/>
    <w:rsid w:val="004435E8"/>
    <w:rsid w:val="00443894"/>
    <w:rsid w:val="0044487A"/>
    <w:rsid w:val="00444DCE"/>
    <w:rsid w:val="0044650C"/>
    <w:rsid w:val="004466E9"/>
    <w:rsid w:val="0044690B"/>
    <w:rsid w:val="00446BBE"/>
    <w:rsid w:val="0044782C"/>
    <w:rsid w:val="0045093D"/>
    <w:rsid w:val="00451373"/>
    <w:rsid w:val="00451645"/>
    <w:rsid w:val="00452F8F"/>
    <w:rsid w:val="00453407"/>
    <w:rsid w:val="00454F8E"/>
    <w:rsid w:val="004560A3"/>
    <w:rsid w:val="00456B2B"/>
    <w:rsid w:val="00461548"/>
    <w:rsid w:val="00462778"/>
    <w:rsid w:val="0046302D"/>
    <w:rsid w:val="00463FE2"/>
    <w:rsid w:val="00464108"/>
    <w:rsid w:val="00464626"/>
    <w:rsid w:val="004646B6"/>
    <w:rsid w:val="00464F6C"/>
    <w:rsid w:val="0047097C"/>
    <w:rsid w:val="00471D0D"/>
    <w:rsid w:val="00473090"/>
    <w:rsid w:val="0047393B"/>
    <w:rsid w:val="00473D3E"/>
    <w:rsid w:val="00474E01"/>
    <w:rsid w:val="0047516E"/>
    <w:rsid w:val="00475506"/>
    <w:rsid w:val="004757B1"/>
    <w:rsid w:val="0047668C"/>
    <w:rsid w:val="004769DB"/>
    <w:rsid w:val="00476B8C"/>
    <w:rsid w:val="004801E1"/>
    <w:rsid w:val="00480D3F"/>
    <w:rsid w:val="00481831"/>
    <w:rsid w:val="00482804"/>
    <w:rsid w:val="00482B47"/>
    <w:rsid w:val="0048323E"/>
    <w:rsid w:val="00483B62"/>
    <w:rsid w:val="0048428E"/>
    <w:rsid w:val="00484DC5"/>
    <w:rsid w:val="00485675"/>
    <w:rsid w:val="004878B5"/>
    <w:rsid w:val="00487C85"/>
    <w:rsid w:val="00487CCE"/>
    <w:rsid w:val="00490DC4"/>
    <w:rsid w:val="004926F0"/>
    <w:rsid w:val="00492CF7"/>
    <w:rsid w:val="004934AC"/>
    <w:rsid w:val="004935AE"/>
    <w:rsid w:val="0049440B"/>
    <w:rsid w:val="00494AB7"/>
    <w:rsid w:val="00494F64"/>
    <w:rsid w:val="004950EB"/>
    <w:rsid w:val="00496522"/>
    <w:rsid w:val="00497B9F"/>
    <w:rsid w:val="004A03A4"/>
    <w:rsid w:val="004A0429"/>
    <w:rsid w:val="004A0E6F"/>
    <w:rsid w:val="004A2084"/>
    <w:rsid w:val="004A27B0"/>
    <w:rsid w:val="004A423E"/>
    <w:rsid w:val="004A4430"/>
    <w:rsid w:val="004A4FDF"/>
    <w:rsid w:val="004A5489"/>
    <w:rsid w:val="004A5E73"/>
    <w:rsid w:val="004A7A52"/>
    <w:rsid w:val="004B0BED"/>
    <w:rsid w:val="004B19FE"/>
    <w:rsid w:val="004B2A4D"/>
    <w:rsid w:val="004B2E85"/>
    <w:rsid w:val="004B2F45"/>
    <w:rsid w:val="004B33C2"/>
    <w:rsid w:val="004B4214"/>
    <w:rsid w:val="004B689D"/>
    <w:rsid w:val="004B68C8"/>
    <w:rsid w:val="004B7EDB"/>
    <w:rsid w:val="004C0E97"/>
    <w:rsid w:val="004C0F47"/>
    <w:rsid w:val="004C261B"/>
    <w:rsid w:val="004C3AD1"/>
    <w:rsid w:val="004C48C8"/>
    <w:rsid w:val="004C598D"/>
    <w:rsid w:val="004C65C7"/>
    <w:rsid w:val="004C68C3"/>
    <w:rsid w:val="004C79E4"/>
    <w:rsid w:val="004C7B76"/>
    <w:rsid w:val="004D0EFB"/>
    <w:rsid w:val="004D3897"/>
    <w:rsid w:val="004D38BA"/>
    <w:rsid w:val="004D4425"/>
    <w:rsid w:val="004D6C14"/>
    <w:rsid w:val="004E02FE"/>
    <w:rsid w:val="004E069E"/>
    <w:rsid w:val="004E09CA"/>
    <w:rsid w:val="004E1C01"/>
    <w:rsid w:val="004E29F0"/>
    <w:rsid w:val="004E2BD6"/>
    <w:rsid w:val="004E4777"/>
    <w:rsid w:val="004E5634"/>
    <w:rsid w:val="004E5D7C"/>
    <w:rsid w:val="004E7117"/>
    <w:rsid w:val="004F0C41"/>
    <w:rsid w:val="004F1085"/>
    <w:rsid w:val="004F2233"/>
    <w:rsid w:val="004F26DD"/>
    <w:rsid w:val="004F3DA6"/>
    <w:rsid w:val="004F45A9"/>
    <w:rsid w:val="004F6AD3"/>
    <w:rsid w:val="004F75A1"/>
    <w:rsid w:val="004F78FD"/>
    <w:rsid w:val="005010BE"/>
    <w:rsid w:val="00501386"/>
    <w:rsid w:val="00501529"/>
    <w:rsid w:val="00501ADF"/>
    <w:rsid w:val="00501BD9"/>
    <w:rsid w:val="00501C25"/>
    <w:rsid w:val="005027A6"/>
    <w:rsid w:val="00502DAE"/>
    <w:rsid w:val="00502FFB"/>
    <w:rsid w:val="00503191"/>
    <w:rsid w:val="005038A0"/>
    <w:rsid w:val="00504A82"/>
    <w:rsid w:val="00505073"/>
    <w:rsid w:val="00505E19"/>
    <w:rsid w:val="00506ACE"/>
    <w:rsid w:val="005103C5"/>
    <w:rsid w:val="00511181"/>
    <w:rsid w:val="00511BB8"/>
    <w:rsid w:val="005131D3"/>
    <w:rsid w:val="0051352C"/>
    <w:rsid w:val="00513E64"/>
    <w:rsid w:val="00514FC2"/>
    <w:rsid w:val="0051558D"/>
    <w:rsid w:val="00515BFA"/>
    <w:rsid w:val="00517A86"/>
    <w:rsid w:val="0052349D"/>
    <w:rsid w:val="00524A4B"/>
    <w:rsid w:val="00524BE8"/>
    <w:rsid w:val="0052575D"/>
    <w:rsid w:val="00525CC7"/>
    <w:rsid w:val="00526C70"/>
    <w:rsid w:val="00526C92"/>
    <w:rsid w:val="0052756D"/>
    <w:rsid w:val="005275FC"/>
    <w:rsid w:val="0052768C"/>
    <w:rsid w:val="00530896"/>
    <w:rsid w:val="005310AF"/>
    <w:rsid w:val="00531151"/>
    <w:rsid w:val="00534027"/>
    <w:rsid w:val="005342C3"/>
    <w:rsid w:val="00534462"/>
    <w:rsid w:val="0053462A"/>
    <w:rsid w:val="005362F5"/>
    <w:rsid w:val="0053725B"/>
    <w:rsid w:val="005373CE"/>
    <w:rsid w:val="00540C57"/>
    <w:rsid w:val="005419FE"/>
    <w:rsid w:val="00541CB6"/>
    <w:rsid w:val="00542F71"/>
    <w:rsid w:val="005437FE"/>
    <w:rsid w:val="00544F91"/>
    <w:rsid w:val="00545223"/>
    <w:rsid w:val="00546C1E"/>
    <w:rsid w:val="00547045"/>
    <w:rsid w:val="00547E5D"/>
    <w:rsid w:val="005503FD"/>
    <w:rsid w:val="00550A45"/>
    <w:rsid w:val="005531BD"/>
    <w:rsid w:val="005533AD"/>
    <w:rsid w:val="0055377E"/>
    <w:rsid w:val="0055402F"/>
    <w:rsid w:val="0055623C"/>
    <w:rsid w:val="005565C3"/>
    <w:rsid w:val="005567B2"/>
    <w:rsid w:val="00557870"/>
    <w:rsid w:val="00557B9A"/>
    <w:rsid w:val="00560277"/>
    <w:rsid w:val="00560938"/>
    <w:rsid w:val="00560AF1"/>
    <w:rsid w:val="00561562"/>
    <w:rsid w:val="00561AD4"/>
    <w:rsid w:val="00562926"/>
    <w:rsid w:val="00563DE6"/>
    <w:rsid w:val="0056528D"/>
    <w:rsid w:val="0056628B"/>
    <w:rsid w:val="00566298"/>
    <w:rsid w:val="00567563"/>
    <w:rsid w:val="00567F97"/>
    <w:rsid w:val="0057091E"/>
    <w:rsid w:val="005723D6"/>
    <w:rsid w:val="0057279C"/>
    <w:rsid w:val="005728AA"/>
    <w:rsid w:val="00574A6E"/>
    <w:rsid w:val="0057502C"/>
    <w:rsid w:val="00576F28"/>
    <w:rsid w:val="00577145"/>
    <w:rsid w:val="005773BE"/>
    <w:rsid w:val="0057743E"/>
    <w:rsid w:val="0057750C"/>
    <w:rsid w:val="005808DD"/>
    <w:rsid w:val="0058120B"/>
    <w:rsid w:val="00581C8E"/>
    <w:rsid w:val="00582365"/>
    <w:rsid w:val="00582F88"/>
    <w:rsid w:val="0058378A"/>
    <w:rsid w:val="00584C5A"/>
    <w:rsid w:val="00585C1B"/>
    <w:rsid w:val="0058705C"/>
    <w:rsid w:val="00587639"/>
    <w:rsid w:val="00590167"/>
    <w:rsid w:val="005914FF"/>
    <w:rsid w:val="00591608"/>
    <w:rsid w:val="00592638"/>
    <w:rsid w:val="00592933"/>
    <w:rsid w:val="00593138"/>
    <w:rsid w:val="00593A33"/>
    <w:rsid w:val="005947B5"/>
    <w:rsid w:val="00594D26"/>
    <w:rsid w:val="005960BB"/>
    <w:rsid w:val="00597262"/>
    <w:rsid w:val="005972F2"/>
    <w:rsid w:val="00597407"/>
    <w:rsid w:val="00597F49"/>
    <w:rsid w:val="005A0094"/>
    <w:rsid w:val="005A0496"/>
    <w:rsid w:val="005A1B0E"/>
    <w:rsid w:val="005A4047"/>
    <w:rsid w:val="005A4384"/>
    <w:rsid w:val="005A4B3F"/>
    <w:rsid w:val="005A7012"/>
    <w:rsid w:val="005A7A5E"/>
    <w:rsid w:val="005B0353"/>
    <w:rsid w:val="005B1104"/>
    <w:rsid w:val="005B11CE"/>
    <w:rsid w:val="005B1C07"/>
    <w:rsid w:val="005B3432"/>
    <w:rsid w:val="005B3BD6"/>
    <w:rsid w:val="005B52E5"/>
    <w:rsid w:val="005B7CAE"/>
    <w:rsid w:val="005B7D0B"/>
    <w:rsid w:val="005B7D6C"/>
    <w:rsid w:val="005C04EA"/>
    <w:rsid w:val="005C2742"/>
    <w:rsid w:val="005C38D0"/>
    <w:rsid w:val="005C4011"/>
    <w:rsid w:val="005C50F9"/>
    <w:rsid w:val="005C7215"/>
    <w:rsid w:val="005C7391"/>
    <w:rsid w:val="005C73C4"/>
    <w:rsid w:val="005D00EA"/>
    <w:rsid w:val="005D023B"/>
    <w:rsid w:val="005D02C4"/>
    <w:rsid w:val="005D1940"/>
    <w:rsid w:val="005D1BBF"/>
    <w:rsid w:val="005D2304"/>
    <w:rsid w:val="005D244B"/>
    <w:rsid w:val="005D350D"/>
    <w:rsid w:val="005D3A04"/>
    <w:rsid w:val="005D48FE"/>
    <w:rsid w:val="005D4D8A"/>
    <w:rsid w:val="005D7471"/>
    <w:rsid w:val="005D749D"/>
    <w:rsid w:val="005E1EE0"/>
    <w:rsid w:val="005E2702"/>
    <w:rsid w:val="005E3873"/>
    <w:rsid w:val="005E480F"/>
    <w:rsid w:val="005E4A42"/>
    <w:rsid w:val="005E510E"/>
    <w:rsid w:val="005E5609"/>
    <w:rsid w:val="005E5874"/>
    <w:rsid w:val="005E75D5"/>
    <w:rsid w:val="005F1555"/>
    <w:rsid w:val="005F2978"/>
    <w:rsid w:val="005F3C2D"/>
    <w:rsid w:val="005F4721"/>
    <w:rsid w:val="005F5C23"/>
    <w:rsid w:val="005F6574"/>
    <w:rsid w:val="005F6B6C"/>
    <w:rsid w:val="005F6DE7"/>
    <w:rsid w:val="005F720A"/>
    <w:rsid w:val="00600D2A"/>
    <w:rsid w:val="00600E11"/>
    <w:rsid w:val="006022DD"/>
    <w:rsid w:val="00602CB9"/>
    <w:rsid w:val="00602F43"/>
    <w:rsid w:val="00603B08"/>
    <w:rsid w:val="00605505"/>
    <w:rsid w:val="00605776"/>
    <w:rsid w:val="0060619B"/>
    <w:rsid w:val="00606518"/>
    <w:rsid w:val="00610162"/>
    <w:rsid w:val="00610ABA"/>
    <w:rsid w:val="006114A9"/>
    <w:rsid w:val="00612579"/>
    <w:rsid w:val="00613037"/>
    <w:rsid w:val="006135AB"/>
    <w:rsid w:val="006138E4"/>
    <w:rsid w:val="006144F6"/>
    <w:rsid w:val="0061579C"/>
    <w:rsid w:val="00616407"/>
    <w:rsid w:val="00617079"/>
    <w:rsid w:val="006173AD"/>
    <w:rsid w:val="00620E5A"/>
    <w:rsid w:val="00623849"/>
    <w:rsid w:val="00623CA2"/>
    <w:rsid w:val="00623E4E"/>
    <w:rsid w:val="006250E9"/>
    <w:rsid w:val="00625BC5"/>
    <w:rsid w:val="00625BED"/>
    <w:rsid w:val="00627766"/>
    <w:rsid w:val="00632A81"/>
    <w:rsid w:val="00632E04"/>
    <w:rsid w:val="00633A07"/>
    <w:rsid w:val="00633B2F"/>
    <w:rsid w:val="00633E59"/>
    <w:rsid w:val="00634003"/>
    <w:rsid w:val="00640C31"/>
    <w:rsid w:val="00641AD9"/>
    <w:rsid w:val="00642105"/>
    <w:rsid w:val="00642D9B"/>
    <w:rsid w:val="00643226"/>
    <w:rsid w:val="0064449B"/>
    <w:rsid w:val="0064576E"/>
    <w:rsid w:val="006459EF"/>
    <w:rsid w:val="006465F3"/>
    <w:rsid w:val="006505B8"/>
    <w:rsid w:val="00651F40"/>
    <w:rsid w:val="006534BF"/>
    <w:rsid w:val="006537D7"/>
    <w:rsid w:val="00653FCD"/>
    <w:rsid w:val="0065444A"/>
    <w:rsid w:val="00654F68"/>
    <w:rsid w:val="00655CF9"/>
    <w:rsid w:val="00655D45"/>
    <w:rsid w:val="00656CE4"/>
    <w:rsid w:val="0065714C"/>
    <w:rsid w:val="00657CBA"/>
    <w:rsid w:val="00660A74"/>
    <w:rsid w:val="00662A26"/>
    <w:rsid w:val="00662E5F"/>
    <w:rsid w:val="00664434"/>
    <w:rsid w:val="0066510F"/>
    <w:rsid w:val="0066561F"/>
    <w:rsid w:val="00666A58"/>
    <w:rsid w:val="00667287"/>
    <w:rsid w:val="006677BF"/>
    <w:rsid w:val="00667D06"/>
    <w:rsid w:val="0067054D"/>
    <w:rsid w:val="00670650"/>
    <w:rsid w:val="006710D4"/>
    <w:rsid w:val="006712C0"/>
    <w:rsid w:val="006716B3"/>
    <w:rsid w:val="00672298"/>
    <w:rsid w:val="0067308B"/>
    <w:rsid w:val="006730B1"/>
    <w:rsid w:val="00673CA3"/>
    <w:rsid w:val="006744AC"/>
    <w:rsid w:val="00674609"/>
    <w:rsid w:val="00674C7D"/>
    <w:rsid w:val="00680837"/>
    <w:rsid w:val="00680B40"/>
    <w:rsid w:val="00680D22"/>
    <w:rsid w:val="00681B35"/>
    <w:rsid w:val="00681EC9"/>
    <w:rsid w:val="006822FA"/>
    <w:rsid w:val="0068288C"/>
    <w:rsid w:val="006839C1"/>
    <w:rsid w:val="00683F36"/>
    <w:rsid w:val="00684832"/>
    <w:rsid w:val="00685589"/>
    <w:rsid w:val="00685C5F"/>
    <w:rsid w:val="0068682C"/>
    <w:rsid w:val="006868D4"/>
    <w:rsid w:val="00686C8C"/>
    <w:rsid w:val="006911A4"/>
    <w:rsid w:val="00692AFA"/>
    <w:rsid w:val="006938AA"/>
    <w:rsid w:val="0069474B"/>
    <w:rsid w:val="0069475D"/>
    <w:rsid w:val="0069476E"/>
    <w:rsid w:val="00697619"/>
    <w:rsid w:val="00697966"/>
    <w:rsid w:val="006A1DE9"/>
    <w:rsid w:val="006A1E31"/>
    <w:rsid w:val="006A2C46"/>
    <w:rsid w:val="006A3A2B"/>
    <w:rsid w:val="006A46A2"/>
    <w:rsid w:val="006A5ADF"/>
    <w:rsid w:val="006A6BF1"/>
    <w:rsid w:val="006A77DA"/>
    <w:rsid w:val="006B0478"/>
    <w:rsid w:val="006B1EE3"/>
    <w:rsid w:val="006B2C8F"/>
    <w:rsid w:val="006B3032"/>
    <w:rsid w:val="006B4B4A"/>
    <w:rsid w:val="006B75AC"/>
    <w:rsid w:val="006B75C6"/>
    <w:rsid w:val="006B76A9"/>
    <w:rsid w:val="006C10AE"/>
    <w:rsid w:val="006C19A6"/>
    <w:rsid w:val="006C3532"/>
    <w:rsid w:val="006C354C"/>
    <w:rsid w:val="006C3B76"/>
    <w:rsid w:val="006C40A2"/>
    <w:rsid w:val="006C4572"/>
    <w:rsid w:val="006C5503"/>
    <w:rsid w:val="006C7B03"/>
    <w:rsid w:val="006D0EC2"/>
    <w:rsid w:val="006D1824"/>
    <w:rsid w:val="006D4837"/>
    <w:rsid w:val="006D4C72"/>
    <w:rsid w:val="006D4E4C"/>
    <w:rsid w:val="006D5585"/>
    <w:rsid w:val="006D5F76"/>
    <w:rsid w:val="006D6D96"/>
    <w:rsid w:val="006D7211"/>
    <w:rsid w:val="006D75C8"/>
    <w:rsid w:val="006D7EA8"/>
    <w:rsid w:val="006E06B8"/>
    <w:rsid w:val="006E2FBD"/>
    <w:rsid w:val="006E367D"/>
    <w:rsid w:val="006E4227"/>
    <w:rsid w:val="006E472B"/>
    <w:rsid w:val="006E7FC3"/>
    <w:rsid w:val="006F0D46"/>
    <w:rsid w:val="006F23DD"/>
    <w:rsid w:val="006F240A"/>
    <w:rsid w:val="006F2BD4"/>
    <w:rsid w:val="006F5158"/>
    <w:rsid w:val="006F520F"/>
    <w:rsid w:val="006F7111"/>
    <w:rsid w:val="00700950"/>
    <w:rsid w:val="00701136"/>
    <w:rsid w:val="00701CD7"/>
    <w:rsid w:val="00702021"/>
    <w:rsid w:val="007028DC"/>
    <w:rsid w:val="0070319A"/>
    <w:rsid w:val="007034F5"/>
    <w:rsid w:val="00703CB4"/>
    <w:rsid w:val="00703F47"/>
    <w:rsid w:val="00704145"/>
    <w:rsid w:val="007041D8"/>
    <w:rsid w:val="00704CE4"/>
    <w:rsid w:val="00704E84"/>
    <w:rsid w:val="0070754E"/>
    <w:rsid w:val="00707C18"/>
    <w:rsid w:val="007102BE"/>
    <w:rsid w:val="007103A9"/>
    <w:rsid w:val="0071218E"/>
    <w:rsid w:val="007124C9"/>
    <w:rsid w:val="007130C5"/>
    <w:rsid w:val="00714BA9"/>
    <w:rsid w:val="00715C6E"/>
    <w:rsid w:val="00716AD2"/>
    <w:rsid w:val="007203CA"/>
    <w:rsid w:val="007226F5"/>
    <w:rsid w:val="00723B2C"/>
    <w:rsid w:val="00724BE0"/>
    <w:rsid w:val="00724C1A"/>
    <w:rsid w:val="00724ED0"/>
    <w:rsid w:val="00724F92"/>
    <w:rsid w:val="007253D6"/>
    <w:rsid w:val="0072578A"/>
    <w:rsid w:val="0072581E"/>
    <w:rsid w:val="0072597A"/>
    <w:rsid w:val="007262F5"/>
    <w:rsid w:val="0073141D"/>
    <w:rsid w:val="00731BA9"/>
    <w:rsid w:val="00731BBB"/>
    <w:rsid w:val="007321C8"/>
    <w:rsid w:val="00732F1B"/>
    <w:rsid w:val="00734604"/>
    <w:rsid w:val="00734C5D"/>
    <w:rsid w:val="0073666C"/>
    <w:rsid w:val="00736CFE"/>
    <w:rsid w:val="0073792C"/>
    <w:rsid w:val="00737A78"/>
    <w:rsid w:val="007409D0"/>
    <w:rsid w:val="0074147C"/>
    <w:rsid w:val="007422A5"/>
    <w:rsid w:val="0074257A"/>
    <w:rsid w:val="007430FD"/>
    <w:rsid w:val="00747434"/>
    <w:rsid w:val="0074788B"/>
    <w:rsid w:val="0075137C"/>
    <w:rsid w:val="0075183C"/>
    <w:rsid w:val="00751B37"/>
    <w:rsid w:val="0075418A"/>
    <w:rsid w:val="00760297"/>
    <w:rsid w:val="007607A3"/>
    <w:rsid w:val="0076093E"/>
    <w:rsid w:val="00761AC9"/>
    <w:rsid w:val="007623BD"/>
    <w:rsid w:val="0076260D"/>
    <w:rsid w:val="00763810"/>
    <w:rsid w:val="00763B77"/>
    <w:rsid w:val="007651CC"/>
    <w:rsid w:val="0076702C"/>
    <w:rsid w:val="00767E0C"/>
    <w:rsid w:val="00767F6C"/>
    <w:rsid w:val="00772829"/>
    <w:rsid w:val="00773103"/>
    <w:rsid w:val="0077451A"/>
    <w:rsid w:val="0077528E"/>
    <w:rsid w:val="00776026"/>
    <w:rsid w:val="00777694"/>
    <w:rsid w:val="00777848"/>
    <w:rsid w:val="00777893"/>
    <w:rsid w:val="00780135"/>
    <w:rsid w:val="0078187A"/>
    <w:rsid w:val="0078187E"/>
    <w:rsid w:val="00783399"/>
    <w:rsid w:val="00784341"/>
    <w:rsid w:val="007852E9"/>
    <w:rsid w:val="00786A51"/>
    <w:rsid w:val="00786E1B"/>
    <w:rsid w:val="00790B15"/>
    <w:rsid w:val="00790F49"/>
    <w:rsid w:val="00791A89"/>
    <w:rsid w:val="00791EC8"/>
    <w:rsid w:val="007928CB"/>
    <w:rsid w:val="007931CB"/>
    <w:rsid w:val="00793B7F"/>
    <w:rsid w:val="00794B91"/>
    <w:rsid w:val="00795184"/>
    <w:rsid w:val="007951D4"/>
    <w:rsid w:val="007959C9"/>
    <w:rsid w:val="00797C46"/>
    <w:rsid w:val="007A19F6"/>
    <w:rsid w:val="007A2B65"/>
    <w:rsid w:val="007A5617"/>
    <w:rsid w:val="007A6D5C"/>
    <w:rsid w:val="007B0245"/>
    <w:rsid w:val="007B083F"/>
    <w:rsid w:val="007B0880"/>
    <w:rsid w:val="007B0D01"/>
    <w:rsid w:val="007B0F18"/>
    <w:rsid w:val="007B2085"/>
    <w:rsid w:val="007B2468"/>
    <w:rsid w:val="007B2FDC"/>
    <w:rsid w:val="007B38A0"/>
    <w:rsid w:val="007B38B7"/>
    <w:rsid w:val="007B40D0"/>
    <w:rsid w:val="007B4F7B"/>
    <w:rsid w:val="007B5638"/>
    <w:rsid w:val="007B583D"/>
    <w:rsid w:val="007B6684"/>
    <w:rsid w:val="007B68B5"/>
    <w:rsid w:val="007B6B21"/>
    <w:rsid w:val="007B7024"/>
    <w:rsid w:val="007B7175"/>
    <w:rsid w:val="007C0390"/>
    <w:rsid w:val="007C14A2"/>
    <w:rsid w:val="007C1B60"/>
    <w:rsid w:val="007C2915"/>
    <w:rsid w:val="007C300E"/>
    <w:rsid w:val="007C328D"/>
    <w:rsid w:val="007C336F"/>
    <w:rsid w:val="007C3A7F"/>
    <w:rsid w:val="007C41B1"/>
    <w:rsid w:val="007C4B87"/>
    <w:rsid w:val="007C5883"/>
    <w:rsid w:val="007D10EF"/>
    <w:rsid w:val="007D30B7"/>
    <w:rsid w:val="007D383A"/>
    <w:rsid w:val="007D3DEA"/>
    <w:rsid w:val="007D3DF8"/>
    <w:rsid w:val="007D4F9E"/>
    <w:rsid w:val="007D6DA4"/>
    <w:rsid w:val="007D7C88"/>
    <w:rsid w:val="007E15AD"/>
    <w:rsid w:val="007E1925"/>
    <w:rsid w:val="007E25ED"/>
    <w:rsid w:val="007E2BC0"/>
    <w:rsid w:val="007E2DFC"/>
    <w:rsid w:val="007E5A97"/>
    <w:rsid w:val="007E6EA5"/>
    <w:rsid w:val="007F21E3"/>
    <w:rsid w:val="007F22C8"/>
    <w:rsid w:val="007F34C9"/>
    <w:rsid w:val="007F369D"/>
    <w:rsid w:val="007F5806"/>
    <w:rsid w:val="007F5FD8"/>
    <w:rsid w:val="007F6693"/>
    <w:rsid w:val="007F67E9"/>
    <w:rsid w:val="007F6EFD"/>
    <w:rsid w:val="007F7543"/>
    <w:rsid w:val="007F7C7B"/>
    <w:rsid w:val="008006F8"/>
    <w:rsid w:val="00800EE5"/>
    <w:rsid w:val="00802CDD"/>
    <w:rsid w:val="00802D46"/>
    <w:rsid w:val="008040A2"/>
    <w:rsid w:val="0080452C"/>
    <w:rsid w:val="00804632"/>
    <w:rsid w:val="00805324"/>
    <w:rsid w:val="008054D9"/>
    <w:rsid w:val="00806688"/>
    <w:rsid w:val="00807A3E"/>
    <w:rsid w:val="00810338"/>
    <w:rsid w:val="008107A1"/>
    <w:rsid w:val="00812282"/>
    <w:rsid w:val="008126FF"/>
    <w:rsid w:val="00813D02"/>
    <w:rsid w:val="008148E4"/>
    <w:rsid w:val="00814958"/>
    <w:rsid w:val="0081549B"/>
    <w:rsid w:val="008157F1"/>
    <w:rsid w:val="00815F24"/>
    <w:rsid w:val="008167A1"/>
    <w:rsid w:val="00816EC2"/>
    <w:rsid w:val="008221BA"/>
    <w:rsid w:val="008236E1"/>
    <w:rsid w:val="00824458"/>
    <w:rsid w:val="008249F7"/>
    <w:rsid w:val="00824B74"/>
    <w:rsid w:val="00824C42"/>
    <w:rsid w:val="008265F1"/>
    <w:rsid w:val="00827027"/>
    <w:rsid w:val="008314F1"/>
    <w:rsid w:val="00832C0A"/>
    <w:rsid w:val="00835EBC"/>
    <w:rsid w:val="00835EC9"/>
    <w:rsid w:val="008360BE"/>
    <w:rsid w:val="008407EB"/>
    <w:rsid w:val="00840D8B"/>
    <w:rsid w:val="00841388"/>
    <w:rsid w:val="00841E7B"/>
    <w:rsid w:val="00841EFB"/>
    <w:rsid w:val="00841F44"/>
    <w:rsid w:val="00842C82"/>
    <w:rsid w:val="008436D7"/>
    <w:rsid w:val="008440FE"/>
    <w:rsid w:val="00844D9F"/>
    <w:rsid w:val="00845BB5"/>
    <w:rsid w:val="00846119"/>
    <w:rsid w:val="008474E3"/>
    <w:rsid w:val="00847AD5"/>
    <w:rsid w:val="008507EE"/>
    <w:rsid w:val="00850BAD"/>
    <w:rsid w:val="00851462"/>
    <w:rsid w:val="008527ED"/>
    <w:rsid w:val="0085338F"/>
    <w:rsid w:val="008537F7"/>
    <w:rsid w:val="0085385B"/>
    <w:rsid w:val="008546BE"/>
    <w:rsid w:val="00856074"/>
    <w:rsid w:val="008566A0"/>
    <w:rsid w:val="00857949"/>
    <w:rsid w:val="00857D1E"/>
    <w:rsid w:val="00861FF5"/>
    <w:rsid w:val="00862E7E"/>
    <w:rsid w:val="00864096"/>
    <w:rsid w:val="0086522C"/>
    <w:rsid w:val="0086628B"/>
    <w:rsid w:val="008719C2"/>
    <w:rsid w:val="00872713"/>
    <w:rsid w:val="0087277A"/>
    <w:rsid w:val="00872A47"/>
    <w:rsid w:val="008730EA"/>
    <w:rsid w:val="00873151"/>
    <w:rsid w:val="008736E2"/>
    <w:rsid w:val="00873F3B"/>
    <w:rsid w:val="00874565"/>
    <w:rsid w:val="00876BD4"/>
    <w:rsid w:val="00877247"/>
    <w:rsid w:val="008801AE"/>
    <w:rsid w:val="00880AA3"/>
    <w:rsid w:val="00881DD7"/>
    <w:rsid w:val="00882101"/>
    <w:rsid w:val="0088247E"/>
    <w:rsid w:val="0088421C"/>
    <w:rsid w:val="0088445B"/>
    <w:rsid w:val="00885536"/>
    <w:rsid w:val="00885C01"/>
    <w:rsid w:val="00887A33"/>
    <w:rsid w:val="00890C82"/>
    <w:rsid w:val="008917A7"/>
    <w:rsid w:val="00891AF6"/>
    <w:rsid w:val="00891BC3"/>
    <w:rsid w:val="0089292B"/>
    <w:rsid w:val="008937C8"/>
    <w:rsid w:val="008948EB"/>
    <w:rsid w:val="00895A38"/>
    <w:rsid w:val="0089633D"/>
    <w:rsid w:val="008967C4"/>
    <w:rsid w:val="00896D90"/>
    <w:rsid w:val="00897A33"/>
    <w:rsid w:val="008A0483"/>
    <w:rsid w:val="008A0D2A"/>
    <w:rsid w:val="008A1693"/>
    <w:rsid w:val="008A254F"/>
    <w:rsid w:val="008A2630"/>
    <w:rsid w:val="008A3593"/>
    <w:rsid w:val="008A360E"/>
    <w:rsid w:val="008A3810"/>
    <w:rsid w:val="008A48D1"/>
    <w:rsid w:val="008A5833"/>
    <w:rsid w:val="008A5F39"/>
    <w:rsid w:val="008A6748"/>
    <w:rsid w:val="008B225D"/>
    <w:rsid w:val="008B24BE"/>
    <w:rsid w:val="008B3481"/>
    <w:rsid w:val="008B39CD"/>
    <w:rsid w:val="008B3A88"/>
    <w:rsid w:val="008B4BFC"/>
    <w:rsid w:val="008B4E32"/>
    <w:rsid w:val="008B51B4"/>
    <w:rsid w:val="008B5B67"/>
    <w:rsid w:val="008B5D7A"/>
    <w:rsid w:val="008B66E3"/>
    <w:rsid w:val="008B7594"/>
    <w:rsid w:val="008B7848"/>
    <w:rsid w:val="008C1E05"/>
    <w:rsid w:val="008C23C5"/>
    <w:rsid w:val="008C2605"/>
    <w:rsid w:val="008C34BB"/>
    <w:rsid w:val="008C45E2"/>
    <w:rsid w:val="008C51BB"/>
    <w:rsid w:val="008C59C2"/>
    <w:rsid w:val="008C5D0F"/>
    <w:rsid w:val="008C67C3"/>
    <w:rsid w:val="008D1574"/>
    <w:rsid w:val="008D1F6A"/>
    <w:rsid w:val="008D3726"/>
    <w:rsid w:val="008D3E35"/>
    <w:rsid w:val="008D3E5A"/>
    <w:rsid w:val="008D4CB0"/>
    <w:rsid w:val="008D6397"/>
    <w:rsid w:val="008D7244"/>
    <w:rsid w:val="008D73C9"/>
    <w:rsid w:val="008E0DC5"/>
    <w:rsid w:val="008E16BF"/>
    <w:rsid w:val="008E2523"/>
    <w:rsid w:val="008E3049"/>
    <w:rsid w:val="008E35A3"/>
    <w:rsid w:val="008E5510"/>
    <w:rsid w:val="008E7274"/>
    <w:rsid w:val="008E7720"/>
    <w:rsid w:val="008F0562"/>
    <w:rsid w:val="008F20CA"/>
    <w:rsid w:val="008F260B"/>
    <w:rsid w:val="008F3676"/>
    <w:rsid w:val="008F5134"/>
    <w:rsid w:val="008F7175"/>
    <w:rsid w:val="0090336D"/>
    <w:rsid w:val="009034F0"/>
    <w:rsid w:val="00904228"/>
    <w:rsid w:val="00904D8F"/>
    <w:rsid w:val="00906821"/>
    <w:rsid w:val="00906E65"/>
    <w:rsid w:val="009073E5"/>
    <w:rsid w:val="00907F4C"/>
    <w:rsid w:val="009136A0"/>
    <w:rsid w:val="009144D5"/>
    <w:rsid w:val="00915D52"/>
    <w:rsid w:val="00915F98"/>
    <w:rsid w:val="00915FA3"/>
    <w:rsid w:val="00917C16"/>
    <w:rsid w:val="00920FBB"/>
    <w:rsid w:val="009217F8"/>
    <w:rsid w:val="00922E07"/>
    <w:rsid w:val="0092470E"/>
    <w:rsid w:val="00925187"/>
    <w:rsid w:val="0092709C"/>
    <w:rsid w:val="0092717F"/>
    <w:rsid w:val="00927744"/>
    <w:rsid w:val="00927B05"/>
    <w:rsid w:val="00930984"/>
    <w:rsid w:val="00930F4E"/>
    <w:rsid w:val="0093109A"/>
    <w:rsid w:val="00932FCC"/>
    <w:rsid w:val="00936062"/>
    <w:rsid w:val="0093611F"/>
    <w:rsid w:val="00937CBE"/>
    <w:rsid w:val="00940966"/>
    <w:rsid w:val="00940FEC"/>
    <w:rsid w:val="00944087"/>
    <w:rsid w:val="00944C1D"/>
    <w:rsid w:val="00944E74"/>
    <w:rsid w:val="00945358"/>
    <w:rsid w:val="0094654D"/>
    <w:rsid w:val="00946BFF"/>
    <w:rsid w:val="00946F10"/>
    <w:rsid w:val="0094738F"/>
    <w:rsid w:val="0095012E"/>
    <w:rsid w:val="00950F9B"/>
    <w:rsid w:val="00951934"/>
    <w:rsid w:val="0095207B"/>
    <w:rsid w:val="00953FDA"/>
    <w:rsid w:val="009549E3"/>
    <w:rsid w:val="00954C8C"/>
    <w:rsid w:val="00956ACE"/>
    <w:rsid w:val="009571C0"/>
    <w:rsid w:val="009572A0"/>
    <w:rsid w:val="00957D24"/>
    <w:rsid w:val="00960DCF"/>
    <w:rsid w:val="00961287"/>
    <w:rsid w:val="00961B30"/>
    <w:rsid w:val="00961B53"/>
    <w:rsid w:val="00963264"/>
    <w:rsid w:val="0096389D"/>
    <w:rsid w:val="00963A9C"/>
    <w:rsid w:val="00964113"/>
    <w:rsid w:val="00965326"/>
    <w:rsid w:val="009657F0"/>
    <w:rsid w:val="00965A6E"/>
    <w:rsid w:val="00965EF1"/>
    <w:rsid w:val="00967054"/>
    <w:rsid w:val="009676C0"/>
    <w:rsid w:val="00972399"/>
    <w:rsid w:val="00972A98"/>
    <w:rsid w:val="00973FBA"/>
    <w:rsid w:val="0097595A"/>
    <w:rsid w:val="009803A9"/>
    <w:rsid w:val="009803CB"/>
    <w:rsid w:val="009803D4"/>
    <w:rsid w:val="009803EF"/>
    <w:rsid w:val="009807A2"/>
    <w:rsid w:val="00981080"/>
    <w:rsid w:val="009814B7"/>
    <w:rsid w:val="00981781"/>
    <w:rsid w:val="0098199C"/>
    <w:rsid w:val="00982A27"/>
    <w:rsid w:val="00983E63"/>
    <w:rsid w:val="00984058"/>
    <w:rsid w:val="0098523F"/>
    <w:rsid w:val="009873F3"/>
    <w:rsid w:val="009906A0"/>
    <w:rsid w:val="00990997"/>
    <w:rsid w:val="00992DD2"/>
    <w:rsid w:val="00992FC1"/>
    <w:rsid w:val="00993EA7"/>
    <w:rsid w:val="00995E98"/>
    <w:rsid w:val="00996F15"/>
    <w:rsid w:val="00997BA8"/>
    <w:rsid w:val="009A06F4"/>
    <w:rsid w:val="009A29B2"/>
    <w:rsid w:val="009A2AD0"/>
    <w:rsid w:val="009A2DE5"/>
    <w:rsid w:val="009A3778"/>
    <w:rsid w:val="009A3E2E"/>
    <w:rsid w:val="009A5135"/>
    <w:rsid w:val="009A70B9"/>
    <w:rsid w:val="009A7569"/>
    <w:rsid w:val="009A7F34"/>
    <w:rsid w:val="009B18DB"/>
    <w:rsid w:val="009B1F53"/>
    <w:rsid w:val="009B2245"/>
    <w:rsid w:val="009B235C"/>
    <w:rsid w:val="009B258E"/>
    <w:rsid w:val="009B5997"/>
    <w:rsid w:val="009B6B23"/>
    <w:rsid w:val="009B6E41"/>
    <w:rsid w:val="009B7799"/>
    <w:rsid w:val="009B7ABD"/>
    <w:rsid w:val="009C0339"/>
    <w:rsid w:val="009C0D8D"/>
    <w:rsid w:val="009C1D27"/>
    <w:rsid w:val="009C265E"/>
    <w:rsid w:val="009C2B0D"/>
    <w:rsid w:val="009C3BD9"/>
    <w:rsid w:val="009C4954"/>
    <w:rsid w:val="009C5B82"/>
    <w:rsid w:val="009C5F05"/>
    <w:rsid w:val="009C6FA2"/>
    <w:rsid w:val="009C756E"/>
    <w:rsid w:val="009D21BE"/>
    <w:rsid w:val="009D2377"/>
    <w:rsid w:val="009D3A42"/>
    <w:rsid w:val="009D3C3D"/>
    <w:rsid w:val="009D3F31"/>
    <w:rsid w:val="009D434C"/>
    <w:rsid w:val="009D5288"/>
    <w:rsid w:val="009D6E9D"/>
    <w:rsid w:val="009D6F53"/>
    <w:rsid w:val="009D7126"/>
    <w:rsid w:val="009D737D"/>
    <w:rsid w:val="009E252D"/>
    <w:rsid w:val="009E263A"/>
    <w:rsid w:val="009E2AD3"/>
    <w:rsid w:val="009E3326"/>
    <w:rsid w:val="009E47E5"/>
    <w:rsid w:val="009E7A37"/>
    <w:rsid w:val="009F12BB"/>
    <w:rsid w:val="009F146F"/>
    <w:rsid w:val="009F184C"/>
    <w:rsid w:val="009F2357"/>
    <w:rsid w:val="009F290C"/>
    <w:rsid w:val="009F2AF7"/>
    <w:rsid w:val="009F3C75"/>
    <w:rsid w:val="009F41FB"/>
    <w:rsid w:val="009F5C83"/>
    <w:rsid w:val="00A0037E"/>
    <w:rsid w:val="00A005F9"/>
    <w:rsid w:val="00A01303"/>
    <w:rsid w:val="00A02C4F"/>
    <w:rsid w:val="00A04A09"/>
    <w:rsid w:val="00A05821"/>
    <w:rsid w:val="00A05D1D"/>
    <w:rsid w:val="00A05EA2"/>
    <w:rsid w:val="00A070B8"/>
    <w:rsid w:val="00A076CC"/>
    <w:rsid w:val="00A07838"/>
    <w:rsid w:val="00A1010E"/>
    <w:rsid w:val="00A1069E"/>
    <w:rsid w:val="00A11311"/>
    <w:rsid w:val="00A1165C"/>
    <w:rsid w:val="00A125D6"/>
    <w:rsid w:val="00A12DD5"/>
    <w:rsid w:val="00A1302D"/>
    <w:rsid w:val="00A13BB0"/>
    <w:rsid w:val="00A14E53"/>
    <w:rsid w:val="00A153A9"/>
    <w:rsid w:val="00A15463"/>
    <w:rsid w:val="00A15580"/>
    <w:rsid w:val="00A15F70"/>
    <w:rsid w:val="00A16382"/>
    <w:rsid w:val="00A16449"/>
    <w:rsid w:val="00A16F81"/>
    <w:rsid w:val="00A21F2E"/>
    <w:rsid w:val="00A22B9C"/>
    <w:rsid w:val="00A22EFC"/>
    <w:rsid w:val="00A2577C"/>
    <w:rsid w:val="00A26389"/>
    <w:rsid w:val="00A303B8"/>
    <w:rsid w:val="00A31A28"/>
    <w:rsid w:val="00A34735"/>
    <w:rsid w:val="00A34F84"/>
    <w:rsid w:val="00A361C3"/>
    <w:rsid w:val="00A369A5"/>
    <w:rsid w:val="00A371F4"/>
    <w:rsid w:val="00A411FA"/>
    <w:rsid w:val="00A413D0"/>
    <w:rsid w:val="00A44EC1"/>
    <w:rsid w:val="00A45104"/>
    <w:rsid w:val="00A454B3"/>
    <w:rsid w:val="00A45BDF"/>
    <w:rsid w:val="00A45E52"/>
    <w:rsid w:val="00A461F3"/>
    <w:rsid w:val="00A46652"/>
    <w:rsid w:val="00A46807"/>
    <w:rsid w:val="00A46D15"/>
    <w:rsid w:val="00A4713D"/>
    <w:rsid w:val="00A51D00"/>
    <w:rsid w:val="00A52357"/>
    <w:rsid w:val="00A52A83"/>
    <w:rsid w:val="00A5323B"/>
    <w:rsid w:val="00A54FB4"/>
    <w:rsid w:val="00A56DE0"/>
    <w:rsid w:val="00A6143F"/>
    <w:rsid w:val="00A631E4"/>
    <w:rsid w:val="00A63840"/>
    <w:rsid w:val="00A63C18"/>
    <w:rsid w:val="00A63FCE"/>
    <w:rsid w:val="00A662DC"/>
    <w:rsid w:val="00A6741B"/>
    <w:rsid w:val="00A7177E"/>
    <w:rsid w:val="00A72372"/>
    <w:rsid w:val="00A730FC"/>
    <w:rsid w:val="00A74226"/>
    <w:rsid w:val="00A74D42"/>
    <w:rsid w:val="00A757B0"/>
    <w:rsid w:val="00A76188"/>
    <w:rsid w:val="00A776A4"/>
    <w:rsid w:val="00A80357"/>
    <w:rsid w:val="00A8049D"/>
    <w:rsid w:val="00A8050F"/>
    <w:rsid w:val="00A8082A"/>
    <w:rsid w:val="00A80B6D"/>
    <w:rsid w:val="00A80EFD"/>
    <w:rsid w:val="00A819FB"/>
    <w:rsid w:val="00A822C2"/>
    <w:rsid w:val="00A82990"/>
    <w:rsid w:val="00A83476"/>
    <w:rsid w:val="00A8496C"/>
    <w:rsid w:val="00A85F99"/>
    <w:rsid w:val="00A86B1C"/>
    <w:rsid w:val="00A90401"/>
    <w:rsid w:val="00A91F7B"/>
    <w:rsid w:val="00A921E3"/>
    <w:rsid w:val="00A93116"/>
    <w:rsid w:val="00A9475C"/>
    <w:rsid w:val="00A94D20"/>
    <w:rsid w:val="00A96B0C"/>
    <w:rsid w:val="00A9752B"/>
    <w:rsid w:val="00AA08CF"/>
    <w:rsid w:val="00AA2461"/>
    <w:rsid w:val="00AA27A6"/>
    <w:rsid w:val="00AA2865"/>
    <w:rsid w:val="00AA37B0"/>
    <w:rsid w:val="00AA3A9B"/>
    <w:rsid w:val="00AA3BF1"/>
    <w:rsid w:val="00AA48E7"/>
    <w:rsid w:val="00AA5410"/>
    <w:rsid w:val="00AA72A8"/>
    <w:rsid w:val="00AB000C"/>
    <w:rsid w:val="00AB08E8"/>
    <w:rsid w:val="00AB0ECB"/>
    <w:rsid w:val="00AB1244"/>
    <w:rsid w:val="00AB1592"/>
    <w:rsid w:val="00AB21C6"/>
    <w:rsid w:val="00AB2498"/>
    <w:rsid w:val="00AB2841"/>
    <w:rsid w:val="00AB423D"/>
    <w:rsid w:val="00AB444F"/>
    <w:rsid w:val="00AB4D19"/>
    <w:rsid w:val="00AB5BBD"/>
    <w:rsid w:val="00AB6067"/>
    <w:rsid w:val="00AB61BF"/>
    <w:rsid w:val="00AB6642"/>
    <w:rsid w:val="00AC3ED9"/>
    <w:rsid w:val="00AC474A"/>
    <w:rsid w:val="00AC501E"/>
    <w:rsid w:val="00AC5BA1"/>
    <w:rsid w:val="00AC5E57"/>
    <w:rsid w:val="00AC6B9B"/>
    <w:rsid w:val="00AC6F7D"/>
    <w:rsid w:val="00AC720A"/>
    <w:rsid w:val="00AC739D"/>
    <w:rsid w:val="00AD2DA3"/>
    <w:rsid w:val="00AD302D"/>
    <w:rsid w:val="00AD568E"/>
    <w:rsid w:val="00AD56C3"/>
    <w:rsid w:val="00AD5CAC"/>
    <w:rsid w:val="00AD60EA"/>
    <w:rsid w:val="00AD6630"/>
    <w:rsid w:val="00AD67D4"/>
    <w:rsid w:val="00AE128C"/>
    <w:rsid w:val="00AE1BDB"/>
    <w:rsid w:val="00AE2DA9"/>
    <w:rsid w:val="00AE4331"/>
    <w:rsid w:val="00AE555E"/>
    <w:rsid w:val="00AE614D"/>
    <w:rsid w:val="00AE6F46"/>
    <w:rsid w:val="00AE70D7"/>
    <w:rsid w:val="00AE73D9"/>
    <w:rsid w:val="00AE7849"/>
    <w:rsid w:val="00AE7977"/>
    <w:rsid w:val="00AF1F10"/>
    <w:rsid w:val="00AF2648"/>
    <w:rsid w:val="00AF3AB8"/>
    <w:rsid w:val="00AF3D39"/>
    <w:rsid w:val="00AF4223"/>
    <w:rsid w:val="00AF497B"/>
    <w:rsid w:val="00AF5802"/>
    <w:rsid w:val="00AF6061"/>
    <w:rsid w:val="00AF632C"/>
    <w:rsid w:val="00AF647C"/>
    <w:rsid w:val="00AF6765"/>
    <w:rsid w:val="00AF6A4C"/>
    <w:rsid w:val="00B000C1"/>
    <w:rsid w:val="00B00191"/>
    <w:rsid w:val="00B0187E"/>
    <w:rsid w:val="00B02183"/>
    <w:rsid w:val="00B02FA4"/>
    <w:rsid w:val="00B047C2"/>
    <w:rsid w:val="00B04CB1"/>
    <w:rsid w:val="00B05417"/>
    <w:rsid w:val="00B054CA"/>
    <w:rsid w:val="00B05635"/>
    <w:rsid w:val="00B073EB"/>
    <w:rsid w:val="00B07620"/>
    <w:rsid w:val="00B11471"/>
    <w:rsid w:val="00B1210D"/>
    <w:rsid w:val="00B1314F"/>
    <w:rsid w:val="00B146FE"/>
    <w:rsid w:val="00B15023"/>
    <w:rsid w:val="00B151CF"/>
    <w:rsid w:val="00B17F5E"/>
    <w:rsid w:val="00B20445"/>
    <w:rsid w:val="00B224BB"/>
    <w:rsid w:val="00B226E3"/>
    <w:rsid w:val="00B235C7"/>
    <w:rsid w:val="00B247AD"/>
    <w:rsid w:val="00B25D05"/>
    <w:rsid w:val="00B260DA"/>
    <w:rsid w:val="00B26622"/>
    <w:rsid w:val="00B26669"/>
    <w:rsid w:val="00B276B4"/>
    <w:rsid w:val="00B303F6"/>
    <w:rsid w:val="00B307B7"/>
    <w:rsid w:val="00B30E53"/>
    <w:rsid w:val="00B33D1B"/>
    <w:rsid w:val="00B36028"/>
    <w:rsid w:val="00B37C5A"/>
    <w:rsid w:val="00B40064"/>
    <w:rsid w:val="00B40C4F"/>
    <w:rsid w:val="00B4335E"/>
    <w:rsid w:val="00B4358F"/>
    <w:rsid w:val="00B437FC"/>
    <w:rsid w:val="00B43AC5"/>
    <w:rsid w:val="00B463B9"/>
    <w:rsid w:val="00B50A44"/>
    <w:rsid w:val="00B54097"/>
    <w:rsid w:val="00B54496"/>
    <w:rsid w:val="00B545B5"/>
    <w:rsid w:val="00B54E5C"/>
    <w:rsid w:val="00B55524"/>
    <w:rsid w:val="00B57353"/>
    <w:rsid w:val="00B575BF"/>
    <w:rsid w:val="00B606E0"/>
    <w:rsid w:val="00B60702"/>
    <w:rsid w:val="00B61178"/>
    <w:rsid w:val="00B612EA"/>
    <w:rsid w:val="00B61A89"/>
    <w:rsid w:val="00B61C66"/>
    <w:rsid w:val="00B62604"/>
    <w:rsid w:val="00B62DF2"/>
    <w:rsid w:val="00B652B2"/>
    <w:rsid w:val="00B653B1"/>
    <w:rsid w:val="00B655C6"/>
    <w:rsid w:val="00B66A87"/>
    <w:rsid w:val="00B670E3"/>
    <w:rsid w:val="00B67D03"/>
    <w:rsid w:val="00B712D0"/>
    <w:rsid w:val="00B71808"/>
    <w:rsid w:val="00B72D9B"/>
    <w:rsid w:val="00B7545C"/>
    <w:rsid w:val="00B757E5"/>
    <w:rsid w:val="00B77218"/>
    <w:rsid w:val="00B77341"/>
    <w:rsid w:val="00B81F38"/>
    <w:rsid w:val="00B83B62"/>
    <w:rsid w:val="00B8417F"/>
    <w:rsid w:val="00B8535F"/>
    <w:rsid w:val="00B858C5"/>
    <w:rsid w:val="00B858E9"/>
    <w:rsid w:val="00B8619F"/>
    <w:rsid w:val="00B86A9D"/>
    <w:rsid w:val="00B871C7"/>
    <w:rsid w:val="00B878CD"/>
    <w:rsid w:val="00B87909"/>
    <w:rsid w:val="00B90D67"/>
    <w:rsid w:val="00B91CB1"/>
    <w:rsid w:val="00B9249B"/>
    <w:rsid w:val="00B92671"/>
    <w:rsid w:val="00B9273F"/>
    <w:rsid w:val="00B93F19"/>
    <w:rsid w:val="00B944EE"/>
    <w:rsid w:val="00B94C73"/>
    <w:rsid w:val="00B9502D"/>
    <w:rsid w:val="00B9536C"/>
    <w:rsid w:val="00B954C4"/>
    <w:rsid w:val="00B96E56"/>
    <w:rsid w:val="00B97CCB"/>
    <w:rsid w:val="00BA055F"/>
    <w:rsid w:val="00BA1FFB"/>
    <w:rsid w:val="00BA243A"/>
    <w:rsid w:val="00BA2B3F"/>
    <w:rsid w:val="00BA4E45"/>
    <w:rsid w:val="00BA56B8"/>
    <w:rsid w:val="00BA570A"/>
    <w:rsid w:val="00BA59FB"/>
    <w:rsid w:val="00BA6419"/>
    <w:rsid w:val="00BB14A3"/>
    <w:rsid w:val="00BB1C12"/>
    <w:rsid w:val="00BB360C"/>
    <w:rsid w:val="00BB78EF"/>
    <w:rsid w:val="00BC15DE"/>
    <w:rsid w:val="00BC17C8"/>
    <w:rsid w:val="00BC2721"/>
    <w:rsid w:val="00BC369C"/>
    <w:rsid w:val="00BC3839"/>
    <w:rsid w:val="00BC3C98"/>
    <w:rsid w:val="00BC40B6"/>
    <w:rsid w:val="00BC474C"/>
    <w:rsid w:val="00BC4972"/>
    <w:rsid w:val="00BC510F"/>
    <w:rsid w:val="00BC6897"/>
    <w:rsid w:val="00BD1B85"/>
    <w:rsid w:val="00BD1B8D"/>
    <w:rsid w:val="00BD33D4"/>
    <w:rsid w:val="00BD40B1"/>
    <w:rsid w:val="00BD5D24"/>
    <w:rsid w:val="00BD6468"/>
    <w:rsid w:val="00BD7690"/>
    <w:rsid w:val="00BE0A37"/>
    <w:rsid w:val="00BE1734"/>
    <w:rsid w:val="00BE3B2C"/>
    <w:rsid w:val="00BE47BF"/>
    <w:rsid w:val="00BE5374"/>
    <w:rsid w:val="00BE5AA6"/>
    <w:rsid w:val="00BE60EF"/>
    <w:rsid w:val="00BE627A"/>
    <w:rsid w:val="00BE6CE8"/>
    <w:rsid w:val="00BE7024"/>
    <w:rsid w:val="00BF0047"/>
    <w:rsid w:val="00BF0EAF"/>
    <w:rsid w:val="00BF1B1B"/>
    <w:rsid w:val="00BF249F"/>
    <w:rsid w:val="00BF24CE"/>
    <w:rsid w:val="00BF5D60"/>
    <w:rsid w:val="00BF6245"/>
    <w:rsid w:val="00BF6D12"/>
    <w:rsid w:val="00BF7258"/>
    <w:rsid w:val="00BF7C54"/>
    <w:rsid w:val="00C0197B"/>
    <w:rsid w:val="00C01B28"/>
    <w:rsid w:val="00C01D5F"/>
    <w:rsid w:val="00C0284B"/>
    <w:rsid w:val="00C0345A"/>
    <w:rsid w:val="00C03511"/>
    <w:rsid w:val="00C03A71"/>
    <w:rsid w:val="00C04C3A"/>
    <w:rsid w:val="00C04E9F"/>
    <w:rsid w:val="00C05700"/>
    <w:rsid w:val="00C074CD"/>
    <w:rsid w:val="00C07C20"/>
    <w:rsid w:val="00C107C3"/>
    <w:rsid w:val="00C124B7"/>
    <w:rsid w:val="00C125FB"/>
    <w:rsid w:val="00C12C9F"/>
    <w:rsid w:val="00C13520"/>
    <w:rsid w:val="00C1363F"/>
    <w:rsid w:val="00C142EC"/>
    <w:rsid w:val="00C14F9B"/>
    <w:rsid w:val="00C14FAB"/>
    <w:rsid w:val="00C15F42"/>
    <w:rsid w:val="00C1610B"/>
    <w:rsid w:val="00C1611D"/>
    <w:rsid w:val="00C16C9A"/>
    <w:rsid w:val="00C16E41"/>
    <w:rsid w:val="00C175E4"/>
    <w:rsid w:val="00C206CC"/>
    <w:rsid w:val="00C21DA4"/>
    <w:rsid w:val="00C22410"/>
    <w:rsid w:val="00C22F13"/>
    <w:rsid w:val="00C2310F"/>
    <w:rsid w:val="00C232E0"/>
    <w:rsid w:val="00C23AA6"/>
    <w:rsid w:val="00C23BA1"/>
    <w:rsid w:val="00C23DF8"/>
    <w:rsid w:val="00C24B5E"/>
    <w:rsid w:val="00C2534F"/>
    <w:rsid w:val="00C2674D"/>
    <w:rsid w:val="00C26F35"/>
    <w:rsid w:val="00C30058"/>
    <w:rsid w:val="00C317A2"/>
    <w:rsid w:val="00C33A56"/>
    <w:rsid w:val="00C343FC"/>
    <w:rsid w:val="00C35AE6"/>
    <w:rsid w:val="00C3651F"/>
    <w:rsid w:val="00C36633"/>
    <w:rsid w:val="00C36E9D"/>
    <w:rsid w:val="00C37C86"/>
    <w:rsid w:val="00C411A8"/>
    <w:rsid w:val="00C412B1"/>
    <w:rsid w:val="00C4225B"/>
    <w:rsid w:val="00C4436C"/>
    <w:rsid w:val="00C45208"/>
    <w:rsid w:val="00C461B2"/>
    <w:rsid w:val="00C4656D"/>
    <w:rsid w:val="00C46BEE"/>
    <w:rsid w:val="00C47879"/>
    <w:rsid w:val="00C47C8E"/>
    <w:rsid w:val="00C5028E"/>
    <w:rsid w:val="00C515F1"/>
    <w:rsid w:val="00C52FD1"/>
    <w:rsid w:val="00C5359B"/>
    <w:rsid w:val="00C53729"/>
    <w:rsid w:val="00C53AF7"/>
    <w:rsid w:val="00C554B5"/>
    <w:rsid w:val="00C56EF2"/>
    <w:rsid w:val="00C570A6"/>
    <w:rsid w:val="00C579F3"/>
    <w:rsid w:val="00C600B3"/>
    <w:rsid w:val="00C60DE1"/>
    <w:rsid w:val="00C61464"/>
    <w:rsid w:val="00C63A73"/>
    <w:rsid w:val="00C6479F"/>
    <w:rsid w:val="00C653D0"/>
    <w:rsid w:val="00C670C1"/>
    <w:rsid w:val="00C67E8E"/>
    <w:rsid w:val="00C70292"/>
    <w:rsid w:val="00C71D38"/>
    <w:rsid w:val="00C72177"/>
    <w:rsid w:val="00C73937"/>
    <w:rsid w:val="00C74B8C"/>
    <w:rsid w:val="00C750F4"/>
    <w:rsid w:val="00C75E11"/>
    <w:rsid w:val="00C77899"/>
    <w:rsid w:val="00C7789F"/>
    <w:rsid w:val="00C80088"/>
    <w:rsid w:val="00C8268F"/>
    <w:rsid w:val="00C82C93"/>
    <w:rsid w:val="00C83535"/>
    <w:rsid w:val="00C83D84"/>
    <w:rsid w:val="00C8526A"/>
    <w:rsid w:val="00C87436"/>
    <w:rsid w:val="00C87AF1"/>
    <w:rsid w:val="00C91651"/>
    <w:rsid w:val="00C9172D"/>
    <w:rsid w:val="00C917A4"/>
    <w:rsid w:val="00C922A2"/>
    <w:rsid w:val="00C97747"/>
    <w:rsid w:val="00C97893"/>
    <w:rsid w:val="00C97CEE"/>
    <w:rsid w:val="00CA0F4A"/>
    <w:rsid w:val="00CA1D89"/>
    <w:rsid w:val="00CA2396"/>
    <w:rsid w:val="00CA26EA"/>
    <w:rsid w:val="00CA2FB2"/>
    <w:rsid w:val="00CA3D3A"/>
    <w:rsid w:val="00CA42D6"/>
    <w:rsid w:val="00CA528A"/>
    <w:rsid w:val="00CA6FCF"/>
    <w:rsid w:val="00CA700E"/>
    <w:rsid w:val="00CA7AC8"/>
    <w:rsid w:val="00CA7BC1"/>
    <w:rsid w:val="00CB0D35"/>
    <w:rsid w:val="00CB15E9"/>
    <w:rsid w:val="00CB2BD5"/>
    <w:rsid w:val="00CB4807"/>
    <w:rsid w:val="00CB5C55"/>
    <w:rsid w:val="00CB5FB2"/>
    <w:rsid w:val="00CB639F"/>
    <w:rsid w:val="00CB7687"/>
    <w:rsid w:val="00CB772D"/>
    <w:rsid w:val="00CC1D1A"/>
    <w:rsid w:val="00CC4202"/>
    <w:rsid w:val="00CC5956"/>
    <w:rsid w:val="00CC5DD4"/>
    <w:rsid w:val="00CC6260"/>
    <w:rsid w:val="00CC6C27"/>
    <w:rsid w:val="00CC6DEE"/>
    <w:rsid w:val="00CC7988"/>
    <w:rsid w:val="00CD06DD"/>
    <w:rsid w:val="00CD09E6"/>
    <w:rsid w:val="00CD1404"/>
    <w:rsid w:val="00CD4357"/>
    <w:rsid w:val="00CD5142"/>
    <w:rsid w:val="00CD5C54"/>
    <w:rsid w:val="00CD76CB"/>
    <w:rsid w:val="00CE0E67"/>
    <w:rsid w:val="00CE28E3"/>
    <w:rsid w:val="00CE3973"/>
    <w:rsid w:val="00CE564A"/>
    <w:rsid w:val="00CE5658"/>
    <w:rsid w:val="00CE56D5"/>
    <w:rsid w:val="00CE66C8"/>
    <w:rsid w:val="00CE70DA"/>
    <w:rsid w:val="00CF1A2D"/>
    <w:rsid w:val="00CF2913"/>
    <w:rsid w:val="00CF2C34"/>
    <w:rsid w:val="00CF2F7D"/>
    <w:rsid w:val="00CF3B52"/>
    <w:rsid w:val="00CF3E1D"/>
    <w:rsid w:val="00CF439F"/>
    <w:rsid w:val="00CF4D39"/>
    <w:rsid w:val="00CF52F1"/>
    <w:rsid w:val="00CF5873"/>
    <w:rsid w:val="00CF7120"/>
    <w:rsid w:val="00CF724C"/>
    <w:rsid w:val="00CF782B"/>
    <w:rsid w:val="00D001B4"/>
    <w:rsid w:val="00D003B7"/>
    <w:rsid w:val="00D00E36"/>
    <w:rsid w:val="00D01D43"/>
    <w:rsid w:val="00D02F4F"/>
    <w:rsid w:val="00D04CB3"/>
    <w:rsid w:val="00D104DE"/>
    <w:rsid w:val="00D12BB5"/>
    <w:rsid w:val="00D132F1"/>
    <w:rsid w:val="00D133FB"/>
    <w:rsid w:val="00D13AC3"/>
    <w:rsid w:val="00D140C6"/>
    <w:rsid w:val="00D14B63"/>
    <w:rsid w:val="00D14E59"/>
    <w:rsid w:val="00D152C6"/>
    <w:rsid w:val="00D15A4B"/>
    <w:rsid w:val="00D15BDC"/>
    <w:rsid w:val="00D161FA"/>
    <w:rsid w:val="00D17F2E"/>
    <w:rsid w:val="00D20031"/>
    <w:rsid w:val="00D20923"/>
    <w:rsid w:val="00D219C7"/>
    <w:rsid w:val="00D22AA0"/>
    <w:rsid w:val="00D2367E"/>
    <w:rsid w:val="00D24449"/>
    <w:rsid w:val="00D26D13"/>
    <w:rsid w:val="00D27251"/>
    <w:rsid w:val="00D3071D"/>
    <w:rsid w:val="00D310FB"/>
    <w:rsid w:val="00D313B3"/>
    <w:rsid w:val="00D3146E"/>
    <w:rsid w:val="00D32321"/>
    <w:rsid w:val="00D3292B"/>
    <w:rsid w:val="00D33F02"/>
    <w:rsid w:val="00D358F7"/>
    <w:rsid w:val="00D35EC1"/>
    <w:rsid w:val="00D36171"/>
    <w:rsid w:val="00D36376"/>
    <w:rsid w:val="00D36557"/>
    <w:rsid w:val="00D36E67"/>
    <w:rsid w:val="00D37EF5"/>
    <w:rsid w:val="00D40BE3"/>
    <w:rsid w:val="00D419C9"/>
    <w:rsid w:val="00D428B9"/>
    <w:rsid w:val="00D42FC7"/>
    <w:rsid w:val="00D43246"/>
    <w:rsid w:val="00D44ABD"/>
    <w:rsid w:val="00D45160"/>
    <w:rsid w:val="00D4561D"/>
    <w:rsid w:val="00D45750"/>
    <w:rsid w:val="00D457EA"/>
    <w:rsid w:val="00D45C42"/>
    <w:rsid w:val="00D479B7"/>
    <w:rsid w:val="00D51351"/>
    <w:rsid w:val="00D52246"/>
    <w:rsid w:val="00D52E54"/>
    <w:rsid w:val="00D52FF5"/>
    <w:rsid w:val="00D53004"/>
    <w:rsid w:val="00D53EEA"/>
    <w:rsid w:val="00D56DFA"/>
    <w:rsid w:val="00D601C4"/>
    <w:rsid w:val="00D60E22"/>
    <w:rsid w:val="00D61302"/>
    <w:rsid w:val="00D6197D"/>
    <w:rsid w:val="00D62F4D"/>
    <w:rsid w:val="00D63B41"/>
    <w:rsid w:val="00D64906"/>
    <w:rsid w:val="00D652D9"/>
    <w:rsid w:val="00D65AA1"/>
    <w:rsid w:val="00D66265"/>
    <w:rsid w:val="00D667D0"/>
    <w:rsid w:val="00D6723F"/>
    <w:rsid w:val="00D70DAF"/>
    <w:rsid w:val="00D70DDA"/>
    <w:rsid w:val="00D729B6"/>
    <w:rsid w:val="00D735C5"/>
    <w:rsid w:val="00D73AD9"/>
    <w:rsid w:val="00D74131"/>
    <w:rsid w:val="00D75E6D"/>
    <w:rsid w:val="00D80454"/>
    <w:rsid w:val="00D80984"/>
    <w:rsid w:val="00D80C29"/>
    <w:rsid w:val="00D80F8B"/>
    <w:rsid w:val="00D81736"/>
    <w:rsid w:val="00D8316D"/>
    <w:rsid w:val="00D83B51"/>
    <w:rsid w:val="00D83D36"/>
    <w:rsid w:val="00D8463E"/>
    <w:rsid w:val="00D84ECA"/>
    <w:rsid w:val="00D8525E"/>
    <w:rsid w:val="00D85C83"/>
    <w:rsid w:val="00D866AB"/>
    <w:rsid w:val="00D9041B"/>
    <w:rsid w:val="00D90DBB"/>
    <w:rsid w:val="00D90F03"/>
    <w:rsid w:val="00D9141D"/>
    <w:rsid w:val="00D919E8"/>
    <w:rsid w:val="00D939A1"/>
    <w:rsid w:val="00D946C9"/>
    <w:rsid w:val="00D946E5"/>
    <w:rsid w:val="00D94CF3"/>
    <w:rsid w:val="00D96380"/>
    <w:rsid w:val="00D967A8"/>
    <w:rsid w:val="00DA058E"/>
    <w:rsid w:val="00DA3006"/>
    <w:rsid w:val="00DA512C"/>
    <w:rsid w:val="00DA571C"/>
    <w:rsid w:val="00DA5B8F"/>
    <w:rsid w:val="00DA5F62"/>
    <w:rsid w:val="00DA6669"/>
    <w:rsid w:val="00DA6765"/>
    <w:rsid w:val="00DA6C9C"/>
    <w:rsid w:val="00DB003C"/>
    <w:rsid w:val="00DB1191"/>
    <w:rsid w:val="00DB1E91"/>
    <w:rsid w:val="00DB1ECE"/>
    <w:rsid w:val="00DB267F"/>
    <w:rsid w:val="00DB2C29"/>
    <w:rsid w:val="00DB3B0A"/>
    <w:rsid w:val="00DB4410"/>
    <w:rsid w:val="00DB4DB1"/>
    <w:rsid w:val="00DB4F92"/>
    <w:rsid w:val="00DB5117"/>
    <w:rsid w:val="00DB6031"/>
    <w:rsid w:val="00DB646A"/>
    <w:rsid w:val="00DB664A"/>
    <w:rsid w:val="00DB6C1A"/>
    <w:rsid w:val="00DB6F8D"/>
    <w:rsid w:val="00DB7463"/>
    <w:rsid w:val="00DB7B1F"/>
    <w:rsid w:val="00DC0727"/>
    <w:rsid w:val="00DC14AF"/>
    <w:rsid w:val="00DC1540"/>
    <w:rsid w:val="00DC15F4"/>
    <w:rsid w:val="00DC1720"/>
    <w:rsid w:val="00DC1DE5"/>
    <w:rsid w:val="00DC30C0"/>
    <w:rsid w:val="00DC3633"/>
    <w:rsid w:val="00DC4108"/>
    <w:rsid w:val="00DC47A2"/>
    <w:rsid w:val="00DC4EC7"/>
    <w:rsid w:val="00DC4F64"/>
    <w:rsid w:val="00DC50C5"/>
    <w:rsid w:val="00DC5A46"/>
    <w:rsid w:val="00DC64A7"/>
    <w:rsid w:val="00DC7CB4"/>
    <w:rsid w:val="00DD0953"/>
    <w:rsid w:val="00DD0E96"/>
    <w:rsid w:val="00DD1A95"/>
    <w:rsid w:val="00DD2C81"/>
    <w:rsid w:val="00DD31D5"/>
    <w:rsid w:val="00DD4DE1"/>
    <w:rsid w:val="00DD5787"/>
    <w:rsid w:val="00DE0529"/>
    <w:rsid w:val="00DE2496"/>
    <w:rsid w:val="00DE36FE"/>
    <w:rsid w:val="00DE4B64"/>
    <w:rsid w:val="00DE4FEE"/>
    <w:rsid w:val="00DE5875"/>
    <w:rsid w:val="00DE7099"/>
    <w:rsid w:val="00DE7AED"/>
    <w:rsid w:val="00DF0F06"/>
    <w:rsid w:val="00DF0FAA"/>
    <w:rsid w:val="00DF341B"/>
    <w:rsid w:val="00DF3569"/>
    <w:rsid w:val="00DF39E9"/>
    <w:rsid w:val="00DF4054"/>
    <w:rsid w:val="00DF431B"/>
    <w:rsid w:val="00DF5B70"/>
    <w:rsid w:val="00DF5ECB"/>
    <w:rsid w:val="00DF5FEE"/>
    <w:rsid w:val="00DF74D9"/>
    <w:rsid w:val="00E00B52"/>
    <w:rsid w:val="00E02FDE"/>
    <w:rsid w:val="00E0360B"/>
    <w:rsid w:val="00E03A96"/>
    <w:rsid w:val="00E049B2"/>
    <w:rsid w:val="00E049D7"/>
    <w:rsid w:val="00E05D56"/>
    <w:rsid w:val="00E06B26"/>
    <w:rsid w:val="00E079B8"/>
    <w:rsid w:val="00E105A9"/>
    <w:rsid w:val="00E11082"/>
    <w:rsid w:val="00E13D77"/>
    <w:rsid w:val="00E15056"/>
    <w:rsid w:val="00E15DB1"/>
    <w:rsid w:val="00E161F5"/>
    <w:rsid w:val="00E16304"/>
    <w:rsid w:val="00E16632"/>
    <w:rsid w:val="00E16B2E"/>
    <w:rsid w:val="00E17462"/>
    <w:rsid w:val="00E17552"/>
    <w:rsid w:val="00E17FE1"/>
    <w:rsid w:val="00E20763"/>
    <w:rsid w:val="00E208B2"/>
    <w:rsid w:val="00E20B76"/>
    <w:rsid w:val="00E21917"/>
    <w:rsid w:val="00E21B03"/>
    <w:rsid w:val="00E22445"/>
    <w:rsid w:val="00E248B4"/>
    <w:rsid w:val="00E24ED4"/>
    <w:rsid w:val="00E260A3"/>
    <w:rsid w:val="00E26D15"/>
    <w:rsid w:val="00E27C15"/>
    <w:rsid w:val="00E27DDB"/>
    <w:rsid w:val="00E30F03"/>
    <w:rsid w:val="00E31702"/>
    <w:rsid w:val="00E31B75"/>
    <w:rsid w:val="00E3217F"/>
    <w:rsid w:val="00E3234F"/>
    <w:rsid w:val="00E3242E"/>
    <w:rsid w:val="00E32846"/>
    <w:rsid w:val="00E330C9"/>
    <w:rsid w:val="00E3330E"/>
    <w:rsid w:val="00E3351F"/>
    <w:rsid w:val="00E33992"/>
    <w:rsid w:val="00E344E9"/>
    <w:rsid w:val="00E40DAE"/>
    <w:rsid w:val="00E40F62"/>
    <w:rsid w:val="00E4162A"/>
    <w:rsid w:val="00E41686"/>
    <w:rsid w:val="00E42AC6"/>
    <w:rsid w:val="00E43249"/>
    <w:rsid w:val="00E436A2"/>
    <w:rsid w:val="00E4437F"/>
    <w:rsid w:val="00E44446"/>
    <w:rsid w:val="00E458D8"/>
    <w:rsid w:val="00E4783D"/>
    <w:rsid w:val="00E47FAB"/>
    <w:rsid w:val="00E5076C"/>
    <w:rsid w:val="00E50E4F"/>
    <w:rsid w:val="00E515F0"/>
    <w:rsid w:val="00E518A7"/>
    <w:rsid w:val="00E521FE"/>
    <w:rsid w:val="00E529F5"/>
    <w:rsid w:val="00E5356B"/>
    <w:rsid w:val="00E535B5"/>
    <w:rsid w:val="00E538F0"/>
    <w:rsid w:val="00E539C8"/>
    <w:rsid w:val="00E53E00"/>
    <w:rsid w:val="00E54173"/>
    <w:rsid w:val="00E54221"/>
    <w:rsid w:val="00E56096"/>
    <w:rsid w:val="00E561AF"/>
    <w:rsid w:val="00E5650A"/>
    <w:rsid w:val="00E574EC"/>
    <w:rsid w:val="00E57F9C"/>
    <w:rsid w:val="00E6010A"/>
    <w:rsid w:val="00E615F9"/>
    <w:rsid w:val="00E6193C"/>
    <w:rsid w:val="00E62BC2"/>
    <w:rsid w:val="00E62BDD"/>
    <w:rsid w:val="00E62F9D"/>
    <w:rsid w:val="00E63DAA"/>
    <w:rsid w:val="00E644BE"/>
    <w:rsid w:val="00E651AB"/>
    <w:rsid w:val="00E6527A"/>
    <w:rsid w:val="00E65A5B"/>
    <w:rsid w:val="00E663DC"/>
    <w:rsid w:val="00E66F48"/>
    <w:rsid w:val="00E7221D"/>
    <w:rsid w:val="00E72657"/>
    <w:rsid w:val="00E75FF3"/>
    <w:rsid w:val="00E7615F"/>
    <w:rsid w:val="00E76AE0"/>
    <w:rsid w:val="00E76F13"/>
    <w:rsid w:val="00E77894"/>
    <w:rsid w:val="00E801CE"/>
    <w:rsid w:val="00E806E8"/>
    <w:rsid w:val="00E80B7D"/>
    <w:rsid w:val="00E81702"/>
    <w:rsid w:val="00E81A87"/>
    <w:rsid w:val="00E82415"/>
    <w:rsid w:val="00E830B4"/>
    <w:rsid w:val="00E8391A"/>
    <w:rsid w:val="00E83948"/>
    <w:rsid w:val="00E83CF9"/>
    <w:rsid w:val="00E83F55"/>
    <w:rsid w:val="00E92013"/>
    <w:rsid w:val="00E92044"/>
    <w:rsid w:val="00E92974"/>
    <w:rsid w:val="00E92F98"/>
    <w:rsid w:val="00E9331D"/>
    <w:rsid w:val="00E95322"/>
    <w:rsid w:val="00E953A6"/>
    <w:rsid w:val="00E95490"/>
    <w:rsid w:val="00E96593"/>
    <w:rsid w:val="00E968C1"/>
    <w:rsid w:val="00E96A09"/>
    <w:rsid w:val="00E970AD"/>
    <w:rsid w:val="00E971F6"/>
    <w:rsid w:val="00E974E4"/>
    <w:rsid w:val="00E97D9B"/>
    <w:rsid w:val="00EA009C"/>
    <w:rsid w:val="00EA0476"/>
    <w:rsid w:val="00EA0E54"/>
    <w:rsid w:val="00EA1769"/>
    <w:rsid w:val="00EA248E"/>
    <w:rsid w:val="00EA35A6"/>
    <w:rsid w:val="00EA3671"/>
    <w:rsid w:val="00EA6AE5"/>
    <w:rsid w:val="00EA7286"/>
    <w:rsid w:val="00EB0DEA"/>
    <w:rsid w:val="00EB1060"/>
    <w:rsid w:val="00EB1F63"/>
    <w:rsid w:val="00EB27BC"/>
    <w:rsid w:val="00EB311D"/>
    <w:rsid w:val="00EB3675"/>
    <w:rsid w:val="00EB6889"/>
    <w:rsid w:val="00EB6A32"/>
    <w:rsid w:val="00EB79D7"/>
    <w:rsid w:val="00EC078C"/>
    <w:rsid w:val="00EC22DD"/>
    <w:rsid w:val="00EC33A0"/>
    <w:rsid w:val="00EC4836"/>
    <w:rsid w:val="00EC5088"/>
    <w:rsid w:val="00EC5DE0"/>
    <w:rsid w:val="00EC6A4B"/>
    <w:rsid w:val="00EC6B70"/>
    <w:rsid w:val="00EC6DCB"/>
    <w:rsid w:val="00EC6ED3"/>
    <w:rsid w:val="00ED09E1"/>
    <w:rsid w:val="00ED1533"/>
    <w:rsid w:val="00ED2844"/>
    <w:rsid w:val="00ED4C7A"/>
    <w:rsid w:val="00ED5195"/>
    <w:rsid w:val="00ED5A43"/>
    <w:rsid w:val="00ED5E38"/>
    <w:rsid w:val="00ED6379"/>
    <w:rsid w:val="00ED6E4A"/>
    <w:rsid w:val="00EE0BDC"/>
    <w:rsid w:val="00EE0D41"/>
    <w:rsid w:val="00EE2820"/>
    <w:rsid w:val="00EE2B9C"/>
    <w:rsid w:val="00EE2FB5"/>
    <w:rsid w:val="00EE3B26"/>
    <w:rsid w:val="00EE4490"/>
    <w:rsid w:val="00EE4EEF"/>
    <w:rsid w:val="00EE6359"/>
    <w:rsid w:val="00EE6832"/>
    <w:rsid w:val="00EE6F98"/>
    <w:rsid w:val="00EE7E0C"/>
    <w:rsid w:val="00EF1755"/>
    <w:rsid w:val="00EF2132"/>
    <w:rsid w:val="00EF2A82"/>
    <w:rsid w:val="00EF3069"/>
    <w:rsid w:val="00EF309B"/>
    <w:rsid w:val="00EF3D58"/>
    <w:rsid w:val="00EF5233"/>
    <w:rsid w:val="00EF5FBC"/>
    <w:rsid w:val="00EF6121"/>
    <w:rsid w:val="00EF6618"/>
    <w:rsid w:val="00EF68D2"/>
    <w:rsid w:val="00EF6F23"/>
    <w:rsid w:val="00EF7063"/>
    <w:rsid w:val="00EF7084"/>
    <w:rsid w:val="00EF7122"/>
    <w:rsid w:val="00F01420"/>
    <w:rsid w:val="00F03B39"/>
    <w:rsid w:val="00F04024"/>
    <w:rsid w:val="00F04052"/>
    <w:rsid w:val="00F04FED"/>
    <w:rsid w:val="00F05CD3"/>
    <w:rsid w:val="00F06673"/>
    <w:rsid w:val="00F06961"/>
    <w:rsid w:val="00F06B72"/>
    <w:rsid w:val="00F07998"/>
    <w:rsid w:val="00F1066F"/>
    <w:rsid w:val="00F11D1C"/>
    <w:rsid w:val="00F1334F"/>
    <w:rsid w:val="00F13994"/>
    <w:rsid w:val="00F13B6B"/>
    <w:rsid w:val="00F1415F"/>
    <w:rsid w:val="00F14201"/>
    <w:rsid w:val="00F1508C"/>
    <w:rsid w:val="00F1578E"/>
    <w:rsid w:val="00F17C5C"/>
    <w:rsid w:val="00F20763"/>
    <w:rsid w:val="00F2116F"/>
    <w:rsid w:val="00F2175C"/>
    <w:rsid w:val="00F227C8"/>
    <w:rsid w:val="00F23CB7"/>
    <w:rsid w:val="00F23CE3"/>
    <w:rsid w:val="00F2432D"/>
    <w:rsid w:val="00F2503B"/>
    <w:rsid w:val="00F252CA"/>
    <w:rsid w:val="00F255A7"/>
    <w:rsid w:val="00F257B5"/>
    <w:rsid w:val="00F2720E"/>
    <w:rsid w:val="00F2776D"/>
    <w:rsid w:val="00F278E7"/>
    <w:rsid w:val="00F317E6"/>
    <w:rsid w:val="00F31ECD"/>
    <w:rsid w:val="00F346E6"/>
    <w:rsid w:val="00F363D7"/>
    <w:rsid w:val="00F37C4B"/>
    <w:rsid w:val="00F37E7C"/>
    <w:rsid w:val="00F40864"/>
    <w:rsid w:val="00F40E7A"/>
    <w:rsid w:val="00F442A9"/>
    <w:rsid w:val="00F44895"/>
    <w:rsid w:val="00F470BB"/>
    <w:rsid w:val="00F4742E"/>
    <w:rsid w:val="00F47462"/>
    <w:rsid w:val="00F47D8E"/>
    <w:rsid w:val="00F50585"/>
    <w:rsid w:val="00F516E3"/>
    <w:rsid w:val="00F51CBB"/>
    <w:rsid w:val="00F527F1"/>
    <w:rsid w:val="00F52D3D"/>
    <w:rsid w:val="00F53887"/>
    <w:rsid w:val="00F5394D"/>
    <w:rsid w:val="00F53BA6"/>
    <w:rsid w:val="00F54832"/>
    <w:rsid w:val="00F54C4F"/>
    <w:rsid w:val="00F55070"/>
    <w:rsid w:val="00F557DF"/>
    <w:rsid w:val="00F561CD"/>
    <w:rsid w:val="00F56729"/>
    <w:rsid w:val="00F57885"/>
    <w:rsid w:val="00F57EB1"/>
    <w:rsid w:val="00F61777"/>
    <w:rsid w:val="00F638BC"/>
    <w:rsid w:val="00F641AD"/>
    <w:rsid w:val="00F64218"/>
    <w:rsid w:val="00F64693"/>
    <w:rsid w:val="00F660BE"/>
    <w:rsid w:val="00F66144"/>
    <w:rsid w:val="00F6636E"/>
    <w:rsid w:val="00F66BE6"/>
    <w:rsid w:val="00F6713F"/>
    <w:rsid w:val="00F67677"/>
    <w:rsid w:val="00F6784F"/>
    <w:rsid w:val="00F71802"/>
    <w:rsid w:val="00F74B51"/>
    <w:rsid w:val="00F76AA6"/>
    <w:rsid w:val="00F808D8"/>
    <w:rsid w:val="00F81362"/>
    <w:rsid w:val="00F83E1E"/>
    <w:rsid w:val="00F8493C"/>
    <w:rsid w:val="00F854EE"/>
    <w:rsid w:val="00F858A3"/>
    <w:rsid w:val="00F8620D"/>
    <w:rsid w:val="00F86B9D"/>
    <w:rsid w:val="00F874B6"/>
    <w:rsid w:val="00F904A5"/>
    <w:rsid w:val="00F91353"/>
    <w:rsid w:val="00F9221C"/>
    <w:rsid w:val="00F92887"/>
    <w:rsid w:val="00F9298D"/>
    <w:rsid w:val="00F93A6C"/>
    <w:rsid w:val="00F947CE"/>
    <w:rsid w:val="00F9684A"/>
    <w:rsid w:val="00F96A00"/>
    <w:rsid w:val="00F96E54"/>
    <w:rsid w:val="00FA0825"/>
    <w:rsid w:val="00FA08AD"/>
    <w:rsid w:val="00FA0B3E"/>
    <w:rsid w:val="00FA0C78"/>
    <w:rsid w:val="00FA2AA4"/>
    <w:rsid w:val="00FA2D68"/>
    <w:rsid w:val="00FA2F27"/>
    <w:rsid w:val="00FA37DF"/>
    <w:rsid w:val="00FA4051"/>
    <w:rsid w:val="00FA4150"/>
    <w:rsid w:val="00FA5528"/>
    <w:rsid w:val="00FA5766"/>
    <w:rsid w:val="00FA7A8D"/>
    <w:rsid w:val="00FA7D7D"/>
    <w:rsid w:val="00FB1BAA"/>
    <w:rsid w:val="00FB2FF1"/>
    <w:rsid w:val="00FB3BC0"/>
    <w:rsid w:val="00FB463D"/>
    <w:rsid w:val="00FB472F"/>
    <w:rsid w:val="00FB5300"/>
    <w:rsid w:val="00FB5383"/>
    <w:rsid w:val="00FB620D"/>
    <w:rsid w:val="00FB68B9"/>
    <w:rsid w:val="00FB6EC3"/>
    <w:rsid w:val="00FB6F67"/>
    <w:rsid w:val="00FB7F80"/>
    <w:rsid w:val="00FC0AD7"/>
    <w:rsid w:val="00FC106F"/>
    <w:rsid w:val="00FC10DE"/>
    <w:rsid w:val="00FC2D5F"/>
    <w:rsid w:val="00FC5603"/>
    <w:rsid w:val="00FC60FB"/>
    <w:rsid w:val="00FC6821"/>
    <w:rsid w:val="00FC7794"/>
    <w:rsid w:val="00FD062D"/>
    <w:rsid w:val="00FD0B28"/>
    <w:rsid w:val="00FD17BA"/>
    <w:rsid w:val="00FD2C9D"/>
    <w:rsid w:val="00FD2F74"/>
    <w:rsid w:val="00FD32B0"/>
    <w:rsid w:val="00FD331C"/>
    <w:rsid w:val="00FD353D"/>
    <w:rsid w:val="00FD3B94"/>
    <w:rsid w:val="00FD40DD"/>
    <w:rsid w:val="00FD43B3"/>
    <w:rsid w:val="00FD56B5"/>
    <w:rsid w:val="00FD6295"/>
    <w:rsid w:val="00FD686F"/>
    <w:rsid w:val="00FD6880"/>
    <w:rsid w:val="00FD6C06"/>
    <w:rsid w:val="00FE1118"/>
    <w:rsid w:val="00FE2EF8"/>
    <w:rsid w:val="00FE40E5"/>
    <w:rsid w:val="00FE4739"/>
    <w:rsid w:val="00FE4DB2"/>
    <w:rsid w:val="00FE55AC"/>
    <w:rsid w:val="00FE5FDD"/>
    <w:rsid w:val="00FE61CB"/>
    <w:rsid w:val="00FE681D"/>
    <w:rsid w:val="00FE74DF"/>
    <w:rsid w:val="00FF0DBD"/>
    <w:rsid w:val="00FF0E53"/>
    <w:rsid w:val="00FF148B"/>
    <w:rsid w:val="00FF20AC"/>
    <w:rsid w:val="00FF2100"/>
    <w:rsid w:val="00FF266B"/>
    <w:rsid w:val="00FF2AC3"/>
    <w:rsid w:val="00FF2D2A"/>
    <w:rsid w:val="00FF342B"/>
    <w:rsid w:val="00FF3A07"/>
    <w:rsid w:val="00FF3A55"/>
    <w:rsid w:val="00FF3FEA"/>
    <w:rsid w:val="00FF4985"/>
    <w:rsid w:val="00FF4C68"/>
    <w:rsid w:val="00FF732E"/>
    <w:rsid w:val="00FF7418"/>
    <w:rsid w:val="00FF7DAD"/>
    <w:rsid w:val="00FF7E54"/>
    <w:rsid w:val="02CF089D"/>
    <w:rsid w:val="0A379BBF"/>
    <w:rsid w:val="130F3491"/>
    <w:rsid w:val="14DDF7BC"/>
    <w:rsid w:val="2381DFCE"/>
    <w:rsid w:val="4329CD6C"/>
    <w:rsid w:val="4614EF5B"/>
    <w:rsid w:val="5ABEEA2E"/>
    <w:rsid w:val="7273348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TAtableplain"/>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E80B7D"/>
    <w:pPr>
      <w:tabs>
        <w:tab w:val="left" w:pos="284"/>
      </w:tabs>
      <w:spacing w:before="0"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E80B7D"/>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E80B7D"/>
    <w:pPr>
      <w:widowControl w:val="0"/>
      <w:spacing w:before="0"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E80B7D"/>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Franklin Gothic Book" w:hAnsi="Franklin Gothic Book"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Franklin Gothic Book" w:hAnsi="Franklin Gothic Book"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Franklin Gothic Book" w:hAnsi="Franklin Gothic Book"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semiHidden/>
    <w:unhideWhenUsed/>
    <w:rsid w:val="00E47FAB"/>
    <w:rPr>
      <w:color w:val="605E5C"/>
      <w:shd w:val="clear" w:color="auto" w:fill="E1DFDD"/>
    </w:rPr>
  </w:style>
  <w:style w:type="paragraph" w:styleId="NormalWeb">
    <w:name w:val="Normal (Web)"/>
    <w:basedOn w:val="Normal"/>
    <w:uiPriority w:val="99"/>
    <w:rsid w:val="00550A45"/>
    <w:pPr>
      <w:spacing w:before="100" w:beforeAutospacing="1" w:after="100" w:afterAutospacing="1" w:line="312" w:lineRule="auto"/>
    </w:pPr>
    <w:rPr>
      <w:rFonts w:ascii="Times New Roman" w:eastAsia="Times New Roman" w:hAnsi="Times New Roman" w:cs="Tahoma"/>
      <w:color w:val="000000"/>
      <w:szCs w:val="24"/>
      <w:lang w:val="en-US"/>
    </w:rPr>
  </w:style>
  <w:style w:type="paragraph" w:customStyle="1" w:styleId="ESNumberedSectionHeading">
    <w:name w:val="ES Numbered Section Heading"/>
    <w:qFormat/>
    <w:rsid w:val="00550A45"/>
    <w:pPr>
      <w:keepNext/>
      <w:numPr>
        <w:numId w:val="14"/>
      </w:numPr>
      <w:spacing w:before="240" w:after="120" w:line="312" w:lineRule="auto"/>
      <w:ind w:left="1134" w:hanging="1134"/>
      <w:outlineLvl w:val="2"/>
    </w:pPr>
    <w:rPr>
      <w:rFonts w:cs="Tahoma"/>
      <w:smallCaps/>
      <w:szCs w:val="24"/>
      <w:lang w:eastAsia="en-AU"/>
    </w:rPr>
  </w:style>
  <w:style w:type="character" w:customStyle="1" w:styleId="cf01">
    <w:name w:val="cf01"/>
    <w:basedOn w:val="DefaultParagraphFont"/>
    <w:rsid w:val="00541CB6"/>
    <w:rPr>
      <w:rFonts w:ascii="Segoe UI" w:hAnsi="Segoe UI" w:cs="Segoe UI" w:hint="default"/>
      <w:sz w:val="18"/>
      <w:szCs w:val="18"/>
    </w:rPr>
  </w:style>
  <w:style w:type="paragraph" w:customStyle="1" w:styleId="pf0">
    <w:name w:val="pf0"/>
    <w:basedOn w:val="Normal"/>
    <w:rsid w:val="00DC15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Bullet">
    <w:name w:val="BoxBullet"/>
    <w:basedOn w:val="Normal"/>
    <w:rsid w:val="00D22AA0"/>
    <w:pPr>
      <w:numPr>
        <w:numId w:val="25"/>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customStyle="1" w:styleId="BulletBeforeDash">
    <w:name w:val="BulletBeforeDash"/>
    <w:basedOn w:val="Normal"/>
    <w:rsid w:val="00D22AA0"/>
    <w:pPr>
      <w:numPr>
        <w:numId w:val="26"/>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D22AA0"/>
    <w:pPr>
      <w:numPr>
        <w:numId w:val="0"/>
      </w:numPr>
      <w:spacing w:before="0" w:after="240"/>
      <w:ind w:left="786" w:hanging="36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D22AA0"/>
    <w:pPr>
      <w:keepNext/>
      <w:spacing w:before="0" w:after="120" w:line="240" w:lineRule="auto"/>
    </w:pPr>
    <w:rPr>
      <w:rFonts w:eastAsia="Times New Roman" w:cs="Times New Roman"/>
      <w:color w:val="000000"/>
      <w:szCs w:val="20"/>
      <w:lang w:eastAsia="en-AU"/>
    </w:rPr>
  </w:style>
  <w:style w:type="character" w:customStyle="1" w:styleId="UnresolvedMention3">
    <w:name w:val="Unresolved Mention3"/>
    <w:basedOn w:val="DefaultParagraphFont"/>
    <w:uiPriority w:val="99"/>
    <w:semiHidden/>
    <w:unhideWhenUsed/>
    <w:rsid w:val="00C97893"/>
    <w:rPr>
      <w:color w:val="605E5C"/>
      <w:shd w:val="clear" w:color="auto" w:fill="E1DFDD"/>
    </w:rPr>
  </w:style>
  <w:style w:type="paragraph" w:customStyle="1" w:styleId="Default">
    <w:name w:val="Default"/>
    <w:rsid w:val="006B2C8F"/>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ormaltextrun">
    <w:name w:val="normaltextrun"/>
    <w:basedOn w:val="DefaultParagraphFont"/>
    <w:rsid w:val="006B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26894318">
      <w:bodyDiv w:val="1"/>
      <w:marLeft w:val="0"/>
      <w:marRight w:val="0"/>
      <w:marTop w:val="0"/>
      <w:marBottom w:val="0"/>
      <w:divBdr>
        <w:top w:val="none" w:sz="0" w:space="0" w:color="auto"/>
        <w:left w:val="none" w:sz="0" w:space="0" w:color="auto"/>
        <w:bottom w:val="none" w:sz="0" w:space="0" w:color="auto"/>
        <w:right w:val="none" w:sz="0" w:space="0" w:color="auto"/>
      </w:divBdr>
    </w:div>
    <w:div w:id="133987431">
      <w:bodyDiv w:val="1"/>
      <w:marLeft w:val="0"/>
      <w:marRight w:val="0"/>
      <w:marTop w:val="0"/>
      <w:marBottom w:val="0"/>
      <w:divBdr>
        <w:top w:val="none" w:sz="0" w:space="0" w:color="auto"/>
        <w:left w:val="none" w:sz="0" w:space="0" w:color="auto"/>
        <w:bottom w:val="none" w:sz="0" w:space="0" w:color="auto"/>
        <w:right w:val="none" w:sz="0" w:space="0" w:color="auto"/>
      </w:divBdr>
    </w:div>
    <w:div w:id="168257927">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0435363">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92563916">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1008984">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50898763">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87740612">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24784203">
      <w:bodyDiv w:val="1"/>
      <w:marLeft w:val="0"/>
      <w:marRight w:val="0"/>
      <w:marTop w:val="0"/>
      <w:marBottom w:val="0"/>
      <w:divBdr>
        <w:top w:val="none" w:sz="0" w:space="0" w:color="auto"/>
        <w:left w:val="none" w:sz="0" w:space="0" w:color="auto"/>
        <w:bottom w:val="none" w:sz="0" w:space="0" w:color="auto"/>
        <w:right w:val="none" w:sz="0" w:space="0" w:color="auto"/>
      </w:divBdr>
    </w:div>
    <w:div w:id="845679066">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52843087">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73379001">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4310860">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27511163">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4668835">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08791249">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01401789">
      <w:bodyDiv w:val="1"/>
      <w:marLeft w:val="0"/>
      <w:marRight w:val="0"/>
      <w:marTop w:val="0"/>
      <w:marBottom w:val="0"/>
      <w:divBdr>
        <w:top w:val="none" w:sz="0" w:space="0" w:color="auto"/>
        <w:left w:val="none" w:sz="0" w:space="0" w:color="auto"/>
        <w:bottom w:val="none" w:sz="0" w:space="0" w:color="auto"/>
        <w:right w:val="none" w:sz="0" w:space="0" w:color="auto"/>
      </w:divBdr>
    </w:div>
    <w:div w:id="1934438047">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03046342">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3103192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ac.gov.au/" TargetMode="External"/><Relationship Id="rId13" Type="http://schemas.openxmlformats.org/officeDocument/2006/relationships/hyperlink" Target="http://www.mbsonline.gov.au" TargetMode="External"/><Relationship Id="rId18" Type="http://schemas.openxmlformats.org/officeDocument/2006/relationships/hyperlink" Target="http://www.msac.gov.au/internet/msac/publishing.nsf/Content/msac-process-framewor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http://www.msac.gov.au/internet/msac/publishing.nsf/Content/1525-public"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sac.gov.au/internet/msac/publishing.nsf/Content/03EA3F4282C75C49CA25821E001C2D23/$File/1525%20-%20Final%20PSD.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msac.gov.au/internet/msac/publishing.nsf/Content/03EA3F4282C75C49CA25821E001C2D23/$File/1525%20-%20Final%20PSD.docx" TargetMode="External"/><Relationship Id="rId23" Type="http://schemas.openxmlformats.org/officeDocument/2006/relationships/footer" Target="footer2.xml"/><Relationship Id="rId10" Type="http://schemas.openxmlformats.org/officeDocument/2006/relationships/hyperlink" Target="http://www.msac.gov.au/internet/msac/publishing.nsf/Content/msac-process-framework" TargetMode="External"/><Relationship Id="rId19"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http://www.msac.gov.au/internet/msac/publishing.nsf/Content/1525-public" TargetMode="Externa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sac.gov.au/internet/msac/publishing.nsf/Content/03EA3F4282C75C49CA25821E001C2D23/$File/1525%20-%20Final%20PSD.pdf" TargetMode="External"/><Relationship Id="rId2" Type="http://schemas.openxmlformats.org/officeDocument/2006/relationships/hyperlink" Target="https://pubmed.ncbi.nlm.nih.gov/32552276/" TargetMode="External"/><Relationship Id="rId1" Type="http://schemas.openxmlformats.org/officeDocument/2006/relationships/hyperlink" Target="https://pubmed.ncbi.nlm.nih.gov/30342843/" TargetMode="External"/><Relationship Id="rId5" Type="http://schemas.openxmlformats.org/officeDocument/2006/relationships/hyperlink" Target="https://pubmed.ncbi.nlm.nih.gov/30342843/" TargetMode="External"/><Relationship Id="rId4" Type="http://schemas.openxmlformats.org/officeDocument/2006/relationships/hyperlink" Target="https://www.nccn.org/professionals/physician_gls/pdf/prost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6EEA2-3C5B-45ED-B38A-70F484EA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9958</Words>
  <Characters>56765</Characters>
  <Application>Microsoft Office Word</Application>
  <DocSecurity>0</DocSecurity>
  <Lines>473</Lines>
  <Paragraphs>133</Paragraphs>
  <ScaleCrop>false</ScaleCrop>
  <Manager/>
  <Company/>
  <LinksUpToDate>false</LinksUpToDate>
  <CharactersWithSpaces>66590</CharactersWithSpaces>
  <SharedDoc>false</SharedDoc>
  <HyperlinkBase/>
  <HLinks>
    <vt:vector size="78" baseType="variant">
      <vt:variant>
        <vt:i4>4259915</vt:i4>
      </vt:variant>
      <vt:variant>
        <vt:i4>102</vt:i4>
      </vt:variant>
      <vt:variant>
        <vt:i4>0</vt:i4>
      </vt:variant>
      <vt:variant>
        <vt:i4>5</vt:i4>
      </vt:variant>
      <vt:variant>
        <vt:lpwstr>https://www.redjournal.org/article/S0360-3016(20)33613-0/fulltext</vt:lpwstr>
      </vt:variant>
      <vt:variant>
        <vt:lpwstr/>
      </vt:variant>
      <vt:variant>
        <vt:i4>4849756</vt:i4>
      </vt:variant>
      <vt:variant>
        <vt:i4>93</vt:i4>
      </vt:variant>
      <vt:variant>
        <vt:i4>0</vt:i4>
      </vt:variant>
      <vt:variant>
        <vt:i4>5</vt:i4>
      </vt:variant>
      <vt:variant>
        <vt:lpwstr>http://www.msac.gov.au/internet/msac/publishing.nsf/Content/03EA3F4282C75C49CA25821E001C2D23/$File/1525 - Final PSD.docx</vt:lpwstr>
      </vt:variant>
      <vt:variant>
        <vt:lpwstr/>
      </vt:variant>
      <vt:variant>
        <vt:i4>4849756</vt:i4>
      </vt:variant>
      <vt:variant>
        <vt:i4>78</vt:i4>
      </vt:variant>
      <vt:variant>
        <vt:i4>0</vt:i4>
      </vt:variant>
      <vt:variant>
        <vt:i4>5</vt:i4>
      </vt:variant>
      <vt:variant>
        <vt:lpwstr>http://www.msac.gov.au/internet/msac/publishing.nsf/Content/03EA3F4282C75C49CA25821E001C2D23/$File/1525 - Final PSD.docx</vt:lpwstr>
      </vt:variant>
      <vt:variant>
        <vt:lpwstr/>
      </vt:variant>
      <vt:variant>
        <vt:i4>524357</vt:i4>
      </vt:variant>
      <vt:variant>
        <vt:i4>66</vt:i4>
      </vt:variant>
      <vt:variant>
        <vt:i4>0</vt:i4>
      </vt:variant>
      <vt:variant>
        <vt:i4>5</vt:i4>
      </vt:variant>
      <vt:variant>
        <vt:lpwstr>http://www.mbsonline.gov.au/</vt:lpwstr>
      </vt:variant>
      <vt:variant>
        <vt:lpwstr/>
      </vt:variant>
      <vt:variant>
        <vt:i4>524357</vt:i4>
      </vt:variant>
      <vt:variant>
        <vt:i4>60</vt:i4>
      </vt:variant>
      <vt:variant>
        <vt:i4>0</vt:i4>
      </vt:variant>
      <vt:variant>
        <vt:i4>5</vt:i4>
      </vt:variant>
      <vt:variant>
        <vt:lpwstr>http://www.mbsonline.gov.au/</vt:lpwstr>
      </vt:variant>
      <vt:variant>
        <vt:lpwstr/>
      </vt:variant>
      <vt:variant>
        <vt:i4>524357</vt:i4>
      </vt:variant>
      <vt:variant>
        <vt:i4>54</vt:i4>
      </vt:variant>
      <vt:variant>
        <vt:i4>0</vt:i4>
      </vt:variant>
      <vt:variant>
        <vt:i4>5</vt:i4>
      </vt:variant>
      <vt:variant>
        <vt:lpwstr>http://www.mbsonline.gov.au/</vt:lpwstr>
      </vt:variant>
      <vt:variant>
        <vt:lpwstr/>
      </vt:variant>
      <vt:variant>
        <vt:i4>589862</vt:i4>
      </vt:variant>
      <vt:variant>
        <vt:i4>3</vt:i4>
      </vt:variant>
      <vt:variant>
        <vt:i4>0</vt:i4>
      </vt:variant>
      <vt:variant>
        <vt:i4>5</vt:i4>
      </vt:variant>
      <vt:variant>
        <vt:lpwstr>https://www.nccn.org/professionals/physician_gls/pdf/prostate.pdf</vt:lpwstr>
      </vt:variant>
      <vt:variant>
        <vt:lpwstr/>
      </vt:variant>
      <vt:variant>
        <vt:i4>3735595</vt:i4>
      </vt:variant>
      <vt:variant>
        <vt:i4>0</vt:i4>
      </vt:variant>
      <vt:variant>
        <vt:i4>0</vt:i4>
      </vt:variant>
      <vt:variant>
        <vt:i4>5</vt:i4>
      </vt:variant>
      <vt:variant>
        <vt:lpwstr>http://www.msac.gov.au/internet/msac/publishing.nsf/Content/03EA3F4282C75C49CA25821E001C2D23/$File/1525 - Final PSD.pdf</vt:lpwstr>
      </vt:variant>
      <vt:variant>
        <vt:lpwstr/>
      </vt:variant>
      <vt:variant>
        <vt:i4>4259915</vt:i4>
      </vt:variant>
      <vt:variant>
        <vt:i4>12</vt:i4>
      </vt:variant>
      <vt:variant>
        <vt:i4>0</vt:i4>
      </vt:variant>
      <vt:variant>
        <vt:i4>5</vt:i4>
      </vt:variant>
      <vt:variant>
        <vt:lpwstr>https://www.redjournal.org/article/S0360-3016(20)33613-0/fulltext</vt:lpwstr>
      </vt:variant>
      <vt:variant>
        <vt:lpwstr/>
      </vt:variant>
      <vt:variant>
        <vt:i4>5636187</vt:i4>
      </vt:variant>
      <vt:variant>
        <vt:i4>9</vt:i4>
      </vt:variant>
      <vt:variant>
        <vt:i4>0</vt:i4>
      </vt:variant>
      <vt:variant>
        <vt:i4>5</vt:i4>
      </vt:variant>
      <vt:variant>
        <vt:lpwstr>https://www1.health.gov.au/internet/main/publishing.nsf/Content/EMSN-greatest-permissible-gap</vt:lpwstr>
      </vt:variant>
      <vt:variant>
        <vt:lpwstr/>
      </vt:variant>
      <vt:variant>
        <vt:i4>3342385</vt:i4>
      </vt:variant>
      <vt:variant>
        <vt:i4>6</vt:i4>
      </vt:variant>
      <vt:variant>
        <vt:i4>0</vt:i4>
      </vt:variant>
      <vt:variant>
        <vt:i4>5</vt:i4>
      </vt:variant>
      <vt:variant>
        <vt:lpwstr>http://www9.health.gov.au/mbs/fullDisplay.cfm?type=note&amp;qt=NoteID&amp;q=IN.0.17</vt:lpwstr>
      </vt:variant>
      <vt:variant>
        <vt:lpwstr/>
      </vt:variant>
      <vt:variant>
        <vt:i4>393244</vt:i4>
      </vt:variant>
      <vt:variant>
        <vt:i4>3</vt:i4>
      </vt:variant>
      <vt:variant>
        <vt:i4>0</vt:i4>
      </vt:variant>
      <vt:variant>
        <vt:i4>5</vt:i4>
      </vt:variant>
      <vt:variant>
        <vt:lpwstr>http://www9.health.gov.au/mbs/fullDisplay.cfm?type=item&amp;q=61563&amp;qt=item&amp;criteria=intermediate%20prostate</vt:lpwstr>
      </vt:variant>
      <vt:variant>
        <vt:lpwstr/>
      </vt:variant>
      <vt:variant>
        <vt:i4>7536736</vt:i4>
      </vt:variant>
      <vt:variant>
        <vt:i4>0</vt:i4>
      </vt:variant>
      <vt:variant>
        <vt:i4>0</vt:i4>
      </vt:variant>
      <vt:variant>
        <vt:i4>5</vt:i4>
      </vt:variant>
      <vt:variant>
        <vt:lpwstr>http://www.msac.gov.au/internet/msac/publishing.nsf/Content/D62CCACD59E07928CA25868F000EB03A/$File/1354.1 - Final PSD_Mar-Apr2022_redacted.docx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2023-07-09T23:00:00Z</dcterms:created>
  <dcterms:modified xsi:type="dcterms:W3CDTF">2023-07-13T23:15:00Z</dcterms:modified>
  <cp:category/>
</cp:coreProperties>
</file>