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846D"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8516F68" wp14:editId="472BBE46">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02D0F0E"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F72B355" w14:textId="5102C563" w:rsidR="007A7D47" w:rsidRDefault="007A7D47" w:rsidP="00392D5C">
      <w:pPr>
        <w:tabs>
          <w:tab w:val="left" w:pos="3686"/>
        </w:tabs>
        <w:spacing w:before="360" w:after="240"/>
        <w:rPr>
          <w:rFonts w:ascii="Arial" w:hAnsi="Arial" w:cs="Arial"/>
          <w:b/>
          <w:bCs/>
          <w:i/>
          <w:color w:val="000080"/>
          <w:sz w:val="28"/>
          <w:szCs w:val="28"/>
        </w:rPr>
      </w:pPr>
      <w:r w:rsidRPr="007A7D47">
        <w:rPr>
          <w:rFonts w:ascii="Arial" w:hAnsi="Arial" w:cs="Arial"/>
          <w:b/>
          <w:bCs/>
          <w:i/>
          <w:color w:val="000080"/>
          <w:sz w:val="28"/>
          <w:szCs w:val="28"/>
        </w:rPr>
        <w:t xml:space="preserve">Application No. 1543 – Request to amend Medicare Benefits Schedule (MBS) item 73336 (BRAF mutation test for treatment of metastatic melanoma) to include </w:t>
      </w:r>
      <w:r w:rsidR="00231B18">
        <w:rPr>
          <w:rFonts w:ascii="Arial" w:hAnsi="Arial" w:cs="Arial"/>
          <w:b/>
          <w:bCs/>
          <w:i/>
          <w:color w:val="000080"/>
          <w:sz w:val="28"/>
          <w:szCs w:val="28"/>
        </w:rPr>
        <w:t xml:space="preserve">reference to </w:t>
      </w:r>
      <w:r w:rsidRPr="007A7D47">
        <w:rPr>
          <w:rFonts w:ascii="Arial" w:hAnsi="Arial" w:cs="Arial"/>
          <w:b/>
          <w:bCs/>
          <w:i/>
          <w:color w:val="000080"/>
          <w:sz w:val="28"/>
          <w:szCs w:val="28"/>
        </w:rPr>
        <w:t>encorafenib</w:t>
      </w:r>
    </w:p>
    <w:p w14:paraId="022E8D8E" w14:textId="3AE17D53" w:rsidR="00BC1364" w:rsidRPr="00F715D1" w:rsidRDefault="00B35595" w:rsidP="00392D5C">
      <w:pPr>
        <w:tabs>
          <w:tab w:val="left" w:pos="3686"/>
        </w:tabs>
        <w:spacing w:before="360"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072180" w:rsidRPr="00D22CF6">
        <w:rPr>
          <w:rFonts w:ascii="Arial" w:hAnsi="Arial" w:cs="Arial"/>
          <w:b/>
          <w:szCs w:val="24"/>
        </w:rPr>
        <w:t>Pierre Fabre</w:t>
      </w:r>
    </w:p>
    <w:p w14:paraId="2527FFBE" w14:textId="39309990" w:rsidR="00C672D2" w:rsidRDefault="00BC1364" w:rsidP="00C672D2">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2D2">
        <w:rPr>
          <w:rFonts w:ascii="Arial" w:hAnsi="Arial" w:cs="Arial"/>
          <w:b/>
          <w:szCs w:val="24"/>
        </w:rPr>
        <w:t>MSAC 74</w:t>
      </w:r>
      <w:r w:rsidR="00C672D2" w:rsidRPr="00C672D2">
        <w:rPr>
          <w:rFonts w:ascii="Arial" w:hAnsi="Arial" w:cs="Arial"/>
          <w:b/>
          <w:szCs w:val="24"/>
          <w:vertAlign w:val="superscript"/>
        </w:rPr>
        <w:t>th</w:t>
      </w:r>
      <w:r w:rsidR="00C672D2">
        <w:rPr>
          <w:rFonts w:ascii="Arial" w:hAnsi="Arial" w:cs="Arial"/>
          <w:b/>
          <w:szCs w:val="24"/>
        </w:rPr>
        <w:t xml:space="preserve"> Meeting, 22-23 November 2018</w:t>
      </w:r>
    </w:p>
    <w:p w14:paraId="498B78C5" w14:textId="77777777" w:rsidR="0041184F" w:rsidRPr="00B03EAB" w:rsidRDefault="006A0D97" w:rsidP="00C672D2">
      <w:pPr>
        <w:spacing w:before="240"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6A50426" w14:textId="3EEB3F17" w:rsidR="003D7F29" w:rsidRPr="00F715D1" w:rsidRDefault="003D7F29" w:rsidP="00F715D1">
      <w:pPr>
        <w:pStyle w:val="Heading1"/>
      </w:pPr>
      <w:r w:rsidRPr="00F715D1">
        <w:t>Purpose of application</w:t>
      </w:r>
    </w:p>
    <w:p w14:paraId="039CCC79" w14:textId="6CB42D42" w:rsidR="00681381" w:rsidRPr="00536F4D" w:rsidRDefault="00681381" w:rsidP="00681381">
      <w:pPr>
        <w:pStyle w:val="MSACESParagraph"/>
        <w:spacing w:after="0"/>
      </w:pPr>
      <w:r w:rsidRPr="00536F4D">
        <w:t>Th</w:t>
      </w:r>
      <w:r w:rsidR="00B61FDF">
        <w:t>is</w:t>
      </w:r>
      <w:r w:rsidRPr="00536F4D">
        <w:t xml:space="preserve"> </w:t>
      </w:r>
      <w:r w:rsidR="00231B18">
        <w:t xml:space="preserve">streamlined </w:t>
      </w:r>
      <w:r w:rsidRPr="00536F4D">
        <w:t>co</w:t>
      </w:r>
      <w:r w:rsidR="00E01CAB">
        <w:t>-</w:t>
      </w:r>
      <w:r w:rsidRPr="00536F4D">
        <w:t>dependent application requested:</w:t>
      </w:r>
    </w:p>
    <w:p w14:paraId="315CE6F2" w14:textId="7FDBFCCB" w:rsidR="00681381" w:rsidRPr="00236CF5" w:rsidRDefault="00231B18" w:rsidP="000853BE">
      <w:pPr>
        <w:pStyle w:val="ListParagraph"/>
        <w:numPr>
          <w:ilvl w:val="0"/>
          <w:numId w:val="30"/>
        </w:numPr>
        <w:spacing w:before="120" w:after="120"/>
      </w:pPr>
      <w:r>
        <w:rPr>
          <w:szCs w:val="24"/>
        </w:rPr>
        <w:t>an a</w:t>
      </w:r>
      <w:r w:rsidRPr="00D912CC">
        <w:rPr>
          <w:szCs w:val="24"/>
        </w:rPr>
        <w:t xml:space="preserve">mendment to the Medicare Benefits Schedule (MBS) </w:t>
      </w:r>
      <w:r>
        <w:rPr>
          <w:szCs w:val="24"/>
        </w:rPr>
        <w:t>item</w:t>
      </w:r>
      <w:r>
        <w:t xml:space="preserve"> 73336 (</w:t>
      </w:r>
      <w:r w:rsidRPr="00B61FDF">
        <w:rPr>
          <w:i/>
        </w:rPr>
        <w:t>BRAF</w:t>
      </w:r>
      <w:r>
        <w:t xml:space="preserve"> mutation test) allowing its use to determine eligibility for treatment with encorafenib in patients with </w:t>
      </w:r>
      <w:r w:rsidR="000853BE" w:rsidRPr="000853BE">
        <w:t>unresectable stage III or stage IV metastatic cutaneous melanoma</w:t>
      </w:r>
      <w:r w:rsidR="00681381" w:rsidRPr="00236CF5">
        <w:t>; and</w:t>
      </w:r>
    </w:p>
    <w:p w14:paraId="5414931A" w14:textId="2E1F0954" w:rsidR="00C204FB" w:rsidRPr="00681381" w:rsidRDefault="00681381" w:rsidP="00231B18">
      <w:pPr>
        <w:pStyle w:val="ListParagraph"/>
        <w:numPr>
          <w:ilvl w:val="0"/>
          <w:numId w:val="30"/>
        </w:numPr>
        <w:spacing w:before="240" w:after="120"/>
      </w:pPr>
      <w:r w:rsidRPr="00236CF5">
        <w:t>Pharmaceutical</w:t>
      </w:r>
      <w:r w:rsidRPr="00536F4D">
        <w:t xml:space="preserve"> Benefits Scheme (PBS) </w:t>
      </w:r>
      <w:r w:rsidR="00231B18">
        <w:t xml:space="preserve">Authority Required (STREAMLINED) </w:t>
      </w:r>
      <w:r w:rsidRPr="00536F4D">
        <w:t xml:space="preserve">listing for </w:t>
      </w:r>
      <w:r w:rsidR="00231B18" w:rsidRPr="00231B18">
        <w:t xml:space="preserve">the concurrent use of encorafenib and binimetinib for the treatment of </w:t>
      </w:r>
      <w:r w:rsidR="00231B18" w:rsidRPr="00B61FDF">
        <w:rPr>
          <w:i/>
        </w:rPr>
        <w:t>BRAF</w:t>
      </w:r>
      <w:r w:rsidR="00B61FDF">
        <w:t xml:space="preserve"> </w:t>
      </w:r>
      <w:r w:rsidR="00231B18" w:rsidRPr="00231B18">
        <w:t>V600 mutation positive unresectable Stage III or metastatic (Stage IV) melanoma.</w:t>
      </w:r>
    </w:p>
    <w:p w14:paraId="5E805DE2" w14:textId="4907331A" w:rsidR="000853BE" w:rsidRDefault="00E977EE" w:rsidP="00C672D2">
      <w:pPr>
        <w:pStyle w:val="Heading1"/>
      </w:pPr>
      <w:r w:rsidRPr="00F715D1">
        <w:t>MSAC’s advice to the Minister</w:t>
      </w:r>
    </w:p>
    <w:p w14:paraId="76B8C517" w14:textId="2DD16307" w:rsidR="000853BE" w:rsidRPr="002A126B" w:rsidRDefault="000853BE" w:rsidP="000853BE">
      <w:r w:rsidRPr="002A126B">
        <w:t>After considering the strength of the available evidence in relation to comparative safety, clinical effectiveness and cost</w:t>
      </w:r>
      <w:r>
        <w:t>-</w:t>
      </w:r>
      <w:r w:rsidRPr="002A126B">
        <w:t xml:space="preserve">effectiveness, MSAC supported amending MBS item 73336 </w:t>
      </w:r>
      <w:r w:rsidR="00B61FDF">
        <w:t xml:space="preserve">for </w:t>
      </w:r>
      <w:r w:rsidRPr="00B61FDF">
        <w:rPr>
          <w:i/>
        </w:rPr>
        <w:t>BRAF</w:t>
      </w:r>
      <w:r w:rsidRPr="002A126B">
        <w:t xml:space="preserve"> mutation testing in patients with metastatic melanoma to </w:t>
      </w:r>
      <w:r w:rsidR="00B61FDF">
        <w:t xml:space="preserve">also </w:t>
      </w:r>
      <w:r w:rsidRPr="002A126B">
        <w:t>determine access to encorafenib under the Pharmaceutical Benef</w:t>
      </w:r>
      <w:r w:rsidR="00B61FDF">
        <w:t>its Scheme.</w:t>
      </w:r>
    </w:p>
    <w:p w14:paraId="3BBAFFBA" w14:textId="22A3FB5F" w:rsidR="00C672D2" w:rsidRDefault="00C672D2" w:rsidP="00C672D2">
      <w:pPr>
        <w:pStyle w:val="Heading1"/>
      </w:pPr>
      <w:r w:rsidRPr="000853BE">
        <w:t xml:space="preserve">Summary of consideration </w:t>
      </w:r>
      <w:r w:rsidR="008F4EA4">
        <w:t>and rationale for MSAC’s advice</w:t>
      </w:r>
    </w:p>
    <w:p w14:paraId="40F9E3EB" w14:textId="162036D5" w:rsidR="000853BE" w:rsidRDefault="000853BE" w:rsidP="000853BE">
      <w:pPr>
        <w:spacing w:after="240"/>
      </w:pPr>
      <w:r>
        <w:t xml:space="preserve">MSAC noted the PBAC’s positive recommendation for </w:t>
      </w:r>
      <w:r w:rsidRPr="00945178">
        <w:t xml:space="preserve">Authority Required (STREAMLINED) listing of encorafenib in combination with binimetinib, for the treatment of </w:t>
      </w:r>
      <w:r w:rsidRPr="00B87EA5">
        <w:rPr>
          <w:i/>
        </w:rPr>
        <w:t>BRAF</w:t>
      </w:r>
      <w:r w:rsidRPr="00945178">
        <w:t xml:space="preserve"> V600 mutation</w:t>
      </w:r>
      <w:r>
        <w:t>-</w:t>
      </w:r>
      <w:r w:rsidRPr="00945178">
        <w:t>positive unresectable or metastatic melanoma, on a cost-minimisation basis against dabrafenib</w:t>
      </w:r>
      <w:r>
        <w:t xml:space="preserve"> </w:t>
      </w:r>
      <w:r w:rsidRPr="00945178">
        <w:t>+</w:t>
      </w:r>
      <w:r>
        <w:t xml:space="preserve"> </w:t>
      </w:r>
      <w:r w:rsidRPr="00945178">
        <w:t>trametinib and vemurafenib</w:t>
      </w:r>
      <w:r>
        <w:t xml:space="preserve"> </w:t>
      </w:r>
      <w:r w:rsidRPr="00945178">
        <w:t>+</w:t>
      </w:r>
      <w:r>
        <w:t xml:space="preserve"> </w:t>
      </w:r>
      <w:r w:rsidRPr="00945178">
        <w:t>cobimetinib.</w:t>
      </w:r>
    </w:p>
    <w:p w14:paraId="4DA978D9" w14:textId="77777777" w:rsidR="000853BE" w:rsidRDefault="000853BE" w:rsidP="000853BE">
      <w:pPr>
        <w:spacing w:after="240"/>
      </w:pPr>
      <w:r w:rsidRPr="00945178">
        <w:t xml:space="preserve">The rationale for the inclusion of encorafenib in the same MBS item descriptor is that the identification of a </w:t>
      </w:r>
      <w:r w:rsidRPr="00B61FDF">
        <w:rPr>
          <w:i/>
        </w:rPr>
        <w:t>BRAF</w:t>
      </w:r>
      <w:r w:rsidRPr="00945178">
        <w:t xml:space="preserve"> V600 mutation in a patient does not imply treatment with a specific BRAF inhibitor; rather</w:t>
      </w:r>
      <w:r>
        <w:t>,</w:t>
      </w:r>
      <w:r w:rsidRPr="00945178">
        <w:t xml:space="preserve"> it is indicative that they will respond to treatment with BRAF inhibitors. The addition of encorafenib to MBS </w:t>
      </w:r>
      <w:r>
        <w:t>i</w:t>
      </w:r>
      <w:r w:rsidRPr="00945178">
        <w:t xml:space="preserve">tem 73336 will allow final treatment </w:t>
      </w:r>
      <w:r w:rsidRPr="00945178">
        <w:lastRenderedPageBreak/>
        <w:t>decisions to be made by clinicians in consideration of individual patient circumstances, resulting in optimal care for patients</w:t>
      </w:r>
      <w:r>
        <w:t>.</w:t>
      </w:r>
    </w:p>
    <w:p w14:paraId="798E0BCC" w14:textId="77777777" w:rsidR="000853BE" w:rsidRDefault="000853BE" w:rsidP="000853BE">
      <w:pPr>
        <w:pStyle w:val="NormalBeforeBullet"/>
      </w:pPr>
      <w:r>
        <w:t>The proposed listing for item 73336 is as follows:</w:t>
      </w:r>
    </w:p>
    <w:p w14:paraId="596791AF" w14:textId="77777777" w:rsidR="000853BE" w:rsidRDefault="000853BE" w:rsidP="000853BE">
      <w:pPr>
        <w:pStyle w:val="Quote"/>
      </w:pPr>
      <w:r w:rsidRPr="00945178">
        <w:t xml:space="preserve">A test of tumour tissue from a patient with unresectable stage III or stage IV metastatic cutaneous melanoma, requested by, or on behalf of, a specialist or consultant physician, to determine the requirements relating to BRAF V600 mutation status for access to dabrafenib, vemurafenib </w:t>
      </w:r>
      <w:r w:rsidRPr="00945178">
        <w:rPr>
          <w:u w:val="single"/>
        </w:rPr>
        <w:t>or encorafenib</w:t>
      </w:r>
      <w:r w:rsidRPr="00945178">
        <w:t xml:space="preserve"> under the Pharmaceutical Benefits Scheme are fulfilled.</w:t>
      </w:r>
    </w:p>
    <w:p w14:paraId="754CDB16" w14:textId="77777777" w:rsidR="000853BE" w:rsidRPr="00945178" w:rsidRDefault="000853BE" w:rsidP="000853BE">
      <w:r>
        <w:t>There is no change to the proposed MBS fee, costs to the MBS or testing strategy. Utilisation is not expected to increase, as this represents an additional treatment choice in the same patient population.</w:t>
      </w:r>
    </w:p>
    <w:p w14:paraId="67C926BC" w14:textId="3185F771" w:rsidR="00BC1364" w:rsidRDefault="00BC1364" w:rsidP="00F715D1">
      <w:pPr>
        <w:pStyle w:val="Heading1"/>
      </w:pPr>
      <w:r w:rsidRPr="00F715D1">
        <w:t>Background</w:t>
      </w:r>
    </w:p>
    <w:p w14:paraId="4DAAFDDB" w14:textId="1E1D7625" w:rsidR="00BC3099" w:rsidRDefault="00BC3099" w:rsidP="00C97C57">
      <w:pPr>
        <w:spacing w:after="240"/>
      </w:pPr>
      <w:r>
        <w:t>MSAC has not previously considered this application.</w:t>
      </w:r>
    </w:p>
    <w:p w14:paraId="58685530" w14:textId="7F8113AB" w:rsidR="00BC3099" w:rsidRPr="000853BE" w:rsidRDefault="00BC3099" w:rsidP="00BC3099">
      <w:r>
        <w:t>MSAC has previously considered and supported public funding on the MBS for Application</w:t>
      </w:r>
      <w:r w:rsidR="008F4EA4">
        <w:t>s</w:t>
      </w:r>
      <w:r>
        <w:t xml:space="preserve"> 1172 &amp; 1172.1 - Testing for </w:t>
      </w:r>
      <w:r w:rsidRPr="00B87EA5">
        <w:rPr>
          <w:i/>
        </w:rPr>
        <w:t>BRAF</w:t>
      </w:r>
      <w:r>
        <w:t xml:space="preserve"> mutation in patients with metastatic melanoma for access to vemurafenib and Application 1207 - Testing for V600 status in patients with locally advanced or metastatic melanoma for access to dabrafenib.</w:t>
      </w:r>
    </w:p>
    <w:p w14:paraId="68A62B34" w14:textId="7CEECD11" w:rsidR="00BC1364" w:rsidRDefault="00BC1364" w:rsidP="00F715D1">
      <w:pPr>
        <w:pStyle w:val="Heading1"/>
      </w:pPr>
      <w:r w:rsidRPr="00F715D1">
        <w:t>Prerequisites to implementation of any funding advice</w:t>
      </w:r>
    </w:p>
    <w:p w14:paraId="703DEDA0" w14:textId="54D0DF41" w:rsidR="000853BE" w:rsidRPr="000853BE" w:rsidRDefault="00BC3099" w:rsidP="00BC3099">
      <w:r w:rsidRPr="00AF3763">
        <w:t xml:space="preserve">All </w:t>
      </w:r>
      <w:r w:rsidRPr="00B87EA5">
        <w:rPr>
          <w:i/>
        </w:rPr>
        <w:t>BRAF</w:t>
      </w:r>
      <w:r w:rsidRPr="00AF3763">
        <w:t xml:space="preserve"> mutation tests must occur in </w:t>
      </w:r>
      <w:r w:rsidR="008F4EA4" w:rsidRPr="00814D63">
        <w:t>National Association of Testing Authorities</w:t>
      </w:r>
      <w:r w:rsidR="008F4EA4">
        <w:t xml:space="preserve"> (</w:t>
      </w:r>
      <w:r w:rsidRPr="00AF3763">
        <w:t>NATA</w:t>
      </w:r>
      <w:r w:rsidR="008F4EA4">
        <w:t>)</w:t>
      </w:r>
      <w:r w:rsidRPr="00AF3763">
        <w:t xml:space="preserve"> accredited laboratories. Competence to perform the test is already being monitored through a </w:t>
      </w:r>
      <w:r w:rsidR="008F4EA4" w:rsidRPr="00536F4D">
        <w:t>Royal College of Pathologists of Australasia (</w:t>
      </w:r>
      <w:r w:rsidRPr="00AF3763">
        <w:t>RCPA</w:t>
      </w:r>
      <w:r w:rsidR="008F4EA4">
        <w:t>)</w:t>
      </w:r>
      <w:r w:rsidRPr="00AF3763">
        <w:t xml:space="preserve"> quality assurance program (QAP).</w:t>
      </w:r>
    </w:p>
    <w:p w14:paraId="15839BEB" w14:textId="005FDB32" w:rsidR="00BC1364" w:rsidRPr="00F715D1" w:rsidRDefault="00BC1364" w:rsidP="00F715D1">
      <w:pPr>
        <w:pStyle w:val="Heading1"/>
      </w:pPr>
      <w:r w:rsidRPr="00F715D1">
        <w:t>Proposal for public funding</w:t>
      </w:r>
    </w:p>
    <w:p w14:paraId="47237DED" w14:textId="0D6FF3BD" w:rsidR="00935D3F" w:rsidRDefault="00935D3F" w:rsidP="00935D3F">
      <w:r>
        <w:t>The</w:t>
      </w:r>
      <w:r w:rsidRPr="00BE4D6F">
        <w:t xml:space="preserve"> application </w:t>
      </w:r>
      <w:r w:rsidR="00B61FDF">
        <w:t>sought</w:t>
      </w:r>
      <w:r w:rsidRPr="00BE4D6F">
        <w:t xml:space="preserve"> to amend the existing BRAF MBS item 73336, to include reference to encorafenib</w:t>
      </w:r>
      <w:r>
        <w:t xml:space="preserve"> (</w:t>
      </w:r>
      <w:r>
        <w:fldChar w:fldCharType="begin"/>
      </w:r>
      <w:r>
        <w:instrText xml:space="preserve"> REF _Ref522890342 \h </w:instrText>
      </w:r>
      <w:r>
        <w:fldChar w:fldCharType="separate"/>
      </w:r>
      <w:r>
        <w:t xml:space="preserve">Table </w:t>
      </w:r>
      <w:r>
        <w:rPr>
          <w:noProof/>
        </w:rPr>
        <w:t>1</w:t>
      </w:r>
      <w:r>
        <w:fldChar w:fldCharType="end"/>
      </w:r>
      <w:r>
        <w:t>)</w:t>
      </w:r>
      <w:r w:rsidRPr="00BE4D6F">
        <w:t>.</w:t>
      </w:r>
      <w:r>
        <w:t xml:space="preserve"> The application propose</w:t>
      </w:r>
      <w:r w:rsidR="00B61FDF">
        <w:t>d</w:t>
      </w:r>
      <w:r>
        <w:t xml:space="preserve"> an equivalent fee to the current MBS item of $230.95.</w:t>
      </w:r>
    </w:p>
    <w:p w14:paraId="2B5310F1" w14:textId="1AE641C0" w:rsidR="00935D3F" w:rsidRDefault="00935D3F" w:rsidP="00935D3F">
      <w:pPr>
        <w:pStyle w:val="Caption"/>
      </w:pPr>
      <w:bookmarkStart w:id="1" w:name="_Ref522890342"/>
      <w:r>
        <w:t xml:space="preserve">Table </w:t>
      </w:r>
      <w:r w:rsidR="00072180">
        <w:rPr>
          <w:noProof/>
        </w:rPr>
        <w:fldChar w:fldCharType="begin"/>
      </w:r>
      <w:r w:rsidR="00072180">
        <w:rPr>
          <w:noProof/>
        </w:rPr>
        <w:instrText xml:space="preserve"> SEQ Table \* ARABIC </w:instrText>
      </w:r>
      <w:r w:rsidR="00072180">
        <w:rPr>
          <w:noProof/>
        </w:rPr>
        <w:fldChar w:fldCharType="separate"/>
      </w:r>
      <w:r>
        <w:rPr>
          <w:noProof/>
        </w:rPr>
        <w:t>1</w:t>
      </w:r>
      <w:r w:rsidR="00072180">
        <w:rPr>
          <w:noProof/>
        </w:rPr>
        <w:fldChar w:fldCharType="end"/>
      </w:r>
      <w:bookmarkEnd w:id="1"/>
      <w:r>
        <w:tab/>
      </w:r>
      <w:r>
        <w:tab/>
        <w:t xml:space="preserve">Current and proposed description of MBS </w:t>
      </w:r>
      <w:r w:rsidR="00396E07">
        <w:t>i</w:t>
      </w:r>
      <w:r>
        <w:t>tem 73336</w:t>
      </w:r>
    </w:p>
    <w:tbl>
      <w:tblPr>
        <w:tblStyle w:val="TableGrid"/>
        <w:tblW w:w="0" w:type="auto"/>
        <w:tblLook w:val="04A0" w:firstRow="1" w:lastRow="0" w:firstColumn="1" w:lastColumn="0" w:noHBand="0" w:noVBand="1"/>
        <w:tblDescription w:val="Proposed MBS item listing"/>
      </w:tblPr>
      <w:tblGrid>
        <w:gridCol w:w="1622"/>
        <w:gridCol w:w="6522"/>
        <w:gridCol w:w="872"/>
      </w:tblGrid>
      <w:tr w:rsidR="00935D3F" w14:paraId="28FE7451" w14:textId="77777777" w:rsidTr="007B5CE8">
        <w:trPr>
          <w:tblHeader/>
        </w:trPr>
        <w:tc>
          <w:tcPr>
            <w:tcW w:w="1622" w:type="dxa"/>
            <w:shd w:val="clear" w:color="auto" w:fill="BFBFBF" w:themeFill="background1" w:themeFillShade="BF"/>
          </w:tcPr>
          <w:p w14:paraId="2CBDAB38" w14:textId="0E751D0C" w:rsidR="00935D3F" w:rsidRPr="00531B7C" w:rsidRDefault="00935D3F" w:rsidP="008F4EA4">
            <w:pPr>
              <w:pStyle w:val="TableLeft"/>
              <w:rPr>
                <w:b/>
                <w:sz w:val="20"/>
              </w:rPr>
            </w:pPr>
            <w:r w:rsidRPr="00531B7C">
              <w:rPr>
                <w:b/>
              </w:rPr>
              <w:t>Item 73336</w:t>
            </w:r>
          </w:p>
        </w:tc>
        <w:tc>
          <w:tcPr>
            <w:tcW w:w="6522" w:type="dxa"/>
            <w:shd w:val="clear" w:color="auto" w:fill="BFBFBF" w:themeFill="background1" w:themeFillShade="BF"/>
          </w:tcPr>
          <w:p w14:paraId="035E49A1" w14:textId="77777777" w:rsidR="00935D3F" w:rsidRPr="00531B7C" w:rsidRDefault="00935D3F" w:rsidP="008963CD">
            <w:pPr>
              <w:pStyle w:val="TableLeft"/>
              <w:rPr>
                <w:b/>
              </w:rPr>
            </w:pPr>
            <w:r w:rsidRPr="00531B7C">
              <w:rPr>
                <w:b/>
              </w:rPr>
              <w:t>Description</w:t>
            </w:r>
          </w:p>
        </w:tc>
        <w:tc>
          <w:tcPr>
            <w:tcW w:w="872" w:type="dxa"/>
            <w:shd w:val="clear" w:color="auto" w:fill="BFBFBF" w:themeFill="background1" w:themeFillShade="BF"/>
          </w:tcPr>
          <w:p w14:paraId="533B6780" w14:textId="77777777" w:rsidR="00935D3F" w:rsidRPr="00531B7C" w:rsidRDefault="00935D3F" w:rsidP="008963CD">
            <w:pPr>
              <w:pStyle w:val="TableLeft"/>
              <w:rPr>
                <w:b/>
              </w:rPr>
            </w:pPr>
            <w:r w:rsidRPr="00531B7C">
              <w:rPr>
                <w:b/>
              </w:rPr>
              <w:t>Fee</w:t>
            </w:r>
          </w:p>
        </w:tc>
      </w:tr>
      <w:tr w:rsidR="00935D3F" w14:paraId="46596183" w14:textId="77777777" w:rsidTr="00935D3F">
        <w:tc>
          <w:tcPr>
            <w:tcW w:w="1622" w:type="dxa"/>
          </w:tcPr>
          <w:p w14:paraId="56F40655" w14:textId="77777777" w:rsidR="00935D3F" w:rsidRDefault="00935D3F" w:rsidP="008963CD">
            <w:pPr>
              <w:pStyle w:val="TableLeft"/>
            </w:pPr>
            <w:r>
              <w:t>Proposed listing</w:t>
            </w:r>
          </w:p>
        </w:tc>
        <w:tc>
          <w:tcPr>
            <w:tcW w:w="6522" w:type="dxa"/>
          </w:tcPr>
          <w:p w14:paraId="6AA3BDBF" w14:textId="77777777" w:rsidR="00935D3F" w:rsidRDefault="00935D3F" w:rsidP="008963CD">
            <w:pPr>
              <w:pStyle w:val="TableLeft"/>
            </w:pPr>
            <w:r w:rsidRPr="00B02E57">
              <w:t>A test of tumour tissue from a patient with unresectable stage III or stage IV metastatic cutaneous melanoma, requested by, or on behalf of, a specialist or consultant physician, to determine the requirements relating to BRAF V600 mutation status for access to dabrafenib</w:t>
            </w:r>
            <w:r>
              <w:t xml:space="preserve">, </w:t>
            </w:r>
            <w:r w:rsidRPr="00B02E57">
              <w:t>vemurafenib</w:t>
            </w:r>
            <w:r>
              <w:t xml:space="preserve"> </w:t>
            </w:r>
            <w:r w:rsidRPr="00A20690">
              <w:rPr>
                <w:u w:val="single"/>
              </w:rPr>
              <w:t xml:space="preserve">or </w:t>
            </w:r>
            <w:r w:rsidRPr="00A20690">
              <w:rPr>
                <w:i/>
                <w:u w:val="single"/>
              </w:rPr>
              <w:t>encorafenib</w:t>
            </w:r>
            <w:r w:rsidRPr="00B02E57">
              <w:t xml:space="preserve"> under the Pharmaceutical Benefits Scheme are fulfilled.</w:t>
            </w:r>
          </w:p>
        </w:tc>
        <w:tc>
          <w:tcPr>
            <w:tcW w:w="872" w:type="dxa"/>
          </w:tcPr>
          <w:p w14:paraId="26B3448B" w14:textId="77777777" w:rsidR="00935D3F" w:rsidRPr="00B02E57" w:rsidRDefault="00935D3F" w:rsidP="008963CD">
            <w:pPr>
              <w:pStyle w:val="TableLeft"/>
            </w:pPr>
            <w:r>
              <w:t>$230.95</w:t>
            </w:r>
          </w:p>
        </w:tc>
      </w:tr>
    </w:tbl>
    <w:p w14:paraId="6DFEB056" w14:textId="77777777" w:rsidR="00935D3F" w:rsidRDefault="00935D3F" w:rsidP="00935D3F">
      <w:pPr>
        <w:pStyle w:val="CaptionFootnote"/>
      </w:pPr>
      <w:r>
        <w:t xml:space="preserve">Source: </w:t>
      </w:r>
      <w:sdt>
        <w:sdtPr>
          <w:id w:val="144020555"/>
          <w:citation/>
        </w:sdtPr>
        <w:sdtEndPr/>
        <w:sdtContent>
          <w:r>
            <w:fldChar w:fldCharType="begin"/>
          </w:r>
          <w:r>
            <w:instrText xml:space="preserve"> CITATION MBS18 \l 3081 </w:instrText>
          </w:r>
          <w:r>
            <w:fldChar w:fldCharType="separate"/>
          </w:r>
          <w:r w:rsidRPr="008C31B3">
            <w:rPr>
              <w:noProof/>
            </w:rPr>
            <w:t>(MBS, 2018)</w:t>
          </w:r>
          <w:r>
            <w:fldChar w:fldCharType="end"/>
          </w:r>
        </w:sdtContent>
      </w:sdt>
      <w:r>
        <w:t>, accessed August 2018</w:t>
      </w:r>
    </w:p>
    <w:p w14:paraId="492D219E" w14:textId="39AF1970" w:rsidR="00BC1364" w:rsidRDefault="00BC1364" w:rsidP="00F715D1">
      <w:pPr>
        <w:pStyle w:val="Heading1"/>
      </w:pPr>
      <w:r w:rsidRPr="00F715D1">
        <w:t>Proposed intervention’s place in clinical management</w:t>
      </w:r>
    </w:p>
    <w:p w14:paraId="02A443E2" w14:textId="62C5602B" w:rsidR="004E2236" w:rsidRPr="004E7182" w:rsidRDefault="004E2236" w:rsidP="00A20690">
      <w:r>
        <w:t>I</w:t>
      </w:r>
      <w:r w:rsidRPr="004E7182">
        <w:t xml:space="preserve">nclusion of encorafenib in the MBS item descriptor </w:t>
      </w:r>
      <w:r>
        <w:t>will allow</w:t>
      </w:r>
      <w:r w:rsidRPr="004E7182">
        <w:t xml:space="preserve"> identification of a </w:t>
      </w:r>
      <w:r w:rsidRPr="00B87EA5">
        <w:rPr>
          <w:i/>
        </w:rPr>
        <w:t>BRAF</w:t>
      </w:r>
      <w:r w:rsidRPr="004E7182">
        <w:t xml:space="preserve"> V600 mutation in a patient</w:t>
      </w:r>
      <w:r w:rsidR="00A20690">
        <w:t>,</w:t>
      </w:r>
      <w:r w:rsidRPr="004E7182">
        <w:t xml:space="preserve"> </w:t>
      </w:r>
      <w:r>
        <w:t xml:space="preserve">which </w:t>
      </w:r>
      <w:r w:rsidRPr="004E7182">
        <w:t xml:space="preserve">is indicative that they will respond to treatment </w:t>
      </w:r>
      <w:r>
        <w:t>with</w:t>
      </w:r>
      <w:r w:rsidRPr="004E7182">
        <w:t xml:space="preserve"> </w:t>
      </w:r>
      <w:r w:rsidRPr="00B87EA5">
        <w:t>BRAF</w:t>
      </w:r>
      <w:r w:rsidRPr="004E7182">
        <w:t xml:space="preserve"> inhibitor</w:t>
      </w:r>
      <w:r>
        <w:t>s</w:t>
      </w:r>
      <w:r w:rsidR="00A20690">
        <w:t xml:space="preserve"> and </w:t>
      </w:r>
      <w:r w:rsidRPr="004E7182">
        <w:t>allow final treatment decisions to be made by clinicians in consideration of individual patient circumstances,</w:t>
      </w:r>
      <w:r>
        <w:t xml:space="preserve"> resulting in optimal care for patients.</w:t>
      </w:r>
    </w:p>
    <w:p w14:paraId="5A8FEAEA" w14:textId="4EEF343F" w:rsidR="00BC1364" w:rsidRDefault="00BC1364" w:rsidP="00F715D1">
      <w:pPr>
        <w:pStyle w:val="Heading1"/>
      </w:pPr>
      <w:r w:rsidRPr="00F715D1">
        <w:t>Comparative effectiveness</w:t>
      </w:r>
    </w:p>
    <w:p w14:paraId="7012C2E9" w14:textId="4DD9E92F" w:rsidR="00D2305F" w:rsidRDefault="00D2305F" w:rsidP="00E8223A">
      <w:r w:rsidRPr="00B87EA5">
        <w:rPr>
          <w:i/>
        </w:rPr>
        <w:t>BRAF</w:t>
      </w:r>
      <w:r w:rsidRPr="00AF3763">
        <w:t xml:space="preserve"> V600 testing is usually ordered by the patient’s surgeon or oncologist once a diagnosis is made. A biopsy sample is collected from the patient which is then normally processed into </w:t>
      </w:r>
      <w:r>
        <w:t>formalin-fixed, paraffin-embedded (</w:t>
      </w:r>
      <w:r w:rsidRPr="00AF3763">
        <w:t>FFPE</w:t>
      </w:r>
      <w:r>
        <w:t>)</w:t>
      </w:r>
      <w:r w:rsidRPr="00AF3763">
        <w:t xml:space="preserve"> tissue blocks.</w:t>
      </w:r>
    </w:p>
    <w:p w14:paraId="630CB06B" w14:textId="1EA30C12" w:rsidR="00E8223A" w:rsidRDefault="00E8223A" w:rsidP="00D2305F">
      <w:pPr>
        <w:spacing w:before="240"/>
      </w:pPr>
      <w:r w:rsidRPr="00DC3E79">
        <w:lastRenderedPageBreak/>
        <w:t xml:space="preserve">The testing strategy used in the COLUMBUS trial and the corresponding trial of the comparator medicine </w:t>
      </w:r>
      <w:r>
        <w:t>is</w:t>
      </w:r>
      <w:r w:rsidRPr="00DC3E79">
        <w:t xml:space="preserve"> presented in </w:t>
      </w:r>
      <w:r>
        <w:fldChar w:fldCharType="begin"/>
      </w:r>
      <w:r>
        <w:instrText xml:space="preserve"> REF _Ref523471419 \h </w:instrText>
      </w:r>
      <w:r>
        <w:fldChar w:fldCharType="separate"/>
      </w:r>
      <w:r>
        <w:t xml:space="preserve">Table </w:t>
      </w:r>
      <w:r>
        <w:rPr>
          <w:noProof/>
        </w:rPr>
        <w:t>2</w:t>
      </w:r>
      <w:r>
        <w:fldChar w:fldCharType="end"/>
      </w:r>
      <w:r>
        <w:t>.</w:t>
      </w:r>
    </w:p>
    <w:p w14:paraId="78D8D15C" w14:textId="77777777" w:rsidR="00E8223A" w:rsidRDefault="00E8223A" w:rsidP="00E8223A">
      <w:pPr>
        <w:pStyle w:val="Caption"/>
      </w:pPr>
      <w:bookmarkStart w:id="2" w:name="_Ref523471419"/>
      <w:r>
        <w:t xml:space="preserve">Table </w:t>
      </w:r>
      <w:r w:rsidR="00072180">
        <w:rPr>
          <w:noProof/>
        </w:rPr>
        <w:fldChar w:fldCharType="begin"/>
      </w:r>
      <w:r w:rsidR="00072180">
        <w:rPr>
          <w:noProof/>
        </w:rPr>
        <w:instrText xml:space="preserve"> SEQ Table \* ARABIC </w:instrText>
      </w:r>
      <w:r w:rsidR="00072180">
        <w:rPr>
          <w:noProof/>
        </w:rPr>
        <w:fldChar w:fldCharType="separate"/>
      </w:r>
      <w:r>
        <w:rPr>
          <w:noProof/>
        </w:rPr>
        <w:t>2</w:t>
      </w:r>
      <w:r w:rsidR="00072180">
        <w:rPr>
          <w:noProof/>
        </w:rPr>
        <w:fldChar w:fldCharType="end"/>
      </w:r>
      <w:bookmarkEnd w:id="2"/>
      <w:r>
        <w:tab/>
      </w:r>
      <w:r>
        <w:tab/>
        <w:t>Testing strategy used in COLUMBUS trial and comparator trials</w:t>
      </w:r>
    </w:p>
    <w:tbl>
      <w:tblPr>
        <w:tblStyle w:val="GridTable6Colorful1"/>
        <w:tblW w:w="9634" w:type="dxa"/>
        <w:tblLook w:val="04A0" w:firstRow="1" w:lastRow="0" w:firstColumn="1" w:lastColumn="0" w:noHBand="0" w:noVBand="1"/>
        <w:tblDescription w:val="Summary of the testing strategies used in the trials presented in the application"/>
      </w:tblPr>
      <w:tblGrid>
        <w:gridCol w:w="3114"/>
        <w:gridCol w:w="6520"/>
      </w:tblGrid>
      <w:tr w:rsidR="00E8223A" w:rsidRPr="00B3132C" w14:paraId="0FABE582" w14:textId="77777777" w:rsidTr="007B5CE8">
        <w:trPr>
          <w:cnfStyle w:val="100000000000" w:firstRow="1" w:lastRow="0" w:firstColumn="0" w:lastColumn="0" w:oddVBand="0" w:evenVBand="0" w:oddHBand="0" w:evenHBand="0" w:firstRowFirstColumn="0" w:firstRowLastColumn="0" w:lastRowFirstColumn="0" w:lastRowLastColumn="0"/>
          <w:trHeight w:val="191"/>
          <w:tblHeader/>
        </w:trPr>
        <w:tc>
          <w:tcPr>
            <w:cnfStyle w:val="001000000000" w:firstRow="0" w:lastRow="0" w:firstColumn="1" w:lastColumn="0" w:oddVBand="0" w:evenVBand="0" w:oddHBand="0" w:evenHBand="0" w:firstRowFirstColumn="0" w:firstRowLastColumn="0" w:lastRowFirstColumn="0" w:lastRowLastColumn="0"/>
            <w:tcW w:w="3114" w:type="dxa"/>
            <w:shd w:val="clear" w:color="auto" w:fill="BFBFBF" w:themeFill="background1" w:themeFillShade="BF"/>
          </w:tcPr>
          <w:p w14:paraId="30E4A41E" w14:textId="77777777" w:rsidR="00E8223A" w:rsidRPr="00B3132C" w:rsidRDefault="00E8223A" w:rsidP="008963CD">
            <w:pPr>
              <w:pStyle w:val="TableLeft"/>
            </w:pPr>
            <w:r w:rsidRPr="00B3132C">
              <w:t>Trial</w:t>
            </w:r>
          </w:p>
        </w:tc>
        <w:tc>
          <w:tcPr>
            <w:tcW w:w="6520" w:type="dxa"/>
            <w:shd w:val="clear" w:color="auto" w:fill="BFBFBF" w:themeFill="background1" w:themeFillShade="BF"/>
          </w:tcPr>
          <w:p w14:paraId="4E78E9BD" w14:textId="77777777" w:rsidR="00E8223A" w:rsidRPr="00B3132C" w:rsidRDefault="00E8223A" w:rsidP="008963CD">
            <w:pPr>
              <w:pStyle w:val="TableLeft"/>
              <w:cnfStyle w:val="100000000000" w:firstRow="1" w:lastRow="0" w:firstColumn="0" w:lastColumn="0" w:oddVBand="0" w:evenVBand="0" w:oddHBand="0" w:evenHBand="0" w:firstRowFirstColumn="0" w:firstRowLastColumn="0" w:lastRowFirstColumn="0" w:lastRowLastColumn="0"/>
            </w:pPr>
            <w:r w:rsidRPr="00B3132C">
              <w:t>Testing strategy</w:t>
            </w:r>
          </w:p>
        </w:tc>
      </w:tr>
      <w:tr w:rsidR="00E8223A" w:rsidRPr="00B3132C" w14:paraId="03FCA6BB" w14:textId="77777777" w:rsidTr="00896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0906AA4" w14:textId="77777777" w:rsidR="00E8223A" w:rsidRPr="001C6EED" w:rsidRDefault="00E8223A" w:rsidP="008963CD">
            <w:pPr>
              <w:pStyle w:val="TableLeft"/>
              <w:jc w:val="left"/>
              <w:rPr>
                <w:b w:val="0"/>
              </w:rPr>
            </w:pPr>
            <w:r w:rsidRPr="001C6EED">
              <w:rPr>
                <w:b w:val="0"/>
              </w:rPr>
              <w:t>COLUMBUS</w:t>
            </w:r>
          </w:p>
          <w:p w14:paraId="7D4BF93C" w14:textId="567AF23A" w:rsidR="00E8223A" w:rsidRPr="00C97C57" w:rsidRDefault="00E8223A" w:rsidP="00C97C57">
            <w:pPr>
              <w:pStyle w:val="TableLeft"/>
              <w:spacing w:after="240"/>
              <w:jc w:val="left"/>
              <w:rPr>
                <w:b w:val="0"/>
                <w:bCs w:val="0"/>
              </w:rPr>
            </w:pPr>
            <w:r w:rsidRPr="001C6EED">
              <w:rPr>
                <w:b w:val="0"/>
              </w:rPr>
              <w:t>(encorafenib + binimetinib)</w:t>
            </w:r>
          </w:p>
          <w:p w14:paraId="66A577B8" w14:textId="77777777" w:rsidR="00E8223A" w:rsidRPr="001C6EED" w:rsidRDefault="00927CBB" w:rsidP="008963CD">
            <w:pPr>
              <w:pStyle w:val="TableLeft"/>
              <w:jc w:val="left"/>
              <w:rPr>
                <w:b w:val="0"/>
              </w:rPr>
            </w:pPr>
            <w:sdt>
              <w:sdtPr>
                <w:id w:val="1376884901"/>
                <w:citation/>
              </w:sdtPr>
              <w:sdtEndPr/>
              <w:sdtContent>
                <w:r w:rsidR="00E8223A" w:rsidRPr="001C6EED">
                  <w:fldChar w:fldCharType="begin"/>
                </w:r>
                <w:r w:rsidR="00E8223A" w:rsidRPr="001C6EED">
                  <w:rPr>
                    <w:b w:val="0"/>
                  </w:rPr>
                  <w:instrText xml:space="preserve"> CITATION COL17 \l 3081 </w:instrText>
                </w:r>
                <w:r w:rsidR="00E8223A" w:rsidRPr="001C6EED">
                  <w:fldChar w:fldCharType="separate"/>
                </w:r>
                <w:r w:rsidR="00E8223A" w:rsidRPr="001C6EED">
                  <w:rPr>
                    <w:b w:val="0"/>
                    <w:noProof/>
                  </w:rPr>
                  <w:t>(COLUMBUS Part 1 CSR, 2017)</w:t>
                </w:r>
                <w:r w:rsidR="00E8223A" w:rsidRPr="001C6EED">
                  <w:fldChar w:fldCharType="end"/>
                </w:r>
              </w:sdtContent>
            </w:sdt>
            <w:r w:rsidR="00E8223A" w:rsidRPr="00BB1699">
              <w:rPr>
                <w:b w:val="0"/>
              </w:rPr>
              <w:t>, pg. 103</w:t>
            </w:r>
          </w:p>
        </w:tc>
        <w:tc>
          <w:tcPr>
            <w:tcW w:w="6520" w:type="dxa"/>
            <w:shd w:val="clear" w:color="auto" w:fill="auto"/>
          </w:tcPr>
          <w:p w14:paraId="74EEB0AC" w14:textId="77777777" w:rsidR="00E8223A" w:rsidRPr="00B3132C" w:rsidRDefault="00E8223A" w:rsidP="008963CD">
            <w:pPr>
              <w:pStyle w:val="TableLeft"/>
              <w:cnfStyle w:val="000000100000" w:firstRow="0" w:lastRow="0" w:firstColumn="0" w:lastColumn="0" w:oddVBand="0" w:evenVBand="0" w:oddHBand="1" w:evenHBand="0" w:firstRowFirstColumn="0" w:firstRowLastColumn="0" w:lastRowFirstColumn="0" w:lastRowLastColumn="0"/>
            </w:pPr>
            <w:r w:rsidRPr="00B3132C">
              <w:t>A tumour tissue sample (archival or newly collected biopsy fixed in formalin) was required from all patients for pre-screening of BRAF V600 mutation status. A BioMerieux THxID</w:t>
            </w:r>
            <w:r w:rsidRPr="00B3132C">
              <w:rPr>
                <w:vertAlign w:val="superscript"/>
              </w:rPr>
              <w:t>TM</w:t>
            </w:r>
            <w:r w:rsidRPr="00B3132C">
              <w:t xml:space="preserve"> BRAF diagnostic test that can identify both </w:t>
            </w:r>
            <w:r w:rsidRPr="00B3132C">
              <w:rPr>
                <w:i/>
                <w:iCs/>
              </w:rPr>
              <w:t xml:space="preserve">BRAF </w:t>
            </w:r>
            <w:r w:rsidRPr="00B3132C">
              <w:t xml:space="preserve">V600E and V600K gene mutations was used to select patients eligible for this study. </w:t>
            </w:r>
          </w:p>
        </w:tc>
      </w:tr>
      <w:tr w:rsidR="00E8223A" w:rsidRPr="00B3132C" w14:paraId="4E225005" w14:textId="77777777" w:rsidTr="008963CD">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E950B4F" w14:textId="77777777" w:rsidR="00E8223A" w:rsidRPr="001C6EED" w:rsidRDefault="00E8223A" w:rsidP="008963CD">
            <w:pPr>
              <w:pStyle w:val="TableLeft"/>
              <w:jc w:val="left"/>
              <w:rPr>
                <w:b w:val="0"/>
              </w:rPr>
            </w:pPr>
            <w:r w:rsidRPr="001C6EED">
              <w:rPr>
                <w:b w:val="0"/>
              </w:rPr>
              <w:t>coBRIM</w:t>
            </w:r>
          </w:p>
          <w:p w14:paraId="49F465A1" w14:textId="380B64F3" w:rsidR="00E8223A" w:rsidRPr="001C6EED" w:rsidRDefault="00E8223A" w:rsidP="00C97C57">
            <w:pPr>
              <w:pStyle w:val="TableLeft"/>
              <w:spacing w:after="240"/>
              <w:jc w:val="left"/>
              <w:rPr>
                <w:b w:val="0"/>
                <w:bCs w:val="0"/>
              </w:rPr>
            </w:pPr>
            <w:r w:rsidRPr="001C6EED">
              <w:rPr>
                <w:b w:val="0"/>
              </w:rPr>
              <w:t>(vemurafenib + cobimetinib)</w:t>
            </w:r>
          </w:p>
          <w:p w14:paraId="35E88459" w14:textId="77777777" w:rsidR="00E8223A" w:rsidRPr="001C6EED" w:rsidRDefault="00927CBB" w:rsidP="008963CD">
            <w:pPr>
              <w:pStyle w:val="TableLeft"/>
              <w:jc w:val="left"/>
              <w:rPr>
                <w:b w:val="0"/>
              </w:rPr>
            </w:pPr>
            <w:sdt>
              <w:sdtPr>
                <w:id w:val="777298441"/>
                <w:citation/>
              </w:sdtPr>
              <w:sdtEndPr/>
              <w:sdtContent>
                <w:r w:rsidR="00E8223A" w:rsidRPr="001C6EED">
                  <w:fldChar w:fldCharType="begin"/>
                </w:r>
                <w:r w:rsidR="00E8223A" w:rsidRPr="001C6EED">
                  <w:rPr>
                    <w:b w:val="0"/>
                  </w:rPr>
                  <w:instrText xml:space="preserve">CITATION Lar \l 3081 </w:instrText>
                </w:r>
                <w:r w:rsidR="00E8223A" w:rsidRPr="001C6EED">
                  <w:fldChar w:fldCharType="separate"/>
                </w:r>
                <w:r w:rsidR="00E8223A" w:rsidRPr="001C6EED">
                  <w:rPr>
                    <w:b w:val="0"/>
                    <w:noProof/>
                  </w:rPr>
                  <w:t>(Larkin, et al., 2014)</w:t>
                </w:r>
                <w:r w:rsidR="00E8223A" w:rsidRPr="001C6EED">
                  <w:fldChar w:fldCharType="end"/>
                </w:r>
              </w:sdtContent>
            </w:sdt>
            <w:r w:rsidR="00E8223A" w:rsidRPr="00BB1699">
              <w:rPr>
                <w:b w:val="0"/>
              </w:rPr>
              <w:t>, pg. 89</w:t>
            </w:r>
          </w:p>
        </w:tc>
        <w:tc>
          <w:tcPr>
            <w:tcW w:w="6520" w:type="dxa"/>
            <w:shd w:val="clear" w:color="auto" w:fill="auto"/>
          </w:tcPr>
          <w:p w14:paraId="342A1988" w14:textId="77777777" w:rsidR="00E8223A" w:rsidRPr="00B3132C" w:rsidRDefault="00E8223A" w:rsidP="008963CD">
            <w:pPr>
              <w:pStyle w:val="TableLeft"/>
              <w:cnfStyle w:val="000000000000" w:firstRow="0" w:lastRow="0" w:firstColumn="0" w:lastColumn="0" w:oddVBand="0" w:evenVBand="0" w:oddHBand="0" w:evenHBand="0" w:firstRowFirstColumn="0" w:firstRowLastColumn="0" w:lastRowFirstColumn="0" w:lastRowLastColumn="0"/>
            </w:pPr>
            <w:r w:rsidRPr="00B3132C">
              <w:t>BRAFV600 mutation testing must be performed with the cobas 4800 BRAF V600 mutation test. Only patients whose melanoma tumours test positive for the BRAFV600 mutation on the cobas® 4800 BRAF V600 mutation test will be eligible for enrolment in the clinical study if other eligibility criteria are met. Archival or newly obtained formalin-fixed paraffin-embedded (FFPE) tumour specimens may be utilized for the cobas</w:t>
            </w:r>
            <w:r w:rsidRPr="00B3132C">
              <w:rPr>
                <w:rFonts w:hint="eastAsia"/>
              </w:rPr>
              <w:t>®</w:t>
            </w:r>
            <w:r w:rsidRPr="00B3132C">
              <w:t xml:space="preserve"> 4800 BRAF V600 mutation test.</w:t>
            </w:r>
          </w:p>
        </w:tc>
      </w:tr>
      <w:tr w:rsidR="00E8223A" w:rsidRPr="00B3132C" w14:paraId="21DCCDF0" w14:textId="77777777" w:rsidTr="00896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564B2F3" w14:textId="77777777" w:rsidR="00E8223A" w:rsidRPr="001C6EED" w:rsidRDefault="00E8223A" w:rsidP="008963CD">
            <w:pPr>
              <w:pStyle w:val="TableLeft"/>
              <w:jc w:val="left"/>
              <w:rPr>
                <w:b w:val="0"/>
              </w:rPr>
            </w:pPr>
            <w:r w:rsidRPr="001C6EED">
              <w:rPr>
                <w:b w:val="0"/>
              </w:rPr>
              <w:t>COMBI-V</w:t>
            </w:r>
          </w:p>
          <w:p w14:paraId="39921439" w14:textId="2A5BC8DA" w:rsidR="00E8223A" w:rsidRPr="00C97C57" w:rsidRDefault="00E8223A" w:rsidP="00C97C57">
            <w:pPr>
              <w:pStyle w:val="TableLeft"/>
              <w:spacing w:after="240"/>
              <w:jc w:val="left"/>
              <w:rPr>
                <w:b w:val="0"/>
                <w:bCs w:val="0"/>
              </w:rPr>
            </w:pPr>
            <w:r w:rsidRPr="001C6EED">
              <w:rPr>
                <w:b w:val="0"/>
              </w:rPr>
              <w:t>(dabrafenib + trametinib)</w:t>
            </w:r>
          </w:p>
          <w:p w14:paraId="341EA507" w14:textId="77777777" w:rsidR="00E8223A" w:rsidRPr="00BB1699" w:rsidRDefault="00927CBB" w:rsidP="008963CD">
            <w:pPr>
              <w:pStyle w:val="TableLeft"/>
              <w:jc w:val="left"/>
              <w:rPr>
                <w:b w:val="0"/>
              </w:rPr>
            </w:pPr>
            <w:sdt>
              <w:sdtPr>
                <w:id w:val="-97560002"/>
                <w:citation/>
              </w:sdtPr>
              <w:sdtEndPr/>
              <w:sdtContent>
                <w:r w:rsidR="00E8223A" w:rsidRPr="00BB1699">
                  <w:fldChar w:fldCharType="begin"/>
                </w:r>
                <w:r w:rsidR="00E8223A" w:rsidRPr="00BB1699">
                  <w:rPr>
                    <w:b w:val="0"/>
                  </w:rPr>
                  <w:instrText xml:space="preserve"> CITATION COM14 \l 3081 </w:instrText>
                </w:r>
                <w:r w:rsidR="00E8223A" w:rsidRPr="00BB1699">
                  <w:fldChar w:fldCharType="separate"/>
                </w:r>
                <w:r w:rsidR="00E8223A" w:rsidRPr="00BB1699">
                  <w:rPr>
                    <w:b w:val="0"/>
                    <w:noProof/>
                  </w:rPr>
                  <w:t>(COMBI-V CSR, 2014)</w:t>
                </w:r>
                <w:r w:rsidR="00E8223A" w:rsidRPr="00BB1699">
                  <w:fldChar w:fldCharType="end"/>
                </w:r>
              </w:sdtContent>
            </w:sdt>
            <w:r w:rsidR="00E8223A" w:rsidRPr="00BB1699">
              <w:rPr>
                <w:b w:val="0"/>
              </w:rPr>
              <w:t>, pg. 103</w:t>
            </w:r>
          </w:p>
        </w:tc>
        <w:tc>
          <w:tcPr>
            <w:tcW w:w="6520" w:type="dxa"/>
            <w:shd w:val="clear" w:color="auto" w:fill="auto"/>
          </w:tcPr>
          <w:p w14:paraId="16ADBA9D" w14:textId="77777777" w:rsidR="00E8223A" w:rsidRPr="00B3132C" w:rsidRDefault="00E8223A" w:rsidP="008963CD">
            <w:pPr>
              <w:pStyle w:val="TableLeft"/>
              <w:cnfStyle w:val="000000100000" w:firstRow="0" w:lastRow="0" w:firstColumn="0" w:lastColumn="0" w:oddVBand="0" w:evenVBand="0" w:oddHBand="1" w:evenHBand="0" w:firstRowFirstColumn="0" w:firstRowLastColumn="0" w:lastRowFirstColumn="0" w:lastRowLastColumn="0"/>
            </w:pPr>
            <w:r w:rsidRPr="00B3132C">
              <w:t>Subjects will be screened prior to treatment to determine whether their tumour sample has a V600E or V600K mutation, indicating their eligibility for the study. Tumour BRAF mutation testing will be conducted using the bioMerieux BRAF THxID IUO assay (IDE: G120011) and testing will be performed in a central reference laboratory.</w:t>
            </w:r>
          </w:p>
        </w:tc>
      </w:tr>
      <w:tr w:rsidR="00E8223A" w:rsidRPr="00B3132C" w14:paraId="272C73B7" w14:textId="77777777" w:rsidTr="008963CD">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ED52CCE" w14:textId="77777777" w:rsidR="00E8223A" w:rsidRPr="001C6EED" w:rsidRDefault="00E8223A" w:rsidP="008963CD">
            <w:pPr>
              <w:pStyle w:val="TableLeft"/>
              <w:jc w:val="left"/>
              <w:rPr>
                <w:b w:val="0"/>
              </w:rPr>
            </w:pPr>
            <w:r w:rsidRPr="001C6EED">
              <w:rPr>
                <w:b w:val="0"/>
              </w:rPr>
              <w:t>COMBI-D</w:t>
            </w:r>
          </w:p>
          <w:p w14:paraId="71E68602" w14:textId="305A3EE8" w:rsidR="00E8223A" w:rsidRPr="00C97C57" w:rsidRDefault="00E8223A" w:rsidP="00C97C57">
            <w:pPr>
              <w:pStyle w:val="TableLeft"/>
              <w:spacing w:after="240"/>
              <w:jc w:val="left"/>
              <w:rPr>
                <w:b w:val="0"/>
                <w:bCs w:val="0"/>
              </w:rPr>
            </w:pPr>
            <w:r w:rsidRPr="001C6EED">
              <w:rPr>
                <w:b w:val="0"/>
              </w:rPr>
              <w:t>(dabrafenib + trametinib)</w:t>
            </w:r>
          </w:p>
          <w:p w14:paraId="33AFF6A9" w14:textId="77777777" w:rsidR="00E8223A" w:rsidRPr="00BB1699" w:rsidRDefault="00927CBB" w:rsidP="008963CD">
            <w:pPr>
              <w:pStyle w:val="TableLeft"/>
              <w:jc w:val="left"/>
              <w:rPr>
                <w:b w:val="0"/>
              </w:rPr>
            </w:pPr>
            <w:sdt>
              <w:sdtPr>
                <w:id w:val="329191525"/>
                <w:citation/>
              </w:sdtPr>
              <w:sdtEndPr/>
              <w:sdtContent>
                <w:r w:rsidR="00E8223A" w:rsidRPr="00BB1699">
                  <w:fldChar w:fldCharType="begin"/>
                </w:r>
                <w:r w:rsidR="00E8223A" w:rsidRPr="00BB1699">
                  <w:rPr>
                    <w:b w:val="0"/>
                  </w:rPr>
                  <w:instrText xml:space="preserve"> CITATION COM11 \l 3081 </w:instrText>
                </w:r>
                <w:r w:rsidR="00E8223A" w:rsidRPr="00BB1699">
                  <w:fldChar w:fldCharType="separate"/>
                </w:r>
                <w:r w:rsidR="00E8223A" w:rsidRPr="00BB1699">
                  <w:rPr>
                    <w:b w:val="0"/>
                    <w:noProof/>
                  </w:rPr>
                  <w:t>(COMBI-D CSR, 2013)</w:t>
                </w:r>
                <w:r w:rsidR="00E8223A" w:rsidRPr="00BB1699">
                  <w:fldChar w:fldCharType="end"/>
                </w:r>
              </w:sdtContent>
            </w:sdt>
            <w:r w:rsidR="00E8223A" w:rsidRPr="00BB1699">
              <w:rPr>
                <w:b w:val="0"/>
              </w:rPr>
              <w:t>, pg. 93</w:t>
            </w:r>
          </w:p>
        </w:tc>
        <w:tc>
          <w:tcPr>
            <w:tcW w:w="6520" w:type="dxa"/>
            <w:shd w:val="clear" w:color="auto" w:fill="auto"/>
          </w:tcPr>
          <w:p w14:paraId="009675A9" w14:textId="77777777" w:rsidR="00E8223A" w:rsidRPr="00B3132C" w:rsidRDefault="00E8223A" w:rsidP="008963CD">
            <w:pPr>
              <w:pStyle w:val="TableLeft"/>
              <w:cnfStyle w:val="000000000000" w:firstRow="0" w:lastRow="0" w:firstColumn="0" w:lastColumn="0" w:oddVBand="0" w:evenVBand="0" w:oddHBand="0" w:evenHBand="0" w:firstRowFirstColumn="0" w:firstRowLastColumn="0" w:lastRowFirstColumn="0" w:lastRowLastColumn="0"/>
            </w:pPr>
            <w:r w:rsidRPr="00B3132C">
              <w:t>Subjects will be screened prior to treatment to determine whether their tumour sample has a V600E or V600K mutation, indicating their eligibility for the study. Tumour BRAF mutation testing will be conducted using the bioMerieux BRAF THxID IUO assay (IDE: G120011) and testing will be performed in a central reference laboratory.</w:t>
            </w:r>
          </w:p>
        </w:tc>
      </w:tr>
    </w:tbl>
    <w:p w14:paraId="46371074" w14:textId="49800C6E" w:rsidR="00BC1364" w:rsidRDefault="00BC1364" w:rsidP="00F715D1">
      <w:pPr>
        <w:pStyle w:val="Heading1"/>
      </w:pPr>
      <w:r w:rsidRPr="00F715D1">
        <w:t>Financial/budgetary impacts</w:t>
      </w:r>
    </w:p>
    <w:p w14:paraId="5069B4CC" w14:textId="48B6AE30" w:rsidR="00BC3099" w:rsidRPr="00BC3099" w:rsidRDefault="00BC3099" w:rsidP="00BC3099">
      <w:r>
        <w:t>T</w:t>
      </w:r>
      <w:r w:rsidRPr="00DE03C3">
        <w:t xml:space="preserve">he proposed amendment to the BRAF MBS item 73336 </w:t>
      </w:r>
      <w:r>
        <w:t>is anticipated to</w:t>
      </w:r>
      <w:r w:rsidRPr="00DE03C3">
        <w:t xml:space="preserve"> be cost</w:t>
      </w:r>
      <w:r>
        <w:t xml:space="preserve"> neutral to the MBS</w:t>
      </w:r>
      <w:r w:rsidRPr="00DE03C3">
        <w:t>.</w:t>
      </w:r>
    </w:p>
    <w:p w14:paraId="39ABDA49" w14:textId="67EB91CA" w:rsidR="00BC1364" w:rsidRDefault="00BC1364" w:rsidP="00F715D1">
      <w:pPr>
        <w:pStyle w:val="Heading1"/>
      </w:pPr>
      <w:r w:rsidRPr="00F715D1">
        <w:t xml:space="preserve">Applicant’s comments on MSAC’s </w:t>
      </w:r>
      <w:r w:rsidR="00DA56AA" w:rsidRPr="00F715D1">
        <w:t>Public Summary Document</w:t>
      </w:r>
    </w:p>
    <w:p w14:paraId="5344F3B5" w14:textId="2F533938" w:rsidR="00E8223A" w:rsidRPr="00E8223A" w:rsidRDefault="00D22CF6" w:rsidP="00E8223A">
      <w:r w:rsidRPr="00D22CF6">
        <w:t xml:space="preserve">Pierre Fabre welcome the support of MSAC to amend MBS item 73336 for </w:t>
      </w:r>
      <w:r w:rsidRPr="00D22CF6">
        <w:rPr>
          <w:i/>
        </w:rPr>
        <w:t>BRAF</w:t>
      </w:r>
      <w:r w:rsidRPr="00D22CF6">
        <w:t xml:space="preserve"> mutation testing in patients with unresectable or metastatic melanoma to determine access to encorafenib under the PBS</w:t>
      </w:r>
      <w:r>
        <w:t>.</w:t>
      </w:r>
    </w:p>
    <w:p w14:paraId="45650C15" w14:textId="77777777" w:rsidR="00BC1364" w:rsidRPr="00F715D1" w:rsidRDefault="00271F18" w:rsidP="00F715D1">
      <w:pPr>
        <w:pStyle w:val="Heading1"/>
      </w:pPr>
      <w:r w:rsidRPr="00F715D1">
        <w:t>Further information on MSAC</w:t>
      </w:r>
    </w:p>
    <w:p w14:paraId="508D506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5996C" w16cid:durableId="2006D182"/>
  <w16cid:commentId w16cid:paraId="6BA40F52" w16cid:durableId="1FF464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F847" w14:textId="77777777" w:rsidR="00D027C6" w:rsidRDefault="00D027C6" w:rsidP="00065623">
      <w:r>
        <w:separator/>
      </w:r>
    </w:p>
  </w:endnote>
  <w:endnote w:type="continuationSeparator" w:id="0">
    <w:p w14:paraId="10C6C142" w14:textId="77777777" w:rsidR="00D027C6" w:rsidRDefault="00D027C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82829" w14:textId="77777777" w:rsidR="00927CBB" w:rsidRDefault="00927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4223A65" w14:textId="3FD8DCD8" w:rsidR="00902BCF" w:rsidRDefault="00902BCF">
        <w:pPr>
          <w:pStyle w:val="Footer"/>
          <w:jc w:val="right"/>
        </w:pPr>
        <w:r>
          <w:fldChar w:fldCharType="begin"/>
        </w:r>
        <w:r>
          <w:instrText xml:space="preserve"> PAGE   \* MERGEFORMAT </w:instrText>
        </w:r>
        <w:r>
          <w:fldChar w:fldCharType="separate"/>
        </w:r>
        <w:r w:rsidR="00927CBB">
          <w:rPr>
            <w:noProof/>
          </w:rPr>
          <w:t>1</w:t>
        </w:r>
        <w:r>
          <w:rPr>
            <w:noProof/>
          </w:rPr>
          <w:fldChar w:fldCharType="end"/>
        </w:r>
      </w:p>
    </w:sdtContent>
  </w:sdt>
  <w:p w14:paraId="10273113" w14:textId="77777777" w:rsidR="00902BCF" w:rsidRDefault="00902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E0F5" w14:textId="77777777" w:rsidR="00927CBB" w:rsidRDefault="0092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85411" w14:textId="77777777" w:rsidR="00D027C6" w:rsidRDefault="00D027C6" w:rsidP="00065623">
      <w:r>
        <w:separator/>
      </w:r>
    </w:p>
  </w:footnote>
  <w:footnote w:type="continuationSeparator" w:id="0">
    <w:p w14:paraId="267C80BA" w14:textId="77777777" w:rsidR="00D027C6" w:rsidRDefault="00D027C6"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CC55" w14:textId="77777777" w:rsidR="00927CBB" w:rsidRDefault="00927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9961" w14:textId="77777777" w:rsidR="00927CBB" w:rsidRDefault="00927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9536" w14:textId="77777777" w:rsidR="00927CBB" w:rsidRDefault="0092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4634013"/>
    <w:multiLevelType w:val="hybridMultilevel"/>
    <w:tmpl w:val="C3D0ABEE"/>
    <w:lvl w:ilvl="0" w:tplc="4B6CBC1C">
      <w:start w:val="1"/>
      <w:numFmt w:val="bullet"/>
      <w:pStyle w:val="MSACESBulletpoin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616635"/>
    <w:multiLevelType w:val="hybridMultilevel"/>
    <w:tmpl w:val="A9500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B04A5E"/>
    <w:multiLevelType w:val="hybridMultilevel"/>
    <w:tmpl w:val="69B4B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B5FE4"/>
    <w:multiLevelType w:val="hybridMultilevel"/>
    <w:tmpl w:val="06E8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3CF6615"/>
    <w:multiLevelType w:val="hybridMultilevel"/>
    <w:tmpl w:val="DD6C0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84D033C"/>
    <w:multiLevelType w:val="multilevel"/>
    <w:tmpl w:val="EFE846A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i w:val="0"/>
        <w:color w:val="auto"/>
      </w:rPr>
    </w:lvl>
    <w:lvl w:ilvl="5">
      <w:start w:val="1"/>
      <w:numFmt w:val="decimal"/>
      <w:lvlRestart w:val="1"/>
      <w:lvlText w:val="%6"/>
      <w:lvlJc w:val="left"/>
      <w:pPr>
        <w:ind w:left="720" w:hanging="720"/>
      </w:pPr>
      <w:rPr>
        <w:rFonts w:hint="default"/>
      </w:rPr>
    </w:lvl>
    <w:lvl w:ilvl="6">
      <w:start w:val="1"/>
      <w:numFmt w:val="none"/>
      <w:lvlRestart w:val="0"/>
      <w:suff w:val="nothing"/>
      <w:lvlText w:val=""/>
      <w:lvlJc w:val="left"/>
      <w:pPr>
        <w:ind w:left="0" w:firstLine="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
  </w:num>
  <w:num w:numId="4">
    <w:abstractNumId w:val="20"/>
  </w:num>
  <w:num w:numId="5">
    <w:abstractNumId w:val="12"/>
  </w:num>
  <w:num w:numId="6">
    <w:abstractNumId w:val="19"/>
  </w:num>
  <w:num w:numId="7">
    <w:abstractNumId w:val="23"/>
  </w:num>
  <w:num w:numId="8">
    <w:abstractNumId w:val="13"/>
  </w:num>
  <w:num w:numId="9">
    <w:abstractNumId w:val="30"/>
  </w:num>
  <w:num w:numId="10">
    <w:abstractNumId w:val="0"/>
  </w:num>
  <w:num w:numId="11">
    <w:abstractNumId w:val="22"/>
  </w:num>
  <w:num w:numId="12">
    <w:abstractNumId w:val="24"/>
  </w:num>
  <w:num w:numId="13">
    <w:abstractNumId w:val="6"/>
  </w:num>
  <w:num w:numId="14">
    <w:abstractNumId w:val="28"/>
  </w:num>
  <w:num w:numId="15">
    <w:abstractNumId w:val="21"/>
  </w:num>
  <w:num w:numId="16">
    <w:abstractNumId w:val="25"/>
  </w:num>
  <w:num w:numId="17">
    <w:abstractNumId w:val="14"/>
  </w:num>
  <w:num w:numId="18">
    <w:abstractNumId w:val="15"/>
  </w:num>
  <w:num w:numId="19">
    <w:abstractNumId w:val="27"/>
  </w:num>
  <w:num w:numId="20">
    <w:abstractNumId w:val="26"/>
  </w:num>
  <w:num w:numId="21">
    <w:abstractNumId w:val="3"/>
  </w:num>
  <w:num w:numId="22">
    <w:abstractNumId w:val="10"/>
  </w:num>
  <w:num w:numId="23">
    <w:abstractNumId w:val="2"/>
  </w:num>
  <w:num w:numId="24">
    <w:abstractNumId w:val="9"/>
  </w:num>
  <w:num w:numId="25">
    <w:abstractNumId w:val="7"/>
  </w:num>
  <w:num w:numId="26">
    <w:abstractNumId w:val="29"/>
  </w:num>
  <w:num w:numId="27">
    <w:abstractNumId w:val="11"/>
  </w:num>
  <w:num w:numId="28">
    <w:abstractNumId w:val="18"/>
  </w:num>
  <w:num w:numId="29">
    <w:abstractNumId w:val="4"/>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463A4"/>
    <w:rsid w:val="00047606"/>
    <w:rsid w:val="00065623"/>
    <w:rsid w:val="00072180"/>
    <w:rsid w:val="000756B9"/>
    <w:rsid w:val="000853BE"/>
    <w:rsid w:val="00096B67"/>
    <w:rsid w:val="00096DAF"/>
    <w:rsid w:val="000B108B"/>
    <w:rsid w:val="000C2F47"/>
    <w:rsid w:val="000D2B9A"/>
    <w:rsid w:val="000D6C00"/>
    <w:rsid w:val="000E4E04"/>
    <w:rsid w:val="000F14B4"/>
    <w:rsid w:val="000F75DF"/>
    <w:rsid w:val="001023DC"/>
    <w:rsid w:val="001328FA"/>
    <w:rsid w:val="00147AAF"/>
    <w:rsid w:val="00152FE2"/>
    <w:rsid w:val="001552C0"/>
    <w:rsid w:val="001640B1"/>
    <w:rsid w:val="0018435E"/>
    <w:rsid w:val="00186930"/>
    <w:rsid w:val="0019408C"/>
    <w:rsid w:val="001C3393"/>
    <w:rsid w:val="001C75DA"/>
    <w:rsid w:val="001E0209"/>
    <w:rsid w:val="002041A1"/>
    <w:rsid w:val="002054F0"/>
    <w:rsid w:val="00206C68"/>
    <w:rsid w:val="00230D6B"/>
    <w:rsid w:val="00231B18"/>
    <w:rsid w:val="00232068"/>
    <w:rsid w:val="002330F2"/>
    <w:rsid w:val="00236CF5"/>
    <w:rsid w:val="00237651"/>
    <w:rsid w:val="0023795D"/>
    <w:rsid w:val="00243D9E"/>
    <w:rsid w:val="00252EEA"/>
    <w:rsid w:val="00253B66"/>
    <w:rsid w:val="00261DF1"/>
    <w:rsid w:val="00271F18"/>
    <w:rsid w:val="00276D3F"/>
    <w:rsid w:val="00282779"/>
    <w:rsid w:val="0028334D"/>
    <w:rsid w:val="002B7FFA"/>
    <w:rsid w:val="002C2BCF"/>
    <w:rsid w:val="002D5395"/>
    <w:rsid w:val="002F279D"/>
    <w:rsid w:val="002F43B8"/>
    <w:rsid w:val="00336856"/>
    <w:rsid w:val="0034554D"/>
    <w:rsid w:val="00351A86"/>
    <w:rsid w:val="00352224"/>
    <w:rsid w:val="00353469"/>
    <w:rsid w:val="003671E6"/>
    <w:rsid w:val="00384272"/>
    <w:rsid w:val="00386D67"/>
    <w:rsid w:val="00392D5C"/>
    <w:rsid w:val="003945B8"/>
    <w:rsid w:val="00396E07"/>
    <w:rsid w:val="003C04F4"/>
    <w:rsid w:val="003D7F29"/>
    <w:rsid w:val="00405A6B"/>
    <w:rsid w:val="00407B1F"/>
    <w:rsid w:val="0041184F"/>
    <w:rsid w:val="00414C57"/>
    <w:rsid w:val="0041758C"/>
    <w:rsid w:val="004539DE"/>
    <w:rsid w:val="00454959"/>
    <w:rsid w:val="00462D32"/>
    <w:rsid w:val="004A2CF1"/>
    <w:rsid w:val="004C3035"/>
    <w:rsid w:val="004C307F"/>
    <w:rsid w:val="004E2236"/>
    <w:rsid w:val="004E4BA8"/>
    <w:rsid w:val="004F340F"/>
    <w:rsid w:val="004F67A4"/>
    <w:rsid w:val="004F7194"/>
    <w:rsid w:val="004F7B7C"/>
    <w:rsid w:val="0052243D"/>
    <w:rsid w:val="00532435"/>
    <w:rsid w:val="00550354"/>
    <w:rsid w:val="00571236"/>
    <w:rsid w:val="005766DD"/>
    <w:rsid w:val="00587213"/>
    <w:rsid w:val="005953A1"/>
    <w:rsid w:val="005A4362"/>
    <w:rsid w:val="005B4B59"/>
    <w:rsid w:val="005B5434"/>
    <w:rsid w:val="005D0332"/>
    <w:rsid w:val="005D0D8C"/>
    <w:rsid w:val="00610FCE"/>
    <w:rsid w:val="00626F41"/>
    <w:rsid w:val="00631C2B"/>
    <w:rsid w:val="00643557"/>
    <w:rsid w:val="00651BE1"/>
    <w:rsid w:val="00652ED3"/>
    <w:rsid w:val="006776AE"/>
    <w:rsid w:val="00681381"/>
    <w:rsid w:val="006A0D97"/>
    <w:rsid w:val="006B1F86"/>
    <w:rsid w:val="006C0A91"/>
    <w:rsid w:val="006C4527"/>
    <w:rsid w:val="007054BB"/>
    <w:rsid w:val="00707064"/>
    <w:rsid w:val="00730683"/>
    <w:rsid w:val="0075261F"/>
    <w:rsid w:val="0075468E"/>
    <w:rsid w:val="00762563"/>
    <w:rsid w:val="007665D8"/>
    <w:rsid w:val="00766E36"/>
    <w:rsid w:val="00775268"/>
    <w:rsid w:val="007765F4"/>
    <w:rsid w:val="00776633"/>
    <w:rsid w:val="00784D53"/>
    <w:rsid w:val="0079005B"/>
    <w:rsid w:val="00797797"/>
    <w:rsid w:val="007A6351"/>
    <w:rsid w:val="007A63C9"/>
    <w:rsid w:val="007A7D47"/>
    <w:rsid w:val="007B21C5"/>
    <w:rsid w:val="007B32D1"/>
    <w:rsid w:val="007B5CE8"/>
    <w:rsid w:val="007B7095"/>
    <w:rsid w:val="007D24E1"/>
    <w:rsid w:val="007D2DDA"/>
    <w:rsid w:val="007D6288"/>
    <w:rsid w:val="007F4CE9"/>
    <w:rsid w:val="007F4E20"/>
    <w:rsid w:val="00806316"/>
    <w:rsid w:val="0081316B"/>
    <w:rsid w:val="00822C7E"/>
    <w:rsid w:val="00840597"/>
    <w:rsid w:val="00847060"/>
    <w:rsid w:val="00847A36"/>
    <w:rsid w:val="00856A33"/>
    <w:rsid w:val="00892620"/>
    <w:rsid w:val="008B100F"/>
    <w:rsid w:val="008C7D37"/>
    <w:rsid w:val="008D5885"/>
    <w:rsid w:val="008F4EA4"/>
    <w:rsid w:val="00902ACD"/>
    <w:rsid w:val="00902BCF"/>
    <w:rsid w:val="0090381E"/>
    <w:rsid w:val="00923FA2"/>
    <w:rsid w:val="00927CBB"/>
    <w:rsid w:val="00930284"/>
    <w:rsid w:val="00935D3F"/>
    <w:rsid w:val="0096060D"/>
    <w:rsid w:val="00974A50"/>
    <w:rsid w:val="0097585A"/>
    <w:rsid w:val="009924B0"/>
    <w:rsid w:val="009942C9"/>
    <w:rsid w:val="009B35C4"/>
    <w:rsid w:val="009C630A"/>
    <w:rsid w:val="009C7CA2"/>
    <w:rsid w:val="009E0D98"/>
    <w:rsid w:val="009E1FEA"/>
    <w:rsid w:val="009E5890"/>
    <w:rsid w:val="00A068A1"/>
    <w:rsid w:val="00A1207D"/>
    <w:rsid w:val="00A12FD8"/>
    <w:rsid w:val="00A20690"/>
    <w:rsid w:val="00A346FC"/>
    <w:rsid w:val="00A3504C"/>
    <w:rsid w:val="00A82AC0"/>
    <w:rsid w:val="00A846F2"/>
    <w:rsid w:val="00A849E2"/>
    <w:rsid w:val="00A84F93"/>
    <w:rsid w:val="00A8727A"/>
    <w:rsid w:val="00AB1AC5"/>
    <w:rsid w:val="00AB3BFC"/>
    <w:rsid w:val="00AC4F2E"/>
    <w:rsid w:val="00AD0866"/>
    <w:rsid w:val="00AD0C37"/>
    <w:rsid w:val="00AD385F"/>
    <w:rsid w:val="00AE6E2A"/>
    <w:rsid w:val="00B03EAB"/>
    <w:rsid w:val="00B20049"/>
    <w:rsid w:val="00B277E9"/>
    <w:rsid w:val="00B31E9C"/>
    <w:rsid w:val="00B35595"/>
    <w:rsid w:val="00B375B4"/>
    <w:rsid w:val="00B51C6D"/>
    <w:rsid w:val="00B61FDF"/>
    <w:rsid w:val="00B83DD2"/>
    <w:rsid w:val="00B86D64"/>
    <w:rsid w:val="00B87EA5"/>
    <w:rsid w:val="00BA4AC5"/>
    <w:rsid w:val="00BB4388"/>
    <w:rsid w:val="00BC1364"/>
    <w:rsid w:val="00BC2667"/>
    <w:rsid w:val="00BC3099"/>
    <w:rsid w:val="00BC7DE9"/>
    <w:rsid w:val="00BF479B"/>
    <w:rsid w:val="00C02577"/>
    <w:rsid w:val="00C204FB"/>
    <w:rsid w:val="00C20BEE"/>
    <w:rsid w:val="00C2158D"/>
    <w:rsid w:val="00C25344"/>
    <w:rsid w:val="00C672D2"/>
    <w:rsid w:val="00C67DD2"/>
    <w:rsid w:val="00C725CB"/>
    <w:rsid w:val="00C76F5C"/>
    <w:rsid w:val="00C77DBE"/>
    <w:rsid w:val="00C96BAD"/>
    <w:rsid w:val="00C97C57"/>
    <w:rsid w:val="00CA6944"/>
    <w:rsid w:val="00CB0F8E"/>
    <w:rsid w:val="00CB7E7D"/>
    <w:rsid w:val="00CC20AE"/>
    <w:rsid w:val="00CC2911"/>
    <w:rsid w:val="00CD3A78"/>
    <w:rsid w:val="00CF0C6D"/>
    <w:rsid w:val="00CF561A"/>
    <w:rsid w:val="00CF7307"/>
    <w:rsid w:val="00CF7C68"/>
    <w:rsid w:val="00D027C6"/>
    <w:rsid w:val="00D124FA"/>
    <w:rsid w:val="00D22CF6"/>
    <w:rsid w:val="00D2305F"/>
    <w:rsid w:val="00D340DE"/>
    <w:rsid w:val="00D55723"/>
    <w:rsid w:val="00D62FAD"/>
    <w:rsid w:val="00D64355"/>
    <w:rsid w:val="00D70450"/>
    <w:rsid w:val="00D83BFD"/>
    <w:rsid w:val="00D849D2"/>
    <w:rsid w:val="00D90A38"/>
    <w:rsid w:val="00DA0515"/>
    <w:rsid w:val="00DA0FD8"/>
    <w:rsid w:val="00DA171E"/>
    <w:rsid w:val="00DA56AA"/>
    <w:rsid w:val="00DB5833"/>
    <w:rsid w:val="00DD2858"/>
    <w:rsid w:val="00DE2B76"/>
    <w:rsid w:val="00DE6197"/>
    <w:rsid w:val="00E01CAB"/>
    <w:rsid w:val="00E03E33"/>
    <w:rsid w:val="00E059E0"/>
    <w:rsid w:val="00E33AAE"/>
    <w:rsid w:val="00E3642A"/>
    <w:rsid w:val="00E415C4"/>
    <w:rsid w:val="00E50016"/>
    <w:rsid w:val="00E50EAA"/>
    <w:rsid w:val="00E656D6"/>
    <w:rsid w:val="00E811BE"/>
    <w:rsid w:val="00E8223A"/>
    <w:rsid w:val="00E83D28"/>
    <w:rsid w:val="00E977EE"/>
    <w:rsid w:val="00EA2F24"/>
    <w:rsid w:val="00EA67A2"/>
    <w:rsid w:val="00EB630F"/>
    <w:rsid w:val="00EB6B6F"/>
    <w:rsid w:val="00EC4F98"/>
    <w:rsid w:val="00ED69DB"/>
    <w:rsid w:val="00EE1DBB"/>
    <w:rsid w:val="00F12F02"/>
    <w:rsid w:val="00F151A7"/>
    <w:rsid w:val="00F32E0D"/>
    <w:rsid w:val="00F35134"/>
    <w:rsid w:val="00F37B9C"/>
    <w:rsid w:val="00F41812"/>
    <w:rsid w:val="00F715D1"/>
    <w:rsid w:val="00F72715"/>
    <w:rsid w:val="00F73333"/>
    <w:rsid w:val="00F9177A"/>
    <w:rsid w:val="00F95D8F"/>
    <w:rsid w:val="00FB350A"/>
    <w:rsid w:val="00FB4C5D"/>
    <w:rsid w:val="00FD09B8"/>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B3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ES Paragraph,PBAC ES Paragraph,Bullet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ES Paragraph Char,PBAC ES Paragraph Char,BulletPoints Char"/>
    <w:basedOn w:val="DefaultParagraphFont"/>
    <w:link w:val="ListParagraph"/>
    <w:uiPriority w:val="34"/>
    <w:locked/>
    <w:rsid w:val="00462D32"/>
    <w:rPr>
      <w:rFonts w:eastAsia="Times New Roman"/>
      <w:sz w:val="24"/>
      <w:szCs w:val="20"/>
    </w:rPr>
  </w:style>
  <w:style w:type="paragraph" w:customStyle="1" w:styleId="ESHeading1">
    <w:name w:val="ES Heading 1"/>
    <w:basedOn w:val="Heading1"/>
    <w:next w:val="Heading1"/>
    <w:uiPriority w:val="2"/>
    <w:qFormat/>
    <w:rsid w:val="00462D32"/>
    <w:pPr>
      <w:numPr>
        <w:numId w:val="0"/>
      </w:numPr>
      <w:spacing w:after="120"/>
      <w:ind w:left="720" w:hanging="720"/>
    </w:pPr>
    <w:rPr>
      <w:rFonts w:asciiTheme="minorHAnsi" w:hAnsiTheme="minorHAnsi" w:cs="Arial"/>
      <w:bCs w:val="0"/>
      <w:snapToGrid w:val="0"/>
      <w:sz w:val="32"/>
      <w:szCs w:val="32"/>
      <w:lang w:eastAsia="en-US"/>
    </w:rPr>
  </w:style>
  <w:style w:type="paragraph" w:customStyle="1" w:styleId="ESHeading2">
    <w:name w:val="ES Heading 2"/>
    <w:basedOn w:val="Heading2"/>
    <w:uiPriority w:val="2"/>
    <w:qFormat/>
    <w:rsid w:val="00462D32"/>
    <w:pPr>
      <w:spacing w:before="360" w:after="120"/>
      <w:ind w:left="720" w:hanging="720"/>
    </w:pPr>
    <w:rPr>
      <w:bCs w:val="0"/>
      <w:i/>
      <w:snapToGrid w:val="0"/>
      <w:color w:val="auto"/>
      <w:sz w:val="28"/>
      <w:szCs w:val="28"/>
      <w:lang w:eastAsia="en-US"/>
    </w:rPr>
  </w:style>
  <w:style w:type="paragraph" w:customStyle="1" w:styleId="ESHeadingCAPS">
    <w:name w:val="ES Heading CAPS"/>
    <w:basedOn w:val="ESHeading2"/>
    <w:uiPriority w:val="2"/>
    <w:qFormat/>
    <w:rsid w:val="00462D32"/>
    <w:rPr>
      <w:i w:val="0"/>
      <w:smallCaps/>
      <w:sz w:val="32"/>
    </w:rPr>
  </w:style>
  <w:style w:type="paragraph" w:customStyle="1" w:styleId="ESHeading3">
    <w:name w:val="ES Heading 3"/>
    <w:basedOn w:val="ESHeading2"/>
    <w:uiPriority w:val="2"/>
    <w:qFormat/>
    <w:rsid w:val="00462D32"/>
    <w:pPr>
      <w:ind w:left="1080" w:hanging="1080"/>
    </w:pPr>
    <w:rPr>
      <w:i w:val="0"/>
      <w:sz w:val="24"/>
    </w:rPr>
  </w:style>
  <w:style w:type="paragraph" w:customStyle="1" w:styleId="MSACHeading1">
    <w:name w:val="MSAC Heading 1"/>
    <w:basedOn w:val="Heading1"/>
    <w:next w:val="MSACESParagraph"/>
    <w:qFormat/>
    <w:rsid w:val="00462D32"/>
    <w:pPr>
      <w:numPr>
        <w:numId w:val="0"/>
      </w:numPr>
      <w:spacing w:before="160" w:line="259" w:lineRule="auto"/>
      <w:ind w:left="720" w:hanging="720"/>
    </w:pPr>
    <w:rPr>
      <w:rFonts w:eastAsiaTheme="majorEastAsia" w:cstheme="majorBidi"/>
      <w:bCs w:val="0"/>
      <w:lang w:eastAsia="en-US"/>
    </w:rPr>
  </w:style>
  <w:style w:type="paragraph" w:customStyle="1" w:styleId="MSACESParagraph">
    <w:name w:val="MSAC ES Paragraph"/>
    <w:link w:val="MSACESParagraphChar"/>
    <w:qFormat/>
    <w:rsid w:val="00462D32"/>
    <w:pPr>
      <w:spacing w:after="240"/>
    </w:pPr>
    <w:rPr>
      <w:rFonts w:eastAsiaTheme="minorHAnsi" w:cstheme="minorBidi"/>
      <w:sz w:val="24"/>
      <w:lang w:eastAsia="en-US"/>
    </w:rPr>
  </w:style>
  <w:style w:type="paragraph" w:customStyle="1" w:styleId="MSACESHeading2">
    <w:name w:val="MSAC ES Heading 2"/>
    <w:basedOn w:val="Heading2"/>
    <w:next w:val="MSACESParagraph"/>
    <w:link w:val="MSACESHeading2Char"/>
    <w:qFormat/>
    <w:rsid w:val="00462D32"/>
    <w:pPr>
      <w:spacing w:before="360" w:after="120"/>
    </w:pPr>
    <w:rPr>
      <w:rFonts w:ascii="Cambria" w:hAnsi="Cambria"/>
      <w:bCs w:val="0"/>
      <w:snapToGrid w:val="0"/>
      <w:color w:val="auto"/>
      <w:sz w:val="24"/>
      <w:szCs w:val="28"/>
      <w:lang w:eastAsia="en-US"/>
    </w:rPr>
  </w:style>
  <w:style w:type="character" w:customStyle="1" w:styleId="MSACESParagraphChar">
    <w:name w:val="MSAC ES Paragraph Char"/>
    <w:basedOn w:val="DefaultParagraphFont"/>
    <w:link w:val="MSACESParagraph"/>
    <w:rsid w:val="00462D32"/>
    <w:rPr>
      <w:rFonts w:eastAsiaTheme="minorHAnsi" w:cstheme="minorBidi"/>
      <w:sz w:val="24"/>
      <w:lang w:eastAsia="en-US"/>
    </w:rPr>
  </w:style>
  <w:style w:type="paragraph" w:customStyle="1" w:styleId="MSACESBulletpoint">
    <w:name w:val="MSAC ES Bulletpoint"/>
    <w:basedOn w:val="MSACESParagraph"/>
    <w:link w:val="MSACESBulletpointChar"/>
    <w:qFormat/>
    <w:rsid w:val="00681381"/>
    <w:pPr>
      <w:numPr>
        <w:numId w:val="29"/>
      </w:numPr>
      <w:contextualSpacing/>
    </w:pPr>
  </w:style>
  <w:style w:type="character" w:customStyle="1" w:styleId="MSACESBulletpointChar">
    <w:name w:val="MSAC ES Bulletpoint Char"/>
    <w:basedOn w:val="MSACESParagraphChar"/>
    <w:link w:val="MSACESBulletpoint"/>
    <w:rsid w:val="00681381"/>
    <w:rPr>
      <w:rFonts w:eastAsiaTheme="minorHAnsi" w:cstheme="minorBidi"/>
      <w:sz w:val="24"/>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basedOn w:val="Normal"/>
    <w:next w:val="Normal"/>
    <w:link w:val="CaptionChar"/>
    <w:autoRedefine/>
    <w:uiPriority w:val="99"/>
    <w:unhideWhenUsed/>
    <w:qFormat/>
    <w:locked/>
    <w:rsid w:val="0023795D"/>
    <w:pPr>
      <w:keepNext/>
      <w:tabs>
        <w:tab w:val="left" w:pos="1134"/>
      </w:tabs>
      <w:spacing w:before="240"/>
      <w:contextualSpacing/>
      <w:jc w:val="both"/>
    </w:pPr>
    <w:rPr>
      <w:rFonts w:ascii="Arial Narrow" w:eastAsiaTheme="minorHAnsi" w:hAnsi="Arial Narrow" w:cstheme="minorBidi"/>
      <w:b/>
      <w:iCs/>
      <w:sz w:val="20"/>
      <w:szCs w:val="18"/>
      <w:lang w:eastAsia="en-US"/>
    </w:rPr>
  </w:style>
  <w:style w:type="paragraph" w:customStyle="1" w:styleId="TableText">
    <w:name w:val="Table Text"/>
    <w:basedOn w:val="Normal"/>
    <w:link w:val="TableTextChar"/>
    <w:qFormat/>
    <w:rsid w:val="0023795D"/>
    <w:pPr>
      <w:widowControl w:val="0"/>
      <w:spacing w:before="40" w:after="40"/>
      <w:jc w:val="both"/>
    </w:pPr>
    <w:rPr>
      <w:rFonts w:ascii="Arial Narrow" w:eastAsiaTheme="minorHAnsi" w:hAnsi="Arial Narrow" w:cstheme="minorBidi"/>
      <w:sz w:val="20"/>
      <w:szCs w:val="22"/>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99"/>
    <w:rsid w:val="0023795D"/>
    <w:rPr>
      <w:rFonts w:ascii="Arial Narrow" w:eastAsiaTheme="minorHAnsi" w:hAnsi="Arial Narrow" w:cstheme="minorBidi"/>
      <w:b/>
      <w:iCs/>
      <w:sz w:val="20"/>
      <w:szCs w:val="18"/>
      <w:lang w:eastAsia="en-US"/>
    </w:rPr>
  </w:style>
  <w:style w:type="paragraph" w:customStyle="1" w:styleId="TableFooter">
    <w:name w:val="Table Footer"/>
    <w:basedOn w:val="Normal"/>
    <w:link w:val="TableFooterChar"/>
    <w:uiPriority w:val="1"/>
    <w:qFormat/>
    <w:rsid w:val="0023795D"/>
    <w:pPr>
      <w:widowControl w:val="0"/>
      <w:spacing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uiPriority w:val="1"/>
    <w:rsid w:val="0023795D"/>
    <w:rPr>
      <w:rFonts w:ascii="Arial Narrow" w:eastAsia="Times New Roman" w:hAnsi="Arial Narrow" w:cs="Arial"/>
      <w:snapToGrid w:val="0"/>
      <w:sz w:val="18"/>
      <w:szCs w:val="20"/>
      <w:lang w:eastAsia="en-US"/>
    </w:rPr>
  </w:style>
  <w:style w:type="character" w:customStyle="1" w:styleId="TableTextChar">
    <w:name w:val="Table Text Char"/>
    <w:link w:val="TableText"/>
    <w:rsid w:val="0023795D"/>
    <w:rPr>
      <w:rFonts w:ascii="Arial Narrow" w:eastAsiaTheme="minorHAnsi" w:hAnsi="Arial Narrow" w:cstheme="minorBidi"/>
      <w:sz w:val="20"/>
      <w:lang w:eastAsia="en-US"/>
    </w:rPr>
  </w:style>
  <w:style w:type="character" w:customStyle="1" w:styleId="MSACESHeading2Char">
    <w:name w:val="MSAC ES Heading 2 Char"/>
    <w:basedOn w:val="DefaultParagraphFont"/>
    <w:link w:val="MSACESHeading2"/>
    <w:rsid w:val="007D2DDA"/>
    <w:rPr>
      <w:rFonts w:ascii="Cambria" w:eastAsiaTheme="majorEastAsia" w:hAnsi="Cambria" w:cstheme="majorBidi"/>
      <w:b/>
      <w:snapToGrid w:val="0"/>
      <w:sz w:val="24"/>
      <w:szCs w:val="28"/>
      <w:lang w:eastAsia="en-US"/>
    </w:rPr>
  </w:style>
  <w:style w:type="paragraph" w:styleId="NormalWeb">
    <w:name w:val="Normal (Web)"/>
    <w:basedOn w:val="Normal"/>
    <w:uiPriority w:val="99"/>
    <w:rsid w:val="007D2DDA"/>
    <w:pPr>
      <w:spacing w:before="100" w:after="100"/>
      <w:jc w:val="both"/>
    </w:pPr>
    <w:rPr>
      <w:lang w:val="en-GB" w:eastAsia="en-US"/>
    </w:rPr>
  </w:style>
  <w:style w:type="table" w:customStyle="1" w:styleId="Summarybox1">
    <w:name w:val="Summary box1"/>
    <w:basedOn w:val="TableNormal"/>
    <w:next w:val="TableGrid"/>
    <w:uiPriority w:val="59"/>
    <w:rsid w:val="009E5890"/>
    <w:pPr>
      <w:spacing w:line="36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9E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1E0209"/>
  </w:style>
  <w:style w:type="paragraph" w:styleId="Quote">
    <w:name w:val="Quote"/>
    <w:basedOn w:val="Normal"/>
    <w:link w:val="QuoteChar"/>
    <w:rsid w:val="00762563"/>
    <w:pPr>
      <w:spacing w:after="240"/>
      <w:ind w:left="720" w:right="720"/>
    </w:pPr>
    <w:rPr>
      <w:color w:val="000000"/>
      <w:sz w:val="20"/>
    </w:rPr>
  </w:style>
  <w:style w:type="character" w:customStyle="1" w:styleId="QuoteChar">
    <w:name w:val="Quote Char"/>
    <w:basedOn w:val="DefaultParagraphFont"/>
    <w:link w:val="Quote"/>
    <w:rsid w:val="00762563"/>
    <w:rPr>
      <w:rFonts w:eastAsia="Times New Roman"/>
      <w:color w:val="000000"/>
      <w:sz w:val="20"/>
      <w:szCs w:val="20"/>
    </w:rPr>
  </w:style>
  <w:style w:type="paragraph" w:customStyle="1" w:styleId="NormalBeforeBullet">
    <w:name w:val="NormalBeforeBullet"/>
    <w:basedOn w:val="Normal"/>
    <w:qFormat/>
    <w:rsid w:val="00762563"/>
    <w:pPr>
      <w:keepNext/>
      <w:spacing w:after="120"/>
    </w:pPr>
    <w:rPr>
      <w:color w:val="000000"/>
    </w:rPr>
  </w:style>
  <w:style w:type="character" w:customStyle="1" w:styleId="CaptionFootnoteChar">
    <w:name w:val="Caption Footnote Char"/>
    <w:basedOn w:val="DefaultParagraphFont"/>
    <w:link w:val="CaptionFootnote"/>
    <w:rsid w:val="00935D3F"/>
    <w:rPr>
      <w:rFonts w:asciiTheme="minorHAnsi" w:eastAsia="Times New Roman" w:hAnsiTheme="minorHAnsi"/>
      <w:kern w:val="28"/>
      <w:sz w:val="16"/>
      <w:szCs w:val="24"/>
      <w:lang w:eastAsia="en-GB"/>
    </w:rPr>
  </w:style>
  <w:style w:type="paragraph" w:customStyle="1" w:styleId="CaptionFootnote">
    <w:name w:val="Caption Footnote"/>
    <w:basedOn w:val="Normal"/>
    <w:link w:val="CaptionFootnoteChar"/>
    <w:qFormat/>
    <w:rsid w:val="00935D3F"/>
    <w:pPr>
      <w:jc w:val="both"/>
    </w:pPr>
    <w:rPr>
      <w:rFonts w:asciiTheme="minorHAnsi" w:hAnsiTheme="minorHAnsi"/>
      <w:kern w:val="28"/>
      <w:sz w:val="16"/>
      <w:szCs w:val="24"/>
      <w:lang w:eastAsia="en-GB"/>
    </w:rPr>
  </w:style>
  <w:style w:type="paragraph" w:customStyle="1" w:styleId="TableLeft">
    <w:name w:val="Table Left"/>
    <w:basedOn w:val="Normal"/>
    <w:link w:val="TableLeftChar"/>
    <w:uiPriority w:val="99"/>
    <w:qFormat/>
    <w:rsid w:val="00935D3F"/>
    <w:pPr>
      <w:jc w:val="both"/>
    </w:pPr>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935D3F"/>
    <w:rPr>
      <w:rFonts w:ascii="Calibri" w:eastAsiaTheme="majorEastAsia" w:hAnsi="Calibri" w:cstheme="majorBidi"/>
      <w:sz w:val="18"/>
      <w:lang w:eastAsia="en-US" w:bidi="en-US"/>
    </w:rPr>
  </w:style>
  <w:style w:type="table" w:customStyle="1" w:styleId="GridTable6Colorful1">
    <w:name w:val="Grid Table 6 Colorful1"/>
    <w:basedOn w:val="TableNormal"/>
    <w:next w:val="GridTable6Colorful2"/>
    <w:uiPriority w:val="51"/>
    <w:rsid w:val="00E8223A"/>
    <w:rPr>
      <w:rFonts w:ascii="Calibri"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TableNormal"/>
    <w:uiPriority w:val="51"/>
    <w:rsid w:val="00E822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MBS18</b:Tag>
    <b:SourceType>InternetSite</b:SourceType>
    <b:Guid>{ED8A245E-A69E-4FF4-A5CE-3F98D5F55F24}</b:Guid>
    <b:Author>
      <b:Author>
        <b:Corporate>MBS</b:Corporate>
      </b:Author>
    </b:Author>
    <b:Title>MBS Online</b:Title>
    <b:InternetSiteTitle>MBS Online, Medicare Benefits Schedule</b:InternetSiteTitle>
    <b:Year>2018</b:Year>
    <b:URL>http://www.mbsonline.gov.au/internet/mbsonline/publishing.nsf/Content/Home</b:URL>
    <b:RefOrder>1</b:RefOrder>
  </b:Source>
  <b:Source>
    <b:Tag>COL17</b:Tag>
    <b:SourceType>Report</b:SourceType>
    <b:Guid>{52BCDC0A-DC5C-4CDC-98B1-D8F72EC065C3}</b:Guid>
    <b:Title>COLUMBUS Part 1 CSR: A 2-part phase III randomized, open label, multicentrer study of LGX818 plus MEK 162 versus vemurafenib and LGX818 monotherapy in patients with unresectable or metastatic BRAF V600 mutant melanoma</b:Title>
    <b:Year>2017</b:Year>
    <b:Author>
      <b:Author>
        <b:Corporate>COLUMBUS Part 1 CSR</b:Corporate>
      </b:Author>
    </b:Author>
    <b:Publisher>Array BioPharma Inc.</b:Publisher>
    <b:RefOrder>2</b:RefOrder>
  </b:Source>
  <b:Source>
    <b:Tag>Lar</b:Tag>
    <b:SourceType>JournalArticle</b:SourceType>
    <b:Guid>{3E85402E-71BC-461D-A492-6D2B17669679}</b:Guid>
    <b:Author>
      <b:Author>
        <b:NameList>
          <b:Person>
            <b:Last>Larkin</b:Last>
            <b:First>J</b:First>
          </b:Person>
          <b:Person>
            <b:Last>Ascierto</b:Last>
            <b:First>P</b:First>
            <b:Middle>A</b:Middle>
          </b:Person>
          <b:Person>
            <b:Last>Dreno</b:Last>
            <b:First>B</b:First>
          </b:Person>
          <b:Person>
            <b:Last>Atkinson</b:Last>
            <b:First>V</b:First>
          </b:Person>
          <b:Person>
            <b:Last>Liszkay</b:Last>
            <b:First>G</b:First>
          </b:Person>
          <b:Person>
            <b:Last>Maio</b:Last>
            <b:First>M</b:First>
          </b:Person>
          <b:Person>
            <b:Last>Mandala</b:Last>
            <b:First>M</b:First>
          </b:Person>
          <b:Person>
            <b:Last>Demidov</b:Last>
            <b:First>L</b:First>
          </b:Person>
          <b:Person>
            <b:Last>Stroyakovskiy</b:Last>
            <b:First>D</b:First>
          </b:Person>
          <b:Person>
            <b:Last>Thomas</b:Last>
            <b:First>L</b:First>
          </b:Person>
          <b:Person>
            <b:Last>De La Cruz-Merino</b:Last>
            <b:First>L</b:First>
          </b:Person>
          <b:Person>
            <b:Last>Dutriaux</b:Last>
            <b:First>C</b:First>
          </b:Person>
          <b:Person>
            <b:Last>Garbe</b:Last>
            <b:First>C</b:First>
          </b:Person>
          <b:Person>
            <b:Last>Sovak</b:Last>
            <b:First>M</b:First>
            <b:Middle>A</b:Middle>
          </b:Person>
          <b:Person>
            <b:Last>Chang</b:Last>
            <b:First>I</b:First>
          </b:Person>
          <b:Person>
            <b:Last>Choong</b:Last>
            <b:First>N</b:First>
          </b:Person>
          <b:Person>
            <b:Last>Hack</b:Last>
            <b:First>S</b:First>
            <b:Middle>P</b:Middle>
          </b:Person>
          <b:Person>
            <b:Last>McArthur</b:Last>
            <b:First>G</b:First>
            <b:Middle>A</b:Middle>
          </b:Person>
          <b:Person>
            <b:Last>Ribas</b:Last>
            <b:First>A</b:First>
          </b:Person>
        </b:NameList>
      </b:Author>
    </b:Author>
    <b:Title>Combined vemurafenib and cobimetinib in BRAF-mutated melanoma (Protocol)</b:Title>
    <b:JournalName>New England Journal of Medicine</b:JournalName>
    <b:Year>2014</b:Year>
    <b:Pages>371(20):1867-1876</b:Pages>
    <b:RefOrder>3</b:RefOrder>
  </b:Source>
  <b:Source>
    <b:Tag>COM14</b:Tag>
    <b:SourceType>Report</b:SourceType>
    <b:Guid>{53EB1BE4-7D01-4D3F-8BA9-1F2A47877254}</b:Guid>
    <b:Title>COMBI-V CSR: A Phase III, randomised, open-label study comparing the combination of the BRAF inhibitor dabrafenib and the MEK inhibitor trametinib to the BRAF inhibitor vemurafenib in subjects with unresectable (stage IIIc) or metastatic (stage IV) BRAF V</b:Title>
    <b:Year>2014</b:Year>
    <b:Author>
      <b:Author>
        <b:Corporate>COMBI-V CSR</b:Corporate>
      </b:Author>
    </b:Author>
    <b:Publisher>GSK</b:Publisher>
    <b:RefOrder>4</b:RefOrder>
  </b:Source>
  <b:Source>
    <b:Tag>COM11</b:Tag>
    <b:SourceType>Report</b:SourceType>
    <b:Guid>{52A5177C-8C27-4DE3-A5D7-1687A186543A}</b:Guid>
    <b:Author>
      <b:Author>
        <b:Corporate>COMBI-D CSR</b:Corporate>
      </b:Author>
    </b:Author>
    <b:Title>COMBI-D CSR: A Phase III, randomized, double-blinded study comparing the combination of the BRAF inhibitor, dabrafenib and the MEK inhibitor, trametinib to dabrafenib and placebo as first-line therapy in subjects with unresectable (Stage IIIC) or metastat</b:Title>
    <b:Year>2013</b:Year>
    <b:Publisher>GSK</b:Publisher>
    <b:RefOrder>5</b:RefOrder>
  </b:Source>
</b:Sources>
</file>

<file path=customXml/itemProps1.xml><?xml version="1.0" encoding="utf-8"?>
<ds:datastoreItem xmlns:ds="http://schemas.openxmlformats.org/officeDocument/2006/customXml" ds:itemID="{06BD6DEF-C8B2-4A9F-9952-F9956E46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6655</Characters>
  <Application>Microsoft Office Word</Application>
  <DocSecurity>0</DocSecurity>
  <Lines>55</Lines>
  <Paragraphs>15</Paragraphs>
  <ScaleCrop>false</ScaleCrop>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2019-02-14T03:44:00Z</dcterms:created>
  <dcterms:modified xsi:type="dcterms:W3CDTF">2019-02-14T03:44:00Z</dcterms:modified>
</cp:coreProperties>
</file>