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F7BFB2" w14:textId="77777777" w:rsidR="00386A5B" w:rsidRPr="00707064" w:rsidRDefault="00386A5B" w:rsidP="00386A5B">
      <w:pPr>
        <w:spacing w:after="240"/>
        <w:jc w:val="center"/>
        <w:rPr>
          <w:b/>
          <w:i/>
          <w:szCs w:val="24"/>
          <w:highlight w:val="yellow"/>
        </w:rPr>
      </w:pPr>
      <w:r>
        <w:rPr>
          <w:rFonts w:ascii="Arial" w:hAnsi="Arial" w:cs="Arial"/>
          <w:b/>
          <w:noProof/>
          <w:color w:val="000080"/>
          <w:sz w:val="28"/>
          <w:szCs w:val="28"/>
        </w:rPr>
        <w:drawing>
          <wp:inline distT="0" distB="0" distL="0" distR="0" wp14:anchorId="4D538D77" wp14:editId="1966EDFE">
            <wp:extent cx="2627630" cy="1078865"/>
            <wp:effectExtent l="0" t="0" r="1270" b="6985"/>
            <wp:docPr id="2" name="Picture 2"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1281D760" w14:textId="77777777" w:rsidR="00386A5B" w:rsidRPr="00F715D1" w:rsidRDefault="00386A5B" w:rsidP="00386A5B">
      <w:pPr>
        <w:pStyle w:val="Title"/>
        <w:tabs>
          <w:tab w:val="left" w:pos="1926"/>
          <w:tab w:val="center" w:pos="4513"/>
        </w:tabs>
        <w:jc w:val="left"/>
      </w:pPr>
      <w:r>
        <w:tab/>
      </w:r>
      <w:r>
        <w:tab/>
      </w:r>
      <w:r w:rsidRPr="00F715D1">
        <w:t>Public Summary Document</w:t>
      </w:r>
    </w:p>
    <w:p w14:paraId="1A302AD6" w14:textId="77777777" w:rsidR="00386A5B" w:rsidRPr="00F715D1" w:rsidRDefault="00386A5B" w:rsidP="00386A5B">
      <w:pPr>
        <w:pStyle w:val="Subtitle"/>
      </w:pPr>
      <w:r w:rsidRPr="00F715D1">
        <w:t xml:space="preserve">Application No. </w:t>
      </w:r>
      <w:r>
        <w:t>1546</w:t>
      </w:r>
      <w:r w:rsidRPr="00F715D1">
        <w:t xml:space="preserve"> – </w:t>
      </w:r>
      <w:r w:rsidRPr="00386A5B">
        <w:t>Abdominoplasty with repair of rectus diastasis (aka rectus divarication) following pregnancy</w:t>
      </w:r>
    </w:p>
    <w:p w14:paraId="44E8069E" w14:textId="77777777" w:rsidR="00386A5B" w:rsidRPr="00F715D1" w:rsidRDefault="00386A5B" w:rsidP="00386A5B">
      <w:pPr>
        <w:tabs>
          <w:tab w:val="left" w:pos="3686"/>
        </w:tabs>
        <w:spacing w:after="240"/>
        <w:ind w:left="1440" w:hanging="1440"/>
        <w:rPr>
          <w:rFonts w:ascii="Arial" w:hAnsi="Arial" w:cs="Arial"/>
          <w:b/>
          <w:szCs w:val="24"/>
        </w:rPr>
      </w:pPr>
      <w:r w:rsidRPr="00F715D1">
        <w:rPr>
          <w:rFonts w:ascii="Arial" w:hAnsi="Arial" w:cs="Arial"/>
          <w:b/>
          <w:szCs w:val="24"/>
        </w:rPr>
        <w:t>Applicant</w:t>
      </w:r>
      <w:r>
        <w:rPr>
          <w:rFonts w:ascii="Arial" w:hAnsi="Arial" w:cs="Arial"/>
          <w:b/>
          <w:szCs w:val="24"/>
        </w:rPr>
        <w:t>:</w:t>
      </w:r>
      <w:r>
        <w:rPr>
          <w:rFonts w:ascii="Arial" w:hAnsi="Arial" w:cs="Arial"/>
          <w:b/>
          <w:szCs w:val="24"/>
        </w:rPr>
        <w:tab/>
        <w:t>Australian Society of Plastic Surgeons</w:t>
      </w:r>
    </w:p>
    <w:p w14:paraId="1452C20E" w14:textId="77777777" w:rsidR="00386A5B" w:rsidRPr="00F715D1" w:rsidRDefault="00386A5B" w:rsidP="00386A5B">
      <w:pPr>
        <w:tabs>
          <w:tab w:val="left" w:pos="3686"/>
        </w:tabs>
        <w:spacing w:after="240"/>
        <w:rPr>
          <w:rFonts w:ascii="Arial" w:hAnsi="Arial" w:cs="Arial"/>
          <w:b/>
          <w:szCs w:val="24"/>
        </w:rPr>
      </w:pPr>
      <w:r w:rsidRPr="00F715D1">
        <w:rPr>
          <w:rFonts w:ascii="Arial" w:hAnsi="Arial" w:cs="Arial"/>
          <w:b/>
          <w:szCs w:val="24"/>
        </w:rPr>
        <w:t>Date of MSAC consideration:</w:t>
      </w:r>
      <w:r w:rsidRPr="00F715D1">
        <w:rPr>
          <w:rFonts w:ascii="Arial" w:hAnsi="Arial" w:cs="Arial"/>
          <w:b/>
          <w:szCs w:val="24"/>
        </w:rPr>
        <w:tab/>
        <w:t xml:space="preserve">MSAC </w:t>
      </w:r>
      <w:r>
        <w:rPr>
          <w:rFonts w:ascii="Arial" w:hAnsi="Arial" w:cs="Arial"/>
          <w:b/>
          <w:szCs w:val="24"/>
        </w:rPr>
        <w:t>77</w:t>
      </w:r>
      <w:r w:rsidRPr="00F715D1">
        <w:rPr>
          <w:rFonts w:ascii="Arial" w:hAnsi="Arial" w:cs="Arial"/>
          <w:b/>
          <w:szCs w:val="24"/>
          <w:vertAlign w:val="superscript"/>
        </w:rPr>
        <w:t>th</w:t>
      </w:r>
      <w:r w:rsidRPr="00F715D1">
        <w:rPr>
          <w:rFonts w:ascii="Arial" w:hAnsi="Arial" w:cs="Arial"/>
          <w:b/>
          <w:szCs w:val="24"/>
        </w:rPr>
        <w:t xml:space="preserve"> Meeting, </w:t>
      </w:r>
      <w:r>
        <w:rPr>
          <w:rFonts w:ascii="Arial" w:hAnsi="Arial" w:cs="Arial"/>
          <w:b/>
          <w:szCs w:val="24"/>
        </w:rPr>
        <w:t>28-29 November 2019</w:t>
      </w:r>
    </w:p>
    <w:p w14:paraId="45EB40B8" w14:textId="77777777" w:rsidR="00386A5B" w:rsidRPr="00B03EAB" w:rsidRDefault="00386A5B" w:rsidP="00386A5B">
      <w:pPr>
        <w:spacing w:after="360"/>
        <w:rPr>
          <w:color w:val="0000FF"/>
          <w:szCs w:val="24"/>
          <w:u w:val="single"/>
        </w:rPr>
      </w:pPr>
      <w:r w:rsidRPr="00F715D1">
        <w:rPr>
          <w:szCs w:val="24"/>
        </w:rPr>
        <w:t>Context for decision: MSAC makes its advice in accordance wit</w:t>
      </w:r>
      <w:r>
        <w:rPr>
          <w:szCs w:val="24"/>
        </w:rPr>
        <w:t>h its Terms of Reference,</w:t>
      </w:r>
      <w:r w:rsidRPr="00F715D1">
        <w:rPr>
          <w:szCs w:val="24"/>
        </w:rPr>
        <w:t xml:space="preserve"> </w:t>
      </w:r>
      <w:hyperlink r:id="rId9" w:tooltip="Link to Medical Services Advisory Committee website" w:history="1">
        <w:r w:rsidRPr="00F715D1">
          <w:rPr>
            <w:rStyle w:val="Hyperlink"/>
            <w:szCs w:val="24"/>
          </w:rPr>
          <w:t>visit the MSAC website</w:t>
        </w:r>
      </w:hyperlink>
    </w:p>
    <w:p w14:paraId="6D1E9E12" w14:textId="77777777" w:rsidR="00386A5B" w:rsidRPr="00F715D1" w:rsidRDefault="00386A5B" w:rsidP="00386A5B">
      <w:pPr>
        <w:pStyle w:val="Heading1"/>
      </w:pPr>
      <w:r w:rsidRPr="00F715D1">
        <w:t xml:space="preserve">Purpose of application </w:t>
      </w:r>
    </w:p>
    <w:p w14:paraId="4AA30077" w14:textId="3B79A1A2" w:rsidR="007F378D" w:rsidRDefault="007F378D" w:rsidP="007F378D">
      <w:pPr>
        <w:rPr>
          <w:b/>
        </w:rPr>
      </w:pPr>
      <w:r>
        <w:t xml:space="preserve">An application requesting </w:t>
      </w:r>
      <w:r w:rsidR="00953A02">
        <w:t>Medicare Benefits Schedule (</w:t>
      </w:r>
      <w:r>
        <w:t>MBS</w:t>
      </w:r>
      <w:r w:rsidR="00953A02">
        <w:t>)</w:t>
      </w:r>
      <w:r>
        <w:t xml:space="preserve"> listing of </w:t>
      </w:r>
      <w:r w:rsidRPr="00295315">
        <w:t xml:space="preserve">abdominoplasty for the repair of rectus diastasis in women who developed symptomatic rectus diastasis following pregnancy was received </w:t>
      </w:r>
      <w:r>
        <w:t xml:space="preserve">from </w:t>
      </w:r>
      <w:r w:rsidR="00953A02">
        <w:t xml:space="preserve">the </w:t>
      </w:r>
      <w:r w:rsidRPr="00851D86">
        <w:t>Austral</w:t>
      </w:r>
      <w:r>
        <w:t>ian Society of Plastic Surgeons by the Department of Health.</w:t>
      </w:r>
    </w:p>
    <w:p w14:paraId="6A55ACAB" w14:textId="77777777" w:rsidR="00386A5B" w:rsidRPr="00F715D1" w:rsidRDefault="00386A5B" w:rsidP="00386A5B">
      <w:pPr>
        <w:pStyle w:val="Heading1"/>
      </w:pPr>
      <w:r w:rsidRPr="00F715D1">
        <w:t>MSAC’s advice to the Minister</w:t>
      </w:r>
    </w:p>
    <w:p w14:paraId="24558DE8" w14:textId="1F50E3C9" w:rsidR="00753CF3" w:rsidRPr="00D30609" w:rsidRDefault="001B081E" w:rsidP="00D30609">
      <w:pPr>
        <w:spacing w:after="240"/>
      </w:pPr>
      <w:r w:rsidRPr="00D30609">
        <w:t xml:space="preserve">After considering the strength of the available evidence in relation to comparative safety, clinical effectiveness and cost-effectiveness, MSAC did not support public funding of abdominoplasty with repair of rectus diastasis (aka rectus divarication; RD) following pregnancy. MSAC considered that the magnitude of benefit relative to best supportive care (i.e. physiotherapy and/or exercise) was uncertain and </w:t>
      </w:r>
      <w:r w:rsidR="00A737E5" w:rsidRPr="00D30609">
        <w:t>as a consequence the incremental cost-ef</w:t>
      </w:r>
      <w:r w:rsidR="00D30609" w:rsidRPr="00D30609">
        <w:t>fectiveness was also uncertain.</w:t>
      </w:r>
    </w:p>
    <w:tbl>
      <w:tblPr>
        <w:tblStyle w:val="TableGrid"/>
        <w:tblW w:w="0" w:type="auto"/>
        <w:tblLook w:val="04A0" w:firstRow="1" w:lastRow="0" w:firstColumn="1" w:lastColumn="0" w:noHBand="0" w:noVBand="1"/>
        <w:tblDescription w:val="Consumer summary of MSAC consideration"/>
      </w:tblPr>
      <w:tblGrid>
        <w:gridCol w:w="9016"/>
      </w:tblGrid>
      <w:tr w:rsidR="00753CF3" w:rsidRPr="00753CF3" w14:paraId="4E929595" w14:textId="77777777" w:rsidTr="00D30609">
        <w:trPr>
          <w:tblHeader/>
        </w:trPr>
        <w:tc>
          <w:tcPr>
            <w:tcW w:w="9016" w:type="dxa"/>
          </w:tcPr>
          <w:p w14:paraId="61EFFB8F" w14:textId="3E09A1DD" w:rsidR="00753CF3" w:rsidRPr="00753CF3" w:rsidRDefault="00753CF3" w:rsidP="00753CF3">
            <w:pPr>
              <w:spacing w:before="120" w:after="120"/>
              <w:rPr>
                <w:rFonts w:ascii="Times New Roman" w:hAnsi="Times New Roman" w:cs="Times New Roman"/>
                <w:b/>
                <w:sz w:val="24"/>
                <w:szCs w:val="24"/>
              </w:rPr>
            </w:pPr>
            <w:r w:rsidRPr="00753CF3">
              <w:rPr>
                <w:rFonts w:ascii="Times New Roman" w:hAnsi="Times New Roman" w:cs="Times New Roman"/>
                <w:b/>
                <w:sz w:val="24"/>
                <w:szCs w:val="24"/>
              </w:rPr>
              <w:t>Consumer summary</w:t>
            </w:r>
          </w:p>
        </w:tc>
      </w:tr>
      <w:tr w:rsidR="00753CF3" w:rsidRPr="00753CF3" w14:paraId="4648F48A" w14:textId="77777777" w:rsidTr="00753CF3">
        <w:trPr>
          <w:trHeight w:val="2117"/>
        </w:trPr>
        <w:tc>
          <w:tcPr>
            <w:tcW w:w="9016" w:type="dxa"/>
          </w:tcPr>
          <w:p w14:paraId="5685938B" w14:textId="03FAAD1F" w:rsidR="00753CF3" w:rsidRPr="00753CF3" w:rsidRDefault="00753CF3" w:rsidP="00753CF3">
            <w:pPr>
              <w:spacing w:before="120"/>
              <w:rPr>
                <w:rFonts w:ascii="Times New Roman" w:hAnsi="Times New Roman" w:cs="Times New Roman"/>
                <w:sz w:val="24"/>
                <w:szCs w:val="24"/>
              </w:rPr>
            </w:pPr>
            <w:r w:rsidRPr="00753CF3">
              <w:rPr>
                <w:rFonts w:ascii="Times New Roman" w:hAnsi="Times New Roman" w:cs="Times New Roman"/>
                <w:sz w:val="24"/>
                <w:szCs w:val="24"/>
              </w:rPr>
              <w:t>The Australian Society of Plastic Surgeons applied for public funding through the Medicare Benefits Schedule (MBS) for surgery to fix separation of the abdominal muscles after pregnancy, a condition known as rectus diastasis or rectus divarication (RD). In this surgery</w:t>
            </w:r>
            <w:r w:rsidR="00426868">
              <w:rPr>
                <w:rFonts w:ascii="Times New Roman" w:hAnsi="Times New Roman" w:cs="Times New Roman"/>
                <w:sz w:val="24"/>
                <w:szCs w:val="24"/>
              </w:rPr>
              <w:t xml:space="preserve"> (abdominoplasty)</w:t>
            </w:r>
            <w:r w:rsidRPr="00753CF3">
              <w:rPr>
                <w:rFonts w:ascii="Times New Roman" w:hAnsi="Times New Roman" w:cs="Times New Roman"/>
                <w:sz w:val="24"/>
                <w:szCs w:val="24"/>
              </w:rPr>
              <w:t>, extra flesh is removed f</w:t>
            </w:r>
            <w:r w:rsidR="00426868">
              <w:rPr>
                <w:rFonts w:ascii="Times New Roman" w:hAnsi="Times New Roman" w:cs="Times New Roman"/>
                <w:sz w:val="24"/>
                <w:szCs w:val="24"/>
              </w:rPr>
              <w:t>rom the abdomen</w:t>
            </w:r>
            <w:r w:rsidRPr="00753CF3">
              <w:rPr>
                <w:rFonts w:ascii="Times New Roman" w:hAnsi="Times New Roman" w:cs="Times New Roman"/>
                <w:sz w:val="24"/>
                <w:szCs w:val="24"/>
              </w:rPr>
              <w:t xml:space="preserve"> and the muscles are ‘sewn’ back together. </w:t>
            </w:r>
            <w:r w:rsidR="00FF7E60">
              <w:rPr>
                <w:rFonts w:ascii="Times New Roman" w:hAnsi="Times New Roman" w:cs="Times New Roman"/>
                <w:sz w:val="24"/>
                <w:szCs w:val="24"/>
              </w:rPr>
              <w:t>Letters of support for funding RD were received from consumers.</w:t>
            </w:r>
          </w:p>
          <w:p w14:paraId="67DAB588" w14:textId="77777777" w:rsidR="00C648F0" w:rsidRDefault="00FF7E60" w:rsidP="00753CF3">
            <w:pPr>
              <w:spacing w:before="240"/>
              <w:rPr>
                <w:rFonts w:ascii="Times New Roman" w:hAnsi="Times New Roman" w:cs="Times New Roman"/>
                <w:sz w:val="24"/>
                <w:szCs w:val="24"/>
              </w:rPr>
            </w:pPr>
            <w:r>
              <w:rPr>
                <w:rFonts w:ascii="Times New Roman" w:hAnsi="Times New Roman" w:cs="Times New Roman"/>
                <w:sz w:val="24"/>
                <w:szCs w:val="24"/>
              </w:rPr>
              <w:t>The application was for</w:t>
            </w:r>
            <w:r w:rsidRPr="00753CF3">
              <w:rPr>
                <w:rFonts w:ascii="Times New Roman" w:hAnsi="Times New Roman" w:cs="Times New Roman"/>
                <w:sz w:val="24"/>
                <w:szCs w:val="24"/>
              </w:rPr>
              <w:t xml:space="preserve"> </w:t>
            </w:r>
            <w:r w:rsidR="00753CF3" w:rsidRPr="00753CF3">
              <w:rPr>
                <w:rFonts w:ascii="Times New Roman" w:hAnsi="Times New Roman" w:cs="Times New Roman"/>
                <w:sz w:val="24"/>
                <w:szCs w:val="24"/>
              </w:rPr>
              <w:t xml:space="preserve">funding </w:t>
            </w:r>
            <w:r>
              <w:rPr>
                <w:rFonts w:ascii="Times New Roman" w:hAnsi="Times New Roman" w:cs="Times New Roman"/>
                <w:sz w:val="24"/>
                <w:szCs w:val="24"/>
              </w:rPr>
              <w:t>of abdominoplasty</w:t>
            </w:r>
            <w:r w:rsidR="00753CF3" w:rsidRPr="00753CF3">
              <w:rPr>
                <w:rFonts w:ascii="Times New Roman" w:hAnsi="Times New Roman" w:cs="Times New Roman"/>
                <w:sz w:val="24"/>
                <w:szCs w:val="24"/>
              </w:rPr>
              <w:t xml:space="preserve"> after a woman has been pregnant</w:t>
            </w:r>
            <w:r>
              <w:rPr>
                <w:rFonts w:ascii="Times New Roman" w:hAnsi="Times New Roman" w:cs="Times New Roman"/>
                <w:sz w:val="24"/>
                <w:szCs w:val="24"/>
              </w:rPr>
              <w:t xml:space="preserve"> and </w:t>
            </w:r>
            <w:r w:rsidR="00953A02">
              <w:rPr>
                <w:rFonts w:ascii="Times New Roman" w:hAnsi="Times New Roman" w:cs="Times New Roman"/>
                <w:sz w:val="24"/>
                <w:szCs w:val="24"/>
              </w:rPr>
              <w:t>has</w:t>
            </w:r>
            <w:r w:rsidRPr="00FF7E60">
              <w:rPr>
                <w:rFonts w:ascii="Times New Roman" w:hAnsi="Times New Roman" w:cs="Times New Roman"/>
                <w:sz w:val="24"/>
                <w:szCs w:val="24"/>
              </w:rPr>
              <w:t xml:space="preserve"> tried to improve her abdominal muscles with exercise, physio</w:t>
            </w:r>
            <w:r w:rsidR="00ED3DA7">
              <w:rPr>
                <w:rFonts w:ascii="Times New Roman" w:hAnsi="Times New Roman" w:cs="Times New Roman"/>
                <w:sz w:val="24"/>
                <w:szCs w:val="24"/>
              </w:rPr>
              <w:t>therapy</w:t>
            </w:r>
            <w:r w:rsidRPr="00FF7E60">
              <w:rPr>
                <w:rFonts w:ascii="Times New Roman" w:hAnsi="Times New Roman" w:cs="Times New Roman"/>
                <w:sz w:val="24"/>
                <w:szCs w:val="24"/>
              </w:rPr>
              <w:t xml:space="preserve">, </w:t>
            </w:r>
            <w:r w:rsidR="00684521">
              <w:rPr>
                <w:rFonts w:ascii="Times New Roman" w:hAnsi="Times New Roman" w:cs="Times New Roman"/>
                <w:sz w:val="24"/>
                <w:szCs w:val="24"/>
              </w:rPr>
              <w:t xml:space="preserve">or </w:t>
            </w:r>
            <w:r w:rsidRPr="00FF7E60">
              <w:rPr>
                <w:rFonts w:ascii="Times New Roman" w:hAnsi="Times New Roman" w:cs="Times New Roman"/>
                <w:sz w:val="24"/>
                <w:szCs w:val="24"/>
              </w:rPr>
              <w:t>weight loss</w:t>
            </w:r>
            <w:r w:rsidR="00753CF3" w:rsidRPr="00753CF3">
              <w:rPr>
                <w:rFonts w:ascii="Times New Roman" w:hAnsi="Times New Roman" w:cs="Times New Roman"/>
                <w:sz w:val="24"/>
                <w:szCs w:val="24"/>
              </w:rPr>
              <w:t xml:space="preserve">. </w:t>
            </w:r>
            <w:r w:rsidR="00A6600D">
              <w:rPr>
                <w:rFonts w:ascii="Times New Roman" w:hAnsi="Times New Roman" w:cs="Times New Roman"/>
                <w:sz w:val="24"/>
                <w:szCs w:val="24"/>
              </w:rPr>
              <w:t xml:space="preserve">It is not intended for cosmetic reasons. </w:t>
            </w:r>
            <w:r w:rsidR="00753CF3" w:rsidRPr="00753CF3">
              <w:rPr>
                <w:rFonts w:ascii="Times New Roman" w:hAnsi="Times New Roman" w:cs="Times New Roman"/>
                <w:sz w:val="24"/>
                <w:szCs w:val="24"/>
              </w:rPr>
              <w:t xml:space="preserve">It is sometimes difficult to tell if RD has happened </w:t>
            </w:r>
            <w:r w:rsidR="00684521">
              <w:rPr>
                <w:rFonts w:ascii="Times New Roman" w:hAnsi="Times New Roman" w:cs="Times New Roman"/>
                <w:sz w:val="24"/>
                <w:szCs w:val="24"/>
              </w:rPr>
              <w:t xml:space="preserve">directly </w:t>
            </w:r>
            <w:r w:rsidR="00753CF3" w:rsidRPr="00753CF3">
              <w:rPr>
                <w:rFonts w:ascii="Times New Roman" w:hAnsi="Times New Roman" w:cs="Times New Roman"/>
                <w:sz w:val="24"/>
                <w:szCs w:val="24"/>
              </w:rPr>
              <w:t xml:space="preserve">because of pregnancy or </w:t>
            </w:r>
            <w:r>
              <w:rPr>
                <w:rFonts w:ascii="Times New Roman" w:hAnsi="Times New Roman" w:cs="Times New Roman"/>
                <w:sz w:val="24"/>
                <w:szCs w:val="24"/>
              </w:rPr>
              <w:t xml:space="preserve">some other cause, for example significant </w:t>
            </w:r>
            <w:r w:rsidR="00A6600D">
              <w:rPr>
                <w:rFonts w:ascii="Times New Roman" w:hAnsi="Times New Roman" w:cs="Times New Roman"/>
                <w:sz w:val="24"/>
                <w:szCs w:val="24"/>
              </w:rPr>
              <w:t>weight loss prior to pregnancy.</w:t>
            </w:r>
          </w:p>
          <w:p w14:paraId="30E486A8" w14:textId="7E10DC27" w:rsidR="00753CF3" w:rsidRPr="00753CF3" w:rsidRDefault="00753CF3" w:rsidP="00C648F0">
            <w:pPr>
              <w:spacing w:before="120"/>
              <w:rPr>
                <w:rFonts w:ascii="Times New Roman" w:hAnsi="Times New Roman" w:cs="Times New Roman"/>
                <w:sz w:val="24"/>
                <w:szCs w:val="24"/>
              </w:rPr>
            </w:pPr>
            <w:r w:rsidRPr="00753CF3">
              <w:rPr>
                <w:rFonts w:ascii="Times New Roman" w:hAnsi="Times New Roman" w:cs="Times New Roman"/>
                <w:sz w:val="24"/>
                <w:szCs w:val="24"/>
              </w:rPr>
              <w:lastRenderedPageBreak/>
              <w:t>This application assume</w:t>
            </w:r>
            <w:r w:rsidR="00FF7E60">
              <w:rPr>
                <w:rFonts w:ascii="Times New Roman" w:hAnsi="Times New Roman" w:cs="Times New Roman"/>
                <w:sz w:val="24"/>
                <w:szCs w:val="24"/>
              </w:rPr>
              <w:t>d</w:t>
            </w:r>
            <w:r w:rsidRPr="00753CF3">
              <w:rPr>
                <w:rFonts w:ascii="Times New Roman" w:hAnsi="Times New Roman" w:cs="Times New Roman"/>
                <w:sz w:val="24"/>
                <w:szCs w:val="24"/>
              </w:rPr>
              <w:t xml:space="preserve"> that RD causes back pain and urinary incontinence, but there is no </w:t>
            </w:r>
            <w:r w:rsidR="00ED3DA7">
              <w:rPr>
                <w:rFonts w:ascii="Times New Roman" w:hAnsi="Times New Roman" w:cs="Times New Roman"/>
                <w:sz w:val="24"/>
                <w:szCs w:val="24"/>
              </w:rPr>
              <w:t xml:space="preserve">scientific </w:t>
            </w:r>
            <w:r w:rsidRPr="00753CF3">
              <w:rPr>
                <w:rFonts w:ascii="Times New Roman" w:hAnsi="Times New Roman" w:cs="Times New Roman"/>
                <w:sz w:val="24"/>
                <w:szCs w:val="24"/>
              </w:rPr>
              <w:t xml:space="preserve">evidence that it does cause those </w:t>
            </w:r>
            <w:r w:rsidR="00C0531F">
              <w:rPr>
                <w:rFonts w:ascii="Times New Roman" w:hAnsi="Times New Roman" w:cs="Times New Roman"/>
                <w:sz w:val="24"/>
                <w:szCs w:val="24"/>
              </w:rPr>
              <w:t>issues</w:t>
            </w:r>
            <w:r w:rsidRPr="00753CF3">
              <w:rPr>
                <w:rFonts w:ascii="Times New Roman" w:hAnsi="Times New Roman" w:cs="Times New Roman"/>
                <w:sz w:val="24"/>
                <w:szCs w:val="24"/>
              </w:rPr>
              <w:t xml:space="preserve">. In addition, the scientific studies that were done to test if surgery is better than other types of care (such as exercise or physiotherapy) were done in a way that means the results could be biased; that is, it might look like surgery is better than it really is. For these reasons, </w:t>
            </w:r>
            <w:r w:rsidR="00FF7E60">
              <w:rPr>
                <w:rFonts w:ascii="Times New Roman" w:hAnsi="Times New Roman" w:cs="Times New Roman"/>
                <w:sz w:val="24"/>
                <w:szCs w:val="24"/>
              </w:rPr>
              <w:t>MSAC could not say, based on the evidence provided in the application, that</w:t>
            </w:r>
            <w:r w:rsidRPr="00753CF3">
              <w:rPr>
                <w:rFonts w:ascii="Times New Roman" w:hAnsi="Times New Roman" w:cs="Times New Roman"/>
                <w:sz w:val="24"/>
                <w:szCs w:val="24"/>
              </w:rPr>
              <w:t xml:space="preserve"> surgery is the best way to treat RD in women who have been pregnant.</w:t>
            </w:r>
          </w:p>
          <w:p w14:paraId="4A0E9A7F" w14:textId="3F95C95D" w:rsidR="00753CF3" w:rsidRPr="00753CF3" w:rsidRDefault="00753CF3" w:rsidP="00753CF3">
            <w:pPr>
              <w:spacing w:before="240" w:after="120"/>
              <w:rPr>
                <w:rFonts w:ascii="Times New Roman" w:hAnsi="Times New Roman" w:cs="Times New Roman"/>
                <w:b/>
                <w:sz w:val="24"/>
                <w:szCs w:val="24"/>
              </w:rPr>
            </w:pPr>
            <w:r w:rsidRPr="00753CF3">
              <w:rPr>
                <w:rFonts w:ascii="Times New Roman" w:hAnsi="Times New Roman" w:cs="Times New Roman"/>
                <w:b/>
                <w:sz w:val="24"/>
                <w:szCs w:val="24"/>
              </w:rPr>
              <w:t xml:space="preserve">MSAC’s </w:t>
            </w:r>
            <w:r>
              <w:rPr>
                <w:rFonts w:ascii="Times New Roman" w:hAnsi="Times New Roman" w:cs="Times New Roman"/>
                <w:b/>
                <w:sz w:val="24"/>
                <w:szCs w:val="24"/>
              </w:rPr>
              <w:t>advice</w:t>
            </w:r>
            <w:r w:rsidRPr="00753CF3">
              <w:rPr>
                <w:rFonts w:ascii="Times New Roman" w:hAnsi="Times New Roman" w:cs="Times New Roman"/>
                <w:b/>
                <w:sz w:val="24"/>
                <w:szCs w:val="24"/>
              </w:rPr>
              <w:t xml:space="preserve"> to the Commonwealth Minister</w:t>
            </w:r>
            <w:r>
              <w:rPr>
                <w:rFonts w:ascii="Times New Roman" w:hAnsi="Times New Roman" w:cs="Times New Roman"/>
                <w:b/>
                <w:sz w:val="24"/>
                <w:szCs w:val="24"/>
              </w:rPr>
              <w:t xml:space="preserve"> for Health</w:t>
            </w:r>
          </w:p>
          <w:p w14:paraId="68815FE6" w14:textId="2EC1EA47" w:rsidR="00753CF3" w:rsidRPr="00753CF3" w:rsidRDefault="00953A02" w:rsidP="00406ADB">
            <w:pPr>
              <w:spacing w:after="120"/>
              <w:rPr>
                <w:rFonts w:ascii="Times New Roman" w:hAnsi="Times New Roman" w:cs="Times New Roman"/>
                <w:sz w:val="24"/>
                <w:szCs w:val="24"/>
              </w:rPr>
            </w:pPr>
            <w:r>
              <w:rPr>
                <w:rFonts w:ascii="Times New Roman" w:hAnsi="Times New Roman" w:cs="Times New Roman"/>
                <w:sz w:val="24"/>
                <w:szCs w:val="24"/>
              </w:rPr>
              <w:t>Due to</w:t>
            </w:r>
            <w:r w:rsidR="00753CF3" w:rsidRPr="00753CF3">
              <w:rPr>
                <w:rFonts w:ascii="Times New Roman" w:hAnsi="Times New Roman" w:cs="Times New Roman"/>
                <w:sz w:val="24"/>
                <w:szCs w:val="24"/>
              </w:rPr>
              <w:t xml:space="preserve"> the lack of evidence</w:t>
            </w:r>
            <w:r w:rsidR="00FF7E60">
              <w:rPr>
                <w:rFonts w:ascii="Times New Roman" w:hAnsi="Times New Roman" w:cs="Times New Roman"/>
                <w:sz w:val="24"/>
                <w:szCs w:val="24"/>
              </w:rPr>
              <w:t xml:space="preserve"> of clinical benefit</w:t>
            </w:r>
            <w:r w:rsidR="00753CF3" w:rsidRPr="00753CF3">
              <w:rPr>
                <w:rFonts w:ascii="Times New Roman" w:hAnsi="Times New Roman" w:cs="Times New Roman"/>
                <w:sz w:val="24"/>
                <w:szCs w:val="24"/>
              </w:rPr>
              <w:t>, MSAC did not support public funding for surgical repair of RD following pregnancy.</w:t>
            </w:r>
          </w:p>
        </w:tc>
      </w:tr>
    </w:tbl>
    <w:p w14:paraId="56EB4FB2" w14:textId="77777777" w:rsidR="00386A5B" w:rsidRPr="00F715D1" w:rsidRDefault="00386A5B" w:rsidP="00386A5B">
      <w:pPr>
        <w:pStyle w:val="Heading1"/>
      </w:pPr>
      <w:r w:rsidRPr="00F715D1">
        <w:lastRenderedPageBreak/>
        <w:t xml:space="preserve">Summary of consideration and rationale for MSAC’s advice </w:t>
      </w:r>
    </w:p>
    <w:p w14:paraId="3ADD1485" w14:textId="0BCAD900" w:rsidR="00F67BD8" w:rsidRDefault="00F67BD8" w:rsidP="00F67BD8">
      <w:pPr>
        <w:rPr>
          <w:sz w:val="22"/>
          <w:lang w:val="en-US"/>
        </w:rPr>
      </w:pPr>
      <w:r>
        <w:rPr>
          <w:lang w:val="en-US"/>
        </w:rPr>
        <w:t xml:space="preserve">MSAC noted that this item was removed from the MBS in 2016 during the MBS </w:t>
      </w:r>
      <w:r w:rsidRPr="00B13749">
        <w:t>review of lipectomy items 30165, 30168, 30171, 30174 and 30177</w:t>
      </w:r>
      <w:r>
        <w:t xml:space="preserve">, </w:t>
      </w:r>
      <w:r>
        <w:rPr>
          <w:lang w:val="en-US"/>
        </w:rPr>
        <w:t xml:space="preserve">because of concerns of </w:t>
      </w:r>
      <w:r w:rsidR="005379F5">
        <w:rPr>
          <w:lang w:val="en-US"/>
        </w:rPr>
        <w:t>use in</w:t>
      </w:r>
      <w:r>
        <w:rPr>
          <w:lang w:val="en-US"/>
        </w:rPr>
        <w:t xml:space="preserve"> women who wanted the procedure for cosmetic reasons. </w:t>
      </w:r>
    </w:p>
    <w:p w14:paraId="4E690410" w14:textId="351ADE8E" w:rsidR="00F67BD8" w:rsidRDefault="00F67BD8" w:rsidP="00D76DBB">
      <w:pPr>
        <w:spacing w:before="240"/>
        <w:rPr>
          <w:lang w:val="en-US"/>
        </w:rPr>
      </w:pPr>
      <w:r>
        <w:rPr>
          <w:lang w:val="en-US"/>
        </w:rPr>
        <w:t>MSAC noted that there were a h</w:t>
      </w:r>
      <w:r w:rsidRPr="00117B30">
        <w:rPr>
          <w:lang w:val="en-US"/>
        </w:rPr>
        <w:t xml:space="preserve">igh number of adverse events with </w:t>
      </w:r>
      <w:r>
        <w:rPr>
          <w:lang w:val="en-US"/>
        </w:rPr>
        <w:t xml:space="preserve">this </w:t>
      </w:r>
      <w:r w:rsidRPr="00117B30">
        <w:rPr>
          <w:lang w:val="en-US"/>
        </w:rPr>
        <w:t>surgery</w:t>
      </w:r>
      <w:r>
        <w:rPr>
          <w:lang w:val="en-US"/>
        </w:rPr>
        <w:t>,</w:t>
      </w:r>
      <w:r w:rsidRPr="00117B30">
        <w:rPr>
          <w:lang w:val="en-US"/>
        </w:rPr>
        <w:t xml:space="preserve"> </w:t>
      </w:r>
      <w:r>
        <w:rPr>
          <w:lang w:val="en-US"/>
        </w:rPr>
        <w:t>although these may be</w:t>
      </w:r>
      <w:r w:rsidRPr="00117B30">
        <w:rPr>
          <w:lang w:val="en-US"/>
        </w:rPr>
        <w:t xml:space="preserve"> relatively minor</w:t>
      </w:r>
      <w:r>
        <w:rPr>
          <w:lang w:val="en-US"/>
        </w:rPr>
        <w:t>, as well as a</w:t>
      </w:r>
      <w:r w:rsidRPr="00117B30">
        <w:rPr>
          <w:lang w:val="en-US"/>
        </w:rPr>
        <w:t xml:space="preserve"> small risk of </w:t>
      </w:r>
      <w:r w:rsidR="005379F5">
        <w:rPr>
          <w:lang w:val="en-US"/>
        </w:rPr>
        <w:t xml:space="preserve">RD </w:t>
      </w:r>
      <w:r w:rsidRPr="00117B30">
        <w:rPr>
          <w:lang w:val="en-US"/>
        </w:rPr>
        <w:t>recurrence</w:t>
      </w:r>
      <w:r>
        <w:rPr>
          <w:lang w:val="en-US"/>
        </w:rPr>
        <w:t>. Therefore, in terms of safety, MSAC considered abdominoplasty as inferior compared to standard care.</w:t>
      </w:r>
    </w:p>
    <w:p w14:paraId="2DCDBA2C" w14:textId="77777777" w:rsidR="00F67BD8" w:rsidRDefault="00F67BD8" w:rsidP="00D76DBB">
      <w:pPr>
        <w:pStyle w:val="NormalBeforeBullet"/>
        <w:spacing w:before="240"/>
      </w:pPr>
      <w:r>
        <w:rPr>
          <w:lang w:val="en-US"/>
        </w:rPr>
        <w:t xml:space="preserve">MSAC noted </w:t>
      </w:r>
      <w:r w:rsidRPr="00117B30">
        <w:rPr>
          <w:lang w:val="en-US"/>
        </w:rPr>
        <w:t xml:space="preserve">very low confidence in </w:t>
      </w:r>
      <w:r>
        <w:rPr>
          <w:lang w:val="en-US"/>
        </w:rPr>
        <w:t xml:space="preserve">the </w:t>
      </w:r>
      <w:r w:rsidRPr="00117B30">
        <w:rPr>
          <w:lang w:val="en-US"/>
        </w:rPr>
        <w:t>conclusion that surgery</w:t>
      </w:r>
      <w:r>
        <w:rPr>
          <w:lang w:val="en-US"/>
        </w:rPr>
        <w:t xml:space="preserve"> is</w:t>
      </w:r>
      <w:r w:rsidRPr="00117B30">
        <w:rPr>
          <w:lang w:val="en-US"/>
        </w:rPr>
        <w:t xml:space="preserve"> superior to physical therapy</w:t>
      </w:r>
      <w:r>
        <w:rPr>
          <w:lang w:val="en-US"/>
        </w:rPr>
        <w:t xml:space="preserve"> in terms of clinical effectiveness. MSAC noted a number of issues with the two studies on which this submission was based</w:t>
      </w:r>
      <w:r>
        <w:t>:</w:t>
      </w:r>
    </w:p>
    <w:p w14:paraId="486BF417" w14:textId="535C73A0" w:rsidR="00F67BD8" w:rsidRDefault="00F67BD8" w:rsidP="00F67BD8">
      <w:pPr>
        <w:pStyle w:val="BulletBeforeDash"/>
      </w:pPr>
      <w:r>
        <w:t>For Emanuelsson et al.</w:t>
      </w:r>
      <w:r w:rsidR="00953A02">
        <w:t xml:space="preserve"> (2016)</w:t>
      </w:r>
    </w:p>
    <w:p w14:paraId="707FE27B" w14:textId="33EB9938" w:rsidR="00F67BD8" w:rsidRDefault="00F67BD8" w:rsidP="00F67BD8">
      <w:pPr>
        <w:pStyle w:val="Dash"/>
        <w:rPr>
          <w:lang w:val="en-US"/>
        </w:rPr>
      </w:pPr>
      <w:r>
        <w:rPr>
          <w:lang w:val="en-US"/>
        </w:rPr>
        <w:t>i</w:t>
      </w:r>
      <w:r w:rsidRPr="00117B30">
        <w:rPr>
          <w:lang w:val="en-US"/>
        </w:rPr>
        <w:t xml:space="preserve">nclusion criteria included </w:t>
      </w:r>
      <w:r>
        <w:rPr>
          <w:lang w:val="en-US"/>
        </w:rPr>
        <w:t>“</w:t>
      </w:r>
      <w:r w:rsidRPr="00117B30">
        <w:rPr>
          <w:lang w:val="en-US"/>
        </w:rPr>
        <w:t>wants abdominal wall reconstruction</w:t>
      </w:r>
      <w:r>
        <w:rPr>
          <w:lang w:val="en-US"/>
        </w:rPr>
        <w:t>”</w:t>
      </w:r>
      <w:r w:rsidRPr="00117B30">
        <w:rPr>
          <w:lang w:val="en-US"/>
        </w:rPr>
        <w:t xml:space="preserve"> </w:t>
      </w:r>
      <w:r>
        <w:rPr>
          <w:lang w:val="en-US"/>
        </w:rPr>
        <w:t>which may</w:t>
      </w:r>
      <w:r w:rsidRPr="00117B30">
        <w:rPr>
          <w:lang w:val="en-US"/>
        </w:rPr>
        <w:t xml:space="preserve"> bias </w:t>
      </w:r>
      <w:r w:rsidR="005379F5">
        <w:rPr>
          <w:lang w:val="en-US"/>
        </w:rPr>
        <w:t xml:space="preserve">results </w:t>
      </w:r>
      <w:r w:rsidRPr="00117B30">
        <w:rPr>
          <w:lang w:val="en-US"/>
        </w:rPr>
        <w:t>towards surgery</w:t>
      </w:r>
    </w:p>
    <w:p w14:paraId="75207780" w14:textId="77777777" w:rsidR="00F67BD8" w:rsidRDefault="00F67BD8" w:rsidP="00F67BD8">
      <w:pPr>
        <w:pStyle w:val="Dash"/>
        <w:rPr>
          <w:lang w:val="en-US"/>
        </w:rPr>
      </w:pPr>
      <w:r>
        <w:rPr>
          <w:lang w:val="en-US"/>
        </w:rPr>
        <w:t xml:space="preserve">the study </w:t>
      </w:r>
      <w:r w:rsidRPr="00117B30">
        <w:rPr>
          <w:lang w:val="en-US"/>
        </w:rPr>
        <w:t xml:space="preserve">included some men, and not all women were postpartum but </w:t>
      </w:r>
      <w:r>
        <w:rPr>
          <w:lang w:val="en-US"/>
        </w:rPr>
        <w:t xml:space="preserve">had the procedure for </w:t>
      </w:r>
      <w:r w:rsidRPr="00117B30">
        <w:rPr>
          <w:lang w:val="en-US"/>
        </w:rPr>
        <w:t xml:space="preserve">other reasons </w:t>
      </w:r>
      <w:r>
        <w:rPr>
          <w:lang w:val="en-US"/>
        </w:rPr>
        <w:t>(e.g. </w:t>
      </w:r>
      <w:r w:rsidRPr="00117B30">
        <w:rPr>
          <w:lang w:val="en-US"/>
        </w:rPr>
        <w:t>gastric bypass)</w:t>
      </w:r>
    </w:p>
    <w:p w14:paraId="79955C36" w14:textId="77777777" w:rsidR="00F67BD8" w:rsidRDefault="00F67BD8" w:rsidP="00F67BD8">
      <w:pPr>
        <w:pStyle w:val="Dash"/>
        <w:rPr>
          <w:lang w:val="en-US"/>
        </w:rPr>
      </w:pPr>
      <w:r>
        <w:rPr>
          <w:lang w:val="en-US"/>
        </w:rPr>
        <w:t xml:space="preserve">patients could </w:t>
      </w:r>
      <w:r w:rsidRPr="00117B30">
        <w:rPr>
          <w:lang w:val="en-US"/>
        </w:rPr>
        <w:t xml:space="preserve">cross over </w:t>
      </w:r>
      <w:r>
        <w:rPr>
          <w:lang w:val="en-US"/>
        </w:rPr>
        <w:t xml:space="preserve">from physical therapy to surgery </w:t>
      </w:r>
      <w:r w:rsidRPr="00117B30">
        <w:rPr>
          <w:lang w:val="en-US"/>
        </w:rPr>
        <w:t>if not satisfied</w:t>
      </w:r>
      <w:r>
        <w:rPr>
          <w:lang w:val="en-US"/>
        </w:rPr>
        <w:t>,</w:t>
      </w:r>
      <w:r w:rsidRPr="00117B30">
        <w:rPr>
          <w:lang w:val="en-US"/>
        </w:rPr>
        <w:t xml:space="preserve"> and most did</w:t>
      </w:r>
      <w:r>
        <w:rPr>
          <w:lang w:val="en-US"/>
        </w:rPr>
        <w:t xml:space="preserve">, which </w:t>
      </w:r>
      <w:r w:rsidRPr="00117B30">
        <w:rPr>
          <w:lang w:val="en-US"/>
        </w:rPr>
        <w:t>would bias towards surgery</w:t>
      </w:r>
    </w:p>
    <w:p w14:paraId="71FF876A" w14:textId="7FF39D74" w:rsidR="00F67BD8" w:rsidRDefault="00F67BD8" w:rsidP="00F67BD8">
      <w:pPr>
        <w:pStyle w:val="Dash"/>
        <w:rPr>
          <w:lang w:val="en-US"/>
        </w:rPr>
      </w:pPr>
      <w:r>
        <w:rPr>
          <w:lang w:val="en-US"/>
        </w:rPr>
        <w:t>a</w:t>
      </w:r>
      <w:r w:rsidRPr="00101BB3">
        <w:rPr>
          <w:lang w:val="en-US"/>
        </w:rPr>
        <w:t xml:space="preserve">ssessors were not blinded to the allocation of patients to the </w:t>
      </w:r>
      <w:r>
        <w:rPr>
          <w:lang w:val="en-US"/>
        </w:rPr>
        <w:t>physical therapy</w:t>
      </w:r>
      <w:r w:rsidRPr="00101BB3">
        <w:rPr>
          <w:lang w:val="en-US"/>
        </w:rPr>
        <w:t xml:space="preserve"> </w:t>
      </w:r>
      <w:r w:rsidR="005379F5">
        <w:rPr>
          <w:lang w:val="en-US"/>
        </w:rPr>
        <w:t>or</w:t>
      </w:r>
      <w:r w:rsidRPr="00101BB3">
        <w:rPr>
          <w:lang w:val="en-US"/>
        </w:rPr>
        <w:t xml:space="preserve"> surgery arms</w:t>
      </w:r>
      <w:r>
        <w:rPr>
          <w:lang w:val="en-US"/>
        </w:rPr>
        <w:t xml:space="preserve">, which could lead to an </w:t>
      </w:r>
      <w:r w:rsidRPr="00117B30">
        <w:rPr>
          <w:lang w:val="en-US"/>
        </w:rPr>
        <w:t>overestimat</w:t>
      </w:r>
      <w:r>
        <w:rPr>
          <w:lang w:val="en-US"/>
        </w:rPr>
        <w:t>ion of</w:t>
      </w:r>
      <w:r w:rsidRPr="00117B30">
        <w:rPr>
          <w:lang w:val="en-US"/>
        </w:rPr>
        <w:t xml:space="preserve"> </w:t>
      </w:r>
      <w:r>
        <w:rPr>
          <w:lang w:val="en-US"/>
        </w:rPr>
        <w:t xml:space="preserve">the </w:t>
      </w:r>
      <w:r w:rsidRPr="00117B30">
        <w:rPr>
          <w:lang w:val="en-US"/>
        </w:rPr>
        <w:t xml:space="preserve">benefit </w:t>
      </w:r>
      <w:r>
        <w:rPr>
          <w:lang w:val="en-US"/>
        </w:rPr>
        <w:t xml:space="preserve">of the </w:t>
      </w:r>
      <w:r w:rsidR="005379F5">
        <w:rPr>
          <w:lang w:val="en-US"/>
        </w:rPr>
        <w:t xml:space="preserve">surgical </w:t>
      </w:r>
      <w:r>
        <w:rPr>
          <w:lang w:val="en-US"/>
        </w:rPr>
        <w:t>intervention</w:t>
      </w:r>
    </w:p>
    <w:p w14:paraId="72FADAD3" w14:textId="413C9791" w:rsidR="00F67BD8" w:rsidRDefault="00F67BD8" w:rsidP="00F67BD8">
      <w:pPr>
        <w:pStyle w:val="Dash"/>
        <w:rPr>
          <w:lang w:val="en-US"/>
        </w:rPr>
      </w:pPr>
      <w:r>
        <w:rPr>
          <w:lang w:val="en-US"/>
        </w:rPr>
        <w:t>o</w:t>
      </w:r>
      <w:r w:rsidRPr="00117B30">
        <w:rPr>
          <w:lang w:val="en-US"/>
        </w:rPr>
        <w:t>utcomes at 3</w:t>
      </w:r>
      <w:r>
        <w:rPr>
          <w:lang w:val="en-US"/>
        </w:rPr>
        <w:t> </w:t>
      </w:r>
      <w:r w:rsidRPr="00117B30">
        <w:rPr>
          <w:lang w:val="en-US"/>
        </w:rPr>
        <w:t>months for physical therapy were compared to outcomes at 12</w:t>
      </w:r>
      <w:r>
        <w:rPr>
          <w:lang w:val="en-US"/>
        </w:rPr>
        <w:t> </w:t>
      </w:r>
      <w:r w:rsidRPr="00117B30">
        <w:rPr>
          <w:lang w:val="en-US"/>
        </w:rPr>
        <w:t>months after surgery</w:t>
      </w:r>
      <w:r>
        <w:rPr>
          <w:lang w:val="en-US"/>
        </w:rPr>
        <w:t>; however,</w:t>
      </w:r>
      <w:r w:rsidRPr="00117B30">
        <w:rPr>
          <w:lang w:val="en-US"/>
        </w:rPr>
        <w:t xml:space="preserve"> by 12</w:t>
      </w:r>
      <w:r>
        <w:rPr>
          <w:lang w:val="en-US"/>
        </w:rPr>
        <w:t> </w:t>
      </w:r>
      <w:r w:rsidRPr="00117B30">
        <w:rPr>
          <w:lang w:val="en-US"/>
        </w:rPr>
        <w:t>months</w:t>
      </w:r>
      <w:r>
        <w:rPr>
          <w:lang w:val="en-US"/>
        </w:rPr>
        <w:t xml:space="preserve"> the</w:t>
      </w:r>
      <w:r w:rsidRPr="00117B30">
        <w:rPr>
          <w:lang w:val="en-US"/>
        </w:rPr>
        <w:t xml:space="preserve"> outcomes for non-operative treatment might have been the same or better</w:t>
      </w:r>
      <w:r w:rsidR="005379F5">
        <w:rPr>
          <w:lang w:val="en-US"/>
        </w:rPr>
        <w:t xml:space="preserve"> than for surgery at 12 months</w:t>
      </w:r>
    </w:p>
    <w:p w14:paraId="1CA9D175" w14:textId="3FEC5DC8" w:rsidR="00F67BD8" w:rsidRDefault="00F67BD8" w:rsidP="00F67BD8">
      <w:pPr>
        <w:pStyle w:val="DashLastSpace"/>
        <w:numPr>
          <w:ilvl w:val="0"/>
          <w:numId w:val="13"/>
        </w:numPr>
        <w:tabs>
          <w:tab w:val="clear" w:pos="216"/>
        </w:tabs>
        <w:ind w:left="1080" w:hanging="360"/>
        <w:rPr>
          <w:lang w:val="en-US"/>
        </w:rPr>
      </w:pPr>
      <w:r w:rsidRPr="00117B30">
        <w:rPr>
          <w:lang w:val="en-US"/>
        </w:rPr>
        <w:t xml:space="preserve">no between-group differences </w:t>
      </w:r>
      <w:r>
        <w:rPr>
          <w:lang w:val="en-US"/>
        </w:rPr>
        <w:t xml:space="preserve">were </w:t>
      </w:r>
      <w:r w:rsidRPr="00117B30">
        <w:rPr>
          <w:lang w:val="en-US"/>
        </w:rPr>
        <w:t>reported</w:t>
      </w:r>
      <w:r w:rsidR="005379F5">
        <w:rPr>
          <w:lang w:val="en-US"/>
        </w:rPr>
        <w:t>:</w:t>
      </w:r>
      <w:r>
        <w:rPr>
          <w:lang w:val="en-US"/>
        </w:rPr>
        <w:t xml:space="preserve"> the study authors </w:t>
      </w:r>
      <w:r w:rsidRPr="00117B30">
        <w:rPr>
          <w:lang w:val="en-US"/>
        </w:rPr>
        <w:t>only looked at within</w:t>
      </w:r>
      <w:r>
        <w:rPr>
          <w:lang w:val="en-US"/>
        </w:rPr>
        <w:t>-</w:t>
      </w:r>
      <w:r w:rsidRPr="00117B30">
        <w:rPr>
          <w:lang w:val="en-US"/>
        </w:rPr>
        <w:t xml:space="preserve">group differences and compared </w:t>
      </w:r>
      <w:r>
        <w:rPr>
          <w:lang w:val="en-US"/>
        </w:rPr>
        <w:t xml:space="preserve">those </w:t>
      </w:r>
      <w:r w:rsidRPr="00117B30">
        <w:rPr>
          <w:lang w:val="en-US"/>
        </w:rPr>
        <w:t>with general population norms for</w:t>
      </w:r>
      <w:r>
        <w:rPr>
          <w:lang w:val="en-US"/>
        </w:rPr>
        <w:t xml:space="preserve"> the</w:t>
      </w:r>
      <w:r w:rsidRPr="00117B30">
        <w:rPr>
          <w:lang w:val="en-US"/>
        </w:rPr>
        <w:t xml:space="preserve"> </w:t>
      </w:r>
      <w:r w:rsidRPr="00D657D7">
        <w:rPr>
          <w:lang w:val="en-US"/>
        </w:rPr>
        <w:t>SF</w:t>
      </w:r>
      <w:r>
        <w:rPr>
          <w:lang w:val="en-US"/>
        </w:rPr>
        <w:t>-</w:t>
      </w:r>
      <w:r w:rsidRPr="00D657D7">
        <w:rPr>
          <w:lang w:val="en-US"/>
        </w:rPr>
        <w:t>36</w:t>
      </w:r>
      <w:r>
        <w:rPr>
          <w:lang w:val="en-US"/>
        </w:rPr>
        <w:t xml:space="preserve"> questionnaire (quality of life measures)</w:t>
      </w:r>
      <w:r w:rsidRPr="00117B30">
        <w:rPr>
          <w:lang w:val="en-US"/>
        </w:rPr>
        <w:t>.</w:t>
      </w:r>
      <w:r w:rsidRPr="00F912DF">
        <w:rPr>
          <w:lang w:val="en-US"/>
        </w:rPr>
        <w:t xml:space="preserve"> </w:t>
      </w:r>
    </w:p>
    <w:p w14:paraId="39D53245" w14:textId="08E23652" w:rsidR="00F67BD8" w:rsidRDefault="00F67BD8" w:rsidP="00F67BD8">
      <w:pPr>
        <w:pStyle w:val="BulletBeforeDash"/>
      </w:pPr>
      <w:r>
        <w:t>For Taylor et al.</w:t>
      </w:r>
      <w:r w:rsidR="00953A02">
        <w:t xml:space="preserve"> (2018)</w:t>
      </w:r>
    </w:p>
    <w:p w14:paraId="42F666D2" w14:textId="77777777" w:rsidR="00F67BD8" w:rsidRDefault="00F67BD8" w:rsidP="00F67BD8">
      <w:pPr>
        <w:pStyle w:val="Dash"/>
        <w:rPr>
          <w:lang w:val="en-US"/>
        </w:rPr>
      </w:pPr>
      <w:r>
        <w:rPr>
          <w:lang w:val="en-US"/>
        </w:rPr>
        <w:t>it was not clear if</w:t>
      </w:r>
      <w:r w:rsidRPr="00101BB3">
        <w:rPr>
          <w:lang w:val="en-US"/>
        </w:rPr>
        <w:t xml:space="preserve"> all </w:t>
      </w:r>
      <w:r>
        <w:rPr>
          <w:lang w:val="en-US"/>
        </w:rPr>
        <w:t xml:space="preserve">participants </w:t>
      </w:r>
      <w:r w:rsidRPr="00101BB3">
        <w:rPr>
          <w:lang w:val="en-US"/>
        </w:rPr>
        <w:t>had rectus diastasis or not</w:t>
      </w:r>
      <w:r>
        <w:rPr>
          <w:lang w:val="en-US"/>
        </w:rPr>
        <w:t xml:space="preserve">, </w:t>
      </w:r>
      <w:r w:rsidRPr="00101BB3">
        <w:rPr>
          <w:lang w:val="en-US"/>
        </w:rPr>
        <w:t xml:space="preserve">and </w:t>
      </w:r>
      <w:r>
        <w:rPr>
          <w:lang w:val="en-US"/>
        </w:rPr>
        <w:t xml:space="preserve">there was </w:t>
      </w:r>
      <w:r w:rsidRPr="00101BB3">
        <w:rPr>
          <w:lang w:val="en-US"/>
        </w:rPr>
        <w:t xml:space="preserve">no measurement of </w:t>
      </w:r>
      <w:r>
        <w:rPr>
          <w:lang w:val="en-US"/>
        </w:rPr>
        <w:t xml:space="preserve">the </w:t>
      </w:r>
      <w:r w:rsidRPr="00101BB3">
        <w:rPr>
          <w:lang w:val="en-US"/>
        </w:rPr>
        <w:t>severity of any diastasis</w:t>
      </w:r>
    </w:p>
    <w:p w14:paraId="01D35365" w14:textId="72556748" w:rsidR="00F67BD8" w:rsidRDefault="00F67BD8" w:rsidP="00F67BD8">
      <w:pPr>
        <w:pStyle w:val="DashLastSpace"/>
        <w:numPr>
          <w:ilvl w:val="0"/>
          <w:numId w:val="13"/>
        </w:numPr>
        <w:tabs>
          <w:tab w:val="clear" w:pos="216"/>
        </w:tabs>
        <w:ind w:left="1080" w:hanging="360"/>
        <w:rPr>
          <w:lang w:val="en-US"/>
        </w:rPr>
      </w:pPr>
      <w:r>
        <w:rPr>
          <w:lang w:val="en-US"/>
        </w:rPr>
        <w:t>the s</w:t>
      </w:r>
      <w:r w:rsidRPr="00101BB3">
        <w:rPr>
          <w:lang w:val="en-US"/>
        </w:rPr>
        <w:t xml:space="preserve">tudy </w:t>
      </w:r>
      <w:r>
        <w:rPr>
          <w:lang w:val="en-US"/>
        </w:rPr>
        <w:t xml:space="preserve">was </w:t>
      </w:r>
      <w:r w:rsidRPr="00101BB3">
        <w:rPr>
          <w:lang w:val="en-US"/>
        </w:rPr>
        <w:t>unblinded</w:t>
      </w:r>
      <w:r w:rsidR="00684521">
        <w:rPr>
          <w:lang w:val="en-US"/>
        </w:rPr>
        <w:t xml:space="preserve"> and</w:t>
      </w:r>
      <w:r w:rsidRPr="00101BB3">
        <w:rPr>
          <w:lang w:val="en-US"/>
        </w:rPr>
        <w:t xml:space="preserve"> </w:t>
      </w:r>
      <w:r>
        <w:rPr>
          <w:lang w:val="en-US"/>
        </w:rPr>
        <w:t xml:space="preserve">there was </w:t>
      </w:r>
      <w:r w:rsidRPr="00101BB3">
        <w:rPr>
          <w:lang w:val="en-US"/>
        </w:rPr>
        <w:t xml:space="preserve">no control group </w:t>
      </w:r>
      <w:r>
        <w:rPr>
          <w:lang w:val="en-US"/>
        </w:rPr>
        <w:t xml:space="preserve">, which is </w:t>
      </w:r>
      <w:r w:rsidRPr="00101BB3">
        <w:rPr>
          <w:lang w:val="en-US"/>
        </w:rPr>
        <w:t>likely to bias in favour of surgery</w:t>
      </w:r>
      <w:r>
        <w:rPr>
          <w:lang w:val="en-US"/>
        </w:rPr>
        <w:t xml:space="preserve">. </w:t>
      </w:r>
    </w:p>
    <w:p w14:paraId="2332F9A6" w14:textId="5E23A2DB" w:rsidR="00F67BD8" w:rsidRPr="00101BB3" w:rsidRDefault="00F67BD8" w:rsidP="00F67BD8">
      <w:pPr>
        <w:rPr>
          <w:lang w:val="en-US"/>
        </w:rPr>
      </w:pPr>
      <w:r>
        <w:rPr>
          <w:lang w:val="en-US"/>
        </w:rPr>
        <w:lastRenderedPageBreak/>
        <w:t>In addition, MSAC noted that the Taylor study had outcomes of</w:t>
      </w:r>
      <w:r w:rsidRPr="00101BB3">
        <w:rPr>
          <w:lang w:val="en-US"/>
        </w:rPr>
        <w:t xml:space="preserve"> back pain-related disability and urinary incontinence</w:t>
      </w:r>
      <w:r>
        <w:rPr>
          <w:lang w:val="en-US"/>
        </w:rPr>
        <w:t>. MSAC considered</w:t>
      </w:r>
      <w:r w:rsidRPr="00101BB3">
        <w:rPr>
          <w:lang w:val="en-US"/>
        </w:rPr>
        <w:t xml:space="preserve"> this problematic as it is unclear that rectus diastasis actually causes either of these symptoms</w:t>
      </w:r>
      <w:r>
        <w:rPr>
          <w:lang w:val="en-US"/>
        </w:rPr>
        <w:t xml:space="preserve">, even though this seems to be a commonly held belief. </w:t>
      </w:r>
      <w:r w:rsidR="00EC3CC2">
        <w:rPr>
          <w:lang w:val="en-US"/>
        </w:rPr>
        <w:t>MSAC noted there are many types of urinary incontinence</w:t>
      </w:r>
      <w:r w:rsidR="001E07D4">
        <w:rPr>
          <w:lang w:val="en-US"/>
        </w:rPr>
        <w:t xml:space="preserve">, each </w:t>
      </w:r>
      <w:r w:rsidR="00915651">
        <w:rPr>
          <w:lang w:val="en-US"/>
        </w:rPr>
        <w:t xml:space="preserve">requiring </w:t>
      </w:r>
      <w:r w:rsidR="001E07D4">
        <w:rPr>
          <w:lang w:val="en-US"/>
        </w:rPr>
        <w:t xml:space="preserve">a </w:t>
      </w:r>
      <w:r w:rsidR="00915651">
        <w:rPr>
          <w:lang w:val="en-US"/>
        </w:rPr>
        <w:t>specific diagnosis</w:t>
      </w:r>
      <w:r w:rsidR="001E07D4">
        <w:rPr>
          <w:lang w:val="en-US"/>
        </w:rPr>
        <w:t>.</w:t>
      </w:r>
      <w:r w:rsidR="00EC3CC2">
        <w:rPr>
          <w:lang w:val="en-US"/>
        </w:rPr>
        <w:t xml:space="preserve"> </w:t>
      </w:r>
      <w:r w:rsidR="001E07D4">
        <w:rPr>
          <w:lang w:val="en-US"/>
        </w:rPr>
        <w:t>S</w:t>
      </w:r>
      <w:r w:rsidR="00EC3CC2">
        <w:rPr>
          <w:lang w:val="en-US"/>
        </w:rPr>
        <w:t>ome of w</w:t>
      </w:r>
      <w:r w:rsidR="00915651">
        <w:rPr>
          <w:lang w:val="en-US"/>
        </w:rPr>
        <w:t xml:space="preserve">hich e.g. detrusor instability, are treated with medical therapy and </w:t>
      </w:r>
      <w:r w:rsidR="00EC3CC2">
        <w:rPr>
          <w:lang w:val="en-US"/>
        </w:rPr>
        <w:t xml:space="preserve">would not be ameliorated by repair of the anterior abdominal wall. </w:t>
      </w:r>
      <w:r>
        <w:rPr>
          <w:lang w:val="en-US"/>
        </w:rPr>
        <w:t>MSAC noted two</w:t>
      </w:r>
      <w:r w:rsidRPr="00101BB3">
        <w:rPr>
          <w:lang w:val="en-US"/>
        </w:rPr>
        <w:t xml:space="preserve"> papers</w:t>
      </w:r>
      <w:r>
        <w:rPr>
          <w:lang w:val="en-US"/>
        </w:rPr>
        <w:t xml:space="preserve"> </w:t>
      </w:r>
      <w:r w:rsidRPr="00101BB3">
        <w:rPr>
          <w:lang w:val="en-US"/>
        </w:rPr>
        <w:t>(Sperstad et</w:t>
      </w:r>
      <w:r>
        <w:rPr>
          <w:lang w:val="en-US"/>
        </w:rPr>
        <w:t> </w:t>
      </w:r>
      <w:r w:rsidRPr="00101BB3">
        <w:rPr>
          <w:lang w:val="en-US"/>
        </w:rPr>
        <w:t xml:space="preserve">al </w:t>
      </w:r>
      <w:r w:rsidRPr="00513E4C">
        <w:rPr>
          <w:i/>
        </w:rPr>
        <w:t>Br J Sports Med</w:t>
      </w:r>
      <w:r>
        <w:t xml:space="preserve"> </w:t>
      </w:r>
      <w:r w:rsidRPr="00101BB3">
        <w:rPr>
          <w:lang w:val="en-US"/>
        </w:rPr>
        <w:t>2016 and Bo et</w:t>
      </w:r>
      <w:r>
        <w:rPr>
          <w:lang w:val="en-US"/>
        </w:rPr>
        <w:t> </w:t>
      </w:r>
      <w:r w:rsidRPr="00101BB3">
        <w:rPr>
          <w:lang w:val="en-US"/>
        </w:rPr>
        <w:t>al</w:t>
      </w:r>
      <w:r>
        <w:rPr>
          <w:lang w:val="en-US"/>
        </w:rPr>
        <w:t xml:space="preserve">. </w:t>
      </w:r>
      <w:r w:rsidRPr="00D240B5">
        <w:rPr>
          <w:i/>
        </w:rPr>
        <w:t>Neurourol Urodyn</w:t>
      </w:r>
      <w:r w:rsidRPr="00101BB3">
        <w:rPr>
          <w:lang w:val="en-US"/>
        </w:rPr>
        <w:t xml:space="preserve"> 2017</w:t>
      </w:r>
      <w:r>
        <w:rPr>
          <w:lang w:val="en-US"/>
        </w:rPr>
        <w:t>) that</w:t>
      </w:r>
      <w:r w:rsidRPr="00101BB3">
        <w:rPr>
          <w:lang w:val="en-US"/>
        </w:rPr>
        <w:t xml:space="preserve"> </w:t>
      </w:r>
      <w:r>
        <w:rPr>
          <w:lang w:val="en-US"/>
        </w:rPr>
        <w:t xml:space="preserve">both </w:t>
      </w:r>
      <w:r w:rsidRPr="00101BB3">
        <w:rPr>
          <w:lang w:val="en-US"/>
        </w:rPr>
        <w:t xml:space="preserve">report on </w:t>
      </w:r>
      <w:r>
        <w:rPr>
          <w:lang w:val="en-US"/>
        </w:rPr>
        <w:t>a</w:t>
      </w:r>
      <w:r w:rsidRPr="00101BB3">
        <w:rPr>
          <w:lang w:val="en-US"/>
        </w:rPr>
        <w:t xml:space="preserve"> study of 300</w:t>
      </w:r>
      <w:r>
        <w:rPr>
          <w:lang w:val="en-US"/>
        </w:rPr>
        <w:t> </w:t>
      </w:r>
      <w:r w:rsidRPr="00101BB3">
        <w:rPr>
          <w:lang w:val="en-US"/>
        </w:rPr>
        <w:t>consecutive women with first pregnancy</w:t>
      </w:r>
      <w:r>
        <w:rPr>
          <w:lang w:val="en-US"/>
        </w:rPr>
        <w:t>,</w:t>
      </w:r>
      <w:r w:rsidRPr="00101BB3">
        <w:rPr>
          <w:lang w:val="en-US"/>
        </w:rPr>
        <w:t xml:space="preserve"> followed </w:t>
      </w:r>
      <w:r>
        <w:rPr>
          <w:lang w:val="en-US"/>
        </w:rPr>
        <w:t>until</w:t>
      </w:r>
      <w:r w:rsidRPr="00101BB3">
        <w:rPr>
          <w:lang w:val="en-US"/>
        </w:rPr>
        <w:t xml:space="preserve"> 12</w:t>
      </w:r>
      <w:r>
        <w:rPr>
          <w:lang w:val="en-US"/>
        </w:rPr>
        <w:t> </w:t>
      </w:r>
      <w:r w:rsidRPr="00101BB3">
        <w:rPr>
          <w:lang w:val="en-US"/>
        </w:rPr>
        <w:t>months post-partum</w:t>
      </w:r>
      <w:r>
        <w:rPr>
          <w:lang w:val="en-US"/>
        </w:rPr>
        <w:t>,</w:t>
      </w:r>
      <w:r w:rsidRPr="00101BB3">
        <w:rPr>
          <w:lang w:val="en-US"/>
        </w:rPr>
        <w:t xml:space="preserve"> </w:t>
      </w:r>
      <w:r>
        <w:rPr>
          <w:lang w:val="en-US"/>
        </w:rPr>
        <w:t>which showed</w:t>
      </w:r>
      <w:r w:rsidRPr="00101BB3">
        <w:rPr>
          <w:lang w:val="en-US"/>
        </w:rPr>
        <w:t xml:space="preserve"> no diff</w:t>
      </w:r>
      <w:r>
        <w:rPr>
          <w:lang w:val="en-US"/>
        </w:rPr>
        <w:t>erence</w:t>
      </w:r>
      <w:r w:rsidRPr="00101BB3">
        <w:rPr>
          <w:lang w:val="en-US"/>
        </w:rPr>
        <w:t xml:space="preserve"> in either symptom by </w:t>
      </w:r>
      <w:r>
        <w:rPr>
          <w:lang w:val="en-US"/>
        </w:rPr>
        <w:t xml:space="preserve">the </w:t>
      </w:r>
      <w:r w:rsidRPr="00101BB3">
        <w:rPr>
          <w:lang w:val="en-US"/>
        </w:rPr>
        <w:t>presence</w:t>
      </w:r>
      <w:r>
        <w:rPr>
          <w:lang w:val="en-US"/>
        </w:rPr>
        <w:t xml:space="preserve"> or </w:t>
      </w:r>
      <w:r w:rsidRPr="00101BB3">
        <w:rPr>
          <w:lang w:val="en-US"/>
        </w:rPr>
        <w:t>absence of RD</w:t>
      </w:r>
      <w:r>
        <w:rPr>
          <w:lang w:val="en-US"/>
        </w:rPr>
        <w:t xml:space="preserve">. </w:t>
      </w:r>
    </w:p>
    <w:p w14:paraId="655EF018" w14:textId="4755A730" w:rsidR="00F67BD8" w:rsidRDefault="00F67BD8" w:rsidP="00D30609">
      <w:pPr>
        <w:spacing w:before="240" w:after="240"/>
        <w:rPr>
          <w:lang w:val="en-US"/>
        </w:rPr>
      </w:pPr>
      <w:r>
        <w:rPr>
          <w:lang w:val="en-US"/>
        </w:rPr>
        <w:t xml:space="preserve">MSAC also noted that it is not clear how to differentiate between pregnancy-related </w:t>
      </w:r>
      <w:r w:rsidR="00A63C62">
        <w:rPr>
          <w:lang w:val="en-US"/>
        </w:rPr>
        <w:t xml:space="preserve">RD </w:t>
      </w:r>
      <w:r>
        <w:rPr>
          <w:lang w:val="en-US"/>
        </w:rPr>
        <w:t>and non-pregnancy-related RD</w:t>
      </w:r>
      <w:r w:rsidR="00A63C62">
        <w:rPr>
          <w:lang w:val="en-US"/>
        </w:rPr>
        <w:t xml:space="preserve"> in women who have been pregnant</w:t>
      </w:r>
      <w:r>
        <w:rPr>
          <w:lang w:val="en-US"/>
        </w:rPr>
        <w:t>.</w:t>
      </w:r>
    </w:p>
    <w:p w14:paraId="18EDB8C8" w14:textId="5DB6F187" w:rsidR="00F67BD8" w:rsidRDefault="00F67BD8" w:rsidP="00F67BD8">
      <w:pPr>
        <w:rPr>
          <w:lang w:val="en-US"/>
        </w:rPr>
      </w:pPr>
      <w:r>
        <w:rPr>
          <w:lang w:val="en-US"/>
        </w:rPr>
        <w:t xml:space="preserve">MSAC noted that the </w:t>
      </w:r>
      <w:r w:rsidRPr="009C7246">
        <w:t xml:space="preserve">incremental cost-effectiveness ratio </w:t>
      </w:r>
      <w:r>
        <w:t>(</w:t>
      </w:r>
      <w:r>
        <w:rPr>
          <w:lang w:val="en-US"/>
        </w:rPr>
        <w:t xml:space="preserve">ICER) is </w:t>
      </w:r>
      <w:r w:rsidR="005379F5">
        <w:rPr>
          <w:lang w:val="en-US"/>
        </w:rPr>
        <w:t xml:space="preserve">in the range typically considered to be </w:t>
      </w:r>
      <w:r>
        <w:rPr>
          <w:lang w:val="en-US"/>
        </w:rPr>
        <w:t>acceptable at $40,000 per</w:t>
      </w:r>
      <w:r w:rsidRPr="009C7246">
        <w:t xml:space="preserve"> quality-adjusted life year</w:t>
      </w:r>
      <w:r>
        <w:t>,</w:t>
      </w:r>
      <w:r>
        <w:rPr>
          <w:lang w:val="en-US"/>
        </w:rPr>
        <w:t xml:space="preserve"> and there is a modest financial impact of $1.4 million per year. These are conditional on the procedure not </w:t>
      </w:r>
      <w:r w:rsidR="005379F5">
        <w:rPr>
          <w:lang w:val="en-US"/>
        </w:rPr>
        <w:t>being used in</w:t>
      </w:r>
      <w:r>
        <w:rPr>
          <w:lang w:val="en-US"/>
        </w:rPr>
        <w:t xml:space="preserve"> women who want it for cosmetic purposes (noting that this was the reason the item was removed from the MBS). However, since the clinical evidence is uncertain, the cost-effectiveness is also uncertain. </w:t>
      </w:r>
    </w:p>
    <w:p w14:paraId="3DF75ED9" w14:textId="39F87BC9" w:rsidR="00F67BD8" w:rsidRDefault="00F67BD8" w:rsidP="00D30609">
      <w:pPr>
        <w:spacing w:before="240" w:after="240"/>
        <w:rPr>
          <w:lang w:val="en-US"/>
        </w:rPr>
      </w:pPr>
      <w:r>
        <w:rPr>
          <w:lang w:val="en-US"/>
        </w:rPr>
        <w:t xml:space="preserve">MSAC noted the pre-MSAC response from the applicant which stated that the removal of this item from the MBS disproportionally affects women, that the size of the treatment population is small, and that the reason no comparator arm was included </w:t>
      </w:r>
      <w:r w:rsidR="00A737E5">
        <w:rPr>
          <w:lang w:val="en-US"/>
        </w:rPr>
        <w:t xml:space="preserve">in </w:t>
      </w:r>
      <w:r>
        <w:rPr>
          <w:lang w:val="en-US"/>
        </w:rPr>
        <w:t>the Taylor study is that abdominoplasty is the standard of care in the real-world setting.</w:t>
      </w:r>
    </w:p>
    <w:p w14:paraId="2A9D9DC4" w14:textId="68D861EC" w:rsidR="00F67BD8" w:rsidRDefault="00F67BD8" w:rsidP="00F67BD8">
      <w:r>
        <w:rPr>
          <w:lang w:val="en-US"/>
        </w:rPr>
        <w:t xml:space="preserve">MSAC acknowledged that this procedure is being done in the community and also acknowledged the </w:t>
      </w:r>
      <w:r w:rsidR="00A737E5">
        <w:rPr>
          <w:lang w:val="en-US"/>
        </w:rPr>
        <w:t xml:space="preserve">apparent </w:t>
      </w:r>
      <w:r>
        <w:rPr>
          <w:lang w:val="en-US"/>
        </w:rPr>
        <w:t>inequity of pregnant women being excluded from MBS funding. However, MSAC also noted that there</w:t>
      </w:r>
      <w:r>
        <w:t xml:space="preserve"> are risks inherent with surgery and these risks outweigh the </w:t>
      </w:r>
      <w:r w:rsidR="00A737E5">
        <w:t xml:space="preserve">claimed </w:t>
      </w:r>
      <w:r>
        <w:t>benefit.</w:t>
      </w:r>
    </w:p>
    <w:p w14:paraId="6739A324" w14:textId="77777777" w:rsidR="00386A5B" w:rsidRPr="00F715D1" w:rsidRDefault="00386A5B" w:rsidP="00386A5B">
      <w:pPr>
        <w:pStyle w:val="Heading1"/>
      </w:pPr>
      <w:r w:rsidRPr="00F715D1">
        <w:t>Background</w:t>
      </w:r>
    </w:p>
    <w:p w14:paraId="5CF5A608" w14:textId="6F776842" w:rsidR="00386A5B" w:rsidRPr="00953A02" w:rsidRDefault="00953A02" w:rsidP="00953A02">
      <w:r>
        <w:rPr>
          <w:color w:val="000000"/>
        </w:rPr>
        <w:t>The purpose of A</w:t>
      </w:r>
      <w:r w:rsidR="00D6791A" w:rsidRPr="00295315">
        <w:rPr>
          <w:color w:val="000000"/>
        </w:rPr>
        <w:t xml:space="preserve">pplication 1546 is to reinstate MBS funding </w:t>
      </w:r>
      <w:r w:rsidR="00D6791A" w:rsidRPr="00295315">
        <w:t xml:space="preserve">for abdominoplasty with repair of rectus diastasis in women who developed symptomatic rectus diastasis following pregnancy. </w:t>
      </w:r>
      <w:r w:rsidR="00D6791A" w:rsidRPr="00331137">
        <w:t xml:space="preserve">In 2016, this patient group was removed from the MBS item 30177 </w:t>
      </w:r>
      <w:r w:rsidR="00D6791A">
        <w:t>after a r</w:t>
      </w:r>
      <w:r w:rsidR="00D6791A" w:rsidRPr="008669D1">
        <w:t xml:space="preserve">eview of abdominoplasty in </w:t>
      </w:r>
      <w:r w:rsidR="00D6791A">
        <w:t xml:space="preserve">the </w:t>
      </w:r>
      <w:r w:rsidR="00D6791A" w:rsidRPr="008669D1">
        <w:t xml:space="preserve">management of urinary incontinence </w:t>
      </w:r>
      <w:r w:rsidR="00D6791A" w:rsidRPr="00331137">
        <w:t>due to concerns that the surgery was performed for largely cosmetic reasons and had no significant morbidity or mortality benefit</w:t>
      </w:r>
      <w:r w:rsidR="00D6791A" w:rsidRPr="00331137">
        <w:rPr>
          <w:i/>
        </w:rPr>
        <w:t>.</w:t>
      </w:r>
    </w:p>
    <w:p w14:paraId="56EF73FF" w14:textId="77777777" w:rsidR="00386A5B" w:rsidRPr="00F715D1" w:rsidRDefault="00386A5B" w:rsidP="00386A5B">
      <w:pPr>
        <w:pStyle w:val="Heading1"/>
      </w:pPr>
      <w:r w:rsidRPr="00F715D1">
        <w:t>Prerequisites to implementation of any funding advice</w:t>
      </w:r>
    </w:p>
    <w:p w14:paraId="3B41D77A" w14:textId="7112A491" w:rsidR="00386A5B" w:rsidRPr="00953A02" w:rsidRDefault="00D6791A" w:rsidP="00953A02">
      <w:r w:rsidRPr="00953A02">
        <w:t>Nil, the service would be performed by a specialist surgeon in an accredited hospital.</w:t>
      </w:r>
    </w:p>
    <w:p w14:paraId="67F434FD" w14:textId="77777777" w:rsidR="007F378D" w:rsidRDefault="00386A5B" w:rsidP="007F378D">
      <w:pPr>
        <w:pStyle w:val="Heading1"/>
      </w:pPr>
      <w:r w:rsidRPr="00F715D1">
        <w:t>Proposal for public funding</w:t>
      </w:r>
    </w:p>
    <w:p w14:paraId="405BC0FC" w14:textId="2422DC2F" w:rsidR="00E24D6C" w:rsidRDefault="00E24D6C" w:rsidP="00D30609">
      <w:pPr>
        <w:spacing w:after="240"/>
      </w:pPr>
      <w:r w:rsidRPr="00851D86">
        <w:t xml:space="preserve">The medical service proposed is the surgical repair of symptomatic rectus diastasis which is over the threshold distance of 3cm and where the patients have a recognised and documented pattern of </w:t>
      </w:r>
      <w:r w:rsidRPr="00953A02">
        <w:t>symptoms</w:t>
      </w:r>
      <w:r w:rsidRPr="00851D86">
        <w:t xml:space="preserve"> – low back pain, daily abdominal discomfort on functional use and/or urinary incontinence.  The repair would involve suturing the musculoaponeurotic layer of the abdominal wall and including associated excision of redundant skin and fat and transposition </w:t>
      </w:r>
      <w:r w:rsidRPr="00851D86">
        <w:lastRenderedPageBreak/>
        <w:t>of the umbilicus (radical abdominoplasty). It would not be performed within 12 months of pregnancy.</w:t>
      </w:r>
    </w:p>
    <w:p w14:paraId="1B074F4D" w14:textId="77777777" w:rsidR="00E24D6C" w:rsidRDefault="00E24D6C" w:rsidP="00E24D6C">
      <w:r w:rsidRPr="00331137">
        <w:t xml:space="preserve">The proposed population for abdominoplasty with surgical repair of the rectus diastasis are women with pregnancy-acquired rectus diastasis. Specifically, these women: </w:t>
      </w:r>
    </w:p>
    <w:p w14:paraId="027A08F4" w14:textId="77777777" w:rsidR="00E24D6C" w:rsidRDefault="00E24D6C" w:rsidP="00E24D6C">
      <w:pPr>
        <w:pStyle w:val="ListParagraph"/>
        <w:numPr>
          <w:ilvl w:val="0"/>
          <w:numId w:val="7"/>
        </w:numPr>
      </w:pPr>
      <w:r w:rsidRPr="00331137">
        <w:t>are at least 12 month post-partum;</w:t>
      </w:r>
    </w:p>
    <w:p w14:paraId="1EB63329" w14:textId="77777777" w:rsidR="00E24D6C" w:rsidRDefault="00E24D6C" w:rsidP="00E24D6C">
      <w:pPr>
        <w:pStyle w:val="ListParagraph"/>
        <w:numPr>
          <w:ilvl w:val="0"/>
          <w:numId w:val="7"/>
        </w:numPr>
      </w:pPr>
      <w:r w:rsidRPr="00331137">
        <w:t>have a diastasis of at least 3 cm; and</w:t>
      </w:r>
    </w:p>
    <w:p w14:paraId="6FAC4F27" w14:textId="6F33B06A" w:rsidR="00E24D6C" w:rsidRPr="00E24D6C" w:rsidRDefault="00E24D6C" w:rsidP="00E24D6C">
      <w:pPr>
        <w:pStyle w:val="ListParagraph"/>
        <w:numPr>
          <w:ilvl w:val="0"/>
          <w:numId w:val="7"/>
        </w:numPr>
      </w:pPr>
      <w:r w:rsidRPr="00331137">
        <w:t>have documented evidence of functional symptoms of low back pain and daily abdominal discomfort on f</w:t>
      </w:r>
      <w:r w:rsidR="00D30609">
        <w:t>unctional use in the case notes.</w:t>
      </w:r>
    </w:p>
    <w:p w14:paraId="4065738B" w14:textId="59B29EB7" w:rsidR="007F378D" w:rsidRPr="00F012C6" w:rsidRDefault="007F378D" w:rsidP="00D30609">
      <w:pPr>
        <w:spacing w:before="240" w:after="240" w:line="312" w:lineRule="auto"/>
        <w:jc w:val="both"/>
        <w:rPr>
          <w:szCs w:val="24"/>
        </w:rPr>
      </w:pPr>
      <w:r w:rsidRPr="00F012C6" w:rsidDel="00A134DA">
        <w:rPr>
          <w:szCs w:val="24"/>
        </w:rPr>
        <w:t xml:space="preserve">The </w:t>
      </w:r>
      <w:r w:rsidR="00953A02">
        <w:rPr>
          <w:szCs w:val="24"/>
        </w:rPr>
        <w:t>applicant’s proposed</w:t>
      </w:r>
      <w:r w:rsidRPr="00F012C6">
        <w:rPr>
          <w:szCs w:val="24"/>
        </w:rPr>
        <w:t xml:space="preserve"> </w:t>
      </w:r>
      <w:r w:rsidRPr="00F012C6" w:rsidDel="00A134DA">
        <w:rPr>
          <w:szCs w:val="24"/>
        </w:rPr>
        <w:t xml:space="preserve">MBS item descriptor is summarised in </w:t>
      </w:r>
      <w:r>
        <w:rPr>
          <w:szCs w:val="24"/>
        </w:rPr>
        <w:t>Table 1.</w:t>
      </w:r>
    </w:p>
    <w:p w14:paraId="0F0E7663" w14:textId="783F20FB" w:rsidR="007F378D" w:rsidRPr="00D30609" w:rsidRDefault="007F378D" w:rsidP="00D30609">
      <w:pPr>
        <w:rPr>
          <w:rFonts w:ascii="Arial Narrow" w:hAnsi="Arial Narrow"/>
          <w:b/>
          <w:sz w:val="20"/>
        </w:rPr>
      </w:pPr>
      <w:bookmarkStart w:id="0" w:name="_Toc8225769"/>
      <w:r w:rsidRPr="00D30609">
        <w:rPr>
          <w:rFonts w:ascii="Arial Narrow" w:hAnsi="Arial Narrow"/>
          <w:b/>
          <w:sz w:val="20"/>
        </w:rPr>
        <w:t xml:space="preserve">Table </w:t>
      </w:r>
      <w:r w:rsidRPr="00D30609">
        <w:rPr>
          <w:rFonts w:ascii="Arial Narrow" w:hAnsi="Arial Narrow"/>
          <w:b/>
          <w:sz w:val="20"/>
        </w:rPr>
        <w:fldChar w:fldCharType="begin"/>
      </w:r>
      <w:r w:rsidRPr="00D30609">
        <w:rPr>
          <w:rFonts w:ascii="Arial Narrow" w:hAnsi="Arial Narrow"/>
          <w:b/>
          <w:sz w:val="20"/>
        </w:rPr>
        <w:instrText xml:space="preserve"> SEQ Table \* ARABIC </w:instrText>
      </w:r>
      <w:r w:rsidRPr="00D30609">
        <w:rPr>
          <w:rFonts w:ascii="Arial Narrow" w:hAnsi="Arial Narrow"/>
          <w:b/>
          <w:sz w:val="20"/>
        </w:rPr>
        <w:fldChar w:fldCharType="separate"/>
      </w:r>
      <w:r w:rsidR="00931186" w:rsidRPr="00D30609">
        <w:rPr>
          <w:rFonts w:ascii="Arial Narrow" w:hAnsi="Arial Narrow"/>
          <w:b/>
          <w:sz w:val="20"/>
        </w:rPr>
        <w:t>1</w:t>
      </w:r>
      <w:r w:rsidRPr="00D30609">
        <w:rPr>
          <w:rFonts w:ascii="Arial Narrow" w:hAnsi="Arial Narrow"/>
          <w:b/>
          <w:sz w:val="20"/>
        </w:rPr>
        <w:fldChar w:fldCharType="end"/>
      </w:r>
      <w:r w:rsidRPr="00D30609">
        <w:rPr>
          <w:rFonts w:ascii="Arial Narrow" w:hAnsi="Arial Narrow"/>
          <w:b/>
          <w:sz w:val="20"/>
        </w:rPr>
        <w:t>: Proposed updated wording to existing Item 30176</w:t>
      </w:r>
      <w:bookmarkEnd w:id="0"/>
    </w:p>
    <w:tbl>
      <w:tblPr>
        <w:tblStyle w:val="TableGrid1"/>
        <w:tblW w:w="5000" w:type="pct"/>
        <w:tblLook w:val="01E0" w:firstRow="1" w:lastRow="1" w:firstColumn="1" w:lastColumn="1" w:noHBand="0" w:noVBand="0"/>
        <w:tblDescription w:val="Proposed updated wording to existing Item 30176"/>
      </w:tblPr>
      <w:tblGrid>
        <w:gridCol w:w="9016"/>
      </w:tblGrid>
      <w:tr w:rsidR="007F378D" w:rsidRPr="00193E35" w14:paraId="15D2F5DF" w14:textId="77777777" w:rsidTr="00D30609">
        <w:trPr>
          <w:trHeight w:val="150"/>
          <w:tblHeader/>
        </w:trPr>
        <w:tc>
          <w:tcPr>
            <w:tcW w:w="5000" w:type="pct"/>
            <w:hideMark/>
          </w:tcPr>
          <w:p w14:paraId="38E0741B" w14:textId="77777777" w:rsidR="007F378D" w:rsidRPr="00193E35" w:rsidRDefault="007F378D" w:rsidP="005379F5">
            <w:pPr>
              <w:keepNext/>
              <w:jc w:val="both"/>
              <w:rPr>
                <w:rFonts w:ascii="Arial Narrow" w:hAnsi="Arial Narrow"/>
                <w:lang w:bidi="en-AU"/>
              </w:rPr>
            </w:pPr>
            <w:r w:rsidRPr="00193E35">
              <w:rPr>
                <w:rFonts w:ascii="Arial Narrow" w:hAnsi="Arial Narrow" w:cs="Tahoma"/>
                <w:lang w:bidi="en-AU"/>
              </w:rPr>
              <w:t>Item 30176 – Category 3 – Therapeutic Procedures</w:t>
            </w:r>
          </w:p>
        </w:tc>
      </w:tr>
      <w:tr w:rsidR="007F378D" w:rsidRPr="00193E35" w14:paraId="19114460" w14:textId="77777777" w:rsidTr="00D30609">
        <w:trPr>
          <w:trHeight w:val="5492"/>
        </w:trPr>
        <w:tc>
          <w:tcPr>
            <w:tcW w:w="5000" w:type="pct"/>
            <w:hideMark/>
          </w:tcPr>
          <w:p w14:paraId="592F191E" w14:textId="77777777" w:rsidR="007F378D" w:rsidRPr="00193E35" w:rsidRDefault="007F378D" w:rsidP="005379F5">
            <w:pPr>
              <w:spacing w:after="240" w:line="312" w:lineRule="auto"/>
              <w:rPr>
                <w:rFonts w:ascii="Arial Narrow" w:hAnsi="Arial Narrow" w:cs="Tahoma"/>
                <w:lang w:bidi="en-AU"/>
              </w:rPr>
            </w:pPr>
            <w:r w:rsidRPr="00193E35">
              <w:rPr>
                <w:rFonts w:ascii="Arial Narrow" w:hAnsi="Arial Narrow" w:cs="Tahoma"/>
                <w:lang w:bidi="en-AU"/>
              </w:rPr>
              <w:t xml:space="preserve">Group T8 – Surgical operations </w:t>
            </w:r>
            <w:r w:rsidRPr="00193E35">
              <w:rPr>
                <w:rFonts w:ascii="Arial Narrow" w:hAnsi="Arial Narrow" w:cs="Tahoma"/>
                <w:lang w:bidi="en-AU"/>
              </w:rPr>
              <w:br/>
              <w:t>Subgroup 1 – General</w:t>
            </w:r>
          </w:p>
          <w:p w14:paraId="7EE37B12" w14:textId="77777777" w:rsidR="007F378D" w:rsidRPr="00193E35" w:rsidRDefault="007F378D" w:rsidP="005379F5">
            <w:pPr>
              <w:spacing w:after="240" w:line="312" w:lineRule="auto"/>
              <w:jc w:val="both"/>
              <w:rPr>
                <w:rFonts w:ascii="Arial Narrow" w:eastAsia="Calibri" w:hAnsi="Arial Narrow"/>
                <w:lang w:eastAsia="en-US"/>
              </w:rPr>
            </w:pPr>
            <w:r w:rsidRPr="00193E35">
              <w:rPr>
                <w:rFonts w:ascii="Arial Narrow" w:hAnsi="Arial Narrow" w:cs="Tahoma"/>
              </w:rPr>
              <w:t xml:space="preserve">Lipectomy, radical abdominoplasty (Pitanguy type or similar), with excision of skin and subcutaneous tissue, repair of musculoaponeurotic layer and transposition of umbilicus, not being a service associated with a service to which item 30165, 30168, 30171, 30172, 30177, 30179, 45530, 45564 or 45565 applies, </w:t>
            </w:r>
            <w:r w:rsidRPr="00193E35">
              <w:rPr>
                <w:rFonts w:ascii="Arial Narrow" w:hAnsi="Arial Narrow" w:cs="Tahoma"/>
                <w:strike/>
                <w:color w:val="FF0000"/>
              </w:rPr>
              <w:t>if</w:t>
            </w:r>
            <w:r w:rsidRPr="00193E35">
              <w:rPr>
                <w:rFonts w:ascii="Arial Narrow" w:eastAsia="Calibri" w:hAnsi="Arial Narrow"/>
                <w:lang w:eastAsia="en-US"/>
              </w:rPr>
              <w:t xml:space="preserve"> </w:t>
            </w:r>
            <w:r w:rsidRPr="00193E35">
              <w:rPr>
                <w:rFonts w:ascii="Arial Narrow" w:eastAsia="Calibri" w:hAnsi="Arial Narrow"/>
                <w:color w:val="FF0000"/>
                <w:lang w:val="en-US" w:eastAsia="en-US"/>
              </w:rPr>
              <w:t xml:space="preserve">and </w:t>
            </w:r>
            <w:r w:rsidRPr="00193E35">
              <w:rPr>
                <w:rFonts w:ascii="Arial Narrow" w:eastAsia="Calibri" w:hAnsi="Arial Narrow"/>
                <w:bCs/>
                <w:color w:val="FF0000"/>
                <w:lang w:val="en-US" w:eastAsia="en-US"/>
              </w:rPr>
              <w:t>where it can be demonstrated</w:t>
            </w:r>
            <w:r w:rsidRPr="00193E35">
              <w:rPr>
                <w:rFonts w:ascii="Arial Narrow" w:eastAsia="Calibri" w:hAnsi="Arial Narrow"/>
                <w:color w:val="FF0000"/>
                <w:lang w:val="en-US" w:eastAsia="en-US"/>
              </w:rPr>
              <w:t xml:space="preserve"> that one of the following conditions is present: </w:t>
            </w:r>
          </w:p>
          <w:p w14:paraId="77F5664F" w14:textId="77777777" w:rsidR="007F378D" w:rsidRPr="00193E35" w:rsidRDefault="007F378D" w:rsidP="007F378D">
            <w:pPr>
              <w:numPr>
                <w:ilvl w:val="0"/>
                <w:numId w:val="5"/>
              </w:numPr>
              <w:spacing w:after="200" w:line="276" w:lineRule="auto"/>
              <w:contextualSpacing/>
              <w:jc w:val="both"/>
              <w:rPr>
                <w:rFonts w:ascii="Arial Narrow" w:eastAsia="Calibri" w:hAnsi="Arial Narrow"/>
                <w:color w:val="FF0000"/>
                <w:lang w:val="en-US"/>
              </w:rPr>
            </w:pPr>
            <w:r w:rsidRPr="00193E35">
              <w:rPr>
                <w:rFonts w:ascii="Arial Narrow" w:eastAsia="Calibri" w:hAnsi="Arial Narrow"/>
                <w:color w:val="000000" w:themeColor="text1"/>
                <w:lang w:val="en-US"/>
              </w:rPr>
              <w:t>the patient has previously had a massive intra-abdominal or pelvic tumour surgically removed</w:t>
            </w:r>
            <w:r w:rsidRPr="00193E35">
              <w:rPr>
                <w:rFonts w:ascii="Arial Narrow" w:eastAsia="Calibri" w:hAnsi="Arial Narrow"/>
                <w:color w:val="FF0000"/>
                <w:lang w:val="en-US"/>
              </w:rPr>
              <w:t xml:space="preserve">; </w:t>
            </w:r>
          </w:p>
          <w:p w14:paraId="1C62DFCF" w14:textId="77777777" w:rsidR="007F378D" w:rsidRPr="00193E35" w:rsidRDefault="007F378D" w:rsidP="005379F5">
            <w:pPr>
              <w:spacing w:after="200" w:line="276" w:lineRule="auto"/>
              <w:ind w:left="1080"/>
              <w:contextualSpacing/>
              <w:rPr>
                <w:rFonts w:ascii="Arial Narrow" w:eastAsia="Calibri" w:hAnsi="Arial Narrow"/>
                <w:color w:val="FF0000"/>
                <w:lang w:val="en-US"/>
              </w:rPr>
            </w:pPr>
            <w:r w:rsidRPr="00193E35">
              <w:rPr>
                <w:rFonts w:ascii="Arial Narrow" w:eastAsia="Calibri" w:hAnsi="Arial Narrow"/>
                <w:color w:val="FF0000"/>
                <w:lang w:val="en-US"/>
              </w:rPr>
              <w:t>or</w:t>
            </w:r>
          </w:p>
          <w:p w14:paraId="1830CC76" w14:textId="77777777" w:rsidR="007F378D" w:rsidRPr="00193E35" w:rsidRDefault="007F378D" w:rsidP="007F378D">
            <w:pPr>
              <w:numPr>
                <w:ilvl w:val="0"/>
                <w:numId w:val="5"/>
              </w:numPr>
              <w:spacing w:after="200" w:line="276" w:lineRule="auto"/>
              <w:contextualSpacing/>
              <w:jc w:val="both"/>
              <w:rPr>
                <w:rFonts w:ascii="Arial Narrow" w:hAnsi="Arial Narrow"/>
                <w:color w:val="FF0000"/>
                <w:lang w:val="en-GB" w:eastAsia="en-GB"/>
              </w:rPr>
            </w:pPr>
            <w:r w:rsidRPr="00193E35">
              <w:rPr>
                <w:rFonts w:ascii="Arial Narrow" w:eastAsia="Calibri" w:hAnsi="Arial Narrow"/>
                <w:color w:val="FF0000"/>
                <w:lang w:eastAsia="en-US" w:bidi="en-AU"/>
              </w:rPr>
              <w:t>anterior abdominal wall defect that is a consequence of pregnancy and the patient must:</w:t>
            </w:r>
            <w:r w:rsidRPr="00193E35">
              <w:rPr>
                <w:rFonts w:ascii="Arial Narrow" w:eastAsia="Calibri" w:hAnsi="Arial Narrow"/>
                <w:color w:val="FF0000"/>
                <w:lang w:val="en-US" w:eastAsia="en-US"/>
              </w:rPr>
              <w:t xml:space="preserve"> </w:t>
            </w:r>
          </w:p>
          <w:p w14:paraId="2320908D" w14:textId="77777777" w:rsidR="007F378D" w:rsidRPr="00193E35" w:rsidRDefault="007F378D" w:rsidP="007F378D">
            <w:pPr>
              <w:numPr>
                <w:ilvl w:val="1"/>
                <w:numId w:val="6"/>
              </w:numPr>
              <w:spacing w:after="200" w:line="276" w:lineRule="auto"/>
              <w:contextualSpacing/>
              <w:jc w:val="both"/>
              <w:rPr>
                <w:rFonts w:ascii="Arial Narrow" w:hAnsi="Arial Narrow"/>
                <w:color w:val="FF0000"/>
                <w:lang w:val="en-GB" w:eastAsia="en-GB"/>
              </w:rPr>
            </w:pPr>
            <w:r w:rsidRPr="00193E35">
              <w:rPr>
                <w:rFonts w:ascii="Arial Narrow" w:eastAsia="Calibri" w:hAnsi="Arial Narrow"/>
                <w:color w:val="FF0000"/>
                <w:lang w:val="en-US" w:eastAsia="en-US"/>
              </w:rPr>
              <w:t xml:space="preserve">not </w:t>
            </w:r>
            <w:r w:rsidRPr="00193E35">
              <w:rPr>
                <w:rFonts w:ascii="Arial Narrow" w:eastAsia="Calibri" w:hAnsi="Arial Narrow"/>
                <w:color w:val="FF0000"/>
                <w:lang w:eastAsia="en-US" w:bidi="en-AU"/>
              </w:rPr>
              <w:t xml:space="preserve">be receiving this </w:t>
            </w:r>
            <w:r w:rsidRPr="00193E35">
              <w:rPr>
                <w:rFonts w:ascii="Arial Narrow" w:eastAsia="Calibri" w:hAnsi="Arial Narrow"/>
                <w:color w:val="FF0000"/>
                <w:lang w:val="en-US" w:eastAsia="en-US"/>
              </w:rPr>
              <w:t>service</w:t>
            </w:r>
            <w:r>
              <w:rPr>
                <w:rFonts w:ascii="Arial Narrow" w:eastAsia="Calibri" w:hAnsi="Arial Narrow"/>
                <w:color w:val="FF0000"/>
                <w:lang w:val="en-US" w:eastAsia="en-US"/>
              </w:rPr>
              <w:t xml:space="preserve"> </w:t>
            </w:r>
            <w:r w:rsidRPr="00193E35">
              <w:rPr>
                <w:rFonts w:ascii="Arial Narrow" w:eastAsia="Calibri" w:hAnsi="Arial Narrow"/>
                <w:color w:val="FF0000"/>
                <w:lang w:val="en-US" w:eastAsia="en-US"/>
              </w:rPr>
              <w:t>within 12 months after the end of a pregnancy (</w:t>
            </w:r>
            <w:r w:rsidRPr="00193E35">
              <w:rPr>
                <w:rFonts w:ascii="Arial Narrow" w:hAnsi="Arial Narrow"/>
                <w:color w:val="FF0000"/>
                <w:lang w:val="en-GB" w:eastAsia="en-GB"/>
              </w:rPr>
              <w:t>once in a lifetime);</w:t>
            </w:r>
          </w:p>
          <w:p w14:paraId="33564837" w14:textId="77777777" w:rsidR="007F378D" w:rsidRPr="00193E35" w:rsidRDefault="007F378D" w:rsidP="007F378D">
            <w:pPr>
              <w:numPr>
                <w:ilvl w:val="1"/>
                <w:numId w:val="6"/>
              </w:numPr>
              <w:spacing w:after="200" w:line="276" w:lineRule="auto"/>
              <w:contextualSpacing/>
              <w:jc w:val="both"/>
              <w:rPr>
                <w:rFonts w:ascii="Arial Narrow" w:hAnsi="Arial Narrow"/>
                <w:color w:val="FF0000"/>
                <w:lang w:val="en-GB" w:eastAsia="en-GB"/>
              </w:rPr>
            </w:pPr>
            <w:r w:rsidRPr="00193E35">
              <w:rPr>
                <w:rFonts w:ascii="Arial Narrow" w:hAnsi="Arial Narrow"/>
                <w:color w:val="FF0000"/>
                <w:lang w:val="en-GB" w:eastAsia="en-GB"/>
              </w:rPr>
              <w:t>have a diastasis of at least 3 cm (measured by appropriate pre-procedure diagnostic imaging); and</w:t>
            </w:r>
          </w:p>
          <w:p w14:paraId="101D3B67" w14:textId="77777777" w:rsidR="007F378D" w:rsidRPr="00193E35" w:rsidRDefault="007F378D" w:rsidP="007F378D">
            <w:pPr>
              <w:numPr>
                <w:ilvl w:val="1"/>
                <w:numId w:val="6"/>
              </w:numPr>
              <w:spacing w:after="200" w:line="276" w:lineRule="auto"/>
              <w:contextualSpacing/>
              <w:jc w:val="both"/>
              <w:rPr>
                <w:rFonts w:ascii="Arial Narrow" w:hAnsi="Arial Narrow"/>
                <w:color w:val="FF0000"/>
                <w:lang w:val="en-GB" w:eastAsia="en-GB"/>
              </w:rPr>
            </w:pPr>
            <w:r w:rsidRPr="00193E35">
              <w:rPr>
                <w:rFonts w:ascii="Arial Narrow" w:hAnsi="Arial Narrow"/>
                <w:color w:val="FF0000"/>
                <w:lang w:val="en-GB" w:eastAsia="en-GB"/>
              </w:rPr>
              <w:t xml:space="preserve">have documented functional symptoms (in the case notes) of lower back pain, combined with daily pain or discomfort at the site of the diastasis in the abdominal wall during functional use </w:t>
            </w:r>
          </w:p>
          <w:p w14:paraId="4C7C9497" w14:textId="77777777" w:rsidR="007F378D" w:rsidRPr="00193E35" w:rsidRDefault="007F378D" w:rsidP="005379F5">
            <w:pPr>
              <w:spacing w:after="240" w:line="312" w:lineRule="auto"/>
              <w:jc w:val="both"/>
              <w:rPr>
                <w:rFonts w:ascii="Arial Narrow" w:hAnsi="Arial Narrow" w:cs="Tahoma"/>
                <w:lang w:bidi="en-AU"/>
              </w:rPr>
            </w:pPr>
            <w:r w:rsidRPr="00193E35">
              <w:rPr>
                <w:rFonts w:ascii="Arial Narrow" w:hAnsi="Arial Narrow" w:cs="Tahoma"/>
                <w:lang w:bidi="en-AU"/>
              </w:rPr>
              <w:t xml:space="preserve"> (H)</w:t>
            </w:r>
          </w:p>
          <w:p w14:paraId="625D4B35" w14:textId="77777777" w:rsidR="007F378D" w:rsidRPr="00193E35" w:rsidRDefault="007F378D" w:rsidP="005379F5">
            <w:pPr>
              <w:spacing w:after="240" w:line="312" w:lineRule="auto"/>
              <w:jc w:val="both"/>
              <w:rPr>
                <w:rFonts w:ascii="Arial Narrow" w:hAnsi="Arial Narrow" w:cs="Tahoma"/>
                <w:lang w:bidi="en-AU"/>
              </w:rPr>
            </w:pPr>
            <w:r w:rsidRPr="00193E35">
              <w:rPr>
                <w:rFonts w:ascii="Arial Narrow" w:hAnsi="Arial Narrow" w:cs="Tahoma"/>
                <w:lang w:bidi="en-AU"/>
              </w:rPr>
              <w:t>Multiple Operation Rule (Anaes.) (Assist.)</w:t>
            </w:r>
          </w:p>
          <w:p w14:paraId="301B0EBD" w14:textId="17A52702" w:rsidR="007F378D" w:rsidRPr="00193E35" w:rsidRDefault="007F378D" w:rsidP="00D30609">
            <w:pPr>
              <w:tabs>
                <w:tab w:val="left" w:pos="1485"/>
              </w:tabs>
              <w:spacing w:after="240" w:line="312" w:lineRule="auto"/>
              <w:jc w:val="both"/>
              <w:rPr>
                <w:rFonts w:ascii="Arial Narrow" w:hAnsi="Arial Narrow" w:cs="Tahoma"/>
                <w:lang w:bidi="en-AU"/>
              </w:rPr>
            </w:pPr>
            <w:r w:rsidRPr="00193E35">
              <w:rPr>
                <w:rFonts w:ascii="Arial Narrow" w:hAnsi="Arial Narrow" w:cs="Tahoma"/>
                <w:lang w:bidi="en-AU"/>
              </w:rPr>
              <w:t>MBS Fee: $985.70   Benefit: 75% = $739.30</w:t>
            </w:r>
          </w:p>
        </w:tc>
      </w:tr>
    </w:tbl>
    <w:p w14:paraId="4678D6F0" w14:textId="77777777" w:rsidR="007F378D" w:rsidRDefault="007F378D" w:rsidP="007F378D">
      <w:pPr>
        <w:pStyle w:val="Tablecaption"/>
        <w:rPr>
          <w:sz w:val="18"/>
        </w:rPr>
      </w:pPr>
      <w:r>
        <w:rPr>
          <w:sz w:val="18"/>
        </w:rPr>
        <w:t>Table 1, p17 of the CA</w:t>
      </w:r>
    </w:p>
    <w:p w14:paraId="7DE07BF3" w14:textId="60A851D2" w:rsidR="00872B36" w:rsidRPr="00D30609" w:rsidRDefault="007F378D" w:rsidP="00D30609">
      <w:pPr>
        <w:spacing w:before="240"/>
        <w:rPr>
          <w:iCs/>
          <w:szCs w:val="24"/>
        </w:rPr>
      </w:pPr>
      <w:r>
        <w:rPr>
          <w:szCs w:val="24"/>
        </w:rPr>
        <w:t xml:space="preserve">An alternative item descriptor was proposed </w:t>
      </w:r>
      <w:r w:rsidR="00A737E5">
        <w:rPr>
          <w:szCs w:val="24"/>
        </w:rPr>
        <w:t>during the assessment</w:t>
      </w:r>
      <w:r>
        <w:rPr>
          <w:szCs w:val="24"/>
        </w:rPr>
        <w:t>.</w:t>
      </w:r>
      <w:r w:rsidRPr="00D05B91">
        <w:rPr>
          <w:i/>
          <w:iCs/>
          <w:szCs w:val="24"/>
        </w:rPr>
        <w:t xml:space="preserve"> </w:t>
      </w:r>
      <w:r w:rsidRPr="00D05B91">
        <w:rPr>
          <w:iCs/>
          <w:szCs w:val="24"/>
        </w:rPr>
        <w:t>The Critique stated that the proposed alternative descriptor in</w:t>
      </w:r>
      <w:r>
        <w:rPr>
          <w:iCs/>
          <w:szCs w:val="24"/>
        </w:rPr>
        <w:t xml:space="preserve"> </w:t>
      </w:r>
      <w:r w:rsidR="00A737E5">
        <w:rPr>
          <w:iCs/>
          <w:szCs w:val="24"/>
        </w:rPr>
        <w:t xml:space="preserve">Table </w:t>
      </w:r>
      <w:r>
        <w:rPr>
          <w:iCs/>
          <w:szCs w:val="24"/>
        </w:rPr>
        <w:t>2</w:t>
      </w:r>
      <w:r w:rsidRPr="00D05B91">
        <w:rPr>
          <w:iCs/>
          <w:szCs w:val="24"/>
        </w:rPr>
        <w:t xml:space="preserve"> </w:t>
      </w:r>
      <w:r w:rsidR="00A737E5">
        <w:rPr>
          <w:iCs/>
          <w:szCs w:val="24"/>
        </w:rPr>
        <w:t>would</w:t>
      </w:r>
      <w:r w:rsidR="00872B36">
        <w:rPr>
          <w:iCs/>
          <w:szCs w:val="24"/>
        </w:rPr>
        <w:t xml:space="preserve"> </w:t>
      </w:r>
      <w:r w:rsidRPr="00D05B91">
        <w:rPr>
          <w:iCs/>
          <w:szCs w:val="24"/>
        </w:rPr>
        <w:t xml:space="preserve">make it easier to monitor usage, as it </w:t>
      </w:r>
      <w:r w:rsidR="00A737E5">
        <w:rPr>
          <w:iCs/>
          <w:szCs w:val="24"/>
        </w:rPr>
        <w:t>would</w:t>
      </w:r>
      <w:r w:rsidRPr="00D05B91">
        <w:rPr>
          <w:iCs/>
          <w:szCs w:val="24"/>
        </w:rPr>
        <w:t xml:space="preserve"> separate pregnancy-related treatment from treatment of tumours</w:t>
      </w:r>
      <w:r w:rsidR="00A737E5">
        <w:rPr>
          <w:iCs/>
          <w:szCs w:val="24"/>
        </w:rPr>
        <w:t>,</w:t>
      </w:r>
      <w:r w:rsidR="00953A02">
        <w:rPr>
          <w:iCs/>
          <w:szCs w:val="24"/>
        </w:rPr>
        <w:t xml:space="preserve"> as suggested by PASC. </w:t>
      </w:r>
      <w:r w:rsidRPr="00D05B91">
        <w:rPr>
          <w:iCs/>
          <w:szCs w:val="24"/>
        </w:rPr>
        <w:t xml:space="preserve">It </w:t>
      </w:r>
      <w:r w:rsidR="00A737E5">
        <w:rPr>
          <w:iCs/>
          <w:szCs w:val="24"/>
        </w:rPr>
        <w:t>would</w:t>
      </w:r>
      <w:r w:rsidRPr="00D05B91">
        <w:rPr>
          <w:iCs/>
          <w:szCs w:val="24"/>
        </w:rPr>
        <w:t xml:space="preserve"> also remove this service f</w:t>
      </w:r>
      <w:r w:rsidR="00EA3134">
        <w:rPr>
          <w:iCs/>
          <w:szCs w:val="24"/>
        </w:rPr>
        <w:t>rom the lipectomy item numbers.</w:t>
      </w:r>
      <w:bookmarkStart w:id="1" w:name="_Ref4590313"/>
      <w:bookmarkStart w:id="2" w:name="_Toc4684536"/>
      <w:bookmarkStart w:id="3" w:name="_Toc8225770"/>
      <w:r w:rsidR="00872B36">
        <w:br w:type="page"/>
      </w:r>
    </w:p>
    <w:p w14:paraId="04290E2B" w14:textId="6EEB5273" w:rsidR="007F378D" w:rsidRPr="00D30609" w:rsidDel="00A134DA" w:rsidRDefault="007F378D" w:rsidP="00D30609">
      <w:pPr>
        <w:rPr>
          <w:rFonts w:ascii="Arial Narrow" w:hAnsi="Arial Narrow"/>
          <w:b/>
          <w:sz w:val="20"/>
        </w:rPr>
      </w:pPr>
      <w:r w:rsidRPr="00D30609" w:rsidDel="00A134DA">
        <w:rPr>
          <w:rFonts w:ascii="Arial Narrow" w:hAnsi="Arial Narrow"/>
          <w:b/>
          <w:sz w:val="20"/>
        </w:rPr>
        <w:lastRenderedPageBreak/>
        <w:t xml:space="preserve">Table </w:t>
      </w:r>
      <w:r w:rsidRPr="00D30609">
        <w:rPr>
          <w:rFonts w:ascii="Arial Narrow" w:hAnsi="Arial Narrow"/>
          <w:b/>
          <w:sz w:val="20"/>
        </w:rPr>
        <w:fldChar w:fldCharType="begin"/>
      </w:r>
      <w:r w:rsidRPr="00D30609">
        <w:rPr>
          <w:rFonts w:ascii="Arial Narrow" w:hAnsi="Arial Narrow"/>
          <w:b/>
          <w:sz w:val="20"/>
        </w:rPr>
        <w:instrText xml:space="preserve"> SEQ Table \* ARABIC </w:instrText>
      </w:r>
      <w:r w:rsidRPr="00D30609">
        <w:rPr>
          <w:rFonts w:ascii="Arial Narrow" w:hAnsi="Arial Narrow"/>
          <w:b/>
          <w:sz w:val="20"/>
        </w:rPr>
        <w:fldChar w:fldCharType="separate"/>
      </w:r>
      <w:r w:rsidR="00931186" w:rsidRPr="00D30609">
        <w:rPr>
          <w:rFonts w:ascii="Arial Narrow" w:hAnsi="Arial Narrow"/>
          <w:b/>
          <w:sz w:val="20"/>
        </w:rPr>
        <w:t>2</w:t>
      </w:r>
      <w:r w:rsidRPr="00D30609">
        <w:rPr>
          <w:rFonts w:ascii="Arial Narrow" w:hAnsi="Arial Narrow"/>
          <w:b/>
          <w:sz w:val="20"/>
        </w:rPr>
        <w:fldChar w:fldCharType="end"/>
      </w:r>
      <w:bookmarkEnd w:id="1"/>
      <w:r w:rsidRPr="00D30609">
        <w:rPr>
          <w:rFonts w:ascii="Arial Narrow" w:hAnsi="Arial Narrow"/>
          <w:b/>
          <w:sz w:val="20"/>
        </w:rPr>
        <w:t xml:space="preserve">: </w:t>
      </w:r>
      <w:r w:rsidRPr="00D30609" w:rsidDel="00A134DA">
        <w:rPr>
          <w:rFonts w:ascii="Arial Narrow" w:hAnsi="Arial Narrow"/>
          <w:b/>
          <w:sz w:val="20"/>
        </w:rPr>
        <w:t xml:space="preserve">Proposed </w:t>
      </w:r>
      <w:r w:rsidRPr="00D30609">
        <w:rPr>
          <w:rFonts w:ascii="Arial Narrow" w:hAnsi="Arial Narrow"/>
          <w:b/>
          <w:sz w:val="20"/>
        </w:rPr>
        <w:t xml:space="preserve">alternative </w:t>
      </w:r>
      <w:r w:rsidRPr="00D30609" w:rsidDel="00A134DA">
        <w:rPr>
          <w:rFonts w:ascii="Arial Narrow" w:hAnsi="Arial Narrow"/>
          <w:b/>
          <w:sz w:val="20"/>
        </w:rPr>
        <w:t>MBS item descriptor</w:t>
      </w:r>
      <w:bookmarkEnd w:id="2"/>
      <w:bookmarkEnd w:id="3"/>
    </w:p>
    <w:tbl>
      <w:tblPr>
        <w:tblStyle w:val="TableGrid1"/>
        <w:tblW w:w="5000" w:type="pct"/>
        <w:tblLook w:val="04A0" w:firstRow="1" w:lastRow="0" w:firstColumn="1" w:lastColumn="0" w:noHBand="0" w:noVBand="1"/>
        <w:tblDescription w:val="Proposed alternative MBS item descriptor"/>
      </w:tblPr>
      <w:tblGrid>
        <w:gridCol w:w="9016"/>
      </w:tblGrid>
      <w:tr w:rsidR="007F378D" w:rsidRPr="00D33FC3" w14:paraId="506804FC" w14:textId="77777777" w:rsidTr="00D30609">
        <w:trPr>
          <w:tblHeader/>
        </w:trPr>
        <w:tc>
          <w:tcPr>
            <w:tcW w:w="5000" w:type="pct"/>
          </w:tcPr>
          <w:p w14:paraId="36114A9C" w14:textId="77777777" w:rsidR="007F378D" w:rsidRPr="00D33FC3" w:rsidRDefault="007F378D" w:rsidP="005379F5">
            <w:pPr>
              <w:pStyle w:val="Tabletextright"/>
              <w:rPr>
                <w:sz w:val="24"/>
              </w:rPr>
            </w:pPr>
            <w:r>
              <w:rPr>
                <w:b/>
              </w:rPr>
              <w:t>Category 3017X – Category 3 – Therapeutic Procedures</w:t>
            </w:r>
          </w:p>
        </w:tc>
      </w:tr>
      <w:tr w:rsidR="007F378D" w:rsidRPr="00C03585" w14:paraId="742E3DA9" w14:textId="77777777" w:rsidTr="00D30609">
        <w:tc>
          <w:tcPr>
            <w:tcW w:w="5000" w:type="pct"/>
          </w:tcPr>
          <w:p w14:paraId="419407DF" w14:textId="77777777" w:rsidR="007F378D" w:rsidRPr="003169A2" w:rsidRDefault="007F378D" w:rsidP="005379F5">
            <w:pPr>
              <w:pStyle w:val="Tabletext"/>
              <w:rPr>
                <w:snapToGrid w:val="0"/>
              </w:rPr>
            </w:pPr>
            <w:r w:rsidRPr="003169A2">
              <w:rPr>
                <w:snapToGrid w:val="0"/>
              </w:rPr>
              <w:t>Group T8 – surgical operations</w:t>
            </w:r>
          </w:p>
          <w:p w14:paraId="56DAC27D" w14:textId="236A9117" w:rsidR="007F378D" w:rsidRPr="003169A2" w:rsidRDefault="00D30609" w:rsidP="00D30609">
            <w:pPr>
              <w:pStyle w:val="Tabletext"/>
              <w:spacing w:after="240"/>
              <w:rPr>
                <w:snapToGrid w:val="0"/>
              </w:rPr>
            </w:pPr>
            <w:r>
              <w:rPr>
                <w:snapToGrid w:val="0"/>
              </w:rPr>
              <w:t>Subgroup 1 – general</w:t>
            </w:r>
          </w:p>
          <w:p w14:paraId="216420C9" w14:textId="77777777" w:rsidR="007F378D" w:rsidRPr="003169A2" w:rsidRDefault="007F378D" w:rsidP="005379F5">
            <w:pPr>
              <w:pStyle w:val="Tabletext"/>
              <w:rPr>
                <w:snapToGrid w:val="0"/>
              </w:rPr>
            </w:pPr>
            <w:r w:rsidRPr="003169A2">
              <w:rPr>
                <w:snapToGrid w:val="0"/>
              </w:rPr>
              <w:t xml:space="preserve">Lipectomy, radical abdominoplasty (Pitanguy type or similar), with excision of skin and subcutaneous tissue, repair of musculoaponeurotic layer and transposition of umbilicus, not being a service associated with a service to which item 30165, 30168, 30171, 30172, 30176, 30177, 30179, 45530, 45564 or 45565 applies, and where it can be demonstrated, by pre-procedure imaging, that the patient has an abdominal wall defect as a consequence of pregnancy and must: </w:t>
            </w:r>
          </w:p>
          <w:p w14:paraId="194A7DAA" w14:textId="77777777" w:rsidR="007F378D" w:rsidRPr="003169A2" w:rsidRDefault="007F378D" w:rsidP="005379F5">
            <w:pPr>
              <w:pStyle w:val="Tabletext"/>
              <w:rPr>
                <w:snapToGrid w:val="0"/>
              </w:rPr>
            </w:pPr>
            <w:r>
              <w:rPr>
                <w:snapToGrid w:val="0"/>
              </w:rPr>
              <w:t>a</w:t>
            </w:r>
            <w:r w:rsidRPr="003169A2">
              <w:rPr>
                <w:snapToGrid w:val="0"/>
              </w:rPr>
              <w:t>)</w:t>
            </w:r>
            <w:r w:rsidRPr="003169A2">
              <w:rPr>
                <w:snapToGrid w:val="0"/>
              </w:rPr>
              <w:tab/>
              <w:t xml:space="preserve">not be receiving this service </w:t>
            </w:r>
            <w:r>
              <w:rPr>
                <w:snapToGrid w:val="0"/>
              </w:rPr>
              <w:t xml:space="preserve">(once per lifetime) </w:t>
            </w:r>
            <w:r w:rsidRPr="003169A2">
              <w:rPr>
                <w:snapToGrid w:val="0"/>
              </w:rPr>
              <w:t>within 12 months after the end of a pregnancy;</w:t>
            </w:r>
          </w:p>
          <w:p w14:paraId="59C3908A" w14:textId="77777777" w:rsidR="007F378D" w:rsidRPr="003169A2" w:rsidRDefault="007F378D" w:rsidP="005379F5">
            <w:pPr>
              <w:pStyle w:val="Tabletext"/>
              <w:rPr>
                <w:snapToGrid w:val="0"/>
              </w:rPr>
            </w:pPr>
            <w:r>
              <w:rPr>
                <w:snapToGrid w:val="0"/>
              </w:rPr>
              <w:t>b</w:t>
            </w:r>
            <w:r w:rsidRPr="003169A2">
              <w:rPr>
                <w:snapToGrid w:val="0"/>
              </w:rPr>
              <w:t>)</w:t>
            </w:r>
            <w:r w:rsidRPr="003169A2">
              <w:rPr>
                <w:snapToGrid w:val="0"/>
              </w:rPr>
              <w:tab/>
              <w:t>have a diastasis of at least 3cm (measured by appropriate diagnostic imaging); and</w:t>
            </w:r>
          </w:p>
          <w:p w14:paraId="3E8CD74C" w14:textId="77777777" w:rsidR="00F437F9" w:rsidRDefault="007F378D" w:rsidP="005379F5">
            <w:pPr>
              <w:pStyle w:val="Tabletext"/>
              <w:rPr>
                <w:snapToGrid w:val="0"/>
              </w:rPr>
            </w:pPr>
            <w:r>
              <w:rPr>
                <w:snapToGrid w:val="0"/>
              </w:rPr>
              <w:t>c</w:t>
            </w:r>
            <w:r w:rsidRPr="003169A2">
              <w:rPr>
                <w:snapToGrid w:val="0"/>
              </w:rPr>
              <w:t>)</w:t>
            </w:r>
            <w:r w:rsidR="00F437F9" w:rsidRPr="003169A2">
              <w:rPr>
                <w:snapToGrid w:val="0"/>
              </w:rPr>
              <w:t xml:space="preserve"> </w:t>
            </w:r>
            <w:r w:rsidR="00F437F9" w:rsidRPr="003169A2">
              <w:rPr>
                <w:snapToGrid w:val="0"/>
              </w:rPr>
              <w:tab/>
            </w:r>
            <w:r w:rsidRPr="003169A2">
              <w:rPr>
                <w:snapToGrid w:val="0"/>
              </w:rPr>
              <w:t>have documented functional symptoms (in the case notes) of lower back pain, combined with daily pain or</w:t>
            </w:r>
          </w:p>
          <w:p w14:paraId="3C2C5E4B" w14:textId="77777777" w:rsidR="007F378D" w:rsidRPr="003169A2" w:rsidRDefault="00F437F9" w:rsidP="005379F5">
            <w:pPr>
              <w:pStyle w:val="Tabletext"/>
              <w:rPr>
                <w:snapToGrid w:val="0"/>
              </w:rPr>
            </w:pPr>
            <w:r w:rsidRPr="003169A2">
              <w:rPr>
                <w:snapToGrid w:val="0"/>
              </w:rPr>
              <w:tab/>
            </w:r>
            <w:r w:rsidR="007F378D" w:rsidRPr="003169A2">
              <w:rPr>
                <w:snapToGrid w:val="0"/>
              </w:rPr>
              <w:t>discomfort at the site of the diastasis in the abdominal wall during functional use</w:t>
            </w:r>
          </w:p>
          <w:p w14:paraId="0D2A3B5D" w14:textId="77777777" w:rsidR="007F378D" w:rsidRDefault="007F378D" w:rsidP="005379F5">
            <w:pPr>
              <w:pStyle w:val="Tabletext"/>
              <w:rPr>
                <w:snapToGrid w:val="0"/>
              </w:rPr>
            </w:pPr>
            <w:r w:rsidRPr="003169A2">
              <w:rPr>
                <w:snapToGrid w:val="0"/>
              </w:rPr>
              <w:t>(H)</w:t>
            </w:r>
          </w:p>
          <w:p w14:paraId="283429A4" w14:textId="77777777" w:rsidR="007F378D" w:rsidRDefault="007F378D" w:rsidP="005379F5">
            <w:pPr>
              <w:pStyle w:val="Tabletext"/>
              <w:rPr>
                <w:snapToGrid w:val="0"/>
                <w:sz w:val="24"/>
              </w:rPr>
            </w:pPr>
            <w:r w:rsidRPr="00C4543F">
              <w:rPr>
                <w:snapToGrid w:val="0"/>
              </w:rPr>
              <w:t>Multiple Operation Rule (Anaes.) (Assist.)</w:t>
            </w:r>
          </w:p>
        </w:tc>
      </w:tr>
      <w:tr w:rsidR="007F378D" w:rsidRPr="00C03585" w14:paraId="03B0AE40" w14:textId="77777777" w:rsidTr="00D30609">
        <w:tc>
          <w:tcPr>
            <w:tcW w:w="5000" w:type="pct"/>
          </w:tcPr>
          <w:p w14:paraId="2D00685E" w14:textId="65F32266" w:rsidR="007F378D" w:rsidRDefault="007F378D" w:rsidP="005379F5">
            <w:pPr>
              <w:pStyle w:val="Tabletext"/>
              <w:rPr>
                <w:sz w:val="24"/>
              </w:rPr>
            </w:pPr>
            <w:r>
              <w:t>Fee: $985.70</w:t>
            </w:r>
            <w:r w:rsidR="00D30609">
              <w:t xml:space="preserve">   </w:t>
            </w:r>
            <w:r>
              <w:t>Benefit: 75% = $739.30</w:t>
            </w:r>
          </w:p>
        </w:tc>
      </w:tr>
    </w:tbl>
    <w:p w14:paraId="2C198765" w14:textId="77777777" w:rsidR="007F378D" w:rsidRPr="007F378D" w:rsidRDefault="007F378D" w:rsidP="007F378D">
      <w:pPr>
        <w:pStyle w:val="Tablecaption"/>
        <w:spacing w:after="240"/>
      </w:pPr>
      <w:r>
        <w:t xml:space="preserve">Source: </w:t>
      </w:r>
      <w:r w:rsidRPr="00C03585">
        <w:t>Table</w:t>
      </w:r>
      <w:r>
        <w:t xml:space="preserve"> 12</w:t>
      </w:r>
      <w:r w:rsidRPr="00C03585">
        <w:t>, p</w:t>
      </w:r>
      <w:r>
        <w:t xml:space="preserve">37 </w:t>
      </w:r>
      <w:r w:rsidRPr="00C03585">
        <w:t xml:space="preserve">of the </w:t>
      </w:r>
      <w:r>
        <w:t>CA</w:t>
      </w:r>
    </w:p>
    <w:p w14:paraId="1613F148" w14:textId="2DE24332" w:rsidR="00E24D6C" w:rsidRPr="00331137" w:rsidRDefault="00953A02" w:rsidP="00D30609">
      <w:pPr>
        <w:spacing w:after="240"/>
      </w:pPr>
      <w:r>
        <w:t>F</w:t>
      </w:r>
      <w:r w:rsidR="00E24D6C" w:rsidRPr="00331137">
        <w:t xml:space="preserve">our societies were contacted in the targeted consultation. The National Association of Specialist Obstetricians &amp; Gynaecologists was the only organisation that replied, and </w:t>
      </w:r>
      <w:r w:rsidR="00EA3134">
        <w:t>they supported the application.</w:t>
      </w:r>
    </w:p>
    <w:p w14:paraId="4F79FBDF" w14:textId="27E3C1C8" w:rsidR="00E24D6C" w:rsidRDefault="00E24D6C" w:rsidP="00D30609">
      <w:pPr>
        <w:spacing w:after="240"/>
      </w:pPr>
      <w:r w:rsidRPr="00331137">
        <w:t>One plastic surgeon also expressed support for the application, but that individual is also the contact person named on the application (on behalf of the Australian Society of Plastic Surgeons).</w:t>
      </w:r>
    </w:p>
    <w:p w14:paraId="15C08829" w14:textId="7DD65411" w:rsidR="00E24D6C" w:rsidRDefault="00953A02" w:rsidP="00E24D6C">
      <w:r>
        <w:t>M</w:t>
      </w:r>
      <w:r w:rsidR="00E24D6C" w:rsidRPr="00331137">
        <w:t xml:space="preserve">ore than 10 additional survey responses were received, mostly from women (some received surgery or would like access to surgery) and that all were supportive. They </w:t>
      </w:r>
      <w:r w:rsidR="00A737E5">
        <w:t>described</w:t>
      </w:r>
      <w:r w:rsidR="00A737E5" w:rsidRPr="00331137">
        <w:t xml:space="preserve"> </w:t>
      </w:r>
      <w:r w:rsidR="00E24D6C" w:rsidRPr="00331137">
        <w:t xml:space="preserve">improvements in quality of life </w:t>
      </w:r>
      <w:r w:rsidR="00A737E5">
        <w:t xml:space="preserve">after the procedure, </w:t>
      </w:r>
      <w:r w:rsidR="00E24D6C" w:rsidRPr="00331137">
        <w:t xml:space="preserve">and </w:t>
      </w:r>
      <w:r w:rsidR="00A737E5">
        <w:t xml:space="preserve">cited </w:t>
      </w:r>
      <w:r w:rsidR="00E24D6C" w:rsidRPr="00331137">
        <w:t xml:space="preserve">cost as </w:t>
      </w:r>
      <w:r w:rsidR="00A737E5">
        <w:t xml:space="preserve">a </w:t>
      </w:r>
      <w:r w:rsidR="00E24D6C" w:rsidRPr="00331137">
        <w:t>major barrier to accessing the service.</w:t>
      </w:r>
    </w:p>
    <w:p w14:paraId="163440D3" w14:textId="77777777" w:rsidR="00386A5B" w:rsidRPr="00F715D1" w:rsidRDefault="00386A5B" w:rsidP="00386A5B">
      <w:pPr>
        <w:pStyle w:val="Heading1"/>
      </w:pPr>
      <w:r w:rsidRPr="00F715D1">
        <w:t>Proposed intervention’s place in clinical management</w:t>
      </w:r>
    </w:p>
    <w:p w14:paraId="4FE8B5CF" w14:textId="27E26FA2" w:rsidR="00E24D6C" w:rsidRPr="00D30609" w:rsidRDefault="00E24D6C" w:rsidP="00D30609">
      <w:pPr>
        <w:spacing w:after="240"/>
      </w:pPr>
      <w:r w:rsidRPr="00331137">
        <w:t xml:space="preserve">Currently, there are no MBS-funded treatment options for patients with </w:t>
      </w:r>
      <w:r w:rsidR="00A737E5">
        <w:t>post-</w:t>
      </w:r>
      <w:r w:rsidRPr="00331137">
        <w:t>pregnancy rectus diastasis who are nonresponsive to conservative treatments (such as physiotherapy, exercise, lifestyle changes and painkillers). In current clinical practice, these patients can be offered best supportive care to manage symptoms</w:t>
      </w:r>
      <w:r w:rsidR="00BB3E5A">
        <w:t>, with or without these conservative treatments</w:t>
      </w:r>
      <w:r>
        <w:t xml:space="preserve"> (Figure 1).</w:t>
      </w:r>
    </w:p>
    <w:p w14:paraId="120B0158" w14:textId="4E9A676B" w:rsidR="00EA3134" w:rsidRDefault="00E24D6C" w:rsidP="00D30609">
      <w:pPr>
        <w:spacing w:after="240"/>
      </w:pPr>
      <w:r w:rsidRPr="00331137">
        <w:t>I</w:t>
      </w:r>
      <w:r w:rsidR="00A737E5">
        <w:t>t is claimed that i</w:t>
      </w:r>
      <w:r w:rsidRPr="00331137">
        <w:t>f abdominoplasty with surgical repair of the rectus diastasis was reinstated for this patient group, patients who fail to respond to conservative treatment would be given the option to either manage their functional and pain symptoms with best supportive care or undergo curative surgery with abdominoplasty</w:t>
      </w:r>
      <w:r w:rsidR="00EA3134">
        <w:t xml:space="preserve"> (Figure 2).</w:t>
      </w:r>
    </w:p>
    <w:p w14:paraId="565E52A7" w14:textId="5F90C394" w:rsidR="00E24D6C" w:rsidRDefault="00E24D6C" w:rsidP="00D30609">
      <w:pPr>
        <w:spacing w:after="240"/>
      </w:pPr>
      <w:r>
        <w:t xml:space="preserve">The </w:t>
      </w:r>
      <w:r w:rsidR="00D76DBB">
        <w:t xml:space="preserve">application </w:t>
      </w:r>
      <w:r w:rsidRPr="00331137">
        <w:t>noted that whilst physiotherapy and/or exercise is commonly used to treat rectus diastasis, it is used much earlier in treatment than abdominoplasty.</w:t>
      </w:r>
      <w:r w:rsidRPr="00D6176D">
        <w:t xml:space="preserve"> </w:t>
      </w:r>
      <w:r w:rsidRPr="00331137">
        <w:t>The applicant stated that patients generally only consider surgery after they have exhausted all other treatment options (i.e. patients have already tried and failed multiple exercise/physiotherapy programs).</w:t>
      </w:r>
    </w:p>
    <w:p w14:paraId="7B95AB1A" w14:textId="77777777" w:rsidR="00E24D6C" w:rsidRDefault="00E24D6C" w:rsidP="00872B36">
      <w:pPr>
        <w:spacing w:after="240"/>
      </w:pPr>
      <w:r w:rsidRPr="00F96BF9">
        <w:rPr>
          <w:color w:val="000000" w:themeColor="text1"/>
        </w:rPr>
        <w:t xml:space="preserve">The Critique stated that the current clinical practice guidelines were considered appropriate. However, the Critique stated that the proposed clinical algorithm was missing initial surgery </w:t>
      </w:r>
      <w:r w:rsidRPr="00F96BF9">
        <w:rPr>
          <w:color w:val="000000" w:themeColor="text1"/>
        </w:rPr>
        <w:lastRenderedPageBreak/>
        <w:t xml:space="preserve">consultation and any further consultation (MBS codes 104 and 105, respectively). </w:t>
      </w:r>
      <w:r w:rsidRPr="003B0E74">
        <w:t>This consultation would assess the eligibility for use of the proposed MBS item.</w:t>
      </w:r>
    </w:p>
    <w:p w14:paraId="37D20DDD" w14:textId="77777777" w:rsidR="00E24D6C" w:rsidRPr="00843B35" w:rsidRDefault="00E24D6C" w:rsidP="00E24D6C">
      <w:pPr>
        <w:jc w:val="both"/>
        <w:rPr>
          <w:rFonts w:ascii="Calibri" w:hAnsi="Calibri" w:cs="Tahoma"/>
          <w:szCs w:val="24"/>
        </w:rPr>
      </w:pPr>
      <w:r w:rsidRPr="00843B35">
        <w:rPr>
          <w:rFonts w:ascii="Calibri" w:hAnsi="Calibri" w:cs="Tahoma"/>
          <w:noProof/>
          <w:szCs w:val="24"/>
        </w:rPr>
        <w:drawing>
          <wp:inline distT="0" distB="0" distL="0" distR="0" wp14:anchorId="1CC4E1FF" wp14:editId="481EBA5E">
            <wp:extent cx="5733415" cy="5619115"/>
            <wp:effectExtent l="19050" t="19050" r="19050" b="10160"/>
            <wp:docPr id="3" name="Picture 3" descr="GP = general practitioner; RD = rectus diastasis &#10;" title="Current available treatment options for patients with pregnancy acquired rectus diastasi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3415" cy="5619115"/>
                    </a:xfrm>
                    <a:prstGeom prst="rect">
                      <a:avLst/>
                    </a:prstGeom>
                    <a:noFill/>
                    <a:ln w="9525" cmpd="sng">
                      <a:solidFill>
                        <a:srgbClr val="000000"/>
                      </a:solidFill>
                      <a:miter lim="800000"/>
                      <a:headEnd/>
                      <a:tailEnd/>
                    </a:ln>
                    <a:effectLst/>
                  </pic:spPr>
                </pic:pic>
              </a:graphicData>
            </a:graphic>
          </wp:inline>
        </w:drawing>
      </w:r>
    </w:p>
    <w:p w14:paraId="106AB639" w14:textId="77777777" w:rsidR="00E24D6C" w:rsidRPr="00D30609" w:rsidRDefault="00E24D6C" w:rsidP="00D30609">
      <w:pPr>
        <w:rPr>
          <w:rFonts w:ascii="Arial Narrow" w:hAnsi="Arial Narrow"/>
          <w:b/>
          <w:sz w:val="20"/>
        </w:rPr>
      </w:pPr>
      <w:bookmarkStart w:id="4" w:name="_Ref379455005"/>
      <w:bookmarkStart w:id="5" w:name="_Toc381969891"/>
      <w:bookmarkStart w:id="6" w:name="_Ref379454995"/>
      <w:bookmarkStart w:id="7" w:name="_Toc8225866"/>
      <w:bookmarkStart w:id="8" w:name="_Toc4509566"/>
      <w:r w:rsidRPr="00D30609">
        <w:rPr>
          <w:rFonts w:ascii="Arial Narrow" w:hAnsi="Arial Narrow"/>
          <w:b/>
          <w:sz w:val="20"/>
        </w:rPr>
        <w:t xml:space="preserve">Figure </w:t>
      </w:r>
      <w:bookmarkEnd w:id="4"/>
      <w:bookmarkEnd w:id="5"/>
      <w:bookmarkEnd w:id="6"/>
      <w:r w:rsidRPr="00D30609">
        <w:rPr>
          <w:rFonts w:ascii="Arial Narrow" w:hAnsi="Arial Narrow"/>
          <w:b/>
          <w:sz w:val="20"/>
        </w:rPr>
        <w:t>1: Current available treatment options for patients with pregnancy-acquired rectus diastasis</w:t>
      </w:r>
      <w:bookmarkEnd w:id="7"/>
      <w:r w:rsidRPr="00D30609">
        <w:rPr>
          <w:rFonts w:ascii="Arial Narrow" w:hAnsi="Arial Narrow"/>
          <w:b/>
          <w:sz w:val="20"/>
        </w:rPr>
        <w:t xml:space="preserve"> </w:t>
      </w:r>
      <w:bookmarkEnd w:id="8"/>
    </w:p>
    <w:p w14:paraId="68DD6180" w14:textId="77777777" w:rsidR="00E24D6C" w:rsidRPr="00843B35" w:rsidRDefault="00E24D6C" w:rsidP="00E24D6C">
      <w:pPr>
        <w:widowControl w:val="0"/>
        <w:spacing w:after="120"/>
        <w:jc w:val="both"/>
        <w:rPr>
          <w:rFonts w:ascii="Arial Narrow" w:hAnsi="Arial Narrow" w:cs="Arial"/>
          <w:snapToGrid w:val="0"/>
          <w:sz w:val="18"/>
          <w:lang w:eastAsia="en-US"/>
        </w:rPr>
      </w:pPr>
      <w:r w:rsidRPr="00843B35">
        <w:rPr>
          <w:rFonts w:ascii="Arial Narrow" w:hAnsi="Arial Narrow" w:cs="Arial"/>
          <w:snapToGrid w:val="0"/>
          <w:sz w:val="18"/>
          <w:lang w:eastAsia="en-US"/>
        </w:rPr>
        <w:t xml:space="preserve">GP = general practitioner; RD = rectus diastasis </w:t>
      </w:r>
    </w:p>
    <w:p w14:paraId="0FF25F91" w14:textId="77777777" w:rsidR="00E24D6C" w:rsidRPr="00843B35" w:rsidRDefault="00E24D6C" w:rsidP="00E24D6C">
      <w:pPr>
        <w:jc w:val="both"/>
        <w:rPr>
          <w:rFonts w:ascii="Calibri" w:hAnsi="Calibri" w:cs="Tahoma"/>
          <w:szCs w:val="24"/>
        </w:rPr>
      </w:pPr>
      <w:r w:rsidRPr="00843B35">
        <w:rPr>
          <w:rFonts w:ascii="Calibri" w:hAnsi="Calibri" w:cs="Tahoma"/>
          <w:noProof/>
          <w:szCs w:val="24"/>
        </w:rPr>
        <w:lastRenderedPageBreak/>
        <w:drawing>
          <wp:inline distT="0" distB="0" distL="0" distR="0" wp14:anchorId="5DE093F8" wp14:editId="76BCF506">
            <wp:extent cx="6115050" cy="4538980"/>
            <wp:effectExtent l="19050" t="19050" r="19050" b="13970"/>
            <wp:docPr id="1" name="Picture 1" descr="GP = general practitioner; MBS = Medicare Benefits Schedule, RD = rectus diastasis &#10;" title="Available treatment options for patients with pregnancy acquired rectus diastasis if this patient group is reinst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8735" cy="4549138"/>
                    </a:xfrm>
                    <a:prstGeom prst="rect">
                      <a:avLst/>
                    </a:prstGeom>
                    <a:noFill/>
                    <a:ln w="9525" cmpd="sng">
                      <a:solidFill>
                        <a:srgbClr val="000000"/>
                      </a:solidFill>
                      <a:miter lim="800000"/>
                      <a:headEnd/>
                      <a:tailEnd/>
                    </a:ln>
                    <a:effectLst/>
                  </pic:spPr>
                </pic:pic>
              </a:graphicData>
            </a:graphic>
          </wp:inline>
        </w:drawing>
      </w:r>
    </w:p>
    <w:p w14:paraId="6048FF03" w14:textId="77777777" w:rsidR="00E24D6C" w:rsidRPr="00D30609" w:rsidRDefault="00E24D6C" w:rsidP="00D30609">
      <w:pPr>
        <w:rPr>
          <w:rFonts w:ascii="Arial Narrow" w:hAnsi="Arial Narrow"/>
          <w:b/>
          <w:sz w:val="20"/>
        </w:rPr>
      </w:pPr>
      <w:bookmarkStart w:id="9" w:name="_Ref527548577"/>
      <w:bookmarkStart w:id="10" w:name="_Toc4509567"/>
      <w:bookmarkStart w:id="11" w:name="_Toc8225867"/>
      <w:r w:rsidRPr="00D30609">
        <w:rPr>
          <w:rFonts w:ascii="Arial Narrow" w:hAnsi="Arial Narrow"/>
          <w:b/>
          <w:sz w:val="20"/>
        </w:rPr>
        <w:t xml:space="preserve">Figure </w:t>
      </w:r>
      <w:bookmarkEnd w:id="9"/>
      <w:r w:rsidRPr="00D30609">
        <w:rPr>
          <w:rFonts w:ascii="Arial Narrow" w:hAnsi="Arial Narrow"/>
          <w:b/>
          <w:sz w:val="20"/>
        </w:rPr>
        <w:t>2: Available treatment options for patients with pregnancy-acquired rectus diastasis if this patient group is</w:t>
      </w:r>
      <w:bookmarkEnd w:id="10"/>
      <w:r w:rsidRPr="00D30609">
        <w:rPr>
          <w:rFonts w:ascii="Arial Narrow" w:hAnsi="Arial Narrow"/>
          <w:b/>
          <w:sz w:val="20"/>
        </w:rPr>
        <w:t xml:space="preserve"> reinstated</w:t>
      </w:r>
      <w:bookmarkEnd w:id="11"/>
    </w:p>
    <w:p w14:paraId="6B6BFEEA" w14:textId="77777777" w:rsidR="00E24D6C" w:rsidRPr="00FE101D" w:rsidRDefault="00E24D6C" w:rsidP="00E24D6C">
      <w:pPr>
        <w:widowControl w:val="0"/>
        <w:jc w:val="both"/>
        <w:rPr>
          <w:rFonts w:ascii="Arial Narrow" w:hAnsi="Arial Narrow" w:cs="Arial"/>
          <w:snapToGrid w:val="0"/>
          <w:sz w:val="18"/>
          <w:szCs w:val="24"/>
          <w:lang w:eastAsia="en-US"/>
        </w:rPr>
      </w:pPr>
      <w:r w:rsidRPr="00843B35">
        <w:rPr>
          <w:rFonts w:ascii="Arial Narrow" w:hAnsi="Arial Narrow" w:cs="Arial"/>
          <w:snapToGrid w:val="0"/>
          <w:sz w:val="18"/>
          <w:szCs w:val="24"/>
          <w:lang w:eastAsia="en-US"/>
        </w:rPr>
        <w:t>GP = general practitioner; MBS = Medicare Benefits S</w:t>
      </w:r>
      <w:r>
        <w:rPr>
          <w:rFonts w:ascii="Arial Narrow" w:hAnsi="Arial Narrow" w:cs="Arial"/>
          <w:snapToGrid w:val="0"/>
          <w:sz w:val="18"/>
          <w:szCs w:val="24"/>
          <w:lang w:eastAsia="en-US"/>
        </w:rPr>
        <w:t xml:space="preserve">chedule, RD = rectus diastasis </w:t>
      </w:r>
    </w:p>
    <w:p w14:paraId="2D4B5F06" w14:textId="77777777" w:rsidR="00386A5B" w:rsidRPr="00F715D1" w:rsidRDefault="00386A5B" w:rsidP="00386A5B">
      <w:pPr>
        <w:pStyle w:val="Heading1"/>
      </w:pPr>
      <w:r w:rsidRPr="00F715D1">
        <w:t xml:space="preserve">Comparator </w:t>
      </w:r>
    </w:p>
    <w:p w14:paraId="3F89438B" w14:textId="01ADEE27" w:rsidR="00E24D6C" w:rsidRPr="00331137" w:rsidRDefault="00E24D6C" w:rsidP="00E24D6C">
      <w:r w:rsidRPr="00331137">
        <w:t xml:space="preserve">Best supportive care was nominated as the main comparator. Best supportive </w:t>
      </w:r>
      <w:r w:rsidR="00BB3E5A">
        <w:t xml:space="preserve">care </w:t>
      </w:r>
      <w:r w:rsidRPr="00331137">
        <w:t>includes symptomatic treatment with painkillers, lower back braces and lifestyle changes. The patient’s doctor may also recommend that the patient continue with their physiotherapy and/or exercise program to manage symptoms.</w:t>
      </w:r>
    </w:p>
    <w:p w14:paraId="0FF10796" w14:textId="77777777" w:rsidR="00386A5B" w:rsidRPr="00F715D1" w:rsidRDefault="00386A5B" w:rsidP="00386A5B">
      <w:pPr>
        <w:pStyle w:val="Heading1"/>
      </w:pPr>
      <w:r w:rsidRPr="00F715D1">
        <w:t>Comparative safety</w:t>
      </w:r>
    </w:p>
    <w:p w14:paraId="2CBCC209" w14:textId="11669DE3" w:rsidR="00E24D6C" w:rsidRPr="008F306A" w:rsidRDefault="00E24D6C" w:rsidP="00D76DBB">
      <w:pPr>
        <w:spacing w:after="240"/>
        <w:rPr>
          <w:i/>
          <w:iCs/>
          <w:color w:val="000000"/>
        </w:rPr>
      </w:pPr>
      <w:r w:rsidRPr="008F306A">
        <w:t xml:space="preserve">Two studies were identified. </w:t>
      </w:r>
      <w:r w:rsidRPr="00331137">
        <w:t xml:space="preserve">The pivotal randomised controlled trial (RCT) by Emanuelsson </w:t>
      </w:r>
      <w:r w:rsidRPr="00331137">
        <w:rPr>
          <w:i/>
        </w:rPr>
        <w:t xml:space="preserve">et al. </w:t>
      </w:r>
      <w:r w:rsidRPr="00331137">
        <w:t>(2016) (N = 86), provided direct evidence of the comparative efficacy of abdominoplasty with surgical repair of the rectus diastasis relative to a three months exercise/physiotherapy program (i.e. best supportive care). The Australian prospective cohort study (N = 214) by Taylor</w:t>
      </w:r>
      <w:r w:rsidR="00953A02">
        <w:t xml:space="preserve"> </w:t>
      </w:r>
      <w:r w:rsidR="00953A02" w:rsidRPr="00953A02">
        <w:rPr>
          <w:i/>
        </w:rPr>
        <w:t>et al.</w:t>
      </w:r>
      <w:r w:rsidRPr="00331137">
        <w:t xml:space="preserve"> (2018) </w:t>
      </w:r>
      <w:r w:rsidRPr="00331137">
        <w:fldChar w:fldCharType="begin">
          <w:fldData xml:space="preserve">PEVuZE5vdGU+PENpdGU+PEF1dGhvcj5UYXlsb3I8L0F1dGhvcj48WWVhcj4yMDE4PC9ZZWFyPjxS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</w:fldData>
        </w:fldChar>
      </w:r>
      <w:r w:rsidRPr="00331137">
        <w:instrText xml:space="preserve"> ADDIN EN.CITE </w:instrText>
      </w:r>
      <w:r w:rsidRPr="00331137">
        <w:fldChar w:fldCharType="begin">
          <w:fldData xml:space="preserve">PEVuZE5vdGU+PENpdGU+PEF1dGhvcj5UYXlsb3I8L0F1dGhvcj48WWVhcj4yMDE4PC9ZZWFyPjxS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</w:fldData>
        </w:fldChar>
      </w:r>
      <w:r w:rsidRPr="00331137">
        <w:instrText xml:space="preserve"> ADDIN EN.CITE.DATA </w:instrText>
      </w:r>
      <w:r w:rsidRPr="00331137">
        <w:fldChar w:fldCharType="end"/>
      </w:r>
      <w:r w:rsidRPr="00331137">
        <w:fldChar w:fldCharType="separate"/>
      </w:r>
      <w:r w:rsidRPr="00331137">
        <w:t>[</w:t>
      </w:r>
      <w:hyperlink w:anchor="_ENREF_3" w:tooltip="Taylor, 2018 #14" w:history="1">
        <w:r w:rsidRPr="00331137">
          <w:t>3</w:t>
        </w:r>
      </w:hyperlink>
      <w:r w:rsidRPr="00331137">
        <w:t>]</w:t>
      </w:r>
      <w:r w:rsidRPr="00331137">
        <w:fldChar w:fldCharType="end"/>
      </w:r>
      <w:r w:rsidRPr="00331137">
        <w:t xml:space="preserve"> provided supportive evidence </w:t>
      </w:r>
      <w:r w:rsidR="00953A02">
        <w:t>that abdominoplasty</w:t>
      </w:r>
      <w:r w:rsidRPr="00331137">
        <w:t xml:space="preserve"> </w:t>
      </w:r>
      <w:r w:rsidR="00953A02">
        <w:t xml:space="preserve">is </w:t>
      </w:r>
      <w:r w:rsidRPr="00331137">
        <w:t>effective at reducing post-partum women’s symptoms of urin</w:t>
      </w:r>
      <w:r w:rsidR="00EA3134">
        <w:t>ary incontinence and back pain.</w:t>
      </w:r>
    </w:p>
    <w:p w14:paraId="606CA41E" w14:textId="1E4C94BB" w:rsidR="00E24D6C" w:rsidRPr="00331137" w:rsidRDefault="00E24D6C" w:rsidP="00E24D6C">
      <w:r w:rsidRPr="00331137">
        <w:t xml:space="preserve">Data from </w:t>
      </w:r>
      <w:r w:rsidR="00953A02">
        <w:t>the Emanuelsson</w:t>
      </w:r>
      <w:r w:rsidRPr="00331137">
        <w:t xml:space="preserve"> trial suggested that abdominoplasty had inferior comparative safety to best supportive care (i.e. physiotherapy and/or exercise). In the surgical group, 22</w:t>
      </w:r>
      <w:r>
        <w:t>/57</w:t>
      </w:r>
      <w:r w:rsidRPr="00331137">
        <w:t xml:space="preserve"> patients (39%) experienced at least one complication, compared to no patient in the exercise group.</w:t>
      </w:r>
      <w:r>
        <w:t xml:space="preserve"> </w:t>
      </w:r>
      <w:r w:rsidRPr="008F306A">
        <w:t xml:space="preserve">Specifically, </w:t>
      </w:r>
      <w:r w:rsidRPr="008F306A">
        <w:rPr>
          <w:iCs/>
        </w:rPr>
        <w:t xml:space="preserve">the incidence of wound infection, seroma or haematoma and </w:t>
      </w:r>
      <w:r w:rsidRPr="008F306A">
        <w:rPr>
          <w:iCs/>
        </w:rPr>
        <w:lastRenderedPageBreak/>
        <w:t>recurrence of diastasis was greater in the surgical arm when compared to the exercise group.</w:t>
      </w:r>
      <w:r w:rsidRPr="00331137">
        <w:rPr>
          <w:snapToGrid w:val="0"/>
        </w:rPr>
        <w:t xml:space="preserve"> During the trial’s 12-month follow-up, one</w:t>
      </w:r>
      <w:r>
        <w:rPr>
          <w:snapToGrid w:val="0"/>
        </w:rPr>
        <w:t xml:space="preserve"> (1.75%)</w:t>
      </w:r>
      <w:r w:rsidRPr="00331137">
        <w:rPr>
          <w:snapToGrid w:val="0"/>
        </w:rPr>
        <w:t xml:space="preserve"> patient</w:t>
      </w:r>
      <w:r>
        <w:rPr>
          <w:snapToGrid w:val="0"/>
        </w:rPr>
        <w:t xml:space="preserve"> (N=57)</w:t>
      </w:r>
      <w:r w:rsidRPr="00331137">
        <w:rPr>
          <w:snapToGrid w:val="0"/>
        </w:rPr>
        <w:t xml:space="preserve"> in the </w:t>
      </w:r>
      <w:r>
        <w:rPr>
          <w:snapToGrid w:val="0"/>
        </w:rPr>
        <w:t>surgery</w:t>
      </w:r>
      <w:r w:rsidRPr="00331137">
        <w:rPr>
          <w:snapToGrid w:val="0"/>
        </w:rPr>
        <w:t xml:space="preserve"> group experienced recurrence</w:t>
      </w:r>
      <w:r>
        <w:rPr>
          <w:snapToGrid w:val="0"/>
        </w:rPr>
        <w:t>.</w:t>
      </w:r>
    </w:p>
    <w:p w14:paraId="42E0EC5D" w14:textId="77777777" w:rsidR="00386A5B" w:rsidRPr="00F715D1" w:rsidRDefault="00386A5B" w:rsidP="00386A5B">
      <w:pPr>
        <w:pStyle w:val="Heading1"/>
      </w:pPr>
      <w:r w:rsidRPr="00F715D1">
        <w:t>Comparative effectiveness</w:t>
      </w:r>
    </w:p>
    <w:p w14:paraId="49D880FA" w14:textId="01F8913F" w:rsidR="00F437F9" w:rsidRPr="00F437F9" w:rsidRDefault="00D76DBB" w:rsidP="00D76DBB">
      <w:pPr>
        <w:tabs>
          <w:tab w:val="left" w:pos="720"/>
          <w:tab w:val="left" w:pos="1140"/>
        </w:tabs>
        <w:spacing w:after="120"/>
        <w:rPr>
          <w:b/>
          <w:szCs w:val="24"/>
        </w:rPr>
      </w:pPr>
      <w:r>
        <w:rPr>
          <w:b/>
          <w:szCs w:val="24"/>
        </w:rPr>
        <w:t>Clinical c</w:t>
      </w:r>
      <w:r w:rsidR="00F437F9" w:rsidRPr="00F37B9C">
        <w:rPr>
          <w:b/>
          <w:szCs w:val="24"/>
        </w:rPr>
        <w:t>laim</w:t>
      </w:r>
    </w:p>
    <w:p w14:paraId="11D8E4D1" w14:textId="7DFDEDD0" w:rsidR="00E24D6C" w:rsidRPr="00331137" w:rsidRDefault="00E24D6C" w:rsidP="00E24D6C">
      <w:r w:rsidRPr="00331137">
        <w:t>Based on the evidence profile (summarised in</w:t>
      </w:r>
      <w:r>
        <w:t xml:space="preserve"> Table 3</w:t>
      </w:r>
      <w:r w:rsidRPr="00331137">
        <w:t>), it is suggested that, relative to best supportive care (i.e. physiotherapy and/or exercise), abdominoplasty has superior efficacy. However, the</w:t>
      </w:r>
      <w:r>
        <w:t xml:space="preserve"> </w:t>
      </w:r>
      <w:r w:rsidR="00953A02">
        <w:t>application</w:t>
      </w:r>
      <w:r>
        <w:t xml:space="preserve"> stated that the</w:t>
      </w:r>
      <w:r w:rsidRPr="00331137">
        <w:t xml:space="preserve"> magnit</w:t>
      </w:r>
      <w:r w:rsidR="00EA3134">
        <w:t>ude of benefit is uncertain as:</w:t>
      </w:r>
    </w:p>
    <w:p w14:paraId="48CEF247" w14:textId="77777777" w:rsidR="00E24D6C" w:rsidRPr="00331137" w:rsidRDefault="00E24D6C" w:rsidP="00E24D6C">
      <w:pPr>
        <w:pStyle w:val="ListParagraph"/>
        <w:numPr>
          <w:ilvl w:val="0"/>
          <w:numId w:val="8"/>
        </w:numPr>
        <w:contextualSpacing w:val="0"/>
      </w:pPr>
      <w:r w:rsidRPr="00331137">
        <w:t>Both studies had a high risk of bias:</w:t>
      </w:r>
    </w:p>
    <w:p w14:paraId="46316B27" w14:textId="435F965E" w:rsidR="00E24D6C" w:rsidRPr="00331137" w:rsidRDefault="00E24D6C" w:rsidP="00E24D6C">
      <w:pPr>
        <w:pStyle w:val="ListParagraph"/>
        <w:numPr>
          <w:ilvl w:val="1"/>
          <w:numId w:val="8"/>
        </w:numPr>
        <w:contextualSpacing w:val="0"/>
      </w:pPr>
      <w:r w:rsidRPr="00331137">
        <w:t xml:space="preserve">In </w:t>
      </w:r>
      <w:r w:rsidR="00953A02">
        <w:t xml:space="preserve">the </w:t>
      </w:r>
      <w:r w:rsidRPr="00331137">
        <w:t>Emanuelsson trial, abdominoplasty patients (i.e. mesh and Quill) had 12</w:t>
      </w:r>
      <w:r w:rsidR="00953A02">
        <w:t> </w:t>
      </w:r>
      <w:r w:rsidRPr="00331137">
        <w:t xml:space="preserve">months of follow-up, whilst exercise patients only had three months of follow-up. </w:t>
      </w:r>
      <w:r>
        <w:t xml:space="preserve">While there was a difference at </w:t>
      </w:r>
      <w:r w:rsidR="00953A02">
        <w:t>three</w:t>
      </w:r>
      <w:r>
        <w:t xml:space="preserve"> months between the groups, patients in the exercise group did not have the full 12 months to experience improvement and if improvement was slower in the exercise group this could </w:t>
      </w:r>
      <w:r w:rsidRPr="00331137">
        <w:t xml:space="preserve">favour surgery; </w:t>
      </w:r>
    </w:p>
    <w:p w14:paraId="70E89D71" w14:textId="3140FA73" w:rsidR="00E24D6C" w:rsidRPr="00331137" w:rsidRDefault="00E24D6C" w:rsidP="00E24D6C">
      <w:pPr>
        <w:pStyle w:val="ListParagraph"/>
        <w:numPr>
          <w:ilvl w:val="1"/>
          <w:numId w:val="8"/>
        </w:numPr>
        <w:contextualSpacing w:val="0"/>
      </w:pPr>
      <w:r w:rsidRPr="00331137">
        <w:t xml:space="preserve">Given the nature of the intervention (i.e. abdominoplasty vs. a three-month exercise program), </w:t>
      </w:r>
      <w:r w:rsidR="00BB3E5A">
        <w:t xml:space="preserve">neither </w:t>
      </w:r>
      <w:r w:rsidRPr="00331137">
        <w:t xml:space="preserve">patients nor assessors were blinded to treatment allocation in </w:t>
      </w:r>
      <w:r w:rsidR="00953A02">
        <w:t xml:space="preserve">the </w:t>
      </w:r>
      <w:r w:rsidRPr="00331137">
        <w:t xml:space="preserve">Emanuelsson trial. This may have introduced response bias into the trial as only patients who desired surgery were enrolled and most of the outcomes relied on self-reporting; and </w:t>
      </w:r>
    </w:p>
    <w:p w14:paraId="26ECF5EF" w14:textId="51405219" w:rsidR="00E24D6C" w:rsidRDefault="00E24D6C" w:rsidP="00E24D6C">
      <w:pPr>
        <w:pStyle w:val="ListParagraph"/>
        <w:numPr>
          <w:ilvl w:val="1"/>
          <w:numId w:val="8"/>
        </w:numPr>
        <w:contextualSpacing w:val="0"/>
      </w:pPr>
      <w:r w:rsidRPr="00331137">
        <w:t>The Australian cohort study had a pre</w:t>
      </w:r>
      <w:r w:rsidR="00953A02">
        <w:t>-</w:t>
      </w:r>
      <w:r w:rsidRPr="00331137">
        <w:t xml:space="preserve"> and post</w:t>
      </w:r>
      <w:r w:rsidR="00953A02">
        <w:t>-</w:t>
      </w:r>
      <w:r w:rsidRPr="00331137">
        <w:t>research design without a valid control group and was thus vulnerable to producing spurious results.</w:t>
      </w:r>
    </w:p>
    <w:p w14:paraId="6BA38B4B" w14:textId="4FA29760" w:rsidR="00E24D6C" w:rsidRDefault="00E24D6C" w:rsidP="00E24D6C">
      <w:pPr>
        <w:pStyle w:val="ListParagraph"/>
        <w:numPr>
          <w:ilvl w:val="0"/>
          <w:numId w:val="8"/>
        </w:numPr>
        <w:contextualSpacing w:val="0"/>
      </w:pPr>
      <w:r w:rsidRPr="00331137">
        <w:t xml:space="preserve">Exercise patients in </w:t>
      </w:r>
      <w:r w:rsidR="00953A02">
        <w:t>the Emanuelsson</w:t>
      </w:r>
      <w:r w:rsidRPr="00331137">
        <w:t xml:space="preserve"> trial also experienced statistically significant and clinically meaningful improvements in health-related quality of life and improved muscle strength at three months follow-up; and</w:t>
      </w:r>
    </w:p>
    <w:p w14:paraId="7C23A24C" w14:textId="482F3AEB" w:rsidR="00E24D6C" w:rsidRDefault="00E24D6C" w:rsidP="00E24D6C">
      <w:pPr>
        <w:pStyle w:val="ListParagraph"/>
        <w:numPr>
          <w:ilvl w:val="0"/>
          <w:numId w:val="8"/>
        </w:numPr>
        <w:contextualSpacing w:val="0"/>
      </w:pPr>
      <w:r w:rsidRPr="00331137">
        <w:t xml:space="preserve">The data from the Australian cohort study suggested post-partum women who underwent abdominoplasty experienced statistically significant improvements in back pain (mean difference (MD) = </w:t>
      </w:r>
      <w:r w:rsidRPr="00331137">
        <w:noBreakHyphen/>
        <w:t xml:space="preserve">9.32 (95% confidence interval (CI): </w:t>
      </w:r>
      <w:r w:rsidRPr="00331137">
        <w:noBreakHyphen/>
        <w:t>10.40</w:t>
      </w:r>
      <w:r>
        <w:t xml:space="preserve"> to</w:t>
      </w:r>
      <w:r w:rsidRPr="00331137">
        <w:t xml:space="preserve"> -8.40) and </w:t>
      </w:r>
      <w:r>
        <w:t xml:space="preserve">uncategorised </w:t>
      </w:r>
      <w:r w:rsidRPr="00331137">
        <w:t xml:space="preserve">urinary incontinence (MD = </w:t>
      </w:r>
      <w:r w:rsidRPr="00331137">
        <w:noBreakHyphen/>
        <w:t xml:space="preserve">4.62 (95% CI: </w:t>
      </w:r>
      <w:r w:rsidRPr="00331137">
        <w:noBreakHyphen/>
        <w:t>5.43</w:t>
      </w:r>
      <w:r>
        <w:t xml:space="preserve"> to</w:t>
      </w:r>
      <w:r w:rsidRPr="00331137">
        <w:t xml:space="preserve"> </w:t>
      </w:r>
      <w:r w:rsidRPr="00331137">
        <w:noBreakHyphen/>
        <w:t xml:space="preserve">3.81) at </w:t>
      </w:r>
      <w:r w:rsidR="00953A02">
        <w:t>six</w:t>
      </w:r>
      <w:r w:rsidRPr="00331137">
        <w:t xml:space="preserve"> months follow-up. However, </w:t>
      </w:r>
      <w:r w:rsidR="001A6745">
        <w:t xml:space="preserve">these effects were smaller than the minimal clinically important difference (MCID) </w:t>
      </w:r>
      <w:r w:rsidRPr="00331137">
        <w:t xml:space="preserve">at </w:t>
      </w:r>
      <w:r w:rsidR="00953A02">
        <w:t>six</w:t>
      </w:r>
      <w:r w:rsidRPr="00331137">
        <w:t xml:space="preserve"> months follow-up.</w:t>
      </w:r>
    </w:p>
    <w:p w14:paraId="7E1626BB" w14:textId="77777777" w:rsidR="000C18D5" w:rsidRDefault="000C18D5" w:rsidP="000C18D5">
      <w:pPr>
        <w:pStyle w:val="Heading2"/>
      </w:pPr>
      <w:r>
        <w:t>Pre-ESC response</w:t>
      </w:r>
    </w:p>
    <w:p w14:paraId="32D8CE25" w14:textId="3D0A73FC" w:rsidR="000C18D5" w:rsidRDefault="00953A02" w:rsidP="000C18D5">
      <w:r>
        <w:t>The a</w:t>
      </w:r>
      <w:r w:rsidR="000C18D5">
        <w:t xml:space="preserve">pplicant </w:t>
      </w:r>
      <w:r w:rsidR="002814B7">
        <w:t>provided</w:t>
      </w:r>
      <w:r w:rsidR="00611296">
        <w:t xml:space="preserve"> feedback for the </w:t>
      </w:r>
      <w:r w:rsidR="008E2030">
        <w:t>contracted assessment (</w:t>
      </w:r>
      <w:r w:rsidR="00611296">
        <w:t>CA</w:t>
      </w:r>
      <w:r w:rsidR="008E2030">
        <w:t>)</w:t>
      </w:r>
      <w:r w:rsidR="00611296">
        <w:t xml:space="preserve"> nominated</w:t>
      </w:r>
      <w:r w:rsidR="000C18D5">
        <w:t xml:space="preserve"> minimally clinical important differences (MCID</w:t>
      </w:r>
      <w:r w:rsidR="002814B7">
        <w:t>s</w:t>
      </w:r>
      <w:r w:rsidR="000C18D5">
        <w:t>):</w:t>
      </w:r>
    </w:p>
    <w:p w14:paraId="42691ECF" w14:textId="07AF87F2" w:rsidR="000C18D5" w:rsidRDefault="002814B7" w:rsidP="005A390C">
      <w:pPr>
        <w:pStyle w:val="ListParagraph"/>
        <w:numPr>
          <w:ilvl w:val="0"/>
          <w:numId w:val="11"/>
        </w:numPr>
      </w:pPr>
      <w:r>
        <w:t>F</w:t>
      </w:r>
      <w:r w:rsidR="000C18D5">
        <w:t>or</w:t>
      </w:r>
      <w:r>
        <w:t xml:space="preserve"> assessing</w:t>
      </w:r>
      <w:r w:rsidR="000C18D5">
        <w:t xml:space="preserve"> low back pain, the CA used the </w:t>
      </w:r>
      <w:r w:rsidR="000C18D5" w:rsidRPr="000C18D5">
        <w:t>Oswestry Disability Index</w:t>
      </w:r>
      <w:r w:rsidR="000C18D5">
        <w:t xml:space="preserve"> (ODI) MCID of 9.5</w:t>
      </w:r>
      <w:r>
        <w:t xml:space="preserve">, which was </w:t>
      </w:r>
      <w:r w:rsidRPr="005A390C">
        <w:t xml:space="preserve">referenced from a study about an </w:t>
      </w:r>
      <w:r w:rsidR="008E2030">
        <w:t>eight</w:t>
      </w:r>
      <w:r w:rsidRPr="005A390C">
        <w:t xml:space="preserve"> week exercise program conducted in Italy.</w:t>
      </w:r>
      <w:r>
        <w:t xml:space="preserve"> </w:t>
      </w:r>
      <w:r w:rsidRPr="002814B7">
        <w:t xml:space="preserve">The </w:t>
      </w:r>
      <w:r w:rsidR="00611296">
        <w:t>a</w:t>
      </w:r>
      <w:r w:rsidR="00E271E3">
        <w:t xml:space="preserve">pplicant stated that the </w:t>
      </w:r>
      <w:r w:rsidRPr="002814B7">
        <w:t>reported MCID of 9.5 was in fact a summary finding with the actual research stating on p127 “The optimal cut-off points estimated on the basis of ROC analysis were 9.0–9.5 for ODI and 2.5 for RMDQ, both of which are in line with those published by other authors.” So on the basis of the full, reported findings, the Taylor result would in fact make the cut-off.</w:t>
      </w:r>
    </w:p>
    <w:p w14:paraId="55CFBBF9" w14:textId="24D46D9D" w:rsidR="00E271E3" w:rsidRPr="000C18D5" w:rsidRDefault="002814B7" w:rsidP="005A390C">
      <w:pPr>
        <w:pStyle w:val="ListParagraph"/>
        <w:numPr>
          <w:ilvl w:val="0"/>
          <w:numId w:val="11"/>
        </w:numPr>
      </w:pPr>
      <w:r>
        <w:t xml:space="preserve">For assessing urinary incontinence, the CA used the </w:t>
      </w:r>
      <w:r w:rsidRPr="002814B7">
        <w:t>International Consultation on Incontinence Questionnaire</w:t>
      </w:r>
      <w:r>
        <w:t xml:space="preserve"> (ICIQ)</w:t>
      </w:r>
      <w:r w:rsidR="00E271E3">
        <w:t xml:space="preserve"> from </w:t>
      </w:r>
      <w:r>
        <w:t xml:space="preserve">Sirls et al. </w:t>
      </w:r>
      <w:r w:rsidR="00E271E3">
        <w:t>(</w:t>
      </w:r>
      <w:r>
        <w:t>2015</w:t>
      </w:r>
      <w:r w:rsidR="008E2030">
        <w:t>).  The a</w:t>
      </w:r>
      <w:r w:rsidR="00E271E3">
        <w:t xml:space="preserve">pplicant stated </w:t>
      </w:r>
      <w:r w:rsidR="00E271E3" w:rsidRPr="00E271E3">
        <w:t>Triangulation analysis supports a MID at -5 at 12 months and -4 at 24 months.’ Taylor’s findings were -4.59 at 6 weeks; -4.62 at 6 months, so comparing them with an expected finding at 12 months is invalid.</w:t>
      </w:r>
    </w:p>
    <w:p w14:paraId="2F9C96F5" w14:textId="77777777" w:rsidR="00E24D6C" w:rsidRPr="00331137" w:rsidRDefault="00E24D6C" w:rsidP="00872B36">
      <w:pPr>
        <w:rPr>
          <w:b/>
        </w:rPr>
        <w:sectPr w:rsidR="00E24D6C" w:rsidRPr="00331137" w:rsidSect="005379F5">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20" w:footer="720" w:gutter="0"/>
          <w:paperSrc w:first="2" w:other="2"/>
          <w:cols w:space="720"/>
        </w:sectPr>
      </w:pPr>
    </w:p>
    <w:p w14:paraId="2557FC43" w14:textId="77777777" w:rsidR="00E24D6C" w:rsidRPr="00D30609" w:rsidRDefault="00E24D6C" w:rsidP="00D30609">
      <w:pPr>
        <w:rPr>
          <w:rFonts w:ascii="Arial Narrow" w:hAnsi="Arial Narrow"/>
          <w:b/>
          <w:sz w:val="20"/>
        </w:rPr>
      </w:pPr>
      <w:bookmarkStart w:id="12" w:name="_Ref6068600"/>
      <w:bookmarkStart w:id="13" w:name="_Toc8225772"/>
      <w:r w:rsidRPr="00D30609">
        <w:rPr>
          <w:rFonts w:ascii="Arial Narrow" w:hAnsi="Arial Narrow"/>
          <w:b/>
          <w:sz w:val="20"/>
        </w:rPr>
        <w:lastRenderedPageBreak/>
        <w:t xml:space="preserve">Table </w:t>
      </w:r>
      <w:bookmarkEnd w:id="12"/>
      <w:r w:rsidRPr="00D30609">
        <w:rPr>
          <w:rFonts w:ascii="Arial Narrow" w:hAnsi="Arial Narrow"/>
          <w:b/>
          <w:sz w:val="20"/>
        </w:rPr>
        <w:t>3: Clinical benefits of abdominoplasty, relative to exercise, and as measured by the critical and important patient-relevant outcomes in the key studies</w:t>
      </w:r>
      <w:bookmarkEnd w:id="13"/>
    </w:p>
    <w:tbl>
      <w:tblPr>
        <w:tblStyle w:val="TableGrid1"/>
        <w:tblW w:w="5000" w:type="pct"/>
        <w:tblLook w:val="04A0" w:firstRow="1" w:lastRow="0" w:firstColumn="1" w:lastColumn="0" w:noHBand="0" w:noVBand="1"/>
        <w:tblDescription w:val="Summary of findings table"/>
      </w:tblPr>
      <w:tblGrid>
        <w:gridCol w:w="2240"/>
        <w:gridCol w:w="2370"/>
        <w:gridCol w:w="1802"/>
        <w:gridCol w:w="3393"/>
        <w:gridCol w:w="2489"/>
        <w:gridCol w:w="2974"/>
      </w:tblGrid>
      <w:tr w:rsidR="00E24D6C" w:rsidRPr="00783546" w14:paraId="6E0BBC67" w14:textId="77777777" w:rsidTr="00D30609">
        <w:trPr>
          <w:trHeight w:val="470"/>
          <w:tblHeader/>
        </w:trPr>
        <w:tc>
          <w:tcPr>
            <w:tcW w:w="734" w:type="pct"/>
          </w:tcPr>
          <w:p w14:paraId="3B756637" w14:textId="77777777" w:rsidR="00E24D6C" w:rsidRPr="00783546" w:rsidRDefault="00E24D6C" w:rsidP="005379F5">
            <w:pPr>
              <w:pStyle w:val="Tabletext"/>
              <w:rPr>
                <w:sz w:val="18"/>
                <w:szCs w:val="18"/>
              </w:rPr>
            </w:pPr>
            <w:r w:rsidRPr="00783546">
              <w:rPr>
                <w:b/>
                <w:sz w:val="18"/>
                <w:szCs w:val="18"/>
              </w:rPr>
              <w:t>Outcomes (units)</w:t>
            </w:r>
          </w:p>
          <w:p w14:paraId="21DF1796" w14:textId="77777777" w:rsidR="00E24D6C" w:rsidRPr="00783546" w:rsidRDefault="00E24D6C" w:rsidP="005379F5">
            <w:pPr>
              <w:pStyle w:val="Tabletext"/>
              <w:rPr>
                <w:sz w:val="18"/>
                <w:szCs w:val="18"/>
              </w:rPr>
            </w:pPr>
            <w:r w:rsidRPr="00783546">
              <w:rPr>
                <w:b/>
                <w:sz w:val="18"/>
                <w:szCs w:val="18"/>
              </w:rPr>
              <w:t>Follow-up</w:t>
            </w:r>
          </w:p>
        </w:tc>
        <w:tc>
          <w:tcPr>
            <w:tcW w:w="776" w:type="pct"/>
          </w:tcPr>
          <w:p w14:paraId="06989389" w14:textId="77777777" w:rsidR="00E24D6C" w:rsidRPr="00783546" w:rsidRDefault="00E24D6C" w:rsidP="005379F5">
            <w:pPr>
              <w:pStyle w:val="Tabletext"/>
              <w:rPr>
                <w:sz w:val="18"/>
                <w:szCs w:val="18"/>
              </w:rPr>
            </w:pPr>
            <w:r w:rsidRPr="00783546">
              <w:rPr>
                <w:b/>
                <w:sz w:val="18"/>
                <w:szCs w:val="18"/>
              </w:rPr>
              <w:t>Participants</w:t>
            </w:r>
          </w:p>
        </w:tc>
        <w:tc>
          <w:tcPr>
            <w:tcW w:w="590" w:type="pct"/>
          </w:tcPr>
          <w:p w14:paraId="2660B188" w14:textId="77777777" w:rsidR="00E24D6C" w:rsidRPr="00783546" w:rsidRDefault="00E24D6C" w:rsidP="005379F5">
            <w:pPr>
              <w:pStyle w:val="Tabletext"/>
              <w:rPr>
                <w:sz w:val="18"/>
                <w:szCs w:val="18"/>
              </w:rPr>
            </w:pPr>
            <w:r w:rsidRPr="00783546">
              <w:rPr>
                <w:b/>
                <w:sz w:val="18"/>
                <w:szCs w:val="18"/>
              </w:rPr>
              <w:t>Quality of evidence (GRADE)</w:t>
            </w:r>
          </w:p>
        </w:tc>
        <w:tc>
          <w:tcPr>
            <w:tcW w:w="1111" w:type="pct"/>
          </w:tcPr>
          <w:p w14:paraId="6687822D" w14:textId="77777777" w:rsidR="00E24D6C" w:rsidRPr="00783546" w:rsidRDefault="00E24D6C" w:rsidP="005379F5">
            <w:pPr>
              <w:pStyle w:val="Tabletext"/>
              <w:rPr>
                <w:sz w:val="18"/>
                <w:szCs w:val="18"/>
              </w:rPr>
            </w:pPr>
            <w:r w:rsidRPr="00783546">
              <w:rPr>
                <w:b/>
                <w:sz w:val="18"/>
                <w:szCs w:val="18"/>
              </w:rPr>
              <w:t>Mean change from baseline. Mean difference (95%CI)</w:t>
            </w:r>
          </w:p>
        </w:tc>
        <w:tc>
          <w:tcPr>
            <w:tcW w:w="815" w:type="pct"/>
          </w:tcPr>
          <w:p w14:paraId="7799D508" w14:textId="77777777" w:rsidR="00E24D6C" w:rsidRPr="00783546" w:rsidRDefault="00E24D6C" w:rsidP="005379F5">
            <w:pPr>
              <w:pStyle w:val="Tabletext"/>
              <w:rPr>
                <w:sz w:val="18"/>
                <w:szCs w:val="18"/>
              </w:rPr>
            </w:pPr>
            <w:r w:rsidRPr="00783546">
              <w:rPr>
                <w:b/>
                <w:sz w:val="18"/>
                <w:szCs w:val="18"/>
              </w:rPr>
              <w:t>Relative effect (95%CI). Surgery vs. standard care</w:t>
            </w:r>
          </w:p>
        </w:tc>
        <w:tc>
          <w:tcPr>
            <w:tcW w:w="974" w:type="pct"/>
          </w:tcPr>
          <w:p w14:paraId="638E8831" w14:textId="77777777" w:rsidR="00E24D6C" w:rsidRPr="00783546" w:rsidRDefault="00E24D6C" w:rsidP="005379F5">
            <w:pPr>
              <w:pStyle w:val="Tabletext"/>
              <w:rPr>
                <w:sz w:val="18"/>
                <w:szCs w:val="18"/>
              </w:rPr>
            </w:pPr>
            <w:r w:rsidRPr="00783546">
              <w:rPr>
                <w:b/>
                <w:sz w:val="18"/>
                <w:szCs w:val="18"/>
              </w:rPr>
              <w:t>Comments</w:t>
            </w:r>
          </w:p>
        </w:tc>
      </w:tr>
      <w:tr w:rsidR="00E24D6C" w:rsidRPr="00783546" w14:paraId="2C53E4C6" w14:textId="77777777" w:rsidTr="00D30609">
        <w:trPr>
          <w:trHeight w:val="213"/>
        </w:trPr>
        <w:tc>
          <w:tcPr>
            <w:tcW w:w="734" w:type="pct"/>
          </w:tcPr>
          <w:p w14:paraId="5347BE3E" w14:textId="77777777" w:rsidR="00E24D6C" w:rsidRPr="00783546" w:rsidRDefault="00E24D6C" w:rsidP="005379F5">
            <w:pPr>
              <w:pStyle w:val="Tabletext"/>
              <w:rPr>
                <w:sz w:val="18"/>
                <w:szCs w:val="18"/>
              </w:rPr>
            </w:pPr>
            <w:r w:rsidRPr="00783546">
              <w:rPr>
                <w:sz w:val="18"/>
                <w:szCs w:val="18"/>
              </w:rPr>
              <w:t xml:space="preserve">Back pain –measured by the ODI at pre-op, 6 weeks and 6 months post-op </w:t>
            </w:r>
          </w:p>
        </w:tc>
        <w:tc>
          <w:tcPr>
            <w:tcW w:w="776" w:type="pct"/>
          </w:tcPr>
          <w:p w14:paraId="025A3010" w14:textId="77777777" w:rsidR="00E24D6C" w:rsidRPr="00783546" w:rsidRDefault="00E24D6C" w:rsidP="005379F5">
            <w:pPr>
              <w:pStyle w:val="Tabletext"/>
              <w:rPr>
                <w:sz w:val="18"/>
                <w:szCs w:val="18"/>
              </w:rPr>
            </w:pPr>
            <w:r w:rsidRPr="00783546">
              <w:rPr>
                <w:sz w:val="18"/>
                <w:szCs w:val="18"/>
              </w:rPr>
              <w:t>K =1, N = 214</w:t>
            </w:r>
          </w:p>
          <w:p w14:paraId="58F279A1" w14:textId="77777777" w:rsidR="00E24D6C" w:rsidRPr="00783546" w:rsidRDefault="00E24D6C" w:rsidP="005379F5">
            <w:pPr>
              <w:pStyle w:val="Tabletext"/>
              <w:rPr>
                <w:sz w:val="18"/>
                <w:szCs w:val="18"/>
              </w:rPr>
            </w:pPr>
            <w:r w:rsidRPr="00783546">
              <w:rPr>
                <w:sz w:val="18"/>
                <w:szCs w:val="18"/>
              </w:rPr>
              <w:t>Prospective cohort study of Australian women (pre and post study design)</w:t>
            </w:r>
          </w:p>
        </w:tc>
        <w:tc>
          <w:tcPr>
            <w:tcW w:w="590" w:type="pct"/>
          </w:tcPr>
          <w:p w14:paraId="6930E895" w14:textId="77777777" w:rsidR="00E24D6C" w:rsidRPr="00783546" w:rsidRDefault="00E24D6C" w:rsidP="005379F5">
            <w:pPr>
              <w:pStyle w:val="Tabletext"/>
              <w:rPr>
                <w:rFonts w:cs="Arial"/>
                <w:sz w:val="18"/>
                <w:szCs w:val="18"/>
              </w:rPr>
            </w:pPr>
            <w:r w:rsidRPr="00783546">
              <w:rPr>
                <w:rFonts w:ascii="Cambria Math" w:hAnsi="Cambria Math" w:cs="Cambria Math"/>
                <w:color w:val="00B050"/>
                <w:sz w:val="18"/>
                <w:szCs w:val="18"/>
              </w:rPr>
              <w:t>⨁⨁</w:t>
            </w:r>
            <w:r w:rsidRPr="00783546">
              <w:rPr>
                <w:rFonts w:ascii="Cambria Math" w:hAnsi="Cambria Math" w:cs="Cambria Math"/>
                <w:color w:val="C00000"/>
                <w:sz w:val="18"/>
                <w:szCs w:val="18"/>
              </w:rPr>
              <w:t>⨀⨀</w:t>
            </w:r>
          </w:p>
        </w:tc>
        <w:tc>
          <w:tcPr>
            <w:tcW w:w="1111" w:type="pct"/>
          </w:tcPr>
          <w:p w14:paraId="14579DD5" w14:textId="77777777" w:rsidR="00E24D6C" w:rsidRPr="00783546" w:rsidRDefault="00E24D6C" w:rsidP="005379F5">
            <w:pPr>
              <w:spacing w:before="40" w:after="40"/>
              <w:rPr>
                <w:rFonts w:ascii="Arial Narrow" w:hAnsi="Arial Narrow" w:cs="Arial"/>
                <w:sz w:val="18"/>
                <w:szCs w:val="18"/>
              </w:rPr>
            </w:pPr>
            <w:r w:rsidRPr="00783546">
              <w:rPr>
                <w:rFonts w:ascii="Arial Narrow" w:hAnsi="Arial Narrow" w:cs="Arial"/>
                <w:sz w:val="18"/>
                <w:szCs w:val="18"/>
              </w:rPr>
              <w:t xml:space="preserve">MD at 6 weeks: </w:t>
            </w:r>
          </w:p>
          <w:p w14:paraId="66F4526C" w14:textId="405CAD5D" w:rsidR="00E24D6C" w:rsidRPr="00783546" w:rsidRDefault="00D30609" w:rsidP="00D30609">
            <w:pPr>
              <w:spacing w:before="40" w:after="240"/>
              <w:rPr>
                <w:rFonts w:ascii="Arial Narrow" w:hAnsi="Arial Narrow" w:cs="Arial"/>
                <w:sz w:val="18"/>
                <w:szCs w:val="18"/>
              </w:rPr>
            </w:pPr>
            <w:r>
              <w:rPr>
                <w:rFonts w:ascii="Arial Narrow" w:hAnsi="Arial Narrow" w:cs="Arial"/>
                <w:b/>
                <w:sz w:val="18"/>
                <w:szCs w:val="18"/>
              </w:rPr>
              <w:t>-6.93 (-8.16; -5.70)</w:t>
            </w:r>
          </w:p>
          <w:p w14:paraId="460AF551" w14:textId="77777777" w:rsidR="00E24D6C" w:rsidRPr="00783546" w:rsidRDefault="00E24D6C" w:rsidP="005379F5">
            <w:pPr>
              <w:spacing w:before="40" w:after="40"/>
              <w:rPr>
                <w:rFonts w:ascii="Arial Narrow" w:hAnsi="Arial Narrow" w:cs="Arial"/>
                <w:sz w:val="18"/>
                <w:szCs w:val="18"/>
              </w:rPr>
            </w:pPr>
            <w:r w:rsidRPr="00783546">
              <w:rPr>
                <w:rFonts w:ascii="Arial Narrow" w:hAnsi="Arial Narrow" w:cs="Arial"/>
                <w:sz w:val="18"/>
                <w:szCs w:val="18"/>
              </w:rPr>
              <w:t xml:space="preserve">MD at 6 months: </w:t>
            </w:r>
          </w:p>
          <w:p w14:paraId="2D7204DC" w14:textId="77777777" w:rsidR="00E24D6C" w:rsidRPr="00783546" w:rsidRDefault="00E24D6C" w:rsidP="005379F5">
            <w:pPr>
              <w:pStyle w:val="Tabletext"/>
              <w:rPr>
                <w:sz w:val="18"/>
                <w:szCs w:val="18"/>
              </w:rPr>
            </w:pPr>
            <w:r w:rsidRPr="00783546">
              <w:rPr>
                <w:rFonts w:cs="Arial"/>
                <w:sz w:val="18"/>
                <w:szCs w:val="18"/>
              </w:rPr>
              <w:t>-</w:t>
            </w:r>
            <w:r w:rsidRPr="00783546">
              <w:rPr>
                <w:rFonts w:cs="Arial"/>
                <w:b/>
                <w:sz w:val="18"/>
                <w:szCs w:val="18"/>
              </w:rPr>
              <w:t>9.32 (-10.40; -8.24)</w:t>
            </w:r>
          </w:p>
        </w:tc>
        <w:tc>
          <w:tcPr>
            <w:tcW w:w="815" w:type="pct"/>
          </w:tcPr>
          <w:p w14:paraId="0A313CFF" w14:textId="77777777" w:rsidR="00E24D6C" w:rsidRPr="00783546" w:rsidRDefault="00E24D6C" w:rsidP="005379F5">
            <w:pPr>
              <w:pStyle w:val="Tabletext"/>
              <w:rPr>
                <w:sz w:val="18"/>
                <w:szCs w:val="18"/>
              </w:rPr>
            </w:pPr>
          </w:p>
        </w:tc>
        <w:tc>
          <w:tcPr>
            <w:tcW w:w="974" w:type="pct"/>
          </w:tcPr>
          <w:p w14:paraId="1DFDCAA5" w14:textId="77777777" w:rsidR="00E24D6C" w:rsidRPr="00783546" w:rsidRDefault="00E24D6C" w:rsidP="005379F5">
            <w:pPr>
              <w:pStyle w:val="Tabletext"/>
              <w:rPr>
                <w:sz w:val="18"/>
                <w:szCs w:val="18"/>
              </w:rPr>
            </w:pPr>
            <w:r w:rsidRPr="00783546">
              <w:rPr>
                <w:sz w:val="18"/>
                <w:szCs w:val="18"/>
              </w:rPr>
              <w:t>A negative mean difference relates to an improvement in back pain. However, these changes were not clinically significant using the proposed MCID of a reduction of 9.5 points. Further, there was uncertainty due the study’s research design (i.e. no comparator group).</w:t>
            </w:r>
          </w:p>
        </w:tc>
      </w:tr>
      <w:tr w:rsidR="00E24D6C" w:rsidRPr="00783546" w14:paraId="2725AF7D" w14:textId="77777777" w:rsidTr="00D30609">
        <w:trPr>
          <w:trHeight w:val="19"/>
        </w:trPr>
        <w:tc>
          <w:tcPr>
            <w:tcW w:w="734" w:type="pct"/>
          </w:tcPr>
          <w:p w14:paraId="297C48B0" w14:textId="77777777" w:rsidR="00E24D6C" w:rsidRPr="00783546" w:rsidRDefault="00E24D6C" w:rsidP="005379F5">
            <w:pPr>
              <w:pStyle w:val="Tabletext"/>
              <w:rPr>
                <w:sz w:val="18"/>
                <w:szCs w:val="18"/>
              </w:rPr>
            </w:pPr>
            <w:r w:rsidRPr="00783546">
              <w:rPr>
                <w:sz w:val="18"/>
                <w:szCs w:val="18"/>
              </w:rPr>
              <w:t>Urinary incontinence symptoms – measured by the ICIQ at pre-op, 6 weeks and 6 months post-op</w:t>
            </w:r>
          </w:p>
        </w:tc>
        <w:tc>
          <w:tcPr>
            <w:tcW w:w="776" w:type="pct"/>
          </w:tcPr>
          <w:p w14:paraId="1FFD49BA" w14:textId="77777777" w:rsidR="00E24D6C" w:rsidRPr="00783546" w:rsidRDefault="00E24D6C" w:rsidP="005379F5">
            <w:pPr>
              <w:pStyle w:val="Tabletext"/>
              <w:rPr>
                <w:sz w:val="18"/>
                <w:szCs w:val="18"/>
              </w:rPr>
            </w:pPr>
            <w:r w:rsidRPr="00783546">
              <w:rPr>
                <w:sz w:val="18"/>
                <w:szCs w:val="18"/>
              </w:rPr>
              <w:t>K = 1, N = 214</w:t>
            </w:r>
          </w:p>
          <w:p w14:paraId="53022A7A" w14:textId="77777777" w:rsidR="00E24D6C" w:rsidRPr="00783546" w:rsidRDefault="00E24D6C" w:rsidP="005379F5">
            <w:pPr>
              <w:pStyle w:val="Tabletext"/>
              <w:rPr>
                <w:sz w:val="18"/>
                <w:szCs w:val="18"/>
              </w:rPr>
            </w:pPr>
            <w:r w:rsidRPr="00783546">
              <w:rPr>
                <w:sz w:val="18"/>
                <w:szCs w:val="18"/>
              </w:rPr>
              <w:t>Prospective cohort study of Australian women (pre and post study design)</w:t>
            </w:r>
          </w:p>
        </w:tc>
        <w:tc>
          <w:tcPr>
            <w:tcW w:w="590" w:type="pct"/>
          </w:tcPr>
          <w:p w14:paraId="15247638" w14:textId="77777777" w:rsidR="00E24D6C" w:rsidRPr="00783546" w:rsidRDefault="00E24D6C" w:rsidP="005379F5">
            <w:pPr>
              <w:pStyle w:val="Tabletext"/>
              <w:rPr>
                <w:rFonts w:cs="Arial"/>
                <w:sz w:val="18"/>
                <w:szCs w:val="18"/>
              </w:rPr>
            </w:pPr>
            <w:r w:rsidRPr="00783546">
              <w:rPr>
                <w:rFonts w:ascii="Cambria Math" w:hAnsi="Cambria Math" w:cs="Cambria Math"/>
                <w:color w:val="00B050"/>
                <w:sz w:val="18"/>
                <w:szCs w:val="18"/>
              </w:rPr>
              <w:t>⨁⨁</w:t>
            </w:r>
            <w:r w:rsidRPr="00783546">
              <w:rPr>
                <w:rFonts w:ascii="Cambria Math" w:hAnsi="Cambria Math" w:cs="Cambria Math"/>
                <w:color w:val="C00000"/>
                <w:sz w:val="18"/>
                <w:szCs w:val="18"/>
              </w:rPr>
              <w:t>⨀⨀</w:t>
            </w:r>
          </w:p>
        </w:tc>
        <w:tc>
          <w:tcPr>
            <w:tcW w:w="1111" w:type="pct"/>
          </w:tcPr>
          <w:p w14:paraId="32D80B66" w14:textId="77777777" w:rsidR="00E24D6C" w:rsidRPr="00783546" w:rsidRDefault="00E24D6C" w:rsidP="005379F5">
            <w:pPr>
              <w:spacing w:before="40" w:after="40"/>
              <w:rPr>
                <w:rFonts w:ascii="Arial Narrow" w:hAnsi="Arial Narrow" w:cs="Arial"/>
                <w:sz w:val="18"/>
                <w:szCs w:val="18"/>
              </w:rPr>
            </w:pPr>
            <w:r w:rsidRPr="00783546">
              <w:rPr>
                <w:rFonts w:ascii="Arial Narrow" w:hAnsi="Arial Narrow" w:cs="Arial"/>
                <w:sz w:val="18"/>
                <w:szCs w:val="18"/>
              </w:rPr>
              <w:t xml:space="preserve">MD at 6 weeks: </w:t>
            </w:r>
          </w:p>
          <w:p w14:paraId="42C5B945" w14:textId="034B969C" w:rsidR="00E24D6C" w:rsidRPr="00783546" w:rsidRDefault="00E24D6C" w:rsidP="00D30609">
            <w:pPr>
              <w:spacing w:before="40" w:after="240"/>
              <w:rPr>
                <w:rFonts w:ascii="Arial Narrow" w:hAnsi="Arial Narrow" w:cs="Arial"/>
                <w:sz w:val="18"/>
                <w:szCs w:val="18"/>
              </w:rPr>
            </w:pPr>
            <w:r w:rsidRPr="00783546">
              <w:rPr>
                <w:rFonts w:ascii="Arial Narrow" w:hAnsi="Arial Narrow" w:cs="Arial"/>
                <w:b/>
                <w:sz w:val="18"/>
                <w:szCs w:val="18"/>
              </w:rPr>
              <w:t>-4.59 (-5.40; -3.78)</w:t>
            </w:r>
            <w:r w:rsidRPr="00783546">
              <w:rPr>
                <w:rFonts w:ascii="Arial Narrow" w:hAnsi="Arial Narrow" w:cs="Arial"/>
                <w:sz w:val="18"/>
                <w:szCs w:val="18"/>
              </w:rPr>
              <w:t xml:space="preserve"> </w:t>
            </w:r>
          </w:p>
          <w:p w14:paraId="36615319" w14:textId="77777777" w:rsidR="00E24D6C" w:rsidRPr="00783546" w:rsidRDefault="00E24D6C" w:rsidP="005379F5">
            <w:pPr>
              <w:spacing w:before="40" w:after="40"/>
              <w:rPr>
                <w:rFonts w:ascii="Arial Narrow" w:hAnsi="Arial Narrow" w:cs="Arial"/>
                <w:sz w:val="18"/>
                <w:szCs w:val="18"/>
              </w:rPr>
            </w:pPr>
            <w:r w:rsidRPr="00783546">
              <w:rPr>
                <w:rFonts w:ascii="Arial Narrow" w:hAnsi="Arial Narrow" w:cs="Arial"/>
                <w:sz w:val="18"/>
                <w:szCs w:val="18"/>
              </w:rPr>
              <w:t xml:space="preserve">MD at 6 months: </w:t>
            </w:r>
          </w:p>
          <w:p w14:paraId="4EBDC76A" w14:textId="77777777" w:rsidR="00E24D6C" w:rsidRPr="00783546" w:rsidRDefault="00E24D6C" w:rsidP="005379F5">
            <w:pPr>
              <w:pStyle w:val="Tabletext"/>
              <w:rPr>
                <w:sz w:val="18"/>
                <w:szCs w:val="18"/>
              </w:rPr>
            </w:pPr>
            <w:r w:rsidRPr="00783546">
              <w:rPr>
                <w:rFonts w:cs="Arial"/>
                <w:b/>
                <w:sz w:val="18"/>
                <w:szCs w:val="18"/>
              </w:rPr>
              <w:t>-4.62 (-5.43; -3.81)</w:t>
            </w:r>
          </w:p>
        </w:tc>
        <w:tc>
          <w:tcPr>
            <w:tcW w:w="815" w:type="pct"/>
          </w:tcPr>
          <w:p w14:paraId="61980579" w14:textId="77777777" w:rsidR="00E24D6C" w:rsidRPr="00783546" w:rsidRDefault="00E24D6C" w:rsidP="005379F5">
            <w:pPr>
              <w:pStyle w:val="Tabletext"/>
              <w:rPr>
                <w:sz w:val="18"/>
                <w:szCs w:val="18"/>
              </w:rPr>
            </w:pPr>
          </w:p>
        </w:tc>
        <w:tc>
          <w:tcPr>
            <w:tcW w:w="974" w:type="pct"/>
          </w:tcPr>
          <w:p w14:paraId="2016D63D" w14:textId="77777777" w:rsidR="00E24D6C" w:rsidRPr="00783546" w:rsidRDefault="00E24D6C" w:rsidP="005379F5">
            <w:pPr>
              <w:pStyle w:val="Tabletext"/>
              <w:rPr>
                <w:sz w:val="18"/>
                <w:szCs w:val="18"/>
              </w:rPr>
            </w:pPr>
            <w:r w:rsidRPr="00783546">
              <w:rPr>
                <w:sz w:val="18"/>
                <w:szCs w:val="18"/>
              </w:rPr>
              <w:t xml:space="preserve">A negative mean difference relates to a reduction of </w:t>
            </w:r>
            <w:r>
              <w:rPr>
                <w:sz w:val="18"/>
                <w:szCs w:val="18"/>
              </w:rPr>
              <w:t xml:space="preserve">uncategorised </w:t>
            </w:r>
            <w:r w:rsidRPr="00783546">
              <w:rPr>
                <w:sz w:val="18"/>
                <w:szCs w:val="18"/>
              </w:rPr>
              <w:t>urinary incontinence signs. Abdominoplasty significantly reduced patients’ urinary incontinence symptoms at six weeks and six months follow-up, however these results were not clinically significant using the proposed MCID of 5 points. Further, there was uncertainty due the study’s research design (i.e. no comparator group) as the effect was based on change from baseline.</w:t>
            </w:r>
          </w:p>
        </w:tc>
      </w:tr>
      <w:tr w:rsidR="00E24D6C" w:rsidRPr="00783546" w14:paraId="315A579E" w14:textId="77777777" w:rsidTr="00D30609">
        <w:trPr>
          <w:trHeight w:val="19"/>
        </w:trPr>
        <w:tc>
          <w:tcPr>
            <w:tcW w:w="734" w:type="pct"/>
          </w:tcPr>
          <w:p w14:paraId="6BCA1344" w14:textId="77777777" w:rsidR="00E24D6C" w:rsidRPr="00783546" w:rsidRDefault="00E24D6C" w:rsidP="005379F5">
            <w:pPr>
              <w:pStyle w:val="Tabletext"/>
              <w:rPr>
                <w:sz w:val="18"/>
                <w:szCs w:val="18"/>
              </w:rPr>
            </w:pPr>
            <w:r w:rsidRPr="00783546">
              <w:rPr>
                <w:sz w:val="18"/>
                <w:szCs w:val="18"/>
              </w:rPr>
              <w:t>Health-related quality of life (as measured by the SF-36)</w:t>
            </w:r>
          </w:p>
          <w:p w14:paraId="42521522" w14:textId="77777777" w:rsidR="00E24D6C" w:rsidRPr="00783546" w:rsidRDefault="00E24D6C" w:rsidP="005379F5">
            <w:pPr>
              <w:pStyle w:val="Tabletext"/>
              <w:rPr>
                <w:sz w:val="18"/>
                <w:szCs w:val="18"/>
              </w:rPr>
            </w:pPr>
          </w:p>
        </w:tc>
        <w:tc>
          <w:tcPr>
            <w:tcW w:w="776" w:type="pct"/>
          </w:tcPr>
          <w:p w14:paraId="620195E3" w14:textId="77777777" w:rsidR="00E24D6C" w:rsidRPr="00783546" w:rsidRDefault="00E24D6C" w:rsidP="005379F5">
            <w:pPr>
              <w:pStyle w:val="Tabletext"/>
              <w:rPr>
                <w:sz w:val="18"/>
                <w:szCs w:val="18"/>
              </w:rPr>
            </w:pPr>
            <w:r w:rsidRPr="00783546">
              <w:rPr>
                <w:sz w:val="18"/>
                <w:szCs w:val="18"/>
              </w:rPr>
              <w:t>K=1, N = 86</w:t>
            </w:r>
          </w:p>
          <w:p w14:paraId="71E00BD0" w14:textId="77777777" w:rsidR="00E24D6C" w:rsidRPr="00783546" w:rsidRDefault="00E24D6C" w:rsidP="005379F5">
            <w:pPr>
              <w:pStyle w:val="Tabletext"/>
              <w:rPr>
                <w:sz w:val="18"/>
                <w:szCs w:val="18"/>
              </w:rPr>
            </w:pPr>
            <w:r w:rsidRPr="00783546">
              <w:rPr>
                <w:sz w:val="18"/>
                <w:szCs w:val="18"/>
              </w:rPr>
              <w:t xml:space="preserve">Emanuelsson’s trial  </w:t>
            </w:r>
          </w:p>
        </w:tc>
        <w:tc>
          <w:tcPr>
            <w:tcW w:w="590" w:type="pct"/>
          </w:tcPr>
          <w:p w14:paraId="3B322F69" w14:textId="77777777" w:rsidR="00E24D6C" w:rsidRPr="00783546" w:rsidRDefault="00E24D6C" w:rsidP="005379F5">
            <w:pPr>
              <w:pStyle w:val="Tabletext"/>
              <w:rPr>
                <w:sz w:val="18"/>
                <w:szCs w:val="18"/>
              </w:rPr>
            </w:pPr>
            <w:r w:rsidRPr="00783546">
              <w:rPr>
                <w:rFonts w:ascii="Cambria Math" w:hAnsi="Cambria Math" w:cs="Cambria Math"/>
                <w:color w:val="00B050"/>
                <w:sz w:val="18"/>
                <w:szCs w:val="18"/>
              </w:rPr>
              <w:t>⨁⨁</w:t>
            </w:r>
            <w:r w:rsidRPr="00783546">
              <w:rPr>
                <w:rFonts w:ascii="Cambria Math" w:hAnsi="Cambria Math" w:cs="Cambria Math"/>
                <w:color w:val="C00000"/>
                <w:sz w:val="18"/>
                <w:szCs w:val="18"/>
              </w:rPr>
              <w:t>⨀⨀</w:t>
            </w:r>
          </w:p>
        </w:tc>
        <w:tc>
          <w:tcPr>
            <w:tcW w:w="1111" w:type="pct"/>
          </w:tcPr>
          <w:p w14:paraId="0F51AAEF" w14:textId="77777777" w:rsidR="00E24D6C" w:rsidRPr="00783546" w:rsidRDefault="00E24D6C" w:rsidP="005379F5">
            <w:pPr>
              <w:spacing w:before="40" w:after="40"/>
              <w:rPr>
                <w:rFonts w:ascii="Arial Narrow" w:hAnsi="Arial Narrow" w:cs="Arial"/>
                <w:sz w:val="18"/>
                <w:szCs w:val="18"/>
              </w:rPr>
            </w:pPr>
            <w:r w:rsidRPr="00783546">
              <w:rPr>
                <w:rFonts w:ascii="Arial Narrow" w:hAnsi="Arial Narrow" w:cs="Arial"/>
                <w:sz w:val="18"/>
                <w:szCs w:val="18"/>
              </w:rPr>
              <w:t xml:space="preserve">Abdominoplasty patients (mesh + Quill) at 12 months: </w:t>
            </w:r>
          </w:p>
          <w:p w14:paraId="4B1759DB" w14:textId="77777777" w:rsidR="00E24D6C" w:rsidRPr="00783546" w:rsidRDefault="00E24D6C" w:rsidP="005379F5">
            <w:pPr>
              <w:spacing w:before="40" w:after="40"/>
              <w:rPr>
                <w:rFonts w:ascii="Arial Narrow" w:hAnsi="Arial Narrow" w:cs="Arial"/>
                <w:sz w:val="18"/>
                <w:szCs w:val="18"/>
              </w:rPr>
            </w:pPr>
            <w:r w:rsidRPr="00783546">
              <w:rPr>
                <w:rFonts w:ascii="Arial Narrow" w:hAnsi="Arial Narrow" w:cs="Arial"/>
                <w:sz w:val="18"/>
                <w:szCs w:val="18"/>
              </w:rPr>
              <w:t>PF: MD =</w:t>
            </w:r>
            <w:r w:rsidRPr="00783546">
              <w:rPr>
                <w:rFonts w:ascii="Arial Narrow" w:hAnsi="Arial Narrow" w:cs="Arial"/>
                <w:b/>
                <w:sz w:val="18"/>
                <w:szCs w:val="18"/>
              </w:rPr>
              <w:t xml:space="preserve"> 10.38 (6.64;14.11) *</w:t>
            </w:r>
          </w:p>
          <w:p w14:paraId="59DF07E4" w14:textId="77777777" w:rsidR="00E24D6C" w:rsidRPr="00783546" w:rsidRDefault="00E24D6C" w:rsidP="005379F5">
            <w:pPr>
              <w:spacing w:before="40" w:after="40"/>
              <w:rPr>
                <w:rFonts w:ascii="Arial Narrow" w:hAnsi="Arial Narrow" w:cs="Arial"/>
                <w:sz w:val="18"/>
                <w:szCs w:val="18"/>
              </w:rPr>
            </w:pPr>
            <w:r w:rsidRPr="00783546">
              <w:rPr>
                <w:rFonts w:ascii="Arial Narrow" w:hAnsi="Arial Narrow" w:cs="Arial"/>
                <w:sz w:val="18"/>
                <w:szCs w:val="18"/>
              </w:rPr>
              <w:t>RP: MD =</w:t>
            </w:r>
            <w:r w:rsidRPr="00783546">
              <w:rPr>
                <w:rFonts w:ascii="Arial Narrow" w:hAnsi="Arial Narrow" w:cs="Arial"/>
                <w:b/>
                <w:sz w:val="18"/>
                <w:szCs w:val="18"/>
              </w:rPr>
              <w:t xml:space="preserve"> 21.80 (12.29; 31.32)</w:t>
            </w:r>
            <w:r w:rsidRPr="00783546">
              <w:rPr>
                <w:rFonts w:ascii="Arial Narrow" w:hAnsi="Arial Narrow" w:cs="Arial"/>
                <w:sz w:val="18"/>
                <w:szCs w:val="18"/>
              </w:rPr>
              <w:t xml:space="preserve"> *</w:t>
            </w:r>
          </w:p>
          <w:p w14:paraId="5C3E8DCB" w14:textId="77777777" w:rsidR="00E24D6C" w:rsidRPr="00783546" w:rsidRDefault="00E24D6C" w:rsidP="005379F5">
            <w:pPr>
              <w:spacing w:before="40" w:after="40"/>
              <w:rPr>
                <w:rFonts w:ascii="Arial Narrow" w:hAnsi="Arial Narrow" w:cs="Arial"/>
                <w:b/>
                <w:sz w:val="18"/>
                <w:szCs w:val="18"/>
              </w:rPr>
            </w:pPr>
            <w:r w:rsidRPr="00783546">
              <w:rPr>
                <w:rFonts w:ascii="Arial Narrow" w:hAnsi="Arial Narrow" w:cs="Arial"/>
                <w:sz w:val="18"/>
                <w:szCs w:val="18"/>
              </w:rPr>
              <w:t>BP: MD =</w:t>
            </w:r>
            <w:r w:rsidRPr="00783546">
              <w:rPr>
                <w:rFonts w:ascii="Arial Narrow" w:hAnsi="Arial Narrow" w:cs="Arial"/>
                <w:b/>
                <w:sz w:val="18"/>
                <w:szCs w:val="18"/>
              </w:rPr>
              <w:t xml:space="preserve"> 15.76 (10.34; 21.18) *</w:t>
            </w:r>
          </w:p>
          <w:p w14:paraId="66D28806" w14:textId="77777777" w:rsidR="00E24D6C" w:rsidRPr="00783546" w:rsidRDefault="00E24D6C" w:rsidP="005379F5">
            <w:pPr>
              <w:spacing w:before="40" w:after="40"/>
              <w:rPr>
                <w:rFonts w:ascii="Arial Narrow" w:hAnsi="Arial Narrow" w:cs="Arial"/>
                <w:b/>
                <w:sz w:val="18"/>
                <w:szCs w:val="18"/>
              </w:rPr>
            </w:pPr>
            <w:r w:rsidRPr="00783546">
              <w:rPr>
                <w:rFonts w:ascii="Arial Narrow" w:hAnsi="Arial Narrow" w:cs="Arial"/>
                <w:sz w:val="18"/>
                <w:szCs w:val="18"/>
              </w:rPr>
              <w:t>GH: MD =</w:t>
            </w:r>
            <w:r w:rsidRPr="00783546">
              <w:rPr>
                <w:rFonts w:ascii="Arial Narrow" w:hAnsi="Arial Narrow" w:cs="Arial"/>
                <w:b/>
                <w:sz w:val="18"/>
                <w:szCs w:val="18"/>
              </w:rPr>
              <w:t xml:space="preserve"> 9.58 (4.86; 14.29) *</w:t>
            </w:r>
          </w:p>
          <w:p w14:paraId="35B941DF" w14:textId="77777777" w:rsidR="00E24D6C" w:rsidRPr="00783546" w:rsidRDefault="00E24D6C" w:rsidP="005379F5">
            <w:pPr>
              <w:spacing w:before="40" w:after="40"/>
              <w:rPr>
                <w:rFonts w:ascii="Arial Narrow" w:hAnsi="Arial Narrow" w:cs="Arial"/>
                <w:b/>
                <w:sz w:val="18"/>
                <w:szCs w:val="18"/>
              </w:rPr>
            </w:pPr>
            <w:r w:rsidRPr="00783546">
              <w:rPr>
                <w:rFonts w:ascii="Arial Narrow" w:hAnsi="Arial Narrow" w:cs="Arial"/>
                <w:sz w:val="18"/>
                <w:szCs w:val="18"/>
              </w:rPr>
              <w:t>VT: MD =</w:t>
            </w:r>
            <w:r w:rsidRPr="00783546">
              <w:rPr>
                <w:rFonts w:ascii="Arial Narrow" w:hAnsi="Arial Narrow" w:cs="Arial"/>
                <w:b/>
                <w:sz w:val="18"/>
                <w:szCs w:val="18"/>
              </w:rPr>
              <w:t xml:space="preserve"> 15.90 (9.31; 22.49) *</w:t>
            </w:r>
          </w:p>
          <w:p w14:paraId="1F20CCE0" w14:textId="77777777" w:rsidR="00E24D6C" w:rsidRPr="00783546" w:rsidRDefault="00E24D6C" w:rsidP="005379F5">
            <w:pPr>
              <w:spacing w:before="40" w:after="40"/>
              <w:rPr>
                <w:rFonts w:ascii="Arial Narrow" w:hAnsi="Arial Narrow" w:cs="Arial"/>
                <w:b/>
                <w:sz w:val="18"/>
                <w:szCs w:val="18"/>
              </w:rPr>
            </w:pPr>
            <w:r w:rsidRPr="00783546">
              <w:rPr>
                <w:rFonts w:ascii="Arial Narrow" w:hAnsi="Arial Narrow" w:cs="Arial"/>
                <w:sz w:val="18"/>
                <w:szCs w:val="18"/>
              </w:rPr>
              <w:t>SF: MD =</w:t>
            </w:r>
            <w:r w:rsidRPr="00783546">
              <w:rPr>
                <w:rFonts w:ascii="Arial Narrow" w:hAnsi="Arial Narrow" w:cs="Arial"/>
                <w:b/>
                <w:sz w:val="18"/>
                <w:szCs w:val="18"/>
              </w:rPr>
              <w:t xml:space="preserve"> 17.26 (8.69; 25.82) *</w:t>
            </w:r>
          </w:p>
          <w:p w14:paraId="48605E14" w14:textId="77777777" w:rsidR="00E24D6C" w:rsidRPr="00783546" w:rsidRDefault="00E24D6C" w:rsidP="005379F5">
            <w:pPr>
              <w:spacing w:before="40" w:after="40"/>
              <w:rPr>
                <w:rFonts w:ascii="Arial Narrow" w:hAnsi="Arial Narrow" w:cs="Arial"/>
                <w:sz w:val="18"/>
                <w:szCs w:val="18"/>
              </w:rPr>
            </w:pPr>
            <w:r w:rsidRPr="00783546">
              <w:rPr>
                <w:rFonts w:ascii="Arial Narrow" w:hAnsi="Arial Narrow" w:cs="Arial"/>
                <w:sz w:val="18"/>
                <w:szCs w:val="18"/>
              </w:rPr>
              <w:t>RE: MD =</w:t>
            </w:r>
            <w:r w:rsidRPr="00783546">
              <w:rPr>
                <w:rFonts w:ascii="Arial Narrow" w:hAnsi="Arial Narrow" w:cs="Arial"/>
                <w:b/>
                <w:sz w:val="18"/>
                <w:szCs w:val="18"/>
              </w:rPr>
              <w:t xml:space="preserve"> 13.18 (3.43; 22.94) *</w:t>
            </w:r>
          </w:p>
          <w:p w14:paraId="657A3C15" w14:textId="0DEBEACC" w:rsidR="00E24D6C" w:rsidRPr="00783546" w:rsidRDefault="00E24D6C" w:rsidP="00D30609">
            <w:pPr>
              <w:spacing w:before="40" w:after="240"/>
              <w:rPr>
                <w:rFonts w:ascii="Arial Narrow" w:hAnsi="Arial Narrow" w:cs="Arial"/>
                <w:b/>
                <w:sz w:val="18"/>
                <w:szCs w:val="18"/>
              </w:rPr>
            </w:pPr>
            <w:r w:rsidRPr="00783546">
              <w:rPr>
                <w:rFonts w:ascii="Arial Narrow" w:hAnsi="Arial Narrow" w:cs="Arial"/>
                <w:sz w:val="18"/>
                <w:szCs w:val="18"/>
              </w:rPr>
              <w:t>MH: MD =</w:t>
            </w:r>
            <w:r w:rsidRPr="00783546">
              <w:rPr>
                <w:rFonts w:ascii="Arial Narrow" w:hAnsi="Arial Narrow" w:cs="Arial"/>
                <w:b/>
                <w:sz w:val="18"/>
                <w:szCs w:val="18"/>
              </w:rPr>
              <w:t xml:space="preserve"> 5.74 (0.35; 11.12)</w:t>
            </w:r>
          </w:p>
          <w:p w14:paraId="1D5FD85C" w14:textId="77777777" w:rsidR="00E24D6C" w:rsidRPr="00783546" w:rsidRDefault="00E24D6C" w:rsidP="005379F5">
            <w:pPr>
              <w:spacing w:before="40" w:after="40"/>
              <w:rPr>
                <w:rFonts w:ascii="Arial Narrow" w:hAnsi="Arial Narrow" w:cs="Arial"/>
                <w:sz w:val="18"/>
                <w:szCs w:val="18"/>
              </w:rPr>
            </w:pPr>
            <w:r w:rsidRPr="00783546">
              <w:rPr>
                <w:rFonts w:ascii="Arial Narrow" w:hAnsi="Arial Narrow" w:cs="Arial"/>
                <w:sz w:val="18"/>
                <w:szCs w:val="18"/>
              </w:rPr>
              <w:t xml:space="preserve">Exercise patients at 3 months: </w:t>
            </w:r>
          </w:p>
          <w:p w14:paraId="00FBF607" w14:textId="77777777" w:rsidR="00E24D6C" w:rsidRPr="00783546" w:rsidRDefault="00E24D6C" w:rsidP="005379F5">
            <w:pPr>
              <w:spacing w:before="40" w:after="40"/>
              <w:rPr>
                <w:rFonts w:ascii="Arial Narrow" w:hAnsi="Arial Narrow" w:cs="Arial"/>
                <w:sz w:val="18"/>
                <w:szCs w:val="18"/>
              </w:rPr>
            </w:pPr>
            <w:r w:rsidRPr="00783546">
              <w:rPr>
                <w:rFonts w:ascii="Arial Narrow" w:hAnsi="Arial Narrow" w:cs="Arial"/>
                <w:sz w:val="18"/>
                <w:szCs w:val="18"/>
              </w:rPr>
              <w:t>PF: MD =</w:t>
            </w:r>
            <w:r w:rsidRPr="00783546">
              <w:rPr>
                <w:rFonts w:ascii="Arial Narrow" w:hAnsi="Arial Narrow" w:cs="Arial"/>
                <w:b/>
                <w:sz w:val="18"/>
                <w:szCs w:val="18"/>
              </w:rPr>
              <w:t xml:space="preserve"> </w:t>
            </w:r>
            <w:r w:rsidRPr="00783546">
              <w:rPr>
                <w:rFonts w:ascii="Arial Narrow" w:hAnsi="Arial Narrow"/>
                <w:b/>
                <w:sz w:val="18"/>
                <w:szCs w:val="18"/>
              </w:rPr>
              <w:t>4.57 (0.66; 8.48)</w:t>
            </w:r>
          </w:p>
          <w:p w14:paraId="5D1A0B49" w14:textId="77777777" w:rsidR="00E24D6C" w:rsidRPr="00783546" w:rsidRDefault="00E24D6C" w:rsidP="005379F5">
            <w:pPr>
              <w:spacing w:before="40" w:after="40"/>
              <w:rPr>
                <w:rFonts w:ascii="Arial Narrow" w:hAnsi="Arial Narrow"/>
                <w:b/>
                <w:sz w:val="18"/>
                <w:szCs w:val="18"/>
              </w:rPr>
            </w:pPr>
            <w:r w:rsidRPr="00783546">
              <w:rPr>
                <w:rFonts w:ascii="Arial Narrow" w:hAnsi="Arial Narrow" w:cs="Arial"/>
                <w:sz w:val="18"/>
                <w:szCs w:val="18"/>
              </w:rPr>
              <w:t>RP: MD =</w:t>
            </w:r>
            <w:r w:rsidRPr="00783546">
              <w:rPr>
                <w:rFonts w:ascii="Arial Narrow" w:hAnsi="Arial Narrow" w:cs="Arial"/>
                <w:b/>
                <w:sz w:val="18"/>
                <w:szCs w:val="18"/>
              </w:rPr>
              <w:t xml:space="preserve"> </w:t>
            </w:r>
            <w:r w:rsidRPr="00783546">
              <w:rPr>
                <w:rFonts w:ascii="Arial Narrow" w:hAnsi="Arial Narrow"/>
                <w:b/>
                <w:sz w:val="18"/>
                <w:szCs w:val="18"/>
              </w:rPr>
              <w:t>18.70 (6.56; 30.83) *</w:t>
            </w:r>
          </w:p>
          <w:p w14:paraId="4B2FD7D2" w14:textId="77777777" w:rsidR="00E24D6C" w:rsidRPr="00783546" w:rsidRDefault="00E24D6C" w:rsidP="005379F5">
            <w:pPr>
              <w:spacing w:before="40" w:after="40"/>
              <w:rPr>
                <w:rFonts w:ascii="Arial Narrow" w:hAnsi="Arial Narrow" w:cs="Arial"/>
                <w:b/>
                <w:sz w:val="18"/>
                <w:szCs w:val="18"/>
              </w:rPr>
            </w:pPr>
            <w:r w:rsidRPr="00783546">
              <w:rPr>
                <w:rFonts w:ascii="Arial Narrow" w:hAnsi="Arial Narrow" w:cs="Arial"/>
                <w:sz w:val="18"/>
                <w:szCs w:val="18"/>
              </w:rPr>
              <w:t>BP:</w:t>
            </w:r>
            <w:r w:rsidRPr="00783546">
              <w:rPr>
                <w:rFonts w:ascii="Arial Narrow" w:hAnsi="Arial Narrow" w:cs="Arial"/>
                <w:b/>
                <w:sz w:val="18"/>
                <w:szCs w:val="18"/>
              </w:rPr>
              <w:t xml:space="preserve"> </w:t>
            </w:r>
            <w:r w:rsidRPr="00783546">
              <w:rPr>
                <w:rFonts w:ascii="Arial Narrow" w:hAnsi="Arial Narrow" w:cs="Arial"/>
                <w:sz w:val="18"/>
                <w:szCs w:val="18"/>
              </w:rPr>
              <w:t>MD =</w:t>
            </w:r>
            <w:r w:rsidRPr="00783546">
              <w:rPr>
                <w:rFonts w:ascii="Arial Narrow" w:hAnsi="Arial Narrow" w:cs="Arial"/>
                <w:b/>
                <w:sz w:val="18"/>
                <w:szCs w:val="18"/>
              </w:rPr>
              <w:t xml:space="preserve"> 7.03 (0.32; 13.74)</w:t>
            </w:r>
          </w:p>
          <w:p w14:paraId="0577729A" w14:textId="77777777" w:rsidR="00E24D6C" w:rsidRPr="00783546" w:rsidRDefault="00E24D6C" w:rsidP="005379F5">
            <w:pPr>
              <w:spacing w:before="40" w:after="40"/>
              <w:rPr>
                <w:rFonts w:ascii="Arial Narrow" w:hAnsi="Arial Narrow" w:cs="Arial"/>
                <w:b/>
                <w:sz w:val="18"/>
                <w:szCs w:val="18"/>
              </w:rPr>
            </w:pPr>
            <w:r w:rsidRPr="00783546">
              <w:rPr>
                <w:rFonts w:ascii="Arial Narrow" w:hAnsi="Arial Narrow" w:cs="Arial"/>
                <w:sz w:val="18"/>
                <w:szCs w:val="18"/>
              </w:rPr>
              <w:t>GH:</w:t>
            </w:r>
            <w:r w:rsidRPr="00783546">
              <w:rPr>
                <w:rFonts w:ascii="Arial Narrow" w:hAnsi="Arial Narrow" w:cs="Arial"/>
                <w:b/>
                <w:sz w:val="18"/>
                <w:szCs w:val="18"/>
              </w:rPr>
              <w:t xml:space="preserve"> </w:t>
            </w:r>
            <w:r w:rsidRPr="00783546">
              <w:rPr>
                <w:rFonts w:ascii="Arial Narrow" w:hAnsi="Arial Narrow" w:cs="Arial"/>
                <w:sz w:val="18"/>
                <w:szCs w:val="18"/>
              </w:rPr>
              <w:t>MD =</w:t>
            </w:r>
            <w:r w:rsidRPr="00783546">
              <w:rPr>
                <w:rFonts w:ascii="Arial Narrow" w:hAnsi="Arial Narrow" w:cs="Arial"/>
                <w:b/>
                <w:sz w:val="18"/>
                <w:szCs w:val="18"/>
              </w:rPr>
              <w:t xml:space="preserve"> </w:t>
            </w:r>
            <w:r w:rsidRPr="00783546">
              <w:rPr>
                <w:rFonts w:ascii="Arial Narrow" w:hAnsi="Arial Narrow"/>
                <w:sz w:val="18"/>
                <w:szCs w:val="18"/>
              </w:rPr>
              <w:t>-3.94(-10.28; 2.41)</w:t>
            </w:r>
          </w:p>
          <w:p w14:paraId="52743338" w14:textId="77777777" w:rsidR="00E24D6C" w:rsidRPr="00783546" w:rsidRDefault="00E24D6C" w:rsidP="005379F5">
            <w:pPr>
              <w:spacing w:before="40" w:after="40"/>
              <w:rPr>
                <w:rFonts w:ascii="Arial Narrow" w:hAnsi="Arial Narrow" w:cs="Arial"/>
                <w:b/>
                <w:sz w:val="18"/>
                <w:szCs w:val="18"/>
              </w:rPr>
            </w:pPr>
            <w:r w:rsidRPr="00783546">
              <w:rPr>
                <w:rFonts w:ascii="Arial Narrow" w:hAnsi="Arial Narrow" w:cs="Arial"/>
                <w:sz w:val="18"/>
                <w:szCs w:val="18"/>
              </w:rPr>
              <w:lastRenderedPageBreak/>
              <w:t>VT:</w:t>
            </w:r>
            <w:r w:rsidRPr="00783546">
              <w:rPr>
                <w:rFonts w:ascii="Arial Narrow" w:hAnsi="Arial Narrow" w:cs="Arial"/>
                <w:b/>
                <w:sz w:val="18"/>
                <w:szCs w:val="18"/>
              </w:rPr>
              <w:t xml:space="preserve"> </w:t>
            </w:r>
            <w:r w:rsidRPr="00783546">
              <w:rPr>
                <w:rFonts w:ascii="Arial Narrow" w:hAnsi="Arial Narrow" w:cs="Arial"/>
                <w:sz w:val="18"/>
                <w:szCs w:val="18"/>
              </w:rPr>
              <w:t>MD =</w:t>
            </w:r>
            <w:r w:rsidRPr="00783546">
              <w:rPr>
                <w:rFonts w:ascii="Arial Narrow" w:hAnsi="Arial Narrow" w:cs="Arial"/>
                <w:b/>
                <w:sz w:val="18"/>
                <w:szCs w:val="18"/>
              </w:rPr>
              <w:t xml:space="preserve"> 7.88 (1.24; 14.52)</w:t>
            </w:r>
          </w:p>
          <w:p w14:paraId="4EDDCACD" w14:textId="77777777" w:rsidR="00E24D6C" w:rsidRPr="00783546" w:rsidRDefault="00E24D6C" w:rsidP="005379F5">
            <w:pPr>
              <w:spacing w:before="40" w:after="40"/>
              <w:rPr>
                <w:rFonts w:ascii="Arial Narrow" w:hAnsi="Arial Narrow" w:cs="Arial"/>
                <w:b/>
                <w:sz w:val="18"/>
                <w:szCs w:val="18"/>
              </w:rPr>
            </w:pPr>
            <w:r w:rsidRPr="00783546">
              <w:rPr>
                <w:rFonts w:ascii="Arial Narrow" w:hAnsi="Arial Narrow" w:cs="Arial"/>
                <w:sz w:val="18"/>
                <w:szCs w:val="18"/>
              </w:rPr>
              <w:t>SF: MD = 5.30 (-3.93; 14.53)</w:t>
            </w:r>
          </w:p>
          <w:p w14:paraId="2DBA040C" w14:textId="77777777" w:rsidR="00E24D6C" w:rsidRPr="00783546" w:rsidRDefault="00E24D6C" w:rsidP="005379F5">
            <w:pPr>
              <w:spacing w:before="40" w:after="40"/>
              <w:rPr>
                <w:rFonts w:ascii="Arial Narrow" w:hAnsi="Arial Narrow" w:cs="Arial"/>
                <w:sz w:val="18"/>
                <w:szCs w:val="18"/>
              </w:rPr>
            </w:pPr>
            <w:r w:rsidRPr="00783546">
              <w:rPr>
                <w:rFonts w:ascii="Arial Narrow" w:hAnsi="Arial Narrow" w:cs="Arial"/>
                <w:sz w:val="18"/>
                <w:szCs w:val="18"/>
              </w:rPr>
              <w:t>RE: MD =5.40 (-8.41; 19.20)</w:t>
            </w:r>
          </w:p>
          <w:p w14:paraId="543A1793" w14:textId="77777777" w:rsidR="00E24D6C" w:rsidRPr="00783546" w:rsidRDefault="00E24D6C" w:rsidP="005379F5">
            <w:pPr>
              <w:pStyle w:val="Tabletext"/>
              <w:rPr>
                <w:sz w:val="18"/>
                <w:szCs w:val="18"/>
              </w:rPr>
            </w:pPr>
            <w:r w:rsidRPr="00783546">
              <w:rPr>
                <w:rFonts w:cs="Arial"/>
                <w:sz w:val="18"/>
                <w:szCs w:val="18"/>
              </w:rPr>
              <w:t>MH: MD = 3.16 (-1.66; 7.99)</w:t>
            </w:r>
          </w:p>
        </w:tc>
        <w:tc>
          <w:tcPr>
            <w:tcW w:w="815" w:type="pct"/>
          </w:tcPr>
          <w:p w14:paraId="53A74CBA" w14:textId="77777777" w:rsidR="00E24D6C" w:rsidRPr="00783546" w:rsidRDefault="00E24D6C" w:rsidP="005379F5">
            <w:pPr>
              <w:spacing w:before="40" w:after="40"/>
              <w:rPr>
                <w:rFonts w:ascii="Arial Narrow" w:hAnsi="Arial Narrow" w:cs="Arial"/>
                <w:sz w:val="18"/>
                <w:szCs w:val="18"/>
              </w:rPr>
            </w:pPr>
            <w:r w:rsidRPr="00783546">
              <w:rPr>
                <w:rFonts w:ascii="Arial Narrow" w:hAnsi="Arial Narrow" w:cs="Arial"/>
                <w:sz w:val="18"/>
                <w:szCs w:val="18"/>
              </w:rPr>
              <w:lastRenderedPageBreak/>
              <w:t xml:space="preserve">Surgery (mesh + Quill) (12 M follow-up) vs. Exercise (3 M follow-up): </w:t>
            </w:r>
          </w:p>
          <w:p w14:paraId="54374BBE" w14:textId="77777777" w:rsidR="00E24D6C" w:rsidRPr="00783546" w:rsidRDefault="00E24D6C" w:rsidP="005379F5">
            <w:pPr>
              <w:spacing w:before="40" w:after="40"/>
              <w:rPr>
                <w:rFonts w:ascii="Arial Narrow" w:hAnsi="Arial Narrow" w:cs="Arial"/>
                <w:sz w:val="18"/>
                <w:szCs w:val="18"/>
              </w:rPr>
            </w:pPr>
            <w:r w:rsidRPr="00783546">
              <w:rPr>
                <w:rFonts w:ascii="Arial Narrow" w:hAnsi="Arial Narrow" w:cs="Arial"/>
                <w:sz w:val="18"/>
                <w:szCs w:val="18"/>
              </w:rPr>
              <w:t>PF: MD =</w:t>
            </w:r>
            <w:r w:rsidRPr="00783546">
              <w:rPr>
                <w:rFonts w:ascii="Arial Narrow" w:hAnsi="Arial Narrow" w:cs="Arial"/>
                <w:b/>
                <w:sz w:val="18"/>
                <w:szCs w:val="18"/>
              </w:rPr>
              <w:t xml:space="preserve"> 5.95 (0.16; 11.75)</w:t>
            </w:r>
          </w:p>
          <w:p w14:paraId="68619F7F" w14:textId="77777777" w:rsidR="00E24D6C" w:rsidRPr="00783546" w:rsidRDefault="00E24D6C" w:rsidP="005379F5">
            <w:pPr>
              <w:spacing w:before="40" w:after="40"/>
              <w:rPr>
                <w:rFonts w:ascii="Arial Narrow" w:hAnsi="Arial Narrow" w:cs="Arial"/>
                <w:b/>
                <w:sz w:val="18"/>
                <w:szCs w:val="18"/>
              </w:rPr>
            </w:pPr>
            <w:r w:rsidRPr="00783546">
              <w:rPr>
                <w:rFonts w:ascii="Arial Narrow" w:hAnsi="Arial Narrow" w:cs="Arial"/>
                <w:sz w:val="18"/>
                <w:szCs w:val="18"/>
              </w:rPr>
              <w:t>RP: MD =</w:t>
            </w:r>
            <w:r w:rsidRPr="00783546">
              <w:rPr>
                <w:rFonts w:ascii="Arial Narrow" w:hAnsi="Arial Narrow" w:cs="Arial"/>
                <w:b/>
                <w:sz w:val="18"/>
                <w:szCs w:val="18"/>
              </w:rPr>
              <w:t xml:space="preserve"> 3.89 (-11.66; 19.44)</w:t>
            </w:r>
          </w:p>
          <w:p w14:paraId="0430C56C" w14:textId="77777777" w:rsidR="00E24D6C" w:rsidRPr="00783546" w:rsidRDefault="00E24D6C" w:rsidP="005379F5">
            <w:pPr>
              <w:spacing w:before="40" w:after="40"/>
              <w:rPr>
                <w:rFonts w:ascii="Arial Narrow" w:hAnsi="Arial Narrow" w:cs="Arial"/>
                <w:b/>
                <w:sz w:val="18"/>
                <w:szCs w:val="18"/>
              </w:rPr>
            </w:pPr>
            <w:r w:rsidRPr="00783546">
              <w:rPr>
                <w:rFonts w:ascii="Arial Narrow" w:hAnsi="Arial Narrow" w:cs="Arial"/>
                <w:sz w:val="18"/>
                <w:szCs w:val="18"/>
              </w:rPr>
              <w:t>BP:</w:t>
            </w:r>
            <w:r w:rsidRPr="00783546">
              <w:rPr>
                <w:rFonts w:ascii="Arial Narrow" w:hAnsi="Arial Narrow" w:cs="Arial"/>
                <w:b/>
                <w:sz w:val="18"/>
                <w:szCs w:val="18"/>
              </w:rPr>
              <w:t xml:space="preserve"> </w:t>
            </w:r>
            <w:r w:rsidRPr="00783546">
              <w:rPr>
                <w:rFonts w:ascii="Arial Narrow" w:hAnsi="Arial Narrow" w:cs="Arial"/>
                <w:sz w:val="18"/>
                <w:szCs w:val="18"/>
              </w:rPr>
              <w:t>MD =</w:t>
            </w:r>
            <w:r w:rsidRPr="00783546">
              <w:rPr>
                <w:rFonts w:ascii="Arial Narrow" w:hAnsi="Arial Narrow" w:cs="Arial"/>
                <w:b/>
                <w:sz w:val="18"/>
                <w:szCs w:val="18"/>
              </w:rPr>
              <w:t xml:space="preserve"> 8.87 (0.04; 17.70) *</w:t>
            </w:r>
          </w:p>
          <w:p w14:paraId="5E12847E" w14:textId="77777777" w:rsidR="00E24D6C" w:rsidRPr="00783546" w:rsidRDefault="00E24D6C" w:rsidP="005379F5">
            <w:pPr>
              <w:spacing w:before="40" w:after="40"/>
              <w:rPr>
                <w:rFonts w:ascii="Arial Narrow" w:hAnsi="Arial Narrow" w:cs="Arial"/>
                <w:sz w:val="18"/>
                <w:szCs w:val="18"/>
              </w:rPr>
            </w:pPr>
            <w:r w:rsidRPr="00783546">
              <w:rPr>
                <w:rFonts w:ascii="Arial Narrow" w:hAnsi="Arial Narrow" w:cs="Arial"/>
                <w:sz w:val="18"/>
                <w:szCs w:val="18"/>
              </w:rPr>
              <w:t>GH:</w:t>
            </w:r>
            <w:r w:rsidRPr="00783546">
              <w:rPr>
                <w:rFonts w:ascii="Arial Narrow" w:hAnsi="Arial Narrow" w:cs="Arial"/>
                <w:b/>
                <w:sz w:val="18"/>
                <w:szCs w:val="18"/>
              </w:rPr>
              <w:t xml:space="preserve"> </w:t>
            </w:r>
            <w:r w:rsidRPr="00783546">
              <w:rPr>
                <w:rFonts w:ascii="Arial Narrow" w:hAnsi="Arial Narrow" w:cs="Arial"/>
                <w:sz w:val="18"/>
                <w:szCs w:val="18"/>
              </w:rPr>
              <w:t xml:space="preserve">MD = </w:t>
            </w:r>
            <w:r w:rsidRPr="00783546">
              <w:rPr>
                <w:rFonts w:ascii="Arial Narrow" w:hAnsi="Arial Narrow" w:cs="Arial"/>
                <w:b/>
                <w:sz w:val="18"/>
                <w:szCs w:val="18"/>
              </w:rPr>
              <w:t>13.77 (5.90; 21.65) *</w:t>
            </w:r>
          </w:p>
          <w:p w14:paraId="0771C1D3" w14:textId="77777777" w:rsidR="00E24D6C" w:rsidRPr="00783546" w:rsidRDefault="00E24D6C" w:rsidP="005379F5">
            <w:pPr>
              <w:spacing w:before="40" w:after="40"/>
              <w:rPr>
                <w:rFonts w:ascii="Arial Narrow" w:hAnsi="Arial Narrow" w:cs="Arial"/>
                <w:b/>
                <w:sz w:val="18"/>
                <w:szCs w:val="18"/>
              </w:rPr>
            </w:pPr>
            <w:r w:rsidRPr="00783546">
              <w:rPr>
                <w:rFonts w:ascii="Arial Narrow" w:hAnsi="Arial Narrow" w:cs="Arial"/>
                <w:sz w:val="18"/>
                <w:szCs w:val="18"/>
              </w:rPr>
              <w:t>VT:</w:t>
            </w:r>
            <w:r w:rsidRPr="00783546">
              <w:rPr>
                <w:rFonts w:ascii="Arial Narrow" w:hAnsi="Arial Narrow" w:cs="Arial"/>
                <w:b/>
                <w:sz w:val="18"/>
                <w:szCs w:val="18"/>
              </w:rPr>
              <w:t xml:space="preserve"> </w:t>
            </w:r>
            <w:r w:rsidRPr="00783546">
              <w:rPr>
                <w:rFonts w:ascii="Arial Narrow" w:hAnsi="Arial Narrow" w:cs="Arial"/>
                <w:sz w:val="18"/>
                <w:szCs w:val="18"/>
              </w:rPr>
              <w:t>MD =</w:t>
            </w:r>
            <w:r w:rsidRPr="00783546">
              <w:rPr>
                <w:rFonts w:ascii="Arial Narrow" w:hAnsi="Arial Narrow" w:cs="Arial"/>
                <w:b/>
                <w:sz w:val="18"/>
                <w:szCs w:val="18"/>
              </w:rPr>
              <w:t xml:space="preserve"> </w:t>
            </w:r>
            <w:r w:rsidRPr="00783546">
              <w:rPr>
                <w:rFonts w:ascii="Arial Narrow" w:hAnsi="Arial Narrow" w:cs="Arial"/>
                <w:sz w:val="18"/>
                <w:szCs w:val="18"/>
              </w:rPr>
              <w:t>8.24 (-1.92; 18.41) *</w:t>
            </w:r>
          </w:p>
          <w:p w14:paraId="32256C48" w14:textId="77777777" w:rsidR="00E24D6C" w:rsidRPr="00783546" w:rsidRDefault="00E24D6C" w:rsidP="005379F5">
            <w:pPr>
              <w:spacing w:before="40" w:after="40"/>
              <w:rPr>
                <w:rFonts w:ascii="Arial Narrow" w:hAnsi="Arial Narrow" w:cs="Arial"/>
                <w:sz w:val="18"/>
                <w:szCs w:val="18"/>
              </w:rPr>
            </w:pPr>
            <w:r w:rsidRPr="00783546">
              <w:rPr>
                <w:rFonts w:ascii="Arial Narrow" w:hAnsi="Arial Narrow" w:cs="Arial"/>
                <w:sz w:val="18"/>
                <w:szCs w:val="18"/>
              </w:rPr>
              <w:t>SF: MD =</w:t>
            </w:r>
            <w:r w:rsidRPr="00783546">
              <w:rPr>
                <w:rFonts w:ascii="Arial Narrow" w:hAnsi="Arial Narrow" w:cs="Arial"/>
                <w:b/>
                <w:sz w:val="18"/>
                <w:szCs w:val="18"/>
              </w:rPr>
              <w:t xml:space="preserve"> </w:t>
            </w:r>
            <w:r w:rsidRPr="00783546">
              <w:rPr>
                <w:rFonts w:ascii="Arial Narrow" w:hAnsi="Arial Narrow" w:cs="Arial"/>
                <w:sz w:val="18"/>
                <w:szCs w:val="18"/>
              </w:rPr>
              <w:t>12.50 (-0.91; 25.91) *</w:t>
            </w:r>
          </w:p>
          <w:p w14:paraId="60B7DB93" w14:textId="77777777" w:rsidR="00E24D6C" w:rsidRPr="00783546" w:rsidRDefault="00E24D6C" w:rsidP="005379F5">
            <w:pPr>
              <w:spacing w:before="40" w:after="40"/>
              <w:rPr>
                <w:rFonts w:ascii="Arial Narrow" w:hAnsi="Arial Narrow" w:cs="Arial"/>
                <w:b/>
                <w:sz w:val="18"/>
                <w:szCs w:val="18"/>
              </w:rPr>
            </w:pPr>
            <w:r w:rsidRPr="00783546">
              <w:rPr>
                <w:rFonts w:ascii="Arial Narrow" w:hAnsi="Arial Narrow" w:cs="Arial"/>
                <w:sz w:val="18"/>
                <w:szCs w:val="18"/>
              </w:rPr>
              <w:t>RE: MD =</w:t>
            </w:r>
            <w:r w:rsidRPr="00783546">
              <w:rPr>
                <w:rFonts w:ascii="Arial Narrow" w:hAnsi="Arial Narrow" w:cs="Arial"/>
                <w:b/>
                <w:sz w:val="18"/>
                <w:szCs w:val="18"/>
              </w:rPr>
              <w:t xml:space="preserve"> </w:t>
            </w:r>
            <w:r w:rsidRPr="00783546">
              <w:rPr>
                <w:rFonts w:ascii="Arial Narrow" w:hAnsi="Arial Narrow" w:cs="Arial"/>
                <w:sz w:val="18"/>
                <w:szCs w:val="18"/>
              </w:rPr>
              <w:t>8.24 (-1.92; 18.41) *</w:t>
            </w:r>
          </w:p>
          <w:p w14:paraId="086F72F1" w14:textId="77777777" w:rsidR="00E24D6C" w:rsidRPr="00783546" w:rsidRDefault="00E24D6C" w:rsidP="005379F5">
            <w:pPr>
              <w:pStyle w:val="Tabletext"/>
              <w:rPr>
                <w:b/>
                <w:sz w:val="18"/>
                <w:szCs w:val="18"/>
              </w:rPr>
            </w:pPr>
            <w:r w:rsidRPr="00783546">
              <w:rPr>
                <w:rFonts w:cs="Arial"/>
                <w:sz w:val="18"/>
                <w:szCs w:val="18"/>
              </w:rPr>
              <w:t>MH: MD = 2.61 (-5.50; 10.71)</w:t>
            </w:r>
          </w:p>
        </w:tc>
        <w:tc>
          <w:tcPr>
            <w:tcW w:w="974" w:type="pct"/>
          </w:tcPr>
          <w:p w14:paraId="3699478A" w14:textId="77777777" w:rsidR="00E24D6C" w:rsidRPr="00783546" w:rsidRDefault="00E24D6C" w:rsidP="005379F5">
            <w:pPr>
              <w:pStyle w:val="Tabletext"/>
              <w:rPr>
                <w:sz w:val="18"/>
                <w:szCs w:val="18"/>
              </w:rPr>
            </w:pPr>
            <w:r w:rsidRPr="00783546">
              <w:rPr>
                <w:sz w:val="18"/>
                <w:szCs w:val="18"/>
              </w:rPr>
              <w:t>Compared to patients allocated to exercise, abdominoplasty patients experienced both clinically and statistically significant improvements in the SF-36 domains measuring “General Health” and “Bodily Pain” at 12 follow-up. However, given the difference in follow-up time between exercise and surgical groups (3 months vs. 12 months), these results should be interpreted with caution.</w:t>
            </w:r>
          </w:p>
        </w:tc>
      </w:tr>
      <w:tr w:rsidR="00E24D6C" w:rsidRPr="00783546" w14:paraId="3B7AE374" w14:textId="77777777" w:rsidTr="00D30609">
        <w:trPr>
          <w:trHeight w:val="234"/>
        </w:trPr>
        <w:tc>
          <w:tcPr>
            <w:tcW w:w="734" w:type="pct"/>
          </w:tcPr>
          <w:p w14:paraId="71E0241C" w14:textId="77777777" w:rsidR="00E24D6C" w:rsidRPr="00783546" w:rsidRDefault="00E24D6C" w:rsidP="005379F5">
            <w:pPr>
              <w:pStyle w:val="Tabletext"/>
              <w:rPr>
                <w:sz w:val="18"/>
                <w:szCs w:val="18"/>
              </w:rPr>
            </w:pPr>
            <w:r w:rsidRPr="00783546">
              <w:rPr>
                <w:sz w:val="18"/>
                <w:szCs w:val="18"/>
              </w:rPr>
              <w:t>Proportion of patients reporting they have abdominal wall pain right now that is not easily ignored (VHQP)</w:t>
            </w:r>
          </w:p>
        </w:tc>
        <w:tc>
          <w:tcPr>
            <w:tcW w:w="776" w:type="pct"/>
          </w:tcPr>
          <w:p w14:paraId="3ED62C99" w14:textId="77777777" w:rsidR="00E24D6C" w:rsidRPr="00783546" w:rsidRDefault="00E24D6C" w:rsidP="005379F5">
            <w:pPr>
              <w:pStyle w:val="Tabletext"/>
              <w:rPr>
                <w:sz w:val="18"/>
                <w:szCs w:val="18"/>
              </w:rPr>
            </w:pPr>
            <w:r w:rsidRPr="00783546">
              <w:rPr>
                <w:sz w:val="18"/>
                <w:szCs w:val="18"/>
              </w:rPr>
              <w:t>K=1, N = 86</w:t>
            </w:r>
          </w:p>
          <w:p w14:paraId="3979CF1C" w14:textId="77777777" w:rsidR="00E24D6C" w:rsidRPr="00783546" w:rsidRDefault="00E24D6C" w:rsidP="005379F5">
            <w:pPr>
              <w:pStyle w:val="Tabletext"/>
              <w:rPr>
                <w:sz w:val="18"/>
                <w:szCs w:val="18"/>
              </w:rPr>
            </w:pPr>
            <w:r w:rsidRPr="00783546">
              <w:rPr>
                <w:sz w:val="18"/>
                <w:szCs w:val="18"/>
              </w:rPr>
              <w:t xml:space="preserve">Emanuelsson’s trial  </w:t>
            </w:r>
          </w:p>
        </w:tc>
        <w:tc>
          <w:tcPr>
            <w:tcW w:w="590" w:type="pct"/>
          </w:tcPr>
          <w:p w14:paraId="110B43BC" w14:textId="77777777" w:rsidR="00E24D6C" w:rsidRPr="00783546" w:rsidRDefault="00E24D6C" w:rsidP="005379F5">
            <w:pPr>
              <w:pStyle w:val="Tabletext"/>
              <w:rPr>
                <w:rFonts w:cs="Arial"/>
                <w:sz w:val="18"/>
                <w:szCs w:val="18"/>
              </w:rPr>
            </w:pPr>
            <w:r w:rsidRPr="00783546">
              <w:rPr>
                <w:rFonts w:ascii="Cambria Math" w:hAnsi="Cambria Math"/>
                <w:color w:val="00B050"/>
                <w:sz w:val="18"/>
                <w:szCs w:val="18"/>
              </w:rPr>
              <w:t>⨁⨁</w:t>
            </w:r>
            <w:r w:rsidRPr="00783546">
              <w:rPr>
                <w:rFonts w:ascii="Cambria Math" w:hAnsi="Cambria Math" w:cs="Cambria Math"/>
                <w:color w:val="C00000"/>
                <w:sz w:val="18"/>
                <w:szCs w:val="18"/>
              </w:rPr>
              <w:t>⨀⨀</w:t>
            </w:r>
          </w:p>
        </w:tc>
        <w:tc>
          <w:tcPr>
            <w:tcW w:w="1111" w:type="pct"/>
          </w:tcPr>
          <w:p w14:paraId="78323F9C" w14:textId="77777777" w:rsidR="00E24D6C" w:rsidRPr="00783546" w:rsidRDefault="00E24D6C" w:rsidP="005379F5">
            <w:pPr>
              <w:spacing w:before="40" w:after="40"/>
              <w:rPr>
                <w:rFonts w:ascii="Arial Narrow" w:hAnsi="Arial Narrow" w:cs="Arial"/>
                <w:sz w:val="18"/>
                <w:szCs w:val="18"/>
              </w:rPr>
            </w:pPr>
            <w:r w:rsidRPr="00783546">
              <w:rPr>
                <w:rFonts w:ascii="Arial Narrow" w:hAnsi="Arial Narrow" w:cs="Arial"/>
                <w:sz w:val="18"/>
                <w:szCs w:val="18"/>
              </w:rPr>
              <w:t>Abdominoplasty patients (mesh + Quill)</w:t>
            </w:r>
          </w:p>
          <w:p w14:paraId="3ABF4C57" w14:textId="77777777" w:rsidR="00E24D6C" w:rsidRPr="00783546" w:rsidRDefault="00E24D6C" w:rsidP="005379F5">
            <w:pPr>
              <w:spacing w:before="40" w:after="40"/>
              <w:rPr>
                <w:rFonts w:ascii="Arial Narrow" w:hAnsi="Arial Narrow" w:cs="Arial"/>
                <w:sz w:val="18"/>
                <w:szCs w:val="18"/>
              </w:rPr>
            </w:pPr>
            <w:r w:rsidRPr="00783546">
              <w:rPr>
                <w:rFonts w:ascii="Arial Narrow" w:hAnsi="Arial Narrow" w:cs="Arial"/>
                <w:sz w:val="18"/>
                <w:szCs w:val="18"/>
              </w:rPr>
              <w:t xml:space="preserve">-at 3 months follow-up: </w:t>
            </w:r>
          </w:p>
          <w:p w14:paraId="57E08B6F" w14:textId="77777777" w:rsidR="00E24D6C" w:rsidRPr="00783546" w:rsidRDefault="00E24D6C" w:rsidP="005379F5">
            <w:pPr>
              <w:spacing w:before="40" w:after="40"/>
              <w:rPr>
                <w:rFonts w:ascii="Arial Narrow" w:hAnsi="Arial Narrow" w:cs="Arial"/>
                <w:sz w:val="18"/>
                <w:szCs w:val="18"/>
              </w:rPr>
            </w:pPr>
            <w:r w:rsidRPr="00783546">
              <w:rPr>
                <w:rFonts w:ascii="Arial Narrow" w:hAnsi="Arial Narrow" w:cs="Arial"/>
                <w:sz w:val="18"/>
                <w:szCs w:val="18"/>
              </w:rPr>
              <w:t>OR =0.97 (0.39, 2.42)</w:t>
            </w:r>
          </w:p>
          <w:p w14:paraId="5C51F564" w14:textId="77777777" w:rsidR="00E24D6C" w:rsidRPr="00783546" w:rsidRDefault="00E24D6C" w:rsidP="005379F5">
            <w:pPr>
              <w:spacing w:before="40" w:after="40"/>
              <w:rPr>
                <w:rFonts w:ascii="Arial Narrow" w:hAnsi="Arial Narrow" w:cs="Arial"/>
                <w:sz w:val="18"/>
                <w:szCs w:val="18"/>
              </w:rPr>
            </w:pPr>
            <w:r w:rsidRPr="00783546">
              <w:rPr>
                <w:rFonts w:ascii="Arial Narrow" w:hAnsi="Arial Narrow" w:cs="Arial"/>
                <w:sz w:val="18"/>
                <w:szCs w:val="18"/>
              </w:rPr>
              <w:t>-at 12 months follow-up</w:t>
            </w:r>
          </w:p>
          <w:p w14:paraId="63C8E944" w14:textId="12624F10" w:rsidR="00E24D6C" w:rsidRPr="00783546" w:rsidRDefault="00E24D6C" w:rsidP="00D30609">
            <w:pPr>
              <w:spacing w:before="40" w:after="240"/>
              <w:rPr>
                <w:rFonts w:ascii="Arial Narrow" w:hAnsi="Arial Narrow" w:cs="Arial"/>
                <w:sz w:val="18"/>
                <w:szCs w:val="18"/>
              </w:rPr>
            </w:pPr>
            <w:r w:rsidRPr="00783546">
              <w:rPr>
                <w:rFonts w:ascii="Arial Narrow" w:hAnsi="Arial Narrow" w:cs="Arial"/>
                <w:sz w:val="18"/>
                <w:szCs w:val="18"/>
              </w:rPr>
              <w:t>OR =</w:t>
            </w:r>
            <w:r w:rsidRPr="00783546">
              <w:rPr>
                <w:rFonts w:ascii="Arial Narrow" w:hAnsi="Arial Narrow" w:cs="Arial"/>
                <w:b/>
                <w:sz w:val="18"/>
                <w:szCs w:val="18"/>
              </w:rPr>
              <w:t xml:space="preserve"> 0.31 (0.11, 0.92)</w:t>
            </w:r>
          </w:p>
          <w:p w14:paraId="2DA9D3CF" w14:textId="77777777" w:rsidR="00E24D6C" w:rsidRPr="00783546" w:rsidRDefault="00E24D6C" w:rsidP="005379F5">
            <w:pPr>
              <w:pStyle w:val="Tabletext"/>
              <w:rPr>
                <w:sz w:val="18"/>
                <w:szCs w:val="18"/>
              </w:rPr>
            </w:pPr>
            <w:r w:rsidRPr="00783546">
              <w:rPr>
                <w:rFonts w:cs="Arial"/>
                <w:sz w:val="18"/>
                <w:szCs w:val="18"/>
              </w:rPr>
              <w:t>Exercise patients at 3 months follow-up: OR = 2.18 (0.51, 9.33)</w:t>
            </w:r>
          </w:p>
        </w:tc>
        <w:tc>
          <w:tcPr>
            <w:tcW w:w="815" w:type="pct"/>
          </w:tcPr>
          <w:p w14:paraId="672F7A92" w14:textId="77777777" w:rsidR="00E24D6C" w:rsidRPr="00783546" w:rsidRDefault="00E24D6C" w:rsidP="005379F5">
            <w:pPr>
              <w:pStyle w:val="Tabletext"/>
              <w:rPr>
                <w:sz w:val="18"/>
                <w:szCs w:val="18"/>
              </w:rPr>
            </w:pPr>
            <w:r w:rsidRPr="00783546">
              <w:rPr>
                <w:rFonts w:cs="Arial"/>
                <w:sz w:val="18"/>
                <w:szCs w:val="18"/>
              </w:rPr>
              <w:t>Not comparable</w:t>
            </w:r>
          </w:p>
        </w:tc>
        <w:tc>
          <w:tcPr>
            <w:tcW w:w="974" w:type="pct"/>
          </w:tcPr>
          <w:p w14:paraId="237E3318" w14:textId="77777777" w:rsidR="00E24D6C" w:rsidRPr="00783546" w:rsidRDefault="00E24D6C" w:rsidP="005379F5">
            <w:pPr>
              <w:pStyle w:val="Tabletext"/>
              <w:rPr>
                <w:sz w:val="18"/>
                <w:szCs w:val="18"/>
              </w:rPr>
            </w:pPr>
            <w:r w:rsidRPr="00783546">
              <w:rPr>
                <w:sz w:val="18"/>
                <w:szCs w:val="18"/>
              </w:rPr>
              <w:t>Abdominoplasty patients reported a significant reduction in pain at 12 months follow-up but not at three months follow-up, there was no indication as to what exercise was advised post operatively. Exercise patients were marginally more likely to report pain at three months follow-up than at baseline. However, given the limited data available and difference in follow-up time, it was not possible to compare treatment groups.</w:t>
            </w:r>
          </w:p>
        </w:tc>
      </w:tr>
      <w:tr w:rsidR="00E24D6C" w:rsidRPr="00783546" w14:paraId="6BA074E6" w14:textId="77777777" w:rsidTr="00D30609">
        <w:trPr>
          <w:trHeight w:val="226"/>
        </w:trPr>
        <w:tc>
          <w:tcPr>
            <w:tcW w:w="734" w:type="pct"/>
          </w:tcPr>
          <w:p w14:paraId="7474BAC5" w14:textId="77777777" w:rsidR="00E24D6C" w:rsidRPr="00783546" w:rsidRDefault="00E24D6C" w:rsidP="005379F5">
            <w:pPr>
              <w:pStyle w:val="Tabletext"/>
              <w:rPr>
                <w:sz w:val="18"/>
                <w:szCs w:val="18"/>
              </w:rPr>
            </w:pPr>
            <w:r w:rsidRPr="00783546">
              <w:rPr>
                <w:sz w:val="18"/>
                <w:szCs w:val="18"/>
              </w:rPr>
              <w:t>Improvements in abdominal wall strength (VAS).</w:t>
            </w:r>
          </w:p>
        </w:tc>
        <w:tc>
          <w:tcPr>
            <w:tcW w:w="776" w:type="pct"/>
          </w:tcPr>
          <w:p w14:paraId="3D2E0B68" w14:textId="77777777" w:rsidR="00E24D6C" w:rsidRPr="00783546" w:rsidRDefault="00E24D6C" w:rsidP="005379F5">
            <w:pPr>
              <w:pStyle w:val="Tabletext"/>
              <w:rPr>
                <w:sz w:val="18"/>
                <w:szCs w:val="18"/>
              </w:rPr>
            </w:pPr>
            <w:r w:rsidRPr="00783546">
              <w:rPr>
                <w:sz w:val="18"/>
                <w:szCs w:val="18"/>
              </w:rPr>
              <w:t>K=1, N = 86</w:t>
            </w:r>
          </w:p>
          <w:p w14:paraId="2A7867BA" w14:textId="77777777" w:rsidR="00E24D6C" w:rsidRPr="00783546" w:rsidRDefault="00E24D6C" w:rsidP="005379F5">
            <w:pPr>
              <w:pStyle w:val="Tabletext"/>
              <w:rPr>
                <w:sz w:val="18"/>
                <w:szCs w:val="18"/>
              </w:rPr>
            </w:pPr>
            <w:r w:rsidRPr="00783546">
              <w:rPr>
                <w:sz w:val="18"/>
                <w:szCs w:val="18"/>
              </w:rPr>
              <w:t xml:space="preserve">Emanuelsson’s trial  </w:t>
            </w:r>
          </w:p>
        </w:tc>
        <w:tc>
          <w:tcPr>
            <w:tcW w:w="590" w:type="pct"/>
          </w:tcPr>
          <w:p w14:paraId="68302754" w14:textId="77777777" w:rsidR="00E24D6C" w:rsidRPr="00783546" w:rsidRDefault="00E24D6C" w:rsidP="005379F5">
            <w:pPr>
              <w:pStyle w:val="Tabletext"/>
              <w:rPr>
                <w:rFonts w:cs="Arial"/>
                <w:sz w:val="18"/>
                <w:szCs w:val="18"/>
              </w:rPr>
            </w:pPr>
            <w:r w:rsidRPr="00783546">
              <w:rPr>
                <w:rFonts w:ascii="Cambria Math" w:hAnsi="Cambria Math"/>
                <w:color w:val="00B050"/>
                <w:sz w:val="18"/>
                <w:szCs w:val="18"/>
              </w:rPr>
              <w:t>⨁⨁</w:t>
            </w:r>
            <w:r w:rsidRPr="00783546">
              <w:rPr>
                <w:rFonts w:ascii="Cambria Math" w:hAnsi="Cambria Math" w:cs="Cambria Math"/>
                <w:color w:val="C00000"/>
                <w:sz w:val="18"/>
                <w:szCs w:val="18"/>
              </w:rPr>
              <w:t>⨀⨀</w:t>
            </w:r>
          </w:p>
        </w:tc>
        <w:tc>
          <w:tcPr>
            <w:tcW w:w="1111" w:type="pct"/>
          </w:tcPr>
          <w:p w14:paraId="1A61BCC6" w14:textId="77777777" w:rsidR="00E24D6C" w:rsidRPr="00783546" w:rsidRDefault="00E24D6C" w:rsidP="005379F5">
            <w:pPr>
              <w:pStyle w:val="Tabletext"/>
              <w:rPr>
                <w:sz w:val="18"/>
                <w:szCs w:val="18"/>
              </w:rPr>
            </w:pPr>
            <w:r w:rsidRPr="00783546">
              <w:rPr>
                <w:sz w:val="18"/>
                <w:szCs w:val="18"/>
              </w:rPr>
              <w:t>At 3 months follow-up treatment groups</w:t>
            </w:r>
          </w:p>
          <w:p w14:paraId="3293CA0D" w14:textId="77777777" w:rsidR="00E24D6C" w:rsidRPr="00783546" w:rsidRDefault="00E24D6C" w:rsidP="005379F5">
            <w:pPr>
              <w:pStyle w:val="Tabletext"/>
              <w:rPr>
                <w:sz w:val="18"/>
                <w:szCs w:val="18"/>
              </w:rPr>
            </w:pPr>
            <w:r w:rsidRPr="00783546">
              <w:rPr>
                <w:sz w:val="18"/>
                <w:szCs w:val="18"/>
              </w:rPr>
              <w:t>Mesh (i.e. surgery) : mean = 6.9 (range: 0 - 10)</w:t>
            </w:r>
          </w:p>
          <w:p w14:paraId="6ABB318E" w14:textId="77777777" w:rsidR="00E24D6C" w:rsidRPr="00783546" w:rsidRDefault="00E24D6C" w:rsidP="005379F5">
            <w:pPr>
              <w:pStyle w:val="Tabletext"/>
              <w:rPr>
                <w:sz w:val="18"/>
                <w:szCs w:val="18"/>
              </w:rPr>
            </w:pPr>
            <w:r w:rsidRPr="00783546">
              <w:rPr>
                <w:sz w:val="18"/>
                <w:szCs w:val="18"/>
              </w:rPr>
              <w:t>Quill: (i.e. surgery) mean = 6.9 (range: 0 - 10)</w:t>
            </w:r>
          </w:p>
          <w:p w14:paraId="1C9CF791" w14:textId="6957A91E" w:rsidR="00E24D6C" w:rsidRPr="00783546" w:rsidRDefault="00E24D6C" w:rsidP="00D30609">
            <w:pPr>
              <w:pStyle w:val="Tabletext"/>
              <w:spacing w:after="240"/>
              <w:rPr>
                <w:sz w:val="18"/>
                <w:szCs w:val="18"/>
              </w:rPr>
            </w:pPr>
            <w:r w:rsidRPr="00783546">
              <w:rPr>
                <w:sz w:val="18"/>
                <w:szCs w:val="18"/>
              </w:rPr>
              <w:t>Exercise: median =3 (SD 2.76)</w:t>
            </w:r>
          </w:p>
          <w:p w14:paraId="4CD22C86" w14:textId="77777777" w:rsidR="00E24D6C" w:rsidRPr="00783546" w:rsidRDefault="00E24D6C" w:rsidP="005379F5">
            <w:pPr>
              <w:pStyle w:val="Tabletext"/>
              <w:rPr>
                <w:sz w:val="18"/>
                <w:szCs w:val="18"/>
              </w:rPr>
            </w:pPr>
            <w:r w:rsidRPr="00783546">
              <w:rPr>
                <w:sz w:val="18"/>
                <w:szCs w:val="18"/>
              </w:rPr>
              <w:t>At 12 months follow-up (surgical groups only)</w:t>
            </w:r>
          </w:p>
          <w:p w14:paraId="3602E905" w14:textId="77777777" w:rsidR="00E24D6C" w:rsidRPr="00783546" w:rsidRDefault="00E24D6C" w:rsidP="005379F5">
            <w:pPr>
              <w:pStyle w:val="Tabletext"/>
              <w:rPr>
                <w:sz w:val="18"/>
                <w:szCs w:val="18"/>
              </w:rPr>
            </w:pPr>
            <w:r w:rsidRPr="00783546">
              <w:rPr>
                <w:sz w:val="18"/>
                <w:szCs w:val="18"/>
              </w:rPr>
              <w:t>Mesh: median = 8 (SD: 10)</w:t>
            </w:r>
          </w:p>
          <w:p w14:paraId="28B24494" w14:textId="77777777" w:rsidR="00E24D6C" w:rsidRPr="00783546" w:rsidRDefault="00E24D6C" w:rsidP="005379F5">
            <w:pPr>
              <w:pStyle w:val="Tabletext"/>
              <w:rPr>
                <w:sz w:val="18"/>
                <w:szCs w:val="18"/>
              </w:rPr>
            </w:pPr>
            <w:r w:rsidRPr="00783546">
              <w:rPr>
                <w:sz w:val="18"/>
                <w:szCs w:val="18"/>
              </w:rPr>
              <w:t>Quill: median = 7 (SD: 2.26)</w:t>
            </w:r>
          </w:p>
        </w:tc>
        <w:tc>
          <w:tcPr>
            <w:tcW w:w="815" w:type="pct"/>
          </w:tcPr>
          <w:p w14:paraId="59FD9A7C" w14:textId="77777777" w:rsidR="00E24D6C" w:rsidRPr="00783546" w:rsidRDefault="00E24D6C" w:rsidP="005379F5">
            <w:pPr>
              <w:pStyle w:val="Tabletext"/>
              <w:rPr>
                <w:sz w:val="18"/>
                <w:szCs w:val="18"/>
              </w:rPr>
            </w:pPr>
            <w:r w:rsidRPr="00783546">
              <w:rPr>
                <w:sz w:val="18"/>
                <w:szCs w:val="18"/>
              </w:rPr>
              <w:t>Compared to exercise patients at 3 months follow-up, both surgical groups (mesh and Quill) reported significantly greater improvements in abdominal strength at 12 months follow-up (p &lt; 0.05).</w:t>
            </w:r>
          </w:p>
        </w:tc>
        <w:tc>
          <w:tcPr>
            <w:tcW w:w="974" w:type="pct"/>
          </w:tcPr>
          <w:p w14:paraId="711C7424" w14:textId="77777777" w:rsidR="00E24D6C" w:rsidRPr="00783546" w:rsidRDefault="00E24D6C" w:rsidP="005379F5">
            <w:pPr>
              <w:pStyle w:val="Tabletext"/>
              <w:rPr>
                <w:sz w:val="18"/>
                <w:szCs w:val="18"/>
              </w:rPr>
            </w:pPr>
            <w:r w:rsidRPr="00783546">
              <w:rPr>
                <w:sz w:val="18"/>
                <w:szCs w:val="18"/>
              </w:rPr>
              <w:t>Abdominoplasty patients (in mesh and Quill groups) were more likely to report perceived improvements in abdominal wall strength at 12 months follow-up, compared to exercise patients at three months follow-up. However, given the limited data available and difference in follow-up time, it was difficult to compare treatment groups.</w:t>
            </w:r>
          </w:p>
        </w:tc>
      </w:tr>
    </w:tbl>
    <w:p w14:paraId="05B18415" w14:textId="77777777" w:rsidR="00E24D6C" w:rsidRPr="00331137" w:rsidRDefault="00E24D6C" w:rsidP="00E24D6C">
      <w:pPr>
        <w:pStyle w:val="TableFooter"/>
        <w:jc w:val="left"/>
      </w:pPr>
      <w:r w:rsidRPr="00331137">
        <w:t xml:space="preserve">BP = Bodily Pain; CI = confidence interval; GH = General Health; </w:t>
      </w:r>
      <w:r w:rsidRPr="00331137">
        <w:rPr>
          <w:rFonts w:cstheme="minorHAnsi"/>
          <w:szCs w:val="18"/>
          <w:shd w:val="clear" w:color="auto" w:fill="FFFFFF"/>
        </w:rPr>
        <w:t xml:space="preserve">ICIQ = International Consultation on Incontinence Questionnaire; </w:t>
      </w:r>
      <w:r w:rsidRPr="00331137">
        <w:t xml:space="preserve">M = months, MCID = minimally clinically important difference; MD = mean difference, MH = Mental Health; </w:t>
      </w:r>
      <w:r w:rsidRPr="00331137">
        <w:rPr>
          <w:rStyle w:val="TablenotesChar"/>
          <w:szCs w:val="18"/>
        </w:rPr>
        <w:t>ODI = Oswestry Disability Index;</w:t>
      </w:r>
      <w:r w:rsidRPr="00331137">
        <w:t xml:space="preserve"> OR = odds ratio; PF = Physical Function; RE = Emotional Role Functioning; RP = Physical Role Functioning; SD = standard deviation; SF = Social Functioning; VAS = visual analogue scale, VHPQ = Ventral Hernia Pain Questionnaire; VT =Vitality, </w:t>
      </w:r>
      <w:r w:rsidRPr="00331137">
        <w:rPr>
          <w:b/>
        </w:rPr>
        <w:t>Bold</w:t>
      </w:r>
      <w:r w:rsidRPr="00331137">
        <w:t xml:space="preserve"> = statistically significant change from baseline (p &lt; 0.05); * = clinically significant (i.e. above the proposed MCID)</w:t>
      </w:r>
    </w:p>
    <w:p w14:paraId="0624DC18" w14:textId="77777777" w:rsidR="00E24D6C" w:rsidRDefault="00E24D6C" w:rsidP="00E24D6C">
      <w:pPr>
        <w:pStyle w:val="Tablenotes"/>
        <w:sectPr w:rsidR="00E24D6C" w:rsidSect="00E24D6C">
          <w:footerReference w:type="default" r:id="rId18"/>
          <w:pgSz w:w="16838" w:h="11906" w:orient="landscape"/>
          <w:pgMar w:top="1440" w:right="1134" w:bottom="1440" w:left="426" w:header="708" w:footer="708" w:gutter="0"/>
          <w:cols w:space="708"/>
          <w:docGrid w:linePitch="360"/>
        </w:sectPr>
      </w:pPr>
      <w:r w:rsidRPr="00331137">
        <w:rPr>
          <w:rFonts w:ascii="Cambria Math" w:hAnsi="Cambria Math"/>
          <w:color w:val="00B050"/>
        </w:rPr>
        <w:t xml:space="preserve">⨁⨁⨁⨁ </w:t>
      </w:r>
      <w:r w:rsidRPr="00331137">
        <w:rPr>
          <w:b/>
          <w:bCs/>
        </w:rPr>
        <w:t>High quality:</w:t>
      </w:r>
      <w:r w:rsidRPr="00331137">
        <w:t xml:space="preserve"> We are very confident that the true effect lies close to that of the estimate of effect. </w:t>
      </w:r>
      <w:r w:rsidRPr="00331137">
        <w:br/>
      </w:r>
      <w:r w:rsidRPr="00331137">
        <w:rPr>
          <w:rFonts w:ascii="Cambria Math" w:hAnsi="Cambria Math"/>
          <w:color w:val="00B050"/>
        </w:rPr>
        <w:t>⨁⨁⨁</w:t>
      </w:r>
      <w:r w:rsidRPr="00331137">
        <w:rPr>
          <w:rFonts w:ascii="Cambria Math" w:hAnsi="Cambria Math" w:cs="Cambria Math"/>
          <w:color w:val="C00000"/>
        </w:rPr>
        <w:t xml:space="preserve">⨀ </w:t>
      </w:r>
      <w:r w:rsidRPr="00331137">
        <w:rPr>
          <w:b/>
          <w:bCs/>
        </w:rPr>
        <w:t>Moderate quality:</w:t>
      </w:r>
      <w:r w:rsidRPr="00331137">
        <w:t xml:space="preserve"> We are moderately confident in the effect estimate: The true effect is likely to be close to the estimate of the effect, but there is a possibility that it is substantially different. </w:t>
      </w:r>
      <w:r w:rsidRPr="00331137">
        <w:br/>
      </w:r>
      <w:r w:rsidRPr="00331137">
        <w:rPr>
          <w:rFonts w:ascii="Cambria Math" w:hAnsi="Cambria Math"/>
          <w:color w:val="00B050"/>
        </w:rPr>
        <w:t>⨁⨁</w:t>
      </w:r>
      <w:r w:rsidRPr="00331137">
        <w:rPr>
          <w:rFonts w:ascii="Cambria Math" w:hAnsi="Cambria Math" w:cs="Cambria Math"/>
          <w:color w:val="C00000"/>
        </w:rPr>
        <w:t xml:space="preserve">⨀⨀ </w:t>
      </w:r>
      <w:r w:rsidRPr="00331137">
        <w:rPr>
          <w:b/>
          <w:bCs/>
        </w:rPr>
        <w:t>Low quality:</w:t>
      </w:r>
      <w:r w:rsidRPr="00331137">
        <w:t xml:space="preserve"> Our confidence in the effect estimate is limited: The true effect may be substantially different from the estimate of the effect.</w:t>
      </w:r>
      <w:r w:rsidRPr="00331137">
        <w:br/>
      </w:r>
      <w:r w:rsidRPr="00331137">
        <w:rPr>
          <w:rFonts w:ascii="Cambria Math" w:hAnsi="Cambria Math"/>
          <w:color w:val="00B050"/>
        </w:rPr>
        <w:t>⨁</w:t>
      </w:r>
      <w:r w:rsidRPr="00331137">
        <w:rPr>
          <w:rFonts w:ascii="Cambria Math" w:hAnsi="Cambria Math" w:cs="Cambria Math"/>
          <w:color w:val="C00000"/>
        </w:rPr>
        <w:t xml:space="preserve">⨀⨀⨀ </w:t>
      </w:r>
      <w:r w:rsidRPr="00331137">
        <w:rPr>
          <w:b/>
          <w:bCs/>
        </w:rPr>
        <w:t>Very low quality:</w:t>
      </w:r>
      <w:r w:rsidRPr="00331137">
        <w:t xml:space="preserve"> We have very little confidence in the effect estimate: The true effect is likely to be substantially different. </w:t>
      </w:r>
    </w:p>
    <w:p w14:paraId="094E4036" w14:textId="77777777" w:rsidR="00386A5B" w:rsidRPr="00F715D1" w:rsidRDefault="00386A5B" w:rsidP="00386A5B">
      <w:pPr>
        <w:pStyle w:val="Heading1"/>
      </w:pPr>
      <w:r w:rsidRPr="00F715D1">
        <w:lastRenderedPageBreak/>
        <w:t>Economic evaluation</w:t>
      </w:r>
    </w:p>
    <w:p w14:paraId="596DE08A" w14:textId="594685D3" w:rsidR="00F437F9" w:rsidRPr="00331137" w:rsidRDefault="00F437F9" w:rsidP="00D30609">
      <w:pPr>
        <w:spacing w:after="240"/>
      </w:pPr>
      <w:r w:rsidRPr="00331137">
        <w:t xml:space="preserve">A cost-utility analysis was undertaken, which was based on 12 months of trial data from </w:t>
      </w:r>
      <w:r w:rsidR="005D4B8A">
        <w:t xml:space="preserve">the </w:t>
      </w:r>
      <w:r w:rsidRPr="00331137">
        <w:t xml:space="preserve">Emanuelsson trial and was then extrapolated to five years (see </w:t>
      </w:r>
      <w:r>
        <w:t>Table 4</w:t>
      </w:r>
      <w:r w:rsidRPr="00331137">
        <w:t>).</w:t>
      </w:r>
    </w:p>
    <w:p w14:paraId="674BF049" w14:textId="77777777" w:rsidR="00F437F9" w:rsidRPr="00D30609" w:rsidRDefault="00F437F9" w:rsidP="00D30609">
      <w:pPr>
        <w:rPr>
          <w:rFonts w:ascii="Arial Narrow" w:hAnsi="Arial Narrow"/>
          <w:b/>
          <w:sz w:val="20"/>
        </w:rPr>
      </w:pPr>
      <w:bookmarkStart w:id="14" w:name="_Ref6216353"/>
      <w:bookmarkStart w:id="15" w:name="_Toc8225774"/>
      <w:r w:rsidRPr="00D30609">
        <w:rPr>
          <w:rFonts w:ascii="Arial Narrow" w:hAnsi="Arial Narrow"/>
          <w:b/>
          <w:sz w:val="20"/>
        </w:rPr>
        <w:t xml:space="preserve">Table </w:t>
      </w:r>
      <w:bookmarkEnd w:id="14"/>
      <w:r w:rsidRPr="00D30609">
        <w:rPr>
          <w:rFonts w:ascii="Arial Narrow" w:hAnsi="Arial Narrow"/>
          <w:b/>
          <w:sz w:val="20"/>
        </w:rPr>
        <w:t>4: Summary of the economic evaluation</w:t>
      </w:r>
      <w:bookmarkEnd w:id="15"/>
      <w:r w:rsidRPr="00D30609">
        <w:rPr>
          <w:rFonts w:ascii="Arial Narrow" w:hAnsi="Arial Narrow"/>
          <w:b/>
          <w:sz w:val="20"/>
        </w:rPr>
        <w:t xml:space="preserve"> </w:t>
      </w:r>
    </w:p>
    <w:tbl>
      <w:tblPr>
        <w:tblStyle w:val="TableGrid1"/>
        <w:tblW w:w="0" w:type="auto"/>
        <w:tblLook w:val="01E0" w:firstRow="1" w:lastRow="1" w:firstColumn="1" w:lastColumn="1" w:noHBand="0" w:noVBand="0"/>
        <w:tblCaption w:val="Table 20 Summary of the economic evaluation"/>
        <w:tblDescription w:val="This table describes the key constructs of the economic evaluation that is provided in the assessment report."/>
      </w:tblPr>
      <w:tblGrid>
        <w:gridCol w:w="3188"/>
        <w:gridCol w:w="5828"/>
      </w:tblGrid>
      <w:tr w:rsidR="00F437F9" w:rsidRPr="00331137" w14:paraId="743511F8" w14:textId="77777777" w:rsidTr="00D30609">
        <w:trPr>
          <w:trHeight w:val="20"/>
          <w:tblHeader/>
        </w:trPr>
        <w:tc>
          <w:tcPr>
            <w:tcW w:w="3190" w:type="dxa"/>
          </w:tcPr>
          <w:p w14:paraId="674E1EC6" w14:textId="77777777" w:rsidR="00F437F9" w:rsidRPr="00331137" w:rsidRDefault="00F437F9" w:rsidP="005379F5">
            <w:pPr>
              <w:pStyle w:val="TableText0"/>
              <w:rPr>
                <w:b/>
              </w:rPr>
            </w:pPr>
            <w:r w:rsidRPr="00331137">
              <w:rPr>
                <w:b/>
              </w:rPr>
              <w:t>Perspective</w:t>
            </w:r>
          </w:p>
        </w:tc>
        <w:tc>
          <w:tcPr>
            <w:tcW w:w="5831" w:type="dxa"/>
          </w:tcPr>
          <w:p w14:paraId="3AFF6E3E" w14:textId="77777777" w:rsidR="00F437F9" w:rsidRPr="00331137" w:rsidRDefault="00F437F9" w:rsidP="005379F5">
            <w:pPr>
              <w:pStyle w:val="TableText0"/>
              <w:rPr>
                <w:b/>
              </w:rPr>
            </w:pPr>
            <w:r w:rsidRPr="00331137">
              <w:rPr>
                <w:b/>
              </w:rPr>
              <w:t>Australian health system</w:t>
            </w:r>
          </w:p>
        </w:tc>
      </w:tr>
      <w:tr w:rsidR="00F437F9" w:rsidRPr="00331137" w14:paraId="3D191073" w14:textId="77777777" w:rsidTr="00D30609">
        <w:trPr>
          <w:trHeight w:val="20"/>
        </w:trPr>
        <w:tc>
          <w:tcPr>
            <w:tcW w:w="3190" w:type="dxa"/>
          </w:tcPr>
          <w:p w14:paraId="32FF41F1" w14:textId="77777777" w:rsidR="00F437F9" w:rsidRPr="00331137" w:rsidRDefault="00F437F9" w:rsidP="005379F5">
            <w:pPr>
              <w:pStyle w:val="TableText0"/>
            </w:pPr>
            <w:r w:rsidRPr="00331137">
              <w:t>Comparator</w:t>
            </w:r>
          </w:p>
        </w:tc>
        <w:tc>
          <w:tcPr>
            <w:tcW w:w="5831" w:type="dxa"/>
          </w:tcPr>
          <w:p w14:paraId="0591954B" w14:textId="77777777" w:rsidR="00F437F9" w:rsidRPr="00331137" w:rsidRDefault="00F437F9" w:rsidP="005379F5">
            <w:pPr>
              <w:pStyle w:val="TableText0"/>
            </w:pPr>
            <w:r w:rsidRPr="00C7397C">
              <w:t>Best supportive care</w:t>
            </w:r>
          </w:p>
        </w:tc>
      </w:tr>
      <w:tr w:rsidR="00F437F9" w:rsidRPr="00331137" w14:paraId="2CECC8C5" w14:textId="77777777" w:rsidTr="00D30609">
        <w:trPr>
          <w:trHeight w:val="20"/>
        </w:trPr>
        <w:tc>
          <w:tcPr>
            <w:tcW w:w="3190" w:type="dxa"/>
          </w:tcPr>
          <w:p w14:paraId="0598DA15" w14:textId="77777777" w:rsidR="00F437F9" w:rsidRPr="00331137" w:rsidRDefault="00F437F9" w:rsidP="005379F5">
            <w:pPr>
              <w:pStyle w:val="TableText0"/>
            </w:pPr>
            <w:r w:rsidRPr="00331137">
              <w:t>Type of economic evaluation</w:t>
            </w:r>
          </w:p>
        </w:tc>
        <w:tc>
          <w:tcPr>
            <w:tcW w:w="5831" w:type="dxa"/>
          </w:tcPr>
          <w:p w14:paraId="53F303FC" w14:textId="77777777" w:rsidR="00F437F9" w:rsidRPr="00331137" w:rsidRDefault="00F437F9" w:rsidP="005379F5">
            <w:pPr>
              <w:pStyle w:val="TableText0"/>
            </w:pPr>
            <w:r w:rsidRPr="00331137">
              <w:t>Cost-effectiveness evaluation.</w:t>
            </w:r>
          </w:p>
        </w:tc>
      </w:tr>
      <w:tr w:rsidR="00F437F9" w:rsidRPr="00331137" w14:paraId="766850AF" w14:textId="77777777" w:rsidTr="00D30609">
        <w:trPr>
          <w:trHeight w:val="20"/>
        </w:trPr>
        <w:tc>
          <w:tcPr>
            <w:tcW w:w="3190" w:type="dxa"/>
          </w:tcPr>
          <w:p w14:paraId="12DEE877" w14:textId="77777777" w:rsidR="00F437F9" w:rsidRPr="00331137" w:rsidRDefault="00F437F9" w:rsidP="005379F5">
            <w:pPr>
              <w:pStyle w:val="TableText0"/>
            </w:pPr>
            <w:r w:rsidRPr="00331137">
              <w:t>Sources of evidence</w:t>
            </w:r>
          </w:p>
        </w:tc>
        <w:tc>
          <w:tcPr>
            <w:tcW w:w="5831" w:type="dxa"/>
          </w:tcPr>
          <w:p w14:paraId="0C88C7DE" w14:textId="1BAFBD50" w:rsidR="00F437F9" w:rsidRPr="00331137" w:rsidRDefault="00F102C2" w:rsidP="00F102C2">
            <w:pPr>
              <w:pStyle w:val="TableText0"/>
            </w:pPr>
            <w:r>
              <w:t>Emanuelsson</w:t>
            </w:r>
            <w:r w:rsidR="00F437F9" w:rsidRPr="00331137">
              <w:t xml:space="preserve"> trial  </w:t>
            </w:r>
          </w:p>
        </w:tc>
      </w:tr>
      <w:tr w:rsidR="00F437F9" w:rsidRPr="00331137" w14:paraId="5073ABA7" w14:textId="77777777" w:rsidTr="00D30609">
        <w:trPr>
          <w:trHeight w:val="20"/>
        </w:trPr>
        <w:tc>
          <w:tcPr>
            <w:tcW w:w="3190" w:type="dxa"/>
            <w:hideMark/>
          </w:tcPr>
          <w:p w14:paraId="1AEC3CE4" w14:textId="77777777" w:rsidR="00F437F9" w:rsidRPr="00331137" w:rsidRDefault="00F437F9" w:rsidP="005379F5">
            <w:pPr>
              <w:pStyle w:val="TableText0"/>
            </w:pPr>
            <w:r w:rsidRPr="00331137">
              <w:t>Time horizon</w:t>
            </w:r>
          </w:p>
        </w:tc>
        <w:tc>
          <w:tcPr>
            <w:tcW w:w="5831" w:type="dxa"/>
            <w:hideMark/>
          </w:tcPr>
          <w:p w14:paraId="73E8BF48" w14:textId="77777777" w:rsidR="00F437F9" w:rsidRPr="00331137" w:rsidRDefault="00F437F9" w:rsidP="005379F5">
            <w:pPr>
              <w:pStyle w:val="TableText0"/>
              <w:rPr>
                <w:vanish/>
              </w:rPr>
            </w:pPr>
            <w:r w:rsidRPr="00331137">
              <w:t>Trial based evaluation: 12 months follow-up in the surgical arms and 3 months of follow-up in the exercise arm (i.e. best supportive care)</w:t>
            </w:r>
          </w:p>
          <w:p w14:paraId="42FF1FCC" w14:textId="77777777" w:rsidR="00F437F9" w:rsidRPr="00331137" w:rsidRDefault="00F437F9" w:rsidP="005379F5">
            <w:pPr>
              <w:pStyle w:val="TableText0"/>
              <w:rPr>
                <w:vanish/>
              </w:rPr>
            </w:pPr>
            <w:r w:rsidRPr="00331137">
              <w:t xml:space="preserve"> Modelled evaluation: 5 years</w:t>
            </w:r>
          </w:p>
        </w:tc>
      </w:tr>
      <w:tr w:rsidR="00F437F9" w:rsidRPr="00331137" w14:paraId="4E48B56D" w14:textId="77777777" w:rsidTr="00D30609">
        <w:trPr>
          <w:trHeight w:val="20"/>
        </w:trPr>
        <w:tc>
          <w:tcPr>
            <w:tcW w:w="3190" w:type="dxa"/>
            <w:hideMark/>
          </w:tcPr>
          <w:p w14:paraId="008CF7A5" w14:textId="77777777" w:rsidR="00F437F9" w:rsidRPr="00331137" w:rsidRDefault="00F437F9" w:rsidP="005379F5">
            <w:pPr>
              <w:pStyle w:val="TableText0"/>
            </w:pPr>
            <w:r w:rsidRPr="00331137">
              <w:t>Outcomes</w:t>
            </w:r>
          </w:p>
        </w:tc>
        <w:tc>
          <w:tcPr>
            <w:tcW w:w="5831" w:type="dxa"/>
          </w:tcPr>
          <w:p w14:paraId="3B051D7A" w14:textId="77777777" w:rsidR="00F437F9" w:rsidRPr="00331137" w:rsidRDefault="00F437F9" w:rsidP="005379F5">
            <w:pPr>
              <w:pStyle w:val="TableText0"/>
            </w:pPr>
            <w:r w:rsidRPr="00331137">
              <w:t>QALYS</w:t>
            </w:r>
          </w:p>
        </w:tc>
      </w:tr>
      <w:tr w:rsidR="00F437F9" w:rsidRPr="00331137" w14:paraId="4E07D073" w14:textId="77777777" w:rsidTr="00D30609">
        <w:trPr>
          <w:trHeight w:val="20"/>
        </w:trPr>
        <w:tc>
          <w:tcPr>
            <w:tcW w:w="3190" w:type="dxa"/>
            <w:hideMark/>
          </w:tcPr>
          <w:p w14:paraId="5664EF50" w14:textId="77777777" w:rsidR="00F437F9" w:rsidRPr="00331137" w:rsidRDefault="00F437F9" w:rsidP="005379F5">
            <w:pPr>
              <w:pStyle w:val="TableText0"/>
            </w:pPr>
            <w:r w:rsidRPr="00331137">
              <w:t>Methods used to generate results</w:t>
            </w:r>
          </w:p>
        </w:tc>
        <w:tc>
          <w:tcPr>
            <w:tcW w:w="5831" w:type="dxa"/>
          </w:tcPr>
          <w:p w14:paraId="793DAC4C" w14:textId="77777777" w:rsidR="00F437F9" w:rsidRPr="00331137" w:rsidRDefault="00F437F9" w:rsidP="005379F5">
            <w:pPr>
              <w:pStyle w:val="TableText0"/>
            </w:pPr>
            <w:r w:rsidRPr="00331137">
              <w:t>Cohort expected value analysis, Markov model</w:t>
            </w:r>
          </w:p>
        </w:tc>
      </w:tr>
      <w:tr w:rsidR="00F437F9" w:rsidRPr="00331137" w14:paraId="38812B60" w14:textId="77777777" w:rsidTr="00D30609">
        <w:trPr>
          <w:trHeight w:val="20"/>
        </w:trPr>
        <w:tc>
          <w:tcPr>
            <w:tcW w:w="3190" w:type="dxa"/>
          </w:tcPr>
          <w:p w14:paraId="1CD4BAE6" w14:textId="77777777" w:rsidR="00F437F9" w:rsidRPr="00331137" w:rsidRDefault="00F437F9" w:rsidP="005379F5">
            <w:pPr>
              <w:pStyle w:val="TableText0"/>
            </w:pPr>
            <w:r w:rsidRPr="00331137">
              <w:t>Health states</w:t>
            </w:r>
          </w:p>
        </w:tc>
        <w:tc>
          <w:tcPr>
            <w:tcW w:w="5831" w:type="dxa"/>
          </w:tcPr>
          <w:p w14:paraId="2812CB58" w14:textId="77777777" w:rsidR="00F437F9" w:rsidRPr="00331137" w:rsidRDefault="00F437F9" w:rsidP="005379F5">
            <w:pPr>
              <w:pStyle w:val="TableText0"/>
            </w:pPr>
            <w:r w:rsidRPr="00331137">
              <w:t xml:space="preserve">Abdominoplasty arm: </w:t>
            </w:r>
          </w:p>
          <w:p w14:paraId="740FB4E0" w14:textId="77777777" w:rsidR="00F437F9" w:rsidRPr="00331137" w:rsidRDefault="00F437F9" w:rsidP="005379F5">
            <w:pPr>
              <w:pStyle w:val="TableText0"/>
            </w:pPr>
            <w:r w:rsidRPr="00331137">
              <w:t xml:space="preserve">State 1: Alive without recurrent rectus diastasis (i.e. surgery was successful) </w:t>
            </w:r>
          </w:p>
          <w:p w14:paraId="199AE146" w14:textId="77777777" w:rsidR="00F437F9" w:rsidRPr="00331137" w:rsidRDefault="00F437F9" w:rsidP="005379F5">
            <w:pPr>
              <w:pStyle w:val="TableText0"/>
            </w:pPr>
            <w:r w:rsidRPr="00331137">
              <w:t xml:space="preserve">State 2: Alive with recurrent rectus diastasis (i.e. surgery failed </w:t>
            </w:r>
            <w:r w:rsidRPr="00331137">
              <w:sym w:font="Wingdings" w:char="F0E8"/>
            </w:r>
            <w:r w:rsidRPr="00331137">
              <w:t xml:space="preserve"> patient receives best supportive care)</w:t>
            </w:r>
          </w:p>
          <w:p w14:paraId="65C1037C" w14:textId="77777777" w:rsidR="00F437F9" w:rsidRPr="00331137" w:rsidRDefault="00F437F9" w:rsidP="005379F5">
            <w:pPr>
              <w:pStyle w:val="TableText0"/>
            </w:pPr>
            <w:r w:rsidRPr="00331137">
              <w:t>State 3: Dead</w:t>
            </w:r>
          </w:p>
          <w:p w14:paraId="38AF89B5" w14:textId="77777777" w:rsidR="00F437F9" w:rsidRPr="00331137" w:rsidRDefault="00F437F9" w:rsidP="005379F5">
            <w:pPr>
              <w:pStyle w:val="TableText0"/>
            </w:pPr>
            <w:r w:rsidRPr="00331137">
              <w:t xml:space="preserve">Best supportive care arm: </w:t>
            </w:r>
          </w:p>
          <w:p w14:paraId="4142C08B" w14:textId="77777777" w:rsidR="00F437F9" w:rsidRPr="00331137" w:rsidRDefault="00F437F9" w:rsidP="005379F5">
            <w:pPr>
              <w:pStyle w:val="TableText0"/>
            </w:pPr>
            <w:r w:rsidRPr="00331137">
              <w:t xml:space="preserve">State 1: Alive </w:t>
            </w:r>
          </w:p>
          <w:p w14:paraId="38E15B87" w14:textId="77777777" w:rsidR="00F437F9" w:rsidRPr="00331137" w:rsidRDefault="00F437F9" w:rsidP="005379F5">
            <w:pPr>
              <w:pStyle w:val="TableText0"/>
            </w:pPr>
            <w:r w:rsidRPr="00331137">
              <w:t>State 2: Dead</w:t>
            </w:r>
          </w:p>
        </w:tc>
      </w:tr>
      <w:tr w:rsidR="00F437F9" w:rsidRPr="00331137" w14:paraId="49D0D34A" w14:textId="77777777" w:rsidTr="00D30609">
        <w:trPr>
          <w:trHeight w:val="20"/>
        </w:trPr>
        <w:tc>
          <w:tcPr>
            <w:tcW w:w="3190" w:type="dxa"/>
            <w:hideMark/>
          </w:tcPr>
          <w:p w14:paraId="4E69D9D7" w14:textId="77777777" w:rsidR="00F437F9" w:rsidRPr="00331137" w:rsidRDefault="00F437F9" w:rsidP="005379F5">
            <w:pPr>
              <w:pStyle w:val="TableText0"/>
            </w:pPr>
            <w:r w:rsidRPr="00331137">
              <w:t>Cycle length</w:t>
            </w:r>
          </w:p>
        </w:tc>
        <w:tc>
          <w:tcPr>
            <w:tcW w:w="5831" w:type="dxa"/>
          </w:tcPr>
          <w:p w14:paraId="4DD6F063" w14:textId="77777777" w:rsidR="00F437F9" w:rsidRPr="00331137" w:rsidRDefault="00F437F9" w:rsidP="005379F5">
            <w:pPr>
              <w:pStyle w:val="TableText0"/>
            </w:pPr>
            <w:r w:rsidRPr="00331137">
              <w:t>3 monthly cycles (i.e. 90 days)</w:t>
            </w:r>
          </w:p>
        </w:tc>
      </w:tr>
      <w:tr w:rsidR="00F437F9" w:rsidRPr="00331137" w14:paraId="6E1C38E9" w14:textId="77777777" w:rsidTr="00D30609">
        <w:trPr>
          <w:trHeight w:val="20"/>
        </w:trPr>
        <w:tc>
          <w:tcPr>
            <w:tcW w:w="3190" w:type="dxa"/>
            <w:hideMark/>
          </w:tcPr>
          <w:p w14:paraId="6B46A91A" w14:textId="77777777" w:rsidR="00F437F9" w:rsidRPr="00331137" w:rsidRDefault="00F437F9" w:rsidP="005379F5">
            <w:pPr>
              <w:pStyle w:val="TableText0"/>
            </w:pPr>
            <w:r w:rsidRPr="00331137">
              <w:t>Discount rate</w:t>
            </w:r>
          </w:p>
        </w:tc>
        <w:tc>
          <w:tcPr>
            <w:tcW w:w="5831" w:type="dxa"/>
          </w:tcPr>
          <w:p w14:paraId="10D247E1" w14:textId="77777777" w:rsidR="00F437F9" w:rsidRPr="00331137" w:rsidRDefault="00F437F9" w:rsidP="005379F5">
            <w:pPr>
              <w:pStyle w:val="TableText0"/>
            </w:pPr>
            <w:r w:rsidRPr="00331137">
              <w:t xml:space="preserve">5% </w:t>
            </w:r>
          </w:p>
        </w:tc>
      </w:tr>
      <w:tr w:rsidR="00F437F9" w:rsidRPr="00331137" w14:paraId="412B49B7" w14:textId="77777777" w:rsidTr="00D30609">
        <w:trPr>
          <w:trHeight w:val="20"/>
        </w:trPr>
        <w:tc>
          <w:tcPr>
            <w:tcW w:w="3190" w:type="dxa"/>
            <w:hideMark/>
          </w:tcPr>
          <w:p w14:paraId="4BC028FF" w14:textId="77777777" w:rsidR="00F437F9" w:rsidRPr="00331137" w:rsidRDefault="00F437F9" w:rsidP="005379F5">
            <w:pPr>
              <w:pStyle w:val="TableText0"/>
            </w:pPr>
            <w:r w:rsidRPr="00331137">
              <w:t>Software package used</w:t>
            </w:r>
          </w:p>
        </w:tc>
        <w:tc>
          <w:tcPr>
            <w:tcW w:w="5831" w:type="dxa"/>
          </w:tcPr>
          <w:p w14:paraId="25F19D46" w14:textId="77777777" w:rsidR="00F437F9" w:rsidRPr="00331137" w:rsidRDefault="00F437F9" w:rsidP="005379F5">
            <w:pPr>
              <w:pStyle w:val="TableText0"/>
            </w:pPr>
            <w:r w:rsidRPr="00331137">
              <w:t xml:space="preserve">Treeage Pro </w:t>
            </w:r>
          </w:p>
        </w:tc>
      </w:tr>
    </w:tbl>
    <w:p w14:paraId="34B7CFAB" w14:textId="77777777" w:rsidR="00F437F9" w:rsidRDefault="00F437F9" w:rsidP="00F437F9">
      <w:pPr>
        <w:pStyle w:val="TableFooter"/>
      </w:pPr>
      <w:r w:rsidRPr="00331137">
        <w:t>QALY = quality-adjusted life year</w:t>
      </w:r>
    </w:p>
    <w:p w14:paraId="3360B7EB" w14:textId="44B22692" w:rsidR="00F437F9" w:rsidRPr="00331137" w:rsidRDefault="00F437F9" w:rsidP="00D30609">
      <w:pPr>
        <w:spacing w:before="240"/>
      </w:pPr>
      <w:r w:rsidRPr="00331137">
        <w:t>The</w:t>
      </w:r>
      <w:r w:rsidR="00611296">
        <w:t>re</w:t>
      </w:r>
      <w:r w:rsidRPr="00331137">
        <w:t xml:space="preserve"> </w:t>
      </w:r>
      <w:r>
        <w:t xml:space="preserve">are several </w:t>
      </w:r>
      <w:r w:rsidRPr="00331137">
        <w:t>key structural assumpt</w:t>
      </w:r>
      <w:r>
        <w:t>ions in the economic model:</w:t>
      </w:r>
    </w:p>
    <w:p w14:paraId="207C6FF7" w14:textId="558CA985" w:rsidR="00F437F9" w:rsidRDefault="00F437F9" w:rsidP="00F437F9">
      <w:pPr>
        <w:pStyle w:val="ListParagraph"/>
        <w:numPr>
          <w:ilvl w:val="0"/>
          <w:numId w:val="9"/>
        </w:numPr>
      </w:pPr>
      <w:r w:rsidRPr="00331137">
        <w:t xml:space="preserve">Rectus diastasis and treatment choice (i.e. abdominoplasty </w:t>
      </w:r>
      <w:r>
        <w:t>be</w:t>
      </w:r>
      <w:r w:rsidRPr="00331137">
        <w:t>s</w:t>
      </w:r>
      <w:r>
        <w:t>t</w:t>
      </w:r>
      <w:r w:rsidRPr="00331137">
        <w:t xml:space="preserve"> or best supportive care) impacts only the patient’s quality of life but has no impact on the patient’s ris</w:t>
      </w:r>
      <w:r w:rsidR="005D4B8A">
        <w:t>k of mortality or morbidity</w:t>
      </w:r>
      <w:r>
        <w:t>;</w:t>
      </w:r>
    </w:p>
    <w:p w14:paraId="60E0160B" w14:textId="77777777" w:rsidR="00F437F9" w:rsidRDefault="00F437F9" w:rsidP="00F437F9">
      <w:pPr>
        <w:pStyle w:val="ListParagraph"/>
        <w:numPr>
          <w:ilvl w:val="0"/>
          <w:numId w:val="9"/>
        </w:numPr>
      </w:pPr>
      <w:r w:rsidRPr="00331137">
        <w:t>Patients only consider abdominoplasty after completing th</w:t>
      </w:r>
      <w:r>
        <w:t>eir families;</w:t>
      </w:r>
    </w:p>
    <w:p w14:paraId="0FBA907F" w14:textId="6754C988" w:rsidR="00F437F9" w:rsidRDefault="00F437F9" w:rsidP="00F437F9">
      <w:pPr>
        <w:pStyle w:val="ListParagraph"/>
        <w:numPr>
          <w:ilvl w:val="0"/>
          <w:numId w:val="9"/>
        </w:numPr>
      </w:pPr>
      <w:r w:rsidRPr="00331137">
        <w:t xml:space="preserve">Patients have a 1.75% risk of experiencing recurrence </w:t>
      </w:r>
      <w:r w:rsidR="005D4B8A">
        <w:t>of the rectus diastasis in the</w:t>
      </w:r>
      <w:r w:rsidRPr="00331137">
        <w:t xml:space="preserve"> first year after undergoing abdominopla</w:t>
      </w:r>
      <w:r>
        <w:t xml:space="preserve">sty and then no risk after that; </w:t>
      </w:r>
      <w:r w:rsidRPr="00331137">
        <w:t>and</w:t>
      </w:r>
    </w:p>
    <w:p w14:paraId="03460C37" w14:textId="77777777" w:rsidR="00F437F9" w:rsidRPr="00331137" w:rsidRDefault="00F437F9" w:rsidP="00F437F9">
      <w:pPr>
        <w:pStyle w:val="ListParagraph"/>
        <w:numPr>
          <w:ilvl w:val="0"/>
          <w:numId w:val="9"/>
        </w:numPr>
      </w:pPr>
      <w:r w:rsidRPr="00331137">
        <w:t>Patients who experienced recurrence will not be eligible to undergo MBS funded abdominoplasty and instead wil</w:t>
      </w:r>
      <w:r>
        <w:t>l receive best supportive care.</w:t>
      </w:r>
    </w:p>
    <w:p w14:paraId="314F56AC" w14:textId="06DCA55F" w:rsidR="00F437F9" w:rsidRPr="00331137" w:rsidRDefault="00F437F9" w:rsidP="00F437F9">
      <w:pPr>
        <w:spacing w:before="240"/>
      </w:pPr>
      <w:r w:rsidRPr="00331137">
        <w:t xml:space="preserve">The economic model incorporated health-related quality life data from </w:t>
      </w:r>
      <w:r w:rsidR="005D4B8A">
        <w:t xml:space="preserve">the </w:t>
      </w:r>
      <w:r w:rsidRPr="00331137">
        <w:t>Emanuelsson trial and Australian healthcare costs to estimate the cost effectiveness of abdominoplasty compared to best supportive care. The results are shown below in</w:t>
      </w:r>
      <w:r>
        <w:t xml:space="preserve"> Table 5.</w:t>
      </w:r>
    </w:p>
    <w:p w14:paraId="4BBCE345" w14:textId="77777777" w:rsidR="00F437F9" w:rsidRPr="00D30609" w:rsidRDefault="00F437F9" w:rsidP="00D30609">
      <w:pPr>
        <w:keepNext/>
        <w:keepLines/>
        <w:rPr>
          <w:rFonts w:ascii="Arial Narrow" w:hAnsi="Arial Narrow"/>
          <w:b/>
          <w:sz w:val="20"/>
        </w:rPr>
      </w:pPr>
      <w:bookmarkStart w:id="16" w:name="_Ref4669558"/>
      <w:bookmarkStart w:id="17" w:name="_Toc4684540"/>
      <w:bookmarkStart w:id="18" w:name="_Toc8225775"/>
      <w:r w:rsidRPr="00D30609">
        <w:rPr>
          <w:rFonts w:ascii="Arial Narrow" w:hAnsi="Arial Narrow"/>
          <w:b/>
          <w:sz w:val="20"/>
        </w:rPr>
        <w:lastRenderedPageBreak/>
        <w:t xml:space="preserve">Table </w:t>
      </w:r>
      <w:bookmarkEnd w:id="16"/>
      <w:r w:rsidRPr="00D30609">
        <w:rPr>
          <w:rFonts w:ascii="Arial Narrow" w:hAnsi="Arial Narrow"/>
          <w:b/>
          <w:sz w:val="20"/>
        </w:rPr>
        <w:t>5: Stepped economic evaluation (5% discount per annum applied)</w:t>
      </w:r>
      <w:bookmarkEnd w:id="17"/>
      <w:bookmarkEnd w:id="18"/>
      <w:r w:rsidRPr="00D30609">
        <w:rPr>
          <w:rFonts w:ascii="Arial Narrow" w:hAnsi="Arial Narrow"/>
          <w:b/>
          <w:sz w:val="20"/>
        </w:rPr>
        <w:t xml:space="preserve"> </w:t>
      </w:r>
    </w:p>
    <w:tbl>
      <w:tblPr>
        <w:tblStyle w:val="TableGrid1"/>
        <w:tblW w:w="4714" w:type="pct"/>
        <w:tblLook w:val="01E0" w:firstRow="1" w:lastRow="1" w:firstColumn="1" w:lastColumn="1" w:noHBand="0" w:noVBand="0"/>
        <w:tblDescription w:val="Stepped economic evaluation (5% discount per annum applied) "/>
      </w:tblPr>
      <w:tblGrid>
        <w:gridCol w:w="2250"/>
        <w:gridCol w:w="2139"/>
        <w:gridCol w:w="2127"/>
        <w:gridCol w:w="1984"/>
      </w:tblGrid>
      <w:tr w:rsidR="00F437F9" w:rsidRPr="00331137" w14:paraId="7B2441F3" w14:textId="77777777" w:rsidTr="00D30609">
        <w:trPr>
          <w:tblHeader/>
        </w:trPr>
        <w:tc>
          <w:tcPr>
            <w:tcW w:w="1324" w:type="pct"/>
          </w:tcPr>
          <w:p w14:paraId="2867B64B" w14:textId="77777777" w:rsidR="00F437F9" w:rsidRPr="00331137" w:rsidRDefault="00F437F9" w:rsidP="00D30609">
            <w:pPr>
              <w:pStyle w:val="TableText0"/>
              <w:keepLines/>
              <w:rPr>
                <w:b/>
              </w:rPr>
            </w:pPr>
            <w:r w:rsidRPr="00331137">
              <w:rPr>
                <w:b/>
              </w:rPr>
              <w:t>Step and component</w:t>
            </w:r>
          </w:p>
        </w:tc>
        <w:tc>
          <w:tcPr>
            <w:tcW w:w="1258" w:type="pct"/>
          </w:tcPr>
          <w:p w14:paraId="2DC92820" w14:textId="77777777" w:rsidR="00F437F9" w:rsidRPr="00331137" w:rsidRDefault="00F437F9" w:rsidP="00D30609">
            <w:pPr>
              <w:pStyle w:val="TableText0"/>
              <w:keepLines/>
              <w:rPr>
                <w:b/>
              </w:rPr>
            </w:pPr>
            <w:r w:rsidRPr="00331137">
              <w:rPr>
                <w:b/>
              </w:rPr>
              <w:t>Abdominoplasty</w:t>
            </w:r>
          </w:p>
        </w:tc>
        <w:tc>
          <w:tcPr>
            <w:tcW w:w="1251" w:type="pct"/>
          </w:tcPr>
          <w:p w14:paraId="1915150A" w14:textId="77777777" w:rsidR="00F437F9" w:rsidRPr="00331137" w:rsidRDefault="00F437F9" w:rsidP="00D30609">
            <w:pPr>
              <w:pStyle w:val="TableText0"/>
              <w:keepLines/>
              <w:rPr>
                <w:b/>
              </w:rPr>
            </w:pPr>
            <w:r w:rsidRPr="00331137">
              <w:rPr>
                <w:b/>
              </w:rPr>
              <w:t>Usual Care</w:t>
            </w:r>
          </w:p>
        </w:tc>
        <w:tc>
          <w:tcPr>
            <w:tcW w:w="1167" w:type="pct"/>
          </w:tcPr>
          <w:p w14:paraId="58D4EA10" w14:textId="77777777" w:rsidR="00F437F9" w:rsidRPr="00331137" w:rsidRDefault="00F437F9" w:rsidP="00D30609">
            <w:pPr>
              <w:pStyle w:val="TableText0"/>
              <w:keepLines/>
              <w:rPr>
                <w:b/>
              </w:rPr>
            </w:pPr>
            <w:r w:rsidRPr="00331137">
              <w:rPr>
                <w:b/>
              </w:rPr>
              <w:t>Increment</w:t>
            </w:r>
          </w:p>
        </w:tc>
      </w:tr>
      <w:tr w:rsidR="00F437F9" w:rsidRPr="00331137" w14:paraId="41770BB5" w14:textId="77777777" w:rsidTr="00D30609">
        <w:tc>
          <w:tcPr>
            <w:tcW w:w="5000" w:type="pct"/>
            <w:gridSpan w:val="4"/>
          </w:tcPr>
          <w:p w14:paraId="3902F4D3" w14:textId="77777777" w:rsidR="00F437F9" w:rsidRPr="00331137" w:rsidRDefault="00F437F9" w:rsidP="00D30609">
            <w:pPr>
              <w:pStyle w:val="TableText0"/>
              <w:keepLines/>
              <w:rPr>
                <w:rFonts w:cs="Arial Narrow"/>
                <w:b/>
                <w:bCs/>
              </w:rPr>
            </w:pPr>
            <w:r w:rsidRPr="00331137">
              <w:rPr>
                <w:b/>
              </w:rPr>
              <w:t>Step 1: trial-based economic evaluation (12 months’</w:t>
            </w:r>
            <w:r>
              <w:rPr>
                <w:b/>
              </w:rPr>
              <w:t xml:space="preserve"> time horizon</w:t>
            </w:r>
            <w:r w:rsidRPr="00331137">
              <w:rPr>
                <w:b/>
              </w:rPr>
              <w:t>)</w:t>
            </w:r>
          </w:p>
        </w:tc>
      </w:tr>
      <w:tr w:rsidR="00F437F9" w:rsidRPr="00331137" w14:paraId="73B7529C" w14:textId="77777777" w:rsidTr="00D30609">
        <w:tc>
          <w:tcPr>
            <w:tcW w:w="1324" w:type="pct"/>
          </w:tcPr>
          <w:p w14:paraId="0F08FC6B" w14:textId="77777777" w:rsidR="00F437F9" w:rsidRPr="00331137" w:rsidRDefault="00F437F9" w:rsidP="00D30609">
            <w:pPr>
              <w:pStyle w:val="TableText0"/>
              <w:keepLines/>
            </w:pPr>
            <w:r w:rsidRPr="00331137">
              <w:t xml:space="preserve">Cost </w:t>
            </w:r>
          </w:p>
        </w:tc>
        <w:tc>
          <w:tcPr>
            <w:tcW w:w="1258" w:type="pct"/>
          </w:tcPr>
          <w:p w14:paraId="66C84A4B" w14:textId="77777777" w:rsidR="00F437F9" w:rsidRPr="00331137" w:rsidRDefault="00F437F9" w:rsidP="00D30609">
            <w:pPr>
              <w:pStyle w:val="TableText0"/>
              <w:keepLines/>
            </w:pPr>
            <w:r w:rsidRPr="00331137">
              <w:t>$12,195</w:t>
            </w:r>
          </w:p>
        </w:tc>
        <w:tc>
          <w:tcPr>
            <w:tcW w:w="1251" w:type="pct"/>
          </w:tcPr>
          <w:p w14:paraId="2CD70CA5" w14:textId="77777777" w:rsidR="00F437F9" w:rsidRPr="00331137" w:rsidRDefault="00F437F9" w:rsidP="00D30609">
            <w:pPr>
              <w:pStyle w:val="TableText0"/>
              <w:keepLines/>
            </w:pPr>
            <w:r w:rsidRPr="00331137">
              <w:t>$311</w:t>
            </w:r>
          </w:p>
        </w:tc>
        <w:tc>
          <w:tcPr>
            <w:tcW w:w="1167" w:type="pct"/>
          </w:tcPr>
          <w:p w14:paraId="510CD0E9" w14:textId="77777777" w:rsidR="00F437F9" w:rsidRPr="00331137" w:rsidRDefault="00F437F9" w:rsidP="00D30609">
            <w:pPr>
              <w:pStyle w:val="TableText0"/>
              <w:keepLines/>
            </w:pPr>
            <w:r w:rsidRPr="00331137">
              <w:t>$11,884</w:t>
            </w:r>
          </w:p>
        </w:tc>
      </w:tr>
      <w:tr w:rsidR="00F437F9" w:rsidRPr="00331137" w14:paraId="79B8036A" w14:textId="77777777" w:rsidTr="00D30609">
        <w:tc>
          <w:tcPr>
            <w:tcW w:w="1324" w:type="pct"/>
          </w:tcPr>
          <w:p w14:paraId="5AE90DF3" w14:textId="77777777" w:rsidR="00F437F9" w:rsidRPr="00331137" w:rsidRDefault="00F437F9" w:rsidP="00D30609">
            <w:pPr>
              <w:pStyle w:val="TableText0"/>
              <w:keepLines/>
            </w:pPr>
            <w:r w:rsidRPr="00331137">
              <w:t>LYs</w:t>
            </w:r>
          </w:p>
        </w:tc>
        <w:tc>
          <w:tcPr>
            <w:tcW w:w="1258" w:type="pct"/>
          </w:tcPr>
          <w:p w14:paraId="39C9170B" w14:textId="77777777" w:rsidR="00F437F9" w:rsidRPr="00331137" w:rsidRDefault="00F437F9" w:rsidP="00D30609">
            <w:pPr>
              <w:pStyle w:val="TableText0"/>
              <w:keepLines/>
            </w:pPr>
            <w:r w:rsidRPr="00331137">
              <w:t>1.00</w:t>
            </w:r>
          </w:p>
        </w:tc>
        <w:tc>
          <w:tcPr>
            <w:tcW w:w="1251" w:type="pct"/>
          </w:tcPr>
          <w:p w14:paraId="7285CCD2" w14:textId="77777777" w:rsidR="00F437F9" w:rsidRPr="00331137" w:rsidRDefault="00F437F9" w:rsidP="00D30609">
            <w:pPr>
              <w:pStyle w:val="TableText0"/>
              <w:keepLines/>
            </w:pPr>
            <w:r w:rsidRPr="00331137">
              <w:t>1.00</w:t>
            </w:r>
          </w:p>
        </w:tc>
        <w:tc>
          <w:tcPr>
            <w:tcW w:w="1167" w:type="pct"/>
          </w:tcPr>
          <w:p w14:paraId="120F8D9A" w14:textId="77777777" w:rsidR="00F437F9" w:rsidRPr="00331137" w:rsidRDefault="00F437F9" w:rsidP="00D30609">
            <w:pPr>
              <w:pStyle w:val="TableText0"/>
              <w:keepLines/>
            </w:pPr>
            <w:r w:rsidRPr="00331137">
              <w:t>0</w:t>
            </w:r>
          </w:p>
        </w:tc>
      </w:tr>
      <w:tr w:rsidR="00F437F9" w:rsidRPr="00331137" w14:paraId="38FEBDA7" w14:textId="77777777" w:rsidTr="00D30609">
        <w:trPr>
          <w:trHeight w:val="50"/>
        </w:trPr>
        <w:tc>
          <w:tcPr>
            <w:tcW w:w="1324" w:type="pct"/>
          </w:tcPr>
          <w:p w14:paraId="2367FBBC" w14:textId="77777777" w:rsidR="00F437F9" w:rsidRPr="00331137" w:rsidRDefault="00F437F9" w:rsidP="005379F5">
            <w:pPr>
              <w:pStyle w:val="TableText0"/>
            </w:pPr>
            <w:r w:rsidRPr="00331137">
              <w:t>QALYs</w:t>
            </w:r>
          </w:p>
        </w:tc>
        <w:tc>
          <w:tcPr>
            <w:tcW w:w="1258" w:type="pct"/>
          </w:tcPr>
          <w:p w14:paraId="67312972" w14:textId="77777777" w:rsidR="00F437F9" w:rsidRPr="00331137" w:rsidRDefault="00F437F9" w:rsidP="005379F5">
            <w:pPr>
              <w:pStyle w:val="TableText0"/>
            </w:pPr>
            <w:r w:rsidRPr="00331137">
              <w:t>0.59</w:t>
            </w:r>
          </w:p>
        </w:tc>
        <w:tc>
          <w:tcPr>
            <w:tcW w:w="1251" w:type="pct"/>
          </w:tcPr>
          <w:p w14:paraId="640FE58F" w14:textId="77777777" w:rsidR="00F437F9" w:rsidRPr="00331137" w:rsidRDefault="00F437F9" w:rsidP="005379F5">
            <w:pPr>
              <w:pStyle w:val="TableText0"/>
            </w:pPr>
            <w:r w:rsidRPr="00331137">
              <w:t>0.57</w:t>
            </w:r>
          </w:p>
        </w:tc>
        <w:tc>
          <w:tcPr>
            <w:tcW w:w="1167" w:type="pct"/>
          </w:tcPr>
          <w:p w14:paraId="50E69569" w14:textId="77777777" w:rsidR="00F437F9" w:rsidRPr="00331137" w:rsidRDefault="00F437F9" w:rsidP="005379F5">
            <w:pPr>
              <w:pStyle w:val="TableText0"/>
            </w:pPr>
            <w:r w:rsidRPr="00331137">
              <w:t>0.02</w:t>
            </w:r>
          </w:p>
        </w:tc>
      </w:tr>
      <w:tr w:rsidR="00F437F9" w:rsidRPr="00331137" w14:paraId="39579092" w14:textId="77777777" w:rsidTr="00D30609">
        <w:tc>
          <w:tcPr>
            <w:tcW w:w="3833" w:type="pct"/>
            <w:gridSpan w:val="3"/>
          </w:tcPr>
          <w:p w14:paraId="1FBE87B6" w14:textId="77777777" w:rsidR="00F437F9" w:rsidRPr="00331137" w:rsidRDefault="00F437F9" w:rsidP="005379F5">
            <w:pPr>
              <w:pStyle w:val="TableText0"/>
              <w:rPr>
                <w:b/>
              </w:rPr>
            </w:pPr>
            <w:r w:rsidRPr="00331137">
              <w:rPr>
                <w:b/>
              </w:rPr>
              <w:t xml:space="preserve">Incremental cost per QALY gained </w:t>
            </w:r>
          </w:p>
        </w:tc>
        <w:tc>
          <w:tcPr>
            <w:tcW w:w="1167" w:type="pct"/>
          </w:tcPr>
          <w:p w14:paraId="6B691500" w14:textId="77777777" w:rsidR="00F437F9" w:rsidRPr="00331137" w:rsidRDefault="00F437F9" w:rsidP="005379F5">
            <w:pPr>
              <w:pStyle w:val="TableText0"/>
              <w:rPr>
                <w:b/>
              </w:rPr>
            </w:pPr>
            <w:r w:rsidRPr="00331137">
              <w:rPr>
                <w:b/>
              </w:rPr>
              <w:t>$483,676</w:t>
            </w:r>
          </w:p>
        </w:tc>
      </w:tr>
      <w:tr w:rsidR="00F437F9" w:rsidRPr="00331137" w14:paraId="36648ED9" w14:textId="77777777" w:rsidTr="00D30609">
        <w:tc>
          <w:tcPr>
            <w:tcW w:w="5000" w:type="pct"/>
            <w:gridSpan w:val="4"/>
          </w:tcPr>
          <w:p w14:paraId="6F51F658" w14:textId="77777777" w:rsidR="00F437F9" w:rsidRPr="00331137" w:rsidRDefault="00F437F9" w:rsidP="005379F5">
            <w:pPr>
              <w:pStyle w:val="TableText0"/>
              <w:rPr>
                <w:b/>
                <w:bCs/>
                <w:szCs w:val="16"/>
              </w:rPr>
            </w:pPr>
            <w:r w:rsidRPr="00331137">
              <w:rPr>
                <w:b/>
              </w:rPr>
              <w:t>Step2: modelled economic evaluation extrapolated after 12 months to 5 years</w:t>
            </w:r>
          </w:p>
        </w:tc>
      </w:tr>
      <w:tr w:rsidR="00F437F9" w:rsidRPr="00331137" w14:paraId="6A5C3DE5" w14:textId="77777777" w:rsidTr="00D30609">
        <w:tc>
          <w:tcPr>
            <w:tcW w:w="1324" w:type="pct"/>
          </w:tcPr>
          <w:p w14:paraId="4AC8DE7E" w14:textId="77777777" w:rsidR="00F437F9" w:rsidRPr="00331137" w:rsidRDefault="00F437F9" w:rsidP="005379F5">
            <w:pPr>
              <w:pStyle w:val="TableText0"/>
              <w:rPr>
                <w:szCs w:val="16"/>
              </w:rPr>
            </w:pPr>
            <w:r w:rsidRPr="00331137">
              <w:t>Cost</w:t>
            </w:r>
          </w:p>
        </w:tc>
        <w:tc>
          <w:tcPr>
            <w:tcW w:w="1258" w:type="pct"/>
          </w:tcPr>
          <w:p w14:paraId="170C6271" w14:textId="77777777" w:rsidR="00F437F9" w:rsidRPr="00331137" w:rsidRDefault="00F437F9" w:rsidP="005379F5">
            <w:pPr>
              <w:pStyle w:val="TableText0"/>
              <w:rPr>
                <w:szCs w:val="16"/>
              </w:rPr>
            </w:pPr>
            <w:r w:rsidRPr="00331137">
              <w:t>$12,195</w:t>
            </w:r>
          </w:p>
        </w:tc>
        <w:tc>
          <w:tcPr>
            <w:tcW w:w="1251" w:type="pct"/>
          </w:tcPr>
          <w:p w14:paraId="51293449" w14:textId="77777777" w:rsidR="00F437F9" w:rsidRPr="00331137" w:rsidRDefault="00F437F9" w:rsidP="005379F5">
            <w:pPr>
              <w:pStyle w:val="TableText0"/>
              <w:rPr>
                <w:szCs w:val="16"/>
              </w:rPr>
            </w:pPr>
            <w:r w:rsidRPr="00331137">
              <w:t>$311</w:t>
            </w:r>
          </w:p>
        </w:tc>
        <w:tc>
          <w:tcPr>
            <w:tcW w:w="1167" w:type="pct"/>
          </w:tcPr>
          <w:p w14:paraId="34C7A6F1" w14:textId="77777777" w:rsidR="00F437F9" w:rsidRPr="00331137" w:rsidRDefault="00F437F9" w:rsidP="005379F5">
            <w:pPr>
              <w:pStyle w:val="TableText0"/>
              <w:rPr>
                <w:szCs w:val="16"/>
              </w:rPr>
            </w:pPr>
            <w:r w:rsidRPr="00331137">
              <w:t>$11,884</w:t>
            </w:r>
          </w:p>
        </w:tc>
      </w:tr>
      <w:tr w:rsidR="00F437F9" w:rsidRPr="00331137" w14:paraId="4C09E9D4" w14:textId="77777777" w:rsidTr="00D30609">
        <w:tc>
          <w:tcPr>
            <w:tcW w:w="1324" w:type="pct"/>
          </w:tcPr>
          <w:p w14:paraId="6FBF6BEE" w14:textId="77777777" w:rsidR="00F437F9" w:rsidRPr="00331137" w:rsidRDefault="00F437F9" w:rsidP="005379F5">
            <w:pPr>
              <w:pStyle w:val="TableText0"/>
              <w:rPr>
                <w:szCs w:val="16"/>
              </w:rPr>
            </w:pPr>
            <w:r w:rsidRPr="00331137">
              <w:t>LYs</w:t>
            </w:r>
          </w:p>
        </w:tc>
        <w:tc>
          <w:tcPr>
            <w:tcW w:w="1258" w:type="pct"/>
          </w:tcPr>
          <w:p w14:paraId="1D9C7F53" w14:textId="77777777" w:rsidR="00F437F9" w:rsidRPr="00331137" w:rsidRDefault="00F437F9" w:rsidP="005379F5">
            <w:pPr>
              <w:pStyle w:val="TableText0"/>
              <w:rPr>
                <w:szCs w:val="16"/>
              </w:rPr>
            </w:pPr>
            <w:r w:rsidRPr="00331137">
              <w:t>4.45</w:t>
            </w:r>
          </w:p>
        </w:tc>
        <w:tc>
          <w:tcPr>
            <w:tcW w:w="1251" w:type="pct"/>
          </w:tcPr>
          <w:p w14:paraId="17CD625B" w14:textId="77777777" w:rsidR="00F437F9" w:rsidRPr="00331137" w:rsidRDefault="00F437F9" w:rsidP="005379F5">
            <w:pPr>
              <w:pStyle w:val="TableText0"/>
              <w:rPr>
                <w:szCs w:val="16"/>
              </w:rPr>
            </w:pPr>
            <w:r w:rsidRPr="00331137">
              <w:t>4.45</w:t>
            </w:r>
          </w:p>
        </w:tc>
        <w:tc>
          <w:tcPr>
            <w:tcW w:w="1167" w:type="pct"/>
          </w:tcPr>
          <w:p w14:paraId="3D42F04F" w14:textId="77777777" w:rsidR="00F437F9" w:rsidRPr="00331137" w:rsidRDefault="00F437F9" w:rsidP="005379F5">
            <w:pPr>
              <w:pStyle w:val="TableText0"/>
              <w:rPr>
                <w:szCs w:val="16"/>
              </w:rPr>
            </w:pPr>
            <w:r w:rsidRPr="00331137">
              <w:t>0</w:t>
            </w:r>
          </w:p>
        </w:tc>
      </w:tr>
      <w:tr w:rsidR="00F437F9" w:rsidRPr="00331137" w14:paraId="3CBA9529" w14:textId="77777777" w:rsidTr="00D30609">
        <w:tc>
          <w:tcPr>
            <w:tcW w:w="1324" w:type="pct"/>
          </w:tcPr>
          <w:p w14:paraId="335C4FC5" w14:textId="77777777" w:rsidR="00F437F9" w:rsidRPr="00331137" w:rsidRDefault="00F437F9" w:rsidP="005379F5">
            <w:pPr>
              <w:pStyle w:val="TableText0"/>
              <w:rPr>
                <w:szCs w:val="16"/>
              </w:rPr>
            </w:pPr>
            <w:r w:rsidRPr="00331137">
              <w:t>QALYs</w:t>
            </w:r>
          </w:p>
        </w:tc>
        <w:tc>
          <w:tcPr>
            <w:tcW w:w="1258" w:type="pct"/>
          </w:tcPr>
          <w:p w14:paraId="776D05AA" w14:textId="77777777" w:rsidR="00F437F9" w:rsidRPr="00331137" w:rsidRDefault="00F437F9" w:rsidP="005379F5">
            <w:pPr>
              <w:pStyle w:val="TableText0"/>
              <w:rPr>
                <w:szCs w:val="16"/>
              </w:rPr>
            </w:pPr>
            <w:r w:rsidRPr="00331137">
              <w:t>2.95</w:t>
            </w:r>
          </w:p>
        </w:tc>
        <w:tc>
          <w:tcPr>
            <w:tcW w:w="1251" w:type="pct"/>
          </w:tcPr>
          <w:p w14:paraId="2C7F4771" w14:textId="77777777" w:rsidR="00F437F9" w:rsidRPr="00331137" w:rsidRDefault="00F437F9" w:rsidP="005379F5">
            <w:pPr>
              <w:pStyle w:val="TableText0"/>
              <w:rPr>
                <w:szCs w:val="16"/>
              </w:rPr>
            </w:pPr>
            <w:r w:rsidRPr="00331137">
              <w:t>2.66</w:t>
            </w:r>
          </w:p>
        </w:tc>
        <w:tc>
          <w:tcPr>
            <w:tcW w:w="1167" w:type="pct"/>
          </w:tcPr>
          <w:p w14:paraId="29E4771E" w14:textId="77777777" w:rsidR="00F437F9" w:rsidRPr="00331137" w:rsidRDefault="00F437F9" w:rsidP="005379F5">
            <w:pPr>
              <w:pStyle w:val="TableText0"/>
              <w:rPr>
                <w:szCs w:val="16"/>
              </w:rPr>
            </w:pPr>
            <w:r w:rsidRPr="00331137">
              <w:t>0.30</w:t>
            </w:r>
          </w:p>
        </w:tc>
      </w:tr>
      <w:tr w:rsidR="00F437F9" w:rsidRPr="00331137" w14:paraId="28AEBA25" w14:textId="77777777" w:rsidTr="00D30609">
        <w:trPr>
          <w:trHeight w:val="171"/>
        </w:trPr>
        <w:tc>
          <w:tcPr>
            <w:tcW w:w="3833" w:type="pct"/>
            <w:gridSpan w:val="3"/>
          </w:tcPr>
          <w:p w14:paraId="5CF928E0" w14:textId="77777777" w:rsidR="00F437F9" w:rsidRPr="00331137" w:rsidRDefault="00F437F9" w:rsidP="005379F5">
            <w:pPr>
              <w:pStyle w:val="TableText0"/>
              <w:rPr>
                <w:b/>
                <w:szCs w:val="16"/>
              </w:rPr>
            </w:pPr>
            <w:r w:rsidRPr="00331137">
              <w:rPr>
                <w:b/>
              </w:rPr>
              <w:t>Incremental cost per QALY gained</w:t>
            </w:r>
          </w:p>
        </w:tc>
        <w:tc>
          <w:tcPr>
            <w:tcW w:w="1167" w:type="pct"/>
          </w:tcPr>
          <w:p w14:paraId="5DA1F131" w14:textId="77777777" w:rsidR="00F437F9" w:rsidRPr="00331137" w:rsidRDefault="00F437F9" w:rsidP="005379F5">
            <w:pPr>
              <w:pStyle w:val="TableText0"/>
              <w:rPr>
                <w:b/>
                <w:szCs w:val="16"/>
              </w:rPr>
            </w:pPr>
            <w:r w:rsidRPr="00331137">
              <w:rPr>
                <w:b/>
              </w:rPr>
              <w:t>$39,942</w:t>
            </w:r>
          </w:p>
        </w:tc>
      </w:tr>
    </w:tbl>
    <w:p w14:paraId="5227F302" w14:textId="77777777" w:rsidR="00F437F9" w:rsidRPr="00331137" w:rsidRDefault="00F437F9" w:rsidP="00F437F9">
      <w:pPr>
        <w:pStyle w:val="Tablenotes"/>
        <w:spacing w:after="0"/>
      </w:pPr>
      <w:r w:rsidRPr="00331137">
        <w:t xml:space="preserve">Source: Base Case.trex </w:t>
      </w:r>
    </w:p>
    <w:p w14:paraId="61A27E33" w14:textId="77777777" w:rsidR="00F437F9" w:rsidRPr="00331137" w:rsidRDefault="00F437F9" w:rsidP="00F437F9">
      <w:pPr>
        <w:pStyle w:val="Tablenotes"/>
        <w:spacing w:after="0"/>
      </w:pPr>
      <w:r w:rsidRPr="00331137">
        <w:t>LY = life years; QALY = quality adjusted life years</w:t>
      </w:r>
    </w:p>
    <w:p w14:paraId="1AA33473" w14:textId="071D887B" w:rsidR="00F437F9" w:rsidRDefault="00F437F9" w:rsidP="00D30609">
      <w:pPr>
        <w:spacing w:before="240" w:after="240"/>
      </w:pPr>
      <w:r w:rsidRPr="00331137">
        <w:t xml:space="preserve">The </w:t>
      </w:r>
      <w:r w:rsidR="005D4B8A">
        <w:t>application</w:t>
      </w:r>
      <w:r>
        <w:t xml:space="preserve"> stated that the incremental cost-effectiveness ratio (</w:t>
      </w:r>
      <w:r w:rsidRPr="00331137">
        <w:t>ICER</w:t>
      </w:r>
      <w:r>
        <w:t>)</w:t>
      </w:r>
      <w:r w:rsidRPr="00331137">
        <w:t xml:space="preserve"> was most sensitive to changes in the time horizon, the utility weights applied (i.e. Australian utility weights </w:t>
      </w:r>
      <w:r w:rsidRPr="00AE7C29">
        <w:rPr>
          <w:i/>
        </w:rPr>
        <w:t>vs.</w:t>
      </w:r>
      <w:r w:rsidRPr="00331137">
        <w:t xml:space="preserve"> United Kingdom utility weights), not allowing abdominoplasty patients utility to increase after three months and the cost of surgery. The model was relatively insensitive to changes in the recurrence rate, cost of best </w:t>
      </w:r>
      <w:r>
        <w:t>supportive care and discounting.</w:t>
      </w:r>
    </w:p>
    <w:p w14:paraId="021FDCFF" w14:textId="7A232FA5" w:rsidR="00F437F9" w:rsidRDefault="00F437F9" w:rsidP="00F437F9">
      <w:r>
        <w:t>The model substantially underestimated the cost of best supportive care. The model used five items of physioth</w:t>
      </w:r>
      <w:r w:rsidR="00611296">
        <w:t>erapy based on chronic disease M</w:t>
      </w:r>
      <w:r>
        <w:t xml:space="preserve">edicare items. </w:t>
      </w:r>
      <w:r w:rsidR="001A0FFD">
        <w:t>However t</w:t>
      </w:r>
      <w:r>
        <w:t>he pivotal trial evidence was for three times a week for 12 weeks</w:t>
      </w:r>
      <w:r w:rsidR="005D4B8A">
        <w:t xml:space="preserve"> or 36 episodes of care. Follow-</w:t>
      </w:r>
      <w:r>
        <w:t>up care was not included in either arm.</w:t>
      </w:r>
    </w:p>
    <w:p w14:paraId="1B6DE57A" w14:textId="77777777" w:rsidR="00386A5B" w:rsidRPr="00F715D1" w:rsidRDefault="00386A5B" w:rsidP="00386A5B">
      <w:pPr>
        <w:pStyle w:val="Heading1"/>
      </w:pPr>
      <w:r w:rsidRPr="00F715D1">
        <w:t>Financial/budgetary impacts</w:t>
      </w:r>
    </w:p>
    <w:p w14:paraId="152AF53C" w14:textId="7E55310C" w:rsidR="00F437F9" w:rsidRPr="00331137" w:rsidRDefault="00F437F9" w:rsidP="00D30609">
      <w:pPr>
        <w:spacing w:after="240"/>
      </w:pPr>
      <w:r w:rsidRPr="00331137">
        <w:t xml:space="preserve">An incidence-based epidemiological approach was used to estimate the financial implications of reinstating abdominoplasty for patients with </w:t>
      </w:r>
      <w:r w:rsidR="001A0FFD">
        <w:t>post-</w:t>
      </w:r>
      <w:r w:rsidRPr="00331137">
        <w:t xml:space="preserve">pregnancy rectus diastasis. The method used to calculate the eligible population was based on the average number of births per confinement adjusted by the fertility rate. This estimate was then adjusted using data from Sperstad </w:t>
      </w:r>
      <w:r w:rsidRPr="00331137">
        <w:rPr>
          <w:i/>
        </w:rPr>
        <w:t>et al.</w:t>
      </w:r>
      <w:r w:rsidRPr="00331137">
        <w:t xml:space="preserve"> (2016) </w:t>
      </w:r>
      <w:r w:rsidRPr="00331137">
        <w:fldChar w:fldCharType="begin">
          <w:fldData xml:space="preserve">PEVuZE5vdGU+PENpdGU+PEF1dGhvcj5TcGVyc3RhZDwvQXV0aG9yPjxZZWFyPjIwMTY8L1llYXI+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</w:fldData>
        </w:fldChar>
      </w:r>
      <w:r w:rsidRPr="00331137">
        <w:instrText xml:space="preserve"> ADDIN EN.CITE </w:instrText>
      </w:r>
      <w:r w:rsidRPr="00331137">
        <w:fldChar w:fldCharType="begin">
          <w:fldData xml:space="preserve">PEVuZE5vdGU+PENpdGU+PEF1dGhvcj5TcGVyc3RhZDwvQXV0aG9yPjxZZWFyPjIwMTY8L1llYXI+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</w:fldData>
        </w:fldChar>
      </w:r>
      <w:r w:rsidRPr="00331137">
        <w:instrText xml:space="preserve"> ADDIN EN.CITE.DATA </w:instrText>
      </w:r>
      <w:r w:rsidRPr="00331137">
        <w:fldChar w:fldCharType="end"/>
      </w:r>
      <w:r w:rsidRPr="00331137">
        <w:fldChar w:fldCharType="separate"/>
      </w:r>
      <w:r w:rsidRPr="00331137">
        <w:t>[</w:t>
      </w:r>
      <w:hyperlink w:anchor="_ENREF_4" w:tooltip="Sperstad, 2016 #9" w:history="1">
        <w:r w:rsidRPr="00331137">
          <w:t>4</w:t>
        </w:r>
      </w:hyperlink>
      <w:r w:rsidRPr="00331137">
        <w:t>]</w:t>
      </w:r>
      <w:r w:rsidRPr="00331137">
        <w:fldChar w:fldCharType="end"/>
      </w:r>
      <w:r w:rsidRPr="00331137">
        <w:t>, which reported on the number of primiparous women with rectus diastasis of two finger widths (approximately 3 cm) at 12 months post-partum and who had lumbopelvic pain. Uptake was based the historic rate of uptake of MBS item 30</w:t>
      </w:r>
      <w:r>
        <w:t>177 amongst post-partum women.</w:t>
      </w:r>
    </w:p>
    <w:p w14:paraId="3AECC237" w14:textId="54DC2D57" w:rsidR="00872B36" w:rsidRPr="00D30609" w:rsidRDefault="00F437F9" w:rsidP="00D30609">
      <w:r w:rsidRPr="00331137">
        <w:t xml:space="preserve">The financial implications to the MBS resulting from the proposed listing of abdominoplasty for women with pregnancy-acquired rectus diastasis are summarised in </w:t>
      </w:r>
      <w:r>
        <w:t>Table 6</w:t>
      </w:r>
      <w:r w:rsidR="00EA3134">
        <w:t>.</w:t>
      </w:r>
      <w:bookmarkStart w:id="19" w:name="_Ref395200110"/>
      <w:bookmarkStart w:id="20" w:name="_Toc393197779"/>
      <w:bookmarkStart w:id="21" w:name="_Toc393378192"/>
      <w:bookmarkStart w:id="22" w:name="_Toc4684542"/>
      <w:bookmarkStart w:id="23" w:name="_Toc8225777"/>
      <w:r w:rsidR="00872B36">
        <w:br w:type="page"/>
      </w:r>
    </w:p>
    <w:p w14:paraId="3E663BEC" w14:textId="7184C11D" w:rsidR="00F437F9" w:rsidRPr="00D30609" w:rsidRDefault="00F437F9" w:rsidP="00D30609">
      <w:pPr>
        <w:rPr>
          <w:rFonts w:ascii="Arial Narrow" w:hAnsi="Arial Narrow"/>
          <w:b/>
          <w:sz w:val="20"/>
        </w:rPr>
      </w:pPr>
      <w:r w:rsidRPr="00D30609">
        <w:rPr>
          <w:rFonts w:ascii="Arial Narrow" w:hAnsi="Arial Narrow"/>
          <w:b/>
          <w:sz w:val="20"/>
        </w:rPr>
        <w:lastRenderedPageBreak/>
        <w:t xml:space="preserve">Table </w:t>
      </w:r>
      <w:bookmarkEnd w:id="19"/>
      <w:r w:rsidRPr="00D30609">
        <w:rPr>
          <w:rFonts w:ascii="Arial Narrow" w:hAnsi="Arial Narrow"/>
          <w:b/>
          <w:sz w:val="20"/>
        </w:rPr>
        <w:t xml:space="preserve">6: Total costs to the MBS associated with </w:t>
      </w:r>
      <w:bookmarkEnd w:id="20"/>
      <w:bookmarkEnd w:id="21"/>
      <w:bookmarkEnd w:id="22"/>
      <w:r w:rsidRPr="00D30609">
        <w:rPr>
          <w:rFonts w:ascii="Arial Narrow" w:hAnsi="Arial Narrow"/>
          <w:b/>
          <w:sz w:val="20"/>
        </w:rPr>
        <w:t>listing abdominoplasty for women with pregnancy-acquired rectus diastasis</w:t>
      </w:r>
      <w:bookmarkEnd w:id="23"/>
    </w:p>
    <w:tbl>
      <w:tblPr>
        <w:tblStyle w:val="TableGrid1"/>
        <w:tblW w:w="4877" w:type="pct"/>
        <w:tblLook w:val="04A0" w:firstRow="1" w:lastRow="0" w:firstColumn="1" w:lastColumn="0" w:noHBand="0" w:noVBand="1"/>
        <w:tblCaption w:val="Table 9 Total costs to the MBS associated with XXX"/>
        <w:tblDescription w:val="This table provides a summary of the financial impact of the proposed new medical service over the next five years."/>
      </w:tblPr>
      <w:tblGrid>
        <w:gridCol w:w="2372"/>
        <w:gridCol w:w="1527"/>
        <w:gridCol w:w="1224"/>
        <w:gridCol w:w="1224"/>
        <w:gridCol w:w="1161"/>
        <w:gridCol w:w="1286"/>
      </w:tblGrid>
      <w:tr w:rsidR="00F437F9" w:rsidRPr="00331137" w14:paraId="11233D88" w14:textId="77777777" w:rsidTr="00E25021">
        <w:trPr>
          <w:trHeight w:val="20"/>
          <w:tblHeader/>
        </w:trPr>
        <w:tc>
          <w:tcPr>
            <w:tcW w:w="1349" w:type="pct"/>
          </w:tcPr>
          <w:p w14:paraId="7315A705" w14:textId="77777777" w:rsidR="00F437F9" w:rsidRPr="00331137" w:rsidRDefault="00F437F9" w:rsidP="005379F5">
            <w:pPr>
              <w:pStyle w:val="MSACTableText"/>
              <w:rPr>
                <w:b/>
              </w:rPr>
            </w:pPr>
            <w:r w:rsidRPr="00331137">
              <w:rPr>
                <w:b/>
              </w:rPr>
              <w:t>-</w:t>
            </w:r>
          </w:p>
        </w:tc>
        <w:tc>
          <w:tcPr>
            <w:tcW w:w="868" w:type="pct"/>
          </w:tcPr>
          <w:p w14:paraId="20B5664D" w14:textId="77777777" w:rsidR="00F437F9" w:rsidRPr="00331137" w:rsidRDefault="00F437F9" w:rsidP="005379F5">
            <w:pPr>
              <w:pStyle w:val="MSACTableText"/>
              <w:jc w:val="center"/>
              <w:rPr>
                <w:b/>
              </w:rPr>
            </w:pPr>
            <w:r w:rsidRPr="00331137">
              <w:rPr>
                <w:b/>
              </w:rPr>
              <w:t>2020</w:t>
            </w:r>
          </w:p>
        </w:tc>
        <w:tc>
          <w:tcPr>
            <w:tcW w:w="696" w:type="pct"/>
          </w:tcPr>
          <w:p w14:paraId="6A2258A2" w14:textId="77777777" w:rsidR="00F437F9" w:rsidRPr="00331137" w:rsidRDefault="00F437F9" w:rsidP="005379F5">
            <w:pPr>
              <w:pStyle w:val="MSACTableText"/>
              <w:jc w:val="center"/>
              <w:rPr>
                <w:b/>
              </w:rPr>
            </w:pPr>
            <w:r w:rsidRPr="00331137">
              <w:rPr>
                <w:b/>
              </w:rPr>
              <w:t>2021</w:t>
            </w:r>
          </w:p>
        </w:tc>
        <w:tc>
          <w:tcPr>
            <w:tcW w:w="696" w:type="pct"/>
          </w:tcPr>
          <w:p w14:paraId="42AF35B0" w14:textId="77777777" w:rsidR="00F437F9" w:rsidRPr="00331137" w:rsidRDefault="00F437F9" w:rsidP="005379F5">
            <w:pPr>
              <w:pStyle w:val="MSACTableText"/>
              <w:jc w:val="center"/>
              <w:rPr>
                <w:b/>
              </w:rPr>
            </w:pPr>
            <w:r w:rsidRPr="00331137">
              <w:rPr>
                <w:b/>
              </w:rPr>
              <w:t>2022</w:t>
            </w:r>
          </w:p>
        </w:tc>
        <w:tc>
          <w:tcPr>
            <w:tcW w:w="660" w:type="pct"/>
          </w:tcPr>
          <w:p w14:paraId="56AB7DEC" w14:textId="77777777" w:rsidR="00F437F9" w:rsidRPr="00331137" w:rsidRDefault="00F437F9" w:rsidP="005379F5">
            <w:pPr>
              <w:pStyle w:val="MSACTableText"/>
              <w:jc w:val="center"/>
              <w:rPr>
                <w:b/>
              </w:rPr>
            </w:pPr>
            <w:r w:rsidRPr="00331137">
              <w:rPr>
                <w:b/>
              </w:rPr>
              <w:t>2023</w:t>
            </w:r>
          </w:p>
        </w:tc>
        <w:tc>
          <w:tcPr>
            <w:tcW w:w="731" w:type="pct"/>
          </w:tcPr>
          <w:p w14:paraId="0C0AB089" w14:textId="77777777" w:rsidR="00F437F9" w:rsidRPr="00331137" w:rsidRDefault="00F437F9" w:rsidP="005379F5">
            <w:pPr>
              <w:pStyle w:val="MSACTableText"/>
              <w:jc w:val="center"/>
              <w:rPr>
                <w:b/>
              </w:rPr>
            </w:pPr>
            <w:r w:rsidRPr="00331137">
              <w:rPr>
                <w:b/>
              </w:rPr>
              <w:t>2024</w:t>
            </w:r>
          </w:p>
        </w:tc>
      </w:tr>
      <w:tr w:rsidR="00F437F9" w:rsidRPr="00331137" w14:paraId="5D9BFBE2" w14:textId="77777777" w:rsidTr="00E25021">
        <w:trPr>
          <w:trHeight w:val="20"/>
        </w:trPr>
        <w:tc>
          <w:tcPr>
            <w:tcW w:w="1349" w:type="pct"/>
          </w:tcPr>
          <w:p w14:paraId="0FFC4202" w14:textId="77777777" w:rsidR="00F437F9" w:rsidRPr="00331137" w:rsidRDefault="00F437F9" w:rsidP="005379F5">
            <w:pPr>
              <w:pStyle w:val="MSACTableText"/>
            </w:pPr>
            <w:r w:rsidRPr="00331137">
              <w:t xml:space="preserve">Eligible patients </w:t>
            </w:r>
          </w:p>
        </w:tc>
        <w:tc>
          <w:tcPr>
            <w:tcW w:w="868" w:type="pct"/>
          </w:tcPr>
          <w:p w14:paraId="5B7CF1A9" w14:textId="77777777" w:rsidR="00F437F9" w:rsidRPr="00331137" w:rsidRDefault="00F437F9" w:rsidP="005379F5">
            <w:pPr>
              <w:pStyle w:val="MSACTableText"/>
              <w:jc w:val="center"/>
            </w:pPr>
            <w:r w:rsidRPr="00331137">
              <w:t>21,281</w:t>
            </w:r>
          </w:p>
        </w:tc>
        <w:tc>
          <w:tcPr>
            <w:tcW w:w="696" w:type="pct"/>
          </w:tcPr>
          <w:p w14:paraId="634FBD4E" w14:textId="77777777" w:rsidR="00F437F9" w:rsidRPr="00331137" w:rsidRDefault="00F437F9" w:rsidP="005379F5">
            <w:pPr>
              <w:pStyle w:val="MSACTableText"/>
              <w:jc w:val="center"/>
            </w:pPr>
            <w:r w:rsidRPr="00331137">
              <w:t>21,706</w:t>
            </w:r>
          </w:p>
        </w:tc>
        <w:tc>
          <w:tcPr>
            <w:tcW w:w="696" w:type="pct"/>
          </w:tcPr>
          <w:p w14:paraId="051E3C2C" w14:textId="77777777" w:rsidR="00F437F9" w:rsidRPr="00331137" w:rsidRDefault="00F437F9" w:rsidP="005379F5">
            <w:pPr>
              <w:pStyle w:val="MSACTableText"/>
              <w:jc w:val="center"/>
            </w:pPr>
            <w:r w:rsidRPr="00331137">
              <w:t>22,106</w:t>
            </w:r>
          </w:p>
        </w:tc>
        <w:tc>
          <w:tcPr>
            <w:tcW w:w="660" w:type="pct"/>
          </w:tcPr>
          <w:p w14:paraId="73F7077F" w14:textId="77777777" w:rsidR="00F437F9" w:rsidRPr="00331137" w:rsidRDefault="00F437F9" w:rsidP="005379F5">
            <w:pPr>
              <w:pStyle w:val="MSACTableText"/>
              <w:jc w:val="center"/>
            </w:pPr>
            <w:r w:rsidRPr="00331137">
              <w:t>22,477</w:t>
            </w:r>
          </w:p>
        </w:tc>
        <w:tc>
          <w:tcPr>
            <w:tcW w:w="731" w:type="pct"/>
          </w:tcPr>
          <w:p w14:paraId="66E79715" w14:textId="77777777" w:rsidR="00F437F9" w:rsidRPr="00331137" w:rsidRDefault="00F437F9" w:rsidP="005379F5">
            <w:pPr>
              <w:pStyle w:val="MSACTableText"/>
              <w:jc w:val="center"/>
            </w:pPr>
            <w:r w:rsidRPr="00331137">
              <w:t>22,819</w:t>
            </w:r>
          </w:p>
        </w:tc>
      </w:tr>
      <w:tr w:rsidR="00F437F9" w:rsidRPr="00331137" w14:paraId="597364F4" w14:textId="77777777" w:rsidTr="00E25021">
        <w:trPr>
          <w:trHeight w:val="20"/>
        </w:trPr>
        <w:tc>
          <w:tcPr>
            <w:tcW w:w="1349" w:type="pct"/>
          </w:tcPr>
          <w:p w14:paraId="441B0596" w14:textId="77777777" w:rsidR="00F437F9" w:rsidRPr="00331137" w:rsidRDefault="00F437F9" w:rsidP="005379F5">
            <w:pPr>
              <w:pStyle w:val="MSACTableText"/>
            </w:pPr>
            <w:r w:rsidRPr="00331137">
              <w:t>Uptake (5.35%)</w:t>
            </w:r>
          </w:p>
        </w:tc>
        <w:tc>
          <w:tcPr>
            <w:tcW w:w="868" w:type="pct"/>
          </w:tcPr>
          <w:p w14:paraId="5BB22854" w14:textId="77777777" w:rsidR="00F437F9" w:rsidRPr="00331137" w:rsidRDefault="00F437F9" w:rsidP="005379F5">
            <w:pPr>
              <w:pStyle w:val="MSACTableText"/>
              <w:jc w:val="center"/>
            </w:pPr>
            <w:r w:rsidRPr="00331137">
              <w:t>1,139</w:t>
            </w:r>
          </w:p>
        </w:tc>
        <w:tc>
          <w:tcPr>
            <w:tcW w:w="696" w:type="pct"/>
          </w:tcPr>
          <w:p w14:paraId="5CC1FA60" w14:textId="77777777" w:rsidR="00F437F9" w:rsidRPr="00331137" w:rsidRDefault="00F437F9" w:rsidP="005379F5">
            <w:pPr>
              <w:pStyle w:val="MSACTableText"/>
              <w:jc w:val="center"/>
            </w:pPr>
            <w:r w:rsidRPr="00331137">
              <w:t>1,161</w:t>
            </w:r>
          </w:p>
        </w:tc>
        <w:tc>
          <w:tcPr>
            <w:tcW w:w="696" w:type="pct"/>
          </w:tcPr>
          <w:p w14:paraId="18AF293E" w14:textId="77777777" w:rsidR="00F437F9" w:rsidRPr="00331137" w:rsidRDefault="00F437F9" w:rsidP="005379F5">
            <w:pPr>
              <w:pStyle w:val="MSACTableText"/>
              <w:jc w:val="center"/>
            </w:pPr>
            <w:r w:rsidRPr="00331137">
              <w:t>1,183</w:t>
            </w:r>
          </w:p>
        </w:tc>
        <w:tc>
          <w:tcPr>
            <w:tcW w:w="660" w:type="pct"/>
          </w:tcPr>
          <w:p w14:paraId="12CDE660" w14:textId="77777777" w:rsidR="00F437F9" w:rsidRPr="00331137" w:rsidRDefault="00F437F9" w:rsidP="005379F5">
            <w:pPr>
              <w:pStyle w:val="MSACTableText"/>
              <w:jc w:val="center"/>
            </w:pPr>
            <w:r w:rsidRPr="00331137">
              <w:t>1,203</w:t>
            </w:r>
          </w:p>
        </w:tc>
        <w:tc>
          <w:tcPr>
            <w:tcW w:w="731" w:type="pct"/>
          </w:tcPr>
          <w:p w14:paraId="000BA2DB" w14:textId="77777777" w:rsidR="00F437F9" w:rsidRPr="00331137" w:rsidRDefault="00F437F9" w:rsidP="005379F5">
            <w:pPr>
              <w:pStyle w:val="MSACTableText"/>
              <w:jc w:val="center"/>
            </w:pPr>
            <w:r w:rsidRPr="00331137">
              <w:t>1,221</w:t>
            </w:r>
          </w:p>
        </w:tc>
      </w:tr>
      <w:tr w:rsidR="00F437F9" w:rsidRPr="00331137" w14:paraId="62C4AE31" w14:textId="77777777" w:rsidTr="00D30609">
        <w:trPr>
          <w:trHeight w:val="20"/>
        </w:trPr>
        <w:tc>
          <w:tcPr>
            <w:tcW w:w="1349" w:type="pct"/>
          </w:tcPr>
          <w:p w14:paraId="3AF4C3BA" w14:textId="77777777" w:rsidR="00F437F9" w:rsidRPr="00331137" w:rsidRDefault="00F437F9" w:rsidP="005379F5">
            <w:pPr>
              <w:pStyle w:val="MSACTableText"/>
              <w:jc w:val="left"/>
            </w:pPr>
            <w:r w:rsidRPr="00331137">
              <w:rPr>
                <w:b/>
              </w:rPr>
              <w:t xml:space="preserve">Abdominoplasty: MBS </w:t>
            </w:r>
          </w:p>
        </w:tc>
        <w:tc>
          <w:tcPr>
            <w:tcW w:w="868" w:type="pct"/>
          </w:tcPr>
          <w:p w14:paraId="5B058AF0" w14:textId="77777777" w:rsidR="00F437F9" w:rsidRPr="00331137" w:rsidRDefault="00F437F9" w:rsidP="005379F5">
            <w:pPr>
              <w:pStyle w:val="MSACTableText"/>
              <w:jc w:val="left"/>
            </w:pPr>
            <w:r w:rsidRPr="00331137">
              <w:rPr>
                <w:b/>
              </w:rPr>
              <w:t>item 3017X</w:t>
            </w:r>
          </w:p>
        </w:tc>
        <w:tc>
          <w:tcPr>
            <w:tcW w:w="696" w:type="pct"/>
          </w:tcPr>
          <w:p w14:paraId="7EB00741" w14:textId="77777777" w:rsidR="00F437F9" w:rsidRPr="00331137" w:rsidRDefault="00F437F9" w:rsidP="005379F5">
            <w:pPr>
              <w:pStyle w:val="MSACTableText"/>
              <w:jc w:val="center"/>
            </w:pPr>
          </w:p>
        </w:tc>
        <w:tc>
          <w:tcPr>
            <w:tcW w:w="696" w:type="pct"/>
          </w:tcPr>
          <w:p w14:paraId="4213424C" w14:textId="77777777" w:rsidR="00F437F9" w:rsidRPr="00331137" w:rsidRDefault="00F437F9" w:rsidP="005379F5">
            <w:pPr>
              <w:pStyle w:val="MSACTableText"/>
              <w:jc w:val="center"/>
            </w:pPr>
          </w:p>
        </w:tc>
        <w:tc>
          <w:tcPr>
            <w:tcW w:w="660" w:type="pct"/>
          </w:tcPr>
          <w:p w14:paraId="77E336D9" w14:textId="77777777" w:rsidR="00F437F9" w:rsidRPr="00331137" w:rsidRDefault="00F437F9" w:rsidP="005379F5">
            <w:pPr>
              <w:pStyle w:val="MSACTableText"/>
              <w:jc w:val="center"/>
            </w:pPr>
          </w:p>
        </w:tc>
        <w:tc>
          <w:tcPr>
            <w:tcW w:w="731" w:type="pct"/>
          </w:tcPr>
          <w:p w14:paraId="62BC097B" w14:textId="77777777" w:rsidR="00F437F9" w:rsidRPr="00331137" w:rsidRDefault="00F437F9" w:rsidP="005379F5">
            <w:pPr>
              <w:pStyle w:val="MSACTableText"/>
              <w:jc w:val="center"/>
            </w:pPr>
          </w:p>
        </w:tc>
      </w:tr>
      <w:tr w:rsidR="00F437F9" w:rsidRPr="00331137" w14:paraId="2B6EA5DF" w14:textId="77777777" w:rsidTr="00E25021">
        <w:trPr>
          <w:trHeight w:val="20"/>
        </w:trPr>
        <w:tc>
          <w:tcPr>
            <w:tcW w:w="1349" w:type="pct"/>
          </w:tcPr>
          <w:p w14:paraId="2E5B66F8" w14:textId="77777777" w:rsidR="00F437F9" w:rsidRPr="00331137" w:rsidRDefault="00F437F9" w:rsidP="005379F5">
            <w:pPr>
              <w:pStyle w:val="MSACTableText"/>
            </w:pPr>
            <w:r w:rsidRPr="00331137">
              <w:t>Number of services</w:t>
            </w:r>
          </w:p>
        </w:tc>
        <w:tc>
          <w:tcPr>
            <w:tcW w:w="868" w:type="pct"/>
          </w:tcPr>
          <w:p w14:paraId="0389F16B" w14:textId="77777777" w:rsidR="00F437F9" w:rsidRPr="00331137" w:rsidRDefault="00F437F9" w:rsidP="005379F5">
            <w:pPr>
              <w:pStyle w:val="MSACTableText"/>
              <w:jc w:val="center"/>
            </w:pPr>
            <w:r w:rsidRPr="00331137">
              <w:t>1,139</w:t>
            </w:r>
          </w:p>
        </w:tc>
        <w:tc>
          <w:tcPr>
            <w:tcW w:w="696" w:type="pct"/>
          </w:tcPr>
          <w:p w14:paraId="5DFF479F" w14:textId="77777777" w:rsidR="00F437F9" w:rsidRPr="00331137" w:rsidRDefault="00F437F9" w:rsidP="005379F5">
            <w:pPr>
              <w:pStyle w:val="MSACTableText"/>
              <w:jc w:val="center"/>
            </w:pPr>
            <w:r w:rsidRPr="00331137">
              <w:t>1,161</w:t>
            </w:r>
          </w:p>
        </w:tc>
        <w:tc>
          <w:tcPr>
            <w:tcW w:w="696" w:type="pct"/>
          </w:tcPr>
          <w:p w14:paraId="256B8FFB" w14:textId="77777777" w:rsidR="00F437F9" w:rsidRPr="00331137" w:rsidRDefault="00F437F9" w:rsidP="005379F5">
            <w:pPr>
              <w:pStyle w:val="MSACTableText"/>
              <w:jc w:val="center"/>
            </w:pPr>
            <w:r w:rsidRPr="00331137">
              <w:t>1,183</w:t>
            </w:r>
          </w:p>
        </w:tc>
        <w:tc>
          <w:tcPr>
            <w:tcW w:w="660" w:type="pct"/>
          </w:tcPr>
          <w:p w14:paraId="2A7F5545" w14:textId="77777777" w:rsidR="00F437F9" w:rsidRPr="00331137" w:rsidRDefault="00F437F9" w:rsidP="005379F5">
            <w:pPr>
              <w:pStyle w:val="MSACTableText"/>
              <w:jc w:val="center"/>
            </w:pPr>
            <w:r w:rsidRPr="00331137">
              <w:t>1,203</w:t>
            </w:r>
          </w:p>
        </w:tc>
        <w:tc>
          <w:tcPr>
            <w:tcW w:w="731" w:type="pct"/>
          </w:tcPr>
          <w:p w14:paraId="71F6FDAC" w14:textId="77777777" w:rsidR="00F437F9" w:rsidRPr="00331137" w:rsidRDefault="00F437F9" w:rsidP="005379F5">
            <w:pPr>
              <w:pStyle w:val="MSACTableText"/>
              <w:jc w:val="center"/>
            </w:pPr>
            <w:r w:rsidRPr="00331137">
              <w:t>1,221</w:t>
            </w:r>
          </w:p>
        </w:tc>
      </w:tr>
      <w:tr w:rsidR="00F437F9" w:rsidRPr="00331137" w14:paraId="313669EB" w14:textId="77777777" w:rsidTr="00E25021">
        <w:trPr>
          <w:trHeight w:val="20"/>
        </w:trPr>
        <w:tc>
          <w:tcPr>
            <w:tcW w:w="1349" w:type="pct"/>
          </w:tcPr>
          <w:p w14:paraId="4EDE358D" w14:textId="77777777" w:rsidR="00F437F9" w:rsidRPr="00331137" w:rsidRDefault="00F437F9" w:rsidP="005379F5">
            <w:pPr>
              <w:pStyle w:val="MSACTableText"/>
            </w:pPr>
            <w:r w:rsidRPr="00331137">
              <w:t>Sub-total cost (75% fee)</w:t>
            </w:r>
          </w:p>
        </w:tc>
        <w:tc>
          <w:tcPr>
            <w:tcW w:w="868" w:type="pct"/>
          </w:tcPr>
          <w:p w14:paraId="3DB93E63" w14:textId="77777777" w:rsidR="00F437F9" w:rsidRPr="00331137" w:rsidRDefault="00F437F9" w:rsidP="005379F5">
            <w:pPr>
              <w:pStyle w:val="MSACTableText"/>
              <w:jc w:val="center"/>
            </w:pPr>
            <w:r w:rsidRPr="00331137">
              <w:t>$842,034</w:t>
            </w:r>
          </w:p>
        </w:tc>
        <w:tc>
          <w:tcPr>
            <w:tcW w:w="696" w:type="pct"/>
          </w:tcPr>
          <w:p w14:paraId="069B1F7B" w14:textId="77777777" w:rsidR="00F437F9" w:rsidRPr="00331137" w:rsidRDefault="00F437F9" w:rsidP="005379F5">
            <w:pPr>
              <w:pStyle w:val="MSACTableText"/>
              <w:jc w:val="center"/>
            </w:pPr>
            <w:r w:rsidRPr="00331137">
              <w:t>$858,298</w:t>
            </w:r>
          </w:p>
        </w:tc>
        <w:tc>
          <w:tcPr>
            <w:tcW w:w="696" w:type="pct"/>
          </w:tcPr>
          <w:p w14:paraId="0813580D" w14:textId="77777777" w:rsidR="00F437F9" w:rsidRPr="00331137" w:rsidRDefault="00F437F9" w:rsidP="005379F5">
            <w:pPr>
              <w:pStyle w:val="MSACTableText"/>
              <w:jc w:val="center"/>
            </w:pPr>
            <w:r w:rsidRPr="00331137">
              <w:t>$874,562</w:t>
            </w:r>
          </w:p>
        </w:tc>
        <w:tc>
          <w:tcPr>
            <w:tcW w:w="660" w:type="pct"/>
          </w:tcPr>
          <w:p w14:paraId="69259E32" w14:textId="77777777" w:rsidR="00F437F9" w:rsidRPr="00331137" w:rsidRDefault="00F437F9" w:rsidP="005379F5">
            <w:pPr>
              <w:pStyle w:val="MSACTableText"/>
              <w:jc w:val="center"/>
            </w:pPr>
            <w:r w:rsidRPr="00331137">
              <w:t>$889,348</w:t>
            </w:r>
          </w:p>
        </w:tc>
        <w:tc>
          <w:tcPr>
            <w:tcW w:w="731" w:type="pct"/>
          </w:tcPr>
          <w:p w14:paraId="6332DC33" w14:textId="77777777" w:rsidR="00F437F9" w:rsidRPr="00331137" w:rsidRDefault="00F437F9" w:rsidP="005379F5">
            <w:pPr>
              <w:pStyle w:val="MSACTableText"/>
              <w:jc w:val="center"/>
            </w:pPr>
            <w:r w:rsidRPr="00331137">
              <w:t>$902,655</w:t>
            </w:r>
          </w:p>
        </w:tc>
      </w:tr>
      <w:tr w:rsidR="00F437F9" w:rsidRPr="00331137" w14:paraId="28DBDB94" w14:textId="77777777" w:rsidTr="00E25021">
        <w:trPr>
          <w:trHeight w:val="20"/>
        </w:trPr>
        <w:tc>
          <w:tcPr>
            <w:tcW w:w="1349" w:type="pct"/>
          </w:tcPr>
          <w:p w14:paraId="0F8A2A99" w14:textId="77777777" w:rsidR="00F437F9" w:rsidRPr="00331137" w:rsidRDefault="00F437F9" w:rsidP="005379F5">
            <w:pPr>
              <w:pStyle w:val="MSACTableText"/>
              <w:jc w:val="left"/>
            </w:pPr>
            <w:r w:rsidRPr="00331137">
              <w:rPr>
                <w:b/>
              </w:rPr>
              <w:t>Co-administered services:</w:t>
            </w:r>
          </w:p>
        </w:tc>
        <w:tc>
          <w:tcPr>
            <w:tcW w:w="868" w:type="pct"/>
          </w:tcPr>
          <w:p w14:paraId="4290FB56" w14:textId="77777777" w:rsidR="00F437F9" w:rsidRPr="00331137" w:rsidRDefault="00F437F9" w:rsidP="005379F5">
            <w:pPr>
              <w:pStyle w:val="MSACTableText"/>
              <w:jc w:val="left"/>
            </w:pPr>
            <w:r w:rsidRPr="00331137">
              <w:rPr>
                <w:b/>
              </w:rPr>
              <w:t>MBS Items 104,</w:t>
            </w:r>
          </w:p>
        </w:tc>
        <w:tc>
          <w:tcPr>
            <w:tcW w:w="696" w:type="pct"/>
          </w:tcPr>
          <w:p w14:paraId="4F06DE38" w14:textId="77777777" w:rsidR="00F437F9" w:rsidRPr="00331137" w:rsidRDefault="00F437F9" w:rsidP="005379F5">
            <w:pPr>
              <w:pStyle w:val="MSACTableText"/>
              <w:jc w:val="left"/>
              <w:rPr>
                <w:b/>
              </w:rPr>
            </w:pPr>
            <w:r w:rsidRPr="00331137">
              <w:rPr>
                <w:b/>
              </w:rPr>
              <w:t>105, 20803,</w:t>
            </w:r>
          </w:p>
        </w:tc>
        <w:tc>
          <w:tcPr>
            <w:tcW w:w="696" w:type="pct"/>
          </w:tcPr>
          <w:p w14:paraId="5587EB3A" w14:textId="77777777" w:rsidR="00F437F9" w:rsidRPr="00331137" w:rsidRDefault="00F437F9" w:rsidP="005379F5">
            <w:pPr>
              <w:pStyle w:val="MSACTableText"/>
              <w:jc w:val="left"/>
            </w:pPr>
            <w:r w:rsidRPr="00331137">
              <w:rPr>
                <w:b/>
              </w:rPr>
              <w:t>and 23083</w:t>
            </w:r>
            <w:r w:rsidRPr="00331137">
              <w:rPr>
                <w:b/>
                <w:vertAlign w:val="superscript"/>
              </w:rPr>
              <w:t xml:space="preserve"> a</w:t>
            </w:r>
          </w:p>
        </w:tc>
        <w:tc>
          <w:tcPr>
            <w:tcW w:w="660" w:type="pct"/>
          </w:tcPr>
          <w:p w14:paraId="5A57E497" w14:textId="77777777" w:rsidR="00F437F9" w:rsidRPr="00331137" w:rsidRDefault="00F437F9" w:rsidP="005379F5">
            <w:pPr>
              <w:pStyle w:val="MSACTableText"/>
              <w:jc w:val="center"/>
            </w:pPr>
          </w:p>
        </w:tc>
        <w:tc>
          <w:tcPr>
            <w:tcW w:w="731" w:type="pct"/>
          </w:tcPr>
          <w:p w14:paraId="78E94A7F" w14:textId="77777777" w:rsidR="00F437F9" w:rsidRPr="00331137" w:rsidRDefault="00F437F9" w:rsidP="005379F5">
            <w:pPr>
              <w:pStyle w:val="MSACTableText"/>
              <w:jc w:val="center"/>
            </w:pPr>
          </w:p>
        </w:tc>
      </w:tr>
      <w:tr w:rsidR="00F437F9" w:rsidRPr="00331137" w14:paraId="50777F19" w14:textId="77777777" w:rsidTr="00E25021">
        <w:trPr>
          <w:trHeight w:val="20"/>
        </w:trPr>
        <w:tc>
          <w:tcPr>
            <w:tcW w:w="1349" w:type="pct"/>
          </w:tcPr>
          <w:p w14:paraId="158396E8" w14:textId="77777777" w:rsidR="00F437F9" w:rsidRPr="00331137" w:rsidRDefault="00F437F9" w:rsidP="005379F5">
            <w:pPr>
              <w:pStyle w:val="MSACTableText"/>
            </w:pPr>
            <w:r w:rsidRPr="00331137">
              <w:t xml:space="preserve">Number of services </w:t>
            </w:r>
          </w:p>
        </w:tc>
        <w:tc>
          <w:tcPr>
            <w:tcW w:w="868" w:type="pct"/>
          </w:tcPr>
          <w:p w14:paraId="74410976" w14:textId="77777777" w:rsidR="00F437F9" w:rsidRPr="00331137" w:rsidRDefault="00F437F9" w:rsidP="005379F5">
            <w:pPr>
              <w:pStyle w:val="MSACTableText"/>
              <w:jc w:val="center"/>
            </w:pPr>
            <w:r w:rsidRPr="00331137">
              <w:t>9,795</w:t>
            </w:r>
          </w:p>
        </w:tc>
        <w:tc>
          <w:tcPr>
            <w:tcW w:w="696" w:type="pct"/>
          </w:tcPr>
          <w:p w14:paraId="7E14E322" w14:textId="77777777" w:rsidR="00F437F9" w:rsidRPr="00331137" w:rsidRDefault="00F437F9" w:rsidP="005379F5">
            <w:pPr>
              <w:pStyle w:val="MSACTableText"/>
              <w:jc w:val="center"/>
            </w:pPr>
            <w:r w:rsidRPr="00331137">
              <w:t>9,985</w:t>
            </w:r>
          </w:p>
        </w:tc>
        <w:tc>
          <w:tcPr>
            <w:tcW w:w="696" w:type="pct"/>
          </w:tcPr>
          <w:p w14:paraId="025A8584" w14:textId="77777777" w:rsidR="00F437F9" w:rsidRPr="00331137" w:rsidRDefault="00F437F9" w:rsidP="005379F5">
            <w:pPr>
              <w:pStyle w:val="MSACTableText"/>
              <w:jc w:val="center"/>
            </w:pPr>
            <w:r w:rsidRPr="00331137">
              <w:t>10,174</w:t>
            </w:r>
          </w:p>
        </w:tc>
        <w:tc>
          <w:tcPr>
            <w:tcW w:w="660" w:type="pct"/>
          </w:tcPr>
          <w:p w14:paraId="65C0DDA9" w14:textId="77777777" w:rsidR="00F437F9" w:rsidRPr="00331137" w:rsidRDefault="00F437F9" w:rsidP="005379F5">
            <w:pPr>
              <w:pStyle w:val="MSACTableText"/>
              <w:jc w:val="center"/>
            </w:pPr>
            <w:r w:rsidRPr="00331137">
              <w:t>10,346</w:t>
            </w:r>
          </w:p>
        </w:tc>
        <w:tc>
          <w:tcPr>
            <w:tcW w:w="731" w:type="pct"/>
          </w:tcPr>
          <w:p w14:paraId="33048BE4" w14:textId="77777777" w:rsidR="00F437F9" w:rsidRPr="00331137" w:rsidRDefault="00F437F9" w:rsidP="005379F5">
            <w:pPr>
              <w:pStyle w:val="MSACTableText"/>
              <w:jc w:val="center"/>
            </w:pPr>
            <w:r w:rsidRPr="00331137">
              <w:t>10,501</w:t>
            </w:r>
          </w:p>
        </w:tc>
      </w:tr>
      <w:tr w:rsidR="00F437F9" w:rsidRPr="00331137" w14:paraId="2B238B20" w14:textId="77777777" w:rsidTr="00E25021">
        <w:trPr>
          <w:trHeight w:val="20"/>
        </w:trPr>
        <w:tc>
          <w:tcPr>
            <w:tcW w:w="1349" w:type="pct"/>
          </w:tcPr>
          <w:p w14:paraId="1353B0AF" w14:textId="77777777" w:rsidR="00F437F9" w:rsidRPr="00331137" w:rsidRDefault="00F437F9" w:rsidP="005379F5">
            <w:pPr>
              <w:pStyle w:val="MSACTableText"/>
            </w:pPr>
            <w:r w:rsidRPr="00331137">
              <w:t>Sub-total cost</w:t>
            </w:r>
          </w:p>
        </w:tc>
        <w:tc>
          <w:tcPr>
            <w:tcW w:w="868" w:type="pct"/>
          </w:tcPr>
          <w:p w14:paraId="0CADF1CF" w14:textId="77777777" w:rsidR="00F437F9" w:rsidRPr="00331137" w:rsidRDefault="00F437F9" w:rsidP="005379F5">
            <w:pPr>
              <w:pStyle w:val="MSACTableText"/>
              <w:jc w:val="center"/>
            </w:pPr>
            <w:r w:rsidRPr="00331137">
              <w:t>$523,708</w:t>
            </w:r>
          </w:p>
        </w:tc>
        <w:tc>
          <w:tcPr>
            <w:tcW w:w="696" w:type="pct"/>
          </w:tcPr>
          <w:p w14:paraId="08224993" w14:textId="77777777" w:rsidR="00F437F9" w:rsidRPr="00331137" w:rsidRDefault="00F437F9" w:rsidP="005379F5">
            <w:pPr>
              <w:pStyle w:val="MSACTableText"/>
              <w:jc w:val="center"/>
            </w:pPr>
            <w:r w:rsidRPr="00331137">
              <w:t>$533,824</w:t>
            </w:r>
          </w:p>
        </w:tc>
        <w:tc>
          <w:tcPr>
            <w:tcW w:w="696" w:type="pct"/>
          </w:tcPr>
          <w:p w14:paraId="266D48CC" w14:textId="77777777" w:rsidR="00F437F9" w:rsidRPr="00331137" w:rsidRDefault="00F437F9" w:rsidP="005379F5">
            <w:pPr>
              <w:pStyle w:val="MSACTableText"/>
              <w:jc w:val="center"/>
            </w:pPr>
            <w:r w:rsidRPr="00331137">
              <w:t>$543,939</w:t>
            </w:r>
          </w:p>
        </w:tc>
        <w:tc>
          <w:tcPr>
            <w:tcW w:w="660" w:type="pct"/>
          </w:tcPr>
          <w:p w14:paraId="498E7D05" w14:textId="77777777" w:rsidR="00F437F9" w:rsidRPr="00331137" w:rsidRDefault="00F437F9" w:rsidP="005379F5">
            <w:pPr>
              <w:pStyle w:val="MSACTableText"/>
              <w:jc w:val="center"/>
            </w:pPr>
            <w:r w:rsidRPr="00331137">
              <w:t>$553,135</w:t>
            </w:r>
          </w:p>
        </w:tc>
        <w:tc>
          <w:tcPr>
            <w:tcW w:w="731" w:type="pct"/>
          </w:tcPr>
          <w:p w14:paraId="7A5F0A85" w14:textId="77777777" w:rsidR="00F437F9" w:rsidRPr="00331137" w:rsidRDefault="00F437F9" w:rsidP="005379F5">
            <w:pPr>
              <w:pStyle w:val="MSACTableText"/>
              <w:jc w:val="center"/>
            </w:pPr>
            <w:r w:rsidRPr="00331137">
              <w:t>$561,412</w:t>
            </w:r>
          </w:p>
        </w:tc>
      </w:tr>
      <w:tr w:rsidR="00F437F9" w:rsidRPr="00331137" w14:paraId="4BA03102" w14:textId="77777777" w:rsidTr="00E25021">
        <w:trPr>
          <w:trHeight w:val="20"/>
        </w:trPr>
        <w:tc>
          <w:tcPr>
            <w:tcW w:w="1349" w:type="pct"/>
          </w:tcPr>
          <w:p w14:paraId="0D9D1961" w14:textId="77777777" w:rsidR="00F437F9" w:rsidRPr="00331137" w:rsidRDefault="00F437F9" w:rsidP="005379F5">
            <w:pPr>
              <w:pStyle w:val="MSACTableText"/>
            </w:pPr>
            <w:r w:rsidRPr="00331137">
              <w:t>Total services</w:t>
            </w:r>
          </w:p>
        </w:tc>
        <w:tc>
          <w:tcPr>
            <w:tcW w:w="868" w:type="pct"/>
          </w:tcPr>
          <w:p w14:paraId="5EE34E0A" w14:textId="77777777" w:rsidR="00F437F9" w:rsidRPr="00331137" w:rsidRDefault="00F437F9" w:rsidP="005379F5">
            <w:pPr>
              <w:pStyle w:val="MSACTableText"/>
              <w:jc w:val="center"/>
            </w:pPr>
            <w:r w:rsidRPr="00331137">
              <w:t>10,934</w:t>
            </w:r>
          </w:p>
        </w:tc>
        <w:tc>
          <w:tcPr>
            <w:tcW w:w="696" w:type="pct"/>
          </w:tcPr>
          <w:p w14:paraId="5135D17D" w14:textId="77777777" w:rsidR="00F437F9" w:rsidRPr="00331137" w:rsidRDefault="00F437F9" w:rsidP="005379F5">
            <w:pPr>
              <w:pStyle w:val="MSACTableText"/>
              <w:jc w:val="center"/>
            </w:pPr>
            <w:r w:rsidRPr="00331137">
              <w:t>11,146</w:t>
            </w:r>
          </w:p>
        </w:tc>
        <w:tc>
          <w:tcPr>
            <w:tcW w:w="696" w:type="pct"/>
          </w:tcPr>
          <w:p w14:paraId="18B28BEB" w14:textId="77777777" w:rsidR="00F437F9" w:rsidRPr="00331137" w:rsidRDefault="00F437F9" w:rsidP="005379F5">
            <w:pPr>
              <w:pStyle w:val="MSACTableText"/>
              <w:jc w:val="center"/>
            </w:pPr>
            <w:r w:rsidRPr="00331137">
              <w:t>11,357</w:t>
            </w:r>
          </w:p>
        </w:tc>
        <w:tc>
          <w:tcPr>
            <w:tcW w:w="660" w:type="pct"/>
          </w:tcPr>
          <w:p w14:paraId="14AE723E" w14:textId="77777777" w:rsidR="00F437F9" w:rsidRPr="00331137" w:rsidRDefault="00F437F9" w:rsidP="005379F5">
            <w:pPr>
              <w:pStyle w:val="MSACTableText"/>
              <w:jc w:val="center"/>
            </w:pPr>
            <w:r w:rsidRPr="00331137">
              <w:t>11,549</w:t>
            </w:r>
          </w:p>
        </w:tc>
        <w:tc>
          <w:tcPr>
            <w:tcW w:w="731" w:type="pct"/>
          </w:tcPr>
          <w:p w14:paraId="03616D06" w14:textId="77777777" w:rsidR="00F437F9" w:rsidRPr="00331137" w:rsidRDefault="00F437F9" w:rsidP="005379F5">
            <w:pPr>
              <w:pStyle w:val="MSACTableText"/>
              <w:jc w:val="center"/>
            </w:pPr>
            <w:r w:rsidRPr="00331137">
              <w:t>11,722</w:t>
            </w:r>
          </w:p>
        </w:tc>
      </w:tr>
      <w:tr w:rsidR="00F437F9" w:rsidRPr="00331137" w14:paraId="465D50E1" w14:textId="77777777" w:rsidTr="00E25021">
        <w:trPr>
          <w:trHeight w:val="20"/>
        </w:trPr>
        <w:tc>
          <w:tcPr>
            <w:tcW w:w="1349" w:type="pct"/>
          </w:tcPr>
          <w:p w14:paraId="5B84EB8C" w14:textId="77777777" w:rsidR="00F437F9" w:rsidRPr="00331137" w:rsidRDefault="00F437F9" w:rsidP="005379F5">
            <w:pPr>
              <w:pStyle w:val="MSACTableText"/>
              <w:rPr>
                <w:b/>
              </w:rPr>
            </w:pPr>
            <w:r w:rsidRPr="00331137">
              <w:rPr>
                <w:b/>
              </w:rPr>
              <w:t>Total cost</w:t>
            </w:r>
          </w:p>
        </w:tc>
        <w:tc>
          <w:tcPr>
            <w:tcW w:w="868" w:type="pct"/>
          </w:tcPr>
          <w:p w14:paraId="154D4130" w14:textId="77777777" w:rsidR="00F437F9" w:rsidRPr="00331137" w:rsidRDefault="00F437F9" w:rsidP="005379F5">
            <w:pPr>
              <w:pStyle w:val="MSACTableText"/>
              <w:jc w:val="center"/>
              <w:rPr>
                <w:b/>
              </w:rPr>
            </w:pPr>
            <w:r w:rsidRPr="00331137">
              <w:rPr>
                <w:b/>
              </w:rPr>
              <w:t>$1,365,742</w:t>
            </w:r>
          </w:p>
        </w:tc>
        <w:tc>
          <w:tcPr>
            <w:tcW w:w="696" w:type="pct"/>
          </w:tcPr>
          <w:p w14:paraId="4FCA946B" w14:textId="77777777" w:rsidR="00F437F9" w:rsidRPr="00331137" w:rsidRDefault="00F437F9" w:rsidP="005379F5">
            <w:pPr>
              <w:pStyle w:val="MSACTableText"/>
              <w:jc w:val="center"/>
              <w:rPr>
                <w:b/>
              </w:rPr>
            </w:pPr>
            <w:r w:rsidRPr="00331137">
              <w:rPr>
                <w:b/>
              </w:rPr>
              <w:t>$1,392,122</w:t>
            </w:r>
          </w:p>
        </w:tc>
        <w:tc>
          <w:tcPr>
            <w:tcW w:w="696" w:type="pct"/>
          </w:tcPr>
          <w:p w14:paraId="29ACBFBD" w14:textId="77777777" w:rsidR="00F437F9" w:rsidRPr="00331137" w:rsidRDefault="00F437F9" w:rsidP="005379F5">
            <w:pPr>
              <w:pStyle w:val="MSACTableText"/>
              <w:jc w:val="center"/>
              <w:rPr>
                <w:b/>
              </w:rPr>
            </w:pPr>
            <w:r w:rsidRPr="00331137">
              <w:rPr>
                <w:b/>
              </w:rPr>
              <w:t>$1,418,502</w:t>
            </w:r>
          </w:p>
        </w:tc>
        <w:tc>
          <w:tcPr>
            <w:tcW w:w="660" w:type="pct"/>
          </w:tcPr>
          <w:p w14:paraId="63447A98" w14:textId="77777777" w:rsidR="00F437F9" w:rsidRPr="00331137" w:rsidRDefault="00F437F9" w:rsidP="005379F5">
            <w:pPr>
              <w:pStyle w:val="MSACTableText"/>
              <w:jc w:val="center"/>
              <w:rPr>
                <w:b/>
              </w:rPr>
            </w:pPr>
            <w:r w:rsidRPr="00331137">
              <w:rPr>
                <w:b/>
              </w:rPr>
              <w:t>$1,442,483</w:t>
            </w:r>
          </w:p>
        </w:tc>
        <w:tc>
          <w:tcPr>
            <w:tcW w:w="731" w:type="pct"/>
          </w:tcPr>
          <w:p w14:paraId="551FF741" w14:textId="77777777" w:rsidR="00F437F9" w:rsidRPr="00331137" w:rsidRDefault="00F437F9" w:rsidP="005379F5">
            <w:pPr>
              <w:pStyle w:val="MSACTableText"/>
              <w:jc w:val="center"/>
              <w:rPr>
                <w:b/>
              </w:rPr>
            </w:pPr>
            <w:r w:rsidRPr="00331137">
              <w:rPr>
                <w:b/>
              </w:rPr>
              <w:t>$1,464,066</w:t>
            </w:r>
          </w:p>
        </w:tc>
      </w:tr>
    </w:tbl>
    <w:p w14:paraId="04F4A088" w14:textId="77777777" w:rsidR="00F437F9" w:rsidRPr="00331137" w:rsidRDefault="00F437F9" w:rsidP="00F437F9">
      <w:pPr>
        <w:pStyle w:val="Tablenotes"/>
        <w:spacing w:after="0"/>
      </w:pPr>
      <w:r w:rsidRPr="00331137">
        <w:t>Source: Section E spreadsheet</w:t>
      </w:r>
    </w:p>
    <w:p w14:paraId="37BF3E40" w14:textId="77777777" w:rsidR="00F437F9" w:rsidRPr="00331137" w:rsidRDefault="00F437F9" w:rsidP="00F437F9">
      <w:pPr>
        <w:pStyle w:val="Tablenotes"/>
        <w:spacing w:after="0"/>
      </w:pPr>
      <w:r w:rsidRPr="00331137">
        <w:t>MBS = Medicare Benefits Schedule</w:t>
      </w:r>
    </w:p>
    <w:p w14:paraId="3EC3E39C" w14:textId="77777777" w:rsidR="00F437F9" w:rsidRPr="00331137" w:rsidRDefault="00F437F9" w:rsidP="00F437F9">
      <w:pPr>
        <w:pStyle w:val="Tablenotes"/>
      </w:pPr>
      <w:r w:rsidRPr="00331137">
        <w:rPr>
          <w:vertAlign w:val="superscript"/>
        </w:rPr>
        <w:t xml:space="preserve">a </w:t>
      </w:r>
      <w:r w:rsidRPr="00331137">
        <w:t xml:space="preserve">For MBS items incurred outside of hospital the 85% MBS rebate was applied (MBS item 104 and 105). For MBS items incurred in hospital the 75% was applied (MBS items 2083 and 2383). </w:t>
      </w:r>
    </w:p>
    <w:p w14:paraId="7BFFA0A6" w14:textId="77777777" w:rsidR="00F437F9" w:rsidRPr="00F437F9" w:rsidRDefault="00F437F9" w:rsidP="00F437F9">
      <w:pPr>
        <w:rPr>
          <w:lang w:eastAsia="en-US"/>
        </w:rPr>
      </w:pPr>
      <w:r w:rsidRPr="00331137">
        <w:rPr>
          <w:lang w:eastAsia="en-US"/>
        </w:rPr>
        <w:t xml:space="preserve">The total cost to the MBS was estimated to be $1.4 million in 2020, increasing to $1.5 million in 2024. The proposed service was not expected to have broader impacts on the MBS. </w:t>
      </w:r>
      <w:r>
        <w:rPr>
          <w:lang w:eastAsia="en-US"/>
        </w:rPr>
        <w:t>The Critique stated that the uptake rate and financial estimates are likely to be reasonably accurate.</w:t>
      </w:r>
    </w:p>
    <w:p w14:paraId="18C2FD5D" w14:textId="77777777" w:rsidR="00386A5B" w:rsidRPr="00F715D1" w:rsidRDefault="00386A5B" w:rsidP="00386A5B">
      <w:pPr>
        <w:pStyle w:val="Heading1"/>
      </w:pPr>
      <w:r w:rsidRPr="00F715D1">
        <w:t>Key issues from ESC for MSAC</w:t>
      </w:r>
    </w:p>
    <w:tbl>
      <w:tblPr>
        <w:tblStyle w:val="TableGrid1"/>
        <w:tblW w:w="0" w:type="auto"/>
        <w:tblLook w:val="04A0" w:firstRow="1" w:lastRow="0" w:firstColumn="1" w:lastColumn="0" w:noHBand="0" w:noVBand="1"/>
        <w:tblCaption w:val="Key issues from ESC for MSAC"/>
      </w:tblPr>
      <w:tblGrid>
        <w:gridCol w:w="2660"/>
        <w:gridCol w:w="6356"/>
      </w:tblGrid>
      <w:tr w:rsidR="007F378D" w:rsidRPr="00015D10" w14:paraId="11490F84" w14:textId="77777777" w:rsidTr="00F437F9">
        <w:trPr>
          <w:tblHeader/>
        </w:trPr>
        <w:tc>
          <w:tcPr>
            <w:tcW w:w="2660" w:type="dxa"/>
          </w:tcPr>
          <w:p w14:paraId="0B7E9269" w14:textId="77777777" w:rsidR="007F378D" w:rsidRPr="00F437F9" w:rsidRDefault="007F378D" w:rsidP="00F437F9">
            <w:pPr>
              <w:pStyle w:val="Tabletext"/>
              <w:rPr>
                <w:b/>
              </w:rPr>
            </w:pPr>
            <w:r w:rsidRPr="00F437F9">
              <w:rPr>
                <w:b/>
              </w:rPr>
              <w:t>ESC key issue</w:t>
            </w:r>
          </w:p>
        </w:tc>
        <w:tc>
          <w:tcPr>
            <w:tcW w:w="6356" w:type="dxa"/>
          </w:tcPr>
          <w:p w14:paraId="11C36D69" w14:textId="77777777" w:rsidR="007F378D" w:rsidRPr="00F437F9" w:rsidRDefault="007F378D" w:rsidP="00F437F9">
            <w:pPr>
              <w:pStyle w:val="Tabletext"/>
              <w:rPr>
                <w:b/>
              </w:rPr>
            </w:pPr>
            <w:r w:rsidRPr="00F437F9">
              <w:rPr>
                <w:b/>
              </w:rPr>
              <w:t>ESC advice to MSAC</w:t>
            </w:r>
          </w:p>
        </w:tc>
      </w:tr>
      <w:tr w:rsidR="007F378D" w:rsidRPr="00015D10" w14:paraId="79D0715B" w14:textId="77777777" w:rsidTr="005379F5">
        <w:trPr>
          <w:trHeight w:val="392"/>
        </w:trPr>
        <w:tc>
          <w:tcPr>
            <w:tcW w:w="2660" w:type="dxa"/>
            <w:hideMark/>
          </w:tcPr>
          <w:p w14:paraId="3AE50189" w14:textId="77777777" w:rsidR="007F378D" w:rsidRPr="00015D10" w:rsidRDefault="007F378D" w:rsidP="00F437F9">
            <w:pPr>
              <w:pStyle w:val="Tabletext"/>
            </w:pPr>
            <w:r w:rsidRPr="00015D10">
              <w:t>Efficacy of post-partum abdominoplasty</w:t>
            </w:r>
          </w:p>
        </w:tc>
        <w:tc>
          <w:tcPr>
            <w:tcW w:w="6356" w:type="dxa"/>
            <w:hideMark/>
          </w:tcPr>
          <w:p w14:paraId="7E78C2A7" w14:textId="77777777" w:rsidR="007F378D" w:rsidRPr="00015D10" w:rsidRDefault="007F378D" w:rsidP="00F437F9">
            <w:pPr>
              <w:pStyle w:val="Tabletext"/>
            </w:pPr>
            <w:r w:rsidRPr="00015D10">
              <w:t xml:space="preserve">Clinical evidence suggests superior efficacy of abdominoplasty vs best supportive care (BSC; i.e. exercise/physiotherapy) based on health-related quality of life, but magnitude of benefit is uncertain because of high-to-serious risk of bias in included studies. </w:t>
            </w:r>
          </w:p>
        </w:tc>
      </w:tr>
      <w:tr w:rsidR="007F378D" w:rsidRPr="00015D10" w14:paraId="1D08FDDB" w14:textId="77777777" w:rsidTr="005379F5">
        <w:trPr>
          <w:trHeight w:val="290"/>
        </w:trPr>
        <w:tc>
          <w:tcPr>
            <w:tcW w:w="2660" w:type="dxa"/>
            <w:hideMark/>
          </w:tcPr>
          <w:p w14:paraId="4C99B774" w14:textId="77777777" w:rsidR="007F378D" w:rsidRPr="00015D10" w:rsidRDefault="007F378D" w:rsidP="00F437F9">
            <w:pPr>
              <w:pStyle w:val="Tabletext"/>
            </w:pPr>
            <w:r w:rsidRPr="00015D10">
              <w:t>Safety of post-partum abdominoplasty</w:t>
            </w:r>
          </w:p>
        </w:tc>
        <w:tc>
          <w:tcPr>
            <w:tcW w:w="6356" w:type="dxa"/>
            <w:hideMark/>
          </w:tcPr>
          <w:p w14:paraId="401FBFAC" w14:textId="77777777" w:rsidR="007F378D" w:rsidRPr="00015D10" w:rsidRDefault="007F378D" w:rsidP="00F437F9">
            <w:pPr>
              <w:pStyle w:val="Tabletext"/>
            </w:pPr>
            <w:r w:rsidRPr="00015D10">
              <w:rPr>
                <w:lang w:val="en-US"/>
              </w:rPr>
              <w:t>Clinical evidence suggests inferior safety of abdominoplasty vs BSC</w:t>
            </w:r>
            <w:r w:rsidRPr="00015D10">
              <w:rPr>
                <w:i/>
                <w:iCs/>
                <w:lang w:val="en-US"/>
              </w:rPr>
              <w:t xml:space="preserve">. </w:t>
            </w:r>
          </w:p>
        </w:tc>
      </w:tr>
      <w:tr w:rsidR="007F378D" w:rsidRPr="00015D10" w14:paraId="6D090098" w14:textId="77777777" w:rsidTr="005379F5">
        <w:trPr>
          <w:trHeight w:val="247"/>
        </w:trPr>
        <w:tc>
          <w:tcPr>
            <w:tcW w:w="2660" w:type="dxa"/>
            <w:hideMark/>
          </w:tcPr>
          <w:p w14:paraId="7CFF8243" w14:textId="77777777" w:rsidR="007F378D" w:rsidRPr="00015D10" w:rsidRDefault="007F378D" w:rsidP="00F437F9">
            <w:pPr>
              <w:pStyle w:val="Tabletext"/>
            </w:pPr>
            <w:r w:rsidRPr="00015D10">
              <w:t xml:space="preserve">MBS item descriptor </w:t>
            </w:r>
          </w:p>
        </w:tc>
        <w:tc>
          <w:tcPr>
            <w:tcW w:w="6356" w:type="dxa"/>
            <w:hideMark/>
          </w:tcPr>
          <w:p w14:paraId="71353E05" w14:textId="77777777" w:rsidR="007F378D" w:rsidRPr="00015D10" w:rsidRDefault="007F378D" w:rsidP="00F437F9">
            <w:pPr>
              <w:pStyle w:val="Tabletext"/>
            </w:pPr>
            <w:r w:rsidRPr="00015D10">
              <w:rPr>
                <w:lang w:val="en-US"/>
              </w:rPr>
              <w:t>Recommend separate new item descriptor 3017X</w:t>
            </w:r>
            <w:r>
              <w:rPr>
                <w:lang w:val="en-US"/>
              </w:rPr>
              <w:t>.</w:t>
            </w:r>
          </w:p>
          <w:p w14:paraId="2299456C" w14:textId="77777777" w:rsidR="007F378D" w:rsidRPr="00015D10" w:rsidRDefault="007F378D" w:rsidP="00F437F9">
            <w:pPr>
              <w:pStyle w:val="Tabletext"/>
            </w:pPr>
            <w:r w:rsidRPr="00015D10">
              <w:rPr>
                <w:lang w:val="en-US"/>
              </w:rPr>
              <w:t>Suggest revised wording</w:t>
            </w:r>
            <w:r>
              <w:rPr>
                <w:lang w:val="en-US"/>
              </w:rPr>
              <w:t>.</w:t>
            </w:r>
          </w:p>
        </w:tc>
      </w:tr>
      <w:tr w:rsidR="007F378D" w:rsidRPr="00015D10" w14:paraId="710F0788" w14:textId="77777777" w:rsidTr="005379F5">
        <w:trPr>
          <w:trHeight w:val="707"/>
        </w:trPr>
        <w:tc>
          <w:tcPr>
            <w:tcW w:w="2660" w:type="dxa"/>
            <w:hideMark/>
          </w:tcPr>
          <w:p w14:paraId="0D68C88C" w14:textId="77777777" w:rsidR="007F378D" w:rsidRPr="00015D10" w:rsidRDefault="007F378D" w:rsidP="00F437F9">
            <w:pPr>
              <w:pStyle w:val="Tabletext"/>
            </w:pPr>
            <w:r w:rsidRPr="00015D10">
              <w:t>Cost implications and possible offsets</w:t>
            </w:r>
          </w:p>
        </w:tc>
        <w:tc>
          <w:tcPr>
            <w:tcW w:w="6356" w:type="dxa"/>
            <w:hideMark/>
          </w:tcPr>
          <w:p w14:paraId="07E26A1F" w14:textId="77777777" w:rsidR="007F378D" w:rsidRPr="00015D10" w:rsidRDefault="007F378D" w:rsidP="00F437F9">
            <w:pPr>
              <w:pStyle w:val="Tabletext"/>
            </w:pPr>
            <w:r w:rsidRPr="00015D10">
              <w:rPr>
                <w:lang w:val="en-US"/>
              </w:rPr>
              <w:t>Number of predicted services per annum only small (~1,139)</w:t>
            </w:r>
          </w:p>
          <w:p w14:paraId="140DD0C6" w14:textId="77777777" w:rsidR="007F378D" w:rsidRPr="00015D10" w:rsidRDefault="007F378D" w:rsidP="00F437F9">
            <w:pPr>
              <w:pStyle w:val="Tabletext"/>
            </w:pPr>
            <w:r w:rsidRPr="00015D10">
              <w:rPr>
                <w:lang w:val="en-US"/>
              </w:rPr>
              <w:t>Modest additional costs to Medicare</w:t>
            </w:r>
          </w:p>
        </w:tc>
      </w:tr>
      <w:tr w:rsidR="007F378D" w:rsidRPr="00015D10" w14:paraId="0F3609ED" w14:textId="77777777" w:rsidTr="005379F5">
        <w:trPr>
          <w:trHeight w:val="551"/>
        </w:trPr>
        <w:tc>
          <w:tcPr>
            <w:tcW w:w="2660" w:type="dxa"/>
          </w:tcPr>
          <w:p w14:paraId="68A0D0CF" w14:textId="77777777" w:rsidR="007F378D" w:rsidRPr="00015D10" w:rsidRDefault="007F378D" w:rsidP="00F437F9">
            <w:pPr>
              <w:pStyle w:val="Tabletext"/>
            </w:pPr>
            <w:r w:rsidRPr="00015D10">
              <w:t>Lack of follow-up for BSC group</w:t>
            </w:r>
          </w:p>
        </w:tc>
        <w:tc>
          <w:tcPr>
            <w:tcW w:w="6356" w:type="dxa"/>
          </w:tcPr>
          <w:p w14:paraId="7C777E52" w14:textId="77777777" w:rsidR="007F378D" w:rsidRPr="00015D10" w:rsidRDefault="007F378D" w:rsidP="00F437F9">
            <w:pPr>
              <w:pStyle w:val="Tabletext"/>
              <w:rPr>
                <w:lang w:val="en-US"/>
              </w:rPr>
            </w:pPr>
            <w:r w:rsidRPr="00015D10">
              <w:rPr>
                <w:lang w:val="en-US"/>
              </w:rPr>
              <w:t>In the exercise arm of the pivotal trial, most BSC patients went on to receive surgery following conclusion of the exercise program as they were not satisfied with the result. Hence there is no 1-year follow-up data for that group.</w:t>
            </w:r>
          </w:p>
        </w:tc>
      </w:tr>
      <w:tr w:rsidR="007F378D" w:rsidRPr="00015D10" w14:paraId="27B1CE79" w14:textId="77777777" w:rsidTr="005379F5">
        <w:trPr>
          <w:trHeight w:val="168"/>
        </w:trPr>
        <w:tc>
          <w:tcPr>
            <w:tcW w:w="2660" w:type="dxa"/>
          </w:tcPr>
          <w:p w14:paraId="27277F93" w14:textId="77777777" w:rsidR="007F378D" w:rsidRPr="00015D10" w:rsidRDefault="007F378D" w:rsidP="00F437F9">
            <w:pPr>
              <w:pStyle w:val="Tabletext"/>
            </w:pPr>
            <w:r w:rsidRPr="00015D10">
              <w:t>Modelling</w:t>
            </w:r>
          </w:p>
        </w:tc>
        <w:tc>
          <w:tcPr>
            <w:tcW w:w="6356" w:type="dxa"/>
          </w:tcPr>
          <w:p w14:paraId="3155DFE7" w14:textId="77777777" w:rsidR="007F378D" w:rsidRDefault="007F378D" w:rsidP="00F437F9">
            <w:pPr>
              <w:pStyle w:val="Tabletext"/>
              <w:rPr>
                <w:lang w:val="en-US"/>
              </w:rPr>
            </w:pPr>
            <w:r w:rsidRPr="00015D10">
              <w:rPr>
                <w:lang w:val="en-US"/>
              </w:rPr>
              <w:t>Most of the issues relating to the model favour</w:t>
            </w:r>
            <w:r>
              <w:rPr>
                <w:lang w:val="en-US"/>
              </w:rPr>
              <w:t xml:space="preserve"> BSC. </w:t>
            </w:r>
          </w:p>
          <w:p w14:paraId="467B6EEB" w14:textId="77777777" w:rsidR="007F378D" w:rsidRDefault="007F378D" w:rsidP="00F437F9">
            <w:pPr>
              <w:pStyle w:val="Tabletext"/>
              <w:rPr>
                <w:lang w:val="en-US"/>
              </w:rPr>
            </w:pPr>
          </w:p>
          <w:p w14:paraId="085B0A96" w14:textId="77777777" w:rsidR="007F378D" w:rsidRPr="00015D10" w:rsidRDefault="007F378D" w:rsidP="00F437F9">
            <w:pPr>
              <w:pStyle w:val="Tabletext"/>
              <w:rPr>
                <w:lang w:val="en-US"/>
              </w:rPr>
            </w:pPr>
          </w:p>
        </w:tc>
      </w:tr>
    </w:tbl>
    <w:p w14:paraId="6B4AB15A" w14:textId="77777777" w:rsidR="007F378D" w:rsidRPr="00611296" w:rsidRDefault="007F378D" w:rsidP="00611296">
      <w:pPr>
        <w:pStyle w:val="Heading2"/>
        <w:spacing w:before="240" w:after="120"/>
        <w:rPr>
          <w:b/>
          <w:i w:val="0"/>
        </w:rPr>
      </w:pPr>
      <w:r w:rsidRPr="00611296">
        <w:rPr>
          <w:b/>
          <w:i w:val="0"/>
        </w:rPr>
        <w:t>ESC discussion</w:t>
      </w:r>
    </w:p>
    <w:p w14:paraId="2B82A8C8" w14:textId="387E8DD1" w:rsidR="007F378D" w:rsidRPr="00015D10" w:rsidRDefault="007F378D" w:rsidP="007F378D">
      <w:pPr>
        <w:spacing w:after="240"/>
        <w:rPr>
          <w:color w:val="000000"/>
        </w:rPr>
      </w:pPr>
      <w:r w:rsidRPr="00015D10">
        <w:rPr>
          <w:color w:val="000000"/>
        </w:rPr>
        <w:t xml:space="preserve">The applicant proposed either adding criteria about pregnancy-related diastasis to Item 30177 or creating a new item number. PASC and the Critique recommended making a new item number. ESC noted that, because this is an in-hospital procedure, a separate item number </w:t>
      </w:r>
      <w:r w:rsidR="001A0FFD">
        <w:rPr>
          <w:color w:val="000000"/>
        </w:rPr>
        <w:t>would</w:t>
      </w:r>
      <w:r w:rsidRPr="00015D10">
        <w:rPr>
          <w:color w:val="000000"/>
        </w:rPr>
        <w:t xml:space="preserve"> allow data to be collected about how it is charged, which would be useful information for MSAC.</w:t>
      </w:r>
    </w:p>
    <w:p w14:paraId="4E91C777" w14:textId="77777777" w:rsidR="007F378D" w:rsidRPr="00015D10" w:rsidRDefault="007F378D" w:rsidP="007F378D">
      <w:pPr>
        <w:spacing w:after="240"/>
        <w:rPr>
          <w:color w:val="000000"/>
        </w:rPr>
      </w:pPr>
      <w:r w:rsidRPr="00015D10">
        <w:rPr>
          <w:color w:val="000000"/>
        </w:rPr>
        <w:t xml:space="preserve">ESC noted that some minor changes to wording in the MBS item descriptor are required. Imaging cannot detect whether the abdominal wall defect is a consequence of pregnancy. </w:t>
      </w:r>
      <w:r w:rsidRPr="00015D10">
        <w:rPr>
          <w:color w:val="000000"/>
        </w:rPr>
        <w:lastRenderedPageBreak/>
        <w:t>Therefore, the preferred wording is, ‘… and where it can be demonstrated by pre-procedure imaging that the patient has an abdominal wall defect, and which is a</w:t>
      </w:r>
      <w:r w:rsidR="00EA3134">
        <w:rPr>
          <w:color w:val="000000"/>
        </w:rPr>
        <w:t xml:space="preserve"> consequence of pregnancy, …’</w:t>
      </w:r>
    </w:p>
    <w:p w14:paraId="499DECA8" w14:textId="77777777" w:rsidR="007F378D" w:rsidRPr="00015D10" w:rsidRDefault="007F378D" w:rsidP="007F378D">
      <w:pPr>
        <w:spacing w:after="240"/>
        <w:rPr>
          <w:color w:val="000000"/>
        </w:rPr>
      </w:pPr>
      <w:r w:rsidRPr="00015D10">
        <w:rPr>
          <w:color w:val="000000"/>
        </w:rPr>
        <w:t xml:space="preserve">ESC noted that there are many forms of </w:t>
      </w:r>
      <w:r>
        <w:rPr>
          <w:color w:val="000000"/>
        </w:rPr>
        <w:t xml:space="preserve">urinary </w:t>
      </w:r>
      <w:r w:rsidRPr="00015D10">
        <w:rPr>
          <w:color w:val="000000"/>
        </w:rPr>
        <w:t xml:space="preserve">incontinence, and determining which form a patient has requires clinical </w:t>
      </w:r>
      <w:r>
        <w:rPr>
          <w:color w:val="000000"/>
        </w:rPr>
        <w:t>investigation and diagnosis</w:t>
      </w:r>
      <w:r w:rsidRPr="00015D10">
        <w:rPr>
          <w:color w:val="000000"/>
        </w:rPr>
        <w:t xml:space="preserve"> by a specialist and then appropriate treatment</w:t>
      </w:r>
      <w:r>
        <w:rPr>
          <w:color w:val="000000"/>
        </w:rPr>
        <w:t xml:space="preserve"> according to sub-type</w:t>
      </w:r>
      <w:r w:rsidRPr="00015D10">
        <w:rPr>
          <w:color w:val="000000"/>
        </w:rPr>
        <w:t xml:space="preserve">. If </w:t>
      </w:r>
      <w:r>
        <w:rPr>
          <w:color w:val="000000"/>
        </w:rPr>
        <w:t xml:space="preserve">urinary </w:t>
      </w:r>
      <w:r w:rsidRPr="00015D10">
        <w:rPr>
          <w:color w:val="000000"/>
        </w:rPr>
        <w:t xml:space="preserve">incontinence were to be mentioned in the item descriptor, there may be an assumption that a woman with </w:t>
      </w:r>
      <w:r>
        <w:rPr>
          <w:color w:val="000000"/>
        </w:rPr>
        <w:t xml:space="preserve">any form urinary </w:t>
      </w:r>
      <w:r w:rsidRPr="00015D10">
        <w:rPr>
          <w:color w:val="000000"/>
        </w:rPr>
        <w:t xml:space="preserve">incontinence </w:t>
      </w:r>
      <w:r>
        <w:rPr>
          <w:color w:val="000000"/>
        </w:rPr>
        <w:t>may</w:t>
      </w:r>
      <w:r w:rsidRPr="00015D10">
        <w:rPr>
          <w:color w:val="000000"/>
        </w:rPr>
        <w:t xml:space="preserve"> improve with diastasis surgery. Therefore, ESC agreed that the descriptor should not mention </w:t>
      </w:r>
      <w:r>
        <w:rPr>
          <w:color w:val="000000"/>
        </w:rPr>
        <w:t xml:space="preserve">urinary </w:t>
      </w:r>
      <w:r w:rsidRPr="00015D10">
        <w:rPr>
          <w:color w:val="000000"/>
        </w:rPr>
        <w:t>incontinence</w:t>
      </w:r>
      <w:r>
        <w:rPr>
          <w:color w:val="000000"/>
        </w:rPr>
        <w:t xml:space="preserve"> as an indication for abdominoplasty</w:t>
      </w:r>
      <w:r w:rsidRPr="00015D10">
        <w:rPr>
          <w:color w:val="000000"/>
        </w:rPr>
        <w:t>.</w:t>
      </w:r>
    </w:p>
    <w:p w14:paraId="4A8CCD5C" w14:textId="77777777" w:rsidR="007F378D" w:rsidRPr="00015D10" w:rsidRDefault="007F378D" w:rsidP="007F378D">
      <w:pPr>
        <w:spacing w:after="240"/>
        <w:rPr>
          <w:color w:val="000000"/>
        </w:rPr>
      </w:pPr>
      <w:r w:rsidRPr="00015D10">
        <w:rPr>
          <w:color w:val="000000"/>
        </w:rPr>
        <w:t>ESC confirmed that this procedure should be limited to once per lifetime only and not for recurrence.</w:t>
      </w:r>
    </w:p>
    <w:p w14:paraId="16AF2495" w14:textId="2294D53A" w:rsidR="007F378D" w:rsidRPr="00015D10" w:rsidRDefault="007F378D" w:rsidP="007F378D">
      <w:pPr>
        <w:spacing w:after="240"/>
        <w:rPr>
          <w:color w:val="000000"/>
        </w:rPr>
      </w:pPr>
      <w:r>
        <w:rPr>
          <w:color w:val="000000"/>
        </w:rPr>
        <w:t>ESC noted that the item is proposed for women at least 12 months post-partum. There was not anticipated to be a deleterious effect on future pregnancies in women who have had abdominoplas</w:t>
      </w:r>
      <w:r w:rsidR="00F102C2">
        <w:rPr>
          <w:color w:val="000000"/>
        </w:rPr>
        <w:t xml:space="preserve">ty. However, </w:t>
      </w:r>
      <w:r>
        <w:rPr>
          <w:color w:val="000000"/>
        </w:rPr>
        <w:t xml:space="preserve">no data </w:t>
      </w:r>
      <w:r w:rsidR="001A0FFD">
        <w:rPr>
          <w:color w:val="000000"/>
        </w:rPr>
        <w:t xml:space="preserve">were </w:t>
      </w:r>
      <w:r>
        <w:rPr>
          <w:color w:val="000000"/>
        </w:rPr>
        <w:t>presented reporting surgical failure during, or after, subsequent pregnancies.</w:t>
      </w:r>
    </w:p>
    <w:p w14:paraId="581B19A8" w14:textId="77777777" w:rsidR="007F378D" w:rsidRDefault="007F378D" w:rsidP="007F378D">
      <w:pPr>
        <w:spacing w:after="240"/>
        <w:rPr>
          <w:color w:val="000000"/>
        </w:rPr>
      </w:pPr>
      <w:r w:rsidRPr="00015D10">
        <w:rPr>
          <w:color w:val="000000"/>
        </w:rPr>
        <w:t xml:space="preserve">ESC noted data presented from two recent studies showing that improvements in back pain and </w:t>
      </w:r>
      <w:r>
        <w:rPr>
          <w:color w:val="000000"/>
        </w:rPr>
        <w:t xml:space="preserve">urinary </w:t>
      </w:r>
      <w:r w:rsidRPr="00015D10">
        <w:rPr>
          <w:color w:val="000000"/>
        </w:rPr>
        <w:t>incontinence following abdominoplasty were below the proposed threshold for clinical significance at 6 months follow-up.</w:t>
      </w:r>
    </w:p>
    <w:p w14:paraId="22B41E58" w14:textId="77777777" w:rsidR="007F378D" w:rsidRPr="00E862EE" w:rsidRDefault="007F378D" w:rsidP="007F378D">
      <w:pPr>
        <w:spacing w:after="240"/>
        <w:rPr>
          <w:color w:val="000000"/>
        </w:rPr>
      </w:pPr>
      <w:r w:rsidRPr="00F96BF9">
        <w:rPr>
          <w:color w:val="000000" w:themeColor="text1"/>
        </w:rPr>
        <w:t>ESC noted that only estimated surgical costs were used in the model because information was not available about what surgeons charge.</w:t>
      </w:r>
      <w:r>
        <w:rPr>
          <w:color w:val="000000" w:themeColor="text1"/>
        </w:rPr>
        <w:t xml:space="preserve"> ESC requested that the Department provide the data if it is available. </w:t>
      </w:r>
      <w:r>
        <w:rPr>
          <w:i/>
          <w:color w:val="000000" w:themeColor="text1"/>
        </w:rPr>
        <w:t>Following the ESC meeting, the Department advised that the average fee charged for MBS item 30177, a comparable item with a different population, is approximately $5200 while the schedule fee for the item is $1001.45.</w:t>
      </w:r>
    </w:p>
    <w:p w14:paraId="72FCE76A" w14:textId="04E546B1" w:rsidR="007F378D" w:rsidRPr="00015D10" w:rsidRDefault="007F378D" w:rsidP="007F378D">
      <w:pPr>
        <w:spacing w:after="240"/>
        <w:rPr>
          <w:color w:val="000000"/>
        </w:rPr>
      </w:pPr>
      <w:r w:rsidRPr="00015D10">
        <w:rPr>
          <w:color w:val="000000"/>
        </w:rPr>
        <w:t xml:space="preserve">ESC noted that patients will have to continue with some kind of exercise </w:t>
      </w:r>
      <w:r>
        <w:rPr>
          <w:color w:val="000000"/>
        </w:rPr>
        <w:t xml:space="preserve">regimen </w:t>
      </w:r>
      <w:r w:rsidRPr="00015D10">
        <w:rPr>
          <w:color w:val="000000"/>
        </w:rPr>
        <w:t xml:space="preserve">so there </w:t>
      </w:r>
      <w:r w:rsidR="001A0FFD">
        <w:rPr>
          <w:color w:val="000000"/>
        </w:rPr>
        <w:t>would be</w:t>
      </w:r>
      <w:r w:rsidRPr="00015D10">
        <w:rPr>
          <w:color w:val="000000"/>
        </w:rPr>
        <w:t xml:space="preserve"> ongoing costs for best supportive care (BSC). ESC noted that the model underestimated the cost of BSC because insufficient follow-up costs after surgery were factored into the model.</w:t>
      </w:r>
    </w:p>
    <w:p w14:paraId="6B46B85A" w14:textId="77777777" w:rsidR="007F378D" w:rsidRPr="00015D10" w:rsidRDefault="007F378D" w:rsidP="007F378D">
      <w:pPr>
        <w:spacing w:after="240"/>
        <w:rPr>
          <w:color w:val="000000"/>
        </w:rPr>
      </w:pPr>
      <w:r w:rsidRPr="00015D10">
        <w:rPr>
          <w:color w:val="000000"/>
        </w:rPr>
        <w:t>ESC noted that there wer</w:t>
      </w:r>
      <w:bookmarkStart w:id="24" w:name="Editing"/>
      <w:bookmarkEnd w:id="24"/>
      <w:r w:rsidRPr="00015D10">
        <w:rPr>
          <w:color w:val="000000"/>
        </w:rPr>
        <w:t>e some translation issues – compliance to the exercise program is lower in a real-world setting and the trial had no obese patients, who are more likely to lose weight in the early stages.</w:t>
      </w:r>
    </w:p>
    <w:p w14:paraId="131B55CD" w14:textId="77777777" w:rsidR="007F378D" w:rsidRPr="00015D10" w:rsidRDefault="007F378D" w:rsidP="007F378D">
      <w:pPr>
        <w:spacing w:after="240"/>
        <w:rPr>
          <w:color w:val="000000"/>
        </w:rPr>
      </w:pPr>
      <w:r w:rsidRPr="00015D10">
        <w:rPr>
          <w:color w:val="000000"/>
        </w:rPr>
        <w:t xml:space="preserve">ESC noted that at the end of the trial, most people in the BSC arm who were offered surgery took it up, which shows that BSC is not an ideal treatment. </w:t>
      </w:r>
      <w:r>
        <w:rPr>
          <w:color w:val="000000"/>
        </w:rPr>
        <w:t>This cross-over to the alternate treatment</w:t>
      </w:r>
      <w:r w:rsidRPr="00015D10">
        <w:rPr>
          <w:color w:val="000000"/>
        </w:rPr>
        <w:t xml:space="preserve"> meant that there was no 1-year follow-up for that group.</w:t>
      </w:r>
    </w:p>
    <w:p w14:paraId="1AB74BC1" w14:textId="77777777" w:rsidR="007F378D" w:rsidRDefault="007F378D" w:rsidP="007F378D">
      <w:pPr>
        <w:rPr>
          <w:color w:val="000000"/>
        </w:rPr>
      </w:pPr>
      <w:r>
        <w:rPr>
          <w:color w:val="000000"/>
        </w:rPr>
        <w:t>Overall, ESC considered that most assumptions in the economic model favour BSC.</w:t>
      </w:r>
    </w:p>
    <w:p w14:paraId="04E1DA06" w14:textId="77777777" w:rsidR="007F378D" w:rsidRDefault="007F378D" w:rsidP="007F378D">
      <w:pPr>
        <w:rPr>
          <w:color w:val="000000"/>
        </w:rPr>
      </w:pPr>
      <w:r>
        <w:rPr>
          <w:color w:val="000000"/>
        </w:rPr>
        <w:t>The model favours BSC as:</w:t>
      </w:r>
    </w:p>
    <w:p w14:paraId="6775C06A" w14:textId="77777777" w:rsidR="007F378D" w:rsidRDefault="007F378D" w:rsidP="007F378D">
      <w:pPr>
        <w:rPr>
          <w:color w:val="000000"/>
        </w:rPr>
      </w:pPr>
    </w:p>
    <w:p w14:paraId="2B63911B" w14:textId="77777777" w:rsidR="007F378D" w:rsidRDefault="007F378D" w:rsidP="007F378D">
      <w:pPr>
        <w:pStyle w:val="ListParagraph"/>
        <w:numPr>
          <w:ilvl w:val="0"/>
          <w:numId w:val="4"/>
        </w:numPr>
        <w:contextualSpacing w:val="0"/>
        <w:rPr>
          <w:color w:val="000000"/>
        </w:rPr>
      </w:pPr>
      <w:r>
        <w:rPr>
          <w:color w:val="000000"/>
        </w:rPr>
        <w:t>Five sessions of physiotherapy rather than the 36 sessions in the trial. Only supplying five sessions would affect both costs and effectiveness.  </w:t>
      </w:r>
    </w:p>
    <w:p w14:paraId="25C2702F" w14:textId="77777777" w:rsidR="007F378D" w:rsidRDefault="007F378D" w:rsidP="007F378D">
      <w:pPr>
        <w:pStyle w:val="ListParagraph"/>
        <w:numPr>
          <w:ilvl w:val="0"/>
          <w:numId w:val="4"/>
        </w:numPr>
        <w:contextualSpacing w:val="0"/>
        <w:rPr>
          <w:color w:val="000000"/>
        </w:rPr>
      </w:pPr>
      <w:r>
        <w:rPr>
          <w:color w:val="000000"/>
        </w:rPr>
        <w:t>Effectiveness would be reduced in real world setting as compliance would be poorer.</w:t>
      </w:r>
    </w:p>
    <w:p w14:paraId="19A24803" w14:textId="502D9776" w:rsidR="005D4B8A" w:rsidRPr="00D30609" w:rsidRDefault="007F378D" w:rsidP="00D30609">
      <w:pPr>
        <w:pStyle w:val="ListParagraph"/>
        <w:numPr>
          <w:ilvl w:val="0"/>
          <w:numId w:val="4"/>
        </w:numPr>
        <w:contextualSpacing w:val="0"/>
        <w:rPr>
          <w:color w:val="000000"/>
        </w:rPr>
      </w:pPr>
      <w:r>
        <w:rPr>
          <w:color w:val="000000"/>
        </w:rPr>
        <w:t>No ongoing costs for back pain or other complications of abdominal diastasis were included in the model. This could include medications for pain and depression and primary care.</w:t>
      </w:r>
      <w:r w:rsidR="005D4B8A" w:rsidRPr="00D30609">
        <w:rPr>
          <w:color w:val="000000"/>
        </w:rPr>
        <w:br w:type="page"/>
      </w:r>
    </w:p>
    <w:p w14:paraId="2331F982" w14:textId="420A210A" w:rsidR="007F378D" w:rsidRDefault="007F378D" w:rsidP="005D4B8A">
      <w:pPr>
        <w:spacing w:before="240"/>
        <w:rPr>
          <w:color w:val="000000"/>
        </w:rPr>
      </w:pPr>
      <w:r>
        <w:rPr>
          <w:color w:val="000000"/>
        </w:rPr>
        <w:lastRenderedPageBreak/>
        <w:t>The model favours surgery as:</w:t>
      </w:r>
    </w:p>
    <w:p w14:paraId="0BEBD47D" w14:textId="14C99005" w:rsidR="00EA3134" w:rsidRPr="00D30609" w:rsidRDefault="007F378D" w:rsidP="00EA3134">
      <w:pPr>
        <w:pStyle w:val="ListParagraph"/>
        <w:numPr>
          <w:ilvl w:val="0"/>
          <w:numId w:val="4"/>
        </w:numPr>
        <w:contextualSpacing w:val="0"/>
        <w:rPr>
          <w:color w:val="000000"/>
        </w:rPr>
      </w:pPr>
      <w:r>
        <w:rPr>
          <w:color w:val="000000"/>
        </w:rPr>
        <w:t>No follow up treatment was given after surgery; it is assumed that rehabilitation including physiotherapy and exercise would be required after surgery. This favours surgery in the model.</w:t>
      </w:r>
    </w:p>
    <w:p w14:paraId="714367B8" w14:textId="77777777" w:rsidR="007F378D" w:rsidRPr="00F96BF9" w:rsidRDefault="007F378D" w:rsidP="00D30609">
      <w:pPr>
        <w:spacing w:before="240" w:after="240"/>
        <w:rPr>
          <w:color w:val="000000" w:themeColor="text1"/>
        </w:rPr>
      </w:pPr>
      <w:r w:rsidRPr="00F96BF9">
        <w:rPr>
          <w:color w:val="000000" w:themeColor="text1"/>
        </w:rPr>
        <w:t xml:space="preserve">ESC noted the consumer consultation comments indicate that the high cost is currently a disadvantage for consumers who may be unable to afford this procedure in the absence of MBS reimbursement. ESC considered that </w:t>
      </w:r>
      <w:r>
        <w:rPr>
          <w:color w:val="000000" w:themeColor="text1"/>
        </w:rPr>
        <w:t>i</w:t>
      </w:r>
      <w:r w:rsidRPr="00F96BF9">
        <w:rPr>
          <w:color w:val="000000" w:themeColor="text1"/>
        </w:rPr>
        <w:t>f listed on the MBS that out-of-pocket costs may impa</w:t>
      </w:r>
      <w:r w:rsidR="00F437F9">
        <w:rPr>
          <w:color w:val="000000" w:themeColor="text1"/>
        </w:rPr>
        <w:t>ct on uptake of this procedure.</w:t>
      </w:r>
    </w:p>
    <w:p w14:paraId="41EEF368" w14:textId="77777777" w:rsidR="007F378D" w:rsidRPr="00F437F9" w:rsidRDefault="007F378D" w:rsidP="00F437F9">
      <w:pPr>
        <w:spacing w:after="240"/>
        <w:rPr>
          <w:color w:val="000000"/>
        </w:rPr>
      </w:pPr>
      <w:r w:rsidRPr="00015D10">
        <w:rPr>
          <w:color w:val="000000"/>
        </w:rPr>
        <w:t>ESC noted that it is incongruous that abdominoplasty is funded following severe weight loss and for rectus diastasis due to large intra-abdominal or pelvic tumours, but not after pregnancy-acquired rectus diastasis.</w:t>
      </w:r>
    </w:p>
    <w:p w14:paraId="06FCB679" w14:textId="77777777" w:rsidR="00386A5B" w:rsidRPr="00F715D1" w:rsidRDefault="00386A5B" w:rsidP="00386A5B">
      <w:pPr>
        <w:pStyle w:val="Heading1"/>
      </w:pPr>
      <w:r w:rsidRPr="00F715D1">
        <w:t>Other significant factors</w:t>
      </w:r>
    </w:p>
    <w:p w14:paraId="27F103B2" w14:textId="77777777" w:rsidR="00386A5B" w:rsidRPr="00F437F9" w:rsidRDefault="00F437F9" w:rsidP="00386A5B">
      <w:pPr>
        <w:spacing w:after="240"/>
        <w:rPr>
          <w:szCs w:val="24"/>
        </w:rPr>
      </w:pPr>
      <w:r>
        <w:rPr>
          <w:szCs w:val="24"/>
        </w:rPr>
        <w:t>Nil.</w:t>
      </w:r>
    </w:p>
    <w:p w14:paraId="64277EEE" w14:textId="77777777" w:rsidR="00386A5B" w:rsidRDefault="00386A5B" w:rsidP="00386A5B">
      <w:pPr>
        <w:pStyle w:val="Heading1"/>
      </w:pPr>
      <w:r w:rsidRPr="00F715D1">
        <w:t>Applicant’s comments on MSAC’s Public Summary Document</w:t>
      </w:r>
    </w:p>
    <w:p w14:paraId="17826AC8" w14:textId="50B20716" w:rsidR="009C2EA5" w:rsidRPr="00D30609" w:rsidRDefault="00934FAE" w:rsidP="00D30609">
      <w:r w:rsidRPr="00D30609">
        <w:t xml:space="preserve">The Australian Society of Plastic Surgeons (ASPS) recognise that the MSAC process has rigour but  feel that the evaluation </w:t>
      </w:r>
      <w:bookmarkStart w:id="25" w:name="_GoBack"/>
      <w:bookmarkEnd w:id="25"/>
      <w:r w:rsidRPr="00D30609">
        <w:t>of the value of abdominoplasty for repair of rectus diastasis in women with significant back pain and other symptoms has not been adequate. In particular it has not taken proper regard of the fact that abdominoplasty was the standard of care in Australia for the last 30 years, in contrast to most procedures proposed to MSA</w:t>
      </w:r>
      <w:r w:rsidR="00D30609">
        <w:t xml:space="preserve">C, which are novel procedures. </w:t>
      </w:r>
      <w:r w:rsidRPr="00D30609">
        <w:t xml:space="preserve">The withdrawal of this service in 2016 has disproportionately affected women with back pain compared to men as it is a treatment for a complication of pregnancy (which only occurs in women). </w:t>
      </w:r>
    </w:p>
    <w:p w14:paraId="51B1AD35" w14:textId="18900C20" w:rsidR="00D42D46" w:rsidRDefault="009C2EA5" w:rsidP="00D30609">
      <w:pPr>
        <w:spacing w:before="240"/>
        <w:rPr>
          <w:b/>
        </w:rPr>
      </w:pPr>
      <w:r w:rsidRPr="00D30609">
        <w:t xml:space="preserve">ASPS </w:t>
      </w:r>
      <w:r w:rsidR="00D42D46" w:rsidRPr="00D30609">
        <w:t>agree</w:t>
      </w:r>
      <w:r w:rsidRPr="00D30609">
        <w:t xml:space="preserve"> that the procedure can be used for cosmetic purposes, </w:t>
      </w:r>
      <w:r w:rsidR="00D42D46" w:rsidRPr="00D30609">
        <w:t xml:space="preserve">however, </w:t>
      </w:r>
      <w:r w:rsidRPr="00D30609">
        <w:t xml:space="preserve">the delineation of eligibility was designed to remove access for the group seeking </w:t>
      </w:r>
      <w:r w:rsidR="00D30609">
        <w:t xml:space="preserve">surgery for cosmetic purposes. </w:t>
      </w:r>
      <w:r w:rsidRPr="00D30609">
        <w:t>There is a parallel here to rhinoplasty where it is acknowledged that the procedure can be reconstructive or cosmetic and a metric has been introduced to appropriately award item numb</w:t>
      </w:r>
      <w:r w:rsidR="00D30609">
        <w:t>ers.</w:t>
      </w:r>
      <w:r w:rsidRPr="00D30609">
        <w:t xml:space="preserve"> MSAC’s response in this circumstance should have been</w:t>
      </w:r>
      <w:r>
        <w:t xml:space="preserve"> to seek to understand where that threshold is rather than argue about</w:t>
      </w:r>
      <w:r w:rsidR="00D30609">
        <w:t xml:space="preserve"> whether there is a threshold. </w:t>
      </w:r>
      <w:r>
        <w:t>The presence of 30176 in the schedule acknowledges that there is a threshold</w:t>
      </w:r>
      <w:r w:rsidR="00D42D46">
        <w:t>.</w:t>
      </w:r>
    </w:p>
    <w:p w14:paraId="4A27FA16" w14:textId="71C9932B" w:rsidR="00D42D46" w:rsidRPr="00D30609" w:rsidRDefault="00D42D46" w:rsidP="00D30609">
      <w:pPr>
        <w:spacing w:before="240"/>
      </w:pPr>
      <w:r w:rsidRPr="00D30609">
        <w:t xml:space="preserve">With respect to lack of public support, </w:t>
      </w:r>
      <w:r w:rsidR="009C2EA5" w:rsidRPr="00D30609">
        <w:t xml:space="preserve">ASPS would point out that </w:t>
      </w:r>
      <w:r w:rsidRPr="00D30609">
        <w:t xml:space="preserve">the </w:t>
      </w:r>
      <w:r w:rsidR="000A1899" w:rsidRPr="00D30609">
        <w:t>application had been accompanied by</w:t>
      </w:r>
      <w:r w:rsidRPr="00D30609">
        <w:t xml:space="preserve"> letters of support from General Surgeons Australia, </w:t>
      </w:r>
      <w:r w:rsidR="000A1899" w:rsidRPr="00D30609">
        <w:t>Centre of Perinatal Excellence</w:t>
      </w:r>
      <w:r w:rsidRPr="00D30609">
        <w:t xml:space="preserve"> and the National Physiotherapy Association</w:t>
      </w:r>
      <w:r w:rsidR="00B3240D">
        <w:t>.</w:t>
      </w:r>
      <w:r w:rsidRPr="00D30609">
        <w:t xml:space="preserve"> </w:t>
      </w:r>
    </w:p>
    <w:p w14:paraId="746D70B2" w14:textId="0FC37A77" w:rsidR="00934FAE" w:rsidRPr="00931186" w:rsidRDefault="00934FAE" w:rsidP="00D30609">
      <w:pPr>
        <w:spacing w:before="240"/>
        <w:rPr>
          <w:b/>
        </w:rPr>
      </w:pPr>
      <w:r w:rsidRPr="00D30609">
        <w:t>In terms of the MSAC technical evaluation of the evidence supporting the procedure, the MID thresholds and time horizons used in the health economic analysis were not appropriate for this particular procedure which created bias against the procedure. MSAC’s threshold of only really considering prospective randomised trials is not consistent with what is available</w:t>
      </w:r>
      <w:r w:rsidRPr="00931186">
        <w:t xml:space="preserve"> in most surgical fields, especially for a long-established procedure. The focus of ESC on “physiotherapy”, which is not a proven treatment for this pathology, was also not appropriate. There were no studies evaluated or presented to support the effectiveness of physiotherapy for rectus diastasis associated with back pain. MSAC’s argument that this “treatment”, which has no proven efficacy, has less cost and less morbidity therefore seems irrelevant. Leaving patients with </w:t>
      </w:r>
      <w:r w:rsidR="00B3240D">
        <w:t xml:space="preserve">funded </w:t>
      </w:r>
      <w:r w:rsidRPr="00931186">
        <w:t>access only to this (non)t</w:t>
      </w:r>
      <w:r w:rsidR="00931186">
        <w:t>reatment</w:t>
      </w:r>
      <w:r w:rsidRPr="00931186">
        <w:t xml:space="preserve"> seems fundamentally unscientific</w:t>
      </w:r>
      <w:r w:rsidR="00C648F0">
        <w:t xml:space="preserve"> </w:t>
      </w:r>
      <w:r w:rsidR="00B3240D">
        <w:t>not</w:t>
      </w:r>
      <w:r w:rsidRPr="00931186">
        <w:t xml:space="preserve"> backed by evidence. It remains the belief of ASPS that the decision for withdrawal of the funding for abdominoplasty for this indication in 2016 was based on cost rather than the best </w:t>
      </w:r>
      <w:r w:rsidRPr="00931186">
        <w:lastRenderedPageBreak/>
        <w:t>interests of patients. This recent decision by MSAC is similarly disappointing for this cohort of women in need.</w:t>
      </w:r>
    </w:p>
    <w:p w14:paraId="003DB0C6" w14:textId="77777777" w:rsidR="00386A5B" w:rsidRPr="00F715D1" w:rsidRDefault="00386A5B" w:rsidP="00386A5B">
      <w:pPr>
        <w:pStyle w:val="Heading1"/>
      </w:pPr>
      <w:r w:rsidRPr="00F715D1">
        <w:t>Further information on MSAC</w:t>
      </w:r>
    </w:p>
    <w:p w14:paraId="59B34464" w14:textId="77777777" w:rsidR="00280050" w:rsidRPr="00F437F9" w:rsidRDefault="00386A5B" w:rsidP="00F437F9">
      <w:pPr>
        <w:spacing w:after="240"/>
        <w:rPr>
          <w:szCs w:val="24"/>
        </w:rPr>
      </w:pPr>
      <w:r w:rsidRPr="00F715D1">
        <w:rPr>
          <w:szCs w:val="24"/>
        </w:rPr>
        <w:t xml:space="preserve">MSAC Terms of Reference and other information are available on the MSAC Website: </w:t>
      </w:r>
      <w:r>
        <w:rPr>
          <w:szCs w:val="24"/>
        </w:rPr>
        <w:br/>
      </w:r>
      <w:hyperlink r:id="rId19" w:tooltip="Link to Medical Services Advisory Committee website" w:history="1">
        <w:r w:rsidRPr="00F715D1">
          <w:rPr>
            <w:rStyle w:val="Hyperlink"/>
            <w:szCs w:val="24"/>
          </w:rPr>
          <w:t>visit the MSAC website</w:t>
        </w:r>
      </w:hyperlink>
    </w:p>
    <w:sectPr w:rsidR="00280050" w:rsidRPr="00F437F9" w:rsidSect="005379F5">
      <w:pgSz w:w="11906" w:h="16838"/>
      <w:pgMar w:top="1134" w:right="1440" w:bottom="426"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028EAC" w16cid:durableId="220A308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D74075" w14:textId="77777777" w:rsidR="0061486A" w:rsidRDefault="0061486A">
      <w:r>
        <w:separator/>
      </w:r>
    </w:p>
  </w:endnote>
  <w:endnote w:type="continuationSeparator" w:id="0">
    <w:p w14:paraId="692FF8BF" w14:textId="77777777" w:rsidR="0061486A" w:rsidRDefault="00614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E5620" w14:textId="77777777" w:rsidR="002A179F" w:rsidRDefault="002A17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EC0AD" w14:textId="77777777" w:rsidR="002A179F" w:rsidRDefault="002A17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4FF07" w14:textId="77777777" w:rsidR="002A179F" w:rsidRDefault="002A179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3507969"/>
      <w:docPartObj>
        <w:docPartGallery w:val="Page Numbers (Bottom of Page)"/>
        <w:docPartUnique/>
      </w:docPartObj>
    </w:sdtPr>
    <w:sdtEndPr>
      <w:rPr>
        <w:noProof/>
      </w:rPr>
    </w:sdtEndPr>
    <w:sdtContent>
      <w:p w14:paraId="4880D980" w14:textId="734FB6E2" w:rsidR="0061486A" w:rsidRDefault="0061486A">
        <w:pPr>
          <w:pStyle w:val="Footer"/>
          <w:jc w:val="right"/>
        </w:pPr>
        <w:r>
          <w:fldChar w:fldCharType="begin"/>
        </w:r>
        <w:r>
          <w:instrText xml:space="preserve"> PAGE   \* MERGEFORMAT </w:instrText>
        </w:r>
        <w:r>
          <w:fldChar w:fldCharType="separate"/>
        </w:r>
        <w:r w:rsidR="002A179F">
          <w:rPr>
            <w:noProof/>
          </w:rPr>
          <w:t>16</w:t>
        </w:r>
        <w:r>
          <w:rPr>
            <w:noProof/>
          </w:rPr>
          <w:fldChar w:fldCharType="end"/>
        </w:r>
      </w:p>
    </w:sdtContent>
  </w:sdt>
  <w:p w14:paraId="1224DFAA" w14:textId="77777777" w:rsidR="0061486A" w:rsidRDefault="006148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6A9313" w14:textId="77777777" w:rsidR="0061486A" w:rsidRDefault="0061486A">
      <w:r>
        <w:separator/>
      </w:r>
    </w:p>
  </w:footnote>
  <w:footnote w:type="continuationSeparator" w:id="0">
    <w:p w14:paraId="46673A48" w14:textId="77777777" w:rsidR="0061486A" w:rsidRDefault="006148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88514" w14:textId="77777777" w:rsidR="002A179F" w:rsidRDefault="002A17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0A838" w14:textId="77777777" w:rsidR="002A179F" w:rsidRDefault="002A17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C72C0" w14:textId="77777777" w:rsidR="002A179F" w:rsidRDefault="002A17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05138"/>
    <w:multiLevelType w:val="hybridMultilevel"/>
    <w:tmpl w:val="0E8C4BC4"/>
    <w:lvl w:ilvl="0" w:tplc="EC840366">
      <w:start w:val="1"/>
      <w:numFmt w:val="bullet"/>
      <w:pStyle w:val="Dash"/>
      <w:lvlText w:val="–"/>
      <w:lvlJc w:val="left"/>
      <w:pPr>
        <w:tabs>
          <w:tab w:val="num" w:pos="216"/>
        </w:tabs>
        <w:ind w:left="360" w:firstLine="0"/>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D938B1"/>
    <w:multiLevelType w:val="hybridMultilevel"/>
    <w:tmpl w:val="3EDAB94E"/>
    <w:lvl w:ilvl="0" w:tplc="0C090017">
      <w:start w:val="1"/>
      <w:numFmt w:val="lowerLetter"/>
      <w:lvlText w:val="%1)"/>
      <w:lvlJc w:val="left"/>
      <w:pPr>
        <w:ind w:left="108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E797881"/>
    <w:multiLevelType w:val="hybridMultilevel"/>
    <w:tmpl w:val="8A649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C65D09"/>
    <w:multiLevelType w:val="hybridMultilevel"/>
    <w:tmpl w:val="8F1A6EFA"/>
    <w:lvl w:ilvl="0" w:tplc="CE66D59E">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2C4B6D"/>
    <w:multiLevelType w:val="hybridMultilevel"/>
    <w:tmpl w:val="C1F0CDD4"/>
    <w:lvl w:ilvl="0" w:tplc="0C090001">
      <w:start w:val="1"/>
      <w:numFmt w:val="bullet"/>
      <w:pStyle w:val="DashLast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CC15674"/>
    <w:multiLevelType w:val="hybridMultilevel"/>
    <w:tmpl w:val="C1DA6F3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 w15:restartNumberingAfterBreak="0">
    <w:nsid w:val="524B5E22"/>
    <w:multiLevelType w:val="hybridMultilevel"/>
    <w:tmpl w:val="ED9AAF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8D637FB"/>
    <w:multiLevelType w:val="hybridMultilevel"/>
    <w:tmpl w:val="CCA2EB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0204524"/>
    <w:multiLevelType w:val="hybridMultilevel"/>
    <w:tmpl w:val="615ECAC0"/>
    <w:lvl w:ilvl="0" w:tplc="56E03BF4">
      <w:start w:val="1"/>
      <w:numFmt w:val="lowerLetter"/>
      <w:lvlText w:val="%1)"/>
      <w:lvlJc w:val="left"/>
      <w:pPr>
        <w:ind w:left="1080" w:hanging="360"/>
      </w:pPr>
    </w:lvl>
    <w:lvl w:ilvl="1" w:tplc="5A54BBF2">
      <w:start w:val="1"/>
      <w:numFmt w:val="upperRoman"/>
      <w:lvlText w:val="%2."/>
      <w:lvlJc w:val="right"/>
      <w:pPr>
        <w:ind w:left="1440" w:hanging="360"/>
      </w:pPr>
    </w:lvl>
    <w:lvl w:ilvl="2" w:tplc="ADD67742">
      <w:start w:val="1"/>
      <w:numFmt w:val="lowerRoman"/>
      <w:lvlText w:val="%3."/>
      <w:lvlJc w:val="right"/>
      <w:pPr>
        <w:ind w:left="2160" w:hanging="180"/>
      </w:pPr>
    </w:lvl>
    <w:lvl w:ilvl="3" w:tplc="851C1346">
      <w:start w:val="1"/>
      <w:numFmt w:val="decimal"/>
      <w:lvlText w:val="%4."/>
      <w:lvlJc w:val="left"/>
      <w:pPr>
        <w:ind w:left="2880" w:hanging="360"/>
      </w:pPr>
    </w:lvl>
    <w:lvl w:ilvl="4" w:tplc="A77E346E">
      <w:start w:val="1"/>
      <w:numFmt w:val="lowerLetter"/>
      <w:lvlText w:val="%5."/>
      <w:lvlJc w:val="left"/>
      <w:pPr>
        <w:ind w:left="3600" w:hanging="360"/>
      </w:pPr>
    </w:lvl>
    <w:lvl w:ilvl="5" w:tplc="B360EBA6">
      <w:start w:val="1"/>
      <w:numFmt w:val="lowerRoman"/>
      <w:lvlText w:val="%6."/>
      <w:lvlJc w:val="right"/>
      <w:pPr>
        <w:ind w:left="4320" w:hanging="180"/>
      </w:pPr>
    </w:lvl>
    <w:lvl w:ilvl="6" w:tplc="E6A4B3BA">
      <w:start w:val="1"/>
      <w:numFmt w:val="decimal"/>
      <w:lvlText w:val="%7."/>
      <w:lvlJc w:val="left"/>
      <w:pPr>
        <w:ind w:left="5040" w:hanging="360"/>
      </w:pPr>
    </w:lvl>
    <w:lvl w:ilvl="7" w:tplc="79FC1BB2">
      <w:start w:val="1"/>
      <w:numFmt w:val="lowerLetter"/>
      <w:lvlText w:val="%8."/>
      <w:lvlJc w:val="left"/>
      <w:pPr>
        <w:ind w:left="5760" w:hanging="360"/>
      </w:pPr>
    </w:lvl>
    <w:lvl w:ilvl="8" w:tplc="DCD454D4">
      <w:start w:val="1"/>
      <w:numFmt w:val="lowerRoman"/>
      <w:lvlText w:val="%9."/>
      <w:lvlJc w:val="right"/>
      <w:pPr>
        <w:ind w:left="6480" w:hanging="180"/>
      </w:pPr>
    </w:lvl>
  </w:abstractNum>
  <w:abstractNum w:abstractNumId="11"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4"/>
  </w:num>
  <w:num w:numId="4">
    <w:abstractNumId w:val="5"/>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2"/>
  </w:num>
  <w:num w:numId="10">
    <w:abstractNumId w:val="1"/>
  </w:num>
  <w:num w:numId="11">
    <w:abstractNumId w:val="7"/>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GrammaticalError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A5B"/>
    <w:rsid w:val="00085638"/>
    <w:rsid w:val="000A1899"/>
    <w:rsid w:val="000C18D5"/>
    <w:rsid w:val="001A0FFD"/>
    <w:rsid w:val="001A6745"/>
    <w:rsid w:val="001B081E"/>
    <w:rsid w:val="001E07D4"/>
    <w:rsid w:val="00280050"/>
    <w:rsid w:val="002814B7"/>
    <w:rsid w:val="002A179F"/>
    <w:rsid w:val="003444E7"/>
    <w:rsid w:val="00386A5B"/>
    <w:rsid w:val="003E3525"/>
    <w:rsid w:val="00406ADB"/>
    <w:rsid w:val="00426868"/>
    <w:rsid w:val="004F7E9C"/>
    <w:rsid w:val="005379F5"/>
    <w:rsid w:val="00543B0F"/>
    <w:rsid w:val="00556D7E"/>
    <w:rsid w:val="005A390C"/>
    <w:rsid w:val="005C22EE"/>
    <w:rsid w:val="005D4B8A"/>
    <w:rsid w:val="005D67B8"/>
    <w:rsid w:val="00611296"/>
    <w:rsid w:val="0061486A"/>
    <w:rsid w:val="00684521"/>
    <w:rsid w:val="00730623"/>
    <w:rsid w:val="00732A99"/>
    <w:rsid w:val="00753CF3"/>
    <w:rsid w:val="007C430F"/>
    <w:rsid w:val="007F378D"/>
    <w:rsid w:val="00810C8A"/>
    <w:rsid w:val="00872B36"/>
    <w:rsid w:val="008805B0"/>
    <w:rsid w:val="008B5F12"/>
    <w:rsid w:val="008E2030"/>
    <w:rsid w:val="00915651"/>
    <w:rsid w:val="009205CD"/>
    <w:rsid w:val="00931186"/>
    <w:rsid w:val="00934FAE"/>
    <w:rsid w:val="00953A02"/>
    <w:rsid w:val="009C2EA5"/>
    <w:rsid w:val="009E5178"/>
    <w:rsid w:val="00A63C62"/>
    <w:rsid w:val="00A6600D"/>
    <w:rsid w:val="00A737E5"/>
    <w:rsid w:val="00B3240D"/>
    <w:rsid w:val="00BB3E5A"/>
    <w:rsid w:val="00C0531F"/>
    <w:rsid w:val="00C648F0"/>
    <w:rsid w:val="00C72D90"/>
    <w:rsid w:val="00C8796E"/>
    <w:rsid w:val="00CD496F"/>
    <w:rsid w:val="00D25CF5"/>
    <w:rsid w:val="00D30609"/>
    <w:rsid w:val="00D42D46"/>
    <w:rsid w:val="00D6791A"/>
    <w:rsid w:val="00D76DBB"/>
    <w:rsid w:val="00DE65C9"/>
    <w:rsid w:val="00DF28D3"/>
    <w:rsid w:val="00E24D6C"/>
    <w:rsid w:val="00E25021"/>
    <w:rsid w:val="00E271E3"/>
    <w:rsid w:val="00EA3134"/>
    <w:rsid w:val="00EA64FA"/>
    <w:rsid w:val="00EC3CC2"/>
    <w:rsid w:val="00ED3DA7"/>
    <w:rsid w:val="00F102C2"/>
    <w:rsid w:val="00F14D6C"/>
    <w:rsid w:val="00F437F9"/>
    <w:rsid w:val="00F67BD8"/>
    <w:rsid w:val="00FB32EC"/>
    <w:rsid w:val="00FF7E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88FB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6A5B"/>
    <w:pPr>
      <w:spacing w:after="0" w:line="240" w:lineRule="auto"/>
    </w:pPr>
    <w:rPr>
      <w:rFonts w:eastAsia="Times New Roman"/>
      <w:szCs w:val="20"/>
      <w:lang w:eastAsia="en-AU"/>
    </w:rPr>
  </w:style>
  <w:style w:type="paragraph" w:styleId="Heading1">
    <w:name w:val="heading 1"/>
    <w:basedOn w:val="Normal"/>
    <w:next w:val="Normal"/>
    <w:link w:val="Heading1Char"/>
    <w:uiPriority w:val="99"/>
    <w:qFormat/>
    <w:rsid w:val="00386A5B"/>
    <w:pPr>
      <w:keepNext/>
      <w:keepLines/>
      <w:numPr>
        <w:numId w:val="2"/>
      </w:numPr>
      <w:spacing w:before="240" w:after="240"/>
      <w:ind w:hanging="720"/>
      <w:outlineLvl w:val="0"/>
    </w:pPr>
    <w:rPr>
      <w:rFonts w:ascii="Arial" w:hAnsi="Arial"/>
      <w:b/>
      <w:bCs/>
      <w:szCs w:val="28"/>
    </w:rPr>
  </w:style>
  <w:style w:type="paragraph" w:styleId="Heading2">
    <w:name w:val="heading 2"/>
    <w:basedOn w:val="Normal"/>
    <w:next w:val="Normal"/>
    <w:link w:val="Heading2Char"/>
    <w:uiPriority w:val="9"/>
    <w:unhideWhenUsed/>
    <w:qFormat/>
    <w:rsid w:val="007F378D"/>
    <w:pPr>
      <w:keepNext/>
      <w:keepLines/>
      <w:spacing w:before="200"/>
      <w:outlineLvl w:val="1"/>
    </w:pPr>
    <w:rPr>
      <w:rFonts w:eastAsiaTheme="majorEastAsia" w:cstheme="majorBidi"/>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86A5B"/>
    <w:rPr>
      <w:rFonts w:ascii="Arial" w:eastAsia="Times New Roman" w:hAnsi="Arial"/>
      <w:b/>
      <w:bCs/>
      <w:szCs w:val="28"/>
      <w:lang w:eastAsia="en-AU"/>
    </w:rPr>
  </w:style>
  <w:style w:type="character" w:styleId="Hyperlink">
    <w:name w:val="Hyperlink"/>
    <w:basedOn w:val="DefaultParagraphFont"/>
    <w:uiPriority w:val="99"/>
    <w:rsid w:val="00386A5B"/>
    <w:rPr>
      <w:rFonts w:cs="Times New Roman"/>
      <w:color w:val="0000FF"/>
      <w:u w:val="single"/>
    </w:rPr>
  </w:style>
  <w:style w:type="paragraph" w:styleId="ListParagraph">
    <w:name w:val="List Paragraph"/>
    <w:aliases w:val="Styl moj,Akapit z listą1,Akapit z listą11,Numbered para"/>
    <w:basedOn w:val="Normal"/>
    <w:link w:val="ListParagraphChar"/>
    <w:uiPriority w:val="34"/>
    <w:qFormat/>
    <w:rsid w:val="00386A5B"/>
    <w:pPr>
      <w:ind w:left="720"/>
      <w:contextualSpacing/>
    </w:pPr>
  </w:style>
  <w:style w:type="paragraph" w:styleId="Footer">
    <w:name w:val="footer"/>
    <w:basedOn w:val="Normal"/>
    <w:link w:val="FooterChar"/>
    <w:uiPriority w:val="99"/>
    <w:rsid w:val="00386A5B"/>
    <w:pPr>
      <w:tabs>
        <w:tab w:val="center" w:pos="4513"/>
        <w:tab w:val="right" w:pos="9026"/>
      </w:tabs>
    </w:pPr>
  </w:style>
  <w:style w:type="character" w:customStyle="1" w:styleId="FooterChar">
    <w:name w:val="Footer Char"/>
    <w:basedOn w:val="DefaultParagraphFont"/>
    <w:link w:val="Footer"/>
    <w:uiPriority w:val="99"/>
    <w:rsid w:val="00386A5B"/>
    <w:rPr>
      <w:rFonts w:eastAsia="Times New Roman"/>
      <w:szCs w:val="20"/>
      <w:lang w:eastAsia="en-AU"/>
    </w:rPr>
  </w:style>
  <w:style w:type="paragraph" w:customStyle="1" w:styleId="Default">
    <w:name w:val="Default"/>
    <w:rsid w:val="00386A5B"/>
    <w:pPr>
      <w:autoSpaceDE w:val="0"/>
      <w:autoSpaceDN w:val="0"/>
      <w:adjustRightInd w:val="0"/>
      <w:spacing w:after="0" w:line="240" w:lineRule="auto"/>
    </w:pPr>
    <w:rPr>
      <w:rFonts w:eastAsia="Calibri"/>
      <w:color w:val="000000"/>
    </w:rPr>
  </w:style>
  <w:style w:type="paragraph" w:styleId="Title">
    <w:name w:val="Title"/>
    <w:basedOn w:val="Normal"/>
    <w:next w:val="Normal"/>
    <w:link w:val="TitleChar"/>
    <w:qFormat/>
    <w:rsid w:val="00386A5B"/>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386A5B"/>
    <w:rPr>
      <w:rFonts w:ascii="Arial" w:eastAsia="Times New Roman" w:hAnsi="Arial" w:cs="Arial"/>
      <w:b/>
      <w:bCs/>
      <w:color w:val="000080"/>
      <w:sz w:val="36"/>
      <w:szCs w:val="36"/>
      <w:lang w:eastAsia="en-AU"/>
    </w:rPr>
  </w:style>
  <w:style w:type="paragraph" w:styleId="Subtitle">
    <w:name w:val="Subtitle"/>
    <w:basedOn w:val="Normal"/>
    <w:next w:val="Normal"/>
    <w:link w:val="SubtitleChar"/>
    <w:qFormat/>
    <w:rsid w:val="00386A5B"/>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386A5B"/>
    <w:rPr>
      <w:rFonts w:ascii="Arial" w:eastAsia="Times New Roman" w:hAnsi="Arial" w:cs="Arial"/>
      <w:b/>
      <w:bCs/>
      <w:i/>
      <w:color w:val="000080"/>
      <w:sz w:val="28"/>
      <w:szCs w:val="28"/>
      <w:lang w:eastAsia="en-AU"/>
    </w:rPr>
  </w:style>
  <w:style w:type="character" w:customStyle="1" w:styleId="Heading2Char">
    <w:name w:val="Heading 2 Char"/>
    <w:basedOn w:val="DefaultParagraphFont"/>
    <w:link w:val="Heading2"/>
    <w:uiPriority w:val="9"/>
    <w:rsid w:val="007F378D"/>
    <w:rPr>
      <w:rFonts w:eastAsiaTheme="majorEastAsia" w:cstheme="majorBidi"/>
      <w:i/>
      <w:szCs w:val="26"/>
      <w:lang w:eastAsia="en-AU"/>
    </w:rPr>
  </w:style>
  <w:style w:type="table" w:styleId="TableGrid">
    <w:name w:val="Table Grid"/>
    <w:aliases w:val="Summary box,Table Gridbeth,RTI AMCP Table,new style,ASD Table"/>
    <w:basedOn w:val="TableNormal"/>
    <w:uiPriority w:val="59"/>
    <w:rsid w:val="009E5178"/>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F378D"/>
    <w:pPr>
      <w:spacing w:after="0" w:line="240" w:lineRule="auto"/>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tyl moj Char,Akapit z listą1 Char,Akapit z listą11 Char,Numbered para Char"/>
    <w:link w:val="ListParagraph"/>
    <w:uiPriority w:val="34"/>
    <w:rsid w:val="007F378D"/>
    <w:rPr>
      <w:rFonts w:eastAsia="Times New Roman"/>
      <w:szCs w:val="20"/>
      <w:lang w:eastAsia="en-AU"/>
    </w:rPr>
  </w:style>
  <w:style w:type="paragraph" w:customStyle="1" w:styleId="Tabletext">
    <w:name w:val="Table text"/>
    <w:basedOn w:val="Normal"/>
    <w:link w:val="TabletextChar"/>
    <w:qFormat/>
    <w:rsid w:val="007F378D"/>
    <w:pPr>
      <w:spacing w:before="40" w:after="40"/>
    </w:pPr>
    <w:rPr>
      <w:rFonts w:ascii="Arial Narrow" w:hAnsi="Arial Narrow"/>
      <w:sz w:val="20"/>
      <w:szCs w:val="24"/>
      <w:lang w:eastAsia="en-US"/>
    </w:rPr>
  </w:style>
  <w:style w:type="character" w:customStyle="1" w:styleId="TabletextChar">
    <w:name w:val="Table text Char"/>
    <w:basedOn w:val="DefaultParagraphFont"/>
    <w:link w:val="Tabletext"/>
    <w:rsid w:val="007F378D"/>
    <w:rPr>
      <w:rFonts w:ascii="Arial Narrow" w:eastAsia="Times New Roman" w:hAnsi="Arial Narrow"/>
      <w:sz w:val="20"/>
    </w:rPr>
  </w:style>
  <w:style w:type="paragraph" w:customStyle="1" w:styleId="Tablecaption">
    <w:name w:val="Table caption"/>
    <w:basedOn w:val="Normal"/>
    <w:link w:val="TablecaptionChar"/>
    <w:qFormat/>
    <w:rsid w:val="007F378D"/>
    <w:pPr>
      <w:keepNext/>
      <w:keepLines/>
      <w:jc w:val="both"/>
    </w:pPr>
    <w:rPr>
      <w:rFonts w:ascii="Arial Narrow" w:hAnsi="Arial Narrow" w:cs="Arial"/>
      <w:sz w:val="20"/>
      <w:lang w:eastAsia="en-US"/>
    </w:rPr>
  </w:style>
  <w:style w:type="character" w:customStyle="1" w:styleId="TablecaptionChar">
    <w:name w:val="Table caption Char"/>
    <w:basedOn w:val="DefaultParagraphFont"/>
    <w:link w:val="Tablecaption"/>
    <w:rsid w:val="007F378D"/>
    <w:rPr>
      <w:rFonts w:ascii="Arial Narrow" w:eastAsia="Times New Roman" w:hAnsi="Arial Narrow" w:cs="Arial"/>
      <w:sz w:val="20"/>
      <w:szCs w:val="20"/>
    </w:rPr>
  </w:style>
  <w:style w:type="paragraph" w:styleId="Caption">
    <w:name w:val="caption"/>
    <w:aliases w:val="Bayer Caption,IB Caption,Medical Caption,CSR Caption,Table and Figure Name,Table and Figure name,Caption Char2 Char,Caption Char Char Char2,Caption Char1 Char Char Char1,Caption Char2 Char Char Char1 Char1"/>
    <w:basedOn w:val="Normal"/>
    <w:next w:val="Normal"/>
    <w:link w:val="CaptionChar"/>
    <w:unhideWhenUsed/>
    <w:qFormat/>
    <w:rsid w:val="007F378D"/>
    <w:pPr>
      <w:keepNext/>
      <w:spacing w:after="40"/>
      <w:jc w:val="both"/>
      <w:outlineLvl w:val="4"/>
    </w:pPr>
    <w:rPr>
      <w:rFonts w:ascii="Arial Narrow" w:hAnsi="Arial Narrow" w:cs="Arial"/>
      <w:b/>
      <w:bCs/>
      <w:iCs/>
      <w:sz w:val="20"/>
      <w:lang w:eastAsia="en-US"/>
    </w:r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
    <w:basedOn w:val="DefaultParagraphFont"/>
    <w:link w:val="Caption"/>
    <w:rsid w:val="007F378D"/>
    <w:rPr>
      <w:rFonts w:ascii="Arial Narrow" w:eastAsia="Times New Roman" w:hAnsi="Arial Narrow" w:cs="Arial"/>
      <w:b/>
      <w:bCs/>
      <w:iCs/>
      <w:sz w:val="20"/>
      <w:szCs w:val="20"/>
    </w:rPr>
  </w:style>
  <w:style w:type="paragraph" w:customStyle="1" w:styleId="Tabletextright">
    <w:name w:val="Table text right"/>
    <w:basedOn w:val="Normal"/>
    <w:link w:val="TabletextrightChar"/>
    <w:qFormat/>
    <w:rsid w:val="007F378D"/>
    <w:pPr>
      <w:keepNext/>
      <w:jc w:val="right"/>
    </w:pPr>
    <w:rPr>
      <w:rFonts w:ascii="Arial Narrow" w:hAnsi="Arial Narrow" w:cs="Arial"/>
      <w:sz w:val="20"/>
      <w:lang w:eastAsia="en-US"/>
    </w:rPr>
  </w:style>
  <w:style w:type="character" w:customStyle="1" w:styleId="TabletextrightChar">
    <w:name w:val="Table text right Char"/>
    <w:basedOn w:val="DefaultParagraphFont"/>
    <w:link w:val="Tabletextright"/>
    <w:rsid w:val="007F378D"/>
    <w:rPr>
      <w:rFonts w:ascii="Arial Narrow" w:eastAsia="Times New Roman" w:hAnsi="Arial Narrow" w:cs="Arial"/>
      <w:sz w:val="20"/>
      <w:szCs w:val="20"/>
    </w:rPr>
  </w:style>
  <w:style w:type="paragraph" w:customStyle="1" w:styleId="TableHeading">
    <w:name w:val="TableHeading"/>
    <w:basedOn w:val="Normal"/>
    <w:link w:val="TableHeadingChar"/>
    <w:qFormat/>
    <w:rsid w:val="00E24D6C"/>
    <w:pPr>
      <w:keepNext/>
      <w:spacing w:before="40" w:after="40"/>
      <w:ind w:left="1134" w:hanging="1134"/>
      <w:jc w:val="both"/>
    </w:pPr>
    <w:rPr>
      <w:rFonts w:ascii="Arial Narrow" w:hAnsi="Arial Narrow" w:cs="Tahoma"/>
      <w:b/>
      <w:noProof/>
      <w:sz w:val="20"/>
    </w:rPr>
  </w:style>
  <w:style w:type="character" w:customStyle="1" w:styleId="TableHeadingChar">
    <w:name w:val="TableHeading Char"/>
    <w:link w:val="TableHeading"/>
    <w:rsid w:val="00E24D6C"/>
    <w:rPr>
      <w:rFonts w:ascii="Arial Narrow" w:eastAsia="Times New Roman" w:hAnsi="Arial Narrow" w:cs="Tahoma"/>
      <w:b/>
      <w:noProof/>
      <w:sz w:val="20"/>
      <w:szCs w:val="20"/>
      <w:lang w:eastAsia="en-AU"/>
    </w:rPr>
  </w:style>
  <w:style w:type="paragraph" w:customStyle="1" w:styleId="Tablenotes">
    <w:name w:val="Tablenotes"/>
    <w:basedOn w:val="Normal"/>
    <w:link w:val="TablenotesChar"/>
    <w:autoRedefine/>
    <w:qFormat/>
    <w:rsid w:val="00E24D6C"/>
    <w:pPr>
      <w:widowControl w:val="0"/>
      <w:spacing w:before="60" w:after="120"/>
      <w:contextualSpacing/>
    </w:pPr>
    <w:rPr>
      <w:rFonts w:ascii="Arial Narrow" w:hAnsi="Arial Narrow" w:cs="Arial"/>
      <w:snapToGrid w:val="0"/>
      <w:sz w:val="18"/>
      <w:lang w:eastAsia="en-US"/>
    </w:rPr>
  </w:style>
  <w:style w:type="character" w:customStyle="1" w:styleId="TablenotesChar">
    <w:name w:val="Tablenotes Char"/>
    <w:basedOn w:val="DefaultParagraphFont"/>
    <w:link w:val="Tablenotes"/>
    <w:rsid w:val="00E24D6C"/>
    <w:rPr>
      <w:rFonts w:ascii="Arial Narrow" w:eastAsia="Times New Roman" w:hAnsi="Arial Narrow" w:cs="Arial"/>
      <w:snapToGrid w:val="0"/>
      <w:sz w:val="18"/>
      <w:szCs w:val="20"/>
    </w:rPr>
  </w:style>
  <w:style w:type="paragraph" w:customStyle="1" w:styleId="TableFooter">
    <w:name w:val="Table Footer"/>
    <w:basedOn w:val="Normal"/>
    <w:link w:val="TableFooterChar"/>
    <w:qFormat/>
    <w:rsid w:val="00E24D6C"/>
    <w:pPr>
      <w:widowControl w:val="0"/>
      <w:jc w:val="both"/>
    </w:pPr>
    <w:rPr>
      <w:rFonts w:ascii="Arial Narrow" w:hAnsi="Arial Narrow" w:cs="Arial"/>
      <w:snapToGrid w:val="0"/>
      <w:sz w:val="18"/>
      <w:szCs w:val="24"/>
      <w:lang w:eastAsia="en-US"/>
    </w:rPr>
  </w:style>
  <w:style w:type="character" w:customStyle="1" w:styleId="TableFooterChar">
    <w:name w:val="Table Footer Char"/>
    <w:link w:val="TableFooter"/>
    <w:rsid w:val="00E24D6C"/>
    <w:rPr>
      <w:rFonts w:ascii="Arial Narrow" w:eastAsia="Times New Roman" w:hAnsi="Arial Narrow" w:cs="Arial"/>
      <w:snapToGrid w:val="0"/>
      <w:sz w:val="18"/>
    </w:rPr>
  </w:style>
  <w:style w:type="paragraph" w:customStyle="1" w:styleId="TableText0">
    <w:name w:val="Table Text"/>
    <w:basedOn w:val="Normal"/>
    <w:link w:val="TableTextChar0"/>
    <w:rsid w:val="00F437F9"/>
    <w:pPr>
      <w:keepNext/>
      <w:spacing w:before="40" w:after="40"/>
      <w:jc w:val="both"/>
    </w:pPr>
    <w:rPr>
      <w:rFonts w:ascii="Arial Narrow" w:hAnsi="Arial Narrow" w:cs="Tahoma"/>
      <w:sz w:val="20"/>
      <w:szCs w:val="24"/>
      <w:lang w:eastAsia="en-US"/>
    </w:rPr>
  </w:style>
  <w:style w:type="character" w:customStyle="1" w:styleId="TableTextChar0">
    <w:name w:val="Table Text Char"/>
    <w:link w:val="TableText0"/>
    <w:rsid w:val="00F437F9"/>
    <w:rPr>
      <w:rFonts w:ascii="Arial Narrow" w:eastAsia="Times New Roman" w:hAnsi="Arial Narrow" w:cs="Tahoma"/>
      <w:sz w:val="20"/>
    </w:rPr>
  </w:style>
  <w:style w:type="paragraph" w:customStyle="1" w:styleId="MSACTableText">
    <w:name w:val="MSAC Table Text"/>
    <w:basedOn w:val="Normal"/>
    <w:link w:val="MSACTableTextChar"/>
    <w:qFormat/>
    <w:rsid w:val="00F437F9"/>
    <w:pPr>
      <w:spacing w:line="312" w:lineRule="auto"/>
      <w:jc w:val="both"/>
    </w:pPr>
    <w:rPr>
      <w:rFonts w:ascii="Arial Narrow" w:hAnsi="Arial Narrow" w:cs="Tahoma"/>
      <w:sz w:val="20"/>
    </w:rPr>
  </w:style>
  <w:style w:type="character" w:customStyle="1" w:styleId="MSACTableTextChar">
    <w:name w:val="MSAC Table Text Char"/>
    <w:basedOn w:val="DefaultParagraphFont"/>
    <w:link w:val="MSACTableText"/>
    <w:rsid w:val="00F437F9"/>
    <w:rPr>
      <w:rFonts w:ascii="Arial Narrow" w:eastAsia="Times New Roman" w:hAnsi="Arial Narrow" w:cs="Tahoma"/>
      <w:sz w:val="20"/>
      <w:szCs w:val="20"/>
      <w:lang w:eastAsia="en-AU"/>
    </w:rPr>
  </w:style>
  <w:style w:type="character" w:styleId="CommentReference">
    <w:name w:val="annotation reference"/>
    <w:basedOn w:val="DefaultParagraphFont"/>
    <w:uiPriority w:val="99"/>
    <w:semiHidden/>
    <w:unhideWhenUsed/>
    <w:rsid w:val="00FB32EC"/>
    <w:rPr>
      <w:sz w:val="16"/>
      <w:szCs w:val="16"/>
    </w:rPr>
  </w:style>
  <w:style w:type="paragraph" w:styleId="CommentText">
    <w:name w:val="annotation text"/>
    <w:basedOn w:val="Normal"/>
    <w:link w:val="CommentTextChar"/>
    <w:uiPriority w:val="99"/>
    <w:semiHidden/>
    <w:unhideWhenUsed/>
    <w:rsid w:val="00FB32EC"/>
    <w:rPr>
      <w:sz w:val="20"/>
    </w:rPr>
  </w:style>
  <w:style w:type="character" w:customStyle="1" w:styleId="CommentTextChar">
    <w:name w:val="Comment Text Char"/>
    <w:basedOn w:val="DefaultParagraphFont"/>
    <w:link w:val="CommentText"/>
    <w:uiPriority w:val="99"/>
    <w:semiHidden/>
    <w:rsid w:val="00FB32EC"/>
    <w:rPr>
      <w:rFonts w:eastAsia="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FB32EC"/>
    <w:rPr>
      <w:b/>
      <w:bCs/>
    </w:rPr>
  </w:style>
  <w:style w:type="character" w:customStyle="1" w:styleId="CommentSubjectChar">
    <w:name w:val="Comment Subject Char"/>
    <w:basedOn w:val="CommentTextChar"/>
    <w:link w:val="CommentSubject"/>
    <w:uiPriority w:val="99"/>
    <w:semiHidden/>
    <w:rsid w:val="00FB32EC"/>
    <w:rPr>
      <w:rFonts w:eastAsia="Times New Roman"/>
      <w:b/>
      <w:bCs/>
      <w:sz w:val="20"/>
      <w:szCs w:val="20"/>
      <w:lang w:eastAsia="en-AU"/>
    </w:rPr>
  </w:style>
  <w:style w:type="paragraph" w:styleId="BalloonText">
    <w:name w:val="Balloon Text"/>
    <w:basedOn w:val="Normal"/>
    <w:link w:val="BalloonTextChar"/>
    <w:uiPriority w:val="99"/>
    <w:semiHidden/>
    <w:unhideWhenUsed/>
    <w:rsid w:val="00FB32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2EC"/>
    <w:rPr>
      <w:rFonts w:ascii="Segoe UI" w:eastAsia="Times New Roman" w:hAnsi="Segoe UI" w:cs="Segoe UI"/>
      <w:sz w:val="18"/>
      <w:szCs w:val="18"/>
      <w:lang w:eastAsia="en-AU"/>
    </w:rPr>
  </w:style>
  <w:style w:type="paragraph" w:customStyle="1" w:styleId="BoxText">
    <w:name w:val="BoxText"/>
    <w:basedOn w:val="Normal"/>
    <w:qFormat/>
    <w:rsid w:val="001B081E"/>
    <w:pPr>
      <w:pBdr>
        <w:top w:val="single" w:sz="4" w:space="4" w:color="000000"/>
        <w:left w:val="single" w:sz="4" w:space="4" w:color="000000"/>
        <w:bottom w:val="single" w:sz="4" w:space="4" w:color="000000"/>
        <w:right w:val="single" w:sz="4" w:space="4" w:color="000000"/>
      </w:pBdr>
      <w:spacing w:after="120"/>
    </w:pPr>
    <w:rPr>
      <w:color w:val="000000"/>
    </w:rPr>
  </w:style>
  <w:style w:type="paragraph" w:customStyle="1" w:styleId="BoxName">
    <w:name w:val="BoxName"/>
    <w:basedOn w:val="BoxText"/>
    <w:rsid w:val="001B081E"/>
    <w:pPr>
      <w:keepNext/>
      <w:spacing w:before="180"/>
      <w:ind w:left="1080" w:hanging="1080"/>
    </w:pPr>
    <w:rPr>
      <w:b/>
      <w:bCs/>
    </w:rPr>
  </w:style>
  <w:style w:type="paragraph" w:customStyle="1" w:styleId="BoxHeading">
    <w:name w:val="BoxHeading"/>
    <w:basedOn w:val="BoxText"/>
    <w:rsid w:val="001B081E"/>
    <w:pPr>
      <w:keepNext/>
      <w:spacing w:before="120" w:after="60"/>
    </w:pPr>
    <w:rPr>
      <w:b/>
      <w:bCs/>
    </w:rPr>
  </w:style>
  <w:style w:type="paragraph" w:customStyle="1" w:styleId="BulletBeforeDash">
    <w:name w:val="BulletBeforeDash"/>
    <w:basedOn w:val="Normal"/>
    <w:rsid w:val="00F67BD8"/>
    <w:pPr>
      <w:numPr>
        <w:numId w:val="12"/>
      </w:numPr>
      <w:ind w:left="720"/>
    </w:pPr>
    <w:rPr>
      <w:color w:val="000000"/>
    </w:rPr>
  </w:style>
  <w:style w:type="paragraph" w:customStyle="1" w:styleId="Dash">
    <w:name w:val="Dash"/>
    <w:basedOn w:val="Normal"/>
    <w:rsid w:val="00F67BD8"/>
    <w:pPr>
      <w:numPr>
        <w:numId w:val="13"/>
      </w:numPr>
      <w:tabs>
        <w:tab w:val="clear" w:pos="216"/>
        <w:tab w:val="left" w:pos="720"/>
      </w:tabs>
      <w:ind w:left="1080" w:hanging="360"/>
    </w:pPr>
    <w:rPr>
      <w:color w:val="000000"/>
    </w:rPr>
  </w:style>
  <w:style w:type="paragraph" w:customStyle="1" w:styleId="DashLastSpace">
    <w:name w:val="DashLast+Space"/>
    <w:basedOn w:val="Normal"/>
    <w:rsid w:val="00F67BD8"/>
    <w:pPr>
      <w:numPr>
        <w:numId w:val="4"/>
      </w:numPr>
      <w:tabs>
        <w:tab w:val="left" w:pos="720"/>
      </w:tabs>
      <w:spacing w:after="240"/>
      <w:ind w:left="1080"/>
    </w:pPr>
    <w:rPr>
      <w:color w:val="000000"/>
    </w:rPr>
  </w:style>
  <w:style w:type="paragraph" w:customStyle="1" w:styleId="NormalBeforeBullet">
    <w:name w:val="NormalBeforeBullet"/>
    <w:basedOn w:val="Normal"/>
    <w:qFormat/>
    <w:rsid w:val="00F67BD8"/>
    <w:pPr>
      <w:keepNext/>
      <w:spacing w:after="120"/>
    </w:pPr>
    <w:rPr>
      <w:color w:val="000000"/>
    </w:rPr>
  </w:style>
  <w:style w:type="paragraph" w:styleId="Header">
    <w:name w:val="header"/>
    <w:basedOn w:val="Normal"/>
    <w:link w:val="HeaderChar"/>
    <w:uiPriority w:val="99"/>
    <w:unhideWhenUsed/>
    <w:rsid w:val="003444E7"/>
    <w:pPr>
      <w:tabs>
        <w:tab w:val="center" w:pos="4513"/>
        <w:tab w:val="right" w:pos="9026"/>
      </w:tabs>
    </w:pPr>
  </w:style>
  <w:style w:type="character" w:customStyle="1" w:styleId="HeaderChar">
    <w:name w:val="Header Char"/>
    <w:basedOn w:val="DefaultParagraphFont"/>
    <w:link w:val="Header"/>
    <w:uiPriority w:val="99"/>
    <w:rsid w:val="003444E7"/>
    <w:rPr>
      <w:rFonts w:eastAsia="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hyperlink" Target="http://www.msac.gov.au/" TargetMode="External"/><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footer" Target="footer1.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3BFCD-36A7-49B8-AC62-D1CDA43C5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5686</Words>
  <Characters>32416</Characters>
  <Application>Microsoft Office Word</Application>
  <DocSecurity>0</DocSecurity>
  <Lines>270</Lines>
  <Paragraphs>76</Paragraphs>
  <ScaleCrop>false</ScaleCrop>
  <LinksUpToDate>false</LinksUpToDate>
  <CharactersWithSpaces>38026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2020-03-19T04:03:00Z</dcterms:created>
  <dcterms:modified xsi:type="dcterms:W3CDTF">2020-03-19T04:03:00Z</dcterms:modified>
</cp:coreProperties>
</file>