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BF00D" w14:textId="77777777" w:rsidR="007D0728" w:rsidRPr="00707064" w:rsidRDefault="007D0728" w:rsidP="007D0728">
      <w:pPr>
        <w:spacing w:after="240"/>
        <w:jc w:val="center"/>
        <w:rPr>
          <w:b/>
          <w:i/>
          <w:szCs w:val="24"/>
          <w:highlight w:val="yellow"/>
        </w:rPr>
      </w:pPr>
      <w:r>
        <w:rPr>
          <w:rFonts w:ascii="Arial" w:hAnsi="Arial" w:cs="Arial"/>
          <w:b/>
          <w:noProof/>
          <w:color w:val="000080"/>
          <w:sz w:val="28"/>
          <w:szCs w:val="28"/>
          <w:lang w:val="en-US" w:eastAsia="en-US"/>
        </w:rPr>
        <w:drawing>
          <wp:inline distT="0" distB="0" distL="0" distR="0" wp14:anchorId="744C4F66" wp14:editId="2E8EE482">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CD743DD" w14:textId="756594A0" w:rsidR="0050188B" w:rsidRPr="007D0728" w:rsidRDefault="007D0728" w:rsidP="007D0728">
      <w:pPr>
        <w:pStyle w:val="Title"/>
        <w:tabs>
          <w:tab w:val="left" w:pos="1926"/>
          <w:tab w:val="center" w:pos="4513"/>
        </w:tabs>
        <w:jc w:val="left"/>
      </w:pPr>
      <w:r>
        <w:tab/>
      </w:r>
      <w:r>
        <w:tab/>
      </w:r>
      <w:r w:rsidRPr="00F715D1">
        <w:t>Public Summary Document</w:t>
      </w:r>
    </w:p>
    <w:p w14:paraId="4953648E" w14:textId="599A2A8F" w:rsidR="00065623" w:rsidRPr="007D0728" w:rsidRDefault="007D0728" w:rsidP="007D0728">
      <w:pPr>
        <w:pStyle w:val="Subtitle"/>
      </w:pPr>
      <w:r>
        <w:t xml:space="preserve">Application </w:t>
      </w:r>
      <w:r w:rsidR="00471BF1" w:rsidRPr="004C09DA">
        <w:t xml:space="preserve">1546.1 </w:t>
      </w:r>
      <w:r w:rsidR="00471BF1" w:rsidRPr="007D0728">
        <w:t>- Abdominoplasty with surgical repair of rectus diastasis following pregnancy</w:t>
      </w:r>
    </w:p>
    <w:p w14:paraId="4CEE1F00" w14:textId="575391FC" w:rsidR="00794A81" w:rsidRPr="007D0728" w:rsidRDefault="00794A81" w:rsidP="007D0728">
      <w:pPr>
        <w:tabs>
          <w:tab w:val="left" w:pos="3686"/>
        </w:tabs>
        <w:spacing w:before="240" w:after="240"/>
        <w:rPr>
          <w:rFonts w:ascii="Arial" w:hAnsi="Arial" w:cs="Arial"/>
          <w:b/>
          <w:szCs w:val="24"/>
        </w:rPr>
      </w:pPr>
      <w:r w:rsidRPr="007D0728">
        <w:rPr>
          <w:rFonts w:ascii="Arial" w:hAnsi="Arial" w:cs="Arial"/>
          <w:b/>
          <w:szCs w:val="24"/>
        </w:rPr>
        <w:t>Applicant: Australian Society of Plastic Surgeons</w:t>
      </w:r>
    </w:p>
    <w:p w14:paraId="31454233" w14:textId="1568AC34" w:rsidR="00EE6D68" w:rsidRDefault="00676C49" w:rsidP="00712DD7">
      <w:pPr>
        <w:tabs>
          <w:tab w:val="left" w:pos="3686"/>
        </w:tabs>
        <w:spacing w:after="240"/>
        <w:rPr>
          <w:rFonts w:ascii="Arial" w:hAnsi="Arial" w:cs="Arial"/>
          <w:b/>
          <w:szCs w:val="24"/>
        </w:rPr>
      </w:pPr>
      <w:r w:rsidRPr="007D0728">
        <w:rPr>
          <w:rFonts w:ascii="Arial" w:hAnsi="Arial" w:cs="Arial"/>
          <w:b/>
          <w:szCs w:val="24"/>
        </w:rPr>
        <w:t xml:space="preserve">Date of </w:t>
      </w:r>
      <w:r w:rsidR="007D0728">
        <w:rPr>
          <w:rFonts w:ascii="Arial" w:hAnsi="Arial" w:cs="Arial"/>
          <w:b/>
          <w:szCs w:val="24"/>
        </w:rPr>
        <w:t>MSAC</w:t>
      </w:r>
      <w:r w:rsidRPr="007D0728">
        <w:rPr>
          <w:rFonts w:ascii="Arial" w:hAnsi="Arial" w:cs="Arial"/>
          <w:b/>
          <w:szCs w:val="24"/>
        </w:rPr>
        <w:t xml:space="preserve"> </w:t>
      </w:r>
      <w:r w:rsidR="00065623" w:rsidRPr="007D0728">
        <w:rPr>
          <w:rFonts w:ascii="Arial" w:hAnsi="Arial" w:cs="Arial"/>
          <w:b/>
          <w:szCs w:val="24"/>
        </w:rPr>
        <w:t>consideration:</w:t>
      </w:r>
      <w:r w:rsidR="00471BF1" w:rsidRPr="007D0728">
        <w:rPr>
          <w:rFonts w:ascii="Arial" w:hAnsi="Arial" w:cs="Arial"/>
          <w:b/>
          <w:szCs w:val="24"/>
        </w:rPr>
        <w:t xml:space="preserve"> </w:t>
      </w:r>
      <w:r w:rsidR="009A6C26">
        <w:rPr>
          <w:rFonts w:ascii="Arial" w:hAnsi="Arial" w:cs="Arial"/>
          <w:b/>
          <w:szCs w:val="24"/>
        </w:rPr>
        <w:t>82</w:t>
      </w:r>
      <w:r w:rsidR="009A6C26" w:rsidRPr="009A6C26">
        <w:rPr>
          <w:rFonts w:ascii="Arial" w:hAnsi="Arial" w:cs="Arial"/>
          <w:b/>
          <w:szCs w:val="24"/>
          <w:vertAlign w:val="superscript"/>
        </w:rPr>
        <w:t>nd</w:t>
      </w:r>
      <w:r w:rsidR="009A6C26">
        <w:rPr>
          <w:rFonts w:ascii="Arial" w:hAnsi="Arial" w:cs="Arial"/>
          <w:b/>
          <w:szCs w:val="24"/>
        </w:rPr>
        <w:t xml:space="preserve"> MSAC Meeting, </w:t>
      </w:r>
      <w:r w:rsidR="007D0728">
        <w:rPr>
          <w:rFonts w:ascii="Arial" w:hAnsi="Arial" w:cs="Arial"/>
          <w:b/>
          <w:szCs w:val="24"/>
        </w:rPr>
        <w:t>29-30 July 2021</w:t>
      </w:r>
    </w:p>
    <w:p w14:paraId="7E786EBC" w14:textId="64826747" w:rsidR="00B27501" w:rsidRPr="00B27501" w:rsidRDefault="00B27501" w:rsidP="00541E3E">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608A48B3" w14:textId="5063F8F6" w:rsidR="00576ED3" w:rsidRPr="007D0728" w:rsidRDefault="00065623" w:rsidP="00712DD7">
      <w:pPr>
        <w:pStyle w:val="Heading1"/>
        <w:spacing w:before="360"/>
        <w:rPr>
          <w:rFonts w:ascii="Arial" w:hAnsi="Arial" w:cs="Arial"/>
        </w:rPr>
      </w:pPr>
      <w:r w:rsidRPr="007D0728">
        <w:rPr>
          <w:rFonts w:ascii="Arial" w:hAnsi="Arial" w:cs="Arial"/>
        </w:rPr>
        <w:t>Purpose of application</w:t>
      </w:r>
    </w:p>
    <w:p w14:paraId="4FCF0ADC" w14:textId="77E11B0B" w:rsidR="0021337C" w:rsidRPr="0056195F" w:rsidRDefault="00D61417" w:rsidP="007D0728">
      <w:pPr>
        <w:spacing w:before="240" w:after="240"/>
      </w:pPr>
      <w:r>
        <w:t>A resubmission</w:t>
      </w:r>
      <w:r w:rsidR="00FD564E">
        <w:t xml:space="preserve"> </w:t>
      </w:r>
      <w:r>
        <w:t xml:space="preserve">requesting </w:t>
      </w:r>
      <w:r w:rsidR="00702AF1">
        <w:t>Medicare Benefits Schedule (</w:t>
      </w:r>
      <w:r>
        <w:t>MBS</w:t>
      </w:r>
      <w:r w:rsidR="00702AF1">
        <w:t>)</w:t>
      </w:r>
      <w:r>
        <w:t xml:space="preserve"> listing of abdominoplasty for surgical repair of postpartum rectus diastasis </w:t>
      </w:r>
      <w:r w:rsidRPr="000444B1">
        <w:t>(aka rectus divarication; RD)</w:t>
      </w:r>
      <w:r>
        <w:t xml:space="preserve"> was received from the Australian Society of Plastic Surgeons (ASPS)</w:t>
      </w:r>
      <w:r w:rsidRPr="006E0071">
        <w:t xml:space="preserve"> by the Department of Health.</w:t>
      </w:r>
    </w:p>
    <w:p w14:paraId="62D0D8AE" w14:textId="77777777" w:rsidR="007D0728" w:rsidRPr="007D0728" w:rsidRDefault="007D0728" w:rsidP="007D0728">
      <w:pPr>
        <w:pStyle w:val="Heading1"/>
        <w:rPr>
          <w:rFonts w:ascii="Arial" w:hAnsi="Arial" w:cs="Arial"/>
        </w:rPr>
      </w:pPr>
      <w:r w:rsidRPr="007D0728">
        <w:rPr>
          <w:rFonts w:ascii="Arial" w:hAnsi="Arial" w:cs="Arial"/>
        </w:rPr>
        <w:t>MSAC’s advice to the Minister</w:t>
      </w:r>
    </w:p>
    <w:p w14:paraId="2D862EEF" w14:textId="7EAA7D37" w:rsidR="00583377" w:rsidRDefault="00583377" w:rsidP="00702AF1">
      <w:pPr>
        <w:pStyle w:val="NormalBeforeBullet"/>
        <w:keepNext w:val="0"/>
        <w:spacing w:before="240" w:after="240"/>
        <w:rPr>
          <w:bCs/>
          <w:i/>
        </w:rPr>
      </w:pPr>
      <w:r w:rsidRPr="00583377">
        <w:t>After considering the strength of the available evidence in relation to comparative safety, clinical effectiveness and cost-effectiveness, MSAC supported creation of a new Medicare Benefits Schedule (MBS) item to reinstate abdominoplasty with repair of rectus diastasis following pregnancy. MSAC considered there were uncertainties in the evidence base, but advised that abdominoplasty had inferior but acceptable safety, superior effectiveness that was sustained over five years, and acceptable cost-effectiveness compared with no treatment.</w:t>
      </w:r>
    </w:p>
    <w:p w14:paraId="0FC35367" w14:textId="6D929B0B" w:rsidR="00583377" w:rsidRDefault="00583377" w:rsidP="00702AF1">
      <w:pPr>
        <w:pStyle w:val="NormalBeforeBullet"/>
        <w:keepNext w:val="0"/>
        <w:spacing w:before="240" w:after="240"/>
      </w:pPr>
      <w:r w:rsidRPr="00583377">
        <w:t xml:space="preserve">MSAC advised that </w:t>
      </w:r>
      <w:r w:rsidR="0039183C">
        <w:t xml:space="preserve">a </w:t>
      </w:r>
      <w:r w:rsidRPr="00583377">
        <w:t xml:space="preserve">review be conducted 2 years </w:t>
      </w:r>
      <w:r w:rsidR="0039183C">
        <w:t xml:space="preserve">following implementation </w:t>
      </w:r>
      <w:r w:rsidRPr="00583377">
        <w:t>to ensure that use of the item does not extend beyond the intended population or to purely cosmetic purposes.</w:t>
      </w:r>
    </w:p>
    <w:p w14:paraId="29EA0843" w14:textId="2C52DCC6" w:rsidR="00124458" w:rsidRDefault="00124458" w:rsidP="00702AF1">
      <w:pPr>
        <w:pStyle w:val="NormalBeforeBullet"/>
        <w:keepNext w:val="0"/>
        <w:spacing w:before="240" w:after="240"/>
      </w:pPr>
      <w:r>
        <w:t xml:space="preserve">The MSAC supported </w:t>
      </w:r>
      <w:r w:rsidR="001F6B4C">
        <w:t xml:space="preserve">item </w:t>
      </w:r>
      <w:r>
        <w:t xml:space="preserve">descriptor </w:t>
      </w:r>
      <w:r w:rsidR="000805C2">
        <w:t>and draft explanatory note are</w:t>
      </w:r>
      <w:r>
        <w:t xml:space="preserve"> summarised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posed MBS item descriptor with changes compared to the DCAR "/>
        <w:tblDescription w:val="The table includes the category 3017X and Category 3 Therapeutic procedures. "/>
      </w:tblPr>
      <w:tblGrid>
        <w:gridCol w:w="9016"/>
      </w:tblGrid>
      <w:tr w:rsidR="00B6375E" w:rsidRPr="00D33FC3" w14:paraId="6004374C" w14:textId="77777777" w:rsidTr="0039183C">
        <w:tc>
          <w:tcPr>
            <w:tcW w:w="5000" w:type="pct"/>
          </w:tcPr>
          <w:p w14:paraId="76637173" w14:textId="77777777" w:rsidR="00B6375E" w:rsidRPr="00D33FC3" w:rsidRDefault="00B6375E" w:rsidP="0039183C">
            <w:pPr>
              <w:pStyle w:val="Tabletextright"/>
              <w:rPr>
                <w:sz w:val="24"/>
              </w:rPr>
            </w:pPr>
            <w:r>
              <w:rPr>
                <w:b/>
              </w:rPr>
              <w:lastRenderedPageBreak/>
              <w:t>Category 3017X – Category 3 – Therapeutic Procedures</w:t>
            </w:r>
          </w:p>
        </w:tc>
      </w:tr>
      <w:tr w:rsidR="00B6375E" w:rsidRPr="00C03585" w14:paraId="50D2C1E6" w14:textId="77777777" w:rsidTr="0039183C">
        <w:tc>
          <w:tcPr>
            <w:tcW w:w="5000" w:type="pct"/>
          </w:tcPr>
          <w:p w14:paraId="1CCA3574" w14:textId="77777777" w:rsidR="00B6375E" w:rsidRPr="00B6375E" w:rsidRDefault="00B6375E" w:rsidP="0039183C">
            <w:pPr>
              <w:pStyle w:val="Tabletext"/>
              <w:keepNext/>
              <w:rPr>
                <w:snapToGrid w:val="0"/>
              </w:rPr>
            </w:pPr>
            <w:r w:rsidRPr="00B6375E">
              <w:rPr>
                <w:snapToGrid w:val="0"/>
              </w:rPr>
              <w:t>Group T8 – surgical operations</w:t>
            </w:r>
          </w:p>
          <w:p w14:paraId="5E143A8A" w14:textId="417E4C47" w:rsidR="00B6375E" w:rsidRPr="00B6375E" w:rsidRDefault="00B6375E" w:rsidP="009555C2">
            <w:pPr>
              <w:pStyle w:val="Tabletext"/>
              <w:keepNext/>
              <w:spacing w:before="0" w:after="240"/>
              <w:rPr>
                <w:snapToGrid w:val="0"/>
              </w:rPr>
            </w:pPr>
            <w:r w:rsidRPr="00B6375E">
              <w:rPr>
                <w:snapToGrid w:val="0"/>
              </w:rPr>
              <w:t>Subgroup 1 – general</w:t>
            </w:r>
          </w:p>
          <w:p w14:paraId="4916A5BC" w14:textId="6802E433" w:rsidR="00B6375E" w:rsidRPr="00B6375E" w:rsidRDefault="00B6375E" w:rsidP="0039183C">
            <w:pPr>
              <w:pStyle w:val="Tabletext"/>
              <w:keepNext/>
              <w:rPr>
                <w:snapToGrid w:val="0"/>
              </w:rPr>
            </w:pPr>
            <w:r w:rsidRPr="00B6375E">
              <w:rPr>
                <w:snapToGrid w:val="0"/>
              </w:rPr>
              <w:t>Radical abdominoplasty, with</w:t>
            </w:r>
            <w:r w:rsidRPr="00014E6B">
              <w:rPr>
                <w:snapToGrid w:val="0"/>
              </w:rPr>
              <w:t xml:space="preserve"> repair of rectus diastasis</w:t>
            </w:r>
            <w:r w:rsidR="00085755">
              <w:rPr>
                <w:snapToGrid w:val="0"/>
              </w:rPr>
              <w:t>,</w:t>
            </w:r>
            <w:r w:rsidR="003825CA" w:rsidRPr="00B6375E">
              <w:rPr>
                <w:snapToGrid w:val="0"/>
              </w:rPr>
              <w:t xml:space="preserve"> </w:t>
            </w:r>
            <w:r w:rsidRPr="00B6375E">
              <w:rPr>
                <w:snapToGrid w:val="0"/>
              </w:rPr>
              <w:t xml:space="preserve">excision of skin and subcutaneous tissue, and transposition of umbilicus, </w:t>
            </w:r>
            <w:r w:rsidRPr="00014E6B">
              <w:rPr>
                <w:snapToGrid w:val="0"/>
              </w:rPr>
              <w:t>not being a lapar</w:t>
            </w:r>
            <w:r w:rsidR="0048411E">
              <w:rPr>
                <w:snapToGrid w:val="0"/>
              </w:rPr>
              <w:t>o</w:t>
            </w:r>
            <w:r w:rsidRPr="00014E6B">
              <w:rPr>
                <w:snapToGrid w:val="0"/>
              </w:rPr>
              <w:t xml:space="preserve">scopic procedure, </w:t>
            </w:r>
            <w:r w:rsidRPr="00B6375E">
              <w:rPr>
                <w:snapToGrid w:val="0"/>
              </w:rPr>
              <w:t>not being a service associated with a service to which item 30165,</w:t>
            </w:r>
            <w:r w:rsidRPr="00014E6B">
              <w:rPr>
                <w:snapToGrid w:val="0"/>
              </w:rPr>
              <w:t xml:space="preserve"> 30</w:t>
            </w:r>
            <w:r w:rsidR="009400A1">
              <w:rPr>
                <w:snapToGrid w:val="0"/>
              </w:rPr>
              <w:t>651</w:t>
            </w:r>
            <w:r w:rsidRPr="00014E6B">
              <w:rPr>
                <w:snapToGrid w:val="0"/>
              </w:rPr>
              <w:t>, 30</w:t>
            </w:r>
            <w:r w:rsidR="009400A1">
              <w:rPr>
                <w:snapToGrid w:val="0"/>
              </w:rPr>
              <w:t>655</w:t>
            </w:r>
            <w:r w:rsidRPr="00014E6B">
              <w:rPr>
                <w:snapToGrid w:val="0"/>
              </w:rPr>
              <w:t xml:space="preserve">, </w:t>
            </w:r>
            <w:r w:rsidRPr="00B6375E">
              <w:rPr>
                <w:snapToGrid w:val="0"/>
              </w:rPr>
              <w:t>30168, 30171, 30172, 30176, 30177, 30179, 45530, 45564 or 45565 applies, and where it can be demonstrated, that the patient has an abdominal wall defect as a consequence of pregnancy and must:</w:t>
            </w:r>
          </w:p>
          <w:p w14:paraId="04E102D4" w14:textId="5DB4C1F5" w:rsidR="00B6375E" w:rsidRPr="00B6375E" w:rsidRDefault="00B6375E" w:rsidP="0039183C">
            <w:pPr>
              <w:pStyle w:val="Tabletext"/>
              <w:keepNext/>
              <w:ind w:left="851" w:hanging="851"/>
              <w:rPr>
                <w:snapToGrid w:val="0"/>
              </w:rPr>
            </w:pPr>
            <w:r w:rsidRPr="00B6375E">
              <w:rPr>
                <w:snapToGrid w:val="0"/>
              </w:rPr>
              <w:t>a)</w:t>
            </w:r>
            <w:r w:rsidRPr="00B6375E">
              <w:rPr>
                <w:snapToGrid w:val="0"/>
              </w:rPr>
              <w:tab/>
              <w:t>not be receiving this service within 12 months after the end of a pregnancy;</w:t>
            </w:r>
          </w:p>
          <w:p w14:paraId="47363736" w14:textId="1FC015AC" w:rsidR="00B6375E" w:rsidRPr="00B6375E" w:rsidRDefault="00B6375E" w:rsidP="0039183C">
            <w:pPr>
              <w:pStyle w:val="Tabletext"/>
              <w:keepNext/>
              <w:ind w:left="851" w:hanging="851"/>
              <w:rPr>
                <w:snapToGrid w:val="0"/>
              </w:rPr>
            </w:pPr>
            <w:r w:rsidRPr="00B6375E">
              <w:rPr>
                <w:snapToGrid w:val="0"/>
              </w:rPr>
              <w:t>b)</w:t>
            </w:r>
            <w:r w:rsidRPr="00B6375E">
              <w:rPr>
                <w:snapToGrid w:val="0"/>
              </w:rPr>
              <w:tab/>
              <w:t>have a diastasis of at least 3cm measured by diagnostic imaging; and</w:t>
            </w:r>
          </w:p>
          <w:p w14:paraId="05F0F54D" w14:textId="270C29A6" w:rsidR="00B6375E" w:rsidRPr="00014E6B" w:rsidRDefault="00B6375E" w:rsidP="0039183C">
            <w:pPr>
              <w:pStyle w:val="Tabletext"/>
              <w:keepNext/>
              <w:ind w:left="851" w:hanging="851"/>
              <w:rPr>
                <w:strike/>
                <w:snapToGrid w:val="0"/>
              </w:rPr>
            </w:pPr>
            <w:r w:rsidRPr="00B6375E">
              <w:rPr>
                <w:snapToGrid w:val="0"/>
              </w:rPr>
              <w:t xml:space="preserve">c) </w:t>
            </w:r>
            <w:r w:rsidRPr="00B6375E">
              <w:rPr>
                <w:snapToGrid w:val="0"/>
              </w:rPr>
              <w:tab/>
              <w:t>have documented symptoms</w:t>
            </w:r>
            <w:r w:rsidR="00CD13BA">
              <w:rPr>
                <w:snapToGrid w:val="0"/>
              </w:rPr>
              <w:t xml:space="preserve"> of at least moderate </w:t>
            </w:r>
            <w:r w:rsidR="00195FF5">
              <w:rPr>
                <w:snapToGrid w:val="0"/>
              </w:rPr>
              <w:t>severity</w:t>
            </w:r>
            <w:r w:rsidRPr="00B6375E">
              <w:rPr>
                <w:snapToGrid w:val="0"/>
              </w:rPr>
              <w:t xml:space="preserve"> of </w:t>
            </w:r>
            <w:r w:rsidRPr="00014E6B">
              <w:rPr>
                <w:snapToGrid w:val="0"/>
              </w:rPr>
              <w:t xml:space="preserve">pain or discomfort at the site of the diastasis in the abdominal wall during functional use and/or </w:t>
            </w:r>
            <w:r w:rsidRPr="00B6375E">
              <w:rPr>
                <w:snapToGrid w:val="0"/>
              </w:rPr>
              <w:t>low back pain</w:t>
            </w:r>
            <w:r w:rsidR="00195FF5">
              <w:rPr>
                <w:snapToGrid w:val="0"/>
              </w:rPr>
              <w:t xml:space="preserve"> or urinary symptoms likely due to rectus diastasis;</w:t>
            </w:r>
            <w:r w:rsidRPr="00014E6B">
              <w:rPr>
                <w:snapToGrid w:val="0"/>
              </w:rPr>
              <w:t xml:space="preserve"> and</w:t>
            </w:r>
          </w:p>
          <w:p w14:paraId="675064D5" w14:textId="6D37385B" w:rsidR="00B6375E" w:rsidRDefault="00B6375E" w:rsidP="009555C2">
            <w:pPr>
              <w:pStyle w:val="Tabletext"/>
              <w:keepNext/>
              <w:spacing w:before="0" w:after="240"/>
              <w:ind w:left="851" w:hanging="851"/>
              <w:rPr>
                <w:snapToGrid w:val="0"/>
              </w:rPr>
            </w:pPr>
            <w:r w:rsidRPr="00014E6B">
              <w:rPr>
                <w:snapToGrid w:val="0"/>
              </w:rPr>
              <w:t xml:space="preserve">d) </w:t>
            </w:r>
            <w:r w:rsidRPr="00014E6B">
              <w:rPr>
                <w:snapToGrid w:val="0"/>
              </w:rPr>
              <w:tab/>
              <w:t xml:space="preserve">have failed to respond to </w:t>
            </w:r>
            <w:r w:rsidR="000805C2">
              <w:rPr>
                <w:snapToGrid w:val="0"/>
              </w:rPr>
              <w:t xml:space="preserve">non-surgical </w:t>
            </w:r>
            <w:r w:rsidRPr="00014E6B">
              <w:rPr>
                <w:snapToGrid w:val="0"/>
              </w:rPr>
              <w:t>conservative treatment</w:t>
            </w:r>
            <w:r w:rsidR="00CD13BA">
              <w:rPr>
                <w:snapToGrid w:val="0"/>
              </w:rPr>
              <w:t xml:space="preserve"> including physiotherapy</w:t>
            </w:r>
          </w:p>
          <w:p w14:paraId="34521A89" w14:textId="0E847F56" w:rsidR="0004703B" w:rsidRPr="00B6375E" w:rsidRDefault="0004703B" w:rsidP="009555C2">
            <w:pPr>
              <w:pStyle w:val="Tabletext"/>
              <w:keepNext/>
              <w:spacing w:before="0" w:after="240"/>
              <w:ind w:left="567" w:hanging="567"/>
              <w:rPr>
                <w:snapToGrid w:val="0"/>
              </w:rPr>
            </w:pPr>
            <w:r>
              <w:rPr>
                <w:snapToGrid w:val="0"/>
              </w:rPr>
              <w:t>Applicable once per lifetime</w:t>
            </w:r>
          </w:p>
          <w:p w14:paraId="123939D1" w14:textId="77777777" w:rsidR="00B6375E" w:rsidRPr="00B6375E" w:rsidRDefault="00B6375E" w:rsidP="0039183C">
            <w:pPr>
              <w:pStyle w:val="Tabletext"/>
              <w:keepNext/>
              <w:rPr>
                <w:snapToGrid w:val="0"/>
              </w:rPr>
            </w:pPr>
            <w:r w:rsidRPr="00B6375E">
              <w:rPr>
                <w:snapToGrid w:val="0"/>
              </w:rPr>
              <w:t>(H)</w:t>
            </w:r>
          </w:p>
          <w:p w14:paraId="386BB2C2" w14:textId="77777777" w:rsidR="00B6375E" w:rsidRPr="00B6375E" w:rsidRDefault="00B6375E" w:rsidP="0039183C">
            <w:pPr>
              <w:pStyle w:val="Tabletext"/>
              <w:keepNext/>
              <w:rPr>
                <w:snapToGrid w:val="0"/>
              </w:rPr>
            </w:pPr>
            <w:r w:rsidRPr="00B6375E">
              <w:rPr>
                <w:snapToGrid w:val="0"/>
              </w:rPr>
              <w:t>Multiple Operation Rule (Anaes.) (Assist.)</w:t>
            </w:r>
          </w:p>
          <w:p w14:paraId="16B5A049" w14:textId="77777777" w:rsidR="00B6375E" w:rsidRPr="00B6375E" w:rsidRDefault="00B6375E" w:rsidP="0039183C">
            <w:pPr>
              <w:pStyle w:val="Tabletext"/>
              <w:keepNext/>
              <w:rPr>
                <w:snapToGrid w:val="0"/>
                <w:sz w:val="24"/>
              </w:rPr>
            </w:pPr>
            <w:r w:rsidRPr="00014E6B">
              <w:rPr>
                <w:snapToGrid w:val="0"/>
              </w:rPr>
              <w:t>See para TN.8.X of explanatory notes to this Category)</w:t>
            </w:r>
          </w:p>
        </w:tc>
      </w:tr>
      <w:tr w:rsidR="00B6375E" w:rsidRPr="00C03585" w14:paraId="0C911E27" w14:textId="77777777" w:rsidTr="0039183C">
        <w:tc>
          <w:tcPr>
            <w:tcW w:w="5000" w:type="pct"/>
          </w:tcPr>
          <w:p w14:paraId="406562EE" w14:textId="77777777" w:rsidR="00B6375E" w:rsidRPr="00B6375E" w:rsidRDefault="00B6375E" w:rsidP="0039183C">
            <w:pPr>
              <w:pStyle w:val="Tabletext"/>
              <w:keepNext/>
              <w:rPr>
                <w:sz w:val="24"/>
              </w:rPr>
            </w:pPr>
            <w:r w:rsidRPr="00B6375E">
              <w:t>Fee: $</w:t>
            </w:r>
            <w:r w:rsidRPr="00014E6B">
              <w:t xml:space="preserve">1,025.60 </w:t>
            </w:r>
            <w:r w:rsidRPr="00B6375E">
              <w:t>Benefit: 75% = $</w:t>
            </w:r>
            <w:r w:rsidRPr="00014E6B">
              <w:t>769.20</w:t>
            </w:r>
          </w:p>
        </w:tc>
      </w:tr>
    </w:tbl>
    <w:p w14:paraId="5425780E" w14:textId="0ECBEABF" w:rsidR="005A19A3" w:rsidRDefault="005A19A3" w:rsidP="00014E6B">
      <w:pPr>
        <w:pStyle w:val="Tablenotes1"/>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posed MBS item descriptor with changes compared to the DCAR "/>
        <w:tblDescription w:val="The table includes the category 3017X and Category 3 Therapeutic procedures. "/>
      </w:tblPr>
      <w:tblGrid>
        <w:gridCol w:w="9016"/>
      </w:tblGrid>
      <w:tr w:rsidR="000805C2" w:rsidRPr="00D33FC3" w14:paraId="3985056C" w14:textId="77777777" w:rsidTr="006028F2">
        <w:tc>
          <w:tcPr>
            <w:tcW w:w="5000" w:type="pct"/>
          </w:tcPr>
          <w:p w14:paraId="523AEC38" w14:textId="35FBB6C9" w:rsidR="000805C2" w:rsidRPr="00D33FC3" w:rsidRDefault="000805C2" w:rsidP="006028F2">
            <w:pPr>
              <w:pStyle w:val="Tabletextright"/>
              <w:rPr>
                <w:sz w:val="24"/>
              </w:rPr>
            </w:pPr>
            <w:r>
              <w:rPr>
                <w:b/>
              </w:rPr>
              <w:t>TN.8.XX</w:t>
            </w:r>
          </w:p>
        </w:tc>
      </w:tr>
      <w:tr w:rsidR="000805C2" w:rsidRPr="00C03585" w14:paraId="36BBBD9B" w14:textId="77777777" w:rsidTr="006028F2">
        <w:tc>
          <w:tcPr>
            <w:tcW w:w="5000" w:type="pct"/>
          </w:tcPr>
          <w:p w14:paraId="79BD58DB" w14:textId="77777777" w:rsidR="000805C2" w:rsidRPr="00CD14C9" w:rsidRDefault="000805C2" w:rsidP="000805C2">
            <w:pPr>
              <w:pStyle w:val="Tabletext"/>
              <w:keepNext/>
              <w:rPr>
                <w:snapToGrid w:val="0"/>
                <w:sz w:val="24"/>
              </w:rPr>
            </w:pPr>
            <w:r w:rsidRPr="00CD14C9">
              <w:rPr>
                <w:snapToGrid w:val="0"/>
                <w:sz w:val="24"/>
              </w:rPr>
              <w:t>In the context of eligibility for item XXXXX, acceptable examples of conservative non-surgical treatment include</w:t>
            </w:r>
          </w:p>
          <w:p w14:paraId="29035436" w14:textId="7668387F" w:rsidR="000805C2" w:rsidRDefault="000805C2" w:rsidP="009555C2">
            <w:pPr>
              <w:pStyle w:val="Tabletext"/>
              <w:keepNext/>
              <w:spacing w:before="0" w:after="240"/>
              <w:rPr>
                <w:snapToGrid w:val="0"/>
              </w:rPr>
            </w:pPr>
            <w:r w:rsidRPr="00CD14C9">
              <w:rPr>
                <w:snapToGrid w:val="0"/>
                <w:sz w:val="24"/>
              </w:rPr>
              <w:t>symptomatic management with pain medication, lower back braces, lifestyle changes, physiotherapy and/or exercise.</w:t>
            </w:r>
          </w:p>
          <w:p w14:paraId="5641D601" w14:textId="07450B10" w:rsidR="000805C2" w:rsidRPr="00B6375E" w:rsidRDefault="000805C2" w:rsidP="000805C2">
            <w:pPr>
              <w:pStyle w:val="Tabletext"/>
              <w:keepNext/>
              <w:rPr>
                <w:snapToGrid w:val="0"/>
                <w:sz w:val="24"/>
              </w:rPr>
            </w:pPr>
            <w:r>
              <w:rPr>
                <w:snapToGrid w:val="0"/>
              </w:rPr>
              <w:t xml:space="preserve">Diagnostic </w:t>
            </w:r>
            <w:r w:rsidR="001F6B4C">
              <w:rPr>
                <w:snapToGrid w:val="0"/>
              </w:rPr>
              <w:t xml:space="preserve">imaging, documented symptoms of pain and discomfort, and documented failure to respond to non-surgical conservative treatment must all be documented in patient notes. </w:t>
            </w:r>
          </w:p>
        </w:tc>
      </w:tr>
    </w:tbl>
    <w:p w14:paraId="3FF966B2" w14:textId="61083C41" w:rsidR="000805C2" w:rsidRDefault="000805C2" w:rsidP="00014E6B">
      <w:pPr>
        <w:pStyle w:val="Tablenotes1"/>
        <w:contextualSpacing w:val="0"/>
      </w:pPr>
    </w:p>
    <w:tbl>
      <w:tblPr>
        <w:tblStyle w:val="TableGrid"/>
        <w:tblW w:w="0" w:type="auto"/>
        <w:tblLook w:val="04A0" w:firstRow="1" w:lastRow="0" w:firstColumn="1" w:lastColumn="0" w:noHBand="0" w:noVBand="1"/>
      </w:tblPr>
      <w:tblGrid>
        <w:gridCol w:w="9016"/>
      </w:tblGrid>
      <w:tr w:rsidR="00702AF1" w14:paraId="12C82787" w14:textId="77777777" w:rsidTr="00702AF1">
        <w:trPr>
          <w:tblHeader/>
        </w:trPr>
        <w:tc>
          <w:tcPr>
            <w:tcW w:w="9016" w:type="dxa"/>
          </w:tcPr>
          <w:p w14:paraId="28C7C473" w14:textId="69F04A43" w:rsidR="00702AF1" w:rsidRPr="00702AF1" w:rsidRDefault="00702AF1" w:rsidP="00702AF1">
            <w:pPr>
              <w:pStyle w:val="Tablenotes1"/>
              <w:spacing w:before="120" w:after="120"/>
              <w:rPr>
                <w:rFonts w:ascii="Times New Roman" w:hAnsi="Times New Roman" w:cs="Times New Roman"/>
                <w:b/>
                <w:bCs/>
                <w:sz w:val="24"/>
                <w:szCs w:val="24"/>
              </w:rPr>
            </w:pPr>
            <w:r w:rsidRPr="00702AF1">
              <w:rPr>
                <w:rFonts w:ascii="Times New Roman" w:hAnsi="Times New Roman" w:cs="Times New Roman"/>
                <w:b/>
                <w:bCs/>
                <w:sz w:val="24"/>
                <w:szCs w:val="24"/>
              </w:rPr>
              <w:t>Consumer summary</w:t>
            </w:r>
          </w:p>
        </w:tc>
      </w:tr>
      <w:tr w:rsidR="00702AF1" w14:paraId="772BCBAC" w14:textId="77777777" w:rsidTr="00702AF1">
        <w:tc>
          <w:tcPr>
            <w:tcW w:w="9016" w:type="dxa"/>
          </w:tcPr>
          <w:p w14:paraId="3E55E65A" w14:textId="77777777" w:rsidR="00702AF1" w:rsidRPr="00702AF1" w:rsidRDefault="00702AF1" w:rsidP="00702AF1">
            <w:pPr>
              <w:pStyle w:val="Tablenotes1"/>
              <w:spacing w:before="120"/>
              <w:contextualSpacing w:val="0"/>
              <w:rPr>
                <w:rFonts w:ascii="Times New Roman" w:hAnsi="Times New Roman" w:cs="Times New Roman"/>
                <w:sz w:val="24"/>
                <w:szCs w:val="24"/>
              </w:rPr>
            </w:pPr>
            <w:r w:rsidRPr="00702AF1">
              <w:rPr>
                <w:rFonts w:ascii="Times New Roman" w:hAnsi="Times New Roman" w:cs="Times New Roman"/>
                <w:sz w:val="24"/>
                <w:szCs w:val="24"/>
              </w:rPr>
              <w:t>The Australian Society of Plastic Surgeons applied for public funding through the Medicare Benefits Schedule (MBS) for surgery to repair separation of the abdominal muscles after pregnancy, a condition known as rectus diastasis (or rectus divarication). In this surgery (abdominoplasty), the central muscles are “sewn” back together and if necessary extra skin is removed. Letters of support for funding rectus diastasis were received from many consumers.</w:t>
            </w:r>
          </w:p>
          <w:p w14:paraId="0072DD1F" w14:textId="77777777" w:rsidR="00702AF1" w:rsidRPr="00702AF1" w:rsidRDefault="00702AF1" w:rsidP="00702AF1">
            <w:pPr>
              <w:pStyle w:val="Tablenotes1"/>
              <w:spacing w:before="240"/>
              <w:contextualSpacing w:val="0"/>
              <w:rPr>
                <w:rFonts w:ascii="Times New Roman" w:hAnsi="Times New Roman" w:cs="Times New Roman"/>
                <w:sz w:val="24"/>
                <w:szCs w:val="24"/>
              </w:rPr>
            </w:pPr>
            <w:r w:rsidRPr="00702AF1">
              <w:rPr>
                <w:rFonts w:ascii="Times New Roman" w:hAnsi="Times New Roman" w:cs="Times New Roman"/>
                <w:sz w:val="24"/>
                <w:szCs w:val="24"/>
              </w:rPr>
              <w:t>The application was for funding of abdominoplasty after someone has been pregnant and has unsuccessfully tried to improve their symptoms with exercise, physiotherapy or weight loss. This procedure is not intended for cosmetic use. It is sometimes difficult to tell if rectus diastasis has happened directly because of pregnancy or some other cause – for example, significant weight loss before pregnancy.</w:t>
            </w:r>
          </w:p>
          <w:p w14:paraId="51999A3E" w14:textId="77777777" w:rsidR="00702AF1" w:rsidRPr="00702AF1" w:rsidRDefault="00702AF1" w:rsidP="00702AF1">
            <w:pPr>
              <w:pStyle w:val="Tablenotes1"/>
              <w:spacing w:before="240"/>
              <w:contextualSpacing w:val="0"/>
              <w:rPr>
                <w:rFonts w:ascii="Times New Roman" w:hAnsi="Times New Roman" w:cs="Times New Roman"/>
                <w:sz w:val="24"/>
                <w:szCs w:val="24"/>
              </w:rPr>
            </w:pPr>
            <w:r w:rsidRPr="00702AF1">
              <w:rPr>
                <w:rFonts w:ascii="Times New Roman" w:hAnsi="Times New Roman" w:cs="Times New Roman"/>
                <w:sz w:val="24"/>
                <w:szCs w:val="24"/>
              </w:rPr>
              <w:t>The evidence shows that abdominoplasty after pregnancy to treat rectus diastasis is not as safe as no treatment, but that it is just as safe as abdominoplasty performed after weight loss or the removal of a tumour, both of which are currently accepted and funded on the MBS.</w:t>
            </w:r>
          </w:p>
          <w:p w14:paraId="0CBF2E45" w14:textId="77777777" w:rsidR="00702AF1" w:rsidRPr="00702AF1" w:rsidRDefault="00702AF1" w:rsidP="00702AF1">
            <w:pPr>
              <w:pStyle w:val="Tablenotes1"/>
              <w:spacing w:before="240"/>
              <w:contextualSpacing w:val="0"/>
              <w:rPr>
                <w:rFonts w:ascii="Times New Roman" w:hAnsi="Times New Roman" w:cs="Times New Roman"/>
                <w:sz w:val="24"/>
                <w:szCs w:val="24"/>
              </w:rPr>
            </w:pPr>
            <w:r w:rsidRPr="00702AF1">
              <w:rPr>
                <w:rFonts w:ascii="Times New Roman" w:hAnsi="Times New Roman" w:cs="Times New Roman"/>
                <w:sz w:val="24"/>
                <w:szCs w:val="24"/>
              </w:rPr>
              <w:t xml:space="preserve">The evidence showed that abdominoplasty is more effective at treating rectus diastasis </w:t>
            </w:r>
            <w:r w:rsidRPr="00702AF1">
              <w:rPr>
                <w:rFonts w:ascii="Times New Roman" w:hAnsi="Times New Roman" w:cs="Times New Roman"/>
                <w:sz w:val="24"/>
                <w:szCs w:val="24"/>
              </w:rPr>
              <w:lastRenderedPageBreak/>
              <w:t>compared with no treatment, and that the effect was maintained over 5 years. It was also considered to be cost-effective compared with no treatment.</w:t>
            </w:r>
          </w:p>
          <w:p w14:paraId="1D5EC1AB" w14:textId="77777777" w:rsidR="00702AF1" w:rsidRPr="00702AF1" w:rsidRDefault="00702AF1" w:rsidP="00702AF1">
            <w:pPr>
              <w:pStyle w:val="Tablenotes1"/>
              <w:spacing w:before="240" w:after="120"/>
              <w:contextualSpacing w:val="0"/>
              <w:rPr>
                <w:rFonts w:ascii="Times New Roman" w:hAnsi="Times New Roman" w:cs="Times New Roman"/>
                <w:b/>
                <w:bCs/>
                <w:sz w:val="24"/>
                <w:szCs w:val="24"/>
              </w:rPr>
            </w:pPr>
            <w:r w:rsidRPr="00702AF1">
              <w:rPr>
                <w:rFonts w:ascii="Times New Roman" w:hAnsi="Times New Roman" w:cs="Times New Roman"/>
                <w:b/>
                <w:bCs/>
                <w:sz w:val="24"/>
                <w:szCs w:val="24"/>
              </w:rPr>
              <w:t>MSAC’s advice to the Commonwealth Minister for Health</w:t>
            </w:r>
          </w:p>
          <w:p w14:paraId="5738843A" w14:textId="77777777" w:rsidR="00702AF1" w:rsidRPr="00702AF1" w:rsidRDefault="00702AF1" w:rsidP="00702AF1">
            <w:pPr>
              <w:pStyle w:val="Tablenotes1"/>
              <w:spacing w:before="120"/>
              <w:contextualSpacing w:val="0"/>
              <w:rPr>
                <w:rFonts w:ascii="Times New Roman" w:hAnsi="Times New Roman" w:cs="Times New Roman"/>
                <w:sz w:val="24"/>
                <w:szCs w:val="24"/>
              </w:rPr>
            </w:pPr>
            <w:r w:rsidRPr="00702AF1">
              <w:rPr>
                <w:rFonts w:ascii="Times New Roman" w:hAnsi="Times New Roman" w:cs="Times New Roman"/>
                <w:sz w:val="24"/>
                <w:szCs w:val="24"/>
              </w:rPr>
              <w:t>MSAC considered there were uncertainties in the evidence base, but advised that abdominoplasty had inferior but acceptable safety, superior effectiveness that was sustained over 5 years, and acceptable cost-effectiveness compared with no treatment.</w:t>
            </w:r>
          </w:p>
          <w:p w14:paraId="23A11EEA" w14:textId="2E358D5F" w:rsidR="00702AF1" w:rsidRDefault="00702AF1" w:rsidP="00702AF1">
            <w:pPr>
              <w:pStyle w:val="Tablenotes1"/>
              <w:spacing w:before="240" w:after="120"/>
              <w:contextualSpacing w:val="0"/>
            </w:pPr>
            <w:r w:rsidRPr="00702AF1">
              <w:rPr>
                <w:rFonts w:ascii="Times New Roman" w:hAnsi="Times New Roman" w:cs="Times New Roman"/>
                <w:sz w:val="24"/>
                <w:szCs w:val="24"/>
              </w:rPr>
              <w:t>MSAC recommended creating a new MBS item for abdominoplasty with repair of rectus diastasis after pregnancy.</w:t>
            </w:r>
          </w:p>
        </w:tc>
      </w:tr>
    </w:tbl>
    <w:p w14:paraId="031155C4" w14:textId="77777777" w:rsidR="007D0728" w:rsidRPr="007D0728" w:rsidRDefault="007D0728" w:rsidP="007D0728">
      <w:pPr>
        <w:pStyle w:val="Heading1"/>
        <w:spacing w:before="240" w:after="240"/>
        <w:rPr>
          <w:rFonts w:ascii="Arial" w:hAnsi="Arial" w:cs="Arial"/>
        </w:rPr>
      </w:pPr>
      <w:r w:rsidRPr="007D0728">
        <w:rPr>
          <w:rFonts w:ascii="Arial" w:hAnsi="Arial" w:cs="Arial"/>
        </w:rPr>
        <w:lastRenderedPageBreak/>
        <w:t xml:space="preserve">Summary of consideration and rationale for MSAC’s advice </w:t>
      </w:r>
    </w:p>
    <w:p w14:paraId="4B52A0EE" w14:textId="2D81E096" w:rsidR="009A1417" w:rsidRDefault="00583377" w:rsidP="00583377">
      <w:r w:rsidRPr="00E55397">
        <w:t xml:space="preserve">MSAC noted that this </w:t>
      </w:r>
      <w:r w:rsidR="00834A9B">
        <w:t>resubmission</w:t>
      </w:r>
      <w:r w:rsidR="00834A9B" w:rsidRPr="00E55397">
        <w:t xml:space="preserve"> </w:t>
      </w:r>
      <w:r w:rsidRPr="00E55397">
        <w:t xml:space="preserve">seeks to create a new MBS item for </w:t>
      </w:r>
      <w:r w:rsidRPr="00542C43">
        <w:t>abdominoplasty with repair of rectus diastasis following pregnancy</w:t>
      </w:r>
      <w:r w:rsidRPr="00E55397">
        <w:t>.</w:t>
      </w:r>
      <w:r>
        <w:t xml:space="preserve"> MSAC </w:t>
      </w:r>
      <w:r w:rsidR="00A94343">
        <w:t xml:space="preserve">recalled </w:t>
      </w:r>
      <w:r>
        <w:t xml:space="preserve">that </w:t>
      </w:r>
      <w:r w:rsidR="00834A9B">
        <w:t>the previous submission</w:t>
      </w:r>
      <w:r w:rsidR="006D0AFD">
        <w:t>,</w:t>
      </w:r>
      <w:r>
        <w:t xml:space="preserve"> considered by MSAC in November</w:t>
      </w:r>
      <w:r w:rsidR="00132F18">
        <w:t> </w:t>
      </w:r>
      <w:r>
        <w:t>2019</w:t>
      </w:r>
      <w:r w:rsidR="006D0AFD">
        <w:t>,</w:t>
      </w:r>
      <w:r w:rsidR="00A94343">
        <w:t xml:space="preserve"> </w:t>
      </w:r>
      <w:r w:rsidR="00132F18">
        <w:t>was not</w:t>
      </w:r>
      <w:r>
        <w:t xml:space="preserve"> </w:t>
      </w:r>
      <w:r w:rsidR="005A19A3">
        <w:t>support</w:t>
      </w:r>
      <w:r w:rsidR="00132F18">
        <w:t>ed</w:t>
      </w:r>
      <w:r w:rsidR="005A19A3">
        <w:t xml:space="preserve"> </w:t>
      </w:r>
      <w:r>
        <w:t>at that time based on uncertainty around the benefit of the intervention relative to best supportive care (physiotherapy and/or exercise) and uncertainty regarding the incremental cost-effectiveness of the intervention.</w:t>
      </w:r>
      <w:r w:rsidR="00D03292">
        <w:t xml:space="preserve"> </w:t>
      </w:r>
      <w:r>
        <w:t xml:space="preserve">MSAC also raised concerns about the effectiveness of abdominoplasty to </w:t>
      </w:r>
      <w:r w:rsidR="0039183C">
        <w:t>alleviate</w:t>
      </w:r>
      <w:r>
        <w:t xml:space="preserve"> back pain.</w:t>
      </w:r>
    </w:p>
    <w:p w14:paraId="0FD5C6A3" w14:textId="70396B51" w:rsidR="00583377" w:rsidRDefault="006D0AFD" w:rsidP="009555C2">
      <w:pPr>
        <w:spacing w:before="240" w:after="240"/>
      </w:pPr>
      <w:r>
        <w:t xml:space="preserve">In considering the resubmission, </w:t>
      </w:r>
      <w:r w:rsidR="00132F18">
        <w:t>MSAC noted strong</w:t>
      </w:r>
      <w:r w:rsidR="00A94343">
        <w:t>,</w:t>
      </w:r>
      <w:r w:rsidR="00132F18">
        <w:t xml:space="preserve"> ongoing support</w:t>
      </w:r>
      <w:r w:rsidR="00746223">
        <w:t xml:space="preserve"> from consumers and surgeons</w:t>
      </w:r>
      <w:r w:rsidR="00132F18">
        <w:t xml:space="preserve"> for</w:t>
      </w:r>
      <w:r w:rsidR="00583377">
        <w:t xml:space="preserve"> reinstatement of Medicare funding for the procedure </w:t>
      </w:r>
      <w:r w:rsidR="009A1417">
        <w:t xml:space="preserve">including comments </w:t>
      </w:r>
      <w:r w:rsidR="00A94343">
        <w:t xml:space="preserve">that it is </w:t>
      </w:r>
      <w:r w:rsidR="00583377">
        <w:t>unfair that patients can access MBS rebates for abdominoplasty following massive weight loss</w:t>
      </w:r>
      <w:r w:rsidR="003E411C">
        <w:t xml:space="preserve"> or the removal of a tumour</w:t>
      </w:r>
      <w:r w:rsidR="00583377">
        <w:t xml:space="preserve"> but not for post-partum rectus diastasis.</w:t>
      </w:r>
    </w:p>
    <w:p w14:paraId="68C97510" w14:textId="5BCAFDF1" w:rsidR="00A94343" w:rsidRDefault="00A94343" w:rsidP="00A94343">
      <w:r>
        <w:t>MSAC noted the clinical need is for a</w:t>
      </w:r>
      <w:r w:rsidRPr="001A34E5">
        <w:t xml:space="preserve"> small subset</w:t>
      </w:r>
      <w:r>
        <w:t xml:space="preserve"> of</w:t>
      </w:r>
      <w:r w:rsidRPr="001A34E5">
        <w:t xml:space="preserve"> women</w:t>
      </w:r>
      <w:r w:rsidR="00B355AE" w:rsidRPr="00B355AE">
        <w:t xml:space="preserve"> </w:t>
      </w:r>
      <w:r w:rsidR="00B355AE">
        <w:t>who have rectus diastasis post</w:t>
      </w:r>
      <w:r w:rsidR="00D03292">
        <w:noBreakHyphen/>
      </w:r>
      <w:r w:rsidR="00B355AE">
        <w:t xml:space="preserve">partum and are </w:t>
      </w:r>
      <w:r w:rsidR="00B355AE" w:rsidRPr="001A34E5">
        <w:t>symptomatic</w:t>
      </w:r>
      <w:r w:rsidR="00B355AE">
        <w:t>.</w:t>
      </w:r>
    </w:p>
    <w:p w14:paraId="055F52C9" w14:textId="04C91E8D" w:rsidR="00602874" w:rsidRDefault="00602874" w:rsidP="00F003AB">
      <w:pPr>
        <w:spacing w:before="240"/>
      </w:pPr>
      <w:r>
        <w:t>MSAC noted the clinical management algorithm, but considered that the box “RD (i.e. rectus diastasis) resolved” could be amended to “symptoms related to RD resolved” to more accurately reflect that it is the symptoms associated with the rectus diastasis that is being treated.</w:t>
      </w:r>
    </w:p>
    <w:p w14:paraId="587EF4D1" w14:textId="014512AD" w:rsidR="00583377" w:rsidRDefault="00583377" w:rsidP="009555C2">
      <w:pPr>
        <w:spacing w:before="240"/>
      </w:pPr>
      <w:r>
        <w:t>MSAC</w:t>
      </w:r>
      <w:r w:rsidRPr="001A34E5">
        <w:t xml:space="preserve"> noted that</w:t>
      </w:r>
      <w:r w:rsidR="00D6531D">
        <w:t xml:space="preserve"> </w:t>
      </w:r>
      <w:r w:rsidRPr="001A34E5">
        <w:t>the comparator</w:t>
      </w:r>
      <w:r w:rsidR="00D6531D">
        <w:t xml:space="preserve"> in the resubmission</w:t>
      </w:r>
      <w:r w:rsidRPr="001A34E5">
        <w:t xml:space="preserve"> </w:t>
      </w:r>
      <w:r>
        <w:t xml:space="preserve">is </w:t>
      </w:r>
      <w:r w:rsidRPr="001A34E5">
        <w:t xml:space="preserve">best supportive care, which may include symptomatic management with pain medication, lower back braces, lifestyle changes, physiotherapy and/or exercise. Physiotherapy and/or exercise are acknowledged by the applicant as representing the preferred first-line treatment option for post-partum women with abdominal rectus diastasis. However, non-physiotherapy/exercise program interventions such as pain medicines, lower back braces and lifestyle changes would be considered as part of the overall management of any patient with abdominal rectus diastasis and not as direct alternatives/comparators to physiotherapy/exercise programs or abdominoplasty, which have an intent to resolve the abdominal diastasis rectus. In consideration of the above, and the lack of recognised options to treat the underlying abdominal rectus diastasis in women whose symptoms are refractory to </w:t>
      </w:r>
      <w:r>
        <w:t xml:space="preserve">a </w:t>
      </w:r>
      <w:r w:rsidRPr="001A34E5">
        <w:t xml:space="preserve">first-line physiotherapy/exercise program, the applicant considered “no treatment” to be a more appropriate comparator. </w:t>
      </w:r>
      <w:r>
        <w:t>MSAC</w:t>
      </w:r>
      <w:r w:rsidRPr="001A34E5">
        <w:t xml:space="preserve"> considered </w:t>
      </w:r>
      <w:r>
        <w:t xml:space="preserve">this to be </w:t>
      </w:r>
      <w:r w:rsidRPr="00E55397">
        <w:t>appr</w:t>
      </w:r>
      <w:r>
        <w:t>opriate.</w:t>
      </w:r>
    </w:p>
    <w:p w14:paraId="00E5B203" w14:textId="22050A56" w:rsidR="00583377" w:rsidRDefault="00583377" w:rsidP="009555C2">
      <w:pPr>
        <w:spacing w:before="240"/>
      </w:pPr>
      <w:r>
        <w:t>MSAC noted that</w:t>
      </w:r>
      <w:r w:rsidR="00834A9B">
        <w:t xml:space="preserve"> the resubmission identified </w:t>
      </w:r>
      <w:r>
        <w:t>three new</w:t>
      </w:r>
      <w:r w:rsidR="00834A9B">
        <w:t xml:space="preserve"> case series</w:t>
      </w:r>
      <w:r>
        <w:t xml:space="preserve"> studies</w:t>
      </w:r>
      <w:r w:rsidR="00834A9B">
        <w:t xml:space="preserve"> (2 prospective; 1</w:t>
      </w:r>
      <w:r w:rsidR="00D6531D">
        <w:t> </w:t>
      </w:r>
      <w:r w:rsidR="00834A9B">
        <w:t>retrospective)</w:t>
      </w:r>
      <w:r>
        <w:t xml:space="preserve"> </w:t>
      </w:r>
      <w:r w:rsidR="00834A9B">
        <w:t>and a new publication providing</w:t>
      </w:r>
      <w:r w:rsidR="00961296">
        <w:t xml:space="preserve"> </w:t>
      </w:r>
      <w:r>
        <w:t xml:space="preserve">5-year follow-up data </w:t>
      </w:r>
      <w:r w:rsidR="00F34B05">
        <w:t xml:space="preserve">from the </w:t>
      </w:r>
      <w:r w:rsidR="00F34B05" w:rsidRPr="00056B68">
        <w:lastRenderedPageBreak/>
        <w:t>Emanuelsson</w:t>
      </w:r>
      <w:r w:rsidR="00D6531D">
        <w:t> </w:t>
      </w:r>
      <w:r w:rsidR="00F34B05" w:rsidRPr="00056B68">
        <w:t xml:space="preserve">et al. </w:t>
      </w:r>
      <w:r w:rsidR="00F34B05">
        <w:t>(</w:t>
      </w:r>
      <w:r w:rsidR="00F34B05" w:rsidRPr="00056B68">
        <w:t>2014, 2016</w:t>
      </w:r>
      <w:r w:rsidR="00F34B05">
        <w:t>) trial</w:t>
      </w:r>
      <w:r w:rsidR="00834A9B">
        <w:t>;</w:t>
      </w:r>
      <w:r>
        <w:t xml:space="preserve"> albeit with a low level of evidence. A</w:t>
      </w:r>
      <w:r w:rsidRPr="00542C43">
        <w:t>bdominoplasty with repair of rectus diastasis</w:t>
      </w:r>
      <w:r>
        <w:t xml:space="preserve"> has inferior safety compared </w:t>
      </w:r>
      <w:r w:rsidR="00F34B05">
        <w:t>with</w:t>
      </w:r>
      <w:r>
        <w:t xml:space="preserve"> no treatment, but MSAC noted that it has similar safety when the procedure is use</w:t>
      </w:r>
      <w:r w:rsidR="00B355AE">
        <w:t>d</w:t>
      </w:r>
      <w:r>
        <w:t xml:space="preserve"> after weight loss or tumour​ abdominoplasty, both of which are currently accepted and​ funded on the MBS. MSAC noted that </w:t>
      </w:r>
      <w:r w:rsidRPr="00542C43">
        <w:t>abdominoplasty with repair of rectus diastasis</w:t>
      </w:r>
      <w:r>
        <w:t xml:space="preserve"> has s</w:t>
      </w:r>
      <w:r w:rsidRPr="0056224B">
        <w:t>uperior effectiveness</w:t>
      </w:r>
      <w:r>
        <w:t xml:space="preserve"> compared </w:t>
      </w:r>
      <w:r w:rsidR="00F34B05">
        <w:t xml:space="preserve">with </w:t>
      </w:r>
      <w:r>
        <w:t>no treatment, and that even though this is</w:t>
      </w:r>
      <w:r w:rsidRPr="0056224B">
        <w:t xml:space="preserve"> based on low-level evidence</w:t>
      </w:r>
      <w:r>
        <w:t>, the</w:t>
      </w:r>
      <w:r w:rsidRPr="0056224B">
        <w:t xml:space="preserve"> effect appears to be maintained to 5 years</w:t>
      </w:r>
      <w:r>
        <w:t xml:space="preserve">. </w:t>
      </w:r>
      <w:r w:rsidR="005D2E68" w:rsidRPr="005D2E68">
        <w:t xml:space="preserve"> </w:t>
      </w:r>
      <w:r w:rsidR="00362AB1">
        <w:t xml:space="preserve">In addition, </w:t>
      </w:r>
      <w:r w:rsidR="005D2E68">
        <w:t>MSAC noted</w:t>
      </w:r>
      <w:r w:rsidR="00362AB1">
        <w:t xml:space="preserve"> that</w:t>
      </w:r>
      <w:r w:rsidR="005D2E68">
        <w:t xml:space="preserve"> the l</w:t>
      </w:r>
      <w:r w:rsidR="005D2E68" w:rsidRPr="005D2E68">
        <w:t xml:space="preserve">ink between </w:t>
      </w:r>
      <w:r w:rsidR="005D2E68" w:rsidRPr="005D2E68">
        <w:rPr>
          <w:lang w:val="en-US"/>
        </w:rPr>
        <w:t>rectus diastasis and back pain/pelvic pain/urinary incontinence</w:t>
      </w:r>
      <w:r w:rsidR="00362AB1">
        <w:rPr>
          <w:lang w:val="en-US"/>
        </w:rPr>
        <w:t>,</w:t>
      </w:r>
      <w:r w:rsidR="005D2E68" w:rsidRPr="005D2E68">
        <w:rPr>
          <w:lang w:val="en-US"/>
        </w:rPr>
        <w:t xml:space="preserve"> </w:t>
      </w:r>
      <w:r w:rsidR="005D2E68">
        <w:rPr>
          <w:lang w:val="en-US"/>
        </w:rPr>
        <w:t>and the m</w:t>
      </w:r>
      <w:r w:rsidR="005D2E68" w:rsidRPr="005D2E68">
        <w:rPr>
          <w:lang w:val="en-US"/>
        </w:rPr>
        <w:t>agnitude and durability of effect</w:t>
      </w:r>
      <w:r w:rsidR="00D6531D">
        <w:rPr>
          <w:lang w:val="en-US"/>
        </w:rPr>
        <w:t>,</w:t>
      </w:r>
      <w:r w:rsidR="005D2E68" w:rsidRPr="005D2E68">
        <w:rPr>
          <w:lang w:val="en-US"/>
        </w:rPr>
        <w:t xml:space="preserve"> remain uncertain</w:t>
      </w:r>
      <w:r w:rsidR="005D2E68">
        <w:rPr>
          <w:lang w:val="en-US"/>
        </w:rPr>
        <w:t>;</w:t>
      </w:r>
      <w:r w:rsidR="005D2E68" w:rsidRPr="005D2E68">
        <w:rPr>
          <w:lang w:val="en-US"/>
        </w:rPr>
        <w:t xml:space="preserve"> </w:t>
      </w:r>
      <w:r w:rsidR="00D6531D" w:rsidRPr="005D2E68">
        <w:rPr>
          <w:lang w:val="en-US"/>
        </w:rPr>
        <w:t>however,</w:t>
      </w:r>
      <w:r w:rsidR="005D2E68">
        <w:rPr>
          <w:lang w:val="en-US"/>
        </w:rPr>
        <w:t xml:space="preserve"> considered </w:t>
      </w:r>
      <w:r w:rsidR="00362AB1">
        <w:rPr>
          <w:lang w:val="en-US"/>
        </w:rPr>
        <w:t>that the</w:t>
      </w:r>
      <w:r w:rsidR="005D2E68" w:rsidRPr="005D2E68">
        <w:rPr>
          <w:lang w:val="en-US"/>
        </w:rPr>
        <w:t xml:space="preserve"> low-level evidence </w:t>
      </w:r>
      <w:r w:rsidR="00362AB1">
        <w:rPr>
          <w:lang w:val="en-US"/>
        </w:rPr>
        <w:t>showed consistency in results.</w:t>
      </w:r>
      <w:r w:rsidR="005D2E68">
        <w:rPr>
          <w:lang w:val="en-US"/>
        </w:rPr>
        <w:t xml:space="preserve"> </w:t>
      </w:r>
      <w:r>
        <w:t xml:space="preserve">MSAC noted that </w:t>
      </w:r>
      <w:r w:rsidRPr="0056224B">
        <w:t xml:space="preserve">it is unlikely </w:t>
      </w:r>
      <w:r>
        <w:t>that</w:t>
      </w:r>
      <w:r w:rsidRPr="0056224B">
        <w:t xml:space="preserve"> higher-level evidence</w:t>
      </w:r>
      <w:r>
        <w:t xml:space="preserve"> will become available in the near future.</w:t>
      </w:r>
    </w:p>
    <w:p w14:paraId="2CCD6258" w14:textId="7E04C9B1" w:rsidR="001C1FD6" w:rsidRDefault="001C1FD6" w:rsidP="009555C2">
      <w:pPr>
        <w:spacing w:before="240"/>
      </w:pPr>
      <w:r>
        <w:t xml:space="preserve">MSAC noted that in the pre-MSAC response, the applicant </w:t>
      </w:r>
      <w:r w:rsidRPr="00E55397">
        <w:t>challenge</w:t>
      </w:r>
      <w:r>
        <w:t>d the</w:t>
      </w:r>
      <w:r w:rsidRPr="00E55397">
        <w:t xml:space="preserve"> </w:t>
      </w:r>
      <w:r w:rsidR="00834A9B">
        <w:t>ESC advice that the included studies were at risk</w:t>
      </w:r>
      <w:r w:rsidRPr="00E55397">
        <w:t xml:space="preserve"> of bias</w:t>
      </w:r>
      <w:r>
        <w:t xml:space="preserve">, </w:t>
      </w:r>
      <w:r w:rsidR="00834A9B">
        <w:t>asserting</w:t>
      </w:r>
      <w:r>
        <w:t xml:space="preserve"> that t</w:t>
      </w:r>
      <w:r w:rsidRPr="00866917">
        <w:t>his is less relevant if the comparator is no treatment</w:t>
      </w:r>
      <w:r>
        <w:t xml:space="preserve"> because</w:t>
      </w:r>
      <w:r w:rsidRPr="00866917">
        <w:t xml:space="preserve"> most studies compared pre- and post-treatment outcomes</w:t>
      </w:r>
      <w:r>
        <w:t>.</w:t>
      </w:r>
    </w:p>
    <w:p w14:paraId="67A961B2" w14:textId="059D842E" w:rsidR="001C1FD6" w:rsidRDefault="001C1FD6" w:rsidP="009555C2">
      <w:pPr>
        <w:spacing w:before="240"/>
      </w:pPr>
      <w:r>
        <w:t xml:space="preserve">MSAC noted that the economic evaluation is generally unchanged from the </w:t>
      </w:r>
      <w:r w:rsidR="00961296">
        <w:t>previous</w:t>
      </w:r>
      <w:r>
        <w:t xml:space="preserve"> submission, apart from updated costs and a longer timeframe. MSAC considered that the model structure is still reasonable.</w:t>
      </w:r>
    </w:p>
    <w:p w14:paraId="0104DB09" w14:textId="46FFFB2E" w:rsidR="00583377" w:rsidRDefault="00583377" w:rsidP="009555C2">
      <w:pPr>
        <w:spacing w:before="240"/>
      </w:pPr>
      <w:r>
        <w:t>MSAC noted that the time horizon</w:t>
      </w:r>
      <w:r w:rsidR="00961296">
        <w:t xml:space="preserve"> (5 years)</w:t>
      </w:r>
      <w:r>
        <w:t xml:space="preserve"> in the </w:t>
      </w:r>
      <w:r w:rsidR="00961296">
        <w:t xml:space="preserve">previous </w:t>
      </w:r>
      <w:r>
        <w:t>model was considered conservative, as the condition does not lead to a reduction in survival. The outcomes were assumed to stay constant for the duration of the model beyond 12 months. MSAC noted that the time horizon has been extended</w:t>
      </w:r>
      <w:r w:rsidR="00961296">
        <w:t xml:space="preserve"> to 20 years</w:t>
      </w:r>
      <w:r>
        <w:t xml:space="preserve"> in the </w:t>
      </w:r>
      <w:r w:rsidR="009E0C8F">
        <w:t>resubmission</w:t>
      </w:r>
      <w:r>
        <w:t xml:space="preserve">. This is appropriate </w:t>
      </w:r>
      <w:r w:rsidR="00362DD1">
        <w:t>for</w:t>
      </w:r>
      <w:r>
        <w:t xml:space="preserve"> a chronic condition </w:t>
      </w:r>
      <w:r w:rsidR="00362DD1">
        <w:t xml:space="preserve">where </w:t>
      </w:r>
      <w:r w:rsidR="009E0C8F">
        <w:t xml:space="preserve">the </w:t>
      </w:r>
      <w:r>
        <w:t xml:space="preserve">benefits </w:t>
      </w:r>
      <w:r w:rsidR="009E0C8F">
        <w:t xml:space="preserve">of </w:t>
      </w:r>
      <w:r>
        <w:t>treatment accru</w:t>
      </w:r>
      <w:r w:rsidR="00362DD1">
        <w:t>e</w:t>
      </w:r>
      <w:r>
        <w:t xml:space="preserve"> over a lifetime; however, there is considerable uncertainty regarding the clinical inputs and extrapolation of these over the longer time horizon.</w:t>
      </w:r>
    </w:p>
    <w:p w14:paraId="6B0A1467" w14:textId="60CB3AC4" w:rsidR="005A19A3" w:rsidRDefault="00583377" w:rsidP="009555C2">
      <w:pPr>
        <w:spacing w:before="240"/>
      </w:pPr>
      <w:r w:rsidRPr="00873683">
        <w:t>MSA</w:t>
      </w:r>
      <w:r w:rsidR="001C1FD6" w:rsidRPr="00873683">
        <w:t>C</w:t>
      </w:r>
      <w:r w:rsidRPr="00873683">
        <w:t xml:space="preserve"> noted that the cost of best supportive care</w:t>
      </w:r>
      <w:r w:rsidR="00A23FFD">
        <w:t xml:space="preserve"> </w:t>
      </w:r>
      <w:r w:rsidRPr="00CB6D6B">
        <w:t>increased from $311 to $2,491</w:t>
      </w:r>
      <w:r w:rsidR="00A23FFD">
        <w:t xml:space="preserve"> in the </w:t>
      </w:r>
      <w:r w:rsidR="00D864A1">
        <w:t>re</w:t>
      </w:r>
      <w:r w:rsidR="00A23FFD">
        <w:t>submission</w:t>
      </w:r>
      <w:r w:rsidR="00873683" w:rsidRPr="00510DD7">
        <w:t>. MSAC</w:t>
      </w:r>
      <w:r w:rsidR="00EC15F6" w:rsidRPr="00510DD7">
        <w:t xml:space="preserve"> </w:t>
      </w:r>
      <w:r w:rsidR="00873683" w:rsidRPr="00510DD7">
        <w:t xml:space="preserve">considered </w:t>
      </w:r>
      <w:r w:rsidRPr="00CB6D6B">
        <w:t xml:space="preserve">that </w:t>
      </w:r>
      <w:r w:rsidR="00A23FFD">
        <w:t>a</w:t>
      </w:r>
      <w:r w:rsidR="0069068D">
        <w:t>s</w:t>
      </w:r>
      <w:r w:rsidR="00A23FFD">
        <w:t xml:space="preserve"> this </w:t>
      </w:r>
      <w:r w:rsidRPr="00CB6D6B">
        <w:t xml:space="preserve">cost </w:t>
      </w:r>
      <w:r w:rsidR="00CB6D6B" w:rsidRPr="00CB6D6B">
        <w:t>is</w:t>
      </w:r>
      <w:r w:rsidR="00CB6D6B">
        <w:t xml:space="preserve"> </w:t>
      </w:r>
      <w:r w:rsidR="00A23FFD">
        <w:t>accrued</w:t>
      </w:r>
      <w:r w:rsidRPr="00873683">
        <w:t xml:space="preserve"> pre-surgery</w:t>
      </w:r>
      <w:r w:rsidR="00EC15F6">
        <w:t xml:space="preserve"> </w:t>
      </w:r>
      <w:r w:rsidR="00A23FFD">
        <w:t>it should be r</w:t>
      </w:r>
      <w:r w:rsidR="00385F5A">
        <w:t xml:space="preserve">emoved </w:t>
      </w:r>
      <w:r w:rsidR="00A23FFD">
        <w:t>from</w:t>
      </w:r>
      <w:r w:rsidR="00CB6D6B">
        <w:t xml:space="preserve"> the </w:t>
      </w:r>
      <w:r w:rsidR="00A23FFD">
        <w:t xml:space="preserve">comparator arm of the economic </w:t>
      </w:r>
      <w:r w:rsidR="00CB6D6B">
        <w:t xml:space="preserve">model </w:t>
      </w:r>
      <w:r w:rsidR="00A23FFD">
        <w:t xml:space="preserve">and noted that this </w:t>
      </w:r>
      <w:r w:rsidR="00385F5A">
        <w:t>result</w:t>
      </w:r>
      <w:r w:rsidR="00A23FFD">
        <w:t>s</w:t>
      </w:r>
      <w:r w:rsidR="00385F5A">
        <w:t xml:space="preserve"> in an ICER of $30,187</w:t>
      </w:r>
      <w:r w:rsidR="00D7558B">
        <w:t xml:space="preserve"> to</w:t>
      </w:r>
      <w:r w:rsidR="00385F5A">
        <w:t xml:space="preserve"> </w:t>
      </w:r>
      <w:r w:rsidR="00D7558B">
        <w:t xml:space="preserve">$9,634 </w:t>
      </w:r>
      <w:r w:rsidR="00385F5A">
        <w:t xml:space="preserve">per </w:t>
      </w:r>
      <w:r w:rsidR="00385F5A" w:rsidRPr="00385F5A">
        <w:t xml:space="preserve">quality-adjusted life year </w:t>
      </w:r>
      <w:r w:rsidR="00385F5A">
        <w:t xml:space="preserve">(QALY) gained over 5 and </w:t>
      </w:r>
      <w:r w:rsidR="00961296">
        <w:t>20 years, respectively.</w:t>
      </w:r>
      <w:r w:rsidR="00385F5A">
        <w:t xml:space="preserve"> </w:t>
      </w:r>
      <w:r w:rsidR="00961296">
        <w:t xml:space="preserve">Overall, </w:t>
      </w:r>
      <w:r w:rsidR="00385F5A">
        <w:t>MSAC considered</w:t>
      </w:r>
      <w:r w:rsidR="00961296">
        <w:t xml:space="preserve"> </w:t>
      </w:r>
      <w:r w:rsidR="0069068D">
        <w:t xml:space="preserve">an </w:t>
      </w:r>
      <w:r w:rsidR="0033398E">
        <w:t>ICER</w:t>
      </w:r>
      <w:r w:rsidR="0069068D">
        <w:t xml:space="preserve"> in this range</w:t>
      </w:r>
      <w:r w:rsidR="0033398E">
        <w:t xml:space="preserve"> </w:t>
      </w:r>
      <w:r w:rsidR="00961296">
        <w:t>to be acceptably cost</w:t>
      </w:r>
      <w:r w:rsidR="0069068D">
        <w:noBreakHyphen/>
      </w:r>
      <w:r w:rsidR="00961296">
        <w:t>effective</w:t>
      </w:r>
      <w:r w:rsidR="00385F5A">
        <w:t>.</w:t>
      </w:r>
    </w:p>
    <w:p w14:paraId="5105B56E" w14:textId="6F9A6650" w:rsidR="00583377" w:rsidRDefault="00583377" w:rsidP="009555C2">
      <w:pPr>
        <w:spacing w:before="240"/>
      </w:pPr>
      <w:r>
        <w:t>MSAC noted that the number of predicted services per annum is small, with modest additional costs to the MBS</w:t>
      </w:r>
      <w:r w:rsidRPr="00866917">
        <w:t xml:space="preserve"> </w:t>
      </w:r>
      <w:r>
        <w:t>of $</w:t>
      </w:r>
      <w:r w:rsidRPr="00866917">
        <w:t>1.46</w:t>
      </w:r>
      <w:r>
        <w:t>–</w:t>
      </w:r>
      <w:r w:rsidRPr="00866917">
        <w:t>1.69 million</w:t>
      </w:r>
      <w:r>
        <w:t xml:space="preserve"> over 5 years.</w:t>
      </w:r>
    </w:p>
    <w:p w14:paraId="710FBB1B" w14:textId="11540799" w:rsidR="00737EE8" w:rsidRDefault="00F45943" w:rsidP="009555C2">
      <w:pPr>
        <w:spacing w:before="240"/>
        <w:rPr>
          <w:rStyle w:val="normaltextrun"/>
          <w:shd w:val="clear" w:color="auto" w:fill="FFFFFF"/>
          <w:lang w:val="en-US"/>
        </w:rPr>
      </w:pPr>
      <w:r>
        <w:t xml:space="preserve">MSAC noted that the procedure is usually </w:t>
      </w:r>
      <w:r w:rsidR="0039183C">
        <w:t>performed</w:t>
      </w:r>
      <w:r>
        <w:t xml:space="preserve"> in private hospitals and that the out-of-pocket costs are </w:t>
      </w:r>
      <w:r w:rsidR="00694211">
        <w:t>significant and</w:t>
      </w:r>
      <w:r>
        <w:t xml:space="preserve"> noted that there </w:t>
      </w:r>
      <w:r w:rsidR="0039183C">
        <w:t>remains</w:t>
      </w:r>
      <w:r>
        <w:t xml:space="preserve"> a question of whether MBS listing will provide equity</w:t>
      </w:r>
      <w:r w:rsidR="0039183C">
        <w:t xml:space="preserve"> of access to the procedure</w:t>
      </w:r>
      <w:r>
        <w:t>.</w:t>
      </w:r>
    </w:p>
    <w:p w14:paraId="68B18C08" w14:textId="5FB427DC" w:rsidR="001C1FD6" w:rsidRDefault="001C1FD6" w:rsidP="009555C2">
      <w:pPr>
        <w:spacing w:before="240"/>
        <w:rPr>
          <w:rStyle w:val="eop"/>
          <w:shd w:val="clear" w:color="auto" w:fill="FFFFFF"/>
        </w:rPr>
      </w:pPr>
      <w:r>
        <w:rPr>
          <w:rStyle w:val="normaltextrun"/>
          <w:shd w:val="clear" w:color="auto" w:fill="FFFFFF"/>
          <w:lang w:val="en-US"/>
        </w:rPr>
        <w:t>MSAC noted that patients with </w:t>
      </w:r>
      <w:r>
        <w:rPr>
          <w:rStyle w:val="normaltextrun"/>
          <w:shd w:val="clear" w:color="auto" w:fill="FFFFFF"/>
        </w:rPr>
        <w:t>rectus diastasis</w:t>
      </w:r>
      <w:r>
        <w:rPr>
          <w:rStyle w:val="normaltextrun"/>
          <w:b/>
          <w:bCs/>
          <w:shd w:val="clear" w:color="auto" w:fill="FFFFFF"/>
        </w:rPr>
        <w:t> </w:t>
      </w:r>
      <w:r>
        <w:rPr>
          <w:rStyle w:val="normaltextrun"/>
          <w:shd w:val="clear" w:color="auto" w:fill="FFFFFF"/>
          <w:lang w:val="en-US"/>
        </w:rPr>
        <w:t>may also present with </w:t>
      </w:r>
      <w:r>
        <w:rPr>
          <w:rStyle w:val="findhit"/>
          <w:shd w:val="clear" w:color="auto" w:fill="FFFFFF"/>
          <w:lang w:val="en-US"/>
        </w:rPr>
        <w:t>hernia</w:t>
      </w:r>
      <w:r w:rsidR="008F737D">
        <w:rPr>
          <w:rStyle w:val="findhit"/>
          <w:shd w:val="clear" w:color="auto" w:fill="FFFFFF"/>
          <w:lang w:val="en-US"/>
        </w:rPr>
        <w:t xml:space="preserve"> (midline and non-midline)</w:t>
      </w:r>
      <w:r>
        <w:rPr>
          <w:rStyle w:val="normaltextrun"/>
          <w:shd w:val="clear" w:color="auto" w:fill="FFFFFF"/>
          <w:lang w:val="en-US"/>
        </w:rPr>
        <w:t>. Clinical advice sought by the Department recommended co-claiming restrictions with ventral </w:t>
      </w:r>
      <w:r>
        <w:rPr>
          <w:rStyle w:val="findhit"/>
          <w:shd w:val="clear" w:color="auto" w:fill="FFFFFF"/>
          <w:lang w:val="en-US"/>
        </w:rPr>
        <w:t>hernia</w:t>
      </w:r>
      <w:r>
        <w:rPr>
          <w:rStyle w:val="normaltextrun"/>
          <w:shd w:val="clear" w:color="auto" w:fill="FFFFFF"/>
          <w:lang w:val="en-US"/>
        </w:rPr>
        <w:t> repair (</w:t>
      </w:r>
      <w:r w:rsidR="00B53D90">
        <w:rPr>
          <w:rStyle w:val="normaltextrun"/>
          <w:shd w:val="clear" w:color="auto" w:fill="FFFFFF"/>
          <w:lang w:val="en-US"/>
        </w:rPr>
        <w:t xml:space="preserve">MBS items 30651 and 30655; which have replaced </w:t>
      </w:r>
      <w:r>
        <w:rPr>
          <w:rStyle w:val="normaltextrun"/>
          <w:shd w:val="clear" w:color="auto" w:fill="FFFFFF"/>
          <w:lang w:val="en-US"/>
        </w:rPr>
        <w:t>items 30403 and 30405</w:t>
      </w:r>
      <w:r w:rsidR="00B53D90">
        <w:rPr>
          <w:rStyle w:val="normaltextrun"/>
          <w:shd w:val="clear" w:color="auto" w:fill="FFFFFF"/>
          <w:lang w:val="en-US"/>
        </w:rPr>
        <w:t xml:space="preserve"> as of 1 July 2021</w:t>
      </w:r>
      <w:r>
        <w:rPr>
          <w:rStyle w:val="normaltextrun"/>
          <w:shd w:val="clear" w:color="auto" w:fill="FFFFFF"/>
          <w:lang w:val="en-US"/>
        </w:rPr>
        <w:t>), noting that such </w:t>
      </w:r>
      <w:r w:rsidR="008F737D">
        <w:rPr>
          <w:rStyle w:val="normaltextrun"/>
          <w:shd w:val="clear" w:color="auto" w:fill="FFFFFF"/>
          <w:lang w:val="en-US"/>
        </w:rPr>
        <w:t xml:space="preserve">midline </w:t>
      </w:r>
      <w:r>
        <w:rPr>
          <w:rStyle w:val="findhit"/>
          <w:shd w:val="clear" w:color="auto" w:fill="FFFFFF"/>
          <w:lang w:val="en-US"/>
        </w:rPr>
        <w:t>hernia</w:t>
      </w:r>
      <w:r>
        <w:rPr>
          <w:rStyle w:val="normaltextrun"/>
          <w:shd w:val="clear" w:color="auto" w:fill="FFFFFF"/>
          <w:lang w:val="en-US"/>
        </w:rPr>
        <w:t> should be repaired as part of rectus divarication repair, but no restriction with</w:t>
      </w:r>
      <w:r w:rsidR="008F737D">
        <w:rPr>
          <w:rStyle w:val="normaltextrun"/>
          <w:shd w:val="clear" w:color="auto" w:fill="FFFFFF"/>
          <w:lang w:val="en-US"/>
        </w:rPr>
        <w:t xml:space="preserve"> other more common midline hernias that may coexist with rectus diastasis, such as</w:t>
      </w:r>
      <w:r>
        <w:rPr>
          <w:rStyle w:val="normaltextrun"/>
          <w:shd w:val="clear" w:color="auto" w:fill="FFFFFF"/>
          <w:lang w:val="en-US"/>
        </w:rPr>
        <w:t xml:space="preserve"> umbilical </w:t>
      </w:r>
      <w:r>
        <w:rPr>
          <w:rStyle w:val="findhit"/>
          <w:shd w:val="clear" w:color="auto" w:fill="FFFFFF"/>
          <w:lang w:val="en-US"/>
        </w:rPr>
        <w:t>hernia</w:t>
      </w:r>
      <w:r>
        <w:rPr>
          <w:rStyle w:val="normaltextrun"/>
          <w:shd w:val="clear" w:color="auto" w:fill="FFFFFF"/>
          <w:lang w:val="en-US"/>
        </w:rPr>
        <w:t> repair MBS item 30621, as umbilical repair is an additional task requiring extra time and</w:t>
      </w:r>
      <w:r w:rsidR="00362AB1">
        <w:rPr>
          <w:rStyle w:val="normaltextrun"/>
          <w:shd w:val="clear" w:color="auto" w:fill="FFFFFF"/>
          <w:lang w:val="en-US"/>
        </w:rPr>
        <w:t xml:space="preserve"> </w:t>
      </w:r>
      <w:r>
        <w:rPr>
          <w:rStyle w:val="normaltextrun"/>
          <w:shd w:val="clear" w:color="auto" w:fill="FFFFFF"/>
          <w:lang w:val="en-US"/>
        </w:rPr>
        <w:t>complexity. Accordingly, MSAC noted that the Department supports the addition of co</w:t>
      </w:r>
      <w:r w:rsidR="00694211">
        <w:rPr>
          <w:rStyle w:val="normaltextrun"/>
          <w:shd w:val="clear" w:color="auto" w:fill="FFFFFF"/>
          <w:lang w:val="en-US"/>
        </w:rPr>
        <w:noBreakHyphen/>
      </w:r>
      <w:r>
        <w:rPr>
          <w:rStyle w:val="normaltextrun"/>
          <w:shd w:val="clear" w:color="auto" w:fill="FFFFFF"/>
          <w:lang w:val="en-US"/>
        </w:rPr>
        <w:t xml:space="preserve">claiming restrictions with MBS items </w:t>
      </w:r>
      <w:r w:rsidR="00B53D90">
        <w:rPr>
          <w:rStyle w:val="normaltextrun"/>
          <w:shd w:val="clear" w:color="auto" w:fill="FFFFFF"/>
          <w:lang w:val="en-US"/>
        </w:rPr>
        <w:t>30651</w:t>
      </w:r>
      <w:r>
        <w:rPr>
          <w:rStyle w:val="normaltextrun"/>
          <w:shd w:val="clear" w:color="auto" w:fill="FFFFFF"/>
          <w:lang w:val="en-US"/>
        </w:rPr>
        <w:t xml:space="preserve"> and 30</w:t>
      </w:r>
      <w:r w:rsidR="00B53D90">
        <w:rPr>
          <w:rStyle w:val="normaltextrun"/>
          <w:shd w:val="clear" w:color="auto" w:fill="FFFFFF"/>
          <w:lang w:val="en-US"/>
        </w:rPr>
        <w:t>655</w:t>
      </w:r>
      <w:r>
        <w:rPr>
          <w:rStyle w:val="normaltextrun"/>
          <w:shd w:val="clear" w:color="auto" w:fill="FFFFFF"/>
          <w:lang w:val="en-US"/>
        </w:rPr>
        <w:t> only.</w:t>
      </w:r>
      <w:r w:rsidR="008F737D">
        <w:rPr>
          <w:rStyle w:val="normaltextrun"/>
          <w:shd w:val="clear" w:color="auto" w:fill="FFFFFF"/>
          <w:lang w:val="en-US"/>
        </w:rPr>
        <w:t xml:space="preserve"> In addition, MSAC noted </w:t>
      </w:r>
      <w:r w:rsidR="00122A23">
        <w:rPr>
          <w:rStyle w:val="normaltextrun"/>
          <w:shd w:val="clear" w:color="auto" w:fill="FFFFFF"/>
          <w:lang w:val="en-US"/>
        </w:rPr>
        <w:t xml:space="preserve">the </w:t>
      </w:r>
      <w:r w:rsidR="008F737D">
        <w:rPr>
          <w:rStyle w:val="normaltextrun"/>
          <w:shd w:val="clear" w:color="auto" w:fill="FFFFFF"/>
          <w:lang w:val="en-US"/>
        </w:rPr>
        <w:t xml:space="preserve">pre-MSAC response advising that if </w:t>
      </w:r>
      <w:r w:rsidR="008F737D" w:rsidRPr="008F737D">
        <w:rPr>
          <w:rStyle w:val="normaltextrun"/>
          <w:shd w:val="clear" w:color="auto" w:fill="FFFFFF"/>
          <w:lang w:val="en-US"/>
        </w:rPr>
        <w:t xml:space="preserve">a general surgeon </w:t>
      </w:r>
      <w:r w:rsidR="008F737D">
        <w:rPr>
          <w:rStyle w:val="normaltextrun"/>
          <w:shd w:val="clear" w:color="auto" w:fill="FFFFFF"/>
          <w:lang w:val="en-US"/>
        </w:rPr>
        <w:t>is also required to</w:t>
      </w:r>
      <w:r w:rsidR="008F737D" w:rsidRPr="008F737D">
        <w:rPr>
          <w:rStyle w:val="normaltextrun"/>
          <w:shd w:val="clear" w:color="auto" w:fill="FFFFFF"/>
          <w:lang w:val="en-US"/>
        </w:rPr>
        <w:t xml:space="preserve"> </w:t>
      </w:r>
      <w:r w:rsidR="008F737D" w:rsidRPr="008F737D">
        <w:rPr>
          <w:rStyle w:val="normaltextrun"/>
          <w:shd w:val="clear" w:color="auto" w:fill="FFFFFF"/>
          <w:lang w:val="en-US"/>
        </w:rPr>
        <w:lastRenderedPageBreak/>
        <w:t>repair one of the</w:t>
      </w:r>
      <w:r w:rsidR="00122A23">
        <w:rPr>
          <w:rStyle w:val="normaltextrun"/>
          <w:shd w:val="clear" w:color="auto" w:fill="FFFFFF"/>
          <w:lang w:val="en-US"/>
        </w:rPr>
        <w:t xml:space="preserve"> concomitant </w:t>
      </w:r>
      <w:r w:rsidR="008F737D" w:rsidRPr="008F737D">
        <w:rPr>
          <w:rStyle w:val="normaltextrun"/>
          <w:shd w:val="clear" w:color="auto" w:fill="FFFFFF"/>
          <w:lang w:val="en-US"/>
        </w:rPr>
        <w:t>hernias</w:t>
      </w:r>
      <w:r w:rsidR="00122A23">
        <w:rPr>
          <w:rStyle w:val="normaltextrun"/>
          <w:shd w:val="clear" w:color="auto" w:fill="FFFFFF"/>
          <w:lang w:val="en-US"/>
        </w:rPr>
        <w:t xml:space="preserve"> as part of the operation for repair of rectus diastasis</w:t>
      </w:r>
      <w:r w:rsidR="008F737D" w:rsidRPr="008F737D">
        <w:rPr>
          <w:rStyle w:val="normaltextrun"/>
          <w:shd w:val="clear" w:color="auto" w:fill="FFFFFF"/>
          <w:lang w:val="en-US"/>
        </w:rPr>
        <w:t xml:space="preserve">, </w:t>
      </w:r>
      <w:r w:rsidR="00122A23">
        <w:rPr>
          <w:rStyle w:val="normaltextrun"/>
          <w:shd w:val="clear" w:color="auto" w:fill="FFFFFF"/>
          <w:lang w:val="en-US"/>
        </w:rPr>
        <w:t>then</w:t>
      </w:r>
      <w:r w:rsidR="008F737D" w:rsidRPr="008F737D">
        <w:rPr>
          <w:rStyle w:val="normaltextrun"/>
          <w:shd w:val="clear" w:color="auto" w:fill="FFFFFF"/>
          <w:lang w:val="en-US"/>
        </w:rPr>
        <w:t xml:space="preserve"> the </w:t>
      </w:r>
      <w:r w:rsidR="00B6375E">
        <w:rPr>
          <w:rStyle w:val="normaltextrun"/>
          <w:shd w:val="clear" w:color="auto" w:fill="FFFFFF"/>
          <w:lang w:val="en-US"/>
        </w:rPr>
        <w:t>m</w:t>
      </w:r>
      <w:r w:rsidR="008F737D" w:rsidRPr="008F737D">
        <w:rPr>
          <w:rStyle w:val="normaltextrun"/>
          <w:shd w:val="clear" w:color="auto" w:fill="FFFFFF"/>
          <w:lang w:val="en-US"/>
        </w:rPr>
        <w:t xml:space="preserve">ultiple </w:t>
      </w:r>
      <w:r w:rsidR="00B6375E">
        <w:rPr>
          <w:rStyle w:val="normaltextrun"/>
          <w:shd w:val="clear" w:color="auto" w:fill="FFFFFF"/>
          <w:lang w:val="en-US"/>
        </w:rPr>
        <w:t>o</w:t>
      </w:r>
      <w:r w:rsidR="008F737D" w:rsidRPr="008F737D">
        <w:rPr>
          <w:rStyle w:val="normaltextrun"/>
          <w:shd w:val="clear" w:color="auto" w:fill="FFFFFF"/>
          <w:lang w:val="en-US"/>
        </w:rPr>
        <w:t xml:space="preserve">peration </w:t>
      </w:r>
      <w:r w:rsidR="00B6375E">
        <w:rPr>
          <w:rStyle w:val="normaltextrun"/>
          <w:shd w:val="clear" w:color="auto" w:fill="FFFFFF"/>
          <w:lang w:val="en-US"/>
        </w:rPr>
        <w:t>r</w:t>
      </w:r>
      <w:r w:rsidR="008F737D" w:rsidRPr="008F737D">
        <w:rPr>
          <w:rStyle w:val="normaltextrun"/>
          <w:shd w:val="clear" w:color="auto" w:fill="FFFFFF"/>
          <w:lang w:val="en-US"/>
        </w:rPr>
        <w:t>ule will not apply.</w:t>
      </w:r>
    </w:p>
    <w:p w14:paraId="443891BE" w14:textId="1CAE81B6" w:rsidR="001C1FD6" w:rsidRDefault="001C1FD6" w:rsidP="009555C2">
      <w:pPr>
        <w:spacing w:before="240"/>
      </w:pPr>
      <w:r>
        <w:t>MSAC noted that only open-</w:t>
      </w:r>
      <w:r w:rsidRPr="00AA76B9">
        <w:t>approach abdominoplasty</w:t>
      </w:r>
      <w:r>
        <w:t xml:space="preserve"> should be included in the item descriptor, because endo-l</w:t>
      </w:r>
      <w:r w:rsidRPr="00E55397">
        <w:t>apar</w:t>
      </w:r>
      <w:r>
        <w:t>oscopic procedures</w:t>
      </w:r>
      <w:r w:rsidRPr="00E55397">
        <w:t xml:space="preserve"> </w:t>
      </w:r>
      <w:r w:rsidR="00C87247">
        <w:t>have a lower evidence base for the comparison of efficacy and safety</w:t>
      </w:r>
      <w:r w:rsidRPr="00E55397">
        <w:t xml:space="preserve"> and</w:t>
      </w:r>
      <w:r w:rsidR="00D7558B">
        <w:t xml:space="preserve"> are</w:t>
      </w:r>
      <w:r w:rsidRPr="00E55397">
        <w:t xml:space="preserve"> more costly</w:t>
      </w:r>
      <w:r>
        <w:t>.</w:t>
      </w:r>
    </w:p>
    <w:p w14:paraId="630E1FA4" w14:textId="7D749B85" w:rsidR="00583377" w:rsidRDefault="00122A23" w:rsidP="009555C2">
      <w:pPr>
        <w:pStyle w:val="NormalBeforeBullet"/>
        <w:spacing w:before="240"/>
      </w:pPr>
      <w:r>
        <w:t xml:space="preserve">MSAC noted the pre-MSAC response proposing changes to the item descriptor (see Table 2). </w:t>
      </w:r>
      <w:r w:rsidR="00583377">
        <w:t xml:space="preserve">MSAC </w:t>
      </w:r>
      <w:r w:rsidR="001C1FD6">
        <w:t xml:space="preserve">advised </w:t>
      </w:r>
      <w:r w:rsidR="00583377">
        <w:t>the following changes to the descriptor:</w:t>
      </w:r>
    </w:p>
    <w:p w14:paraId="1DEAC090" w14:textId="13935E12" w:rsidR="00122A23" w:rsidRDefault="00122A23" w:rsidP="00702AF1">
      <w:pPr>
        <w:pStyle w:val="BulletLast"/>
        <w:spacing w:before="120" w:after="120"/>
        <w:ind w:left="714" w:hanging="357"/>
      </w:pPr>
      <w:r>
        <w:t>Specify open procedure and not laparoscopic</w:t>
      </w:r>
    </w:p>
    <w:p w14:paraId="2FE0B8E3" w14:textId="42C9448A" w:rsidR="00583377" w:rsidRPr="00D864A1" w:rsidRDefault="00583377" w:rsidP="00702AF1">
      <w:pPr>
        <w:pStyle w:val="Bullet"/>
        <w:spacing w:before="120"/>
        <w:ind w:left="714" w:hanging="357"/>
      </w:pPr>
      <w:r>
        <w:t>I</w:t>
      </w:r>
      <w:r w:rsidRPr="00E55397">
        <w:t>nclude indication for post</w:t>
      </w:r>
      <w:r>
        <w:t>-</w:t>
      </w:r>
      <w:r w:rsidRPr="00E55397">
        <w:t>12</w:t>
      </w:r>
      <w:r>
        <w:t> </w:t>
      </w:r>
      <w:r w:rsidRPr="00E55397">
        <w:t>mon</w:t>
      </w:r>
      <w:r>
        <w:t>ths after the end of a pregnancy</w:t>
      </w:r>
    </w:p>
    <w:p w14:paraId="5B219BEE" w14:textId="0149A874" w:rsidR="00583377" w:rsidRDefault="00420EF1" w:rsidP="00702AF1">
      <w:pPr>
        <w:pStyle w:val="Bullet"/>
        <w:spacing w:before="120"/>
        <w:ind w:left="714" w:hanging="357"/>
      </w:pPr>
      <w:r>
        <w:t xml:space="preserve">Include </w:t>
      </w:r>
      <w:r w:rsidR="00583377">
        <w:t>the limit of once per lifetime</w:t>
      </w:r>
    </w:p>
    <w:p w14:paraId="3367CD88" w14:textId="08C42605" w:rsidR="00583377" w:rsidRDefault="00583377" w:rsidP="00702AF1">
      <w:pPr>
        <w:pStyle w:val="Bullet"/>
        <w:spacing w:before="120"/>
        <w:ind w:left="714" w:hanging="357"/>
      </w:pPr>
      <w:r>
        <w:t>Includ</w:t>
      </w:r>
      <w:r w:rsidR="00BC47D3">
        <w:t>ing symptom</w:t>
      </w:r>
      <w:r w:rsidR="00C87247">
        <w:t>at</w:t>
      </w:r>
      <w:r w:rsidR="00BC47D3">
        <w:t>ology (having at least moderate symptoms caused by rectus diastasis) and</w:t>
      </w:r>
      <w:r w:rsidR="00737EE8">
        <w:t xml:space="preserve"> including</w:t>
      </w:r>
      <w:r w:rsidR="00BC47D3">
        <w:t xml:space="preserve"> </w:t>
      </w:r>
      <w:r w:rsidRPr="00E55397">
        <w:t>urinary symptoms</w:t>
      </w:r>
    </w:p>
    <w:p w14:paraId="3044AC9B" w14:textId="5410F418" w:rsidR="00583377" w:rsidRDefault="00583377" w:rsidP="00702AF1">
      <w:pPr>
        <w:pStyle w:val="Bullet"/>
        <w:spacing w:before="120"/>
        <w:ind w:left="714" w:hanging="357"/>
      </w:pPr>
      <w:r>
        <w:t xml:space="preserve">Explicitly include </w:t>
      </w:r>
      <w:r w:rsidRPr="00E55397">
        <w:t>physio</w:t>
      </w:r>
      <w:r>
        <w:t xml:space="preserve">therapy as part of </w:t>
      </w:r>
      <w:r w:rsidR="00BC47D3">
        <w:t xml:space="preserve">failed </w:t>
      </w:r>
      <w:r>
        <w:t>conservative management</w:t>
      </w:r>
    </w:p>
    <w:p w14:paraId="559E73C0" w14:textId="4C171DEE" w:rsidR="00583377" w:rsidRDefault="00583377" w:rsidP="00702AF1">
      <w:pPr>
        <w:pStyle w:val="Bullet"/>
        <w:spacing w:before="120"/>
        <w:ind w:left="714" w:hanging="357"/>
      </w:pPr>
      <w:r>
        <w:t>Require ultrasound to confirm a minimum 3 cm size of separation</w:t>
      </w:r>
      <w:r w:rsidR="00B6375E">
        <w:t>.</w:t>
      </w:r>
    </w:p>
    <w:p w14:paraId="4B407BF5" w14:textId="7CEB4B95" w:rsidR="00F45943" w:rsidRPr="00E55397" w:rsidRDefault="00F45943" w:rsidP="00F45943">
      <w:r>
        <w:t>MSAC considered that ultrasound</w:t>
      </w:r>
      <w:r w:rsidRPr="00E55397">
        <w:t xml:space="preserve"> is crucial to have some accountability </w:t>
      </w:r>
      <w:r>
        <w:t xml:space="preserve">in relation to </w:t>
      </w:r>
      <w:r w:rsidRPr="00E55397">
        <w:t>sizing</w:t>
      </w:r>
      <w:r>
        <w:t xml:space="preserve"> the separation and to prevent </w:t>
      </w:r>
      <w:r w:rsidR="00C87247">
        <w:t xml:space="preserve">item </w:t>
      </w:r>
      <w:r>
        <w:t>leakage</w:t>
      </w:r>
      <w:r w:rsidRPr="00E55397">
        <w:t xml:space="preserve">. </w:t>
      </w:r>
      <w:r w:rsidR="003E014C">
        <w:t>MSAC noted it may be difficult to correlate the size of the separation with patient symptoms, but noted that rectus diastasis may progress and get larger over time</w:t>
      </w:r>
      <w:r w:rsidR="00B6375E">
        <w:t>,</w:t>
      </w:r>
      <w:r w:rsidR="003E014C">
        <w:t xml:space="preserve"> and also that the </w:t>
      </w:r>
      <w:r w:rsidR="00C87247">
        <w:t>length</w:t>
      </w:r>
      <w:r w:rsidR="003E014C">
        <w:t xml:space="preserve"> of the diastasis may be important. </w:t>
      </w:r>
      <w:r>
        <w:t>MSAC considered</w:t>
      </w:r>
      <w:r w:rsidRPr="00E55397">
        <w:t xml:space="preserve"> </w:t>
      </w:r>
      <w:r w:rsidR="00B6375E">
        <w:t>the proposed</w:t>
      </w:r>
      <w:r>
        <w:t xml:space="preserve"> sep</w:t>
      </w:r>
      <w:r w:rsidR="00B6563A">
        <w:t>a</w:t>
      </w:r>
      <w:r>
        <w:t xml:space="preserve">ration </w:t>
      </w:r>
      <w:r w:rsidR="003C457A">
        <w:t xml:space="preserve">distance </w:t>
      </w:r>
      <w:r>
        <w:t xml:space="preserve">of at least </w:t>
      </w:r>
      <w:r w:rsidRPr="00E55397">
        <w:t>3</w:t>
      </w:r>
      <w:r>
        <w:t> </w:t>
      </w:r>
      <w:r w:rsidRPr="00E55397">
        <w:t xml:space="preserve">cm </w:t>
      </w:r>
      <w:r>
        <w:t xml:space="preserve">to be </w:t>
      </w:r>
      <w:r w:rsidRPr="00E55397">
        <w:t>reasonable</w:t>
      </w:r>
      <w:r>
        <w:t>.</w:t>
      </w:r>
    </w:p>
    <w:p w14:paraId="60D2F9EF" w14:textId="2DB73547" w:rsidR="00CC687D" w:rsidRDefault="00CC687D" w:rsidP="009555C2">
      <w:pPr>
        <w:spacing w:before="240" w:after="240"/>
      </w:pPr>
      <w:r>
        <w:t xml:space="preserve">MSAC noted advice from the Department that the MBS </w:t>
      </w:r>
      <w:r w:rsidRPr="001A34E5">
        <w:t xml:space="preserve">service </w:t>
      </w:r>
      <w:r>
        <w:t xml:space="preserve">descriptor </w:t>
      </w:r>
      <w:r w:rsidRPr="001A34E5">
        <w:t xml:space="preserve">available </w:t>
      </w:r>
      <w:r>
        <w:t>before</w:t>
      </w:r>
      <w:r w:rsidRPr="001A34E5">
        <w:t xml:space="preserve"> the Lipectomy Review was at high risk of </w:t>
      </w:r>
      <w:r>
        <w:t xml:space="preserve">misuse for </w:t>
      </w:r>
      <w:r w:rsidRPr="001A34E5">
        <w:t xml:space="preserve">cosmetic </w:t>
      </w:r>
      <w:r>
        <w:t xml:space="preserve">purposes </w:t>
      </w:r>
      <w:r w:rsidRPr="001A34E5">
        <w:t xml:space="preserve">but </w:t>
      </w:r>
      <w:r w:rsidR="00D864A1">
        <w:t xml:space="preserve">that the Department </w:t>
      </w:r>
      <w:r w:rsidRPr="001A34E5">
        <w:t>is satisfied that the proposed item descriptor is substantially more robust and sufficiently restrictive to prevent this leakage</w:t>
      </w:r>
      <w:r>
        <w:t>.</w:t>
      </w:r>
    </w:p>
    <w:p w14:paraId="3BD32ACB" w14:textId="17DFBCD2" w:rsidR="00583377" w:rsidRDefault="00F45943" w:rsidP="00702AF1">
      <w:pPr>
        <w:pStyle w:val="NormalBeforeBullet"/>
        <w:spacing w:after="240"/>
      </w:pPr>
      <w:r w:rsidRPr="00583377">
        <w:t xml:space="preserve">MSAC advised that </w:t>
      </w:r>
      <w:r w:rsidR="00D7558B">
        <w:t xml:space="preserve">a </w:t>
      </w:r>
      <w:r w:rsidRPr="00583377">
        <w:t>review be conducted in 2 years to ensure that use of the item does not extend beyond the intended population or to purely cosmetic purposes.</w:t>
      </w:r>
      <w:r>
        <w:t xml:space="preserve"> </w:t>
      </w:r>
      <w:r w:rsidR="00583377">
        <w:t>MSAC noted that an independent review of symptoms of rectus diastasis would be useful but would be difficult to implement.</w:t>
      </w:r>
    </w:p>
    <w:p w14:paraId="57924A03" w14:textId="0D1B6883" w:rsidR="00D61417" w:rsidRPr="009555C2" w:rsidRDefault="00065623" w:rsidP="00D61417">
      <w:pPr>
        <w:pStyle w:val="Heading1"/>
        <w:rPr>
          <w:rFonts w:ascii="Arial" w:hAnsi="Arial" w:cs="Arial"/>
        </w:rPr>
      </w:pPr>
      <w:r w:rsidRPr="007D0728">
        <w:rPr>
          <w:rFonts w:ascii="Arial" w:hAnsi="Arial" w:cs="Arial"/>
        </w:rPr>
        <w:t>Background</w:t>
      </w:r>
    </w:p>
    <w:p w14:paraId="7CE43170" w14:textId="14DC6D49" w:rsidR="00D61417" w:rsidRPr="00ED0063" w:rsidRDefault="00D61417" w:rsidP="009555C2">
      <w:pPr>
        <w:spacing w:before="240"/>
      </w:pPr>
      <w:r>
        <w:t>This</w:t>
      </w:r>
      <w:r w:rsidR="003419BD">
        <w:t xml:space="preserve"> applicant </w:t>
      </w:r>
      <w:r w:rsidR="00BB0263">
        <w:t>developed assessment report (ADAR)</w:t>
      </w:r>
      <w:r>
        <w:t xml:space="preserve"> is the first resubmission</w:t>
      </w:r>
      <w:r w:rsidR="00BB0263">
        <w:t xml:space="preserve"> </w:t>
      </w:r>
      <w:r>
        <w:t>of Application</w:t>
      </w:r>
      <w:r w:rsidR="00D03292">
        <w:t> </w:t>
      </w:r>
      <w:r>
        <w:t xml:space="preserve">1546. </w:t>
      </w:r>
      <w:r>
        <w:rPr>
          <w:color w:val="000000"/>
        </w:rPr>
        <w:t>The purpose of A</w:t>
      </w:r>
      <w:r w:rsidRPr="00295315">
        <w:rPr>
          <w:color w:val="000000"/>
        </w:rPr>
        <w:t>pplication 1546</w:t>
      </w:r>
      <w:r w:rsidR="00BB0263">
        <w:rPr>
          <w:color w:val="000000"/>
        </w:rPr>
        <w:t xml:space="preserve"> </w:t>
      </w:r>
      <w:r w:rsidR="00D03292">
        <w:rPr>
          <w:color w:val="000000"/>
        </w:rPr>
        <w:t>was</w:t>
      </w:r>
      <w:r w:rsidRPr="00295315">
        <w:rPr>
          <w:color w:val="000000"/>
        </w:rPr>
        <w:t xml:space="preserve"> to reinstate MBS funding </w:t>
      </w:r>
      <w:r w:rsidRPr="00295315">
        <w:t xml:space="preserve">for abdominoplasty with repair of rectus diastasis in women who developed symptomatic rectus diastasis following pregnancy. </w:t>
      </w:r>
      <w:r w:rsidRPr="00331137">
        <w:t xml:space="preserve">In 2016, this patient group was removed from the MBS item 30177 </w:t>
      </w:r>
      <w:r>
        <w:t>after a r</w:t>
      </w:r>
      <w:r w:rsidRPr="008669D1">
        <w:t xml:space="preserve">eview of abdominoplasty in </w:t>
      </w:r>
      <w:r>
        <w:t xml:space="preserve">the </w:t>
      </w:r>
      <w:r w:rsidRPr="008669D1">
        <w:t xml:space="preserve">management of urinary incontinence </w:t>
      </w:r>
      <w:r w:rsidRPr="00331137">
        <w:t>due to concerns that the surgery was performed for largely cosmetic reasons and had no significant morbidity or mortality benefit</w:t>
      </w:r>
      <w:r w:rsidRPr="00331137">
        <w:rPr>
          <w:i/>
        </w:rPr>
        <w:t>.</w:t>
      </w:r>
      <w:r w:rsidR="00ED0063">
        <w:rPr>
          <w:i/>
        </w:rPr>
        <w:t xml:space="preserve"> </w:t>
      </w:r>
      <w:r w:rsidR="00ED0063">
        <w:t>R</w:t>
      </w:r>
      <w:r w:rsidR="00ED0063" w:rsidRPr="00231B39">
        <w:t xml:space="preserve">adical abdominoplasty </w:t>
      </w:r>
      <w:r w:rsidR="00ED0063">
        <w:t xml:space="preserve">is currently reimbursed when required </w:t>
      </w:r>
      <w:r w:rsidR="00ED0063" w:rsidRPr="00231B39">
        <w:t>due to the surgical removal of large intra-abdominal or pelvic tumours (MBS item 30176) or due to massive weight loss (MBS item 30177)</w:t>
      </w:r>
      <w:r w:rsidR="00ED0063">
        <w:t>.</w:t>
      </w:r>
    </w:p>
    <w:p w14:paraId="6E56DF9C" w14:textId="68D1C61E" w:rsidR="00972D5F" w:rsidRDefault="00D61417" w:rsidP="009555C2">
      <w:pPr>
        <w:spacing w:before="240" w:after="240"/>
      </w:pPr>
      <w:r>
        <w:t xml:space="preserve">At the November 2019 meeting, the MSAC did </w:t>
      </w:r>
      <w:r w:rsidRPr="00D30609">
        <w:t>not support public funding of abdominoplasty with repair of rectus diastasis (aka rectus divarication; RD) following pregnancy. MSAC considered that the magnitude of benefit relative to best supportive care (i.e. physiotherapy and/or exercise) was uncertain and as a consequence the incremental cost-effectiveness was also uncertain</w:t>
      </w:r>
      <w:r w:rsidR="00396CCF">
        <w:t xml:space="preserve"> (</w:t>
      </w:r>
      <w:hyperlink r:id="rId10" w:history="1">
        <w:r w:rsidR="00396CCF" w:rsidRPr="00396CCF">
          <w:rPr>
            <w:rStyle w:val="Hyperlink"/>
          </w:rPr>
          <w:t>Public Summary Document [PSD], Application 1546, November 2019</w:t>
        </w:r>
      </w:hyperlink>
      <w:r w:rsidR="00396CCF">
        <w:t>)</w:t>
      </w:r>
      <w:r w:rsidRPr="00D30609">
        <w:t>.</w:t>
      </w:r>
    </w:p>
    <w:p w14:paraId="4ADC7AE7" w14:textId="54E3A506" w:rsidR="00972D5F" w:rsidRDefault="00972D5F" w:rsidP="00972D5F">
      <w:pPr>
        <w:pStyle w:val="5Bodytext"/>
      </w:pPr>
      <w:r>
        <w:lastRenderedPageBreak/>
        <w:t>In December 2020, the Department sought MSAC Executive consideration of n</w:t>
      </w:r>
      <w:r w:rsidRPr="00477256">
        <w:t xml:space="preserve">ew evidence </w:t>
      </w:r>
      <w:r>
        <w:t>presented by the</w:t>
      </w:r>
      <w:r w:rsidRPr="00477256">
        <w:t xml:space="preserve"> </w:t>
      </w:r>
      <w:r>
        <w:t>ASPS and a possible resubmission pathway for its MSAC Application 1546.</w:t>
      </w:r>
      <w:r w:rsidRPr="00972D5F">
        <w:t xml:space="preserve"> </w:t>
      </w:r>
      <w:r>
        <w:t>The MSAC Executive noted that, as a result of the negative outcome, there has been significant media attention around the topic and a petition presented to the House of Representatives. Representatives of the ASPS have met with the Department to consider the new evidence and have proposed several possible revised item descriptors for the service. The ASPS also noted concerns with the comparator used in the original application, namely the inclusion of physiotherapy as a potential component of best supportive care, stating that it should not be included as it has no effect in th</w:t>
      </w:r>
      <w:r w:rsidR="00BB0263">
        <w:t>e treatment of diastasis recti.</w:t>
      </w:r>
    </w:p>
    <w:p w14:paraId="0763CF01" w14:textId="3FBCB536" w:rsidR="00972D5F" w:rsidRDefault="00972D5F" w:rsidP="00972D5F">
      <w:pPr>
        <w:pStyle w:val="5Bodytext"/>
      </w:pPr>
      <w:r>
        <w:t xml:space="preserve">The MSAC Executive noted that, although there was a lot of discussion surrounding the definitions of the population and the comparator, it would be unlikely that a second PASC consideration could resolve these. The MSAC Executive considered that, to avoid delays in preparing for an MSAC reconsideration, a new assessment report could proceed straight to ESC consideration, as the new evidence would still need to be evaluated and incorporated into </w:t>
      </w:r>
      <w:r w:rsidR="00BB0263">
        <w:t>the economic modelling.</w:t>
      </w:r>
    </w:p>
    <w:p w14:paraId="56DEA24D" w14:textId="3241F173" w:rsidR="00D61417" w:rsidRDefault="00972D5F" w:rsidP="00BB0263">
      <w:pPr>
        <w:pStyle w:val="5Bodytext"/>
      </w:pPr>
      <w:r>
        <w:t xml:space="preserve">The MSAC Executive emphasised that the new evidence would need to demonstrate that MSAC could support any claim of clinically meaningful benefit. For instance, the evidence previously reviewed did not support any claim for an improvement in back pain, urological symptoms, mobility, exercise tolerance, or any other functional outcome. The MSAC Executive noted that the MBS cannot list services that are purely </w:t>
      </w:r>
      <w:r w:rsidR="00B6563A">
        <w:t xml:space="preserve">for </w:t>
      </w:r>
      <w:r>
        <w:t>cosmetic</w:t>
      </w:r>
      <w:r w:rsidR="00B6563A">
        <w:t xml:space="preserve"> purposes</w:t>
      </w:r>
      <w:r>
        <w:t xml:space="preserve">. However, the MSAC Executive also noted that the consumer view of clinically meaningful benefits may perceive </w:t>
      </w:r>
      <w:r w:rsidR="00B6563A">
        <w:t xml:space="preserve">secondary </w:t>
      </w:r>
      <w:r>
        <w:t xml:space="preserve">cosmetic improvements as psychologically relevant. </w:t>
      </w:r>
    </w:p>
    <w:p w14:paraId="046ED4F3" w14:textId="1BC2A5C5" w:rsidR="003C4759" w:rsidRDefault="00FD564E" w:rsidP="00BB0263">
      <w:pPr>
        <w:pStyle w:val="5Bodytext"/>
      </w:pPr>
      <w:r>
        <w:t>The</w:t>
      </w:r>
      <w:r w:rsidR="003C4759">
        <w:t xml:space="preserve"> resubmission provided a detailed summary of </w:t>
      </w:r>
      <w:r>
        <w:t xml:space="preserve">the </w:t>
      </w:r>
      <w:r w:rsidR="00FD765F">
        <w:t xml:space="preserve">MSAC concerns for the </w:t>
      </w:r>
      <w:r w:rsidR="003C4759">
        <w:t>previous submission (</w:t>
      </w:r>
      <w:r w:rsidR="00D03292">
        <w:t xml:space="preserve">Application </w:t>
      </w:r>
      <w:r w:rsidR="003C4759">
        <w:t>1546</w:t>
      </w:r>
      <w:r w:rsidR="00A94343">
        <w:t xml:space="preserve"> </w:t>
      </w:r>
      <w:r w:rsidR="00A94343" w:rsidRPr="00A94343">
        <w:t>Department-</w:t>
      </w:r>
      <w:r w:rsidR="00D03292">
        <w:t>C</w:t>
      </w:r>
      <w:r w:rsidR="00A94343" w:rsidRPr="00A94343">
        <w:t xml:space="preserve">ontracted </w:t>
      </w:r>
      <w:r w:rsidR="00D03292">
        <w:t>A</w:t>
      </w:r>
      <w:r w:rsidR="00A94343" w:rsidRPr="00A94343">
        <w:t xml:space="preserve">ssessment </w:t>
      </w:r>
      <w:r w:rsidR="00D03292">
        <w:t>R</w:t>
      </w:r>
      <w:r w:rsidR="00A94343" w:rsidRPr="00A94343">
        <w:t xml:space="preserve">eport; </w:t>
      </w:r>
      <w:r w:rsidR="00A94343" w:rsidRPr="00704AA7">
        <w:t>DCAR</w:t>
      </w:r>
      <w:r w:rsidR="003C4759">
        <w:t>)</w:t>
      </w:r>
      <w:r>
        <w:t>,</w:t>
      </w:r>
      <w:r w:rsidR="00182F07">
        <w:t xml:space="preserve"> </w:t>
      </w:r>
      <w:r w:rsidR="003C4759">
        <w:t>and how they have been addressed in the resubmission (Application 1546.1)</w:t>
      </w:r>
      <w:r>
        <w:t xml:space="preserve">. This was summarised by the </w:t>
      </w:r>
      <w:r w:rsidR="00CC3E12">
        <w:t>c</w:t>
      </w:r>
      <w:r>
        <w:t>ommentary in Table 1</w:t>
      </w:r>
      <w:r w:rsidR="003C4759">
        <w:t>.</w:t>
      </w:r>
    </w:p>
    <w:p w14:paraId="758EDF2D" w14:textId="33A6A13A" w:rsidR="003C4759" w:rsidRPr="00F419E6" w:rsidRDefault="003C4759" w:rsidP="003C4759">
      <w:pPr>
        <w:pStyle w:val="Caption"/>
      </w:pPr>
      <w:bookmarkStart w:id="0" w:name="_Ref69480165"/>
      <w:r>
        <w:t>Table</w:t>
      </w:r>
      <w:bookmarkEnd w:id="0"/>
      <w:r w:rsidR="00FD765F">
        <w:t xml:space="preserve"> 1</w:t>
      </w:r>
      <w:r w:rsidRPr="00183E4D">
        <w:tab/>
      </w:r>
      <w:r>
        <w:t xml:space="preserve">Key concerns raised in 2019 </w:t>
      </w:r>
      <w:r w:rsidR="00FD765F">
        <w:t>PSDF</w:t>
      </w:r>
      <w:r>
        <w:t xml:space="preserve"> for Application 1546 and addressed in the reapplication</w:t>
      </w:r>
    </w:p>
    <w:tbl>
      <w:tblPr>
        <w:tblStyle w:val="TableGrid"/>
        <w:tblW w:w="5000" w:type="pct"/>
        <w:tblCellMar>
          <w:left w:w="28" w:type="dxa"/>
          <w:right w:w="28" w:type="dxa"/>
        </w:tblCellMar>
        <w:tblLook w:val="04A0" w:firstRow="1" w:lastRow="0" w:firstColumn="1" w:lastColumn="0" w:noHBand="0" w:noVBand="1"/>
        <w:tblCaption w:val="Key concerns raised in 2019 Public Summary Document for Application 1546 and addressed in the reapplication"/>
        <w:tblDescription w:val="This table lists the key concerns raised in 2019 Public Summary Document for Application 1546 and addressed in the reapplication."/>
      </w:tblPr>
      <w:tblGrid>
        <w:gridCol w:w="332"/>
        <w:gridCol w:w="2836"/>
        <w:gridCol w:w="3116"/>
        <w:gridCol w:w="2732"/>
      </w:tblGrid>
      <w:tr w:rsidR="003C4759" w:rsidRPr="009770A5" w14:paraId="621DC0AF" w14:textId="77777777" w:rsidTr="00FD765F">
        <w:trPr>
          <w:tblHeader/>
        </w:trPr>
        <w:tc>
          <w:tcPr>
            <w:tcW w:w="184" w:type="pct"/>
            <w:tcBorders>
              <w:bottom w:val="single" w:sz="4" w:space="0" w:color="auto"/>
            </w:tcBorders>
          </w:tcPr>
          <w:p w14:paraId="0514C0F4" w14:textId="77777777" w:rsidR="003C4759" w:rsidRPr="009770A5" w:rsidRDefault="003C4759" w:rsidP="003C4759">
            <w:pPr>
              <w:pStyle w:val="TableHeading"/>
              <w:ind w:left="0" w:firstLine="0"/>
              <w:rPr>
                <w:sz w:val="18"/>
                <w:szCs w:val="18"/>
              </w:rPr>
            </w:pPr>
            <w:r>
              <w:rPr>
                <w:sz w:val="18"/>
                <w:szCs w:val="18"/>
              </w:rPr>
              <w:t>No.</w:t>
            </w:r>
          </w:p>
        </w:tc>
        <w:tc>
          <w:tcPr>
            <w:tcW w:w="1573" w:type="pct"/>
            <w:tcBorders>
              <w:bottom w:val="single" w:sz="4" w:space="0" w:color="auto"/>
            </w:tcBorders>
          </w:tcPr>
          <w:p w14:paraId="083B1102" w14:textId="77777777" w:rsidR="003C4759" w:rsidRPr="009770A5" w:rsidRDefault="003C4759" w:rsidP="003C4759">
            <w:pPr>
              <w:pStyle w:val="TableHeading"/>
              <w:ind w:left="0" w:firstLine="0"/>
              <w:rPr>
                <w:sz w:val="18"/>
                <w:szCs w:val="18"/>
              </w:rPr>
            </w:pPr>
            <w:r w:rsidRPr="009770A5">
              <w:rPr>
                <w:sz w:val="18"/>
                <w:szCs w:val="18"/>
              </w:rPr>
              <w:t>Issue for MSAC</w:t>
            </w:r>
          </w:p>
        </w:tc>
        <w:tc>
          <w:tcPr>
            <w:tcW w:w="1728" w:type="pct"/>
            <w:tcBorders>
              <w:bottom w:val="single" w:sz="4" w:space="0" w:color="auto"/>
            </w:tcBorders>
          </w:tcPr>
          <w:p w14:paraId="1DE613A0" w14:textId="77777777" w:rsidR="003C4759" w:rsidRPr="009770A5" w:rsidRDefault="003C4759" w:rsidP="003C4759">
            <w:pPr>
              <w:pStyle w:val="TableHeading"/>
              <w:ind w:left="0" w:firstLine="0"/>
              <w:rPr>
                <w:sz w:val="18"/>
                <w:szCs w:val="18"/>
              </w:rPr>
            </w:pPr>
            <w:r>
              <w:rPr>
                <w:sz w:val="18"/>
                <w:szCs w:val="18"/>
              </w:rPr>
              <w:t>How addressed in reapplication</w:t>
            </w:r>
          </w:p>
        </w:tc>
        <w:tc>
          <w:tcPr>
            <w:tcW w:w="1515" w:type="pct"/>
            <w:tcBorders>
              <w:bottom w:val="single" w:sz="4" w:space="0" w:color="auto"/>
            </w:tcBorders>
          </w:tcPr>
          <w:p w14:paraId="1E8BA310" w14:textId="77777777" w:rsidR="003C4759" w:rsidRPr="009770A5" w:rsidRDefault="003C4759" w:rsidP="003C4759">
            <w:pPr>
              <w:pStyle w:val="TableHeading"/>
              <w:ind w:left="0" w:firstLine="0"/>
              <w:rPr>
                <w:sz w:val="18"/>
                <w:szCs w:val="18"/>
              </w:rPr>
            </w:pPr>
            <w:r w:rsidRPr="009770A5">
              <w:rPr>
                <w:sz w:val="18"/>
                <w:szCs w:val="18"/>
              </w:rPr>
              <w:t>Assessment Group comments</w:t>
            </w:r>
          </w:p>
        </w:tc>
      </w:tr>
      <w:tr w:rsidR="003C4759" w:rsidRPr="009770A5" w14:paraId="78EFEAF7" w14:textId="77777777" w:rsidTr="00FD765F">
        <w:tc>
          <w:tcPr>
            <w:tcW w:w="184" w:type="pct"/>
          </w:tcPr>
          <w:p w14:paraId="2A75E9E5" w14:textId="77777777" w:rsidR="003C4759" w:rsidRPr="009770A5" w:rsidRDefault="003C4759" w:rsidP="003C4759">
            <w:pPr>
              <w:pStyle w:val="Tabletext"/>
              <w:rPr>
                <w:sz w:val="18"/>
                <w:szCs w:val="18"/>
              </w:rPr>
            </w:pPr>
            <w:r>
              <w:rPr>
                <w:sz w:val="18"/>
                <w:szCs w:val="18"/>
              </w:rPr>
              <w:t>1</w:t>
            </w:r>
          </w:p>
        </w:tc>
        <w:tc>
          <w:tcPr>
            <w:tcW w:w="1573" w:type="pct"/>
          </w:tcPr>
          <w:p w14:paraId="089AB463" w14:textId="77777777" w:rsidR="003C4759" w:rsidRPr="009770A5" w:rsidRDefault="003C4759" w:rsidP="003C4759">
            <w:pPr>
              <w:pStyle w:val="Tabletext"/>
              <w:rPr>
                <w:sz w:val="18"/>
                <w:szCs w:val="18"/>
              </w:rPr>
            </w:pPr>
            <w:r w:rsidRPr="00546F18">
              <w:rPr>
                <w:sz w:val="18"/>
                <w:szCs w:val="18"/>
                <w:u w:val="single"/>
              </w:rPr>
              <w:t>Clinical effectiveness</w:t>
            </w:r>
            <w:r>
              <w:rPr>
                <w:sz w:val="18"/>
                <w:szCs w:val="18"/>
              </w:rPr>
              <w:t>: V</w:t>
            </w:r>
            <w:r w:rsidRPr="001B4564">
              <w:rPr>
                <w:sz w:val="18"/>
                <w:szCs w:val="18"/>
              </w:rPr>
              <w:t>ery low confidence in the conclusion that surgery is superior to physical therapy in terms of clinical effectiveness.</w:t>
            </w:r>
          </w:p>
        </w:tc>
        <w:tc>
          <w:tcPr>
            <w:tcW w:w="1728" w:type="pct"/>
          </w:tcPr>
          <w:p w14:paraId="2794EE12" w14:textId="77777777" w:rsidR="003C4759" w:rsidRDefault="003C4759" w:rsidP="003C4759">
            <w:pPr>
              <w:pStyle w:val="Tabletext"/>
              <w:rPr>
                <w:sz w:val="18"/>
                <w:szCs w:val="18"/>
              </w:rPr>
            </w:pPr>
            <w:r>
              <w:rPr>
                <w:sz w:val="18"/>
                <w:szCs w:val="18"/>
              </w:rPr>
              <w:t>The reapplication states that the appropriate comparator is ‘no treatment,’ rather than physical therapy, because abdominoplasty would not be considered unless the RD was unresolved after attempting a physiotherapy/exercise program.</w:t>
            </w:r>
          </w:p>
          <w:p w14:paraId="177DFBF0" w14:textId="77777777" w:rsidR="003C4759" w:rsidRDefault="003C4759" w:rsidP="003C4759">
            <w:pPr>
              <w:pStyle w:val="Tabletext"/>
              <w:rPr>
                <w:sz w:val="18"/>
                <w:szCs w:val="18"/>
              </w:rPr>
            </w:pPr>
            <w:r>
              <w:rPr>
                <w:sz w:val="18"/>
                <w:szCs w:val="18"/>
              </w:rPr>
              <w:t>The reapplication provides additional evidence to support the claim of superior clinical effectiveness compared with ‘no treatment’:</w:t>
            </w:r>
          </w:p>
          <w:p w14:paraId="5736E008" w14:textId="77777777" w:rsidR="003C4759" w:rsidRPr="00D01F94" w:rsidRDefault="003C4759" w:rsidP="003C4759">
            <w:pPr>
              <w:pStyle w:val="Tabletext"/>
              <w:rPr>
                <w:sz w:val="18"/>
                <w:szCs w:val="18"/>
              </w:rPr>
            </w:pPr>
            <w:r w:rsidRPr="00D94930">
              <w:rPr>
                <w:sz w:val="18"/>
                <w:szCs w:val="18"/>
              </w:rPr>
              <w:t>(1</w:t>
            </w:r>
            <w:r>
              <w:rPr>
                <w:sz w:val="18"/>
                <w:szCs w:val="18"/>
              </w:rPr>
              <w:t xml:space="preserve">) </w:t>
            </w:r>
            <w:r w:rsidRPr="00D01F94">
              <w:rPr>
                <w:sz w:val="18"/>
                <w:szCs w:val="18"/>
              </w:rPr>
              <w:t>additional prospective cohort studies of surgical repair of rectus diastasis (n=2; k=170)</w:t>
            </w:r>
          </w:p>
          <w:p w14:paraId="6F3D756F" w14:textId="77777777" w:rsidR="003C4759" w:rsidRPr="00D01F94" w:rsidRDefault="003C4759" w:rsidP="003C4759">
            <w:pPr>
              <w:pStyle w:val="Tabletext"/>
              <w:rPr>
                <w:sz w:val="18"/>
                <w:szCs w:val="18"/>
              </w:rPr>
            </w:pPr>
            <w:r>
              <w:rPr>
                <w:sz w:val="18"/>
                <w:szCs w:val="18"/>
              </w:rPr>
              <w:t>(2) l</w:t>
            </w:r>
            <w:r w:rsidRPr="00D01F94">
              <w:rPr>
                <w:sz w:val="18"/>
                <w:szCs w:val="18"/>
              </w:rPr>
              <w:t xml:space="preserve">ong-term outcomes from the Emanuelsson trial </w:t>
            </w:r>
          </w:p>
          <w:p w14:paraId="23CF1E0F" w14:textId="77777777" w:rsidR="003C4759" w:rsidRPr="00D01F94" w:rsidRDefault="003C4759" w:rsidP="003C4759">
            <w:pPr>
              <w:pStyle w:val="Tabletext"/>
              <w:rPr>
                <w:sz w:val="18"/>
                <w:szCs w:val="18"/>
              </w:rPr>
            </w:pPr>
            <w:r>
              <w:rPr>
                <w:sz w:val="18"/>
                <w:szCs w:val="18"/>
              </w:rPr>
              <w:t xml:space="preserve">(3) </w:t>
            </w:r>
            <w:r w:rsidRPr="00D01F94">
              <w:rPr>
                <w:sz w:val="18"/>
                <w:szCs w:val="18"/>
              </w:rPr>
              <w:t>a retrospective cohort study (n=94 patients) reporting an improvement in quality of life following surgical repair of rectus diastasis.</w:t>
            </w:r>
          </w:p>
          <w:p w14:paraId="5BC0ED4E" w14:textId="77777777" w:rsidR="003C4759" w:rsidRPr="006F4A11" w:rsidRDefault="003C4759" w:rsidP="003C4759">
            <w:pPr>
              <w:pStyle w:val="Tabletext"/>
              <w:rPr>
                <w:sz w:val="18"/>
                <w:szCs w:val="18"/>
              </w:rPr>
            </w:pPr>
            <w:r>
              <w:rPr>
                <w:sz w:val="18"/>
                <w:szCs w:val="18"/>
              </w:rPr>
              <w:t xml:space="preserve">The reapplication proposes </w:t>
            </w:r>
            <w:r w:rsidRPr="00D01F94">
              <w:rPr>
                <w:sz w:val="18"/>
                <w:szCs w:val="18"/>
              </w:rPr>
              <w:t xml:space="preserve">wording of </w:t>
            </w:r>
            <w:r>
              <w:rPr>
                <w:sz w:val="18"/>
                <w:szCs w:val="18"/>
              </w:rPr>
              <w:t xml:space="preserve">the </w:t>
            </w:r>
            <w:r w:rsidRPr="00D01F94">
              <w:rPr>
                <w:sz w:val="18"/>
                <w:szCs w:val="18"/>
              </w:rPr>
              <w:t>MBS item descriptor to limit abdominoplasty to women whose symptoms are refractory to physical therapy</w:t>
            </w:r>
            <w:r w:rsidRPr="0016117A">
              <w:rPr>
                <w:sz w:val="18"/>
                <w:szCs w:val="18"/>
              </w:rPr>
              <w:t xml:space="preserve">. </w:t>
            </w:r>
            <w:r w:rsidRPr="006F4A11">
              <w:rPr>
                <w:sz w:val="18"/>
                <w:szCs w:val="18"/>
              </w:rPr>
              <w:t xml:space="preserve"> </w:t>
            </w:r>
          </w:p>
        </w:tc>
        <w:tc>
          <w:tcPr>
            <w:tcW w:w="1515" w:type="pct"/>
          </w:tcPr>
          <w:p w14:paraId="135CAA99" w14:textId="77777777" w:rsidR="003C4759" w:rsidRPr="00E16866" w:rsidRDefault="003C4759" w:rsidP="003C4759">
            <w:pPr>
              <w:pStyle w:val="Tabletext"/>
              <w:rPr>
                <w:i/>
                <w:iCs/>
                <w:color w:val="1F497D" w:themeColor="text2"/>
                <w:sz w:val="18"/>
                <w:szCs w:val="18"/>
              </w:rPr>
            </w:pPr>
            <w:r w:rsidRPr="00E16866">
              <w:rPr>
                <w:i/>
                <w:iCs/>
                <w:color w:val="1F497D" w:themeColor="text2"/>
                <w:sz w:val="18"/>
                <w:szCs w:val="18"/>
              </w:rPr>
              <w:t>Not satisfactorily resolved. The ADAR has appropriately considered surgery as an additional option after failed conservative treatment rather than a direct comparator to conservative treatment. The ADAR has argued that based on this comparison</w:t>
            </w:r>
            <w:r>
              <w:rPr>
                <w:i/>
                <w:iCs/>
                <w:color w:val="1F497D" w:themeColor="text2"/>
                <w:sz w:val="18"/>
                <w:szCs w:val="18"/>
              </w:rPr>
              <w:t>,</w:t>
            </w:r>
            <w:r w:rsidRPr="00E16866">
              <w:rPr>
                <w:i/>
                <w:iCs/>
                <w:color w:val="1F497D" w:themeColor="text2"/>
                <w:sz w:val="18"/>
                <w:szCs w:val="18"/>
              </w:rPr>
              <w:t xml:space="preserve"> single arm studies with ‘before and after’ results are appropriate evidence. </w:t>
            </w:r>
            <w:r>
              <w:rPr>
                <w:i/>
                <w:iCs/>
                <w:color w:val="1F497D" w:themeColor="text2"/>
                <w:sz w:val="18"/>
                <w:szCs w:val="18"/>
              </w:rPr>
              <w:t>This is</w:t>
            </w:r>
            <w:r w:rsidRPr="00E16866">
              <w:rPr>
                <w:i/>
                <w:iCs/>
                <w:color w:val="1F497D" w:themeColor="text2"/>
                <w:sz w:val="18"/>
                <w:szCs w:val="18"/>
              </w:rPr>
              <w:t xml:space="preserve"> low level evidence at high risk of bias.</w:t>
            </w:r>
          </w:p>
          <w:p w14:paraId="65095A37" w14:textId="77777777" w:rsidR="003C4759" w:rsidRPr="00E16866" w:rsidRDefault="003C4759" w:rsidP="003C4759">
            <w:pPr>
              <w:pStyle w:val="Tabletext"/>
              <w:rPr>
                <w:i/>
                <w:iCs/>
                <w:color w:val="1F497D" w:themeColor="text2"/>
                <w:sz w:val="18"/>
                <w:szCs w:val="18"/>
              </w:rPr>
            </w:pPr>
            <w:r w:rsidRPr="00E16866">
              <w:rPr>
                <w:i/>
                <w:iCs/>
                <w:color w:val="1F497D" w:themeColor="text2"/>
                <w:sz w:val="18"/>
                <w:szCs w:val="18"/>
              </w:rPr>
              <w:t>The additional studies do demonstrate clinically and statistically significant improvements in quality of life and urinary incontinence</w:t>
            </w:r>
            <w:r>
              <w:rPr>
                <w:i/>
                <w:iCs/>
                <w:color w:val="1F497D" w:themeColor="text2"/>
                <w:sz w:val="18"/>
                <w:szCs w:val="18"/>
              </w:rPr>
              <w:t>;</w:t>
            </w:r>
            <w:r w:rsidRPr="00E16866">
              <w:rPr>
                <w:i/>
                <w:iCs/>
                <w:color w:val="1F497D" w:themeColor="text2"/>
                <w:sz w:val="18"/>
                <w:szCs w:val="18"/>
              </w:rPr>
              <w:t xml:space="preserve"> however</w:t>
            </w:r>
            <w:r>
              <w:rPr>
                <w:i/>
                <w:iCs/>
                <w:color w:val="1F497D" w:themeColor="text2"/>
                <w:sz w:val="18"/>
                <w:szCs w:val="18"/>
              </w:rPr>
              <w:t>,</w:t>
            </w:r>
            <w:r w:rsidRPr="00E16866">
              <w:rPr>
                <w:i/>
                <w:iCs/>
                <w:color w:val="1F497D" w:themeColor="text2"/>
                <w:sz w:val="18"/>
                <w:szCs w:val="18"/>
              </w:rPr>
              <w:t xml:space="preserve"> the lack of an external comparator, reliance on patient</w:t>
            </w:r>
            <w:r>
              <w:rPr>
                <w:i/>
                <w:iCs/>
                <w:color w:val="1F497D" w:themeColor="text2"/>
                <w:sz w:val="18"/>
                <w:szCs w:val="18"/>
              </w:rPr>
              <w:t>-</w:t>
            </w:r>
            <w:r w:rsidRPr="00E16866">
              <w:rPr>
                <w:i/>
                <w:iCs/>
                <w:color w:val="1F497D" w:themeColor="text2"/>
                <w:sz w:val="18"/>
                <w:szCs w:val="18"/>
              </w:rPr>
              <w:t>reported outcomes</w:t>
            </w:r>
            <w:r>
              <w:rPr>
                <w:i/>
                <w:iCs/>
                <w:color w:val="1F497D" w:themeColor="text2"/>
                <w:sz w:val="18"/>
                <w:szCs w:val="18"/>
              </w:rPr>
              <w:t xml:space="preserve"> and</w:t>
            </w:r>
            <w:r w:rsidRPr="00E16866">
              <w:rPr>
                <w:i/>
                <w:iCs/>
                <w:color w:val="1F497D" w:themeColor="text2"/>
                <w:sz w:val="18"/>
                <w:szCs w:val="18"/>
              </w:rPr>
              <w:t xml:space="preserve"> applicability concerns reduce confidence in the findings. </w:t>
            </w:r>
          </w:p>
          <w:p w14:paraId="32D6D762" w14:textId="77777777" w:rsidR="003C4759" w:rsidRPr="00E16866" w:rsidRDefault="003C4759" w:rsidP="00F003AB">
            <w:pPr>
              <w:pStyle w:val="Tabletext"/>
              <w:spacing w:before="720"/>
              <w:rPr>
                <w:i/>
                <w:iCs/>
                <w:color w:val="1F497D" w:themeColor="text2"/>
                <w:sz w:val="18"/>
                <w:szCs w:val="18"/>
              </w:rPr>
            </w:pPr>
            <w:r w:rsidRPr="00E16866">
              <w:rPr>
                <w:i/>
                <w:iCs/>
                <w:color w:val="1F497D" w:themeColor="text2"/>
                <w:sz w:val="18"/>
                <w:szCs w:val="18"/>
              </w:rPr>
              <w:t>The proposed MBS item descriptor does not limit abdominoplasty to women who</w:t>
            </w:r>
            <w:r>
              <w:rPr>
                <w:i/>
                <w:iCs/>
                <w:color w:val="1F497D" w:themeColor="text2"/>
                <w:sz w:val="18"/>
                <w:szCs w:val="18"/>
              </w:rPr>
              <w:t>se</w:t>
            </w:r>
            <w:r w:rsidRPr="00E16866">
              <w:rPr>
                <w:i/>
                <w:iCs/>
                <w:color w:val="1F497D" w:themeColor="text2"/>
                <w:sz w:val="18"/>
                <w:szCs w:val="18"/>
              </w:rPr>
              <w:t xml:space="preserve"> symptoms are refractory to physical therapy.  </w:t>
            </w:r>
          </w:p>
        </w:tc>
      </w:tr>
      <w:tr w:rsidR="003C4759" w:rsidRPr="009770A5" w14:paraId="6D50E58D" w14:textId="77777777" w:rsidTr="00FD765F">
        <w:tc>
          <w:tcPr>
            <w:tcW w:w="184" w:type="pct"/>
          </w:tcPr>
          <w:p w14:paraId="2715F18E" w14:textId="77777777" w:rsidR="003C4759" w:rsidRPr="009770A5" w:rsidRDefault="003C4759" w:rsidP="003C4759">
            <w:pPr>
              <w:pStyle w:val="Tabletext"/>
              <w:rPr>
                <w:sz w:val="18"/>
                <w:szCs w:val="18"/>
              </w:rPr>
            </w:pPr>
            <w:r>
              <w:rPr>
                <w:sz w:val="18"/>
                <w:szCs w:val="18"/>
              </w:rPr>
              <w:lastRenderedPageBreak/>
              <w:t>1.a</w:t>
            </w:r>
          </w:p>
        </w:tc>
        <w:tc>
          <w:tcPr>
            <w:tcW w:w="1573" w:type="pct"/>
          </w:tcPr>
          <w:p w14:paraId="0FE096C0" w14:textId="77777777" w:rsidR="003C4759" w:rsidRPr="001B4564" w:rsidRDefault="003C4759" w:rsidP="003C4759">
            <w:pPr>
              <w:pStyle w:val="Tabletext"/>
              <w:rPr>
                <w:sz w:val="18"/>
                <w:szCs w:val="18"/>
              </w:rPr>
            </w:pPr>
            <w:r>
              <w:rPr>
                <w:sz w:val="18"/>
                <w:szCs w:val="18"/>
              </w:rPr>
              <w:t>A</w:t>
            </w:r>
            <w:r w:rsidRPr="001B4564">
              <w:rPr>
                <w:sz w:val="18"/>
                <w:szCs w:val="18"/>
              </w:rPr>
              <w:t xml:space="preserve"> number of issues with the two studies</w:t>
            </w:r>
            <w:r>
              <w:rPr>
                <w:sz w:val="18"/>
                <w:szCs w:val="18"/>
              </w:rPr>
              <w:t xml:space="preserve"> (</w:t>
            </w:r>
            <w:r w:rsidRPr="00BB4E8E">
              <w:rPr>
                <w:sz w:val="18"/>
                <w:szCs w:val="18"/>
              </w:rPr>
              <w:t>Emanuelsson 2016</w:t>
            </w:r>
            <w:r>
              <w:rPr>
                <w:sz w:val="18"/>
                <w:szCs w:val="18"/>
              </w:rPr>
              <w:t>; Taylor 2018)</w:t>
            </w:r>
            <w:r w:rsidRPr="001B4564">
              <w:rPr>
                <w:sz w:val="18"/>
                <w:szCs w:val="18"/>
              </w:rPr>
              <w:t xml:space="preserve"> on which this submission was based</w:t>
            </w:r>
            <w:r>
              <w:rPr>
                <w:sz w:val="18"/>
                <w:szCs w:val="18"/>
              </w:rPr>
              <w:t>.</w:t>
            </w:r>
          </w:p>
        </w:tc>
        <w:tc>
          <w:tcPr>
            <w:tcW w:w="1728" w:type="pct"/>
          </w:tcPr>
          <w:p w14:paraId="536C4401" w14:textId="77777777" w:rsidR="003C4759" w:rsidRPr="009770A5" w:rsidRDefault="003C4759" w:rsidP="003C4759">
            <w:pPr>
              <w:pStyle w:val="Tabletext"/>
              <w:rPr>
                <w:sz w:val="18"/>
                <w:szCs w:val="18"/>
              </w:rPr>
            </w:pPr>
            <w:r w:rsidRPr="003051E8">
              <w:rPr>
                <w:sz w:val="18"/>
                <w:szCs w:val="18"/>
              </w:rPr>
              <w:t xml:space="preserve">The </w:t>
            </w:r>
            <w:r>
              <w:rPr>
                <w:sz w:val="18"/>
                <w:szCs w:val="18"/>
              </w:rPr>
              <w:t xml:space="preserve">two </w:t>
            </w:r>
            <w:r w:rsidRPr="003051E8">
              <w:rPr>
                <w:sz w:val="18"/>
                <w:szCs w:val="18"/>
              </w:rPr>
              <w:t>studies remain key evidence in the reapplication</w:t>
            </w:r>
            <w:r>
              <w:rPr>
                <w:sz w:val="18"/>
                <w:szCs w:val="18"/>
              </w:rPr>
              <w:t xml:space="preserve"> and are not represented or analysed differently. They are supplemented with the new evidence noted above</w:t>
            </w:r>
            <w:r w:rsidRPr="003051E8">
              <w:rPr>
                <w:sz w:val="18"/>
                <w:szCs w:val="18"/>
              </w:rPr>
              <w:t>.</w:t>
            </w:r>
          </w:p>
        </w:tc>
        <w:tc>
          <w:tcPr>
            <w:tcW w:w="1515" w:type="pct"/>
          </w:tcPr>
          <w:p w14:paraId="7B79CBA7" w14:textId="77777777" w:rsidR="003C4759" w:rsidRPr="001B4564" w:rsidRDefault="003C4759" w:rsidP="003C4759">
            <w:pPr>
              <w:pStyle w:val="Tabletext"/>
              <w:rPr>
                <w:i/>
                <w:iCs/>
                <w:color w:val="1F497D" w:themeColor="text2"/>
                <w:sz w:val="18"/>
                <w:szCs w:val="18"/>
                <w:highlight w:val="lightGray"/>
              </w:rPr>
            </w:pPr>
            <w:r w:rsidRPr="00585063">
              <w:rPr>
                <w:i/>
                <w:iCs/>
                <w:color w:val="1F497D" w:themeColor="text2"/>
                <w:sz w:val="18"/>
                <w:szCs w:val="18"/>
              </w:rPr>
              <w:t>The issues identified by MSAC hold</w:t>
            </w:r>
            <w:r>
              <w:rPr>
                <w:i/>
                <w:iCs/>
                <w:color w:val="1F497D" w:themeColor="text2"/>
                <w:sz w:val="18"/>
                <w:szCs w:val="18"/>
              </w:rPr>
              <w:t xml:space="preserve"> for these two studies.</w:t>
            </w:r>
          </w:p>
        </w:tc>
      </w:tr>
      <w:tr w:rsidR="003C4759" w:rsidRPr="009770A5" w14:paraId="14ADEE74" w14:textId="77777777" w:rsidTr="00FD765F">
        <w:tc>
          <w:tcPr>
            <w:tcW w:w="184" w:type="pct"/>
          </w:tcPr>
          <w:p w14:paraId="53834FF4" w14:textId="77777777" w:rsidR="003C4759" w:rsidRPr="009770A5" w:rsidRDefault="003C4759" w:rsidP="003C4759">
            <w:pPr>
              <w:pStyle w:val="Tabletext"/>
              <w:rPr>
                <w:sz w:val="18"/>
                <w:szCs w:val="18"/>
              </w:rPr>
            </w:pPr>
            <w:r>
              <w:rPr>
                <w:sz w:val="18"/>
                <w:szCs w:val="18"/>
              </w:rPr>
              <w:t>1.b</w:t>
            </w:r>
          </w:p>
        </w:tc>
        <w:tc>
          <w:tcPr>
            <w:tcW w:w="1573" w:type="pct"/>
          </w:tcPr>
          <w:p w14:paraId="6F9F15AF" w14:textId="77777777" w:rsidR="003C4759" w:rsidRPr="009770A5" w:rsidRDefault="003C4759" w:rsidP="003C4759">
            <w:pPr>
              <w:pStyle w:val="Tabletext"/>
              <w:rPr>
                <w:sz w:val="18"/>
                <w:szCs w:val="18"/>
              </w:rPr>
            </w:pPr>
            <w:r>
              <w:rPr>
                <w:sz w:val="18"/>
                <w:szCs w:val="18"/>
              </w:rPr>
              <w:t>It was</w:t>
            </w:r>
            <w:r w:rsidRPr="00B613FA">
              <w:rPr>
                <w:sz w:val="18"/>
                <w:szCs w:val="18"/>
              </w:rPr>
              <w:t xml:space="preserve"> noted that the Taylor study had outcomes of back pain-related disability and urinary incontinence. MSAC considered this problematic as it is unclear that rectus diastasis actually causes either of these symptoms, even though this seems to be a commonly held belief. MSAC noted there are many types of urinary incontinence, each requiring a specific diagnosis. Some of which </w:t>
            </w:r>
            <w:r>
              <w:rPr>
                <w:sz w:val="18"/>
                <w:szCs w:val="18"/>
              </w:rPr>
              <w:t>(</w:t>
            </w:r>
            <w:r w:rsidRPr="00B613FA">
              <w:rPr>
                <w:sz w:val="18"/>
                <w:szCs w:val="18"/>
              </w:rPr>
              <w:t>e.g. detrusor instability</w:t>
            </w:r>
            <w:r>
              <w:rPr>
                <w:sz w:val="18"/>
                <w:szCs w:val="18"/>
              </w:rPr>
              <w:t>)</w:t>
            </w:r>
            <w:r w:rsidRPr="00B613FA">
              <w:rPr>
                <w:sz w:val="18"/>
                <w:szCs w:val="18"/>
              </w:rPr>
              <w:t xml:space="preserve"> are treated with medical therapy and would not be ameliorated by repair of the anterior abdominal wall. MSAC noted two papers </w:t>
            </w:r>
            <w:r>
              <w:rPr>
                <w:noProof/>
                <w:sz w:val="18"/>
                <w:szCs w:val="18"/>
              </w:rPr>
              <w:t>(Bø, 2017; Sperstad, 2016)</w:t>
            </w:r>
            <w:r w:rsidRPr="00B613FA">
              <w:rPr>
                <w:sz w:val="18"/>
                <w:szCs w:val="18"/>
              </w:rPr>
              <w:t xml:space="preserve"> that both report on a study of 300 consecutive women with first pregnancy, followed until 12 months post</w:t>
            </w:r>
            <w:r>
              <w:rPr>
                <w:sz w:val="18"/>
                <w:szCs w:val="18"/>
              </w:rPr>
              <w:t>partum</w:t>
            </w:r>
            <w:r w:rsidRPr="00B613FA">
              <w:rPr>
                <w:sz w:val="18"/>
                <w:szCs w:val="18"/>
              </w:rPr>
              <w:t>, which showed no difference in either symptom by the presence or absence of RD</w:t>
            </w:r>
            <w:r>
              <w:rPr>
                <w:sz w:val="18"/>
                <w:szCs w:val="18"/>
              </w:rPr>
              <w:t>.</w:t>
            </w:r>
          </w:p>
        </w:tc>
        <w:tc>
          <w:tcPr>
            <w:tcW w:w="1728" w:type="pct"/>
          </w:tcPr>
          <w:p w14:paraId="0CB711A9" w14:textId="77777777" w:rsidR="003C4759" w:rsidRDefault="003C4759" w:rsidP="003C4759">
            <w:pPr>
              <w:pStyle w:val="Tabletext"/>
              <w:rPr>
                <w:sz w:val="18"/>
                <w:szCs w:val="18"/>
              </w:rPr>
            </w:pPr>
            <w:r>
              <w:rPr>
                <w:sz w:val="18"/>
                <w:szCs w:val="18"/>
              </w:rPr>
              <w:t xml:space="preserve">The reapplication (pp.30-32) includes a narrative review of the signs and symptoms of abdominal rectus diastasis. </w:t>
            </w:r>
            <w:r w:rsidRPr="00656635">
              <w:rPr>
                <w:sz w:val="18"/>
                <w:szCs w:val="18"/>
              </w:rPr>
              <w:t xml:space="preserve">The </w:t>
            </w:r>
            <w:r>
              <w:rPr>
                <w:sz w:val="18"/>
                <w:szCs w:val="18"/>
              </w:rPr>
              <w:t xml:space="preserve">narrative review claims, “The </w:t>
            </w:r>
            <w:r w:rsidRPr="00656635">
              <w:rPr>
                <w:sz w:val="18"/>
                <w:szCs w:val="18"/>
              </w:rPr>
              <w:t>presence of abdominal rectus diastasis is reasonably considered causative of symptoms of pain local to the diastasis and functional impairment. In contrast, the association with symptoms such as low back pain and urinary incontinence is more complex and the literature on this matter is heterogeneous.</w:t>
            </w:r>
            <w:r>
              <w:rPr>
                <w:sz w:val="18"/>
                <w:szCs w:val="18"/>
              </w:rPr>
              <w:t xml:space="preserve">” </w:t>
            </w:r>
          </w:p>
          <w:p w14:paraId="6EF80602" w14:textId="280E7E6D" w:rsidR="003C4759" w:rsidRPr="0013150C" w:rsidRDefault="003C4759" w:rsidP="003C4759">
            <w:pPr>
              <w:pStyle w:val="Tabletext"/>
              <w:rPr>
                <w:sz w:val="18"/>
                <w:szCs w:val="18"/>
              </w:rPr>
            </w:pPr>
            <w:r>
              <w:rPr>
                <w:sz w:val="18"/>
                <w:szCs w:val="18"/>
              </w:rPr>
              <w:t>According to the ADAR (pp.31-32), “T</w:t>
            </w:r>
            <w:r w:rsidRPr="00656635">
              <w:rPr>
                <w:sz w:val="18"/>
                <w:szCs w:val="18"/>
              </w:rPr>
              <w:t xml:space="preserve">he ASPS acknowledges that the presence of abdominal rectus diastasis will not result in persistent low back pain or urinary incontinence in </w:t>
            </w:r>
            <w:r w:rsidRPr="00656635">
              <w:rPr>
                <w:sz w:val="18"/>
                <w:szCs w:val="18"/>
                <w:u w:val="single"/>
              </w:rPr>
              <w:t>all</w:t>
            </w:r>
            <w:r w:rsidRPr="00656635">
              <w:rPr>
                <w:sz w:val="18"/>
                <w:szCs w:val="18"/>
              </w:rPr>
              <w:t xml:space="preserve"> patients. Nonetheless, these symptoms are widely acknowledged as potential sequalae of the presence of abdominal rectus diastasis. On this basis the potential for reducing low back pain and urinary incontinence is considered relevant as part of the assessment of treatments for abdominal rectus diastasis.</w:t>
            </w:r>
            <w:r>
              <w:rPr>
                <w:sz w:val="18"/>
                <w:szCs w:val="18"/>
              </w:rPr>
              <w:t>”</w:t>
            </w:r>
          </w:p>
        </w:tc>
        <w:tc>
          <w:tcPr>
            <w:tcW w:w="1515" w:type="pct"/>
          </w:tcPr>
          <w:p w14:paraId="3C0B77EF" w14:textId="77777777" w:rsidR="003C4759" w:rsidRDefault="003C4759" w:rsidP="003C4759">
            <w:pPr>
              <w:pStyle w:val="Tabletext"/>
              <w:rPr>
                <w:i/>
                <w:iCs/>
                <w:color w:val="1F497D" w:themeColor="text2"/>
                <w:sz w:val="18"/>
                <w:szCs w:val="18"/>
              </w:rPr>
            </w:pPr>
            <w:r w:rsidRPr="00E16866">
              <w:rPr>
                <w:i/>
                <w:iCs/>
                <w:color w:val="1F497D" w:themeColor="text2"/>
                <w:sz w:val="18"/>
                <w:szCs w:val="18"/>
              </w:rPr>
              <w:t>Not satisfactorily resolved.</w:t>
            </w:r>
          </w:p>
          <w:p w14:paraId="1F04D362" w14:textId="77777777" w:rsidR="003C4759" w:rsidRDefault="003C4759" w:rsidP="003C4759">
            <w:pPr>
              <w:pStyle w:val="Tabletext"/>
              <w:rPr>
                <w:i/>
                <w:iCs/>
                <w:color w:val="1F497D" w:themeColor="text2"/>
                <w:sz w:val="18"/>
                <w:szCs w:val="18"/>
              </w:rPr>
            </w:pPr>
            <w:r>
              <w:rPr>
                <w:i/>
                <w:iCs/>
                <w:color w:val="1F497D" w:themeColor="text2"/>
                <w:sz w:val="18"/>
                <w:szCs w:val="18"/>
              </w:rPr>
              <w:t xml:space="preserve">The ADAR refers to a systematic review by </w:t>
            </w:r>
            <w:r>
              <w:rPr>
                <w:i/>
                <w:iCs/>
                <w:noProof/>
                <w:color w:val="1F497D" w:themeColor="text2"/>
                <w:sz w:val="18"/>
                <w:szCs w:val="18"/>
              </w:rPr>
              <w:t>Benjamin (2019)</w:t>
            </w:r>
            <w:r>
              <w:rPr>
                <w:i/>
                <w:iCs/>
                <w:color w:val="1F497D" w:themeColor="text2"/>
                <w:sz w:val="18"/>
                <w:szCs w:val="18"/>
              </w:rPr>
              <w:t>,which concluded “</w:t>
            </w:r>
            <w:r w:rsidRPr="00E40B72">
              <w:rPr>
                <w:i/>
                <w:iCs/>
                <w:color w:val="1F497D" w:themeColor="text2"/>
                <w:sz w:val="18"/>
                <w:szCs w:val="18"/>
              </w:rPr>
              <w:t>There was no significant association between the presence of DRAM and</w:t>
            </w:r>
            <w:r>
              <w:rPr>
                <w:i/>
                <w:iCs/>
                <w:color w:val="1F497D" w:themeColor="text2"/>
                <w:sz w:val="18"/>
                <w:szCs w:val="18"/>
              </w:rPr>
              <w:t xml:space="preserve"> </w:t>
            </w:r>
            <w:r w:rsidRPr="00E40B72">
              <w:rPr>
                <w:i/>
                <w:iCs/>
                <w:color w:val="1F497D" w:themeColor="text2"/>
                <w:sz w:val="18"/>
                <w:szCs w:val="18"/>
              </w:rPr>
              <w:t>lumbo-pelvic pain or incontinence. There was a small association between the presence of DRAM and pelvic organ prolapse. DRAM width</w:t>
            </w:r>
            <w:r>
              <w:rPr>
                <w:i/>
                <w:iCs/>
                <w:color w:val="1F497D" w:themeColor="text2"/>
                <w:sz w:val="18"/>
                <w:szCs w:val="18"/>
              </w:rPr>
              <w:t xml:space="preserve"> </w:t>
            </w:r>
            <w:r w:rsidRPr="00E40B72">
              <w:rPr>
                <w:i/>
                <w:iCs/>
                <w:color w:val="1F497D" w:themeColor="text2"/>
                <w:sz w:val="18"/>
                <w:szCs w:val="18"/>
              </w:rPr>
              <w:t xml:space="preserve">may be associated with </w:t>
            </w:r>
            <w:r>
              <w:rPr>
                <w:i/>
                <w:iCs/>
                <w:color w:val="1F497D" w:themeColor="text2"/>
                <w:sz w:val="18"/>
                <w:szCs w:val="18"/>
              </w:rPr>
              <w:t>HRQoL</w:t>
            </w:r>
            <w:r w:rsidRPr="00E40B72">
              <w:rPr>
                <w:i/>
                <w:iCs/>
                <w:color w:val="1F497D" w:themeColor="text2"/>
                <w:sz w:val="18"/>
                <w:szCs w:val="18"/>
              </w:rPr>
              <w:t>, abdominal muscle strength and severity of low back pain. Quality of studies was weak. There was variability in the methods used to assess DRAM.</w:t>
            </w:r>
            <w:r>
              <w:rPr>
                <w:i/>
                <w:iCs/>
                <w:color w:val="1F497D" w:themeColor="text2"/>
                <w:sz w:val="18"/>
                <w:szCs w:val="18"/>
              </w:rPr>
              <w:t>”</w:t>
            </w:r>
          </w:p>
          <w:p w14:paraId="172E1BFD" w14:textId="77777777" w:rsidR="003C4759" w:rsidRPr="009770A5" w:rsidRDefault="003C4759" w:rsidP="003C4759">
            <w:pPr>
              <w:pStyle w:val="Tabletext"/>
              <w:rPr>
                <w:i/>
                <w:iCs/>
                <w:color w:val="1F497D" w:themeColor="text2"/>
                <w:sz w:val="18"/>
                <w:szCs w:val="18"/>
              </w:rPr>
            </w:pPr>
            <w:r>
              <w:rPr>
                <w:i/>
                <w:iCs/>
                <w:color w:val="1F497D" w:themeColor="text2"/>
                <w:sz w:val="18"/>
                <w:szCs w:val="18"/>
              </w:rPr>
              <w:t xml:space="preserve">The association with HRQoL is based on the key trial </w:t>
            </w:r>
            <w:r w:rsidRPr="00BB4E8E">
              <w:rPr>
                <w:i/>
                <w:iCs/>
                <w:color w:val="1F497D" w:themeColor="text2"/>
                <w:sz w:val="18"/>
                <w:szCs w:val="18"/>
              </w:rPr>
              <w:t>Emanuelsson (2016)</w:t>
            </w:r>
            <w:r>
              <w:rPr>
                <w:i/>
                <w:iCs/>
                <w:color w:val="1F497D" w:themeColor="text2"/>
                <w:sz w:val="18"/>
                <w:szCs w:val="18"/>
              </w:rPr>
              <w:t>.</w:t>
            </w:r>
          </w:p>
        </w:tc>
      </w:tr>
      <w:tr w:rsidR="003C4759" w:rsidRPr="009770A5" w14:paraId="3CD3211B" w14:textId="77777777" w:rsidTr="00FD765F">
        <w:tc>
          <w:tcPr>
            <w:tcW w:w="184" w:type="pct"/>
          </w:tcPr>
          <w:p w14:paraId="6FA1A637" w14:textId="77777777" w:rsidR="003C4759" w:rsidRPr="009770A5" w:rsidRDefault="003C4759" w:rsidP="003C4759">
            <w:pPr>
              <w:pStyle w:val="Tabletext"/>
              <w:rPr>
                <w:sz w:val="18"/>
                <w:szCs w:val="18"/>
              </w:rPr>
            </w:pPr>
            <w:r>
              <w:rPr>
                <w:sz w:val="18"/>
                <w:szCs w:val="18"/>
              </w:rPr>
              <w:t>2</w:t>
            </w:r>
          </w:p>
        </w:tc>
        <w:tc>
          <w:tcPr>
            <w:tcW w:w="1573" w:type="pct"/>
          </w:tcPr>
          <w:p w14:paraId="27727029" w14:textId="77777777" w:rsidR="003C4759" w:rsidRPr="00AF75A2" w:rsidRDefault="003C4759" w:rsidP="003C4759">
            <w:pPr>
              <w:pStyle w:val="Tabletext"/>
              <w:rPr>
                <w:sz w:val="18"/>
                <w:szCs w:val="18"/>
              </w:rPr>
            </w:pPr>
            <w:r w:rsidRPr="00546F18">
              <w:rPr>
                <w:sz w:val="18"/>
                <w:szCs w:val="18"/>
                <w:u w:val="single"/>
              </w:rPr>
              <w:t>Economic evaluation:</w:t>
            </w:r>
            <w:r>
              <w:rPr>
                <w:sz w:val="18"/>
                <w:szCs w:val="18"/>
              </w:rPr>
              <w:t xml:space="preserve"> </w:t>
            </w:r>
            <w:r w:rsidRPr="00AF75A2">
              <w:rPr>
                <w:sz w:val="18"/>
                <w:szCs w:val="18"/>
              </w:rPr>
              <w:t>It was noted that the ICER is in the range typically considered to be acceptable at $40</w:t>
            </w:r>
            <w:r>
              <w:rPr>
                <w:sz w:val="18"/>
                <w:szCs w:val="18"/>
              </w:rPr>
              <w:t> </w:t>
            </w:r>
            <w:r w:rsidRPr="00AF75A2">
              <w:rPr>
                <w:sz w:val="18"/>
                <w:szCs w:val="18"/>
              </w:rPr>
              <w:t>000 per quality-adjusted life year, and there is a modest financial impact of $1.4 million per year. These are conditional on the procedure not being used in women who want it for cosmetic purposes (noting that this was the reason the item was removed from the MBS). However, since the clinical evidence is uncertain, the cost-effectiveness is also uncertain.</w:t>
            </w:r>
          </w:p>
        </w:tc>
        <w:tc>
          <w:tcPr>
            <w:tcW w:w="1728" w:type="pct"/>
          </w:tcPr>
          <w:p w14:paraId="47787D8A" w14:textId="77777777" w:rsidR="003C4759" w:rsidRPr="00AF75A2" w:rsidRDefault="003C4759" w:rsidP="003C4759">
            <w:pPr>
              <w:pStyle w:val="Tabletext"/>
              <w:rPr>
                <w:sz w:val="18"/>
                <w:szCs w:val="18"/>
              </w:rPr>
            </w:pPr>
            <w:r>
              <w:rPr>
                <w:sz w:val="18"/>
                <w:szCs w:val="18"/>
              </w:rPr>
              <w:t>The Applicant claims that the a</w:t>
            </w:r>
            <w:r w:rsidRPr="00AF75A2">
              <w:rPr>
                <w:sz w:val="18"/>
                <w:szCs w:val="18"/>
              </w:rPr>
              <w:t>dditional clinical evidence provided reduces uncertainty in the assessment of cost-effectiveness.</w:t>
            </w:r>
          </w:p>
          <w:p w14:paraId="7474EE92" w14:textId="77777777" w:rsidR="003C4759" w:rsidRPr="009770A5" w:rsidRDefault="003C4759" w:rsidP="003C4759">
            <w:pPr>
              <w:pStyle w:val="Tabletext"/>
              <w:rPr>
                <w:sz w:val="18"/>
                <w:szCs w:val="18"/>
              </w:rPr>
            </w:pPr>
            <w:r>
              <w:rPr>
                <w:sz w:val="18"/>
                <w:szCs w:val="18"/>
              </w:rPr>
              <w:t>Also, u</w:t>
            </w:r>
            <w:r w:rsidRPr="00AF75A2">
              <w:rPr>
                <w:sz w:val="18"/>
                <w:szCs w:val="18"/>
              </w:rPr>
              <w:t xml:space="preserve">pdated inputs </w:t>
            </w:r>
            <w:r>
              <w:rPr>
                <w:sz w:val="18"/>
                <w:szCs w:val="18"/>
              </w:rPr>
              <w:t>that</w:t>
            </w:r>
            <w:r w:rsidRPr="00AF75A2">
              <w:rPr>
                <w:sz w:val="18"/>
                <w:szCs w:val="18"/>
              </w:rPr>
              <w:t xml:space="preserve"> better reflect </w:t>
            </w:r>
            <w:r>
              <w:rPr>
                <w:sz w:val="18"/>
                <w:szCs w:val="18"/>
              </w:rPr>
              <w:t xml:space="preserve">the </w:t>
            </w:r>
            <w:r w:rsidRPr="00AF75A2">
              <w:rPr>
                <w:sz w:val="18"/>
                <w:szCs w:val="18"/>
              </w:rPr>
              <w:t xml:space="preserve">requested funding arrangement for abdominoplasty and the natural history of disease </w:t>
            </w:r>
            <w:r>
              <w:rPr>
                <w:sz w:val="18"/>
                <w:szCs w:val="18"/>
              </w:rPr>
              <w:t xml:space="preserve">have been </w:t>
            </w:r>
            <w:r w:rsidRPr="00AF75A2">
              <w:rPr>
                <w:sz w:val="18"/>
                <w:szCs w:val="18"/>
              </w:rPr>
              <w:t>applied in the economic evaluation.</w:t>
            </w:r>
          </w:p>
        </w:tc>
        <w:tc>
          <w:tcPr>
            <w:tcW w:w="1515" w:type="pct"/>
          </w:tcPr>
          <w:p w14:paraId="44F15644" w14:textId="77777777" w:rsidR="003C4759" w:rsidRDefault="003C4759" w:rsidP="003C4759">
            <w:pPr>
              <w:pStyle w:val="Tabletext"/>
              <w:rPr>
                <w:i/>
                <w:iCs/>
                <w:color w:val="1F497D" w:themeColor="text2"/>
                <w:sz w:val="18"/>
                <w:szCs w:val="18"/>
              </w:rPr>
            </w:pPr>
            <w:r w:rsidRPr="00FF5114">
              <w:rPr>
                <w:i/>
                <w:iCs/>
                <w:color w:val="1F497D" w:themeColor="text2"/>
                <w:sz w:val="18"/>
                <w:szCs w:val="18"/>
              </w:rPr>
              <w:t xml:space="preserve">Not resolved. The additional clinical evidence is at high risk of bias and does not reduce uncertainty in the clinical claim of superior clinical effectiveness compared with standard care. Regardless, the additional evidence is not used in the economic model. </w:t>
            </w:r>
          </w:p>
          <w:p w14:paraId="79875906" w14:textId="77777777" w:rsidR="003C4759" w:rsidRPr="00E40B72" w:rsidRDefault="003C4759" w:rsidP="003C4759">
            <w:pPr>
              <w:pStyle w:val="Tabletext"/>
              <w:rPr>
                <w:i/>
                <w:iCs/>
                <w:color w:val="1F497D" w:themeColor="text2"/>
                <w:sz w:val="18"/>
                <w:szCs w:val="18"/>
                <w:highlight w:val="yellow"/>
              </w:rPr>
            </w:pPr>
            <w:r>
              <w:rPr>
                <w:i/>
                <w:iCs/>
                <w:color w:val="1F497D" w:themeColor="text2"/>
                <w:sz w:val="18"/>
                <w:szCs w:val="18"/>
              </w:rPr>
              <w:t>The structure of the economic model does not reflect the revised comparison presented in the ADAR.</w:t>
            </w:r>
          </w:p>
        </w:tc>
      </w:tr>
    </w:tbl>
    <w:p w14:paraId="0AA9EAAB" w14:textId="4EDC0682" w:rsidR="003C4759" w:rsidRPr="00585063" w:rsidRDefault="003C4759" w:rsidP="009555C2">
      <w:pPr>
        <w:pStyle w:val="Tablenotes"/>
      </w:pPr>
      <w:r w:rsidRPr="00585063">
        <w:t xml:space="preserve">Source: </w:t>
      </w:r>
      <w:r w:rsidRPr="00585063">
        <w:rPr>
          <w:iCs/>
        </w:rPr>
        <w:t xml:space="preserve">Table constructed for the </w:t>
      </w:r>
      <w:r w:rsidR="00CC3E12">
        <w:rPr>
          <w:iCs/>
        </w:rPr>
        <w:t>c</w:t>
      </w:r>
      <w:r w:rsidRPr="00585063">
        <w:rPr>
          <w:iCs/>
        </w:rPr>
        <w:t xml:space="preserve">ommentary, </w:t>
      </w:r>
      <w:r w:rsidRPr="00585063">
        <w:t>based</w:t>
      </w:r>
      <w:r w:rsidR="00FD765F">
        <w:t xml:space="preserve"> on the PSD for Application 1546</w:t>
      </w:r>
      <w:r w:rsidRPr="00585063">
        <w:t xml:space="preserve"> and the ADAR, with </w:t>
      </w:r>
      <w:r w:rsidR="00CC3E12">
        <w:t>c</w:t>
      </w:r>
      <w:r w:rsidRPr="00585063">
        <w:t>ommentary additions in italics</w:t>
      </w:r>
      <w:r w:rsidR="00902EF6">
        <w:t xml:space="preserve"> [Table 14, pp27-28 of the </w:t>
      </w:r>
      <w:r w:rsidR="00CC3E12">
        <w:t>c</w:t>
      </w:r>
      <w:r w:rsidR="00902EF6">
        <w:t>ommentary</w:t>
      </w:r>
    </w:p>
    <w:p w14:paraId="7C6994E9" w14:textId="268AD716" w:rsidR="00B411FE" w:rsidRPr="007D0728" w:rsidRDefault="003C4759" w:rsidP="009555C2">
      <w:pPr>
        <w:pStyle w:val="Tablenotes"/>
      </w:pPr>
      <w:r w:rsidRPr="00585063">
        <w:t>ADAR</w:t>
      </w:r>
      <w:r>
        <w:t xml:space="preserve"> </w:t>
      </w:r>
      <w:r w:rsidRPr="00585063">
        <w:t>=</w:t>
      </w:r>
      <w:r>
        <w:t xml:space="preserve"> </w:t>
      </w:r>
      <w:r w:rsidRPr="00585063">
        <w:t xml:space="preserve">Applicant </w:t>
      </w:r>
      <w:r>
        <w:t>D</w:t>
      </w:r>
      <w:r w:rsidRPr="00585063">
        <w:t xml:space="preserve">eveloped </w:t>
      </w:r>
      <w:r>
        <w:t>A</w:t>
      </w:r>
      <w:r w:rsidRPr="00585063">
        <w:t xml:space="preserve">ssessment </w:t>
      </w:r>
      <w:r>
        <w:t>R</w:t>
      </w:r>
      <w:r w:rsidRPr="00585063">
        <w:t xml:space="preserve">eport; </w:t>
      </w:r>
      <w:r>
        <w:t xml:space="preserve">ASPS = </w:t>
      </w:r>
      <w:r w:rsidRPr="008F709C">
        <w:t>Australian Society of Plastic Surgeons</w:t>
      </w:r>
      <w:r>
        <w:t xml:space="preserve">; DRAM = diastasis of the rectus abdominis muscle; </w:t>
      </w:r>
      <w:r w:rsidRPr="00585063">
        <w:t>HRQoL=</w:t>
      </w:r>
      <w:r>
        <w:t xml:space="preserve"> </w:t>
      </w:r>
      <w:r w:rsidRPr="00585063">
        <w:t xml:space="preserve">health-related quality of life; </w:t>
      </w:r>
      <w:r>
        <w:t xml:space="preserve">ICER = incremental cost-effectiveness ratio; </w:t>
      </w:r>
      <w:r w:rsidRPr="00585063">
        <w:t>MBS</w:t>
      </w:r>
      <w:r>
        <w:t xml:space="preserve"> </w:t>
      </w:r>
      <w:r w:rsidRPr="00585063">
        <w:t>=</w:t>
      </w:r>
      <w:r>
        <w:t xml:space="preserve"> </w:t>
      </w:r>
      <w:r w:rsidRPr="00585063">
        <w:t xml:space="preserve">Medicare Benefits Schedule; </w:t>
      </w:r>
      <w:r>
        <w:t xml:space="preserve">MSAC = Medical Services Advisory Committee; </w:t>
      </w:r>
      <w:r w:rsidRPr="00585063">
        <w:t>PSD</w:t>
      </w:r>
      <w:r>
        <w:t xml:space="preserve"> </w:t>
      </w:r>
      <w:r w:rsidRPr="00585063">
        <w:t>=</w:t>
      </w:r>
      <w:r>
        <w:t xml:space="preserve"> </w:t>
      </w:r>
      <w:r w:rsidRPr="00585063">
        <w:t xml:space="preserve">Public Summary Document; </w:t>
      </w:r>
      <w:r>
        <w:t>RD = rectus diastasis</w:t>
      </w:r>
    </w:p>
    <w:p w14:paraId="33D0131A" w14:textId="41FB2377" w:rsidR="00BB26AB" w:rsidRPr="009555C2" w:rsidRDefault="00065623" w:rsidP="00B411FE">
      <w:pPr>
        <w:pStyle w:val="Heading1"/>
        <w:spacing w:before="240"/>
        <w:rPr>
          <w:rFonts w:ascii="Arial" w:hAnsi="Arial" w:cs="Arial"/>
        </w:rPr>
      </w:pPr>
      <w:r w:rsidRPr="007D0728">
        <w:rPr>
          <w:rFonts w:ascii="Arial" w:hAnsi="Arial" w:cs="Arial"/>
        </w:rPr>
        <w:t>Prerequisites to implementation of any funding advice</w:t>
      </w:r>
    </w:p>
    <w:p w14:paraId="5F01F8F5" w14:textId="26418259" w:rsidR="00972D5F" w:rsidRDefault="00FD765F" w:rsidP="009555C2">
      <w:pPr>
        <w:spacing w:before="240" w:after="240"/>
      </w:pPr>
      <w:r>
        <w:t xml:space="preserve">This was unchanged from the previous submission; refer to the </w:t>
      </w:r>
      <w:hyperlink r:id="rId11" w:history="1">
        <w:r w:rsidRPr="00902EF6">
          <w:rPr>
            <w:rStyle w:val="Hyperlink"/>
          </w:rPr>
          <w:t xml:space="preserve">PSD Application </w:t>
        </w:r>
        <w:r w:rsidR="00902EF6" w:rsidRPr="00902EF6">
          <w:rPr>
            <w:rStyle w:val="Hyperlink"/>
          </w:rPr>
          <w:t>1546, November 2019</w:t>
        </w:r>
      </w:hyperlink>
      <w:r w:rsidR="00902EF6">
        <w:t>.</w:t>
      </w:r>
    </w:p>
    <w:p w14:paraId="40843CBD" w14:textId="3AA35741" w:rsidR="00972D5F" w:rsidRPr="009555C2" w:rsidRDefault="00065623" w:rsidP="00972D5F">
      <w:pPr>
        <w:pStyle w:val="Heading1"/>
        <w:rPr>
          <w:rFonts w:ascii="Arial" w:hAnsi="Arial" w:cs="Arial"/>
        </w:rPr>
      </w:pPr>
      <w:r w:rsidRPr="007D0728">
        <w:rPr>
          <w:rFonts w:ascii="Arial" w:hAnsi="Arial" w:cs="Arial"/>
        </w:rPr>
        <w:t>Proposal for public funding</w:t>
      </w:r>
    </w:p>
    <w:p w14:paraId="29EB21E5" w14:textId="27573574" w:rsidR="0056195F" w:rsidRPr="006B6F55" w:rsidRDefault="00972D5F" w:rsidP="009555C2">
      <w:pPr>
        <w:spacing w:before="240" w:after="240"/>
      </w:pPr>
      <w:r>
        <w:t xml:space="preserve">The </w:t>
      </w:r>
      <w:r w:rsidRPr="006B6F55">
        <w:t>MBS item descriptor</w:t>
      </w:r>
      <w:r>
        <w:t xml:space="preserve"> </w:t>
      </w:r>
      <w:r w:rsidRPr="006B6F55">
        <w:t>proposed</w:t>
      </w:r>
      <w:r>
        <w:t xml:space="preserve"> in the </w:t>
      </w:r>
      <w:r w:rsidR="00597092">
        <w:t>ADAR</w:t>
      </w:r>
      <w:r w:rsidRPr="006B6F55">
        <w:t xml:space="preserve"> </w:t>
      </w:r>
      <w:r>
        <w:t xml:space="preserve">is </w:t>
      </w:r>
      <w:r w:rsidR="00902EF6">
        <w:t>summarised</w:t>
      </w:r>
      <w:r>
        <w:t xml:space="preserve"> in</w:t>
      </w:r>
      <w:r w:rsidR="00902EF6">
        <w:t xml:space="preserve"> Table 2</w:t>
      </w:r>
      <w:r w:rsidRPr="006B6F55">
        <w:t>.</w:t>
      </w:r>
      <w:r w:rsidR="00597092">
        <w:t xml:space="preserve"> The applicant-proposed amendments to the item descriptor provided in the ADAR are marked up in red; and amendment</w:t>
      </w:r>
      <w:r w:rsidR="00E22548">
        <w:t>s</w:t>
      </w:r>
      <w:r w:rsidR="00597092">
        <w:t xml:space="preserve"> to the </w:t>
      </w:r>
      <w:r w:rsidR="00597092" w:rsidRPr="002E2CEE">
        <w:t>item descriptor</w:t>
      </w:r>
      <w:r w:rsidR="00597092">
        <w:t xml:space="preserve"> (with accompanying Explanatory Note) provided in the pre-ESC</w:t>
      </w:r>
      <w:r w:rsidR="00902EF6">
        <w:t xml:space="preserve"> response</w:t>
      </w:r>
      <w:r w:rsidR="00E22548">
        <w:t xml:space="preserve"> and pre-MSAC response</w:t>
      </w:r>
      <w:r w:rsidR="00902EF6">
        <w:t xml:space="preserve"> is marked up in blue</w:t>
      </w:r>
      <w:r w:rsidR="00E22548">
        <w:t xml:space="preserve"> and purple, respectively</w:t>
      </w:r>
      <w:r w:rsidR="00902EF6">
        <w:t>.</w:t>
      </w:r>
    </w:p>
    <w:p w14:paraId="20C4F731" w14:textId="429B019A" w:rsidR="00972D5F" w:rsidRPr="00C9079E" w:rsidRDefault="00972D5F" w:rsidP="00972D5F">
      <w:pPr>
        <w:pStyle w:val="Caption"/>
      </w:pPr>
      <w:bookmarkStart w:id="1" w:name="_Ref69480816"/>
      <w:r>
        <w:lastRenderedPageBreak/>
        <w:t>Table</w:t>
      </w:r>
      <w:bookmarkEnd w:id="1"/>
      <w:r w:rsidR="00EE52E1">
        <w:t xml:space="preserve"> 2</w:t>
      </w:r>
      <w:r>
        <w:tab/>
      </w:r>
      <w:r w:rsidR="00597092">
        <w:t>Applicant-p</w:t>
      </w:r>
      <w:r w:rsidRPr="00C03585">
        <w:t>roposed MBS item descriptor</w:t>
      </w:r>
      <w:r w:rsidR="00C9079E">
        <w:t>:</w:t>
      </w:r>
      <w:r>
        <w:t xml:space="preserve"> </w:t>
      </w:r>
      <w:r w:rsidR="00396CCF">
        <w:t xml:space="preserve">ADAR </w:t>
      </w:r>
      <w:r>
        <w:t xml:space="preserve">changes </w:t>
      </w:r>
      <w:r w:rsidR="00FE13D7">
        <w:t>with</w:t>
      </w:r>
      <w:r>
        <w:t xml:space="preserve"> the </w:t>
      </w:r>
      <w:r w:rsidR="00BB0263">
        <w:t>previous</w:t>
      </w:r>
      <w:r w:rsidR="00FE13D7">
        <w:t xml:space="preserve"> </w:t>
      </w:r>
      <w:r w:rsidR="00396CCF">
        <w:t>DCAR</w:t>
      </w:r>
      <w:r w:rsidR="00597092">
        <w:t xml:space="preserve"> </w:t>
      </w:r>
      <w:r w:rsidR="00C9079E">
        <w:t>marked up</w:t>
      </w:r>
      <w:r>
        <w:t xml:space="preserve"> </w:t>
      </w:r>
      <w:r w:rsidRPr="00CD73D6">
        <w:rPr>
          <w:color w:val="FF0000"/>
        </w:rPr>
        <w:t>in red</w:t>
      </w:r>
      <w:r w:rsidR="00396CCF">
        <w:t xml:space="preserve">; </w:t>
      </w:r>
      <w:r w:rsidR="00C9079E">
        <w:t xml:space="preserve">Pre-ESC response changes marked up </w:t>
      </w:r>
      <w:r w:rsidR="00C9079E" w:rsidRPr="00C9079E">
        <w:rPr>
          <w:color w:val="0070C0"/>
        </w:rPr>
        <w:t>in blue</w:t>
      </w:r>
      <w:r w:rsidR="00ED782B">
        <w:t xml:space="preserve">; Pre-MSAC response changes marked up in </w:t>
      </w:r>
      <w:r w:rsidR="00ED782B">
        <w:rPr>
          <w:color w:val="7030A0"/>
        </w:rPr>
        <w:t>purple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posed MBS item descriptor with changes compared to the DCAR "/>
        <w:tblDescription w:val="The table includes the category 3017X and Category 3 Therapeutic procedures. "/>
      </w:tblPr>
      <w:tblGrid>
        <w:gridCol w:w="9016"/>
      </w:tblGrid>
      <w:tr w:rsidR="00972D5F" w:rsidRPr="00D33FC3" w14:paraId="59306165" w14:textId="77777777" w:rsidTr="0036773E">
        <w:tc>
          <w:tcPr>
            <w:tcW w:w="5000" w:type="pct"/>
          </w:tcPr>
          <w:p w14:paraId="3F4BC77A" w14:textId="77777777" w:rsidR="00972D5F" w:rsidRPr="00D33FC3" w:rsidRDefault="00972D5F" w:rsidP="0036773E">
            <w:pPr>
              <w:pStyle w:val="Tabletextright"/>
              <w:rPr>
                <w:sz w:val="24"/>
              </w:rPr>
            </w:pPr>
            <w:r>
              <w:rPr>
                <w:b/>
              </w:rPr>
              <w:t>Category 3017X – Category 3 – Therapeutic Procedures</w:t>
            </w:r>
          </w:p>
        </w:tc>
      </w:tr>
      <w:tr w:rsidR="00972D5F" w:rsidRPr="00C03585" w14:paraId="04993D10" w14:textId="77777777" w:rsidTr="0036773E">
        <w:tc>
          <w:tcPr>
            <w:tcW w:w="5000" w:type="pct"/>
          </w:tcPr>
          <w:p w14:paraId="301543DF" w14:textId="77777777" w:rsidR="00972D5F" w:rsidRPr="003169A2" w:rsidRDefault="00972D5F" w:rsidP="0036773E">
            <w:pPr>
              <w:pStyle w:val="Tabletext"/>
              <w:keepNext/>
              <w:rPr>
                <w:snapToGrid w:val="0"/>
              </w:rPr>
            </w:pPr>
            <w:r w:rsidRPr="003169A2">
              <w:rPr>
                <w:snapToGrid w:val="0"/>
              </w:rPr>
              <w:t>Group T8 – surgical operations</w:t>
            </w:r>
          </w:p>
          <w:p w14:paraId="48653591" w14:textId="57AA58A3" w:rsidR="00972D5F" w:rsidRPr="003169A2" w:rsidRDefault="00972D5F" w:rsidP="009555C2">
            <w:pPr>
              <w:pStyle w:val="Tabletext"/>
              <w:keepNext/>
              <w:spacing w:before="0" w:after="240"/>
              <w:rPr>
                <w:snapToGrid w:val="0"/>
              </w:rPr>
            </w:pPr>
            <w:r w:rsidRPr="003169A2">
              <w:rPr>
                <w:snapToGrid w:val="0"/>
              </w:rPr>
              <w:t>Subgroup 1 – general</w:t>
            </w:r>
          </w:p>
          <w:p w14:paraId="6DC4D73C" w14:textId="4F994ED4" w:rsidR="00972D5F" w:rsidRPr="003169A2" w:rsidRDefault="00972D5F" w:rsidP="0036773E">
            <w:pPr>
              <w:pStyle w:val="Tabletext"/>
              <w:keepNext/>
              <w:rPr>
                <w:snapToGrid w:val="0"/>
              </w:rPr>
            </w:pPr>
            <w:r w:rsidRPr="00EB2795">
              <w:rPr>
                <w:strike/>
                <w:snapToGrid w:val="0"/>
                <w:color w:val="FF0000"/>
              </w:rPr>
              <w:t>Lipectomy,</w:t>
            </w:r>
            <w:r w:rsidRPr="00DF33D2">
              <w:rPr>
                <w:snapToGrid w:val="0"/>
                <w:color w:val="FF0000"/>
              </w:rPr>
              <w:t xml:space="preserve"> </w:t>
            </w:r>
            <w:r w:rsidRPr="00DF33D2">
              <w:rPr>
                <w:snapToGrid w:val="0"/>
              </w:rPr>
              <w:t>R</w:t>
            </w:r>
            <w:r w:rsidRPr="003169A2">
              <w:rPr>
                <w:snapToGrid w:val="0"/>
              </w:rPr>
              <w:t xml:space="preserve">adical abdominoplasty </w:t>
            </w:r>
            <w:r w:rsidRPr="00014E6B">
              <w:rPr>
                <w:strike/>
                <w:snapToGrid w:val="0"/>
                <w:color w:val="7030A0"/>
              </w:rPr>
              <w:t>(Pitanguy type or similar)</w:t>
            </w:r>
            <w:r w:rsidRPr="003169A2">
              <w:rPr>
                <w:snapToGrid w:val="0"/>
              </w:rPr>
              <w:t>, with</w:t>
            </w:r>
            <w:r w:rsidR="00ED782B">
              <w:rPr>
                <w:snapToGrid w:val="0"/>
                <w:color w:val="7030A0"/>
              </w:rPr>
              <w:t xml:space="preserve"> repair of rectus diastasis</w:t>
            </w:r>
            <w:r w:rsidRPr="003169A2">
              <w:rPr>
                <w:snapToGrid w:val="0"/>
              </w:rPr>
              <w:t xml:space="preserve"> excision of skin and subcutaneous tissue, </w:t>
            </w:r>
            <w:r w:rsidRPr="00014E6B">
              <w:rPr>
                <w:strike/>
                <w:snapToGrid w:val="0"/>
                <w:color w:val="7030A0"/>
              </w:rPr>
              <w:t>repair of musculoaponeurotic layer</w:t>
            </w:r>
            <w:r w:rsidRPr="00014E6B">
              <w:rPr>
                <w:snapToGrid w:val="0"/>
                <w:color w:val="7030A0"/>
              </w:rPr>
              <w:t xml:space="preserve"> </w:t>
            </w:r>
            <w:r w:rsidRPr="003169A2">
              <w:rPr>
                <w:snapToGrid w:val="0"/>
              </w:rPr>
              <w:t xml:space="preserve">and transposition of umbilicus, </w:t>
            </w:r>
            <w:r w:rsidR="00ED782B">
              <w:rPr>
                <w:snapToGrid w:val="0"/>
                <w:color w:val="7030A0"/>
              </w:rPr>
              <w:t xml:space="preserve">not being a laparascopic procedure, </w:t>
            </w:r>
            <w:r w:rsidRPr="003169A2">
              <w:rPr>
                <w:snapToGrid w:val="0"/>
              </w:rPr>
              <w:t>not being a service associated with a service to which item 30165,</w:t>
            </w:r>
            <w:r w:rsidR="00776599">
              <w:rPr>
                <w:snapToGrid w:val="0"/>
                <w:color w:val="7030A0"/>
              </w:rPr>
              <w:t xml:space="preserve"> 30403, 30405, </w:t>
            </w:r>
            <w:r w:rsidRPr="003169A2">
              <w:rPr>
                <w:snapToGrid w:val="0"/>
              </w:rPr>
              <w:t>30168, 30171, 30172, 30176, 30177, 30179, 45530, 45564 or 45565 applies, and where it can be demonstrated, by</w:t>
            </w:r>
            <w:r>
              <w:rPr>
                <w:snapToGrid w:val="0"/>
              </w:rPr>
              <w:t xml:space="preserve"> </w:t>
            </w:r>
            <w:r>
              <w:rPr>
                <w:snapToGrid w:val="0"/>
                <w:color w:val="FF0000"/>
              </w:rPr>
              <w:t>measurement with Vernier calipers at a specialist consultation or with diagnostic</w:t>
            </w:r>
            <w:r w:rsidRPr="003169A2">
              <w:rPr>
                <w:snapToGrid w:val="0"/>
              </w:rPr>
              <w:t xml:space="preserve"> </w:t>
            </w:r>
            <w:r w:rsidRPr="00951EFE">
              <w:rPr>
                <w:strike/>
                <w:snapToGrid w:val="0"/>
                <w:color w:val="FF0000"/>
              </w:rPr>
              <w:t>pre</w:t>
            </w:r>
            <w:r>
              <w:rPr>
                <w:strike/>
                <w:snapToGrid w:val="0"/>
                <w:color w:val="FF0000"/>
              </w:rPr>
              <w:t>procedure</w:t>
            </w:r>
            <w:r w:rsidRPr="00951EFE">
              <w:rPr>
                <w:strike/>
                <w:snapToGrid w:val="0"/>
                <w:color w:val="FF0000"/>
              </w:rPr>
              <w:t xml:space="preserve"> </w:t>
            </w:r>
            <w:r w:rsidRPr="003169A2">
              <w:rPr>
                <w:snapToGrid w:val="0"/>
              </w:rPr>
              <w:t>imaging, that the patient has an abdominal wall defect as a consequence of pregnancy and must:</w:t>
            </w:r>
          </w:p>
          <w:p w14:paraId="0C120A8F" w14:textId="77777777" w:rsidR="00D05CD1" w:rsidRPr="003169A2" w:rsidRDefault="00D05CD1" w:rsidP="00D05CD1">
            <w:pPr>
              <w:pStyle w:val="Tabletext"/>
              <w:keepNext/>
              <w:ind w:left="851" w:hanging="851"/>
              <w:rPr>
                <w:snapToGrid w:val="0"/>
              </w:rPr>
            </w:pPr>
            <w:r>
              <w:rPr>
                <w:snapToGrid w:val="0"/>
              </w:rPr>
              <w:t>a</w:t>
            </w:r>
            <w:r w:rsidRPr="003169A2">
              <w:rPr>
                <w:snapToGrid w:val="0"/>
              </w:rPr>
              <w:t>)</w:t>
            </w:r>
            <w:r w:rsidRPr="003169A2">
              <w:rPr>
                <w:snapToGrid w:val="0"/>
              </w:rPr>
              <w:tab/>
              <w:t xml:space="preserve">not be receiving this service </w:t>
            </w:r>
            <w:r>
              <w:rPr>
                <w:snapToGrid w:val="0"/>
              </w:rPr>
              <w:t xml:space="preserve">(once per lifetime) </w:t>
            </w:r>
            <w:r w:rsidRPr="003169A2">
              <w:rPr>
                <w:snapToGrid w:val="0"/>
              </w:rPr>
              <w:t>within 12 months after the end of a pregnancy;</w:t>
            </w:r>
          </w:p>
          <w:p w14:paraId="2B2BBEEE" w14:textId="77777777" w:rsidR="00D05CD1" w:rsidRPr="003169A2" w:rsidRDefault="00D05CD1" w:rsidP="00D05CD1">
            <w:pPr>
              <w:pStyle w:val="Tabletext"/>
              <w:keepNext/>
              <w:ind w:left="851" w:hanging="851"/>
              <w:rPr>
                <w:snapToGrid w:val="0"/>
              </w:rPr>
            </w:pPr>
            <w:r>
              <w:rPr>
                <w:snapToGrid w:val="0"/>
              </w:rPr>
              <w:t>b</w:t>
            </w:r>
            <w:r w:rsidRPr="003169A2">
              <w:rPr>
                <w:snapToGrid w:val="0"/>
              </w:rPr>
              <w:t>)</w:t>
            </w:r>
            <w:r w:rsidRPr="003169A2">
              <w:rPr>
                <w:snapToGrid w:val="0"/>
              </w:rPr>
              <w:tab/>
              <w:t xml:space="preserve">have a diastasis of at least 3cm (measured by </w:t>
            </w:r>
            <w:r w:rsidRPr="007E7413">
              <w:rPr>
                <w:strike/>
                <w:snapToGrid w:val="0"/>
                <w:color w:val="FF0000"/>
              </w:rPr>
              <w:t>appropriate</w:t>
            </w:r>
            <w:r w:rsidRPr="003169A2">
              <w:rPr>
                <w:snapToGrid w:val="0"/>
              </w:rPr>
              <w:t xml:space="preserve"> </w:t>
            </w:r>
            <w:r w:rsidRPr="00AC5C32">
              <w:rPr>
                <w:snapToGrid w:val="0"/>
                <w:color w:val="FF0000"/>
              </w:rPr>
              <w:t>Vernier ca</w:t>
            </w:r>
            <w:r>
              <w:rPr>
                <w:snapToGrid w:val="0"/>
                <w:color w:val="FF0000"/>
              </w:rPr>
              <w:t>l</w:t>
            </w:r>
            <w:r w:rsidRPr="00AC5C32">
              <w:rPr>
                <w:snapToGrid w:val="0"/>
                <w:color w:val="FF0000"/>
              </w:rPr>
              <w:t>l</w:t>
            </w:r>
            <w:r>
              <w:rPr>
                <w:snapToGrid w:val="0"/>
                <w:color w:val="FF0000"/>
              </w:rPr>
              <w:t>ipers</w:t>
            </w:r>
            <w:r>
              <w:rPr>
                <w:snapToGrid w:val="0"/>
              </w:rPr>
              <w:t xml:space="preserve"> or </w:t>
            </w:r>
            <w:r w:rsidRPr="003169A2">
              <w:rPr>
                <w:snapToGrid w:val="0"/>
              </w:rPr>
              <w:t>diagnostic imaging); and</w:t>
            </w:r>
          </w:p>
          <w:p w14:paraId="48488607" w14:textId="0D93E0F7" w:rsidR="00D05CD1" w:rsidRDefault="00D05CD1" w:rsidP="00D05CD1">
            <w:pPr>
              <w:pStyle w:val="Tabletext"/>
              <w:keepNext/>
              <w:ind w:left="851" w:hanging="851"/>
              <w:rPr>
                <w:strike/>
                <w:snapToGrid w:val="0"/>
                <w:color w:val="FF0000"/>
              </w:rPr>
            </w:pPr>
            <w:r>
              <w:rPr>
                <w:snapToGrid w:val="0"/>
              </w:rPr>
              <w:t>c</w:t>
            </w:r>
            <w:r w:rsidRPr="003169A2">
              <w:rPr>
                <w:snapToGrid w:val="0"/>
              </w:rPr>
              <w:t xml:space="preserve">) </w:t>
            </w:r>
            <w:r w:rsidRPr="003169A2">
              <w:rPr>
                <w:snapToGrid w:val="0"/>
              </w:rPr>
              <w:tab/>
              <w:t xml:space="preserve">have documented </w:t>
            </w:r>
            <w:r w:rsidRPr="00AC5C32">
              <w:rPr>
                <w:strike/>
                <w:snapToGrid w:val="0"/>
                <w:color w:val="FF0000"/>
              </w:rPr>
              <w:t>functional</w:t>
            </w:r>
            <w:r w:rsidRPr="003169A2">
              <w:rPr>
                <w:snapToGrid w:val="0"/>
              </w:rPr>
              <w:t xml:space="preserve"> symptoms (in the case notes) of</w:t>
            </w:r>
            <w:r>
              <w:rPr>
                <w:snapToGrid w:val="0"/>
              </w:rPr>
              <w:t xml:space="preserve"> </w:t>
            </w:r>
            <w:r>
              <w:rPr>
                <w:snapToGrid w:val="0"/>
                <w:color w:val="FF0000"/>
              </w:rPr>
              <w:t>pain or discomfort at the site of the diastasis in the abdominal wall during functional use and</w:t>
            </w:r>
            <w:r w:rsidR="00776599">
              <w:rPr>
                <w:snapToGrid w:val="0"/>
                <w:color w:val="7030A0"/>
              </w:rPr>
              <w:t>/or</w:t>
            </w:r>
            <w:r>
              <w:rPr>
                <w:snapToGrid w:val="0"/>
                <w:color w:val="FF0000"/>
              </w:rPr>
              <w:t xml:space="preserve"> </w:t>
            </w:r>
            <w:r w:rsidRPr="003169A2">
              <w:rPr>
                <w:snapToGrid w:val="0"/>
              </w:rPr>
              <w:t>low</w:t>
            </w:r>
            <w:r w:rsidRPr="00EB4C89">
              <w:rPr>
                <w:strike/>
                <w:snapToGrid w:val="0"/>
                <w:color w:val="FF0000"/>
              </w:rPr>
              <w:t>er</w:t>
            </w:r>
            <w:r w:rsidRPr="003169A2">
              <w:rPr>
                <w:snapToGrid w:val="0"/>
              </w:rPr>
              <w:t xml:space="preserve"> back pain</w:t>
            </w:r>
            <w:r w:rsidRPr="00547D78">
              <w:rPr>
                <w:strike/>
                <w:snapToGrid w:val="0"/>
                <w:color w:val="FF0000"/>
              </w:rPr>
              <w:t>, combined with daily pain or discomfort at the site of the diastasis in the abdominal wall during functional use</w:t>
            </w:r>
            <w:r>
              <w:rPr>
                <w:strike/>
                <w:snapToGrid w:val="0"/>
                <w:color w:val="FF0000"/>
              </w:rPr>
              <w:t>;</w:t>
            </w:r>
            <w:r w:rsidRPr="0047152F">
              <w:rPr>
                <w:snapToGrid w:val="0"/>
                <w:color w:val="FF0000"/>
              </w:rPr>
              <w:t xml:space="preserve"> and</w:t>
            </w:r>
          </w:p>
          <w:p w14:paraId="26D36DF4" w14:textId="234B474B" w:rsidR="00C9079E" w:rsidRPr="009555C2" w:rsidRDefault="00D05CD1" w:rsidP="009555C2">
            <w:pPr>
              <w:pStyle w:val="Tabletext"/>
              <w:keepNext/>
              <w:spacing w:before="0" w:after="240"/>
              <w:ind w:left="851" w:hanging="851"/>
              <w:rPr>
                <w:snapToGrid w:val="0"/>
                <w:color w:val="0070C0"/>
              </w:rPr>
            </w:pPr>
            <w:r w:rsidRPr="00D05CD1">
              <w:rPr>
                <w:snapToGrid w:val="0"/>
                <w:color w:val="0070C0"/>
              </w:rPr>
              <w:t xml:space="preserve">d) </w:t>
            </w:r>
            <w:r w:rsidRPr="00D05CD1">
              <w:rPr>
                <w:snapToGrid w:val="0"/>
                <w:color w:val="0070C0"/>
              </w:rPr>
              <w:tab/>
              <w:t>have failed to respond to conservative treatment (non-surgical)</w:t>
            </w:r>
          </w:p>
          <w:p w14:paraId="49287ED7" w14:textId="77777777" w:rsidR="00972D5F" w:rsidRDefault="00972D5F" w:rsidP="0036773E">
            <w:pPr>
              <w:pStyle w:val="Tabletext"/>
              <w:keepNext/>
              <w:rPr>
                <w:snapToGrid w:val="0"/>
              </w:rPr>
            </w:pPr>
            <w:r w:rsidRPr="003169A2">
              <w:rPr>
                <w:snapToGrid w:val="0"/>
              </w:rPr>
              <w:t>(H)</w:t>
            </w:r>
          </w:p>
          <w:p w14:paraId="269C596D" w14:textId="77777777" w:rsidR="00972D5F" w:rsidRDefault="00972D5F" w:rsidP="0036773E">
            <w:pPr>
              <w:pStyle w:val="Tabletext"/>
              <w:keepNext/>
              <w:rPr>
                <w:snapToGrid w:val="0"/>
              </w:rPr>
            </w:pPr>
            <w:r w:rsidRPr="00C4543F">
              <w:rPr>
                <w:snapToGrid w:val="0"/>
              </w:rPr>
              <w:t>Multiple Operation Rule (Anaes.) (Assist.)</w:t>
            </w:r>
          </w:p>
          <w:p w14:paraId="3196E343" w14:textId="3929C754" w:rsidR="00C9079E" w:rsidRDefault="00C9079E" w:rsidP="0036773E">
            <w:pPr>
              <w:pStyle w:val="Tabletext"/>
              <w:keepNext/>
              <w:rPr>
                <w:snapToGrid w:val="0"/>
                <w:sz w:val="24"/>
              </w:rPr>
            </w:pPr>
            <w:r w:rsidRPr="00C9079E">
              <w:rPr>
                <w:snapToGrid w:val="0"/>
                <w:color w:val="0070C0"/>
              </w:rPr>
              <w:t>See para TN.8.X of explanatory notes to this Category)</w:t>
            </w:r>
          </w:p>
        </w:tc>
      </w:tr>
      <w:tr w:rsidR="00972D5F" w:rsidRPr="00C03585" w14:paraId="6D4DD1F1" w14:textId="77777777" w:rsidTr="0036773E">
        <w:tc>
          <w:tcPr>
            <w:tcW w:w="5000" w:type="pct"/>
          </w:tcPr>
          <w:p w14:paraId="05C83960" w14:textId="685CA479" w:rsidR="00972D5F" w:rsidRDefault="00972D5F" w:rsidP="0036773E">
            <w:pPr>
              <w:pStyle w:val="Tabletext"/>
              <w:keepNext/>
              <w:rPr>
                <w:sz w:val="24"/>
              </w:rPr>
            </w:pPr>
            <w:r>
              <w:t>Fee: $</w:t>
            </w:r>
            <w:r w:rsidR="00776599" w:rsidRPr="00014E6B">
              <w:rPr>
                <w:color w:val="7030A0"/>
              </w:rPr>
              <w:t>1,025.60</w:t>
            </w:r>
            <w:r w:rsidRPr="00014E6B">
              <w:rPr>
                <w:color w:val="7030A0"/>
              </w:rPr>
              <w:t xml:space="preserve"> </w:t>
            </w:r>
            <w:r>
              <w:t>Benefit: 75% = $</w:t>
            </w:r>
            <w:r w:rsidR="00776599" w:rsidRPr="00014E6B">
              <w:rPr>
                <w:color w:val="7030A0"/>
              </w:rPr>
              <w:t>769.20</w:t>
            </w:r>
          </w:p>
        </w:tc>
      </w:tr>
    </w:tbl>
    <w:p w14:paraId="35D33808" w14:textId="7C99C3C3" w:rsidR="00FE13D7" w:rsidRDefault="00972D5F" w:rsidP="009555C2">
      <w:pPr>
        <w:pStyle w:val="Tablenotes"/>
      </w:pPr>
      <w:r>
        <w:t xml:space="preserve">Source: </w:t>
      </w:r>
      <w:r w:rsidR="00C9079E">
        <w:t xml:space="preserve">Compiled from </w:t>
      </w:r>
      <w:r>
        <w:t>ADAR Table 5 (p.39)</w:t>
      </w:r>
      <w:r w:rsidR="00C9079E">
        <w:t xml:space="preserve"> and Pre-ESC response</w:t>
      </w:r>
      <w:r w:rsidR="00FE13D7">
        <w:t xml:space="preserve"> Table </w:t>
      </w:r>
      <w:r w:rsidR="00D05CD1">
        <w:t>1 (p5)</w:t>
      </w:r>
    </w:p>
    <w:p w14:paraId="3565CE0C" w14:textId="77777777" w:rsidR="00FE13D7" w:rsidRPr="00902EF6" w:rsidRDefault="00FE13D7" w:rsidP="00902EF6">
      <w:pPr>
        <w:pStyle w:val="Tablenotes1"/>
        <w:rPr>
          <w:b/>
        </w:rPr>
      </w:pPr>
      <w:bookmarkStart w:id="2" w:name="_Hlk79744329"/>
      <w:r w:rsidRPr="00902EF6">
        <w:rPr>
          <w:b/>
        </w:rPr>
        <w:t>Proposed Explanatory Note Wording</w:t>
      </w:r>
    </w:p>
    <w:p w14:paraId="5D7C01FC" w14:textId="4BDB3DAB" w:rsidR="00972D5F" w:rsidRPr="00902EF6" w:rsidRDefault="00FE13D7" w:rsidP="00902EF6">
      <w:pPr>
        <w:pStyle w:val="Tablenotes1"/>
      </w:pPr>
      <w:r w:rsidRPr="009A548A">
        <w:t>In the context of eligibility for item XXXXX, acceptable examples of conservative non-surgical treatment include symptomatic management with pain medication, lower back braces, lifestyle changes, physiotherapy and/or exercise.</w:t>
      </w:r>
    </w:p>
    <w:bookmarkEnd w:id="2"/>
    <w:p w14:paraId="508282AF" w14:textId="47B35977" w:rsidR="00285107" w:rsidRPr="00285107" w:rsidRDefault="00C17FE2" w:rsidP="00285107">
      <w:pPr>
        <w:widowControl w:val="0"/>
        <w:rPr>
          <w:szCs w:val="24"/>
        </w:rPr>
      </w:pPr>
      <w:r>
        <w:rPr>
          <w:szCs w:val="24"/>
        </w:rPr>
        <w:t xml:space="preserve">In </w:t>
      </w:r>
      <w:r w:rsidR="00285107" w:rsidRPr="00285107">
        <w:rPr>
          <w:szCs w:val="24"/>
        </w:rPr>
        <w:t xml:space="preserve">the 1546 </w:t>
      </w:r>
      <w:r w:rsidR="00285107" w:rsidRPr="00396CCF">
        <w:rPr>
          <w:szCs w:val="24"/>
        </w:rPr>
        <w:t>PSD,</w:t>
      </w:r>
      <w:r w:rsidR="00285107" w:rsidRPr="00285107">
        <w:rPr>
          <w:szCs w:val="24"/>
        </w:rPr>
        <w:t xml:space="preserve"> MSAC noted that the item was removed because of concerns of use in women who wanted the procedure for cosmetic reasons. </w:t>
      </w:r>
      <w:r>
        <w:rPr>
          <w:szCs w:val="24"/>
        </w:rPr>
        <w:t xml:space="preserve">The commentary stated that </w:t>
      </w:r>
      <w:r w:rsidR="00285107" w:rsidRPr="00285107">
        <w:rPr>
          <w:szCs w:val="24"/>
        </w:rPr>
        <w:t>MSAC may wish to consider the following as they relate to this concern:</w:t>
      </w:r>
    </w:p>
    <w:p w14:paraId="39DC41A6" w14:textId="5BF37926" w:rsidR="00285107" w:rsidRDefault="00285107" w:rsidP="00C17FE2">
      <w:pPr>
        <w:pStyle w:val="ListParagraph"/>
        <w:widowControl w:val="0"/>
        <w:numPr>
          <w:ilvl w:val="0"/>
          <w:numId w:val="15"/>
        </w:numPr>
        <w:rPr>
          <w:szCs w:val="24"/>
        </w:rPr>
      </w:pPr>
      <w:r w:rsidRPr="00C17FE2">
        <w:rPr>
          <w:szCs w:val="24"/>
        </w:rPr>
        <w:t xml:space="preserve">Consider whether the excision of skin and subcutaneous tissue is required (the clinical evidence included in Section B relates to surgical repair of rectus diastasis, but not all procedures involved radical abdominoplasty, refer to Section B.4 Table 27 and Section C Table 45). MSAC may wish to consider whether the proposed descriptor should have no emphasis on the removal of skin and fat. Rather than retaining the phrase ‘radical abdominoplasty (Pitanguy type or similar), with excision of skin and subcutaneous tissue,’ the descriptor could focus solely on repair </w:t>
      </w:r>
      <w:r w:rsidR="00E90717">
        <w:rPr>
          <w:szCs w:val="24"/>
        </w:rPr>
        <w:t>of the musculoaponeurotic layer</w:t>
      </w:r>
    </w:p>
    <w:p w14:paraId="51CF617C" w14:textId="5EA98A90" w:rsidR="00285107" w:rsidRDefault="00285107" w:rsidP="00285107">
      <w:pPr>
        <w:pStyle w:val="ListParagraph"/>
        <w:widowControl w:val="0"/>
        <w:numPr>
          <w:ilvl w:val="0"/>
          <w:numId w:val="15"/>
        </w:numPr>
        <w:rPr>
          <w:szCs w:val="24"/>
        </w:rPr>
      </w:pPr>
      <w:r w:rsidRPr="00C17FE2">
        <w:rPr>
          <w:szCs w:val="24"/>
        </w:rPr>
        <w:t>Consider whether the use of Vernier calipers is appropriate. PASC advised that a requirement for pre-procedure imaging may help restrict use of the item for medical rather than cosmetic use. The use of Vernier calipers is justified based on a single study of 50 women which compared measurements made using calipers with those of ultrasound. It is claimed this will reduce MBS costs associated with ultrasound procedure</w:t>
      </w:r>
      <w:r w:rsidR="00E90717">
        <w:rPr>
          <w:szCs w:val="24"/>
        </w:rPr>
        <w:t>s (MBS item 55812, Fee $110.75)</w:t>
      </w:r>
    </w:p>
    <w:p w14:paraId="1BDBA645" w14:textId="61815249" w:rsidR="00285107" w:rsidRDefault="00285107" w:rsidP="00C17FE2">
      <w:pPr>
        <w:pStyle w:val="ListParagraph"/>
        <w:widowControl w:val="0"/>
        <w:numPr>
          <w:ilvl w:val="0"/>
          <w:numId w:val="15"/>
        </w:numPr>
        <w:rPr>
          <w:szCs w:val="24"/>
        </w:rPr>
      </w:pPr>
      <w:r w:rsidRPr="00C17FE2">
        <w:rPr>
          <w:szCs w:val="24"/>
        </w:rPr>
        <w:t>The proposed item descriptor stipulates that the service must not be received within 12 months after the end of a pregnancy. MSAC may wish to consider whether the exclusion period</w:t>
      </w:r>
      <w:r w:rsidR="00C17FE2">
        <w:rPr>
          <w:szCs w:val="24"/>
        </w:rPr>
        <w:t xml:space="preserve"> should be extended to 2 years [as per </w:t>
      </w:r>
      <w:r w:rsidR="00C17FE2" w:rsidRPr="00C17FE2">
        <w:rPr>
          <w:szCs w:val="24"/>
        </w:rPr>
        <w:t>Swedish National Guidelines</w:t>
      </w:r>
      <w:r w:rsidR="00C17FE2">
        <w:rPr>
          <w:szCs w:val="24"/>
        </w:rPr>
        <w:t xml:space="preserve">; </w:t>
      </w:r>
      <w:r w:rsidR="00C17FE2">
        <w:rPr>
          <w:noProof/>
        </w:rPr>
        <w:t>Carlstedt et al. (2020)</w:t>
      </w:r>
      <w:r w:rsidR="00C17FE2">
        <w:rPr>
          <w:rStyle w:val="FootnoteReference"/>
          <w:noProof/>
        </w:rPr>
        <w:footnoteReference w:id="1"/>
      </w:r>
      <w:r w:rsidR="00C17FE2">
        <w:rPr>
          <w:szCs w:val="24"/>
        </w:rPr>
        <w:t>]</w:t>
      </w:r>
    </w:p>
    <w:p w14:paraId="54865ED6" w14:textId="14F056FC" w:rsidR="00285107" w:rsidRDefault="00285107" w:rsidP="00285107">
      <w:pPr>
        <w:pStyle w:val="ListParagraph"/>
        <w:widowControl w:val="0"/>
        <w:numPr>
          <w:ilvl w:val="0"/>
          <w:numId w:val="15"/>
        </w:numPr>
        <w:rPr>
          <w:szCs w:val="24"/>
        </w:rPr>
      </w:pPr>
      <w:r w:rsidRPr="00C17FE2">
        <w:rPr>
          <w:szCs w:val="24"/>
        </w:rPr>
        <w:lastRenderedPageBreak/>
        <w:t>The proposed item descriptor does not stipulate that patient must have failed conservative treatment. This omission may result in surgery being used first-line or after an insufficient trial of conser</w:t>
      </w:r>
      <w:r w:rsidR="00E90717">
        <w:rPr>
          <w:szCs w:val="24"/>
        </w:rPr>
        <w:t>vative management</w:t>
      </w:r>
    </w:p>
    <w:p w14:paraId="41F1134E" w14:textId="25A64470" w:rsidR="00285107" w:rsidRDefault="00285107" w:rsidP="00285107">
      <w:pPr>
        <w:pStyle w:val="ListParagraph"/>
        <w:widowControl w:val="0"/>
        <w:numPr>
          <w:ilvl w:val="0"/>
          <w:numId w:val="15"/>
        </w:numPr>
        <w:rPr>
          <w:szCs w:val="24"/>
        </w:rPr>
      </w:pPr>
      <w:r w:rsidRPr="00C17FE2">
        <w:rPr>
          <w:szCs w:val="24"/>
        </w:rPr>
        <w:t>The proposed fee is the same as existing items for the same procedure in different populations (MBS items 30176 and 30177). The Applicant has provided no information to justify the comparability of these procedures in terms of time and complexity. Given the key focus of this operation post-pregnancy is the repair of the musculoaponeurotic layer, there maybe differences in time and complexit</w:t>
      </w:r>
      <w:r w:rsidR="00E90717">
        <w:rPr>
          <w:szCs w:val="24"/>
        </w:rPr>
        <w:t>y compared to other populations</w:t>
      </w:r>
    </w:p>
    <w:p w14:paraId="3EB259C8" w14:textId="6C3A8A4A" w:rsidR="00BE396E" w:rsidRDefault="00285107" w:rsidP="00285107">
      <w:pPr>
        <w:pStyle w:val="ListParagraph"/>
        <w:widowControl w:val="0"/>
        <w:numPr>
          <w:ilvl w:val="0"/>
          <w:numId w:val="15"/>
        </w:numPr>
        <w:rPr>
          <w:szCs w:val="24"/>
        </w:rPr>
      </w:pPr>
      <w:r w:rsidRPr="00C17FE2">
        <w:rPr>
          <w:szCs w:val="24"/>
        </w:rPr>
        <w:t>MSAC may wish to consider whether the description of symptoms is sufficiently useful in the proposed MBS item. There is no stated duration, frequency o</w:t>
      </w:r>
      <w:r w:rsidR="00D7558B">
        <w:rPr>
          <w:szCs w:val="24"/>
        </w:rPr>
        <w:t>r</w:t>
      </w:r>
      <w:r w:rsidRPr="00C17FE2">
        <w:rPr>
          <w:szCs w:val="24"/>
        </w:rPr>
        <w:t xml:space="preserve"> level of severity for functional impairments, abdominal or back pain.</w:t>
      </w:r>
    </w:p>
    <w:p w14:paraId="07D8E3B3" w14:textId="1DC8AD83" w:rsidR="00C17FE2" w:rsidRPr="00C17FE2" w:rsidRDefault="00C17FE2" w:rsidP="009555C2">
      <w:pPr>
        <w:widowControl w:val="0"/>
        <w:spacing w:before="240" w:after="240"/>
        <w:rPr>
          <w:szCs w:val="24"/>
        </w:rPr>
      </w:pPr>
      <w:r w:rsidRPr="00C17FE2">
        <w:rPr>
          <w:szCs w:val="24"/>
        </w:rPr>
        <w:t>In</w:t>
      </w:r>
      <w:r>
        <w:rPr>
          <w:szCs w:val="24"/>
        </w:rPr>
        <w:t xml:space="preserve"> the pre-ESC response</w:t>
      </w:r>
      <w:r w:rsidR="00F57877">
        <w:rPr>
          <w:szCs w:val="24"/>
        </w:rPr>
        <w:t>,</w:t>
      </w:r>
      <w:r>
        <w:rPr>
          <w:szCs w:val="24"/>
        </w:rPr>
        <w:t xml:space="preserve"> the applicant</w:t>
      </w:r>
      <w:r w:rsidR="00C9079E">
        <w:rPr>
          <w:szCs w:val="24"/>
        </w:rPr>
        <w:t xml:space="preserve"> </w:t>
      </w:r>
      <w:r>
        <w:rPr>
          <w:szCs w:val="24"/>
        </w:rPr>
        <w:t>proposed</w:t>
      </w:r>
      <w:r w:rsidRPr="00C17FE2">
        <w:rPr>
          <w:szCs w:val="24"/>
        </w:rPr>
        <w:t xml:space="preserve"> a further amendment</w:t>
      </w:r>
      <w:r w:rsidR="00C9079E">
        <w:rPr>
          <w:szCs w:val="24"/>
        </w:rPr>
        <w:t xml:space="preserve"> </w:t>
      </w:r>
      <w:r>
        <w:rPr>
          <w:szCs w:val="24"/>
        </w:rPr>
        <w:t>to the item descriptor</w:t>
      </w:r>
      <w:r w:rsidR="00C9079E">
        <w:rPr>
          <w:szCs w:val="24"/>
        </w:rPr>
        <w:t xml:space="preserve"> </w:t>
      </w:r>
      <w:r w:rsidR="00C9079E">
        <w:t xml:space="preserve">(with accompanying Explanatory Note) </w:t>
      </w:r>
      <w:r w:rsidRPr="00C17FE2">
        <w:rPr>
          <w:szCs w:val="24"/>
        </w:rPr>
        <w:t>specifying that a patient must have failed co</w:t>
      </w:r>
      <w:r>
        <w:rPr>
          <w:szCs w:val="24"/>
        </w:rPr>
        <w:t>nservative treatment (</w:t>
      </w:r>
      <w:r w:rsidR="00F57877">
        <w:rPr>
          <w:szCs w:val="24"/>
        </w:rPr>
        <w:t>see Table 1 above</w:t>
      </w:r>
      <w:r>
        <w:rPr>
          <w:szCs w:val="24"/>
        </w:rPr>
        <w:t>).</w:t>
      </w:r>
    </w:p>
    <w:p w14:paraId="5B2B1A02" w14:textId="1A6C9C51" w:rsidR="00775963" w:rsidRPr="007D0728" w:rsidRDefault="00775963" w:rsidP="00451310">
      <w:pPr>
        <w:pStyle w:val="Heading1"/>
        <w:rPr>
          <w:rFonts w:ascii="Arial" w:hAnsi="Arial" w:cs="Arial"/>
        </w:rPr>
      </w:pPr>
      <w:r w:rsidRPr="007D0728">
        <w:rPr>
          <w:rFonts w:ascii="Arial" w:hAnsi="Arial" w:cs="Arial"/>
        </w:rPr>
        <w:t xml:space="preserve">Summary of </w:t>
      </w:r>
      <w:r w:rsidR="007D0728">
        <w:rPr>
          <w:rFonts w:ascii="Arial" w:hAnsi="Arial" w:cs="Arial"/>
        </w:rPr>
        <w:t>p</w:t>
      </w:r>
      <w:r w:rsidRPr="007D0728">
        <w:rPr>
          <w:rFonts w:ascii="Arial" w:hAnsi="Arial" w:cs="Arial"/>
        </w:rPr>
        <w:t xml:space="preserve">ublic </w:t>
      </w:r>
      <w:r w:rsidR="007D0728">
        <w:rPr>
          <w:rFonts w:ascii="Arial" w:hAnsi="Arial" w:cs="Arial"/>
        </w:rPr>
        <w:t>c</w:t>
      </w:r>
      <w:r w:rsidRPr="007D0728">
        <w:rPr>
          <w:rFonts w:ascii="Arial" w:hAnsi="Arial" w:cs="Arial"/>
        </w:rPr>
        <w:t xml:space="preserve">onsultation </w:t>
      </w:r>
      <w:r w:rsidR="007D0728">
        <w:rPr>
          <w:rFonts w:ascii="Arial" w:hAnsi="Arial" w:cs="Arial"/>
        </w:rPr>
        <w:t>f</w:t>
      </w:r>
      <w:r w:rsidRPr="007D0728">
        <w:rPr>
          <w:rFonts w:ascii="Arial" w:hAnsi="Arial" w:cs="Arial"/>
        </w:rPr>
        <w:t>eedback/</w:t>
      </w:r>
      <w:r w:rsidR="007D0728">
        <w:rPr>
          <w:rFonts w:ascii="Arial" w:hAnsi="Arial" w:cs="Arial"/>
        </w:rPr>
        <w:t>c</w:t>
      </w:r>
      <w:r w:rsidRPr="007D0728">
        <w:rPr>
          <w:rFonts w:ascii="Arial" w:hAnsi="Arial" w:cs="Arial"/>
        </w:rPr>
        <w:t>onsumer Issues</w:t>
      </w:r>
    </w:p>
    <w:p w14:paraId="771709C9" w14:textId="28AFF1C0" w:rsidR="003806A7" w:rsidRPr="003806A7" w:rsidRDefault="003806A7" w:rsidP="009555C2">
      <w:pPr>
        <w:spacing w:before="240"/>
        <w:rPr>
          <w:snapToGrid w:val="0"/>
        </w:rPr>
      </w:pPr>
      <w:r w:rsidRPr="003806A7">
        <w:rPr>
          <w:snapToGrid w:val="0"/>
        </w:rPr>
        <w:t xml:space="preserve">Consultation feedback </w:t>
      </w:r>
      <w:r w:rsidR="00C13C97">
        <w:rPr>
          <w:snapToGrid w:val="0"/>
        </w:rPr>
        <w:t xml:space="preserve">on the resubmission </w:t>
      </w:r>
      <w:r w:rsidRPr="003806A7">
        <w:rPr>
          <w:snapToGrid w:val="0"/>
        </w:rPr>
        <w:t xml:space="preserve">was received from two individual specialists who perform the surgery and supported the service. </w:t>
      </w:r>
      <w:r w:rsidR="00646E2B">
        <w:rPr>
          <w:snapToGrid w:val="0"/>
        </w:rPr>
        <w:t>O</w:t>
      </w:r>
      <w:r w:rsidRPr="003806A7">
        <w:rPr>
          <w:snapToGrid w:val="0"/>
        </w:rPr>
        <w:t xml:space="preserve">ne of the specialists declared they are </w:t>
      </w:r>
      <w:r w:rsidR="00646E2B">
        <w:rPr>
          <w:snapToGrid w:val="0"/>
        </w:rPr>
        <w:t xml:space="preserve">a representative </w:t>
      </w:r>
      <w:r w:rsidRPr="003806A7">
        <w:rPr>
          <w:snapToGrid w:val="0"/>
        </w:rPr>
        <w:t xml:space="preserve">for the applicant. The </w:t>
      </w:r>
      <w:r w:rsidR="00C13C97">
        <w:rPr>
          <w:snapToGrid w:val="0"/>
        </w:rPr>
        <w:t>feedback</w:t>
      </w:r>
      <w:r w:rsidR="00646E2B">
        <w:rPr>
          <w:snapToGrid w:val="0"/>
        </w:rPr>
        <w:t xml:space="preserve"> </w:t>
      </w:r>
      <w:r w:rsidRPr="003806A7">
        <w:rPr>
          <w:snapToGrid w:val="0"/>
        </w:rPr>
        <w:t xml:space="preserve">reiterated the benefits to patients in improved core strength and reduction of back pain following this surgery. </w:t>
      </w:r>
      <w:r w:rsidR="00646E2B">
        <w:rPr>
          <w:snapToGrid w:val="0"/>
        </w:rPr>
        <w:t xml:space="preserve">A view was also expressed </w:t>
      </w:r>
      <w:r w:rsidRPr="003806A7">
        <w:rPr>
          <w:snapToGrid w:val="0"/>
        </w:rPr>
        <w:t xml:space="preserve">that having this service MBS-listed would constitute gendered fairness as a male that suffers a rectus divarication as a result of obesity </w:t>
      </w:r>
      <w:r w:rsidR="00646E2B">
        <w:rPr>
          <w:snapToGrid w:val="0"/>
        </w:rPr>
        <w:t>is able to have</w:t>
      </w:r>
      <w:r w:rsidRPr="003806A7">
        <w:rPr>
          <w:snapToGrid w:val="0"/>
        </w:rPr>
        <w:t xml:space="preserve"> it repaired as a ventral hernia. Access to wider employment opportunities for patients following this surgery was also </w:t>
      </w:r>
      <w:r w:rsidR="00646E2B">
        <w:rPr>
          <w:snapToGrid w:val="0"/>
        </w:rPr>
        <w:t>raised</w:t>
      </w:r>
      <w:r w:rsidRPr="003806A7">
        <w:rPr>
          <w:snapToGrid w:val="0"/>
        </w:rPr>
        <w:t xml:space="preserve">. A letter from General Surgeons Australia (GSA) not provided in time for the consideration of MSAC Application 1546 also </w:t>
      </w:r>
      <w:r w:rsidR="00E90717">
        <w:rPr>
          <w:snapToGrid w:val="0"/>
        </w:rPr>
        <w:t>support</w:t>
      </w:r>
      <w:r w:rsidR="00646E2B">
        <w:rPr>
          <w:snapToGrid w:val="0"/>
        </w:rPr>
        <w:t>ed</w:t>
      </w:r>
      <w:r w:rsidR="00E90717">
        <w:rPr>
          <w:snapToGrid w:val="0"/>
        </w:rPr>
        <w:t xml:space="preserve"> the service.</w:t>
      </w:r>
    </w:p>
    <w:p w14:paraId="1634FD26" w14:textId="7AD2D65E" w:rsidR="003806A7" w:rsidRPr="003806A7" w:rsidRDefault="003806A7" w:rsidP="009555C2">
      <w:pPr>
        <w:spacing w:before="240"/>
        <w:rPr>
          <w:snapToGrid w:val="0"/>
        </w:rPr>
      </w:pPr>
      <w:r w:rsidRPr="003806A7">
        <w:rPr>
          <w:snapToGrid w:val="0"/>
        </w:rPr>
        <w:t xml:space="preserve">Consultation feedback was received from (41) individual consumers and (2) medical professionals for consideration of MSAC Application 1546. The National Association of Specialist Obstetricians &amp; Gynaecologists was the only organisation to provide feedback at the time and showed </w:t>
      </w:r>
      <w:r w:rsidR="004A376D">
        <w:rPr>
          <w:snapToGrid w:val="0"/>
        </w:rPr>
        <w:t>its</w:t>
      </w:r>
      <w:r w:rsidR="004A376D" w:rsidRPr="003806A7">
        <w:rPr>
          <w:snapToGrid w:val="0"/>
        </w:rPr>
        <w:t xml:space="preserve"> </w:t>
      </w:r>
      <w:r w:rsidRPr="003806A7">
        <w:rPr>
          <w:snapToGrid w:val="0"/>
        </w:rPr>
        <w:t xml:space="preserve">support for the </w:t>
      </w:r>
      <w:r w:rsidR="004A376D">
        <w:rPr>
          <w:snapToGrid w:val="0"/>
        </w:rPr>
        <w:t>a</w:t>
      </w:r>
      <w:r w:rsidRPr="003806A7">
        <w:rPr>
          <w:snapToGrid w:val="0"/>
        </w:rPr>
        <w:t>pplication. One plastic surgeon</w:t>
      </w:r>
      <w:r w:rsidR="004A376D">
        <w:rPr>
          <w:snapToGrid w:val="0"/>
        </w:rPr>
        <w:t xml:space="preserve">, a </w:t>
      </w:r>
      <w:r w:rsidR="004A376D" w:rsidRPr="003806A7">
        <w:rPr>
          <w:snapToGrid w:val="0"/>
        </w:rPr>
        <w:t>representative for the applica</w:t>
      </w:r>
      <w:r w:rsidR="004A376D">
        <w:rPr>
          <w:snapToGrid w:val="0"/>
        </w:rPr>
        <w:t xml:space="preserve">nt, </w:t>
      </w:r>
      <w:r w:rsidRPr="003806A7">
        <w:rPr>
          <w:snapToGrid w:val="0"/>
        </w:rPr>
        <w:t>also expressed support</w:t>
      </w:r>
      <w:r w:rsidR="004A376D">
        <w:rPr>
          <w:snapToGrid w:val="0"/>
        </w:rPr>
        <w:t>.</w:t>
      </w:r>
    </w:p>
    <w:p w14:paraId="7F867689" w14:textId="3DA96F87" w:rsidR="003806A7" w:rsidRPr="003806A7" w:rsidRDefault="003806A7" w:rsidP="009555C2">
      <w:pPr>
        <w:spacing w:before="240"/>
        <w:rPr>
          <w:snapToGrid w:val="0"/>
        </w:rPr>
      </w:pPr>
      <w:r w:rsidRPr="003806A7">
        <w:rPr>
          <w:snapToGrid w:val="0"/>
        </w:rPr>
        <w:t>The consumers that provided feedback were all women who had either experienced positive outcomes from the surgery or who wanted to access the surgery through public funding. They described improvements in quality of life after the procedure and cited cost as a major barrier to accessing the service. Consumers considered some of the main benefits of the proposed medical service include;</w:t>
      </w:r>
    </w:p>
    <w:p w14:paraId="647E7255" w14:textId="071CF079" w:rsidR="003806A7" w:rsidRPr="003806A7" w:rsidRDefault="00E90717" w:rsidP="003806A7">
      <w:pPr>
        <w:rPr>
          <w:snapToGrid w:val="0"/>
        </w:rPr>
      </w:pPr>
      <w:r>
        <w:rPr>
          <w:snapToGrid w:val="0"/>
        </w:rPr>
        <w:t>•</w:t>
      </w:r>
      <w:r>
        <w:rPr>
          <w:snapToGrid w:val="0"/>
        </w:rPr>
        <w:tab/>
        <w:t>Improved mental health,</w:t>
      </w:r>
    </w:p>
    <w:p w14:paraId="61F51DCA" w14:textId="2EC5B0A5" w:rsidR="003806A7" w:rsidRPr="003806A7" w:rsidRDefault="003806A7" w:rsidP="003806A7">
      <w:pPr>
        <w:rPr>
          <w:snapToGrid w:val="0"/>
        </w:rPr>
      </w:pPr>
      <w:r w:rsidRPr="003806A7">
        <w:rPr>
          <w:snapToGrid w:val="0"/>
        </w:rPr>
        <w:t>•</w:t>
      </w:r>
      <w:r w:rsidRPr="003806A7">
        <w:rPr>
          <w:snapToGrid w:val="0"/>
        </w:rPr>
        <w:tab/>
        <w:t>Improvement in physical mobility in ex</w:t>
      </w:r>
      <w:r w:rsidR="00E90717">
        <w:rPr>
          <w:snapToGrid w:val="0"/>
        </w:rPr>
        <w:t>ercise and everyday activities,</w:t>
      </w:r>
    </w:p>
    <w:p w14:paraId="1384B257" w14:textId="0EDEA028" w:rsidR="003806A7" w:rsidRPr="003806A7" w:rsidRDefault="003806A7" w:rsidP="003806A7">
      <w:pPr>
        <w:rPr>
          <w:snapToGrid w:val="0"/>
        </w:rPr>
      </w:pPr>
      <w:r w:rsidRPr="003806A7">
        <w:rPr>
          <w:snapToGrid w:val="0"/>
        </w:rPr>
        <w:t>•</w:t>
      </w:r>
      <w:r w:rsidRPr="003806A7">
        <w:rPr>
          <w:snapToGrid w:val="0"/>
        </w:rPr>
        <w:tab/>
        <w:t xml:space="preserve">Reduction in lower back </w:t>
      </w:r>
      <w:r w:rsidR="00E90717">
        <w:rPr>
          <w:snapToGrid w:val="0"/>
        </w:rPr>
        <w:t>pain and abdominal sensitivity,</w:t>
      </w:r>
    </w:p>
    <w:p w14:paraId="64BA72EB" w14:textId="26BDB7B3" w:rsidR="003806A7" w:rsidRPr="003806A7" w:rsidRDefault="003806A7" w:rsidP="003806A7">
      <w:pPr>
        <w:rPr>
          <w:snapToGrid w:val="0"/>
        </w:rPr>
      </w:pPr>
      <w:r w:rsidRPr="003806A7">
        <w:rPr>
          <w:snapToGrid w:val="0"/>
        </w:rPr>
        <w:t>•</w:t>
      </w:r>
      <w:r w:rsidRPr="003806A7">
        <w:rPr>
          <w:snapToGrid w:val="0"/>
        </w:rPr>
        <w:tab/>
        <w:t>Reduction or ceasing in the need for</w:t>
      </w:r>
      <w:r w:rsidR="00E90717">
        <w:rPr>
          <w:snapToGrid w:val="0"/>
        </w:rPr>
        <w:t xml:space="preserve"> pharmacological pain relief.</w:t>
      </w:r>
    </w:p>
    <w:p w14:paraId="6B6A5816" w14:textId="51733937" w:rsidR="003806A7" w:rsidRDefault="003806A7" w:rsidP="009555C2">
      <w:pPr>
        <w:spacing w:before="240"/>
        <w:rPr>
          <w:snapToGrid w:val="0"/>
        </w:rPr>
      </w:pPr>
      <w:r w:rsidRPr="003806A7">
        <w:rPr>
          <w:snapToGrid w:val="0"/>
        </w:rPr>
        <w:t xml:space="preserve">There was significant media attention following the removal of abdominoplasty for post-partum women from the MBS and petitions by consumers have been presented to the House of Representatives to advocate </w:t>
      </w:r>
      <w:r w:rsidR="00E90717">
        <w:rPr>
          <w:snapToGrid w:val="0"/>
        </w:rPr>
        <w:t>for the re-listing of the item.</w:t>
      </w:r>
    </w:p>
    <w:p w14:paraId="54FB9761" w14:textId="31A71C76" w:rsidR="005F24DD" w:rsidRDefault="009865A2" w:rsidP="009555C2">
      <w:pPr>
        <w:spacing w:before="240"/>
      </w:pPr>
      <w:r>
        <w:t>T</w:t>
      </w:r>
      <w:r w:rsidR="005F24DD">
        <w:t xml:space="preserve">he applicant sought </w:t>
      </w:r>
      <w:r>
        <w:t>consumer and health practitioner input</w:t>
      </w:r>
      <w:r w:rsidR="00DC71DF">
        <w:t xml:space="preserve"> through a</w:t>
      </w:r>
      <w:r w:rsidR="00324C19">
        <w:t xml:space="preserve"> document survey and</w:t>
      </w:r>
      <w:r w:rsidR="00DC71DF">
        <w:t xml:space="preserve"> </w:t>
      </w:r>
      <w:r w:rsidR="00324C19">
        <w:t xml:space="preserve">an </w:t>
      </w:r>
      <w:r w:rsidR="00DC71DF">
        <w:t>online survey</w:t>
      </w:r>
      <w:r w:rsidR="00324C19">
        <w:t xml:space="preserve">. The input was considered by MSAC as part of the application. </w:t>
      </w:r>
      <w:r w:rsidR="005F24DD">
        <w:t xml:space="preserve">The </w:t>
      </w:r>
      <w:r w:rsidR="005F24DD">
        <w:lastRenderedPageBreak/>
        <w:t>applicant considered that</w:t>
      </w:r>
      <w:r w:rsidR="00BB515F">
        <w:t xml:space="preserve"> the </w:t>
      </w:r>
      <w:r w:rsidR="005F24DD" w:rsidRPr="007E41BE">
        <w:t xml:space="preserve">consumer </w:t>
      </w:r>
      <w:r w:rsidR="00DC71DF">
        <w:t>input</w:t>
      </w:r>
      <w:r w:rsidR="00DC71DF" w:rsidRPr="007E41BE">
        <w:t xml:space="preserve"> </w:t>
      </w:r>
      <w:r w:rsidR="00BB515F">
        <w:t>captured</w:t>
      </w:r>
      <w:r w:rsidR="005F24DD" w:rsidRPr="007E41BE">
        <w:t xml:space="preserve"> the experiences of women who had the procedure </w:t>
      </w:r>
      <w:r w:rsidR="00DC71DF">
        <w:t xml:space="preserve">when </w:t>
      </w:r>
      <w:r w:rsidR="005F24DD" w:rsidRPr="007E41BE">
        <w:t>it was subsidised</w:t>
      </w:r>
      <w:r w:rsidR="00DC71DF">
        <w:t xml:space="preserve">, and </w:t>
      </w:r>
      <w:r w:rsidR="005F24DD" w:rsidRPr="007E41BE">
        <w:t>practitioners who have performed the procedure as a subsidised intervention and as a private intervention.</w:t>
      </w:r>
      <w:r w:rsidR="005F24DD">
        <w:t xml:space="preserve"> </w:t>
      </w:r>
      <w:r w:rsidR="005F24DD" w:rsidRPr="007E41BE">
        <w:t>The</w:t>
      </w:r>
      <w:r w:rsidR="00DC71DF">
        <w:t xml:space="preserve">re were </w:t>
      </w:r>
      <w:r w:rsidR="005F24DD" w:rsidRPr="007E41BE">
        <w:t>1,419</w:t>
      </w:r>
      <w:r w:rsidR="00DC71DF">
        <w:t xml:space="preserve"> responses </w:t>
      </w:r>
      <w:r w:rsidR="005F24DD">
        <w:t xml:space="preserve">including </w:t>
      </w:r>
      <w:r w:rsidR="005565DC">
        <w:t xml:space="preserve">more than </w:t>
      </w:r>
      <w:r w:rsidR="005F24DD">
        <w:t xml:space="preserve">1,000 responses from consumers (see table below). </w:t>
      </w:r>
    </w:p>
    <w:p w14:paraId="26714EAA" w14:textId="7591B12D" w:rsidR="005F24DD" w:rsidRDefault="005F24DD" w:rsidP="009555C2">
      <w:pPr>
        <w:spacing w:before="240" w:after="240"/>
      </w:pPr>
      <w:r>
        <w:t>Consistent with the consultation feedback</w:t>
      </w:r>
      <w:r w:rsidR="009865A2">
        <w:t xml:space="preserve"> for Application 1546</w:t>
      </w:r>
      <w:r>
        <w:t xml:space="preserve">, consumers </w:t>
      </w:r>
      <w:r w:rsidR="00442295">
        <w:t xml:space="preserve">reported improvements in quality of life and </w:t>
      </w:r>
      <w:r>
        <w:t>symptom</w:t>
      </w:r>
      <w:r w:rsidR="00442295">
        <w:t xml:space="preserve">s such as </w:t>
      </w:r>
      <w:r w:rsidRPr="0073396A">
        <w:t>improve</w:t>
      </w:r>
      <w:r w:rsidR="00442295">
        <w:t>ments in daily</w:t>
      </w:r>
      <w:r w:rsidRPr="0073396A">
        <w:t xml:space="preserve"> function</w:t>
      </w:r>
      <w:r w:rsidR="00442295">
        <w:t>ing</w:t>
      </w:r>
      <w:r w:rsidR="00324C19">
        <w:t xml:space="preserve"> and</w:t>
      </w:r>
      <w:r w:rsidRPr="0073396A">
        <w:t xml:space="preserve"> core strength, </w:t>
      </w:r>
      <w:r w:rsidR="00442295">
        <w:t>and reduction in back pain and incontinence</w:t>
      </w:r>
      <w:r>
        <w:t>.</w:t>
      </w:r>
    </w:p>
    <w:p w14:paraId="2AD51EF8" w14:textId="4E6A8858" w:rsidR="005F24DD" w:rsidRPr="00A517C2" w:rsidRDefault="005F24DD" w:rsidP="005F24DD">
      <w:pPr>
        <w:rPr>
          <w:lang w:eastAsia="en-US"/>
        </w:rPr>
      </w:pPr>
      <w:r>
        <w:rPr>
          <w:rFonts w:ascii="Arial Narrow" w:hAnsi="Arial Narrow"/>
          <w:b/>
          <w:bCs/>
          <w:sz w:val="20"/>
        </w:rPr>
        <w:t xml:space="preserve">Consultation </w:t>
      </w:r>
      <w:r w:rsidR="00DC71DF">
        <w:rPr>
          <w:rFonts w:ascii="Arial Narrow" w:hAnsi="Arial Narrow"/>
          <w:b/>
          <w:bCs/>
          <w:sz w:val="20"/>
        </w:rPr>
        <w:t>input provided</w:t>
      </w:r>
      <w:r>
        <w:rPr>
          <w:rFonts w:ascii="Arial Narrow" w:hAnsi="Arial Narrow"/>
          <w:b/>
          <w:bCs/>
          <w:sz w:val="20"/>
        </w:rPr>
        <w:t xml:space="preserve"> by the applicant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182"/>
        <w:gridCol w:w="2824"/>
      </w:tblGrid>
      <w:tr w:rsidR="005F24DD" w14:paraId="5CD06215" w14:textId="77777777" w:rsidTr="00014E6B">
        <w:trPr>
          <w:trHeight w:val="240"/>
          <w:tblHeader/>
        </w:trPr>
        <w:tc>
          <w:tcPr>
            <w:tcW w:w="3432" w:type="pct"/>
            <w:shd w:val="clear" w:color="auto" w:fill="auto"/>
            <w:tcMar>
              <w:top w:w="0" w:type="dxa"/>
              <w:left w:w="108" w:type="dxa"/>
              <w:bottom w:w="0" w:type="dxa"/>
              <w:right w:w="108" w:type="dxa"/>
            </w:tcMar>
            <w:hideMark/>
          </w:tcPr>
          <w:p w14:paraId="4D11E0A4" w14:textId="77777777" w:rsidR="005F24DD" w:rsidRPr="00DF4D72" w:rsidRDefault="005F24DD" w:rsidP="00ED782B">
            <w:pPr>
              <w:spacing w:before="40" w:after="40"/>
              <w:rPr>
                <w:rFonts w:ascii="Arial Narrow" w:hAnsi="Arial Narrow"/>
                <w:b/>
                <w:bCs/>
                <w:sz w:val="20"/>
              </w:rPr>
            </w:pPr>
            <w:r w:rsidRPr="00DF4D72">
              <w:rPr>
                <w:rFonts w:ascii="Arial Narrow" w:hAnsi="Arial Narrow"/>
                <w:b/>
                <w:bCs/>
                <w:sz w:val="20"/>
              </w:rPr>
              <w:t>Respondent identified as</w:t>
            </w:r>
          </w:p>
        </w:tc>
        <w:tc>
          <w:tcPr>
            <w:tcW w:w="1568" w:type="pct"/>
            <w:shd w:val="clear" w:color="auto" w:fill="auto"/>
            <w:tcMar>
              <w:top w:w="0" w:type="dxa"/>
              <w:left w:w="108" w:type="dxa"/>
              <w:bottom w:w="0" w:type="dxa"/>
              <w:right w:w="108" w:type="dxa"/>
            </w:tcMar>
            <w:hideMark/>
          </w:tcPr>
          <w:p w14:paraId="41E3D788" w14:textId="77777777" w:rsidR="005F24DD" w:rsidRPr="00DF4D72" w:rsidRDefault="005F24DD" w:rsidP="00ED782B">
            <w:pPr>
              <w:spacing w:before="40" w:after="40"/>
              <w:rPr>
                <w:rFonts w:ascii="Arial Narrow" w:hAnsi="Arial Narrow"/>
                <w:b/>
                <w:bCs/>
                <w:sz w:val="20"/>
                <w:vertAlign w:val="superscript"/>
              </w:rPr>
            </w:pPr>
            <w:r w:rsidRPr="00DF4D72">
              <w:rPr>
                <w:rFonts w:ascii="Arial Narrow" w:hAnsi="Arial Narrow"/>
                <w:b/>
                <w:bCs/>
                <w:sz w:val="20"/>
              </w:rPr>
              <w:t>Number of responses</w:t>
            </w:r>
            <w:r>
              <w:rPr>
                <w:rFonts w:ascii="Arial Narrow" w:hAnsi="Arial Narrow"/>
                <w:b/>
                <w:bCs/>
                <w:sz w:val="20"/>
                <w:vertAlign w:val="superscript"/>
              </w:rPr>
              <w:t>a</w:t>
            </w:r>
          </w:p>
        </w:tc>
      </w:tr>
      <w:tr w:rsidR="005F24DD" w14:paraId="7CA6A2DD" w14:textId="77777777" w:rsidTr="00ED782B">
        <w:trPr>
          <w:trHeight w:val="240"/>
        </w:trPr>
        <w:tc>
          <w:tcPr>
            <w:tcW w:w="3432" w:type="pct"/>
            <w:shd w:val="clear" w:color="auto" w:fill="auto"/>
            <w:tcMar>
              <w:top w:w="0" w:type="dxa"/>
              <w:left w:w="108" w:type="dxa"/>
              <w:bottom w:w="0" w:type="dxa"/>
              <w:right w:w="108" w:type="dxa"/>
            </w:tcMar>
            <w:hideMark/>
          </w:tcPr>
          <w:p w14:paraId="414FAC20" w14:textId="77777777" w:rsidR="005F24DD" w:rsidRPr="00DF4D72" w:rsidRDefault="005F24DD" w:rsidP="00ED782B">
            <w:pPr>
              <w:spacing w:before="40" w:after="40"/>
              <w:rPr>
                <w:rFonts w:ascii="Arial Narrow" w:hAnsi="Arial Narrow"/>
                <w:sz w:val="20"/>
              </w:rPr>
            </w:pPr>
            <w:r w:rsidRPr="00DF4D72">
              <w:rPr>
                <w:rFonts w:ascii="Arial Narrow" w:hAnsi="Arial Narrow"/>
                <w:sz w:val="20"/>
              </w:rPr>
              <w:t>Consumer/patient</w:t>
            </w:r>
          </w:p>
        </w:tc>
        <w:tc>
          <w:tcPr>
            <w:tcW w:w="1568" w:type="pct"/>
            <w:shd w:val="clear" w:color="auto" w:fill="auto"/>
            <w:tcMar>
              <w:top w:w="0" w:type="dxa"/>
              <w:left w:w="108" w:type="dxa"/>
              <w:bottom w:w="0" w:type="dxa"/>
              <w:right w:w="108" w:type="dxa"/>
            </w:tcMar>
            <w:hideMark/>
          </w:tcPr>
          <w:p w14:paraId="288B2211" w14:textId="77777777" w:rsidR="005F24DD" w:rsidRPr="00DF4D72" w:rsidRDefault="005F24DD" w:rsidP="00ED782B">
            <w:pPr>
              <w:spacing w:before="40" w:after="40"/>
              <w:rPr>
                <w:rFonts w:ascii="Arial Narrow" w:hAnsi="Arial Narrow"/>
                <w:sz w:val="20"/>
              </w:rPr>
            </w:pPr>
            <w:r w:rsidRPr="00DF4D72">
              <w:rPr>
                <w:rFonts w:ascii="Arial Narrow" w:hAnsi="Arial Narrow"/>
                <w:sz w:val="20"/>
              </w:rPr>
              <w:t>1,</w:t>
            </w:r>
            <w:r>
              <w:rPr>
                <w:rFonts w:ascii="Arial Narrow" w:hAnsi="Arial Narrow"/>
                <w:sz w:val="20"/>
              </w:rPr>
              <w:t>174</w:t>
            </w:r>
          </w:p>
        </w:tc>
      </w:tr>
      <w:tr w:rsidR="005F24DD" w14:paraId="7BCB1CAB" w14:textId="77777777" w:rsidTr="00ED782B">
        <w:trPr>
          <w:trHeight w:val="253"/>
        </w:trPr>
        <w:tc>
          <w:tcPr>
            <w:tcW w:w="3432" w:type="pct"/>
            <w:shd w:val="clear" w:color="auto" w:fill="auto"/>
            <w:tcMar>
              <w:top w:w="0" w:type="dxa"/>
              <w:left w:w="108" w:type="dxa"/>
              <w:bottom w:w="0" w:type="dxa"/>
              <w:right w:w="108" w:type="dxa"/>
            </w:tcMar>
            <w:hideMark/>
          </w:tcPr>
          <w:p w14:paraId="1FC2FD6F" w14:textId="77777777" w:rsidR="005F24DD" w:rsidRPr="00DF4D72" w:rsidRDefault="005F24DD" w:rsidP="00ED782B">
            <w:pPr>
              <w:spacing w:before="40" w:after="40"/>
              <w:rPr>
                <w:rFonts w:ascii="Arial Narrow" w:hAnsi="Arial Narrow"/>
                <w:sz w:val="20"/>
              </w:rPr>
            </w:pPr>
            <w:r w:rsidRPr="00DF4D72">
              <w:rPr>
                <w:rFonts w:ascii="Arial Narrow" w:hAnsi="Arial Narrow"/>
                <w:sz w:val="20"/>
              </w:rPr>
              <w:t>ASPS Member (Specialist Plastic Surgeons)</w:t>
            </w:r>
          </w:p>
        </w:tc>
        <w:tc>
          <w:tcPr>
            <w:tcW w:w="1568" w:type="pct"/>
            <w:shd w:val="clear" w:color="auto" w:fill="auto"/>
            <w:tcMar>
              <w:top w:w="0" w:type="dxa"/>
              <w:left w:w="108" w:type="dxa"/>
              <w:bottom w:w="0" w:type="dxa"/>
              <w:right w:w="108" w:type="dxa"/>
            </w:tcMar>
            <w:hideMark/>
          </w:tcPr>
          <w:p w14:paraId="16815CA0" w14:textId="77777777" w:rsidR="005F24DD" w:rsidRPr="00DF4D72" w:rsidRDefault="005F24DD" w:rsidP="00ED782B">
            <w:pPr>
              <w:spacing w:before="40" w:after="40"/>
              <w:rPr>
                <w:rFonts w:ascii="Arial Narrow" w:hAnsi="Arial Narrow"/>
                <w:sz w:val="20"/>
              </w:rPr>
            </w:pPr>
            <w:r w:rsidRPr="00DF4D72">
              <w:rPr>
                <w:rFonts w:ascii="Arial Narrow" w:hAnsi="Arial Narrow"/>
                <w:sz w:val="20"/>
              </w:rPr>
              <w:t>2</w:t>
            </w:r>
            <w:r>
              <w:rPr>
                <w:rFonts w:ascii="Arial Narrow" w:hAnsi="Arial Narrow"/>
                <w:sz w:val="20"/>
              </w:rPr>
              <w:t>1</w:t>
            </w:r>
          </w:p>
        </w:tc>
      </w:tr>
      <w:tr w:rsidR="005F24DD" w14:paraId="464EC3CB" w14:textId="77777777" w:rsidTr="00ED782B">
        <w:trPr>
          <w:trHeight w:val="181"/>
        </w:trPr>
        <w:tc>
          <w:tcPr>
            <w:tcW w:w="3432" w:type="pct"/>
            <w:shd w:val="clear" w:color="auto" w:fill="auto"/>
            <w:tcMar>
              <w:top w:w="0" w:type="dxa"/>
              <w:left w:w="108" w:type="dxa"/>
              <w:bottom w:w="0" w:type="dxa"/>
              <w:right w:w="108" w:type="dxa"/>
            </w:tcMar>
          </w:tcPr>
          <w:p w14:paraId="3A17D551" w14:textId="77777777" w:rsidR="005F24DD" w:rsidRPr="007E41BE" w:rsidRDefault="005F24DD" w:rsidP="00ED782B">
            <w:pPr>
              <w:spacing w:before="40" w:after="40"/>
              <w:rPr>
                <w:rFonts w:ascii="Arial Narrow" w:hAnsi="Arial Narrow"/>
                <w:sz w:val="20"/>
              </w:rPr>
            </w:pPr>
            <w:r w:rsidRPr="00DF4D72">
              <w:rPr>
                <w:rFonts w:ascii="Arial Narrow" w:hAnsi="Arial Narrow"/>
                <w:sz w:val="20"/>
              </w:rPr>
              <w:t>General Practitioner</w:t>
            </w:r>
          </w:p>
        </w:tc>
        <w:tc>
          <w:tcPr>
            <w:tcW w:w="1568" w:type="pct"/>
            <w:shd w:val="clear" w:color="auto" w:fill="auto"/>
            <w:tcMar>
              <w:top w:w="0" w:type="dxa"/>
              <w:left w:w="108" w:type="dxa"/>
              <w:bottom w:w="0" w:type="dxa"/>
              <w:right w:w="108" w:type="dxa"/>
            </w:tcMar>
          </w:tcPr>
          <w:p w14:paraId="3F5F4E61" w14:textId="77777777" w:rsidR="005F24DD" w:rsidRPr="007E41BE" w:rsidRDefault="005F24DD" w:rsidP="00ED782B">
            <w:pPr>
              <w:spacing w:before="40" w:after="40"/>
              <w:rPr>
                <w:rFonts w:ascii="Arial Narrow" w:hAnsi="Arial Narrow"/>
                <w:sz w:val="20"/>
              </w:rPr>
            </w:pPr>
            <w:r w:rsidRPr="00DF4D72">
              <w:rPr>
                <w:rFonts w:ascii="Arial Narrow" w:hAnsi="Arial Narrow"/>
                <w:sz w:val="20"/>
              </w:rPr>
              <w:t>6</w:t>
            </w:r>
            <w:r>
              <w:rPr>
                <w:rFonts w:ascii="Arial Narrow" w:hAnsi="Arial Narrow"/>
                <w:sz w:val="20"/>
              </w:rPr>
              <w:t>1</w:t>
            </w:r>
          </w:p>
        </w:tc>
      </w:tr>
      <w:tr w:rsidR="005F24DD" w14:paraId="096B45FD" w14:textId="77777777" w:rsidTr="00ED782B">
        <w:trPr>
          <w:trHeight w:val="217"/>
        </w:trPr>
        <w:tc>
          <w:tcPr>
            <w:tcW w:w="3432" w:type="pct"/>
            <w:shd w:val="clear" w:color="auto" w:fill="auto"/>
            <w:tcMar>
              <w:top w:w="0" w:type="dxa"/>
              <w:left w:w="108" w:type="dxa"/>
              <w:bottom w:w="0" w:type="dxa"/>
              <w:right w:w="108" w:type="dxa"/>
            </w:tcMar>
            <w:hideMark/>
          </w:tcPr>
          <w:p w14:paraId="56BA1371" w14:textId="77777777" w:rsidR="005F24DD" w:rsidRPr="00DF4D72" w:rsidRDefault="005F24DD" w:rsidP="00ED782B">
            <w:pPr>
              <w:spacing w:before="40" w:after="40"/>
              <w:rPr>
                <w:rFonts w:ascii="Arial Narrow" w:hAnsi="Arial Narrow"/>
                <w:sz w:val="20"/>
              </w:rPr>
            </w:pPr>
            <w:r w:rsidRPr="00E61976">
              <w:rPr>
                <w:rFonts w:ascii="Arial Narrow" w:hAnsi="Arial Narrow"/>
                <w:sz w:val="20"/>
              </w:rPr>
              <w:t>Specialist other than plastics and other medical professional</w:t>
            </w:r>
          </w:p>
        </w:tc>
        <w:tc>
          <w:tcPr>
            <w:tcW w:w="1568" w:type="pct"/>
            <w:shd w:val="clear" w:color="auto" w:fill="auto"/>
            <w:tcMar>
              <w:top w:w="0" w:type="dxa"/>
              <w:left w:w="108" w:type="dxa"/>
              <w:bottom w:w="0" w:type="dxa"/>
              <w:right w:w="108" w:type="dxa"/>
            </w:tcMar>
            <w:hideMark/>
          </w:tcPr>
          <w:p w14:paraId="3B88C7F1" w14:textId="77777777" w:rsidR="005F24DD" w:rsidRPr="00DF4D72" w:rsidRDefault="005F24DD" w:rsidP="00ED782B">
            <w:pPr>
              <w:spacing w:before="40" w:after="40"/>
              <w:rPr>
                <w:rFonts w:ascii="Arial Narrow" w:hAnsi="Arial Narrow"/>
                <w:sz w:val="20"/>
              </w:rPr>
            </w:pPr>
            <w:r>
              <w:rPr>
                <w:rFonts w:ascii="Arial Narrow" w:hAnsi="Arial Narrow"/>
                <w:sz w:val="20"/>
              </w:rPr>
              <w:t>71</w:t>
            </w:r>
          </w:p>
        </w:tc>
      </w:tr>
      <w:tr w:rsidR="005F24DD" w14:paraId="57DEB15C" w14:textId="77777777" w:rsidTr="00ED782B">
        <w:trPr>
          <w:trHeight w:val="240"/>
        </w:trPr>
        <w:tc>
          <w:tcPr>
            <w:tcW w:w="3432" w:type="pct"/>
            <w:shd w:val="clear" w:color="auto" w:fill="auto"/>
            <w:tcMar>
              <w:top w:w="0" w:type="dxa"/>
              <w:left w:w="108" w:type="dxa"/>
              <w:bottom w:w="0" w:type="dxa"/>
              <w:right w:w="108" w:type="dxa"/>
            </w:tcMar>
          </w:tcPr>
          <w:p w14:paraId="7368C1CA" w14:textId="77777777" w:rsidR="005F24DD" w:rsidRPr="00DF4D72" w:rsidRDefault="005F24DD" w:rsidP="00ED782B">
            <w:pPr>
              <w:spacing w:before="40" w:after="40"/>
              <w:rPr>
                <w:rFonts w:ascii="Arial Narrow" w:hAnsi="Arial Narrow"/>
                <w:sz w:val="20"/>
              </w:rPr>
            </w:pPr>
            <w:r>
              <w:rPr>
                <w:rFonts w:ascii="Arial Narrow" w:hAnsi="Arial Narrow"/>
                <w:sz w:val="20"/>
              </w:rPr>
              <w:t xml:space="preserve">Physiotherapist or </w:t>
            </w:r>
            <w:r w:rsidRPr="00DF4D72">
              <w:rPr>
                <w:rFonts w:ascii="Arial Narrow" w:hAnsi="Arial Narrow"/>
                <w:sz w:val="20"/>
              </w:rPr>
              <w:t xml:space="preserve">Allied Health </w:t>
            </w:r>
          </w:p>
        </w:tc>
        <w:tc>
          <w:tcPr>
            <w:tcW w:w="1568" w:type="pct"/>
            <w:shd w:val="clear" w:color="auto" w:fill="auto"/>
            <w:tcMar>
              <w:top w:w="0" w:type="dxa"/>
              <w:left w:w="108" w:type="dxa"/>
              <w:bottom w:w="0" w:type="dxa"/>
              <w:right w:w="108" w:type="dxa"/>
            </w:tcMar>
          </w:tcPr>
          <w:p w14:paraId="14DF5C25" w14:textId="77777777" w:rsidR="005F24DD" w:rsidRPr="00DF4D72" w:rsidRDefault="005F24DD" w:rsidP="00ED782B">
            <w:pPr>
              <w:spacing w:before="40" w:after="40"/>
              <w:rPr>
                <w:rFonts w:ascii="Arial Narrow" w:hAnsi="Arial Narrow"/>
                <w:sz w:val="20"/>
              </w:rPr>
            </w:pPr>
            <w:r>
              <w:rPr>
                <w:rFonts w:ascii="Arial Narrow" w:hAnsi="Arial Narrow"/>
                <w:sz w:val="20"/>
              </w:rPr>
              <w:t>35</w:t>
            </w:r>
          </w:p>
        </w:tc>
      </w:tr>
      <w:tr w:rsidR="005F24DD" w14:paraId="02621BA2" w14:textId="77777777" w:rsidTr="00ED782B">
        <w:trPr>
          <w:trHeight w:val="240"/>
        </w:trPr>
        <w:tc>
          <w:tcPr>
            <w:tcW w:w="3432" w:type="pct"/>
            <w:shd w:val="clear" w:color="auto" w:fill="auto"/>
            <w:tcMar>
              <w:top w:w="0" w:type="dxa"/>
              <w:left w:w="108" w:type="dxa"/>
              <w:bottom w:w="0" w:type="dxa"/>
              <w:right w:w="108" w:type="dxa"/>
            </w:tcMar>
            <w:hideMark/>
          </w:tcPr>
          <w:p w14:paraId="1546FFED" w14:textId="77777777" w:rsidR="005F24DD" w:rsidRPr="00DF4D72" w:rsidRDefault="005F24DD" w:rsidP="00ED782B">
            <w:pPr>
              <w:spacing w:before="40" w:after="40"/>
              <w:rPr>
                <w:rFonts w:ascii="Arial Narrow" w:hAnsi="Arial Narrow"/>
                <w:sz w:val="20"/>
              </w:rPr>
            </w:pPr>
            <w:r w:rsidRPr="00DF4D72">
              <w:rPr>
                <w:rFonts w:ascii="Arial Narrow" w:hAnsi="Arial Narrow"/>
                <w:sz w:val="20"/>
              </w:rPr>
              <w:t>Nurse/Midwife</w:t>
            </w:r>
          </w:p>
        </w:tc>
        <w:tc>
          <w:tcPr>
            <w:tcW w:w="1568" w:type="pct"/>
            <w:shd w:val="clear" w:color="auto" w:fill="auto"/>
            <w:tcMar>
              <w:top w:w="0" w:type="dxa"/>
              <w:left w:w="108" w:type="dxa"/>
              <w:bottom w:w="0" w:type="dxa"/>
              <w:right w:w="108" w:type="dxa"/>
            </w:tcMar>
            <w:hideMark/>
          </w:tcPr>
          <w:p w14:paraId="5FD4D0FB" w14:textId="77777777" w:rsidR="005F24DD" w:rsidRPr="00DF4D72" w:rsidRDefault="005F24DD" w:rsidP="00ED782B">
            <w:pPr>
              <w:spacing w:before="40" w:after="40"/>
              <w:rPr>
                <w:rFonts w:ascii="Arial Narrow" w:hAnsi="Arial Narrow"/>
                <w:sz w:val="20"/>
              </w:rPr>
            </w:pPr>
            <w:r w:rsidRPr="00DF4D72">
              <w:rPr>
                <w:rFonts w:ascii="Arial Narrow" w:hAnsi="Arial Narrow"/>
                <w:sz w:val="20"/>
              </w:rPr>
              <w:t>2</w:t>
            </w:r>
            <w:r>
              <w:rPr>
                <w:rFonts w:ascii="Arial Narrow" w:hAnsi="Arial Narrow"/>
                <w:sz w:val="20"/>
              </w:rPr>
              <w:t>0</w:t>
            </w:r>
          </w:p>
        </w:tc>
      </w:tr>
      <w:tr w:rsidR="005F24DD" w14:paraId="14804D7A" w14:textId="77777777" w:rsidTr="00ED782B">
        <w:trPr>
          <w:trHeight w:val="240"/>
        </w:trPr>
        <w:tc>
          <w:tcPr>
            <w:tcW w:w="3432" w:type="pct"/>
            <w:shd w:val="clear" w:color="auto" w:fill="auto"/>
            <w:tcMar>
              <w:top w:w="0" w:type="dxa"/>
              <w:left w:w="108" w:type="dxa"/>
              <w:bottom w:w="0" w:type="dxa"/>
              <w:right w:w="108" w:type="dxa"/>
            </w:tcMar>
            <w:hideMark/>
          </w:tcPr>
          <w:p w14:paraId="08CABF4A" w14:textId="77777777" w:rsidR="005F24DD" w:rsidRPr="00DF4D72" w:rsidRDefault="005F24DD" w:rsidP="00ED782B">
            <w:pPr>
              <w:spacing w:before="40" w:after="40"/>
              <w:rPr>
                <w:rFonts w:ascii="Arial Narrow" w:hAnsi="Arial Narrow"/>
                <w:sz w:val="20"/>
              </w:rPr>
            </w:pPr>
            <w:r>
              <w:rPr>
                <w:rFonts w:ascii="Arial Narrow" w:hAnsi="Arial Narrow"/>
                <w:sz w:val="20"/>
              </w:rPr>
              <w:t>Caregiver</w:t>
            </w:r>
          </w:p>
        </w:tc>
        <w:tc>
          <w:tcPr>
            <w:tcW w:w="1568" w:type="pct"/>
            <w:shd w:val="clear" w:color="auto" w:fill="auto"/>
            <w:tcMar>
              <w:top w:w="0" w:type="dxa"/>
              <w:left w:w="108" w:type="dxa"/>
              <w:bottom w:w="0" w:type="dxa"/>
              <w:right w:w="108" w:type="dxa"/>
            </w:tcMar>
            <w:hideMark/>
          </w:tcPr>
          <w:p w14:paraId="65193E84" w14:textId="77777777" w:rsidR="005F24DD" w:rsidRPr="00DF4D72" w:rsidRDefault="005F24DD" w:rsidP="00ED782B">
            <w:pPr>
              <w:spacing w:before="40" w:after="40"/>
              <w:rPr>
                <w:rFonts w:ascii="Arial Narrow" w:hAnsi="Arial Narrow"/>
                <w:sz w:val="20"/>
              </w:rPr>
            </w:pPr>
            <w:r>
              <w:rPr>
                <w:rFonts w:ascii="Arial Narrow" w:hAnsi="Arial Narrow"/>
                <w:sz w:val="20"/>
              </w:rPr>
              <w:t>9</w:t>
            </w:r>
          </w:p>
        </w:tc>
      </w:tr>
      <w:tr w:rsidR="005F24DD" w14:paraId="2D433ED3" w14:textId="77777777" w:rsidTr="00ED782B">
        <w:trPr>
          <w:trHeight w:val="240"/>
        </w:trPr>
        <w:tc>
          <w:tcPr>
            <w:tcW w:w="3432" w:type="pct"/>
            <w:shd w:val="clear" w:color="auto" w:fill="auto"/>
            <w:tcMar>
              <w:top w:w="0" w:type="dxa"/>
              <w:left w:w="108" w:type="dxa"/>
              <w:bottom w:w="0" w:type="dxa"/>
              <w:right w:w="108" w:type="dxa"/>
            </w:tcMar>
            <w:hideMark/>
          </w:tcPr>
          <w:p w14:paraId="1928EB5C" w14:textId="77777777" w:rsidR="005F24DD" w:rsidRPr="00DF4D72" w:rsidRDefault="005F24DD" w:rsidP="00ED782B">
            <w:pPr>
              <w:spacing w:before="40" w:after="40"/>
              <w:rPr>
                <w:rFonts w:ascii="Arial Narrow" w:hAnsi="Arial Narrow"/>
                <w:sz w:val="20"/>
              </w:rPr>
            </w:pPr>
            <w:r w:rsidRPr="00DF4D72">
              <w:rPr>
                <w:rFonts w:ascii="Arial Narrow" w:hAnsi="Arial Narrow"/>
                <w:sz w:val="20"/>
              </w:rPr>
              <w:t>Other</w:t>
            </w:r>
          </w:p>
        </w:tc>
        <w:tc>
          <w:tcPr>
            <w:tcW w:w="1568" w:type="pct"/>
            <w:shd w:val="clear" w:color="auto" w:fill="auto"/>
            <w:tcMar>
              <w:top w:w="0" w:type="dxa"/>
              <w:left w:w="108" w:type="dxa"/>
              <w:bottom w:w="0" w:type="dxa"/>
              <w:right w:w="108" w:type="dxa"/>
            </w:tcMar>
            <w:hideMark/>
          </w:tcPr>
          <w:p w14:paraId="51D9D813" w14:textId="77777777" w:rsidR="005F24DD" w:rsidRPr="00DF4D72" w:rsidRDefault="005F24DD" w:rsidP="00ED782B">
            <w:pPr>
              <w:spacing w:before="40" w:after="40"/>
              <w:rPr>
                <w:rFonts w:ascii="Arial Narrow" w:hAnsi="Arial Narrow"/>
                <w:sz w:val="20"/>
              </w:rPr>
            </w:pPr>
            <w:r>
              <w:rPr>
                <w:rFonts w:ascii="Arial Narrow" w:hAnsi="Arial Narrow"/>
                <w:sz w:val="20"/>
              </w:rPr>
              <w:t>29</w:t>
            </w:r>
          </w:p>
        </w:tc>
      </w:tr>
      <w:tr w:rsidR="005F24DD" w14:paraId="485F77A7" w14:textId="77777777" w:rsidTr="00ED782B">
        <w:trPr>
          <w:trHeight w:val="240"/>
        </w:trPr>
        <w:tc>
          <w:tcPr>
            <w:tcW w:w="3432" w:type="pct"/>
            <w:shd w:val="clear" w:color="auto" w:fill="auto"/>
            <w:tcMar>
              <w:top w:w="0" w:type="dxa"/>
              <w:left w:w="108" w:type="dxa"/>
              <w:bottom w:w="0" w:type="dxa"/>
              <w:right w:w="108" w:type="dxa"/>
            </w:tcMar>
            <w:hideMark/>
          </w:tcPr>
          <w:p w14:paraId="07CDEA0A" w14:textId="77777777" w:rsidR="005F24DD" w:rsidRPr="00DF4D72" w:rsidRDefault="005F24DD" w:rsidP="00ED782B">
            <w:pPr>
              <w:spacing w:before="40" w:after="40"/>
              <w:rPr>
                <w:rFonts w:ascii="Arial Narrow" w:hAnsi="Arial Narrow"/>
                <w:b/>
                <w:bCs/>
                <w:sz w:val="20"/>
              </w:rPr>
            </w:pPr>
            <w:r w:rsidRPr="00DF4D72">
              <w:rPr>
                <w:rFonts w:ascii="Arial Narrow" w:hAnsi="Arial Narrow"/>
                <w:b/>
                <w:bCs/>
                <w:sz w:val="20"/>
              </w:rPr>
              <w:t>Total re</w:t>
            </w:r>
            <w:r>
              <w:rPr>
                <w:rFonts w:ascii="Arial Narrow" w:hAnsi="Arial Narrow"/>
                <w:b/>
                <w:bCs/>
                <w:sz w:val="20"/>
              </w:rPr>
              <w:t>spondents</w:t>
            </w:r>
          </w:p>
        </w:tc>
        <w:tc>
          <w:tcPr>
            <w:tcW w:w="1568" w:type="pct"/>
            <w:shd w:val="clear" w:color="auto" w:fill="auto"/>
            <w:tcMar>
              <w:top w:w="0" w:type="dxa"/>
              <w:left w:w="108" w:type="dxa"/>
              <w:bottom w:w="0" w:type="dxa"/>
              <w:right w:w="108" w:type="dxa"/>
            </w:tcMar>
            <w:hideMark/>
          </w:tcPr>
          <w:p w14:paraId="01983CC1" w14:textId="67FD7D32" w:rsidR="005F24DD" w:rsidRPr="00DF4D72" w:rsidRDefault="005F24DD" w:rsidP="00ED782B">
            <w:pPr>
              <w:spacing w:before="40" w:after="40"/>
              <w:rPr>
                <w:rFonts w:ascii="Arial Narrow" w:hAnsi="Arial Narrow"/>
                <w:b/>
                <w:bCs/>
                <w:sz w:val="20"/>
              </w:rPr>
            </w:pPr>
            <w:r w:rsidRPr="00DF4D72">
              <w:rPr>
                <w:rFonts w:ascii="Arial Narrow" w:hAnsi="Arial Narrow"/>
                <w:b/>
                <w:bCs/>
                <w:sz w:val="20"/>
              </w:rPr>
              <w:t>1,41</w:t>
            </w:r>
            <w:r>
              <w:rPr>
                <w:rFonts w:ascii="Arial Narrow" w:hAnsi="Arial Narrow"/>
                <w:b/>
                <w:bCs/>
                <w:sz w:val="20"/>
              </w:rPr>
              <w:t>9</w:t>
            </w:r>
          </w:p>
        </w:tc>
      </w:tr>
    </w:tbl>
    <w:p w14:paraId="117E1CB6" w14:textId="02B8D038" w:rsidR="005F24DD" w:rsidRDefault="005F24DD" w:rsidP="005F24DD">
      <w:pPr>
        <w:rPr>
          <w:rFonts w:ascii="Arial Narrow" w:hAnsi="Arial Narrow"/>
          <w:i/>
          <w:iCs/>
          <w:sz w:val="18"/>
          <w:szCs w:val="18"/>
          <w:vertAlign w:val="superscript"/>
          <w:lang w:val="en-US"/>
        </w:rPr>
      </w:pPr>
      <w:r w:rsidRPr="00DF4D72">
        <w:rPr>
          <w:rFonts w:ascii="Arial Narrow" w:hAnsi="Arial Narrow"/>
          <w:sz w:val="18"/>
          <w:szCs w:val="18"/>
          <w:lang w:val="en-US"/>
        </w:rPr>
        <w:t xml:space="preserve">Source: Applicant </w:t>
      </w:r>
      <w:r w:rsidR="00DC71DF">
        <w:rPr>
          <w:rFonts w:ascii="Arial Narrow" w:hAnsi="Arial Narrow"/>
          <w:sz w:val="18"/>
          <w:szCs w:val="18"/>
          <w:lang w:val="en-US"/>
        </w:rPr>
        <w:t>correspondence</w:t>
      </w:r>
    </w:p>
    <w:p w14:paraId="5184F7D8" w14:textId="2D383F8B" w:rsidR="00B411FE" w:rsidRPr="009555C2" w:rsidRDefault="005F24DD" w:rsidP="009555C2">
      <w:pPr>
        <w:autoSpaceDE w:val="0"/>
        <w:autoSpaceDN w:val="0"/>
        <w:adjustRightInd w:val="0"/>
        <w:spacing w:after="240"/>
        <w:rPr>
          <w:color w:val="C0504D" w:themeColor="accent2"/>
          <w:spacing w:val="5"/>
          <w:sz w:val="20"/>
          <w:lang w:val="en-US" w:bidi="he-IL"/>
        </w:rPr>
      </w:pPr>
      <w:r>
        <w:rPr>
          <w:rFonts w:ascii="Arial Narrow" w:hAnsi="Arial Narrow"/>
          <w:sz w:val="18"/>
          <w:szCs w:val="18"/>
          <w:vertAlign w:val="superscript"/>
          <w:lang w:val="en-US"/>
        </w:rPr>
        <w:t xml:space="preserve">a </w:t>
      </w:r>
      <w:r w:rsidRPr="00DF4D72">
        <w:rPr>
          <w:rFonts w:ascii="Arial Narrow" w:hAnsi="Arial Narrow"/>
          <w:sz w:val="18"/>
          <w:szCs w:val="18"/>
          <w:lang w:val="en-US"/>
        </w:rPr>
        <w:t>ASPS received responses in the form of both document surveys (n=31) and online survey (n=1,386).</w:t>
      </w:r>
      <w:r w:rsidR="005B23D7">
        <w:rPr>
          <w:rFonts w:ascii="Arial Narrow" w:hAnsi="Arial Narrow"/>
          <w:sz w:val="18"/>
          <w:szCs w:val="18"/>
          <w:lang w:val="en-US"/>
        </w:rPr>
        <w:t xml:space="preserve"> </w:t>
      </w:r>
      <w:r w:rsidRPr="00F26493">
        <w:rPr>
          <w:rFonts w:ascii="Arial Narrow" w:eastAsiaTheme="minorHAnsi" w:hAnsi="Arial Narrow"/>
          <w:sz w:val="18"/>
          <w:szCs w:val="18"/>
          <w:lang w:val="en-US"/>
        </w:rPr>
        <w:t xml:space="preserve">Respondents were able to select more than one identity in the online survey. Where a respondent ticked ‘Patient/Consumer’ as well as another identity, such as ‘Other - Specialist’, </w:t>
      </w:r>
      <w:r w:rsidR="00C13C97">
        <w:rPr>
          <w:rFonts w:ascii="Arial Narrow" w:eastAsiaTheme="minorHAnsi" w:hAnsi="Arial Narrow"/>
          <w:sz w:val="18"/>
          <w:szCs w:val="18"/>
          <w:lang w:val="en-US"/>
        </w:rPr>
        <w:t>the applicant</w:t>
      </w:r>
      <w:r w:rsidR="00C13C97" w:rsidRPr="00F26493">
        <w:rPr>
          <w:rFonts w:ascii="Arial Narrow" w:eastAsiaTheme="minorHAnsi" w:hAnsi="Arial Narrow"/>
          <w:sz w:val="18"/>
          <w:szCs w:val="18"/>
          <w:lang w:val="en-US"/>
        </w:rPr>
        <w:t xml:space="preserve"> </w:t>
      </w:r>
      <w:r w:rsidRPr="00F26493">
        <w:rPr>
          <w:rFonts w:ascii="Arial Narrow" w:eastAsiaTheme="minorHAnsi" w:hAnsi="Arial Narrow"/>
          <w:sz w:val="18"/>
          <w:szCs w:val="18"/>
          <w:lang w:val="en-US"/>
        </w:rPr>
        <w:t xml:space="preserve">counted that response as a ‘Specialist’ rather than consumer. </w:t>
      </w:r>
    </w:p>
    <w:p w14:paraId="647036DB" w14:textId="4A83BC04" w:rsidR="00BF0DFE" w:rsidRPr="007D0728" w:rsidRDefault="00065623" w:rsidP="00BF0DFE">
      <w:pPr>
        <w:pStyle w:val="Heading1"/>
        <w:rPr>
          <w:rFonts w:ascii="Arial" w:hAnsi="Arial" w:cs="Arial"/>
        </w:rPr>
      </w:pPr>
      <w:r w:rsidRPr="007D0728">
        <w:rPr>
          <w:rFonts w:ascii="Arial" w:hAnsi="Arial" w:cs="Arial"/>
        </w:rPr>
        <w:t>Proposed intervention’s place in clinical management</w:t>
      </w:r>
    </w:p>
    <w:p w14:paraId="7C14662F" w14:textId="77777777" w:rsidR="007D0728" w:rsidRDefault="007D0728" w:rsidP="007D0728">
      <w:pPr>
        <w:pStyle w:val="Heading2"/>
        <w:spacing w:before="240"/>
      </w:pPr>
      <w:r>
        <w:t>Description of proposed intervention</w:t>
      </w:r>
    </w:p>
    <w:p w14:paraId="35A10CEA" w14:textId="4F006196" w:rsidR="007D0728" w:rsidRDefault="007D0728" w:rsidP="007D0728">
      <w:r>
        <w:t>The medical service proposed by the applicant is the surgical repair of the abdominal wall defect by closing the distance between the rectus muscles. The repair would involve suturing the musculoaponeurotic layer of the abdominal wall and include the associated excision of redundant skin and fat and transposition of the umbilicus (radical abdominoplasty).</w:t>
      </w:r>
    </w:p>
    <w:p w14:paraId="7E793FF3" w14:textId="77777777" w:rsidR="007D0728" w:rsidRDefault="007D0728" w:rsidP="007D0728">
      <w:pPr>
        <w:spacing w:before="240"/>
      </w:pPr>
      <w:r>
        <w:t>A radical abdominoplasty is an additional technique to remove excess skin and fat which may or may not be undertaken in surgical repair of diastasis rectus. A systematic review of treatment options for rectus diastasis excluded radical abdominoplasty (Mommers, 2017</w:t>
      </w:r>
      <w:r>
        <w:rPr>
          <w:rStyle w:val="FootnoteReference"/>
        </w:rPr>
        <w:footnoteReference w:id="2"/>
      </w:r>
      <w:r>
        <w:t>). It presented a range of surgical techniques classified by the authors as plication techniques, modified hernia repair techniques and combined hernia and rectus diastasis techniques. There are a variety of options for the surgical repair of the rectus diastasis:</w:t>
      </w:r>
    </w:p>
    <w:p w14:paraId="0C975068" w14:textId="77777777" w:rsidR="007D0728" w:rsidRDefault="007D0728" w:rsidP="007D0728">
      <w:pPr>
        <w:pStyle w:val="ListParagraph"/>
        <w:numPr>
          <w:ilvl w:val="0"/>
          <w:numId w:val="22"/>
        </w:numPr>
        <w:spacing w:before="240"/>
      </w:pPr>
      <w:r>
        <w:t>can be conducted using an open (midline or transverse) or laparoscopic technique</w:t>
      </w:r>
    </w:p>
    <w:p w14:paraId="23F45477" w14:textId="77777777" w:rsidR="007D0728" w:rsidRDefault="007D0728" w:rsidP="007D0728">
      <w:pPr>
        <w:pStyle w:val="ListParagraph"/>
        <w:numPr>
          <w:ilvl w:val="0"/>
          <w:numId w:val="22"/>
        </w:numPr>
        <w:spacing w:before="240"/>
      </w:pPr>
      <w:r>
        <w:t>reinforcement of the linea alba can be undertaken using sutures alone (resorbable or non-resorbable, interrupted or continuous) or with mesh</w:t>
      </w:r>
    </w:p>
    <w:p w14:paraId="6F5912EC" w14:textId="77777777" w:rsidR="007D0728" w:rsidRDefault="007D0728" w:rsidP="007D0728">
      <w:pPr>
        <w:pStyle w:val="ListParagraph"/>
        <w:numPr>
          <w:ilvl w:val="0"/>
          <w:numId w:val="22"/>
        </w:numPr>
        <w:spacing w:before="240"/>
      </w:pPr>
      <w:r>
        <w:t>repair of the diastasis can be combined with abdominoplasty or not.</w:t>
      </w:r>
    </w:p>
    <w:p w14:paraId="46007CFD" w14:textId="77777777" w:rsidR="007D0728" w:rsidRDefault="007D0728" w:rsidP="009555C2">
      <w:pPr>
        <w:pStyle w:val="Heading2"/>
        <w:spacing w:before="240"/>
      </w:pPr>
      <w:r>
        <w:t>Description of medical condition(s)</w:t>
      </w:r>
    </w:p>
    <w:p w14:paraId="1BC7C3D7" w14:textId="77777777" w:rsidR="007D0728" w:rsidRDefault="007D0728" w:rsidP="007D0728">
      <w:r>
        <w:t>The ADAR stated that n</w:t>
      </w:r>
      <w:r w:rsidRPr="000F2207">
        <w:t xml:space="preserve">o changes to the </w:t>
      </w:r>
      <w:r>
        <w:t xml:space="preserve">population </w:t>
      </w:r>
      <w:r w:rsidRPr="000F2207">
        <w:t xml:space="preserve">considered </w:t>
      </w:r>
      <w:r>
        <w:t>in the</w:t>
      </w:r>
      <w:r w:rsidRPr="000F2207">
        <w:t xml:space="preserve"> </w:t>
      </w:r>
      <w:r>
        <w:t>previous DCAR</w:t>
      </w:r>
      <w:r w:rsidRPr="000F2207">
        <w:t xml:space="preserve"> </w:t>
      </w:r>
      <w:r>
        <w:t xml:space="preserve">assessed by MSAC </w:t>
      </w:r>
      <w:r w:rsidRPr="000F2207">
        <w:t>in November 2019</w:t>
      </w:r>
      <w:r>
        <w:t xml:space="preserve"> are proposed, that is postpartum women with </w:t>
      </w:r>
      <w:r>
        <w:lastRenderedPageBreak/>
        <w:t>abdominal rectus diastasis and unresolved symptoms at least 12 months after pregnancy would be eligible to have abdominoplasty funded through the MBS.</w:t>
      </w:r>
    </w:p>
    <w:p w14:paraId="77631768" w14:textId="4CD0B60D" w:rsidR="00165395" w:rsidRDefault="00165395" w:rsidP="009555C2">
      <w:pPr>
        <w:spacing w:before="240"/>
      </w:pPr>
      <w:r>
        <w:t xml:space="preserve">The </w:t>
      </w:r>
      <w:r w:rsidR="00E90717">
        <w:t>resubmission</w:t>
      </w:r>
      <w:r>
        <w:t xml:space="preserve"> provided an updated clinical management algorithm seeking to show the proposed place of abdominoplasty as a treatment option in women whose abdominal rectus diastasis has not resolved following conservative management with a physiotherapy/exercise program with or without adjunctive supportive care measures</w:t>
      </w:r>
      <w:r w:rsidR="001604E1">
        <w:t xml:space="preserve"> (Figure 1)</w:t>
      </w:r>
      <w:r>
        <w:t>.</w:t>
      </w:r>
      <w:r w:rsidR="00E90717">
        <w:t xml:space="preserve"> The commentary co</w:t>
      </w:r>
      <w:r w:rsidR="001604E1">
        <w:t xml:space="preserve">nsidered the clinical management algorithm is appropriate to the population and comparators specified, noting that there are </w:t>
      </w:r>
      <w:r w:rsidR="001604E1" w:rsidRPr="00331137">
        <w:t>no MBS-funded treatment options for patients with pregnancy-acquired rectus diastasis.</w:t>
      </w:r>
    </w:p>
    <w:p w14:paraId="5DDAA227" w14:textId="1BDC5F74" w:rsidR="00165395" w:rsidRPr="00C7384C" w:rsidRDefault="00165395" w:rsidP="009555C2">
      <w:pPr>
        <w:pStyle w:val="Caption"/>
        <w:spacing w:before="240"/>
      </w:pPr>
      <w:bookmarkStart w:id="3" w:name="_Ref63536283"/>
      <w:r w:rsidRPr="00C7384C">
        <w:t>Figure</w:t>
      </w:r>
      <w:bookmarkEnd w:id="3"/>
      <w:r w:rsidR="00C7384C" w:rsidRPr="00C7384C">
        <w:t xml:space="preserve"> 1</w:t>
      </w:r>
      <w:r w:rsidR="00CC0AC7">
        <w:tab/>
      </w:r>
      <w:r w:rsidRPr="00C7384C">
        <w:t>Available treatment options for patients with postpartum rectus diastasis if funded through the MBS as proposed</w:t>
      </w:r>
    </w:p>
    <w:p w14:paraId="03D0028E" w14:textId="77777777" w:rsidR="001604E1" w:rsidRDefault="00165395" w:rsidP="00165395">
      <w:pPr>
        <w:rPr>
          <w:rFonts w:ascii="Arial Narrow" w:hAnsi="Arial Narrow" w:cs="Arial"/>
          <w:snapToGrid w:val="0"/>
          <w:sz w:val="18"/>
          <w:lang w:eastAsia="en-US"/>
        </w:rPr>
      </w:pPr>
      <w:r>
        <w:rPr>
          <w:noProof/>
          <w:lang w:val="en-US" w:eastAsia="en-US"/>
        </w:rPr>
        <w:drawing>
          <wp:inline distT="0" distB="0" distL="0" distR="0" wp14:anchorId="32C5B506" wp14:editId="4E1E8632">
            <wp:extent cx="5733415" cy="5532755"/>
            <wp:effectExtent l="0" t="0" r="635" b="0"/>
            <wp:docPr id="5" name="Picture 5" descr="Scehamtic algorithm provided in ADAR resubmission" title="Available treatment options for patients with postpartum rectus diastasis if funded through the MBS as 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3415" cy="5532755"/>
                    </a:xfrm>
                    <a:prstGeom prst="rect">
                      <a:avLst/>
                    </a:prstGeom>
                    <a:noFill/>
                    <a:ln>
                      <a:noFill/>
                    </a:ln>
                  </pic:spPr>
                </pic:pic>
              </a:graphicData>
            </a:graphic>
          </wp:inline>
        </w:drawing>
      </w:r>
    </w:p>
    <w:p w14:paraId="4B7C48F1" w14:textId="388F13E6" w:rsidR="001604E1" w:rsidRDefault="001604E1" w:rsidP="00165395">
      <w:pPr>
        <w:rPr>
          <w:rFonts w:ascii="Arial Narrow" w:hAnsi="Arial Narrow" w:cs="Arial"/>
          <w:snapToGrid w:val="0"/>
          <w:sz w:val="18"/>
          <w:lang w:eastAsia="en-US"/>
        </w:rPr>
      </w:pPr>
      <w:r>
        <w:rPr>
          <w:rFonts w:ascii="Arial Narrow" w:hAnsi="Arial Narrow" w:cs="Arial"/>
          <w:snapToGrid w:val="0"/>
          <w:sz w:val="18"/>
          <w:lang w:eastAsia="en-US"/>
        </w:rPr>
        <w:t>Source: Figure ES1, p13 of the resubmission</w:t>
      </w:r>
    </w:p>
    <w:p w14:paraId="2256DC9E" w14:textId="4ADE49C9" w:rsidR="00165395" w:rsidRPr="00E90717" w:rsidRDefault="00165395" w:rsidP="009555C2">
      <w:pPr>
        <w:spacing w:after="240"/>
        <w:rPr>
          <w:rFonts w:ascii="Arial Narrow" w:hAnsi="Arial Narrow" w:cs="Arial"/>
          <w:snapToGrid w:val="0"/>
          <w:sz w:val="18"/>
          <w:lang w:eastAsia="en-US"/>
        </w:rPr>
      </w:pPr>
      <w:r w:rsidRPr="00461E8F">
        <w:rPr>
          <w:rFonts w:ascii="Arial Narrow" w:hAnsi="Arial Narrow" w:cs="Arial"/>
          <w:snapToGrid w:val="0"/>
          <w:sz w:val="18"/>
          <w:lang w:eastAsia="en-US"/>
        </w:rPr>
        <w:t xml:space="preserve">Abbreviation: </w:t>
      </w:r>
      <w:r w:rsidR="001604E1">
        <w:rPr>
          <w:rFonts w:ascii="Arial Narrow" w:hAnsi="Arial Narrow" w:cs="Arial"/>
          <w:snapToGrid w:val="0"/>
          <w:sz w:val="18"/>
          <w:lang w:eastAsia="en-US"/>
        </w:rPr>
        <w:t xml:space="preserve">GP = general practitioner; MBS = Medicare benefits Schedule; </w:t>
      </w:r>
      <w:r w:rsidRPr="00461E8F">
        <w:rPr>
          <w:rFonts w:ascii="Arial Narrow" w:hAnsi="Arial Narrow" w:cs="Arial"/>
          <w:snapToGrid w:val="0"/>
          <w:sz w:val="18"/>
          <w:lang w:eastAsia="en-US"/>
        </w:rPr>
        <w:t>RD=rectus diastasis</w:t>
      </w:r>
    </w:p>
    <w:p w14:paraId="19EC7DC0" w14:textId="0C29E90D" w:rsidR="00D55F83" w:rsidRPr="007D0728" w:rsidRDefault="00065623" w:rsidP="00D55F83">
      <w:pPr>
        <w:pStyle w:val="Heading1"/>
        <w:rPr>
          <w:rFonts w:ascii="Arial" w:hAnsi="Arial" w:cs="Arial"/>
        </w:rPr>
      </w:pPr>
      <w:r w:rsidRPr="007D0728">
        <w:rPr>
          <w:rFonts w:ascii="Arial" w:hAnsi="Arial" w:cs="Arial"/>
        </w:rPr>
        <w:t>Comparator</w:t>
      </w:r>
    </w:p>
    <w:p w14:paraId="75A7878A" w14:textId="49E5A7A8" w:rsidR="00DF65CC" w:rsidRDefault="00DF65CC" w:rsidP="009555C2">
      <w:pPr>
        <w:spacing w:before="240"/>
      </w:pPr>
      <w:r w:rsidRPr="003C681E">
        <w:t xml:space="preserve">The comparator outlined in the </w:t>
      </w:r>
      <w:hyperlink r:id="rId13" w:history="1">
        <w:r w:rsidRPr="00DF65CC">
          <w:rPr>
            <w:rStyle w:val="Hyperlink"/>
          </w:rPr>
          <w:t>PICO Confirmation</w:t>
        </w:r>
      </w:hyperlink>
      <w:r w:rsidRPr="003C681E">
        <w:t xml:space="preserve"> was best supportive care, which may include symptomatic management with pain medication, lower back braces, lifestyle changes, </w:t>
      </w:r>
      <w:r w:rsidRPr="003C681E">
        <w:lastRenderedPageBreak/>
        <w:t>physiotherapy and/or exercise</w:t>
      </w:r>
      <w:r>
        <w:t xml:space="preserve"> (noting that patients have already failed to respond to conservative treatment including physiotherapy and/or exercise)</w:t>
      </w:r>
      <w:r w:rsidRPr="003C681E">
        <w:t>.</w:t>
      </w:r>
    </w:p>
    <w:p w14:paraId="4B95B89D" w14:textId="61FB65E2" w:rsidR="00DF65CC" w:rsidRDefault="00DF65CC" w:rsidP="009555C2">
      <w:pPr>
        <w:spacing w:before="240" w:after="240"/>
      </w:pPr>
      <w:r>
        <w:t xml:space="preserve">Due to the lack of recognised options to treat the underlying abdominal rectus diastasis in women whose symptoms are refractory to first-line physiotherapy/exercise program, the </w:t>
      </w:r>
      <w:r w:rsidR="00E90717">
        <w:t xml:space="preserve">resubmission </w:t>
      </w:r>
      <w:r>
        <w:t xml:space="preserve">considers that ‘no treatment’ is a more appropriate comparator. The commentary considered </w:t>
      </w:r>
      <w:r w:rsidR="00E90717">
        <w:t>this change to be appropriate; h</w:t>
      </w:r>
      <w:r>
        <w:t>owever, i</w:t>
      </w:r>
      <w:r w:rsidRPr="00DF65CC">
        <w:t xml:space="preserve">t would be clearer to describe the comparator as ‘ongoing conservative treatment’ and describe the intervention as ‘conservative treatment plus abdominoplasty.’ </w:t>
      </w:r>
      <w:r w:rsidR="00E90717">
        <w:t>The commentary stated that t</w:t>
      </w:r>
      <w:r w:rsidRPr="00DF65CC">
        <w:t>his change is nor reflected consistently in the ADAR.</w:t>
      </w:r>
    </w:p>
    <w:p w14:paraId="129DD6F8" w14:textId="332B42F1" w:rsidR="005922DB" w:rsidRPr="007D0728" w:rsidRDefault="00065623" w:rsidP="0058659C">
      <w:pPr>
        <w:pStyle w:val="Heading1"/>
        <w:rPr>
          <w:rFonts w:ascii="Arial" w:hAnsi="Arial" w:cs="Arial"/>
        </w:rPr>
      </w:pPr>
      <w:r w:rsidRPr="007D0728">
        <w:rPr>
          <w:rFonts w:ascii="Arial" w:hAnsi="Arial" w:cs="Arial"/>
        </w:rPr>
        <w:t>Comparative safety</w:t>
      </w:r>
    </w:p>
    <w:p w14:paraId="17FC370E" w14:textId="68DB1ECE" w:rsidR="0021190A" w:rsidRDefault="00575AED" w:rsidP="009555C2">
      <w:pPr>
        <w:spacing w:before="240" w:after="240"/>
      </w:pPr>
      <w:r w:rsidRPr="00183E4D">
        <w:t xml:space="preserve">A summary </w:t>
      </w:r>
      <w:r>
        <w:t xml:space="preserve">of the evidence used in the resubmission </w:t>
      </w:r>
      <w:r w:rsidRPr="00183E4D">
        <w:t xml:space="preserve">is provided </w:t>
      </w:r>
      <w:r>
        <w:t xml:space="preserve">in </w:t>
      </w:r>
      <w:r w:rsidR="0021190A">
        <w:t>Table 3</w:t>
      </w:r>
      <w:r w:rsidR="00C263F7">
        <w:t>.</w:t>
      </w:r>
    </w:p>
    <w:p w14:paraId="464AC0CB" w14:textId="7D7BC2EC" w:rsidR="00C263F7" w:rsidRDefault="00C263F7" w:rsidP="00C263F7">
      <w:r>
        <w:t>The applicant stated that the</w:t>
      </w:r>
      <w:r w:rsidR="00BA68DE">
        <w:t xml:space="preserve"> three additional</w:t>
      </w:r>
      <w:r>
        <w:t xml:space="preserve"> studies provide pre-post data and therefore are interrupted time series (‘before and after’) without a parallel control group (National Health and Medical Research Council (NHMRC) Level III-3). The commentary considered that as the additional studies do not account for trend (changes) over time and perform simple statistical analysis of pre versus post intervention outcomes, they are more appropriately classified as non-comparative case series (NHMRC Level IV). </w:t>
      </w:r>
      <w:r w:rsidR="00BA68DE">
        <w:t>The commentary noted that c</w:t>
      </w:r>
      <w:r>
        <w:t>ase series are at high risk of bias due to the limitations of the study design regardless of the methodological quality of the studies themselves.</w:t>
      </w:r>
    </w:p>
    <w:p w14:paraId="6EDDD171" w14:textId="2E1B7091" w:rsidR="007E1DD3" w:rsidRDefault="00C263F7" w:rsidP="009555C2">
      <w:pPr>
        <w:spacing w:before="240"/>
      </w:pPr>
      <w:r>
        <w:t>The commentary considered that of the three additional studies presented in the ADAR, Olsson (2019) is the only prospective study and the most applicable due to patients havi</w:t>
      </w:r>
      <w:r w:rsidR="00D50174">
        <w:t>ng failed conservative therapy.</w:t>
      </w:r>
    </w:p>
    <w:p w14:paraId="3A85968E" w14:textId="230B11C4" w:rsidR="007E1DD3" w:rsidRDefault="007E1DD3" w:rsidP="009555C2">
      <w:pPr>
        <w:pStyle w:val="Caption"/>
        <w:spacing w:before="240"/>
      </w:pPr>
      <w:r>
        <w:t>Table 3</w:t>
      </w:r>
      <w:r w:rsidR="00CC0AC7">
        <w:tab/>
      </w:r>
      <w:r>
        <w:t>Key features of the included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1127"/>
        <w:gridCol w:w="1287"/>
        <w:gridCol w:w="1708"/>
        <w:gridCol w:w="2321"/>
        <w:gridCol w:w="1678"/>
        <w:gridCol w:w="895"/>
      </w:tblGrid>
      <w:tr w:rsidR="007E1DD3" w:rsidRPr="00331137" w14:paraId="4F5A66CF" w14:textId="77777777" w:rsidTr="00EE6D68">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31EDA0ED" w14:textId="77777777" w:rsidR="007E1DD3" w:rsidRDefault="007E1DD3" w:rsidP="009555C2">
            <w:pPr>
              <w:pStyle w:val="TableHeading"/>
              <w:keepNext w:val="0"/>
              <w:keepLines/>
              <w:spacing w:before="0" w:after="0"/>
              <w:ind w:left="0" w:firstLine="0"/>
              <w:rPr>
                <w:snapToGrid w:val="0"/>
                <w:lang w:eastAsia="en-US"/>
              </w:rPr>
            </w:pPr>
            <w:r w:rsidRPr="00331137">
              <w:rPr>
                <w:snapToGrid w:val="0"/>
                <w:lang w:eastAsia="en-US"/>
              </w:rPr>
              <w:t>Study</w:t>
            </w:r>
            <w:r>
              <w:rPr>
                <w:snapToGrid w:val="0"/>
                <w:lang w:eastAsia="en-US"/>
              </w:rPr>
              <w:t xml:space="preserve"> ID</w:t>
            </w:r>
          </w:p>
          <w:p w14:paraId="044367B0" w14:textId="77777777" w:rsidR="007E1DD3" w:rsidRPr="000C1DD9" w:rsidRDefault="007E1DD3" w:rsidP="009555C2">
            <w:pPr>
              <w:pStyle w:val="TableHeading"/>
              <w:keepNext w:val="0"/>
              <w:keepLines/>
              <w:spacing w:before="0" w:after="0"/>
              <w:ind w:left="0" w:firstLine="0"/>
              <w:rPr>
                <w:i/>
                <w:iCs/>
                <w:snapToGrid w:val="0"/>
                <w:lang w:eastAsia="en-US"/>
              </w:rPr>
            </w:pPr>
            <w:r w:rsidRPr="000C1DD9">
              <w:rPr>
                <w:i/>
                <w:iCs/>
                <w:snapToGrid w:val="0"/>
                <w:lang w:eastAsia="en-US"/>
              </w:rPr>
              <w:t>Risk of b</w:t>
            </w:r>
            <w:r>
              <w:rPr>
                <w:i/>
                <w:iCs/>
                <w:snapToGrid w:val="0"/>
                <w:lang w:eastAsia="en-US"/>
              </w:rPr>
              <w:t>ia</w:t>
            </w:r>
            <w:r w:rsidRPr="000C1DD9">
              <w:rPr>
                <w:i/>
                <w:iCs/>
                <w:snapToGrid w:val="0"/>
                <w:lang w:eastAsia="en-US"/>
              </w:rPr>
              <w:t>s</w:t>
            </w:r>
          </w:p>
        </w:tc>
        <w:tc>
          <w:tcPr>
            <w:tcW w:w="0" w:type="auto"/>
            <w:tcBorders>
              <w:top w:val="single" w:sz="4" w:space="0" w:color="auto"/>
              <w:left w:val="single" w:sz="4" w:space="0" w:color="auto"/>
              <w:bottom w:val="single" w:sz="4" w:space="0" w:color="auto"/>
              <w:right w:val="single" w:sz="4" w:space="0" w:color="auto"/>
            </w:tcBorders>
            <w:hideMark/>
          </w:tcPr>
          <w:p w14:paraId="28ED7845" w14:textId="77777777" w:rsidR="007E1DD3" w:rsidRPr="00331137" w:rsidRDefault="007E1DD3" w:rsidP="009555C2">
            <w:pPr>
              <w:pStyle w:val="TableHeading"/>
              <w:keepNext w:val="0"/>
              <w:keepLines/>
              <w:spacing w:before="0" w:after="0"/>
              <w:ind w:left="0" w:firstLine="0"/>
              <w:jc w:val="center"/>
              <w:rPr>
                <w:snapToGrid w:val="0"/>
                <w:lang w:eastAsia="en-US"/>
              </w:rPr>
            </w:pPr>
            <w:r w:rsidRPr="00331137">
              <w:rPr>
                <w:snapToGrid w:val="0"/>
                <w:lang w:eastAsia="en-US"/>
              </w:rPr>
              <w:t>Design/ duration</w:t>
            </w:r>
          </w:p>
        </w:tc>
        <w:tc>
          <w:tcPr>
            <w:tcW w:w="0" w:type="auto"/>
            <w:tcBorders>
              <w:top w:val="single" w:sz="4" w:space="0" w:color="auto"/>
              <w:left w:val="single" w:sz="4" w:space="0" w:color="auto"/>
              <w:bottom w:val="single" w:sz="4" w:space="0" w:color="auto"/>
              <w:right w:val="single" w:sz="4" w:space="0" w:color="auto"/>
            </w:tcBorders>
            <w:hideMark/>
          </w:tcPr>
          <w:p w14:paraId="392BC4C9" w14:textId="77777777" w:rsidR="007E1DD3" w:rsidRPr="00331137" w:rsidRDefault="007E1DD3" w:rsidP="009555C2">
            <w:pPr>
              <w:pStyle w:val="TableHeading"/>
              <w:keepNext w:val="0"/>
              <w:keepLines/>
              <w:spacing w:before="0" w:after="0"/>
              <w:ind w:left="0" w:firstLine="0"/>
              <w:jc w:val="center"/>
              <w:rPr>
                <w:snapToGrid w:val="0"/>
                <w:lang w:eastAsia="en-US"/>
              </w:rPr>
            </w:pPr>
            <w:r w:rsidRPr="00331137">
              <w:rPr>
                <w:snapToGrid w:val="0"/>
                <w:lang w:eastAsia="en-US"/>
              </w:rPr>
              <w:t>Patient population</w:t>
            </w:r>
          </w:p>
        </w:tc>
        <w:tc>
          <w:tcPr>
            <w:tcW w:w="0" w:type="auto"/>
            <w:tcBorders>
              <w:top w:val="single" w:sz="4" w:space="0" w:color="auto"/>
              <w:left w:val="single" w:sz="4" w:space="0" w:color="auto"/>
              <w:bottom w:val="single" w:sz="4" w:space="0" w:color="auto"/>
              <w:right w:val="single" w:sz="4" w:space="0" w:color="auto"/>
            </w:tcBorders>
          </w:tcPr>
          <w:p w14:paraId="5F292510" w14:textId="77777777" w:rsidR="007E1DD3" w:rsidRPr="00331137" w:rsidRDefault="007E1DD3" w:rsidP="009555C2">
            <w:pPr>
              <w:pStyle w:val="TableHeading"/>
              <w:keepNext w:val="0"/>
              <w:keepLines/>
              <w:spacing w:before="0" w:after="0"/>
              <w:ind w:left="0" w:firstLine="0"/>
              <w:jc w:val="center"/>
              <w:rPr>
                <w:snapToGrid w:val="0"/>
                <w:lang w:eastAsia="en-US"/>
              </w:rPr>
            </w:pPr>
            <w:r>
              <w:rPr>
                <w:snapToGrid w:val="0"/>
                <w:lang w:eastAsia="en-US"/>
              </w:rPr>
              <w:t>Intervention</w:t>
            </w:r>
          </w:p>
        </w:tc>
        <w:tc>
          <w:tcPr>
            <w:tcW w:w="0" w:type="auto"/>
            <w:tcBorders>
              <w:top w:val="single" w:sz="4" w:space="0" w:color="auto"/>
              <w:left w:val="single" w:sz="4" w:space="0" w:color="auto"/>
              <w:bottom w:val="single" w:sz="4" w:space="0" w:color="auto"/>
              <w:right w:val="single" w:sz="4" w:space="0" w:color="auto"/>
            </w:tcBorders>
            <w:hideMark/>
          </w:tcPr>
          <w:p w14:paraId="487FD30B" w14:textId="77777777" w:rsidR="007E1DD3" w:rsidRPr="00331137" w:rsidRDefault="007E1DD3" w:rsidP="009555C2">
            <w:pPr>
              <w:pStyle w:val="TableHeading"/>
              <w:keepNext w:val="0"/>
              <w:keepLines/>
              <w:spacing w:before="0" w:after="0"/>
              <w:ind w:left="0" w:firstLine="0"/>
              <w:jc w:val="center"/>
              <w:rPr>
                <w:snapToGrid w:val="0"/>
                <w:lang w:eastAsia="en-US"/>
              </w:rPr>
            </w:pPr>
            <w:r w:rsidRPr="00331137">
              <w:rPr>
                <w:snapToGrid w:val="0"/>
                <w:lang w:eastAsia="en-US"/>
              </w:rPr>
              <w:t>Key outcomes</w:t>
            </w:r>
          </w:p>
        </w:tc>
        <w:tc>
          <w:tcPr>
            <w:tcW w:w="0" w:type="auto"/>
            <w:tcBorders>
              <w:top w:val="single" w:sz="4" w:space="0" w:color="auto"/>
              <w:left w:val="single" w:sz="4" w:space="0" w:color="auto"/>
              <w:bottom w:val="single" w:sz="4" w:space="0" w:color="auto"/>
              <w:right w:val="single" w:sz="4" w:space="0" w:color="auto"/>
            </w:tcBorders>
            <w:hideMark/>
          </w:tcPr>
          <w:p w14:paraId="6AD02CFA" w14:textId="77777777" w:rsidR="007E1DD3" w:rsidRPr="00331137" w:rsidRDefault="007E1DD3" w:rsidP="009555C2">
            <w:pPr>
              <w:pStyle w:val="TableHeading"/>
              <w:keepNext w:val="0"/>
              <w:keepLines/>
              <w:spacing w:before="0" w:after="0"/>
              <w:ind w:left="0" w:firstLine="0"/>
              <w:jc w:val="center"/>
              <w:rPr>
                <w:snapToGrid w:val="0"/>
                <w:lang w:eastAsia="en-US"/>
              </w:rPr>
            </w:pPr>
            <w:r w:rsidRPr="00331137">
              <w:rPr>
                <w:snapToGrid w:val="0"/>
                <w:lang w:eastAsia="en-US"/>
              </w:rPr>
              <w:t>Results used in economic model</w:t>
            </w:r>
          </w:p>
        </w:tc>
      </w:tr>
      <w:tr w:rsidR="007E1DD3" w:rsidRPr="00331137" w14:paraId="623FDC62" w14:textId="77777777" w:rsidTr="00EE6D68">
        <w:trPr>
          <w:cantSplit/>
        </w:trPr>
        <w:tc>
          <w:tcPr>
            <w:tcW w:w="0" w:type="auto"/>
            <w:tcBorders>
              <w:top w:val="single" w:sz="4" w:space="0" w:color="auto"/>
              <w:left w:val="single" w:sz="4" w:space="0" w:color="auto"/>
              <w:bottom w:val="single" w:sz="4" w:space="0" w:color="auto"/>
              <w:right w:val="single" w:sz="4" w:space="0" w:color="auto"/>
            </w:tcBorders>
            <w:hideMark/>
          </w:tcPr>
          <w:p w14:paraId="5A26F3EE" w14:textId="5236D4B1" w:rsidR="007E1DD3" w:rsidRDefault="007E1DD3" w:rsidP="009555C2">
            <w:pPr>
              <w:pStyle w:val="TableText0"/>
              <w:keepNext w:val="0"/>
              <w:keepLines/>
              <w:spacing w:before="0" w:after="0"/>
              <w:rPr>
                <w:snapToGrid w:val="0"/>
              </w:rPr>
            </w:pPr>
            <w:r>
              <w:rPr>
                <w:snapToGrid w:val="0"/>
              </w:rPr>
              <w:t>Emanuelsson trial</w:t>
            </w:r>
            <w:r w:rsidR="00736B0C">
              <w:rPr>
                <w:rStyle w:val="FootnoteReference"/>
                <w:snapToGrid w:val="0"/>
              </w:rPr>
              <w:footnoteReference w:id="3"/>
            </w:r>
          </w:p>
          <w:p w14:paraId="2368DE69" w14:textId="77777777" w:rsidR="007E1DD3" w:rsidRPr="000C1DD9" w:rsidRDefault="007E1DD3" w:rsidP="009555C2">
            <w:pPr>
              <w:pStyle w:val="TableText0"/>
              <w:keepNext w:val="0"/>
              <w:keepLines/>
              <w:spacing w:before="0" w:after="0"/>
              <w:rPr>
                <w:i/>
                <w:iCs/>
                <w:snapToGrid w:val="0"/>
              </w:rPr>
            </w:pPr>
            <w:r w:rsidRPr="000C1DD9">
              <w:rPr>
                <w:i/>
                <w:iCs/>
                <w:snapToGrid w:val="0"/>
              </w:rPr>
              <w:t>High</w:t>
            </w:r>
          </w:p>
        </w:tc>
        <w:tc>
          <w:tcPr>
            <w:tcW w:w="0" w:type="auto"/>
            <w:tcBorders>
              <w:top w:val="single" w:sz="4" w:space="0" w:color="auto"/>
              <w:left w:val="single" w:sz="4" w:space="0" w:color="auto"/>
              <w:bottom w:val="single" w:sz="4" w:space="0" w:color="auto"/>
              <w:right w:val="single" w:sz="4" w:space="0" w:color="auto"/>
            </w:tcBorders>
            <w:hideMark/>
          </w:tcPr>
          <w:p w14:paraId="092919AC" w14:textId="77777777" w:rsidR="007E1DD3" w:rsidRPr="00331137" w:rsidRDefault="007E1DD3" w:rsidP="009555C2">
            <w:pPr>
              <w:pStyle w:val="TableText0"/>
              <w:keepNext w:val="0"/>
              <w:keepLines/>
              <w:spacing w:before="0" w:after="0"/>
            </w:pPr>
            <w:r w:rsidRPr="00331137">
              <w:t>OL RCT</w:t>
            </w:r>
          </w:p>
          <w:p w14:paraId="08CA7F74" w14:textId="77777777" w:rsidR="007E1DD3" w:rsidRDefault="007E1DD3" w:rsidP="009555C2">
            <w:pPr>
              <w:pStyle w:val="TableText0"/>
              <w:keepNext w:val="0"/>
              <w:keepLines/>
              <w:spacing w:before="0" w:after="0"/>
            </w:pPr>
            <w:r w:rsidRPr="00331137">
              <w:t>Follow-up: 12 months for surgical groups (mesh and Quill) and 3 months for exercise group</w:t>
            </w:r>
          </w:p>
          <w:p w14:paraId="5B883FCF" w14:textId="77777777" w:rsidR="007E1DD3" w:rsidRPr="00331137" w:rsidRDefault="007E1DD3" w:rsidP="009555C2">
            <w:pPr>
              <w:pStyle w:val="TableText0"/>
              <w:keepNext w:val="0"/>
              <w:keepLines/>
              <w:spacing w:before="0" w:after="0"/>
              <w:rPr>
                <w:snapToGrid w:val="0"/>
              </w:rPr>
            </w:pPr>
            <w:r>
              <w:t>Long-term follow-up median 5-years for surgical groups.</w:t>
            </w:r>
          </w:p>
        </w:tc>
        <w:tc>
          <w:tcPr>
            <w:tcW w:w="0" w:type="auto"/>
            <w:tcBorders>
              <w:top w:val="single" w:sz="4" w:space="0" w:color="auto"/>
              <w:left w:val="single" w:sz="4" w:space="0" w:color="auto"/>
              <w:bottom w:val="single" w:sz="4" w:space="0" w:color="auto"/>
              <w:right w:val="single" w:sz="4" w:space="0" w:color="auto"/>
            </w:tcBorders>
            <w:hideMark/>
          </w:tcPr>
          <w:p w14:paraId="1504CAA8" w14:textId="77777777" w:rsidR="007E1DD3" w:rsidRDefault="007E1DD3" w:rsidP="009555C2">
            <w:pPr>
              <w:pStyle w:val="TableText0"/>
              <w:keepNext w:val="0"/>
              <w:keepLines/>
              <w:spacing w:before="0" w:after="0"/>
              <w:rPr>
                <w:snapToGrid w:val="0"/>
              </w:rPr>
            </w:pPr>
            <w:r w:rsidRPr="00331137">
              <w:rPr>
                <w:snapToGrid w:val="0"/>
              </w:rPr>
              <w:t>Predominately post</w:t>
            </w:r>
            <w:r>
              <w:rPr>
                <w:snapToGrid w:val="0"/>
              </w:rPr>
              <w:t>partum</w:t>
            </w:r>
            <w:r w:rsidRPr="00331137">
              <w:rPr>
                <w:snapToGrid w:val="0"/>
              </w:rPr>
              <w:t xml:space="preserve"> women (98%) with an of RD ≥ 3 cm and experienced abdominal wall discomfort</w:t>
            </w:r>
          </w:p>
          <w:p w14:paraId="73DF5C6E" w14:textId="77777777" w:rsidR="007E1DD3" w:rsidRPr="00331137" w:rsidRDefault="007E1DD3" w:rsidP="009555C2">
            <w:pPr>
              <w:pStyle w:val="TableText0"/>
              <w:keepNext w:val="0"/>
              <w:keepLines/>
              <w:spacing w:before="0" w:after="0"/>
              <w:rPr>
                <w:snapToGrid w:val="0"/>
              </w:rPr>
            </w:pPr>
            <w:r>
              <w:rPr>
                <w:snapToGrid w:val="0"/>
              </w:rPr>
              <w:t>N=86</w:t>
            </w:r>
          </w:p>
        </w:tc>
        <w:tc>
          <w:tcPr>
            <w:tcW w:w="0" w:type="auto"/>
            <w:tcBorders>
              <w:top w:val="single" w:sz="4" w:space="0" w:color="auto"/>
              <w:left w:val="single" w:sz="4" w:space="0" w:color="auto"/>
              <w:bottom w:val="single" w:sz="4" w:space="0" w:color="auto"/>
              <w:right w:val="single" w:sz="4" w:space="0" w:color="auto"/>
            </w:tcBorders>
          </w:tcPr>
          <w:p w14:paraId="5AE9DA26" w14:textId="77777777" w:rsidR="007E1DD3" w:rsidRDefault="007E1DD3" w:rsidP="009555C2">
            <w:pPr>
              <w:pStyle w:val="TableText0"/>
              <w:keepNext w:val="0"/>
              <w:keepLines/>
              <w:spacing w:before="0" w:after="0"/>
            </w:pPr>
            <w:r w:rsidRPr="00A65100">
              <w:t>1.</w:t>
            </w:r>
            <w:r>
              <w:t xml:space="preserve"> </w:t>
            </w:r>
            <w:r w:rsidRPr="00331137">
              <w:t>Radical abdominoplasty with complete plication of the rectus with retromuscular polypropylene</w:t>
            </w:r>
          </w:p>
          <w:p w14:paraId="5862DD1D" w14:textId="77777777" w:rsidR="007E1DD3" w:rsidRDefault="007E1DD3" w:rsidP="009555C2">
            <w:pPr>
              <w:pStyle w:val="TableText0"/>
              <w:keepNext w:val="0"/>
              <w:keepLines/>
              <w:spacing w:before="0" w:after="0"/>
            </w:pPr>
            <w:r>
              <w:t xml:space="preserve">2. </w:t>
            </w:r>
            <w:r w:rsidRPr="00331137">
              <w:t>Radical abdominoplasty with double-layer plication of the rectus with Quill suture.</w:t>
            </w:r>
          </w:p>
          <w:p w14:paraId="63C97E4B" w14:textId="77777777" w:rsidR="007E1DD3" w:rsidRPr="00331137" w:rsidRDefault="007E1DD3" w:rsidP="009555C2">
            <w:pPr>
              <w:pStyle w:val="TableText0"/>
              <w:keepNext w:val="0"/>
              <w:keepLines/>
              <w:spacing w:before="0" w:after="0"/>
              <w:rPr>
                <w:snapToGrid w:val="0"/>
              </w:rPr>
            </w:pPr>
            <w:r>
              <w:rPr>
                <w:snapToGrid w:val="0"/>
              </w:rPr>
              <w:t xml:space="preserve">3. </w:t>
            </w:r>
            <w:r w:rsidRPr="00331137">
              <w:t>Thrice</w:t>
            </w:r>
            <w:r>
              <w:t xml:space="preserve"> </w:t>
            </w:r>
            <w:r w:rsidRPr="00331137">
              <w:t>weekly specialised exercise program to strengthen the rectus, oblique and transverse abdominal muscles.</w:t>
            </w:r>
          </w:p>
        </w:tc>
        <w:tc>
          <w:tcPr>
            <w:tcW w:w="0" w:type="auto"/>
            <w:tcBorders>
              <w:top w:val="single" w:sz="4" w:space="0" w:color="auto"/>
              <w:left w:val="single" w:sz="4" w:space="0" w:color="auto"/>
              <w:bottom w:val="single" w:sz="4" w:space="0" w:color="auto"/>
              <w:right w:val="single" w:sz="4" w:space="0" w:color="auto"/>
            </w:tcBorders>
            <w:hideMark/>
          </w:tcPr>
          <w:p w14:paraId="43FEFE81" w14:textId="77777777" w:rsidR="007E1DD3" w:rsidRPr="00331137" w:rsidRDefault="007E1DD3" w:rsidP="009555C2">
            <w:pPr>
              <w:pStyle w:val="TableText0"/>
              <w:keepNext w:val="0"/>
              <w:keepLines/>
              <w:spacing w:before="0" w:after="0"/>
              <w:rPr>
                <w:snapToGrid w:val="0"/>
              </w:rPr>
            </w:pPr>
            <w:r w:rsidRPr="00331137">
              <w:rPr>
                <w:snapToGrid w:val="0"/>
              </w:rPr>
              <w:t>Pre</w:t>
            </w:r>
            <w:r>
              <w:rPr>
                <w:snapToGrid w:val="0"/>
              </w:rPr>
              <w:t>surgical</w:t>
            </w:r>
            <w:r w:rsidRPr="00331137">
              <w:rPr>
                <w:snapToGrid w:val="0"/>
              </w:rPr>
              <w:t xml:space="preserve"> and post</w:t>
            </w:r>
            <w:r>
              <w:rPr>
                <w:snapToGrid w:val="0"/>
              </w:rPr>
              <w:t>surgical</w:t>
            </w:r>
            <w:r w:rsidRPr="00331137">
              <w:rPr>
                <w:snapToGrid w:val="0"/>
              </w:rPr>
              <w:t xml:space="preserve"> measures for: pain (VPHQ); HRQoL (SF-36); self-rated changes in abdominal strength (VAS); objective improvement in abdominal strength (Biodex System- 4), AEs and reoccurrence</w:t>
            </w:r>
          </w:p>
        </w:tc>
        <w:tc>
          <w:tcPr>
            <w:tcW w:w="0" w:type="auto"/>
            <w:tcBorders>
              <w:top w:val="single" w:sz="4" w:space="0" w:color="auto"/>
              <w:left w:val="single" w:sz="4" w:space="0" w:color="auto"/>
              <w:bottom w:val="single" w:sz="4" w:space="0" w:color="auto"/>
              <w:right w:val="single" w:sz="4" w:space="0" w:color="auto"/>
            </w:tcBorders>
            <w:hideMark/>
          </w:tcPr>
          <w:p w14:paraId="28766CFD" w14:textId="77777777" w:rsidR="007E1DD3" w:rsidRPr="00331137" w:rsidRDefault="007E1DD3" w:rsidP="009555C2">
            <w:pPr>
              <w:pStyle w:val="TableText0"/>
              <w:keepNext w:val="0"/>
              <w:keepLines/>
              <w:spacing w:before="0" w:after="0"/>
              <w:rPr>
                <w:snapToGrid w:val="0"/>
              </w:rPr>
            </w:pPr>
            <w:r>
              <w:rPr>
                <w:snapToGrid w:val="0"/>
              </w:rPr>
              <w:t>Yes</w:t>
            </w:r>
          </w:p>
        </w:tc>
      </w:tr>
      <w:tr w:rsidR="007E1DD3" w:rsidRPr="00331137" w14:paraId="046098AC" w14:textId="77777777" w:rsidTr="00EE6D68">
        <w:trPr>
          <w:cantSplit/>
        </w:trPr>
        <w:tc>
          <w:tcPr>
            <w:tcW w:w="0" w:type="auto"/>
            <w:tcBorders>
              <w:top w:val="single" w:sz="4" w:space="0" w:color="auto"/>
              <w:left w:val="single" w:sz="4" w:space="0" w:color="auto"/>
              <w:bottom w:val="single" w:sz="4" w:space="0" w:color="auto"/>
              <w:right w:val="single" w:sz="4" w:space="0" w:color="auto"/>
            </w:tcBorders>
            <w:hideMark/>
          </w:tcPr>
          <w:p w14:paraId="46F67777" w14:textId="2AC166DA" w:rsidR="007E1DD3" w:rsidRDefault="007E1DD3" w:rsidP="009555C2">
            <w:pPr>
              <w:pStyle w:val="TableText0"/>
              <w:keepNext w:val="0"/>
              <w:keepLines/>
              <w:spacing w:before="0" w:after="0"/>
              <w:rPr>
                <w:snapToGrid w:val="0"/>
              </w:rPr>
            </w:pPr>
            <w:r>
              <w:rPr>
                <w:snapToGrid w:val="0"/>
              </w:rPr>
              <w:lastRenderedPageBreak/>
              <w:t xml:space="preserve">Taylor </w:t>
            </w:r>
            <w:r w:rsidR="00736B0C">
              <w:rPr>
                <w:snapToGrid w:val="0"/>
              </w:rPr>
              <w:t>(</w:t>
            </w:r>
            <w:r>
              <w:rPr>
                <w:snapToGrid w:val="0"/>
              </w:rPr>
              <w:t>2018</w:t>
            </w:r>
            <w:r w:rsidR="00736B0C">
              <w:rPr>
                <w:snapToGrid w:val="0"/>
              </w:rPr>
              <w:t>)</w:t>
            </w:r>
            <w:r>
              <w:rPr>
                <w:snapToGrid w:val="0"/>
              </w:rPr>
              <w:t xml:space="preserve"> study</w:t>
            </w:r>
            <w:r w:rsidR="00736B0C">
              <w:rPr>
                <w:rStyle w:val="FootnoteReference"/>
                <w:snapToGrid w:val="0"/>
              </w:rPr>
              <w:footnoteReference w:id="4"/>
            </w:r>
            <w:r>
              <w:rPr>
                <w:snapToGrid w:val="0"/>
              </w:rPr>
              <w:t xml:space="preserve"> (</w:t>
            </w:r>
            <w:r w:rsidRPr="00331137">
              <w:rPr>
                <w:snapToGrid w:val="0"/>
              </w:rPr>
              <w:t>Australian cohort</w:t>
            </w:r>
            <w:r>
              <w:rPr>
                <w:snapToGrid w:val="0"/>
              </w:rPr>
              <w:t>)</w:t>
            </w:r>
          </w:p>
          <w:p w14:paraId="7851DE3A" w14:textId="77777777" w:rsidR="007E1DD3" w:rsidRPr="00331137" w:rsidRDefault="007E1DD3" w:rsidP="009555C2">
            <w:pPr>
              <w:pStyle w:val="TableText0"/>
              <w:keepNext w:val="0"/>
              <w:keepLines/>
              <w:spacing w:before="0" w:after="0"/>
              <w:rPr>
                <w:snapToGrid w:val="0"/>
              </w:rPr>
            </w:pPr>
            <w:r w:rsidRPr="000C1DD9">
              <w:rPr>
                <w:i/>
                <w:iCs/>
                <w:snapToGrid w:val="0"/>
              </w:rPr>
              <w:t>High</w:t>
            </w:r>
            <w:r>
              <w:rPr>
                <w:i/>
                <w:iCs/>
                <w:snapToGrid w:val="0"/>
              </w:rPr>
              <w:t xml:space="preserve"> to serious</w:t>
            </w:r>
          </w:p>
        </w:tc>
        <w:tc>
          <w:tcPr>
            <w:tcW w:w="0" w:type="auto"/>
            <w:tcBorders>
              <w:top w:val="single" w:sz="4" w:space="0" w:color="auto"/>
              <w:left w:val="single" w:sz="4" w:space="0" w:color="auto"/>
              <w:bottom w:val="single" w:sz="4" w:space="0" w:color="auto"/>
              <w:right w:val="single" w:sz="4" w:space="0" w:color="auto"/>
            </w:tcBorders>
            <w:hideMark/>
          </w:tcPr>
          <w:p w14:paraId="77C75AA4" w14:textId="77777777" w:rsidR="007E1DD3" w:rsidRDefault="007E1DD3" w:rsidP="009555C2">
            <w:pPr>
              <w:pStyle w:val="TableText0"/>
              <w:keepNext w:val="0"/>
              <w:keepLines/>
              <w:spacing w:before="0" w:after="0"/>
              <w:rPr>
                <w:snapToGrid w:val="0"/>
              </w:rPr>
            </w:pPr>
            <w:r w:rsidRPr="00982882">
              <w:t xml:space="preserve">Prospective </w:t>
            </w:r>
            <w:r>
              <w:t>case series</w:t>
            </w:r>
          </w:p>
          <w:p w14:paraId="35ED4448" w14:textId="77777777" w:rsidR="007E1DD3" w:rsidRPr="00331137" w:rsidRDefault="007E1DD3" w:rsidP="009555C2">
            <w:pPr>
              <w:pStyle w:val="TableText0"/>
              <w:keepNext w:val="0"/>
              <w:keepLines/>
              <w:spacing w:before="0" w:after="0"/>
              <w:rPr>
                <w:snapToGrid w:val="0"/>
              </w:rPr>
            </w:pPr>
            <w:r w:rsidRPr="00331137">
              <w:rPr>
                <w:snapToGrid w:val="0"/>
              </w:rPr>
              <w:t>Follow-up: 6 months</w:t>
            </w:r>
          </w:p>
        </w:tc>
        <w:tc>
          <w:tcPr>
            <w:tcW w:w="0" w:type="auto"/>
            <w:tcBorders>
              <w:top w:val="single" w:sz="4" w:space="0" w:color="auto"/>
              <w:left w:val="single" w:sz="4" w:space="0" w:color="auto"/>
              <w:bottom w:val="single" w:sz="4" w:space="0" w:color="auto"/>
              <w:right w:val="single" w:sz="4" w:space="0" w:color="auto"/>
            </w:tcBorders>
            <w:hideMark/>
          </w:tcPr>
          <w:p w14:paraId="6A615DFD" w14:textId="77777777" w:rsidR="007E1DD3" w:rsidRDefault="007E1DD3" w:rsidP="009555C2">
            <w:pPr>
              <w:pStyle w:val="TableText0"/>
              <w:keepNext w:val="0"/>
              <w:keepLines/>
              <w:spacing w:before="0" w:after="0"/>
              <w:rPr>
                <w:snapToGrid w:val="0"/>
              </w:rPr>
            </w:pPr>
            <w:r w:rsidRPr="00331137">
              <w:rPr>
                <w:snapToGrid w:val="0"/>
              </w:rPr>
              <w:t>All post</w:t>
            </w:r>
            <w:r>
              <w:rPr>
                <w:snapToGrid w:val="0"/>
              </w:rPr>
              <w:t>partum</w:t>
            </w:r>
            <w:r w:rsidRPr="00331137">
              <w:rPr>
                <w:snapToGrid w:val="0"/>
              </w:rPr>
              <w:t xml:space="preserve"> women who underwent abdominoplasty in Australia between 2014 and 2016</w:t>
            </w:r>
          </w:p>
          <w:p w14:paraId="345F98F7" w14:textId="77777777" w:rsidR="007E1DD3" w:rsidRPr="00331137" w:rsidRDefault="007E1DD3" w:rsidP="009555C2">
            <w:pPr>
              <w:pStyle w:val="TableText0"/>
              <w:keepNext w:val="0"/>
              <w:keepLines/>
              <w:spacing w:before="0" w:after="0"/>
              <w:rPr>
                <w:snapToGrid w:val="0"/>
              </w:rPr>
            </w:pPr>
            <w:r>
              <w:rPr>
                <w:snapToGrid w:val="0"/>
              </w:rPr>
              <w:t>N=214</w:t>
            </w:r>
          </w:p>
        </w:tc>
        <w:tc>
          <w:tcPr>
            <w:tcW w:w="0" w:type="auto"/>
            <w:tcBorders>
              <w:top w:val="single" w:sz="4" w:space="0" w:color="auto"/>
              <w:left w:val="single" w:sz="4" w:space="0" w:color="auto"/>
              <w:bottom w:val="single" w:sz="4" w:space="0" w:color="auto"/>
              <w:right w:val="single" w:sz="4" w:space="0" w:color="auto"/>
            </w:tcBorders>
          </w:tcPr>
          <w:p w14:paraId="527BFE57" w14:textId="77777777" w:rsidR="007E1DD3" w:rsidRPr="00331137" w:rsidRDefault="007E1DD3" w:rsidP="009555C2">
            <w:pPr>
              <w:pStyle w:val="TableText0"/>
              <w:keepNext w:val="0"/>
              <w:keepLines/>
              <w:spacing w:before="0" w:after="0"/>
            </w:pPr>
            <w:r w:rsidRPr="00331137">
              <w:t>Abdominoplasty with various methods</w:t>
            </w:r>
          </w:p>
        </w:tc>
        <w:tc>
          <w:tcPr>
            <w:tcW w:w="0" w:type="auto"/>
            <w:tcBorders>
              <w:top w:val="single" w:sz="4" w:space="0" w:color="auto"/>
              <w:left w:val="single" w:sz="4" w:space="0" w:color="auto"/>
              <w:bottom w:val="single" w:sz="4" w:space="0" w:color="auto"/>
              <w:right w:val="single" w:sz="4" w:space="0" w:color="auto"/>
            </w:tcBorders>
            <w:hideMark/>
          </w:tcPr>
          <w:p w14:paraId="79D93BCC" w14:textId="77777777" w:rsidR="007E1DD3" w:rsidRPr="00331137" w:rsidRDefault="007E1DD3" w:rsidP="009555C2">
            <w:pPr>
              <w:pStyle w:val="TableText0"/>
              <w:keepNext w:val="0"/>
              <w:keepLines/>
              <w:spacing w:before="0" w:after="0"/>
              <w:rPr>
                <w:snapToGrid w:val="0"/>
              </w:rPr>
            </w:pPr>
            <w:r w:rsidRPr="00331137">
              <w:t>Pre</w:t>
            </w:r>
            <w:r>
              <w:t>surgical</w:t>
            </w:r>
            <w:r w:rsidRPr="00331137">
              <w:t xml:space="preserve"> and post</w:t>
            </w:r>
            <w:r>
              <w:t>surgical</w:t>
            </w:r>
            <w:r w:rsidRPr="00331137">
              <w:t xml:space="preserve"> measures: UI (ICIQ); and </w:t>
            </w:r>
            <w:r>
              <w:t>back pain</w:t>
            </w:r>
            <w:r w:rsidRPr="00331137">
              <w:t xml:space="preserve"> (ODI)</w:t>
            </w:r>
          </w:p>
        </w:tc>
        <w:tc>
          <w:tcPr>
            <w:tcW w:w="0" w:type="auto"/>
            <w:tcBorders>
              <w:top w:val="single" w:sz="4" w:space="0" w:color="auto"/>
              <w:left w:val="single" w:sz="4" w:space="0" w:color="auto"/>
              <w:bottom w:val="single" w:sz="4" w:space="0" w:color="auto"/>
              <w:right w:val="single" w:sz="4" w:space="0" w:color="auto"/>
            </w:tcBorders>
            <w:hideMark/>
          </w:tcPr>
          <w:p w14:paraId="1DD80C67" w14:textId="77777777" w:rsidR="007E1DD3" w:rsidRPr="00331137" w:rsidRDefault="007E1DD3" w:rsidP="009555C2">
            <w:pPr>
              <w:pStyle w:val="TableText0"/>
              <w:keepNext w:val="0"/>
              <w:keepLines/>
              <w:spacing w:before="0" w:after="0"/>
              <w:rPr>
                <w:snapToGrid w:val="0"/>
              </w:rPr>
            </w:pPr>
            <w:r w:rsidRPr="00331137">
              <w:rPr>
                <w:snapToGrid w:val="0"/>
              </w:rPr>
              <w:t>Not used</w:t>
            </w:r>
          </w:p>
        </w:tc>
      </w:tr>
      <w:tr w:rsidR="007E1DD3" w:rsidRPr="00331137" w14:paraId="240B97FD" w14:textId="77777777" w:rsidTr="00EE6D68">
        <w:trPr>
          <w:cantSplit/>
        </w:trPr>
        <w:tc>
          <w:tcPr>
            <w:tcW w:w="0" w:type="auto"/>
            <w:tcBorders>
              <w:top w:val="single" w:sz="4" w:space="0" w:color="auto"/>
              <w:left w:val="single" w:sz="4" w:space="0" w:color="auto"/>
              <w:bottom w:val="single" w:sz="4" w:space="0" w:color="auto"/>
              <w:right w:val="single" w:sz="4" w:space="0" w:color="auto"/>
            </w:tcBorders>
          </w:tcPr>
          <w:p w14:paraId="08CDBC61" w14:textId="26704A0B" w:rsidR="007E1DD3" w:rsidRDefault="007E1DD3" w:rsidP="009555C2">
            <w:pPr>
              <w:pStyle w:val="TableText0"/>
              <w:keepNext w:val="0"/>
              <w:keepLines/>
              <w:spacing w:before="0" w:after="0"/>
              <w:rPr>
                <w:snapToGrid w:val="0"/>
              </w:rPr>
            </w:pPr>
            <w:r>
              <w:rPr>
                <w:snapToGrid w:val="0"/>
              </w:rPr>
              <w:t xml:space="preserve">Olsson </w:t>
            </w:r>
            <w:r w:rsidR="001D0D5C">
              <w:rPr>
                <w:snapToGrid w:val="0"/>
              </w:rPr>
              <w:t>(</w:t>
            </w:r>
            <w:r>
              <w:rPr>
                <w:snapToGrid w:val="0"/>
              </w:rPr>
              <w:t>2019</w:t>
            </w:r>
            <w:r w:rsidR="001D0D5C">
              <w:rPr>
                <w:snapToGrid w:val="0"/>
              </w:rPr>
              <w:t>)</w:t>
            </w:r>
            <w:r>
              <w:rPr>
                <w:snapToGrid w:val="0"/>
              </w:rPr>
              <w:t xml:space="preserve"> study</w:t>
            </w:r>
            <w:r w:rsidR="001D0D5C">
              <w:rPr>
                <w:rStyle w:val="FootnoteReference"/>
                <w:snapToGrid w:val="0"/>
              </w:rPr>
              <w:footnoteReference w:id="5"/>
            </w:r>
          </w:p>
          <w:p w14:paraId="57C08A10" w14:textId="77777777" w:rsidR="007E1DD3" w:rsidRPr="000C1DD9" w:rsidRDefault="007E1DD3" w:rsidP="009555C2">
            <w:pPr>
              <w:pStyle w:val="TableText0"/>
              <w:keepNext w:val="0"/>
              <w:keepLines/>
              <w:spacing w:before="0" w:after="0"/>
              <w:rPr>
                <w:i/>
                <w:iCs/>
                <w:snapToGrid w:val="0"/>
              </w:rPr>
            </w:pPr>
            <w:r w:rsidRPr="000C1DD9">
              <w:rPr>
                <w:i/>
                <w:iCs/>
                <w:snapToGrid w:val="0"/>
              </w:rPr>
              <w:t>High</w:t>
            </w:r>
          </w:p>
        </w:tc>
        <w:tc>
          <w:tcPr>
            <w:tcW w:w="0" w:type="auto"/>
            <w:tcBorders>
              <w:top w:val="single" w:sz="4" w:space="0" w:color="auto"/>
              <w:left w:val="single" w:sz="4" w:space="0" w:color="auto"/>
              <w:bottom w:val="single" w:sz="4" w:space="0" w:color="auto"/>
              <w:right w:val="single" w:sz="4" w:space="0" w:color="auto"/>
            </w:tcBorders>
          </w:tcPr>
          <w:p w14:paraId="107D63D4" w14:textId="77777777" w:rsidR="007E1DD3" w:rsidRPr="00EB5C69" w:rsidRDefault="007E1DD3" w:rsidP="009555C2">
            <w:pPr>
              <w:pStyle w:val="TableText0"/>
              <w:keepNext w:val="0"/>
              <w:keepLines/>
              <w:spacing w:before="0" w:after="0"/>
              <w:rPr>
                <w:iCs/>
                <w:snapToGrid w:val="0"/>
              </w:rPr>
            </w:pPr>
            <w:r w:rsidRPr="00982882">
              <w:t xml:space="preserve">Prospective </w:t>
            </w:r>
            <w:r>
              <w:t>case series</w:t>
            </w:r>
            <w:r w:rsidRPr="00EB5C69">
              <w:rPr>
                <w:iCs/>
                <w:snapToGrid w:val="0"/>
              </w:rPr>
              <w:t xml:space="preserve"> Follow-up: 12 months</w:t>
            </w:r>
          </w:p>
        </w:tc>
        <w:tc>
          <w:tcPr>
            <w:tcW w:w="0" w:type="auto"/>
            <w:tcBorders>
              <w:top w:val="single" w:sz="4" w:space="0" w:color="auto"/>
              <w:left w:val="single" w:sz="4" w:space="0" w:color="auto"/>
              <w:bottom w:val="single" w:sz="4" w:space="0" w:color="auto"/>
              <w:right w:val="single" w:sz="4" w:space="0" w:color="auto"/>
            </w:tcBorders>
          </w:tcPr>
          <w:p w14:paraId="356B7197" w14:textId="77777777" w:rsidR="007E1DD3" w:rsidRDefault="007E1DD3" w:rsidP="009555C2">
            <w:pPr>
              <w:pStyle w:val="TableText0"/>
              <w:keepNext w:val="0"/>
              <w:keepLines/>
              <w:spacing w:before="0" w:after="0"/>
              <w:rPr>
                <w:snapToGrid w:val="0"/>
              </w:rPr>
            </w:pPr>
            <w:r>
              <w:rPr>
                <w:snapToGrid w:val="0"/>
              </w:rPr>
              <w:t xml:space="preserve">Postpartum women with an RD of </w:t>
            </w:r>
            <w:r w:rsidRPr="00331137">
              <w:rPr>
                <w:snapToGrid w:val="0"/>
              </w:rPr>
              <w:t xml:space="preserve">≥ 3 cm and </w:t>
            </w:r>
            <w:r>
              <w:rPr>
                <w:snapToGrid w:val="0"/>
              </w:rPr>
              <w:t>trunk instability symptoms persisting after more than 3 months of trunk training program and more than 1 year from last delivery</w:t>
            </w:r>
          </w:p>
          <w:p w14:paraId="75F182D2" w14:textId="77777777" w:rsidR="007E1DD3" w:rsidRPr="00331137" w:rsidRDefault="007E1DD3" w:rsidP="009555C2">
            <w:pPr>
              <w:pStyle w:val="TableText0"/>
              <w:keepNext w:val="0"/>
              <w:keepLines/>
              <w:spacing w:before="0" w:after="0"/>
              <w:rPr>
                <w:snapToGrid w:val="0"/>
              </w:rPr>
            </w:pPr>
            <w:r>
              <w:rPr>
                <w:snapToGrid w:val="0"/>
              </w:rPr>
              <w:t>N=60</w:t>
            </w:r>
          </w:p>
        </w:tc>
        <w:tc>
          <w:tcPr>
            <w:tcW w:w="0" w:type="auto"/>
            <w:tcBorders>
              <w:top w:val="single" w:sz="4" w:space="0" w:color="auto"/>
              <w:left w:val="single" w:sz="4" w:space="0" w:color="auto"/>
              <w:bottom w:val="single" w:sz="4" w:space="0" w:color="auto"/>
              <w:right w:val="single" w:sz="4" w:space="0" w:color="auto"/>
            </w:tcBorders>
          </w:tcPr>
          <w:p w14:paraId="4D34B1BE" w14:textId="77777777" w:rsidR="007E1DD3" w:rsidRPr="00EB5C69" w:rsidRDefault="007E1DD3" w:rsidP="009555C2">
            <w:pPr>
              <w:pStyle w:val="TableText0"/>
              <w:keepNext w:val="0"/>
              <w:keepLines/>
              <w:spacing w:before="0" w:after="0"/>
            </w:pPr>
            <w:r w:rsidRPr="00EB5C69">
              <w:t>Suture repair of the diastasis with double-layer plication of the rectus with Quill suture using one of:</w:t>
            </w:r>
          </w:p>
          <w:p w14:paraId="79939ECF" w14:textId="77777777" w:rsidR="007E1DD3" w:rsidRPr="00EB5C69" w:rsidRDefault="007E1DD3" w:rsidP="009555C2">
            <w:pPr>
              <w:pStyle w:val="TableText0"/>
              <w:keepNext w:val="0"/>
              <w:keepLines/>
              <w:spacing w:before="0" w:after="0"/>
            </w:pPr>
            <w:r w:rsidRPr="00EB5C69">
              <w:t>A. midline incision</w:t>
            </w:r>
          </w:p>
          <w:p w14:paraId="2F4074C5" w14:textId="77777777" w:rsidR="007E1DD3" w:rsidRPr="00EB5C69" w:rsidRDefault="007E1DD3" w:rsidP="009555C2">
            <w:pPr>
              <w:pStyle w:val="TableText0"/>
              <w:keepLines/>
              <w:spacing w:before="0" w:after="0"/>
            </w:pPr>
            <w:r w:rsidRPr="00EB5C69">
              <w:t xml:space="preserve">B. low transverse incision, including limited resection of excessive skin and a floating umbilicus; </w:t>
            </w:r>
          </w:p>
          <w:p w14:paraId="56CC6FEC" w14:textId="77777777" w:rsidR="007E1DD3" w:rsidRPr="00331137" w:rsidRDefault="007E1DD3" w:rsidP="009555C2">
            <w:pPr>
              <w:pStyle w:val="TableText0"/>
              <w:keepNext w:val="0"/>
              <w:keepLines/>
              <w:spacing w:before="0" w:after="0"/>
            </w:pPr>
            <w:r w:rsidRPr="00EB5C69">
              <w:t>C. abdominoplasty, including resection of excessive skin and umbilical transposition</w:t>
            </w:r>
          </w:p>
        </w:tc>
        <w:tc>
          <w:tcPr>
            <w:tcW w:w="0" w:type="auto"/>
            <w:tcBorders>
              <w:top w:val="single" w:sz="4" w:space="0" w:color="auto"/>
              <w:left w:val="single" w:sz="4" w:space="0" w:color="auto"/>
              <w:bottom w:val="single" w:sz="4" w:space="0" w:color="auto"/>
              <w:right w:val="single" w:sz="4" w:space="0" w:color="auto"/>
            </w:tcBorders>
          </w:tcPr>
          <w:p w14:paraId="7BEEA013" w14:textId="77777777" w:rsidR="007E1DD3" w:rsidRPr="00331137" w:rsidRDefault="007E1DD3" w:rsidP="009555C2">
            <w:pPr>
              <w:pStyle w:val="TableText0"/>
              <w:keepNext w:val="0"/>
              <w:keepLines/>
              <w:spacing w:before="0" w:after="0"/>
            </w:pPr>
            <w:r w:rsidRPr="00331137">
              <w:t>Pre</w:t>
            </w:r>
            <w:r>
              <w:t>surgical</w:t>
            </w:r>
            <w:r w:rsidRPr="00331137">
              <w:t xml:space="preserve"> and post</w:t>
            </w:r>
            <w:r>
              <w:t>surgical</w:t>
            </w:r>
            <w:r w:rsidRPr="00331137">
              <w:t xml:space="preserve"> measures: </w:t>
            </w:r>
            <w:r>
              <w:t xml:space="preserve">abdominal trunk function (ATFP); </w:t>
            </w:r>
            <w:r w:rsidRPr="00331137">
              <w:rPr>
                <w:snapToGrid w:val="0"/>
              </w:rPr>
              <w:t>HRQoL (SF-36)</w:t>
            </w:r>
            <w:r>
              <w:rPr>
                <w:snapToGrid w:val="0"/>
              </w:rPr>
              <w:t xml:space="preserve">; </w:t>
            </w:r>
            <w:r w:rsidRPr="00331137">
              <w:t>UI (I</w:t>
            </w:r>
            <w:r>
              <w:t>IQ-7</w:t>
            </w:r>
            <w:r w:rsidRPr="00331137">
              <w:t>);</w:t>
            </w:r>
            <w:r>
              <w:t xml:space="preserve"> UDI-6; and post-operative complication and recurrence rates</w:t>
            </w:r>
          </w:p>
        </w:tc>
        <w:tc>
          <w:tcPr>
            <w:tcW w:w="0" w:type="auto"/>
            <w:tcBorders>
              <w:top w:val="single" w:sz="4" w:space="0" w:color="auto"/>
              <w:left w:val="single" w:sz="4" w:space="0" w:color="auto"/>
              <w:bottom w:val="single" w:sz="4" w:space="0" w:color="auto"/>
              <w:right w:val="single" w:sz="4" w:space="0" w:color="auto"/>
            </w:tcBorders>
          </w:tcPr>
          <w:p w14:paraId="0C7FF5F6" w14:textId="77777777" w:rsidR="007E1DD3" w:rsidRPr="00331137" w:rsidRDefault="007E1DD3" w:rsidP="009555C2">
            <w:pPr>
              <w:pStyle w:val="TableText0"/>
              <w:keepNext w:val="0"/>
              <w:keepLines/>
              <w:spacing w:before="0" w:after="0"/>
              <w:rPr>
                <w:snapToGrid w:val="0"/>
              </w:rPr>
            </w:pPr>
            <w:r>
              <w:rPr>
                <w:snapToGrid w:val="0"/>
              </w:rPr>
              <w:t>Not used</w:t>
            </w:r>
          </w:p>
        </w:tc>
      </w:tr>
      <w:tr w:rsidR="007E1DD3" w:rsidRPr="00331137" w14:paraId="696598E4" w14:textId="77777777" w:rsidTr="00EE6D68">
        <w:trPr>
          <w:cantSplit/>
        </w:trPr>
        <w:tc>
          <w:tcPr>
            <w:tcW w:w="0" w:type="auto"/>
            <w:tcBorders>
              <w:top w:val="single" w:sz="4" w:space="0" w:color="auto"/>
              <w:left w:val="single" w:sz="4" w:space="0" w:color="auto"/>
              <w:bottom w:val="single" w:sz="4" w:space="0" w:color="auto"/>
              <w:right w:val="single" w:sz="4" w:space="0" w:color="auto"/>
            </w:tcBorders>
          </w:tcPr>
          <w:p w14:paraId="6BD29289" w14:textId="6DA1E07B" w:rsidR="007E1DD3" w:rsidRDefault="007E1DD3" w:rsidP="009555C2">
            <w:pPr>
              <w:pStyle w:val="TableText0"/>
              <w:keepNext w:val="0"/>
              <w:keepLines/>
              <w:spacing w:before="0" w:after="0"/>
              <w:rPr>
                <w:snapToGrid w:val="0"/>
              </w:rPr>
            </w:pPr>
            <w:r>
              <w:rPr>
                <w:snapToGrid w:val="0"/>
              </w:rPr>
              <w:t xml:space="preserve">Carrara </w:t>
            </w:r>
            <w:r w:rsidR="001D0D5C">
              <w:rPr>
                <w:snapToGrid w:val="0"/>
              </w:rPr>
              <w:t>(</w:t>
            </w:r>
            <w:r>
              <w:rPr>
                <w:snapToGrid w:val="0"/>
              </w:rPr>
              <w:t>2020</w:t>
            </w:r>
            <w:r w:rsidR="001D0D5C">
              <w:rPr>
                <w:snapToGrid w:val="0"/>
              </w:rPr>
              <w:t>)</w:t>
            </w:r>
            <w:r>
              <w:rPr>
                <w:snapToGrid w:val="0"/>
              </w:rPr>
              <w:t xml:space="preserve"> study</w:t>
            </w:r>
            <w:r w:rsidR="001D0D5C">
              <w:rPr>
                <w:rStyle w:val="FootnoteReference"/>
                <w:snapToGrid w:val="0"/>
              </w:rPr>
              <w:footnoteReference w:id="6"/>
            </w:r>
          </w:p>
          <w:p w14:paraId="084C7281" w14:textId="77777777" w:rsidR="007E1DD3" w:rsidRPr="00331137" w:rsidRDefault="007E1DD3" w:rsidP="009555C2">
            <w:pPr>
              <w:pStyle w:val="TableText0"/>
              <w:keepNext w:val="0"/>
              <w:keepLines/>
              <w:spacing w:before="0" w:after="0"/>
              <w:rPr>
                <w:snapToGrid w:val="0"/>
              </w:rPr>
            </w:pPr>
            <w:r w:rsidRPr="000C1DD9">
              <w:rPr>
                <w:i/>
                <w:iCs/>
                <w:snapToGrid w:val="0"/>
              </w:rPr>
              <w:t>High</w:t>
            </w:r>
          </w:p>
        </w:tc>
        <w:tc>
          <w:tcPr>
            <w:tcW w:w="0" w:type="auto"/>
            <w:tcBorders>
              <w:top w:val="single" w:sz="4" w:space="0" w:color="auto"/>
              <w:left w:val="single" w:sz="4" w:space="0" w:color="auto"/>
              <w:bottom w:val="single" w:sz="4" w:space="0" w:color="auto"/>
              <w:right w:val="single" w:sz="4" w:space="0" w:color="auto"/>
            </w:tcBorders>
          </w:tcPr>
          <w:p w14:paraId="77D18585" w14:textId="77777777" w:rsidR="007E1DD3" w:rsidRPr="00EB5C69" w:rsidRDefault="007E1DD3" w:rsidP="009555C2">
            <w:pPr>
              <w:pStyle w:val="TableText0"/>
              <w:keepNext w:val="0"/>
              <w:keepLines/>
              <w:spacing w:before="0" w:after="0"/>
              <w:rPr>
                <w:iCs/>
                <w:snapToGrid w:val="0"/>
              </w:rPr>
            </w:pPr>
            <w:r w:rsidRPr="00982882">
              <w:t xml:space="preserve">Prospective </w:t>
            </w:r>
            <w:r>
              <w:t>case series</w:t>
            </w:r>
            <w:r w:rsidRPr="00EB5C69">
              <w:rPr>
                <w:iCs/>
                <w:snapToGrid w:val="0"/>
              </w:rPr>
              <w:t xml:space="preserve"> Follow-up: up to 24 months</w:t>
            </w:r>
          </w:p>
        </w:tc>
        <w:tc>
          <w:tcPr>
            <w:tcW w:w="0" w:type="auto"/>
            <w:tcBorders>
              <w:top w:val="single" w:sz="4" w:space="0" w:color="auto"/>
              <w:left w:val="single" w:sz="4" w:space="0" w:color="auto"/>
              <w:bottom w:val="single" w:sz="4" w:space="0" w:color="auto"/>
              <w:right w:val="single" w:sz="4" w:space="0" w:color="auto"/>
            </w:tcBorders>
          </w:tcPr>
          <w:p w14:paraId="3BFC242C" w14:textId="77777777" w:rsidR="007E1DD3" w:rsidRPr="00EB5C69" w:rsidRDefault="007E1DD3" w:rsidP="009555C2">
            <w:pPr>
              <w:pStyle w:val="CommentTabletext"/>
              <w:spacing w:before="0" w:after="0"/>
              <w:ind w:left="0"/>
              <w:rPr>
                <w:i w:val="0"/>
                <w:iCs/>
                <w:snapToGrid w:val="0"/>
                <w:color w:val="auto"/>
              </w:rPr>
            </w:pPr>
            <w:r w:rsidRPr="00A65100">
              <w:rPr>
                <w:rStyle w:val="TabletextChar"/>
                <w:i w:val="0"/>
                <w:iCs/>
                <w:color w:val="auto"/>
              </w:rPr>
              <w:t>Predominately postpartum women (93%) wit</w:t>
            </w:r>
            <w:r w:rsidRPr="00EB5C69">
              <w:rPr>
                <w:rStyle w:val="TabletextChar"/>
                <w:i w:val="0"/>
                <w:iCs/>
                <w:color w:val="auto"/>
              </w:rPr>
              <w:t>h</w:t>
            </w:r>
            <w:r w:rsidRPr="00EB5C69">
              <w:rPr>
                <w:i w:val="0"/>
                <w:iCs/>
                <w:snapToGrid w:val="0"/>
                <w:color w:val="auto"/>
              </w:rPr>
              <w:t xml:space="preserve"> </w:t>
            </w:r>
            <w:r w:rsidRPr="00EB5C69">
              <w:rPr>
                <w:i w:val="0"/>
                <w:iCs/>
                <w:color w:val="auto"/>
              </w:rPr>
              <w:t xml:space="preserve">presence of at least one primary midline defect with a diameter ≥ 10 mm </w:t>
            </w:r>
            <w:r w:rsidRPr="00EB5C69">
              <w:rPr>
                <w:i w:val="0"/>
                <w:iCs/>
                <w:snapToGrid w:val="0"/>
                <w:color w:val="auto"/>
              </w:rPr>
              <w:t>associated with RD ≥ 3 cm and more than 1 year from last delivery</w:t>
            </w:r>
          </w:p>
          <w:p w14:paraId="53047257" w14:textId="77777777" w:rsidR="007E1DD3" w:rsidRPr="00A65100" w:rsidRDefault="007E1DD3" w:rsidP="009555C2">
            <w:pPr>
              <w:pStyle w:val="CommentTabletext"/>
              <w:spacing w:before="0" w:after="0"/>
              <w:ind w:left="0"/>
            </w:pPr>
            <w:r w:rsidRPr="00EB5C69">
              <w:rPr>
                <w:i w:val="0"/>
                <w:iCs/>
                <w:color w:val="auto"/>
              </w:rPr>
              <w:t>N=110</w:t>
            </w:r>
          </w:p>
        </w:tc>
        <w:tc>
          <w:tcPr>
            <w:tcW w:w="0" w:type="auto"/>
            <w:tcBorders>
              <w:top w:val="single" w:sz="4" w:space="0" w:color="auto"/>
              <w:left w:val="single" w:sz="4" w:space="0" w:color="auto"/>
              <w:bottom w:val="single" w:sz="4" w:space="0" w:color="auto"/>
              <w:right w:val="single" w:sz="4" w:space="0" w:color="auto"/>
            </w:tcBorders>
          </w:tcPr>
          <w:p w14:paraId="6CA362F2" w14:textId="77777777" w:rsidR="007E1DD3" w:rsidRPr="00331137" w:rsidRDefault="007E1DD3" w:rsidP="009555C2">
            <w:pPr>
              <w:pStyle w:val="TableText0"/>
              <w:keepNext w:val="0"/>
              <w:keepLines/>
              <w:spacing w:before="0" w:after="0"/>
            </w:pPr>
            <w:r>
              <w:t>Endo-laparoscopic reconstruction of abdominal wall with linear staplers</w:t>
            </w:r>
          </w:p>
        </w:tc>
        <w:tc>
          <w:tcPr>
            <w:tcW w:w="0" w:type="auto"/>
            <w:tcBorders>
              <w:top w:val="single" w:sz="4" w:space="0" w:color="auto"/>
              <w:left w:val="single" w:sz="4" w:space="0" w:color="auto"/>
              <w:bottom w:val="single" w:sz="4" w:space="0" w:color="auto"/>
              <w:right w:val="single" w:sz="4" w:space="0" w:color="auto"/>
            </w:tcBorders>
          </w:tcPr>
          <w:p w14:paraId="5317DAF8" w14:textId="77777777" w:rsidR="007E1DD3" w:rsidRPr="00331137" w:rsidRDefault="007E1DD3" w:rsidP="009555C2">
            <w:pPr>
              <w:pStyle w:val="TableText0"/>
              <w:keepNext w:val="0"/>
              <w:keepLines/>
              <w:spacing w:before="0" w:after="0"/>
            </w:pPr>
            <w:r w:rsidRPr="00331137">
              <w:t>Pre</w:t>
            </w:r>
            <w:r>
              <w:t>surgical</w:t>
            </w:r>
            <w:r w:rsidRPr="00331137">
              <w:t xml:space="preserve"> and post</w:t>
            </w:r>
            <w:r>
              <w:t>surgical</w:t>
            </w:r>
            <w:r w:rsidRPr="00331137">
              <w:t xml:space="preserve"> measures: </w:t>
            </w:r>
            <w:r w:rsidRPr="00331137">
              <w:rPr>
                <w:snapToGrid w:val="0"/>
              </w:rPr>
              <w:t>HRQoL (</w:t>
            </w:r>
            <w:r>
              <w:rPr>
                <w:snapToGrid w:val="0"/>
              </w:rPr>
              <w:t>EuraHSQoL</w:t>
            </w:r>
            <w:r w:rsidRPr="00331137">
              <w:rPr>
                <w:snapToGrid w:val="0"/>
              </w:rPr>
              <w:t>)</w:t>
            </w:r>
            <w:r>
              <w:rPr>
                <w:snapToGrid w:val="0"/>
              </w:rPr>
              <w:t xml:space="preserve">; </w:t>
            </w:r>
            <w:r w:rsidRPr="00331137">
              <w:t>UI (I</w:t>
            </w:r>
            <w:r>
              <w:t>SI score</w:t>
            </w:r>
            <w:r w:rsidRPr="00331137">
              <w:t>);</w:t>
            </w:r>
            <w:r>
              <w:t xml:space="preserve"> back pain (ODI); and post-operative complication and recurrence rates</w:t>
            </w:r>
          </w:p>
        </w:tc>
        <w:tc>
          <w:tcPr>
            <w:tcW w:w="0" w:type="auto"/>
            <w:tcBorders>
              <w:top w:val="single" w:sz="4" w:space="0" w:color="auto"/>
              <w:left w:val="single" w:sz="4" w:space="0" w:color="auto"/>
              <w:bottom w:val="single" w:sz="4" w:space="0" w:color="auto"/>
              <w:right w:val="single" w:sz="4" w:space="0" w:color="auto"/>
            </w:tcBorders>
          </w:tcPr>
          <w:p w14:paraId="55383C13" w14:textId="77777777" w:rsidR="007E1DD3" w:rsidRPr="00331137" w:rsidRDefault="007E1DD3" w:rsidP="009555C2">
            <w:pPr>
              <w:pStyle w:val="TableText0"/>
              <w:keepNext w:val="0"/>
              <w:keepLines/>
              <w:spacing w:before="0" w:after="0"/>
              <w:rPr>
                <w:snapToGrid w:val="0"/>
              </w:rPr>
            </w:pPr>
            <w:r>
              <w:rPr>
                <w:snapToGrid w:val="0"/>
              </w:rPr>
              <w:t>Not used</w:t>
            </w:r>
          </w:p>
        </w:tc>
      </w:tr>
      <w:tr w:rsidR="007E1DD3" w:rsidRPr="00331137" w14:paraId="2D28E285" w14:textId="77777777" w:rsidTr="00EE6D68">
        <w:trPr>
          <w:cantSplit/>
        </w:trPr>
        <w:tc>
          <w:tcPr>
            <w:tcW w:w="0" w:type="auto"/>
            <w:tcBorders>
              <w:top w:val="single" w:sz="4" w:space="0" w:color="auto"/>
              <w:left w:val="single" w:sz="4" w:space="0" w:color="auto"/>
              <w:bottom w:val="single" w:sz="4" w:space="0" w:color="auto"/>
              <w:right w:val="single" w:sz="4" w:space="0" w:color="auto"/>
            </w:tcBorders>
          </w:tcPr>
          <w:p w14:paraId="79A7438F" w14:textId="64226F0B" w:rsidR="007E1DD3" w:rsidRDefault="007E1DD3" w:rsidP="009555C2">
            <w:pPr>
              <w:pStyle w:val="TableText0"/>
              <w:keepNext w:val="0"/>
              <w:keepLines/>
              <w:spacing w:before="0" w:after="0"/>
              <w:rPr>
                <w:snapToGrid w:val="0"/>
              </w:rPr>
            </w:pPr>
            <w:r>
              <w:rPr>
                <w:snapToGrid w:val="0"/>
              </w:rPr>
              <w:t xml:space="preserve">Fiori </w:t>
            </w:r>
            <w:r w:rsidR="001D0D5C">
              <w:rPr>
                <w:snapToGrid w:val="0"/>
              </w:rPr>
              <w:t>(</w:t>
            </w:r>
            <w:r>
              <w:rPr>
                <w:snapToGrid w:val="0"/>
              </w:rPr>
              <w:t>2020</w:t>
            </w:r>
            <w:r w:rsidR="001D0D5C">
              <w:rPr>
                <w:snapToGrid w:val="0"/>
              </w:rPr>
              <w:t>)</w:t>
            </w:r>
            <w:r>
              <w:rPr>
                <w:snapToGrid w:val="0"/>
              </w:rPr>
              <w:t xml:space="preserve"> study</w:t>
            </w:r>
            <w:r w:rsidR="001D0D5C">
              <w:rPr>
                <w:rStyle w:val="FootnoteReference"/>
                <w:snapToGrid w:val="0"/>
              </w:rPr>
              <w:footnoteReference w:id="7"/>
            </w:r>
          </w:p>
          <w:p w14:paraId="20D7B1E6" w14:textId="77777777" w:rsidR="007E1DD3" w:rsidRPr="00331137" w:rsidRDefault="007E1DD3" w:rsidP="009555C2">
            <w:pPr>
              <w:pStyle w:val="TableText0"/>
              <w:keepNext w:val="0"/>
              <w:keepLines/>
              <w:spacing w:before="0" w:after="0"/>
              <w:rPr>
                <w:snapToGrid w:val="0"/>
              </w:rPr>
            </w:pPr>
            <w:r w:rsidRPr="000C1DD9">
              <w:rPr>
                <w:i/>
                <w:iCs/>
                <w:snapToGrid w:val="0"/>
              </w:rPr>
              <w:t>High</w:t>
            </w:r>
          </w:p>
        </w:tc>
        <w:tc>
          <w:tcPr>
            <w:tcW w:w="0" w:type="auto"/>
            <w:tcBorders>
              <w:top w:val="single" w:sz="4" w:space="0" w:color="auto"/>
              <w:left w:val="single" w:sz="4" w:space="0" w:color="auto"/>
              <w:bottom w:val="single" w:sz="4" w:space="0" w:color="auto"/>
              <w:right w:val="single" w:sz="4" w:space="0" w:color="auto"/>
            </w:tcBorders>
          </w:tcPr>
          <w:p w14:paraId="0DD07C3B" w14:textId="77777777" w:rsidR="007E1DD3" w:rsidRPr="00EB5C69" w:rsidRDefault="007E1DD3" w:rsidP="009555C2">
            <w:pPr>
              <w:pStyle w:val="CommentTabletext"/>
              <w:spacing w:before="0" w:after="0"/>
              <w:ind w:left="0"/>
              <w:rPr>
                <w:i w:val="0"/>
                <w:iCs/>
                <w:snapToGrid w:val="0"/>
                <w:color w:val="auto"/>
              </w:rPr>
            </w:pPr>
            <w:r>
              <w:rPr>
                <w:i w:val="0"/>
                <w:iCs/>
                <w:snapToGrid w:val="0"/>
                <w:color w:val="auto"/>
              </w:rPr>
              <w:t>Retro</w:t>
            </w:r>
            <w:r w:rsidRPr="00943411">
              <w:rPr>
                <w:i w:val="0"/>
                <w:iCs/>
                <w:snapToGrid w:val="0"/>
                <w:color w:val="auto"/>
              </w:rPr>
              <w:t xml:space="preserve">spective case series </w:t>
            </w:r>
            <w:r w:rsidRPr="00EB5C69">
              <w:rPr>
                <w:i w:val="0"/>
                <w:iCs/>
                <w:snapToGrid w:val="0"/>
                <w:color w:val="auto"/>
              </w:rPr>
              <w:t>retrospective</w:t>
            </w:r>
          </w:p>
          <w:p w14:paraId="123A9557" w14:textId="77777777" w:rsidR="007E1DD3" w:rsidRPr="00EB5C69" w:rsidRDefault="007E1DD3" w:rsidP="009555C2">
            <w:pPr>
              <w:pStyle w:val="TableText0"/>
              <w:keepNext w:val="0"/>
              <w:keepLines/>
              <w:spacing w:before="0" w:after="0"/>
              <w:rPr>
                <w:iCs/>
                <w:snapToGrid w:val="0"/>
              </w:rPr>
            </w:pPr>
            <w:r w:rsidRPr="00EB5C69">
              <w:rPr>
                <w:iCs/>
                <w:snapToGrid w:val="0"/>
              </w:rPr>
              <w:t>Follow-up: up to 24 months</w:t>
            </w:r>
          </w:p>
        </w:tc>
        <w:tc>
          <w:tcPr>
            <w:tcW w:w="0" w:type="auto"/>
            <w:tcBorders>
              <w:top w:val="single" w:sz="4" w:space="0" w:color="auto"/>
              <w:left w:val="single" w:sz="4" w:space="0" w:color="auto"/>
              <w:bottom w:val="single" w:sz="4" w:space="0" w:color="auto"/>
              <w:right w:val="single" w:sz="4" w:space="0" w:color="auto"/>
            </w:tcBorders>
          </w:tcPr>
          <w:p w14:paraId="6C7FDD08" w14:textId="77777777" w:rsidR="007E1DD3" w:rsidRPr="00EB5C69" w:rsidRDefault="007E1DD3" w:rsidP="009555C2">
            <w:pPr>
              <w:pStyle w:val="TableText0"/>
              <w:keepNext w:val="0"/>
              <w:keepLines/>
              <w:spacing w:before="0" w:after="0"/>
              <w:rPr>
                <w:snapToGrid w:val="0"/>
              </w:rPr>
            </w:pPr>
            <w:r w:rsidRPr="00331137">
              <w:rPr>
                <w:snapToGrid w:val="0"/>
              </w:rPr>
              <w:t>Predominately post</w:t>
            </w:r>
            <w:r>
              <w:rPr>
                <w:snapToGrid w:val="0"/>
              </w:rPr>
              <w:t>partum</w:t>
            </w:r>
            <w:r w:rsidRPr="00331137">
              <w:rPr>
                <w:snapToGrid w:val="0"/>
              </w:rPr>
              <w:t xml:space="preserve"> women (9</w:t>
            </w:r>
            <w:r>
              <w:rPr>
                <w:snapToGrid w:val="0"/>
              </w:rPr>
              <w:t>8</w:t>
            </w:r>
            <w:r w:rsidRPr="00331137">
              <w:rPr>
                <w:snapToGrid w:val="0"/>
              </w:rPr>
              <w:t xml:space="preserve">%) </w:t>
            </w:r>
            <w:r w:rsidRPr="00EB5C69">
              <w:rPr>
                <w:snapToGrid w:val="0"/>
              </w:rPr>
              <w:t>with an of RD ≥ 5 cm</w:t>
            </w:r>
            <w:r w:rsidRPr="00EB5C69">
              <w:t xml:space="preserve"> </w:t>
            </w:r>
            <w:r w:rsidRPr="00EB5C69">
              <w:rPr>
                <w:snapToGrid w:val="0"/>
              </w:rPr>
              <w:t>associated or not with primary umbilical or midline hernia</w:t>
            </w:r>
          </w:p>
          <w:p w14:paraId="004F5F1E" w14:textId="77777777" w:rsidR="007E1DD3" w:rsidRPr="00331137" w:rsidRDefault="007E1DD3" w:rsidP="009555C2">
            <w:pPr>
              <w:pStyle w:val="TableText0"/>
              <w:keepNext w:val="0"/>
              <w:keepLines/>
              <w:spacing w:before="0" w:after="0"/>
              <w:rPr>
                <w:snapToGrid w:val="0"/>
              </w:rPr>
            </w:pPr>
            <w:r w:rsidRPr="00EB5C69">
              <w:rPr>
                <w:snapToGrid w:val="0"/>
              </w:rPr>
              <w:t>N=94</w:t>
            </w:r>
          </w:p>
        </w:tc>
        <w:tc>
          <w:tcPr>
            <w:tcW w:w="0" w:type="auto"/>
            <w:tcBorders>
              <w:top w:val="single" w:sz="4" w:space="0" w:color="auto"/>
              <w:left w:val="single" w:sz="4" w:space="0" w:color="auto"/>
              <w:bottom w:val="single" w:sz="4" w:space="0" w:color="auto"/>
              <w:right w:val="single" w:sz="4" w:space="0" w:color="auto"/>
            </w:tcBorders>
          </w:tcPr>
          <w:p w14:paraId="0000A1E6" w14:textId="77777777" w:rsidR="007E1DD3" w:rsidRDefault="007E1DD3" w:rsidP="009555C2">
            <w:pPr>
              <w:pStyle w:val="TableText0"/>
              <w:keepLines/>
              <w:spacing w:before="0" w:after="0"/>
            </w:pPr>
            <w:r>
              <w:t xml:space="preserve">Open surgery (laparoabdominoplasty or laparominiabdominoplasty), or  </w:t>
            </w:r>
          </w:p>
          <w:p w14:paraId="334F972D" w14:textId="77777777" w:rsidR="007E1DD3" w:rsidRPr="00331137" w:rsidRDefault="007E1DD3" w:rsidP="009555C2">
            <w:pPr>
              <w:pStyle w:val="TableText0"/>
              <w:keepNext w:val="0"/>
              <w:keepLines/>
              <w:spacing w:before="0" w:after="0"/>
            </w:pPr>
            <w:r>
              <w:t>Totally endoscopic sublay anterior repair</w:t>
            </w:r>
          </w:p>
        </w:tc>
        <w:tc>
          <w:tcPr>
            <w:tcW w:w="0" w:type="auto"/>
            <w:tcBorders>
              <w:top w:val="single" w:sz="4" w:space="0" w:color="auto"/>
              <w:left w:val="single" w:sz="4" w:space="0" w:color="auto"/>
              <w:bottom w:val="single" w:sz="4" w:space="0" w:color="auto"/>
              <w:right w:val="single" w:sz="4" w:space="0" w:color="auto"/>
            </w:tcBorders>
          </w:tcPr>
          <w:p w14:paraId="0F67580E" w14:textId="77777777" w:rsidR="007E1DD3" w:rsidRPr="00331137" w:rsidRDefault="007E1DD3" w:rsidP="009555C2">
            <w:pPr>
              <w:pStyle w:val="TableText0"/>
              <w:keepNext w:val="0"/>
              <w:keepLines/>
              <w:spacing w:before="0" w:after="0"/>
            </w:pPr>
            <w:r w:rsidRPr="00331137">
              <w:t>Pre</w:t>
            </w:r>
            <w:r>
              <w:t>surgical</w:t>
            </w:r>
            <w:r w:rsidRPr="00331137">
              <w:t xml:space="preserve"> and post</w:t>
            </w:r>
            <w:r>
              <w:t>surgical</w:t>
            </w:r>
            <w:r w:rsidRPr="00331137">
              <w:t xml:space="preserve"> measures: </w:t>
            </w:r>
            <w:r w:rsidRPr="00331137">
              <w:rPr>
                <w:snapToGrid w:val="0"/>
              </w:rPr>
              <w:t>HRQoL (</w:t>
            </w:r>
            <w:r>
              <w:rPr>
                <w:snapToGrid w:val="0"/>
              </w:rPr>
              <w:t>EuraHSQoL</w:t>
            </w:r>
            <w:r w:rsidRPr="00331137">
              <w:rPr>
                <w:snapToGrid w:val="0"/>
              </w:rPr>
              <w:t>)</w:t>
            </w:r>
            <w:r>
              <w:t>; and post-operative complication</w:t>
            </w:r>
          </w:p>
        </w:tc>
        <w:tc>
          <w:tcPr>
            <w:tcW w:w="0" w:type="auto"/>
            <w:tcBorders>
              <w:top w:val="single" w:sz="4" w:space="0" w:color="auto"/>
              <w:left w:val="single" w:sz="4" w:space="0" w:color="auto"/>
              <w:bottom w:val="single" w:sz="4" w:space="0" w:color="auto"/>
              <w:right w:val="single" w:sz="4" w:space="0" w:color="auto"/>
            </w:tcBorders>
          </w:tcPr>
          <w:p w14:paraId="0AA9BF9F" w14:textId="77777777" w:rsidR="007E1DD3" w:rsidRPr="00331137" w:rsidRDefault="007E1DD3" w:rsidP="009555C2">
            <w:pPr>
              <w:pStyle w:val="TableText0"/>
              <w:keepNext w:val="0"/>
              <w:keepLines/>
              <w:spacing w:before="0" w:after="0"/>
              <w:rPr>
                <w:snapToGrid w:val="0"/>
              </w:rPr>
            </w:pPr>
            <w:r>
              <w:rPr>
                <w:snapToGrid w:val="0"/>
              </w:rPr>
              <w:t>Not used</w:t>
            </w:r>
          </w:p>
        </w:tc>
      </w:tr>
    </w:tbl>
    <w:p w14:paraId="1486E528" w14:textId="50B653D1" w:rsidR="007E1DD3" w:rsidRDefault="007E1DD3" w:rsidP="009555C2">
      <w:pPr>
        <w:pStyle w:val="Tablenotes"/>
        <w:rPr>
          <w:rStyle w:val="TablenotesChar"/>
        </w:rPr>
      </w:pPr>
      <w:r>
        <w:rPr>
          <w:rStyle w:val="TablenotesChar"/>
        </w:rPr>
        <w:t xml:space="preserve">Source: Compiled for the </w:t>
      </w:r>
      <w:r w:rsidR="00CC3E12">
        <w:rPr>
          <w:rStyle w:val="TablenotesChar"/>
        </w:rPr>
        <w:t>c</w:t>
      </w:r>
      <w:r>
        <w:rPr>
          <w:rStyle w:val="TablenotesChar"/>
        </w:rPr>
        <w:t xml:space="preserve">ommentary, based on ADAR Table 9 (pp.46-47) [Table 25, pp45-46 of the </w:t>
      </w:r>
      <w:r w:rsidR="00CC3E12">
        <w:rPr>
          <w:rStyle w:val="TablenotesChar"/>
        </w:rPr>
        <w:t>c</w:t>
      </w:r>
      <w:r>
        <w:rPr>
          <w:rStyle w:val="TablenotesChar"/>
        </w:rPr>
        <w:t>ommentary</w:t>
      </w:r>
      <w:r w:rsidR="001D0D5C">
        <w:rPr>
          <w:rStyle w:val="TablenotesChar"/>
        </w:rPr>
        <w:t>]</w:t>
      </w:r>
    </w:p>
    <w:p w14:paraId="1611E508" w14:textId="77777777" w:rsidR="007E1DD3" w:rsidRDefault="007E1DD3" w:rsidP="009555C2">
      <w:pPr>
        <w:pStyle w:val="Tablenotes"/>
        <w:rPr>
          <w:rStyle w:val="TablenotesChar"/>
        </w:rPr>
      </w:pPr>
      <w:r w:rsidRPr="00331137">
        <w:rPr>
          <w:rStyle w:val="TablenotesChar"/>
        </w:rPr>
        <w:t xml:space="preserve">AE = adverse events; </w:t>
      </w:r>
      <w:r>
        <w:rPr>
          <w:rStyle w:val="TablenotesChar"/>
        </w:rPr>
        <w:t xml:space="preserve">ATFP = Abdominal Trunk Function Protocol; </w:t>
      </w:r>
      <w:r w:rsidRPr="00331137">
        <w:rPr>
          <w:rStyle w:val="TablenotesChar"/>
        </w:rPr>
        <w:t xml:space="preserve">HRQoL = health-related quality of life; </w:t>
      </w:r>
      <w:r w:rsidRPr="00331137">
        <w:rPr>
          <w:rFonts w:cstheme="minorHAnsi"/>
          <w:shd w:val="clear" w:color="auto" w:fill="FFFFFF"/>
        </w:rPr>
        <w:t>ICIQ = International Consultation on Incontinence Questionnaire;</w:t>
      </w:r>
      <w:r w:rsidRPr="00331137">
        <w:rPr>
          <w:rStyle w:val="TablenotesChar"/>
          <w:szCs w:val="18"/>
        </w:rPr>
        <w:t xml:space="preserve"> </w:t>
      </w:r>
      <w:r>
        <w:rPr>
          <w:rStyle w:val="TablenotesChar"/>
          <w:szCs w:val="18"/>
        </w:rPr>
        <w:t xml:space="preserve">IIQ-7 = Incontinence Impact Questionnaire; ISI = Incontinence Severity Index; </w:t>
      </w:r>
      <w:r w:rsidRPr="00331137">
        <w:rPr>
          <w:rStyle w:val="TablenotesChar"/>
          <w:szCs w:val="18"/>
        </w:rPr>
        <w:t xml:space="preserve">ODI = Oswestry Disability Index; OL = open label; RCT = randomised control trial; </w:t>
      </w:r>
      <w:r w:rsidRPr="00331137">
        <w:rPr>
          <w:rStyle w:val="TablenotesChar"/>
        </w:rPr>
        <w:t xml:space="preserve">RD = rectus diastasis; </w:t>
      </w:r>
      <w:r>
        <w:rPr>
          <w:rStyle w:val="TablenotesChar"/>
        </w:rPr>
        <w:t xml:space="preserve">SF-36 = 36-item Short Form health survey; </w:t>
      </w:r>
      <w:r w:rsidRPr="00331137">
        <w:rPr>
          <w:rStyle w:val="TablenotesChar"/>
        </w:rPr>
        <w:t xml:space="preserve">VHPQ = Ventral Hernia Pain Questionnaire; VAS = </w:t>
      </w:r>
      <w:r>
        <w:rPr>
          <w:rStyle w:val="TablenotesChar"/>
        </w:rPr>
        <w:t>v</w:t>
      </w:r>
      <w:r w:rsidRPr="00331137">
        <w:rPr>
          <w:rStyle w:val="TablenotesChar"/>
        </w:rPr>
        <w:t xml:space="preserve">isual </w:t>
      </w:r>
      <w:r>
        <w:rPr>
          <w:rStyle w:val="TablenotesChar"/>
        </w:rPr>
        <w:t>a</w:t>
      </w:r>
      <w:r w:rsidRPr="00331137">
        <w:rPr>
          <w:rStyle w:val="TablenotesChar"/>
        </w:rPr>
        <w:t>nalog</w:t>
      </w:r>
      <w:r>
        <w:rPr>
          <w:rStyle w:val="TablenotesChar"/>
        </w:rPr>
        <w:t>ue</w:t>
      </w:r>
      <w:r w:rsidRPr="00331137">
        <w:rPr>
          <w:rStyle w:val="TablenotesChar"/>
        </w:rPr>
        <w:t xml:space="preserve"> </w:t>
      </w:r>
      <w:r>
        <w:rPr>
          <w:rStyle w:val="TablenotesChar"/>
        </w:rPr>
        <w:t>s</w:t>
      </w:r>
      <w:r w:rsidRPr="00331137">
        <w:rPr>
          <w:rStyle w:val="TablenotesChar"/>
        </w:rPr>
        <w:t xml:space="preserve">cale; UI </w:t>
      </w:r>
      <w:r w:rsidRPr="00331137">
        <w:rPr>
          <w:rStyle w:val="TablenotesChar"/>
          <w:szCs w:val="18"/>
        </w:rPr>
        <w:t>=</w:t>
      </w:r>
      <w:r w:rsidRPr="00331137">
        <w:rPr>
          <w:rFonts w:cstheme="minorHAnsi"/>
          <w:shd w:val="clear" w:color="auto" w:fill="FFFFFF"/>
        </w:rPr>
        <w:t xml:space="preserve"> urinary incontinence</w:t>
      </w:r>
      <w:r>
        <w:rPr>
          <w:rStyle w:val="TablenotesChar"/>
        </w:rPr>
        <w:t>.</w:t>
      </w:r>
    </w:p>
    <w:p w14:paraId="3AA5961E" w14:textId="7C33EA8C" w:rsidR="00C263F7" w:rsidRDefault="00C263F7" w:rsidP="009555C2">
      <w:pPr>
        <w:spacing w:before="240"/>
      </w:pPr>
      <w:r>
        <w:t>The resubmission did not present a comparison of abdominoplasty safety versus physiotherapy on the basis that there is insufficient data reported to support a meaningful comparison of safety and that patients considered for abdominoplasty would have unresolved abdominal rectus diastasis following conservative management, which may i</w:t>
      </w:r>
      <w:r w:rsidR="00324FB5">
        <w:t>nclude a physiotherapy program.</w:t>
      </w:r>
    </w:p>
    <w:p w14:paraId="2CCDC3E8" w14:textId="153E7762" w:rsidR="00C263F7" w:rsidRDefault="00C263F7" w:rsidP="00C263F7">
      <w:r>
        <w:lastRenderedPageBreak/>
        <w:t>The commentary considered this was appropriate and in agreement with the revised PICO. The appropriate consideration for safety is the additional risk of surgery rather than a comparison with conservative treatment.</w:t>
      </w:r>
    </w:p>
    <w:p w14:paraId="6CE157D2" w14:textId="09367FE4" w:rsidR="00C263F7" w:rsidRDefault="00C263F7" w:rsidP="009555C2">
      <w:pPr>
        <w:spacing w:before="240"/>
      </w:pPr>
      <w:r>
        <w:t>The commentary also noted that adverse events were inconsistently reported and the interventions varied across and within studies.</w:t>
      </w:r>
    </w:p>
    <w:p w14:paraId="1BF30A81" w14:textId="359BDB62" w:rsidR="00C263F7" w:rsidRDefault="00C263F7" w:rsidP="009555C2">
      <w:pPr>
        <w:spacing w:before="240"/>
      </w:pPr>
      <w:r>
        <w:t>The resubmission’s additional evidence reports a much lower rate of wound infections associated with surgery (3-4%) compared with the rate of 25% reported in the Emanuelsson trial (18% for infection requiring antibiotics.) Reoperation rates of 9% in the Emanuelsson trial for haematoma and 7% in the Olsson study for seroma were reported. No recurrences were reported in the additional studies</w:t>
      </w:r>
      <w:r w:rsidR="00CC0AC7">
        <w:t xml:space="preserve"> (Table 4)</w:t>
      </w:r>
      <w:r>
        <w:t>.</w:t>
      </w:r>
    </w:p>
    <w:p w14:paraId="7DE26CC0" w14:textId="449BFBE9" w:rsidR="00CC0AC7" w:rsidRPr="00ED40F9" w:rsidRDefault="00CC0AC7" w:rsidP="009555C2">
      <w:pPr>
        <w:pStyle w:val="Caption"/>
        <w:spacing w:before="240"/>
        <w:rPr>
          <w:lang w:val="en-US"/>
        </w:rPr>
      </w:pPr>
      <w:bookmarkStart w:id="4" w:name="_Ref63538198"/>
      <w:r>
        <w:t xml:space="preserve">Table </w:t>
      </w:r>
      <w:bookmarkEnd w:id="4"/>
      <w:r>
        <w:t xml:space="preserve">4 </w:t>
      </w:r>
      <w:r w:rsidR="00180202">
        <w:tab/>
      </w:r>
      <w:r>
        <w:t>Summary of safety outcomes reported in the included evidence</w:t>
      </w:r>
    </w:p>
    <w:tbl>
      <w:tblPr>
        <w:tblW w:w="483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92"/>
        <w:gridCol w:w="1909"/>
        <w:gridCol w:w="1909"/>
        <w:gridCol w:w="1907"/>
      </w:tblGrid>
      <w:tr w:rsidR="00CC0AC7" w:rsidRPr="00331137" w14:paraId="248D23BD" w14:textId="77777777" w:rsidTr="00EE6D68">
        <w:trPr>
          <w:trHeight w:val="442"/>
        </w:trPr>
        <w:tc>
          <w:tcPr>
            <w:tcW w:w="1716" w:type="pct"/>
            <w:tcBorders>
              <w:bottom w:val="nil"/>
            </w:tcBorders>
            <w:shd w:val="clear" w:color="auto" w:fill="auto"/>
          </w:tcPr>
          <w:p w14:paraId="7272F1EA" w14:textId="77777777" w:rsidR="00CC0AC7" w:rsidRPr="00331137" w:rsidRDefault="00CC0AC7" w:rsidP="00EE6D68">
            <w:pPr>
              <w:pStyle w:val="Tabletext"/>
              <w:rPr>
                <w:b/>
                <w:snapToGrid w:val="0"/>
              </w:rPr>
            </w:pPr>
            <w:r w:rsidRPr="00331137">
              <w:rPr>
                <w:b/>
                <w:snapToGrid w:val="0"/>
              </w:rPr>
              <w:t>Adverse event</w:t>
            </w:r>
          </w:p>
        </w:tc>
        <w:tc>
          <w:tcPr>
            <w:tcW w:w="1095" w:type="pct"/>
          </w:tcPr>
          <w:p w14:paraId="3EB79B10" w14:textId="026E559E" w:rsidR="00CC0AC7" w:rsidRDefault="001D0D5C" w:rsidP="009158F8">
            <w:pPr>
              <w:pStyle w:val="Tabletext"/>
              <w:jc w:val="center"/>
              <w:rPr>
                <w:b/>
                <w:snapToGrid w:val="0"/>
              </w:rPr>
            </w:pPr>
            <w:r>
              <w:rPr>
                <w:b/>
                <w:snapToGrid w:val="0"/>
              </w:rPr>
              <w:t>DCAR</w:t>
            </w:r>
          </w:p>
        </w:tc>
        <w:tc>
          <w:tcPr>
            <w:tcW w:w="2189" w:type="pct"/>
            <w:gridSpan w:val="2"/>
            <w:shd w:val="clear" w:color="auto" w:fill="auto"/>
          </w:tcPr>
          <w:p w14:paraId="24C494CC" w14:textId="3EE1AC2A" w:rsidR="00CC0AC7" w:rsidRDefault="00CC0AC7" w:rsidP="00EE6D68">
            <w:pPr>
              <w:pStyle w:val="Tabletext"/>
              <w:jc w:val="center"/>
              <w:rPr>
                <w:b/>
                <w:snapToGrid w:val="0"/>
              </w:rPr>
            </w:pPr>
            <w:r>
              <w:rPr>
                <w:b/>
                <w:snapToGrid w:val="0"/>
              </w:rPr>
              <w:t>ADAR</w:t>
            </w:r>
            <w:r w:rsidR="001D0D5C">
              <w:rPr>
                <w:b/>
                <w:snapToGrid w:val="0"/>
              </w:rPr>
              <w:t xml:space="preserve"> resubmission</w:t>
            </w:r>
          </w:p>
        </w:tc>
      </w:tr>
      <w:tr w:rsidR="00CC0AC7" w:rsidRPr="00331137" w14:paraId="209FA334" w14:textId="77777777" w:rsidTr="00EE6D68">
        <w:trPr>
          <w:trHeight w:val="442"/>
        </w:trPr>
        <w:tc>
          <w:tcPr>
            <w:tcW w:w="1716" w:type="pct"/>
            <w:tcBorders>
              <w:top w:val="nil"/>
            </w:tcBorders>
            <w:shd w:val="clear" w:color="auto" w:fill="auto"/>
          </w:tcPr>
          <w:p w14:paraId="55A0C407" w14:textId="77777777" w:rsidR="00CC0AC7" w:rsidRPr="00331137" w:rsidRDefault="00CC0AC7" w:rsidP="00EE6D68">
            <w:pPr>
              <w:pStyle w:val="Tabletext"/>
              <w:rPr>
                <w:b/>
                <w:snapToGrid w:val="0"/>
              </w:rPr>
            </w:pPr>
          </w:p>
        </w:tc>
        <w:tc>
          <w:tcPr>
            <w:tcW w:w="1095" w:type="pct"/>
          </w:tcPr>
          <w:p w14:paraId="138D2D7E" w14:textId="77777777" w:rsidR="00CC0AC7" w:rsidRDefault="00CC0AC7" w:rsidP="00EE6D68">
            <w:pPr>
              <w:pStyle w:val="Tabletext"/>
              <w:jc w:val="center"/>
              <w:rPr>
                <w:b/>
                <w:snapToGrid w:val="0"/>
              </w:rPr>
            </w:pPr>
            <w:r>
              <w:rPr>
                <w:b/>
                <w:snapToGrid w:val="0"/>
              </w:rPr>
              <w:t>Emanuelsson trial</w:t>
            </w:r>
          </w:p>
          <w:p w14:paraId="2A16F24C" w14:textId="77777777" w:rsidR="00CC0AC7" w:rsidRPr="00331137" w:rsidRDefault="00CC0AC7" w:rsidP="00EE6D68">
            <w:pPr>
              <w:pStyle w:val="Tabletext"/>
              <w:jc w:val="center"/>
              <w:rPr>
                <w:b/>
                <w:snapToGrid w:val="0"/>
              </w:rPr>
            </w:pPr>
            <w:r w:rsidRPr="00331137">
              <w:rPr>
                <w:b/>
                <w:snapToGrid w:val="0"/>
              </w:rPr>
              <w:t>N = 57</w:t>
            </w:r>
          </w:p>
        </w:tc>
        <w:tc>
          <w:tcPr>
            <w:tcW w:w="1095" w:type="pct"/>
            <w:shd w:val="clear" w:color="auto" w:fill="auto"/>
          </w:tcPr>
          <w:p w14:paraId="4D5A17F0" w14:textId="5DD74133" w:rsidR="00CC0AC7" w:rsidRDefault="00CC0AC7" w:rsidP="00EE6D68">
            <w:pPr>
              <w:pStyle w:val="Tabletext"/>
              <w:jc w:val="center"/>
              <w:rPr>
                <w:b/>
                <w:snapToGrid w:val="0"/>
              </w:rPr>
            </w:pPr>
            <w:r>
              <w:rPr>
                <w:b/>
                <w:snapToGrid w:val="0"/>
              </w:rPr>
              <w:t xml:space="preserve">Olsson </w:t>
            </w:r>
            <w:r w:rsidR="00A14490">
              <w:rPr>
                <w:b/>
                <w:snapToGrid w:val="0"/>
              </w:rPr>
              <w:t>(2019)</w:t>
            </w:r>
          </w:p>
          <w:p w14:paraId="14553339" w14:textId="77777777" w:rsidR="00CC0AC7" w:rsidRPr="00331137" w:rsidRDefault="00CC0AC7" w:rsidP="00EE6D68">
            <w:pPr>
              <w:pStyle w:val="Tabletext"/>
              <w:jc w:val="center"/>
              <w:rPr>
                <w:b/>
                <w:snapToGrid w:val="0"/>
              </w:rPr>
            </w:pPr>
            <w:r w:rsidRPr="00331137">
              <w:rPr>
                <w:b/>
                <w:snapToGrid w:val="0"/>
              </w:rPr>
              <w:t xml:space="preserve">N = </w:t>
            </w:r>
            <w:r>
              <w:rPr>
                <w:b/>
                <w:snapToGrid w:val="0"/>
              </w:rPr>
              <w:t>60</w:t>
            </w:r>
          </w:p>
        </w:tc>
        <w:tc>
          <w:tcPr>
            <w:tcW w:w="1095" w:type="pct"/>
            <w:shd w:val="clear" w:color="auto" w:fill="auto"/>
          </w:tcPr>
          <w:p w14:paraId="239ACDCD" w14:textId="25ED2137" w:rsidR="00CC0AC7" w:rsidRDefault="00CC0AC7" w:rsidP="00EE6D68">
            <w:pPr>
              <w:pStyle w:val="Tabletext"/>
              <w:jc w:val="center"/>
              <w:rPr>
                <w:b/>
                <w:snapToGrid w:val="0"/>
              </w:rPr>
            </w:pPr>
            <w:r>
              <w:rPr>
                <w:b/>
                <w:snapToGrid w:val="0"/>
              </w:rPr>
              <w:t xml:space="preserve">Carrara </w:t>
            </w:r>
            <w:r w:rsidR="00A14490">
              <w:rPr>
                <w:b/>
                <w:snapToGrid w:val="0"/>
              </w:rPr>
              <w:t>(2020)</w:t>
            </w:r>
          </w:p>
          <w:p w14:paraId="04D5FEE1" w14:textId="77777777" w:rsidR="00CC0AC7" w:rsidRPr="00331137" w:rsidRDefault="00CC0AC7" w:rsidP="00EE6D68">
            <w:pPr>
              <w:pStyle w:val="Tabletext"/>
              <w:jc w:val="center"/>
              <w:rPr>
                <w:b/>
                <w:snapToGrid w:val="0"/>
              </w:rPr>
            </w:pPr>
            <w:r>
              <w:rPr>
                <w:b/>
                <w:snapToGrid w:val="0"/>
              </w:rPr>
              <w:t>N=110</w:t>
            </w:r>
          </w:p>
        </w:tc>
      </w:tr>
      <w:tr w:rsidR="00CC0AC7" w:rsidRPr="00331137" w14:paraId="5F06896B" w14:textId="77777777" w:rsidTr="00EE6D68">
        <w:trPr>
          <w:trHeight w:val="60"/>
        </w:trPr>
        <w:tc>
          <w:tcPr>
            <w:tcW w:w="1716" w:type="pct"/>
            <w:shd w:val="clear" w:color="auto" w:fill="auto"/>
          </w:tcPr>
          <w:p w14:paraId="2744D4D7" w14:textId="77777777" w:rsidR="00CC0AC7" w:rsidRPr="00331137" w:rsidRDefault="00CC0AC7" w:rsidP="00EE6D68">
            <w:pPr>
              <w:pStyle w:val="TableText0"/>
              <w:keepLines/>
              <w:rPr>
                <w:snapToGrid w:val="0"/>
              </w:rPr>
            </w:pPr>
            <w:r w:rsidRPr="00ED40F9">
              <w:rPr>
                <w:snapToGrid w:val="0"/>
              </w:rPr>
              <w:t>Any wound infection</w:t>
            </w:r>
          </w:p>
        </w:tc>
        <w:tc>
          <w:tcPr>
            <w:tcW w:w="1095" w:type="pct"/>
          </w:tcPr>
          <w:p w14:paraId="16A5F282" w14:textId="77777777" w:rsidR="00CC0AC7" w:rsidRPr="00ED40F9" w:rsidRDefault="00CC0AC7" w:rsidP="00EE6D68">
            <w:pPr>
              <w:pStyle w:val="TableText0"/>
              <w:keepLines/>
              <w:jc w:val="center"/>
              <w:rPr>
                <w:snapToGrid w:val="0"/>
              </w:rPr>
            </w:pPr>
            <w:r w:rsidRPr="00ED40F9">
              <w:rPr>
                <w:snapToGrid w:val="0"/>
              </w:rPr>
              <w:t>14 / 57 (25%)</w:t>
            </w:r>
          </w:p>
        </w:tc>
        <w:tc>
          <w:tcPr>
            <w:tcW w:w="1095" w:type="pct"/>
            <w:shd w:val="clear" w:color="auto" w:fill="auto"/>
          </w:tcPr>
          <w:p w14:paraId="775513C1" w14:textId="77777777" w:rsidR="00CC0AC7" w:rsidRPr="00ED40F9" w:rsidRDefault="00CC0AC7" w:rsidP="00EE6D68">
            <w:pPr>
              <w:pStyle w:val="TableText0"/>
              <w:keepLines/>
              <w:jc w:val="center"/>
              <w:rPr>
                <w:snapToGrid w:val="0"/>
              </w:rPr>
            </w:pPr>
            <w:r w:rsidRPr="00ED40F9">
              <w:rPr>
                <w:snapToGrid w:val="0"/>
              </w:rPr>
              <w:t>2 / 60 (3%)</w:t>
            </w:r>
          </w:p>
        </w:tc>
        <w:tc>
          <w:tcPr>
            <w:tcW w:w="1095" w:type="pct"/>
            <w:shd w:val="clear" w:color="auto" w:fill="auto"/>
          </w:tcPr>
          <w:p w14:paraId="15E3CB9A" w14:textId="77777777" w:rsidR="00CC0AC7" w:rsidRPr="00331137" w:rsidRDefault="00CC0AC7" w:rsidP="00EE6D68">
            <w:pPr>
              <w:pStyle w:val="TableText0"/>
              <w:keepLines/>
              <w:jc w:val="center"/>
              <w:rPr>
                <w:snapToGrid w:val="0"/>
              </w:rPr>
            </w:pPr>
            <w:r>
              <w:rPr>
                <w:snapToGrid w:val="0"/>
              </w:rPr>
              <w:t>4 / 100 (4%)</w:t>
            </w:r>
          </w:p>
        </w:tc>
      </w:tr>
      <w:tr w:rsidR="00CC0AC7" w:rsidRPr="00331137" w14:paraId="3A802B3F" w14:textId="77777777" w:rsidTr="00EE6D68">
        <w:trPr>
          <w:trHeight w:val="60"/>
        </w:trPr>
        <w:tc>
          <w:tcPr>
            <w:tcW w:w="1716" w:type="pct"/>
            <w:shd w:val="clear" w:color="auto" w:fill="auto"/>
          </w:tcPr>
          <w:p w14:paraId="18D2A9BC" w14:textId="77777777" w:rsidR="00CC0AC7" w:rsidRPr="00ED40F9" w:rsidRDefault="00CC0AC7" w:rsidP="00EE6D68">
            <w:pPr>
              <w:pStyle w:val="TableText0"/>
              <w:keepLines/>
              <w:rPr>
                <w:snapToGrid w:val="0"/>
              </w:rPr>
            </w:pPr>
            <w:r w:rsidRPr="00ED40F9">
              <w:rPr>
                <w:snapToGrid w:val="0"/>
              </w:rPr>
              <w:t>Any seroma</w:t>
            </w:r>
          </w:p>
        </w:tc>
        <w:tc>
          <w:tcPr>
            <w:tcW w:w="1095" w:type="pct"/>
          </w:tcPr>
          <w:p w14:paraId="64C65F4C" w14:textId="77777777" w:rsidR="00CC0AC7" w:rsidRPr="00ED40F9" w:rsidRDefault="00CC0AC7" w:rsidP="00EE6D68">
            <w:pPr>
              <w:pStyle w:val="TableText0"/>
              <w:keepLines/>
              <w:jc w:val="center"/>
              <w:rPr>
                <w:snapToGrid w:val="0"/>
              </w:rPr>
            </w:pPr>
            <w:r w:rsidRPr="00331137">
              <w:rPr>
                <w:snapToGrid w:val="0"/>
              </w:rPr>
              <w:t>9 / 57 (16%)</w:t>
            </w:r>
          </w:p>
        </w:tc>
        <w:tc>
          <w:tcPr>
            <w:tcW w:w="1095" w:type="pct"/>
            <w:shd w:val="clear" w:color="auto" w:fill="auto"/>
          </w:tcPr>
          <w:p w14:paraId="2942C3D2" w14:textId="77777777" w:rsidR="00CC0AC7" w:rsidRPr="00ED40F9" w:rsidRDefault="00CC0AC7" w:rsidP="00EE6D68">
            <w:pPr>
              <w:pStyle w:val="TableText0"/>
              <w:keepLines/>
              <w:jc w:val="center"/>
              <w:rPr>
                <w:snapToGrid w:val="0"/>
              </w:rPr>
            </w:pPr>
            <w:r>
              <w:rPr>
                <w:snapToGrid w:val="0"/>
              </w:rPr>
              <w:t>4</w:t>
            </w:r>
            <w:r w:rsidRPr="00331137">
              <w:rPr>
                <w:snapToGrid w:val="0"/>
              </w:rPr>
              <w:t xml:space="preserve"> / </w:t>
            </w:r>
            <w:r>
              <w:rPr>
                <w:snapToGrid w:val="0"/>
              </w:rPr>
              <w:t>60</w:t>
            </w:r>
            <w:r w:rsidRPr="00331137">
              <w:rPr>
                <w:snapToGrid w:val="0"/>
              </w:rPr>
              <w:t xml:space="preserve"> (</w:t>
            </w:r>
            <w:r>
              <w:rPr>
                <w:snapToGrid w:val="0"/>
              </w:rPr>
              <w:t>7</w:t>
            </w:r>
            <w:r w:rsidRPr="00331137">
              <w:rPr>
                <w:snapToGrid w:val="0"/>
              </w:rPr>
              <w:t>%)</w:t>
            </w:r>
          </w:p>
        </w:tc>
        <w:tc>
          <w:tcPr>
            <w:tcW w:w="1095" w:type="pct"/>
            <w:shd w:val="clear" w:color="auto" w:fill="auto"/>
          </w:tcPr>
          <w:p w14:paraId="015F27A2" w14:textId="77777777" w:rsidR="00CC0AC7" w:rsidRDefault="00CC0AC7" w:rsidP="00EE6D68">
            <w:pPr>
              <w:pStyle w:val="TableText0"/>
              <w:keepLines/>
              <w:jc w:val="center"/>
              <w:rPr>
                <w:snapToGrid w:val="0"/>
              </w:rPr>
            </w:pPr>
            <w:r>
              <w:rPr>
                <w:snapToGrid w:val="0"/>
              </w:rPr>
              <w:t>1 (0.9%)</w:t>
            </w:r>
          </w:p>
        </w:tc>
      </w:tr>
      <w:tr w:rsidR="00CC0AC7" w:rsidRPr="00331137" w14:paraId="24AAC868" w14:textId="77777777" w:rsidTr="00EE6D68">
        <w:trPr>
          <w:trHeight w:val="60"/>
        </w:trPr>
        <w:tc>
          <w:tcPr>
            <w:tcW w:w="1716" w:type="pct"/>
            <w:shd w:val="clear" w:color="auto" w:fill="auto"/>
          </w:tcPr>
          <w:p w14:paraId="6207EEF8" w14:textId="77777777" w:rsidR="00CC0AC7" w:rsidRPr="00ED40F9" w:rsidRDefault="00CC0AC7" w:rsidP="00EE6D68">
            <w:pPr>
              <w:pStyle w:val="TableText0"/>
              <w:keepLines/>
              <w:rPr>
                <w:snapToGrid w:val="0"/>
              </w:rPr>
            </w:pPr>
            <w:r w:rsidRPr="00ED40F9">
              <w:rPr>
                <w:snapToGrid w:val="0"/>
              </w:rPr>
              <w:t>Haematoma</w:t>
            </w:r>
          </w:p>
        </w:tc>
        <w:tc>
          <w:tcPr>
            <w:tcW w:w="1095" w:type="pct"/>
          </w:tcPr>
          <w:p w14:paraId="656798A7" w14:textId="77777777" w:rsidR="00CC0AC7" w:rsidRPr="00ED40F9" w:rsidRDefault="00CC0AC7" w:rsidP="00EE6D68">
            <w:pPr>
              <w:pStyle w:val="TableText0"/>
              <w:keepLines/>
              <w:jc w:val="center"/>
              <w:rPr>
                <w:snapToGrid w:val="0"/>
              </w:rPr>
            </w:pPr>
            <w:r w:rsidRPr="00331137">
              <w:rPr>
                <w:snapToGrid w:val="0"/>
              </w:rPr>
              <w:t>2 / 57 (4%)</w:t>
            </w:r>
          </w:p>
        </w:tc>
        <w:tc>
          <w:tcPr>
            <w:tcW w:w="1095" w:type="pct"/>
            <w:shd w:val="clear" w:color="auto" w:fill="auto"/>
          </w:tcPr>
          <w:p w14:paraId="52582279" w14:textId="77777777" w:rsidR="00CC0AC7" w:rsidRPr="00ED40F9" w:rsidRDefault="00CC0AC7" w:rsidP="00EE6D68">
            <w:pPr>
              <w:pStyle w:val="TableText0"/>
              <w:keepLines/>
              <w:jc w:val="center"/>
              <w:rPr>
                <w:snapToGrid w:val="0"/>
              </w:rPr>
            </w:pPr>
            <w:r>
              <w:rPr>
                <w:snapToGrid w:val="0"/>
              </w:rPr>
              <w:t>5</w:t>
            </w:r>
            <w:r w:rsidRPr="00331137">
              <w:rPr>
                <w:snapToGrid w:val="0"/>
              </w:rPr>
              <w:t xml:space="preserve"> / </w:t>
            </w:r>
            <w:r>
              <w:rPr>
                <w:snapToGrid w:val="0"/>
              </w:rPr>
              <w:t>60</w:t>
            </w:r>
            <w:r w:rsidRPr="00331137">
              <w:rPr>
                <w:snapToGrid w:val="0"/>
              </w:rPr>
              <w:t xml:space="preserve"> (</w:t>
            </w:r>
            <w:r>
              <w:rPr>
                <w:snapToGrid w:val="0"/>
              </w:rPr>
              <w:t>8</w:t>
            </w:r>
            <w:r w:rsidRPr="00331137">
              <w:rPr>
                <w:snapToGrid w:val="0"/>
              </w:rPr>
              <w:t>%)</w:t>
            </w:r>
          </w:p>
        </w:tc>
        <w:tc>
          <w:tcPr>
            <w:tcW w:w="1095" w:type="pct"/>
            <w:shd w:val="clear" w:color="auto" w:fill="auto"/>
          </w:tcPr>
          <w:p w14:paraId="1A2F53B3" w14:textId="77777777" w:rsidR="00CC0AC7" w:rsidRDefault="00CC0AC7" w:rsidP="00EE6D68">
            <w:pPr>
              <w:pStyle w:val="TableText0"/>
              <w:keepLines/>
              <w:jc w:val="center"/>
              <w:rPr>
                <w:snapToGrid w:val="0"/>
              </w:rPr>
            </w:pPr>
            <w:r>
              <w:rPr>
                <w:snapToGrid w:val="0"/>
              </w:rPr>
              <w:t>5 (5%)</w:t>
            </w:r>
          </w:p>
        </w:tc>
      </w:tr>
      <w:tr w:rsidR="00CC0AC7" w:rsidRPr="00331137" w14:paraId="7795414A" w14:textId="77777777" w:rsidTr="00EE6D68">
        <w:trPr>
          <w:trHeight w:val="60"/>
        </w:trPr>
        <w:tc>
          <w:tcPr>
            <w:tcW w:w="1716" w:type="pct"/>
            <w:shd w:val="clear" w:color="auto" w:fill="auto"/>
          </w:tcPr>
          <w:p w14:paraId="46D6F11B" w14:textId="77777777" w:rsidR="00CC0AC7" w:rsidRPr="00ED40F9" w:rsidRDefault="00CC0AC7" w:rsidP="00EE6D68">
            <w:pPr>
              <w:pStyle w:val="TableText0"/>
              <w:keepLines/>
              <w:rPr>
                <w:snapToGrid w:val="0"/>
              </w:rPr>
            </w:pPr>
            <w:r w:rsidRPr="00331137">
              <w:rPr>
                <w:snapToGrid w:val="0"/>
              </w:rPr>
              <w:t>Recurrence rectus diastasis</w:t>
            </w:r>
          </w:p>
        </w:tc>
        <w:tc>
          <w:tcPr>
            <w:tcW w:w="1095" w:type="pct"/>
          </w:tcPr>
          <w:p w14:paraId="3EEC82E8" w14:textId="77777777" w:rsidR="00CC0AC7" w:rsidRPr="00ED40F9" w:rsidRDefault="00CC0AC7" w:rsidP="00EE6D68">
            <w:pPr>
              <w:pStyle w:val="TableText0"/>
              <w:keepLines/>
              <w:jc w:val="center"/>
              <w:rPr>
                <w:snapToGrid w:val="0"/>
              </w:rPr>
            </w:pPr>
            <w:r w:rsidRPr="00ED40F9">
              <w:rPr>
                <w:snapToGrid w:val="0"/>
              </w:rPr>
              <w:t>1/57 (2%) at 1-year</w:t>
            </w:r>
          </w:p>
          <w:p w14:paraId="1266DFEA" w14:textId="77777777" w:rsidR="00CC0AC7" w:rsidRPr="00ED40F9" w:rsidRDefault="00CC0AC7" w:rsidP="00EE6D68">
            <w:pPr>
              <w:pStyle w:val="TableText0"/>
              <w:keepLines/>
              <w:jc w:val="center"/>
              <w:rPr>
                <w:snapToGrid w:val="0"/>
              </w:rPr>
            </w:pPr>
            <w:r w:rsidRPr="00ED40F9">
              <w:rPr>
                <w:snapToGrid w:val="0"/>
              </w:rPr>
              <w:t>0/52 (0%) at 5-years</w:t>
            </w:r>
          </w:p>
        </w:tc>
        <w:tc>
          <w:tcPr>
            <w:tcW w:w="1095" w:type="pct"/>
            <w:shd w:val="clear" w:color="auto" w:fill="auto"/>
          </w:tcPr>
          <w:p w14:paraId="0FA8E17D" w14:textId="77777777" w:rsidR="00CC0AC7" w:rsidRPr="00ED40F9" w:rsidRDefault="00CC0AC7" w:rsidP="00EE6D68">
            <w:pPr>
              <w:pStyle w:val="TableText0"/>
              <w:keepLines/>
              <w:jc w:val="center"/>
              <w:rPr>
                <w:snapToGrid w:val="0"/>
              </w:rPr>
            </w:pPr>
            <w:r w:rsidRPr="00ED40F9">
              <w:rPr>
                <w:snapToGrid w:val="0"/>
              </w:rPr>
              <w:t>0/60 (0%) at 1 year</w:t>
            </w:r>
          </w:p>
        </w:tc>
        <w:tc>
          <w:tcPr>
            <w:tcW w:w="1095" w:type="pct"/>
            <w:shd w:val="clear" w:color="auto" w:fill="auto"/>
          </w:tcPr>
          <w:p w14:paraId="5CDF24D7" w14:textId="77777777" w:rsidR="00CC0AC7" w:rsidRDefault="00CC0AC7" w:rsidP="00EE6D68">
            <w:pPr>
              <w:pStyle w:val="TableText0"/>
              <w:keepLines/>
              <w:jc w:val="center"/>
              <w:rPr>
                <w:snapToGrid w:val="0"/>
              </w:rPr>
            </w:pPr>
            <w:r>
              <w:rPr>
                <w:snapToGrid w:val="0"/>
              </w:rPr>
              <w:t>0/110 (0%) at 2 years</w:t>
            </w:r>
          </w:p>
        </w:tc>
      </w:tr>
    </w:tbl>
    <w:p w14:paraId="7B35DB18" w14:textId="6038B3FC" w:rsidR="007C2D6A" w:rsidRDefault="00137A44" w:rsidP="00014E6B">
      <w:pPr>
        <w:pStyle w:val="TableFooter"/>
        <w:spacing w:after="240"/>
      </w:pPr>
      <w:r>
        <w:t>Source: Table ES.3, p16 of the ADAR resubmission</w:t>
      </w:r>
    </w:p>
    <w:p w14:paraId="56F2AE84" w14:textId="2274FF1A" w:rsidR="00206760" w:rsidRPr="007D0728" w:rsidRDefault="00065623" w:rsidP="00206760">
      <w:pPr>
        <w:pStyle w:val="Heading1"/>
        <w:rPr>
          <w:rFonts w:ascii="Arial" w:hAnsi="Arial" w:cs="Arial"/>
        </w:rPr>
      </w:pPr>
      <w:r w:rsidRPr="007D0728">
        <w:rPr>
          <w:rFonts w:ascii="Arial" w:hAnsi="Arial" w:cs="Arial"/>
        </w:rPr>
        <w:t>Comparative effectiveness</w:t>
      </w:r>
    </w:p>
    <w:p w14:paraId="560BA32C" w14:textId="0888A0DE" w:rsidR="00EE52E1" w:rsidRDefault="00EE52E1" w:rsidP="009555C2">
      <w:pPr>
        <w:pStyle w:val="Heading2"/>
        <w:spacing w:before="240"/>
      </w:pPr>
      <w:r>
        <w:t>Health related quality of life</w:t>
      </w:r>
    </w:p>
    <w:p w14:paraId="7A43BC57" w14:textId="4FBB1974" w:rsidR="00EE52E1" w:rsidRDefault="00EE52E1" w:rsidP="00EE52E1">
      <w:r>
        <w:t xml:space="preserve">The mean change from baseline in SF-36 scores at 12 months’ follow-up is presented in </w:t>
      </w:r>
      <w:r w:rsidR="00180202">
        <w:t>Table 5</w:t>
      </w:r>
      <w:r>
        <w:t xml:space="preserve"> for the two studies that reported this outcome. </w:t>
      </w:r>
      <w:r w:rsidR="00CC0AC7" w:rsidRPr="00CC0AC7">
        <w:t xml:space="preserve">A positive mean difference relates to an improvement in </w:t>
      </w:r>
      <w:r w:rsidR="00CC0AC7">
        <w:t xml:space="preserve">health-related </w:t>
      </w:r>
      <w:r w:rsidR="00CC0AC7" w:rsidRPr="00CC0AC7">
        <w:t>quality of life</w:t>
      </w:r>
      <w:r w:rsidR="00CC0AC7">
        <w:t xml:space="preserve"> (HRQoL)</w:t>
      </w:r>
      <w:r w:rsidR="00D7558B">
        <w:t>.</w:t>
      </w:r>
      <w:r w:rsidR="00CC3E12">
        <w:t xml:space="preserve"> </w:t>
      </w:r>
      <w:r>
        <w:t>The baseline and follow-up scores are compared with Australian normative values.</w:t>
      </w:r>
    </w:p>
    <w:p w14:paraId="437A9AB9" w14:textId="6FDAA556" w:rsidR="00EE52E1" w:rsidRDefault="00EE52E1" w:rsidP="009555C2">
      <w:pPr>
        <w:spacing w:before="240"/>
      </w:pPr>
      <w:r>
        <w:t xml:space="preserve">Patients experienced statistically significant improvements across the domains of the SF-36 at 12 months’ follow-up. These changes were above the proposed </w:t>
      </w:r>
      <w:r w:rsidRPr="00331137">
        <w:t xml:space="preserve">clinically important threshold of </w:t>
      </w:r>
      <w:r>
        <w:t>eight</w:t>
      </w:r>
      <w:r w:rsidRPr="00331137">
        <w:t xml:space="preserve"> points for the </w:t>
      </w:r>
      <w:r>
        <w:t xml:space="preserve">following </w:t>
      </w:r>
      <w:r w:rsidRPr="00331137">
        <w:t>domains</w:t>
      </w:r>
      <w:r>
        <w:t xml:space="preserve"> in both studies:</w:t>
      </w:r>
      <w:r w:rsidDel="00487378">
        <w:t xml:space="preserve"> </w:t>
      </w:r>
      <w:r>
        <w:t>Role – physical, Bodily pain, Vitality and Social functioning.</w:t>
      </w:r>
    </w:p>
    <w:p w14:paraId="161FE9A3" w14:textId="718169CD" w:rsidR="00180202" w:rsidRPr="009555C2" w:rsidRDefault="005F6B7E" w:rsidP="009555C2">
      <w:pPr>
        <w:spacing w:before="240"/>
      </w:pPr>
      <w:r>
        <w:t xml:space="preserve">The </w:t>
      </w:r>
      <w:r w:rsidR="00CC3E12">
        <w:t>c</w:t>
      </w:r>
      <w:r>
        <w:t>ommentary considered that a</w:t>
      </w:r>
      <w:r w:rsidRPr="005F6B7E">
        <w:t>lthough there are clinically relevant differences from baseline to follow-up in the two studies, these should be interpreted with caution as there is no external comparator, and they are patient-reported outcomes.</w:t>
      </w:r>
      <w:bookmarkStart w:id="5" w:name="_Ref69480915"/>
      <w:r w:rsidR="00180202">
        <w:br w:type="page"/>
      </w:r>
    </w:p>
    <w:p w14:paraId="139D530A" w14:textId="22EA6B37" w:rsidR="00EE52E1" w:rsidRDefault="00EE52E1" w:rsidP="00EE52E1">
      <w:pPr>
        <w:pStyle w:val="Caption"/>
      </w:pPr>
      <w:r>
        <w:lastRenderedPageBreak/>
        <w:t>Table</w:t>
      </w:r>
      <w:bookmarkEnd w:id="5"/>
      <w:r>
        <w:t xml:space="preserve"> </w:t>
      </w:r>
      <w:r w:rsidR="00180202">
        <w:t>5</w:t>
      </w:r>
      <w:r>
        <w:tab/>
        <w:t>Comparison of SF-36 scores reported in Olsson 2019 study with Australian normative values</w:t>
      </w:r>
    </w:p>
    <w:tbl>
      <w:tblPr>
        <w:tblStyle w:val="Summarybox1"/>
        <w:tblW w:w="5000" w:type="pct"/>
        <w:tblLook w:val="04A0" w:firstRow="1" w:lastRow="0" w:firstColumn="1" w:lastColumn="0" w:noHBand="0" w:noVBand="1"/>
        <w:tblCaption w:val="Comparison of SF-36 scores reported in Olsson 2019 study with Australian normative values"/>
        <w:tblDescription w:val="This table outlines the SF 36 domains from baseline to twelve months follow-up for the Emanuelsson and Olsson 2019 studies. The mean, standard deviation and confidence intervals are also included. "/>
      </w:tblPr>
      <w:tblGrid>
        <w:gridCol w:w="1103"/>
        <w:gridCol w:w="993"/>
        <w:gridCol w:w="1125"/>
        <w:gridCol w:w="1408"/>
        <w:gridCol w:w="896"/>
        <w:gridCol w:w="1105"/>
        <w:gridCol w:w="1368"/>
        <w:gridCol w:w="1018"/>
      </w:tblGrid>
      <w:tr w:rsidR="00EE52E1" w:rsidRPr="00331137" w14:paraId="50FE60C1" w14:textId="77777777" w:rsidTr="00EE52E1">
        <w:trPr>
          <w:trHeight w:val="278"/>
          <w:tblHeader/>
        </w:trPr>
        <w:tc>
          <w:tcPr>
            <w:tcW w:w="624" w:type="pct"/>
            <w:tcBorders>
              <w:bottom w:val="nil"/>
            </w:tcBorders>
          </w:tcPr>
          <w:p w14:paraId="15875CCF" w14:textId="77777777" w:rsidR="00EE52E1" w:rsidRPr="00331137" w:rsidRDefault="00EE52E1" w:rsidP="00EE52E1">
            <w:pPr>
              <w:pStyle w:val="TableHeading"/>
              <w:keepNext w:val="0"/>
              <w:widowControl w:val="0"/>
              <w:ind w:left="0" w:firstLine="0"/>
            </w:pPr>
            <w:r>
              <w:t>SF-36 domains</w:t>
            </w:r>
          </w:p>
        </w:tc>
        <w:tc>
          <w:tcPr>
            <w:tcW w:w="563" w:type="pct"/>
            <w:tcBorders>
              <w:right w:val="nil"/>
            </w:tcBorders>
          </w:tcPr>
          <w:p w14:paraId="05003131" w14:textId="77777777" w:rsidR="00EE52E1" w:rsidRDefault="00EE52E1" w:rsidP="00EE52E1">
            <w:pPr>
              <w:pStyle w:val="TableHeading"/>
              <w:keepNext w:val="0"/>
              <w:widowControl w:val="0"/>
              <w:ind w:left="0" w:firstLine="0"/>
            </w:pPr>
          </w:p>
        </w:tc>
        <w:tc>
          <w:tcPr>
            <w:tcW w:w="636" w:type="pct"/>
            <w:tcBorders>
              <w:left w:val="nil"/>
              <w:right w:val="nil"/>
            </w:tcBorders>
          </w:tcPr>
          <w:p w14:paraId="736BDCEB" w14:textId="77777777" w:rsidR="00EE52E1" w:rsidRDefault="00EE52E1" w:rsidP="00EE52E1">
            <w:pPr>
              <w:pStyle w:val="TableHeading"/>
              <w:keepNext w:val="0"/>
              <w:widowControl w:val="0"/>
              <w:ind w:left="0" w:firstLine="0"/>
            </w:pPr>
          </w:p>
        </w:tc>
        <w:tc>
          <w:tcPr>
            <w:tcW w:w="793" w:type="pct"/>
            <w:tcBorders>
              <w:left w:val="nil"/>
            </w:tcBorders>
          </w:tcPr>
          <w:p w14:paraId="0C072573" w14:textId="77777777" w:rsidR="00EE52E1" w:rsidRDefault="00EE52E1" w:rsidP="00EE52E1">
            <w:pPr>
              <w:pStyle w:val="TableHeading"/>
              <w:keepNext w:val="0"/>
              <w:widowControl w:val="0"/>
              <w:ind w:left="0" w:firstLine="0"/>
              <w:jc w:val="center"/>
            </w:pPr>
            <w:r>
              <w:t>Emanuelsson</w:t>
            </w:r>
          </w:p>
        </w:tc>
        <w:tc>
          <w:tcPr>
            <w:tcW w:w="509" w:type="pct"/>
            <w:tcBorders>
              <w:right w:val="nil"/>
            </w:tcBorders>
          </w:tcPr>
          <w:p w14:paraId="09346CD8" w14:textId="77777777" w:rsidR="00EE52E1" w:rsidRPr="00331137" w:rsidRDefault="00EE52E1" w:rsidP="00EE52E1">
            <w:pPr>
              <w:pStyle w:val="TableHeading"/>
              <w:keepNext w:val="0"/>
              <w:widowControl w:val="0"/>
              <w:ind w:left="0" w:firstLine="0"/>
            </w:pPr>
          </w:p>
        </w:tc>
        <w:tc>
          <w:tcPr>
            <w:tcW w:w="625" w:type="pct"/>
            <w:tcBorders>
              <w:left w:val="nil"/>
              <w:right w:val="nil"/>
            </w:tcBorders>
          </w:tcPr>
          <w:p w14:paraId="3B40598F" w14:textId="77777777" w:rsidR="00EE52E1" w:rsidRPr="00331137" w:rsidRDefault="00EE52E1" w:rsidP="00EE52E1">
            <w:pPr>
              <w:pStyle w:val="TableHeading"/>
              <w:keepNext w:val="0"/>
              <w:widowControl w:val="0"/>
              <w:ind w:left="0" w:firstLine="0"/>
            </w:pPr>
          </w:p>
        </w:tc>
        <w:tc>
          <w:tcPr>
            <w:tcW w:w="771" w:type="pct"/>
            <w:tcBorders>
              <w:left w:val="nil"/>
            </w:tcBorders>
          </w:tcPr>
          <w:p w14:paraId="2EB89A8B" w14:textId="1F0AC12F" w:rsidR="00EE52E1" w:rsidRPr="00331137" w:rsidRDefault="00EE52E1" w:rsidP="00EE52E1">
            <w:pPr>
              <w:pStyle w:val="TableHeading"/>
              <w:keepNext w:val="0"/>
              <w:widowControl w:val="0"/>
              <w:ind w:left="0" w:firstLine="0"/>
              <w:jc w:val="center"/>
            </w:pPr>
            <w:r>
              <w:t xml:space="preserve">Olsson </w:t>
            </w:r>
            <w:r w:rsidR="00A14490">
              <w:t>(</w:t>
            </w:r>
            <w:r>
              <w:t>2019</w:t>
            </w:r>
            <w:r w:rsidR="00A14490">
              <w:t>)</w:t>
            </w:r>
          </w:p>
        </w:tc>
        <w:tc>
          <w:tcPr>
            <w:tcW w:w="478" w:type="pct"/>
          </w:tcPr>
          <w:p w14:paraId="7B0D86EE" w14:textId="3AEB47A8" w:rsidR="00EE52E1" w:rsidRPr="005D5523" w:rsidRDefault="00EE52E1" w:rsidP="00EE52E1">
            <w:pPr>
              <w:pStyle w:val="TableHeading"/>
              <w:keepNext w:val="0"/>
              <w:widowControl w:val="0"/>
              <w:ind w:left="0" w:firstLine="0"/>
              <w:rPr>
                <w:vertAlign w:val="superscript"/>
              </w:rPr>
            </w:pPr>
            <w:r>
              <w:t>Australian normative value</w:t>
            </w:r>
            <w:r w:rsidR="00F53F1A" w:rsidRPr="005D5523">
              <w:rPr>
                <w:i/>
                <w:vertAlign w:val="superscript"/>
              </w:rPr>
              <w:t>a</w:t>
            </w:r>
          </w:p>
        </w:tc>
      </w:tr>
      <w:tr w:rsidR="00EE52E1" w:rsidRPr="00331137" w14:paraId="20DC98B3" w14:textId="77777777" w:rsidTr="00EE52E1">
        <w:trPr>
          <w:trHeight w:val="20"/>
          <w:tblHeader/>
        </w:trPr>
        <w:tc>
          <w:tcPr>
            <w:tcW w:w="624" w:type="pct"/>
            <w:tcBorders>
              <w:top w:val="nil"/>
            </w:tcBorders>
          </w:tcPr>
          <w:p w14:paraId="49D2B58A" w14:textId="77777777" w:rsidR="00EE52E1" w:rsidRPr="00331137" w:rsidRDefault="00EE52E1" w:rsidP="00EE52E1">
            <w:pPr>
              <w:pStyle w:val="TableHeading"/>
              <w:keepNext w:val="0"/>
              <w:widowControl w:val="0"/>
              <w:ind w:left="0" w:firstLine="0"/>
            </w:pPr>
          </w:p>
        </w:tc>
        <w:tc>
          <w:tcPr>
            <w:tcW w:w="563" w:type="pct"/>
          </w:tcPr>
          <w:p w14:paraId="338B386A" w14:textId="77777777" w:rsidR="00EE52E1" w:rsidRDefault="00EE52E1" w:rsidP="00EE52E1">
            <w:pPr>
              <w:pStyle w:val="TableHeading"/>
              <w:keepNext w:val="0"/>
              <w:widowControl w:val="0"/>
              <w:ind w:left="0" w:firstLine="0"/>
              <w:jc w:val="center"/>
            </w:pPr>
            <w:r>
              <w:rPr>
                <w:rFonts w:eastAsia="SimSun" w:cs="Arial Narrow"/>
              </w:rPr>
              <w:t>Baseline</w:t>
            </w:r>
            <w:r>
              <w:rPr>
                <w:rFonts w:eastAsia="SimSun" w:cs="Arial Narrow"/>
              </w:rPr>
              <w:br/>
            </w:r>
            <w:r w:rsidRPr="00331137">
              <w:rPr>
                <w:rFonts w:eastAsia="SimSun" w:cs="Arial Narrow"/>
              </w:rPr>
              <w:t>Mean (SD)</w:t>
            </w:r>
          </w:p>
        </w:tc>
        <w:tc>
          <w:tcPr>
            <w:tcW w:w="636" w:type="pct"/>
          </w:tcPr>
          <w:p w14:paraId="7F0006B5" w14:textId="77777777" w:rsidR="00EE52E1" w:rsidRDefault="00EE52E1" w:rsidP="00EE52E1">
            <w:pPr>
              <w:pStyle w:val="TableHeading"/>
              <w:keepNext w:val="0"/>
              <w:widowControl w:val="0"/>
              <w:ind w:left="0" w:firstLine="0"/>
              <w:jc w:val="center"/>
            </w:pPr>
            <w:r>
              <w:rPr>
                <w:rFonts w:eastAsia="SimSun" w:cs="Arial Narrow"/>
              </w:rPr>
              <w:t xml:space="preserve">12-month follow-up </w:t>
            </w:r>
            <w:r>
              <w:rPr>
                <w:rFonts w:eastAsia="SimSun" w:cs="Arial Narrow"/>
              </w:rPr>
              <w:br/>
            </w:r>
            <w:r w:rsidRPr="00331137">
              <w:rPr>
                <w:rFonts w:eastAsia="SimSun" w:cs="Arial Narrow"/>
              </w:rPr>
              <w:t>Mean (SD)</w:t>
            </w:r>
          </w:p>
        </w:tc>
        <w:tc>
          <w:tcPr>
            <w:tcW w:w="793" w:type="pct"/>
          </w:tcPr>
          <w:p w14:paraId="3F0E438B" w14:textId="77777777" w:rsidR="00EE52E1" w:rsidRDefault="00EE52E1" w:rsidP="00EE52E1">
            <w:pPr>
              <w:pStyle w:val="TableHeading"/>
              <w:keepNext w:val="0"/>
              <w:widowControl w:val="0"/>
              <w:ind w:left="0" w:firstLine="0"/>
              <w:jc w:val="center"/>
            </w:pPr>
            <w:r w:rsidRPr="00331137">
              <w:t>Mean change from baseline (95% CI)</w:t>
            </w:r>
          </w:p>
        </w:tc>
        <w:tc>
          <w:tcPr>
            <w:tcW w:w="509" w:type="pct"/>
          </w:tcPr>
          <w:p w14:paraId="2141F3A7" w14:textId="77777777" w:rsidR="00EE52E1" w:rsidRDefault="00EE52E1" w:rsidP="00EE52E1">
            <w:pPr>
              <w:pStyle w:val="TableHeading"/>
              <w:keepNext w:val="0"/>
              <w:widowControl w:val="0"/>
              <w:ind w:left="0" w:firstLine="0"/>
              <w:jc w:val="center"/>
            </w:pPr>
            <w:r>
              <w:rPr>
                <w:rFonts w:eastAsia="SimSun" w:cs="Arial Narrow"/>
              </w:rPr>
              <w:t>Baseline</w:t>
            </w:r>
            <w:r>
              <w:rPr>
                <w:rFonts w:eastAsia="SimSun" w:cs="Arial Narrow"/>
              </w:rPr>
              <w:br/>
            </w:r>
            <w:r w:rsidRPr="00331137">
              <w:rPr>
                <w:rFonts w:eastAsia="SimSun" w:cs="Arial Narrow"/>
              </w:rPr>
              <w:t>Mean (SD)</w:t>
            </w:r>
          </w:p>
        </w:tc>
        <w:tc>
          <w:tcPr>
            <w:tcW w:w="625" w:type="pct"/>
          </w:tcPr>
          <w:p w14:paraId="7A2D246F" w14:textId="77777777" w:rsidR="00EE52E1" w:rsidRDefault="00EE52E1" w:rsidP="00EE52E1">
            <w:pPr>
              <w:pStyle w:val="TableHeading"/>
              <w:keepNext w:val="0"/>
              <w:widowControl w:val="0"/>
              <w:ind w:left="0" w:firstLine="0"/>
              <w:jc w:val="center"/>
            </w:pPr>
            <w:r>
              <w:rPr>
                <w:rFonts w:eastAsia="SimSun" w:cs="Arial Narrow"/>
              </w:rPr>
              <w:t xml:space="preserve">12-month follow-up </w:t>
            </w:r>
            <w:r>
              <w:rPr>
                <w:rFonts w:eastAsia="SimSun" w:cs="Arial Narrow"/>
              </w:rPr>
              <w:br/>
            </w:r>
            <w:r w:rsidRPr="00331137">
              <w:rPr>
                <w:rFonts w:eastAsia="SimSun" w:cs="Arial Narrow"/>
              </w:rPr>
              <w:t>Mean (SD)</w:t>
            </w:r>
          </w:p>
        </w:tc>
        <w:tc>
          <w:tcPr>
            <w:tcW w:w="771" w:type="pct"/>
          </w:tcPr>
          <w:p w14:paraId="30DB9D34" w14:textId="77777777" w:rsidR="00EE52E1" w:rsidRDefault="00EE52E1" w:rsidP="00EE52E1">
            <w:pPr>
              <w:pStyle w:val="TableHeading"/>
              <w:keepNext w:val="0"/>
              <w:widowControl w:val="0"/>
              <w:ind w:left="0" w:firstLine="0"/>
              <w:jc w:val="center"/>
            </w:pPr>
            <w:r w:rsidRPr="00331137">
              <w:t>Mean change from baseline (95% CI)</w:t>
            </w:r>
          </w:p>
        </w:tc>
        <w:tc>
          <w:tcPr>
            <w:tcW w:w="478" w:type="pct"/>
            <w:tcBorders>
              <w:top w:val="nil"/>
            </w:tcBorders>
          </w:tcPr>
          <w:p w14:paraId="742A9680" w14:textId="77777777" w:rsidR="00EE52E1" w:rsidRDefault="00EE52E1" w:rsidP="00EE52E1">
            <w:pPr>
              <w:pStyle w:val="TableHeading"/>
              <w:keepNext w:val="0"/>
              <w:widowControl w:val="0"/>
              <w:ind w:left="0" w:firstLine="0"/>
              <w:jc w:val="center"/>
            </w:pPr>
            <w:r>
              <w:t>Mean (SD)</w:t>
            </w:r>
          </w:p>
        </w:tc>
      </w:tr>
      <w:tr w:rsidR="00EE52E1" w:rsidRPr="00331137" w14:paraId="3D76F949" w14:textId="77777777" w:rsidTr="0036773E">
        <w:trPr>
          <w:trHeight w:val="17"/>
        </w:trPr>
        <w:tc>
          <w:tcPr>
            <w:tcW w:w="624" w:type="pct"/>
          </w:tcPr>
          <w:p w14:paraId="49DAC998" w14:textId="77777777" w:rsidR="00EE52E1" w:rsidRPr="00331137" w:rsidRDefault="00EE52E1" w:rsidP="00EE52E1">
            <w:pPr>
              <w:pStyle w:val="TableText0"/>
              <w:keepNext w:val="0"/>
              <w:widowControl w:val="0"/>
              <w:jc w:val="left"/>
            </w:pPr>
            <w:r w:rsidRPr="00331137">
              <w:t>Physical Function</w:t>
            </w:r>
          </w:p>
        </w:tc>
        <w:tc>
          <w:tcPr>
            <w:tcW w:w="563" w:type="pct"/>
          </w:tcPr>
          <w:p w14:paraId="69749965" w14:textId="77777777" w:rsidR="00EE52E1" w:rsidRDefault="00EE52E1" w:rsidP="00EE52E1">
            <w:pPr>
              <w:pStyle w:val="TableText0"/>
              <w:keepNext w:val="0"/>
              <w:widowControl w:val="0"/>
              <w:jc w:val="center"/>
              <w:rPr>
                <w:rFonts w:cs="Arial"/>
              </w:rPr>
            </w:pPr>
            <w:r w:rsidRPr="00331137">
              <w:t xml:space="preserve">83.30 </w:t>
            </w:r>
            <w:r>
              <w:br/>
            </w:r>
            <w:r w:rsidRPr="00331137">
              <w:t>(17.06)</w:t>
            </w:r>
          </w:p>
        </w:tc>
        <w:tc>
          <w:tcPr>
            <w:tcW w:w="636" w:type="pct"/>
          </w:tcPr>
          <w:p w14:paraId="392D94FA" w14:textId="77777777" w:rsidR="00EE52E1" w:rsidRPr="00AA756E" w:rsidRDefault="00EE52E1" w:rsidP="00EE52E1">
            <w:pPr>
              <w:pStyle w:val="TableText0"/>
              <w:keepNext w:val="0"/>
              <w:widowControl w:val="0"/>
              <w:jc w:val="center"/>
              <w:rPr>
                <w:rFonts w:cs="Arial"/>
              </w:rPr>
            </w:pPr>
            <w:r w:rsidRPr="00331137">
              <w:t xml:space="preserve">93.57 </w:t>
            </w:r>
            <w:r>
              <w:br/>
            </w:r>
            <w:r w:rsidRPr="00331137">
              <w:t>(14.23)</w:t>
            </w:r>
          </w:p>
        </w:tc>
        <w:tc>
          <w:tcPr>
            <w:tcW w:w="793" w:type="pct"/>
          </w:tcPr>
          <w:p w14:paraId="24B91A22" w14:textId="77777777" w:rsidR="00EE52E1" w:rsidRPr="00AA756E" w:rsidRDefault="00EE52E1" w:rsidP="00EE52E1">
            <w:pPr>
              <w:pStyle w:val="TableText0"/>
              <w:keepNext w:val="0"/>
              <w:widowControl w:val="0"/>
              <w:jc w:val="center"/>
              <w:rPr>
                <w:rFonts w:cs="Arial"/>
              </w:rPr>
            </w:pPr>
            <w:r w:rsidRPr="00331137">
              <w:rPr>
                <w:b/>
              </w:rPr>
              <w:t xml:space="preserve">10.38 </w:t>
            </w:r>
            <w:r>
              <w:rPr>
                <w:b/>
              </w:rPr>
              <w:br/>
            </w:r>
            <w:r w:rsidRPr="00331137">
              <w:rPr>
                <w:b/>
              </w:rPr>
              <w:t>(6.64;14.11) *</w:t>
            </w:r>
          </w:p>
        </w:tc>
        <w:tc>
          <w:tcPr>
            <w:tcW w:w="509" w:type="pct"/>
          </w:tcPr>
          <w:p w14:paraId="6C2C3FA0" w14:textId="77777777" w:rsidR="00EE52E1" w:rsidRPr="00AA756E" w:rsidRDefault="00EE52E1" w:rsidP="00EE52E1">
            <w:pPr>
              <w:pStyle w:val="TableText0"/>
              <w:keepNext w:val="0"/>
              <w:widowControl w:val="0"/>
              <w:jc w:val="center"/>
              <w:rPr>
                <w:rFonts w:cs="Arial"/>
              </w:rPr>
            </w:pPr>
            <w:r w:rsidRPr="00AA756E">
              <w:rPr>
                <w:rFonts w:cs="Arial"/>
              </w:rPr>
              <w:t xml:space="preserve">70.5 </w:t>
            </w:r>
            <w:r>
              <w:rPr>
                <w:rFonts w:cs="Arial"/>
              </w:rPr>
              <w:br/>
            </w:r>
            <w:r w:rsidRPr="00AA756E">
              <w:rPr>
                <w:rFonts w:cs="Arial"/>
              </w:rPr>
              <w:t>(19.2)</w:t>
            </w:r>
          </w:p>
        </w:tc>
        <w:tc>
          <w:tcPr>
            <w:tcW w:w="625" w:type="pct"/>
          </w:tcPr>
          <w:p w14:paraId="7891BC95" w14:textId="77777777" w:rsidR="00EE52E1" w:rsidRPr="00AA756E" w:rsidRDefault="00EE52E1" w:rsidP="00EE52E1">
            <w:pPr>
              <w:pStyle w:val="TableText0"/>
              <w:keepNext w:val="0"/>
              <w:widowControl w:val="0"/>
              <w:jc w:val="center"/>
              <w:rPr>
                <w:rFonts w:cs="Arial"/>
              </w:rPr>
            </w:pPr>
            <w:r w:rsidRPr="00AA756E">
              <w:rPr>
                <w:rFonts w:cs="Arial"/>
              </w:rPr>
              <w:t xml:space="preserve">93.7 </w:t>
            </w:r>
            <w:r>
              <w:rPr>
                <w:rFonts w:cs="Arial"/>
              </w:rPr>
              <w:br/>
            </w:r>
            <w:r w:rsidRPr="00AA756E">
              <w:rPr>
                <w:rFonts w:cs="Arial"/>
              </w:rPr>
              <w:t>(9.5)</w:t>
            </w:r>
          </w:p>
        </w:tc>
        <w:tc>
          <w:tcPr>
            <w:tcW w:w="771" w:type="pct"/>
          </w:tcPr>
          <w:p w14:paraId="09FC89DB" w14:textId="77777777" w:rsidR="00EE52E1" w:rsidRPr="00494FC6" w:rsidRDefault="00EE52E1" w:rsidP="00EE52E1">
            <w:pPr>
              <w:pStyle w:val="TableText0"/>
              <w:keepNext w:val="0"/>
              <w:widowControl w:val="0"/>
              <w:jc w:val="center"/>
              <w:rPr>
                <w:rFonts w:cs="Arial"/>
                <w:b/>
                <w:bCs/>
                <w:i/>
                <w:iCs/>
              </w:rPr>
            </w:pPr>
            <w:r w:rsidRPr="006C7F5E">
              <w:rPr>
                <w:rFonts w:cs="Arial"/>
                <w:b/>
                <w:bCs/>
              </w:rPr>
              <w:t>23.2</w:t>
            </w:r>
            <w:r>
              <w:rPr>
                <w:rFonts w:cs="Arial"/>
                <w:b/>
                <w:bCs/>
              </w:rPr>
              <w:t xml:space="preserve"> </w:t>
            </w:r>
            <w:r>
              <w:rPr>
                <w:rFonts w:cs="Arial"/>
                <w:b/>
                <w:bCs/>
              </w:rPr>
              <w:br/>
            </w:r>
            <w:r w:rsidRPr="00494FC6">
              <w:rPr>
                <w:rFonts w:cs="Arial"/>
                <w:b/>
                <w:bCs/>
                <w:color w:val="1F497D" w:themeColor="text2"/>
              </w:rPr>
              <w:t>(</w:t>
            </w:r>
            <w:r w:rsidRPr="00494FC6">
              <w:rPr>
                <w:rFonts w:cs="Arial"/>
                <w:b/>
                <w:bCs/>
                <w:i/>
                <w:iCs/>
                <w:color w:val="1F497D" w:themeColor="text2"/>
              </w:rPr>
              <w:t>17.7;28.7)</w:t>
            </w:r>
            <w:r w:rsidRPr="00331137">
              <w:rPr>
                <w:b/>
              </w:rPr>
              <w:t xml:space="preserve"> *</w:t>
            </w:r>
          </w:p>
        </w:tc>
        <w:tc>
          <w:tcPr>
            <w:tcW w:w="478" w:type="pct"/>
          </w:tcPr>
          <w:p w14:paraId="3841556D" w14:textId="77777777" w:rsidR="00EE52E1" w:rsidRPr="006C7F5E" w:rsidRDefault="00EE52E1" w:rsidP="00EE52E1">
            <w:pPr>
              <w:pStyle w:val="TableText0"/>
              <w:keepNext w:val="0"/>
              <w:widowControl w:val="0"/>
              <w:jc w:val="center"/>
              <w:rPr>
                <w:rFonts w:cs="Arial"/>
                <w:b/>
                <w:bCs/>
              </w:rPr>
            </w:pPr>
            <w:r>
              <w:rPr>
                <w:rFonts w:cs="Arial"/>
              </w:rPr>
              <w:t xml:space="preserve">81.8 </w:t>
            </w:r>
            <w:r>
              <w:rPr>
                <w:rFonts w:cs="Arial"/>
              </w:rPr>
              <w:br/>
              <w:t>(24.1)</w:t>
            </w:r>
          </w:p>
        </w:tc>
      </w:tr>
      <w:tr w:rsidR="00EE52E1" w:rsidRPr="00331137" w14:paraId="0518C68F" w14:textId="77777777" w:rsidTr="0036773E">
        <w:trPr>
          <w:trHeight w:val="17"/>
        </w:trPr>
        <w:tc>
          <w:tcPr>
            <w:tcW w:w="624" w:type="pct"/>
          </w:tcPr>
          <w:p w14:paraId="18463253" w14:textId="77777777" w:rsidR="00EE52E1" w:rsidRPr="00331137" w:rsidRDefault="00EE52E1" w:rsidP="00EE52E1">
            <w:pPr>
              <w:pStyle w:val="TableText0"/>
              <w:keepNext w:val="0"/>
              <w:widowControl w:val="0"/>
              <w:jc w:val="left"/>
            </w:pPr>
            <w:r w:rsidRPr="00331137">
              <w:t>Role</w:t>
            </w:r>
            <w:r>
              <w:t xml:space="preserve"> – </w:t>
            </w:r>
            <w:r w:rsidRPr="00331137">
              <w:t>Physical</w:t>
            </w:r>
          </w:p>
        </w:tc>
        <w:tc>
          <w:tcPr>
            <w:tcW w:w="563" w:type="pct"/>
          </w:tcPr>
          <w:p w14:paraId="58055498" w14:textId="77777777" w:rsidR="00EE52E1" w:rsidRDefault="00EE52E1" w:rsidP="00EE52E1">
            <w:pPr>
              <w:pStyle w:val="TableText0"/>
              <w:keepNext w:val="0"/>
              <w:widowControl w:val="0"/>
              <w:jc w:val="center"/>
              <w:rPr>
                <w:rFonts w:cs="Arial"/>
              </w:rPr>
            </w:pPr>
            <w:r w:rsidRPr="00331137">
              <w:t xml:space="preserve">69.09 </w:t>
            </w:r>
            <w:r>
              <w:br/>
            </w:r>
            <w:r w:rsidRPr="00331137">
              <w:t>(38.18)</w:t>
            </w:r>
          </w:p>
        </w:tc>
        <w:tc>
          <w:tcPr>
            <w:tcW w:w="636" w:type="pct"/>
          </w:tcPr>
          <w:p w14:paraId="5F8B3F22" w14:textId="77777777" w:rsidR="00EE52E1" w:rsidRPr="00AA756E" w:rsidRDefault="00EE52E1" w:rsidP="00EE52E1">
            <w:pPr>
              <w:pStyle w:val="TableText0"/>
              <w:keepNext w:val="0"/>
              <w:widowControl w:val="0"/>
              <w:jc w:val="center"/>
              <w:rPr>
                <w:rFonts w:cs="Arial"/>
              </w:rPr>
            </w:pPr>
            <w:r w:rsidRPr="00331137">
              <w:t xml:space="preserve">90.63 </w:t>
            </w:r>
            <w:r>
              <w:br/>
            </w:r>
            <w:r w:rsidRPr="00331137">
              <w:t>(26.78)</w:t>
            </w:r>
          </w:p>
        </w:tc>
        <w:tc>
          <w:tcPr>
            <w:tcW w:w="793" w:type="pct"/>
          </w:tcPr>
          <w:p w14:paraId="7C01D51D" w14:textId="77777777" w:rsidR="00EE52E1" w:rsidRPr="00AA756E" w:rsidRDefault="00EE52E1" w:rsidP="00EE52E1">
            <w:pPr>
              <w:pStyle w:val="TableText0"/>
              <w:keepNext w:val="0"/>
              <w:widowControl w:val="0"/>
              <w:jc w:val="center"/>
              <w:rPr>
                <w:rFonts w:cs="Arial"/>
              </w:rPr>
            </w:pPr>
            <w:r w:rsidRPr="00331137">
              <w:rPr>
                <w:b/>
              </w:rPr>
              <w:t xml:space="preserve">21.80 </w:t>
            </w:r>
            <w:r>
              <w:rPr>
                <w:b/>
              </w:rPr>
              <w:br/>
            </w:r>
            <w:r w:rsidRPr="00331137">
              <w:rPr>
                <w:b/>
              </w:rPr>
              <w:t>(12.29;31.32) *</w:t>
            </w:r>
          </w:p>
        </w:tc>
        <w:tc>
          <w:tcPr>
            <w:tcW w:w="509" w:type="pct"/>
          </w:tcPr>
          <w:p w14:paraId="6D59AA99" w14:textId="77777777" w:rsidR="00EE52E1" w:rsidRPr="00AA756E" w:rsidRDefault="00EE52E1" w:rsidP="00EE52E1">
            <w:pPr>
              <w:pStyle w:val="TableText0"/>
              <w:keepNext w:val="0"/>
              <w:widowControl w:val="0"/>
              <w:jc w:val="center"/>
              <w:rPr>
                <w:rFonts w:cs="Arial"/>
              </w:rPr>
            </w:pPr>
            <w:r w:rsidRPr="00AA756E">
              <w:rPr>
                <w:rFonts w:cs="Arial"/>
              </w:rPr>
              <w:t xml:space="preserve">49.2 </w:t>
            </w:r>
            <w:r>
              <w:rPr>
                <w:rFonts w:cs="Arial"/>
              </w:rPr>
              <w:br/>
            </w:r>
            <w:r w:rsidRPr="00AA756E">
              <w:rPr>
                <w:rFonts w:cs="Arial"/>
              </w:rPr>
              <w:t>(39.9)</w:t>
            </w:r>
          </w:p>
        </w:tc>
        <w:tc>
          <w:tcPr>
            <w:tcW w:w="625" w:type="pct"/>
          </w:tcPr>
          <w:p w14:paraId="23F2B388" w14:textId="77777777" w:rsidR="00EE52E1" w:rsidRPr="00AA756E" w:rsidRDefault="00EE52E1" w:rsidP="00EE52E1">
            <w:pPr>
              <w:pStyle w:val="TableText0"/>
              <w:keepNext w:val="0"/>
              <w:widowControl w:val="0"/>
              <w:jc w:val="center"/>
              <w:rPr>
                <w:rFonts w:cs="Arial"/>
              </w:rPr>
            </w:pPr>
            <w:r w:rsidRPr="00AA756E">
              <w:rPr>
                <w:rFonts w:cs="Arial"/>
              </w:rPr>
              <w:t xml:space="preserve">90.7 </w:t>
            </w:r>
            <w:r>
              <w:rPr>
                <w:rFonts w:cs="Arial"/>
              </w:rPr>
              <w:br/>
            </w:r>
            <w:r w:rsidRPr="00AA756E">
              <w:rPr>
                <w:rFonts w:cs="Arial"/>
              </w:rPr>
              <w:t>(23.4)</w:t>
            </w:r>
          </w:p>
        </w:tc>
        <w:tc>
          <w:tcPr>
            <w:tcW w:w="771" w:type="pct"/>
          </w:tcPr>
          <w:p w14:paraId="30DE3D4D" w14:textId="77777777" w:rsidR="00EE52E1" w:rsidRPr="006C7F5E" w:rsidRDefault="00EE52E1" w:rsidP="00EE52E1">
            <w:pPr>
              <w:pStyle w:val="TableText0"/>
              <w:keepNext w:val="0"/>
              <w:widowControl w:val="0"/>
              <w:jc w:val="center"/>
              <w:rPr>
                <w:rFonts w:cs="Arial"/>
                <w:b/>
                <w:bCs/>
              </w:rPr>
            </w:pPr>
            <w:r w:rsidRPr="006C7F5E">
              <w:rPr>
                <w:rFonts w:cs="Arial"/>
                <w:b/>
                <w:bCs/>
              </w:rPr>
              <w:t>41.5</w:t>
            </w:r>
            <w:r>
              <w:rPr>
                <w:rFonts w:cs="Arial"/>
                <w:b/>
                <w:bCs/>
              </w:rPr>
              <w:t xml:space="preserve"> </w:t>
            </w:r>
            <w:r>
              <w:rPr>
                <w:rFonts w:cs="Arial"/>
                <w:b/>
                <w:bCs/>
              </w:rPr>
              <w:br/>
            </w:r>
            <w:r w:rsidRPr="00494FC6">
              <w:rPr>
                <w:rFonts w:cs="Arial"/>
                <w:b/>
                <w:bCs/>
                <w:i/>
                <w:iCs/>
                <w:color w:val="1F497D" w:themeColor="text2"/>
              </w:rPr>
              <w:t>(29.7;53.4)</w:t>
            </w:r>
            <w:r w:rsidRPr="00331137">
              <w:rPr>
                <w:b/>
              </w:rPr>
              <w:t xml:space="preserve"> *</w:t>
            </w:r>
          </w:p>
        </w:tc>
        <w:tc>
          <w:tcPr>
            <w:tcW w:w="478" w:type="pct"/>
          </w:tcPr>
          <w:p w14:paraId="58E28518" w14:textId="77777777" w:rsidR="00EE52E1" w:rsidRPr="006C7F5E" w:rsidRDefault="00EE52E1" w:rsidP="00EE52E1">
            <w:pPr>
              <w:pStyle w:val="TableText0"/>
              <w:keepNext w:val="0"/>
              <w:widowControl w:val="0"/>
              <w:jc w:val="center"/>
              <w:rPr>
                <w:rFonts w:cs="Arial"/>
                <w:b/>
                <w:bCs/>
              </w:rPr>
            </w:pPr>
            <w:r>
              <w:rPr>
                <w:rFonts w:cs="Arial"/>
              </w:rPr>
              <w:t xml:space="preserve">80.7 </w:t>
            </w:r>
            <w:r>
              <w:rPr>
                <w:rFonts w:cs="Arial"/>
              </w:rPr>
              <w:br/>
              <w:t>(27.1)</w:t>
            </w:r>
          </w:p>
        </w:tc>
      </w:tr>
      <w:tr w:rsidR="00EE52E1" w:rsidRPr="00331137" w14:paraId="630FAC84" w14:textId="77777777" w:rsidTr="0036773E">
        <w:trPr>
          <w:trHeight w:val="17"/>
        </w:trPr>
        <w:tc>
          <w:tcPr>
            <w:tcW w:w="624" w:type="pct"/>
          </w:tcPr>
          <w:p w14:paraId="22861173" w14:textId="77777777" w:rsidR="00EE52E1" w:rsidRPr="00331137" w:rsidRDefault="00EE52E1" w:rsidP="00EE52E1">
            <w:pPr>
              <w:pStyle w:val="TableText0"/>
              <w:keepNext w:val="0"/>
              <w:widowControl w:val="0"/>
              <w:jc w:val="left"/>
            </w:pPr>
            <w:r w:rsidRPr="00331137">
              <w:t>Bodily Pain</w:t>
            </w:r>
          </w:p>
        </w:tc>
        <w:tc>
          <w:tcPr>
            <w:tcW w:w="563" w:type="pct"/>
          </w:tcPr>
          <w:p w14:paraId="0C5836C8" w14:textId="77777777" w:rsidR="00EE52E1" w:rsidRDefault="00EE52E1" w:rsidP="00EE52E1">
            <w:pPr>
              <w:pStyle w:val="TableText0"/>
              <w:keepNext w:val="0"/>
              <w:widowControl w:val="0"/>
              <w:jc w:val="center"/>
              <w:rPr>
                <w:rFonts w:cs="Arial"/>
              </w:rPr>
            </w:pPr>
            <w:r w:rsidRPr="00331137">
              <w:t xml:space="preserve">66.50 </w:t>
            </w:r>
            <w:r>
              <w:br/>
            </w:r>
            <w:r w:rsidRPr="00331137">
              <w:t>(23.84)</w:t>
            </w:r>
          </w:p>
        </w:tc>
        <w:tc>
          <w:tcPr>
            <w:tcW w:w="636" w:type="pct"/>
          </w:tcPr>
          <w:p w14:paraId="2F3A4D81" w14:textId="77777777" w:rsidR="00EE52E1" w:rsidRPr="00AA756E" w:rsidRDefault="00EE52E1" w:rsidP="00EE52E1">
            <w:pPr>
              <w:pStyle w:val="TableText0"/>
              <w:keepNext w:val="0"/>
              <w:widowControl w:val="0"/>
              <w:jc w:val="center"/>
              <w:rPr>
                <w:rFonts w:cs="Arial"/>
              </w:rPr>
            </w:pPr>
            <w:r w:rsidRPr="00331137">
              <w:t xml:space="preserve">82.09 </w:t>
            </w:r>
            <w:r>
              <w:br/>
            </w:r>
            <w:r w:rsidRPr="00331137">
              <w:t>(22.26)</w:t>
            </w:r>
          </w:p>
        </w:tc>
        <w:tc>
          <w:tcPr>
            <w:tcW w:w="793" w:type="pct"/>
          </w:tcPr>
          <w:p w14:paraId="6ABC2634" w14:textId="77777777" w:rsidR="00EE52E1" w:rsidRPr="00AA756E" w:rsidRDefault="00EE52E1" w:rsidP="00EE52E1">
            <w:pPr>
              <w:pStyle w:val="TableText0"/>
              <w:keepNext w:val="0"/>
              <w:widowControl w:val="0"/>
              <w:jc w:val="center"/>
              <w:rPr>
                <w:rFonts w:cs="Arial"/>
              </w:rPr>
            </w:pPr>
            <w:r w:rsidRPr="00331137">
              <w:rPr>
                <w:b/>
              </w:rPr>
              <w:t xml:space="preserve">15.76 </w:t>
            </w:r>
            <w:r>
              <w:rPr>
                <w:b/>
              </w:rPr>
              <w:br/>
            </w:r>
            <w:r w:rsidRPr="00331137">
              <w:rPr>
                <w:b/>
              </w:rPr>
              <w:t>(10.34;21.18) *</w:t>
            </w:r>
          </w:p>
        </w:tc>
        <w:tc>
          <w:tcPr>
            <w:tcW w:w="509" w:type="pct"/>
          </w:tcPr>
          <w:p w14:paraId="4F1278A6" w14:textId="77777777" w:rsidR="00EE52E1" w:rsidRPr="00AA756E" w:rsidRDefault="00EE52E1" w:rsidP="00EE52E1">
            <w:pPr>
              <w:pStyle w:val="TableText0"/>
              <w:keepNext w:val="0"/>
              <w:widowControl w:val="0"/>
              <w:jc w:val="center"/>
              <w:rPr>
                <w:rFonts w:cs="Arial"/>
              </w:rPr>
            </w:pPr>
            <w:r w:rsidRPr="00AA756E">
              <w:rPr>
                <w:rFonts w:cs="Arial"/>
              </w:rPr>
              <w:t xml:space="preserve">49.5 </w:t>
            </w:r>
            <w:r>
              <w:rPr>
                <w:rFonts w:cs="Arial"/>
              </w:rPr>
              <w:br/>
            </w:r>
            <w:r w:rsidRPr="00AA756E">
              <w:rPr>
                <w:rFonts w:cs="Arial"/>
              </w:rPr>
              <w:t>(24.7)</w:t>
            </w:r>
          </w:p>
        </w:tc>
        <w:tc>
          <w:tcPr>
            <w:tcW w:w="625" w:type="pct"/>
          </w:tcPr>
          <w:p w14:paraId="12AB5764" w14:textId="77777777" w:rsidR="00EE52E1" w:rsidRPr="00AA756E" w:rsidRDefault="00EE52E1" w:rsidP="00EE52E1">
            <w:pPr>
              <w:pStyle w:val="TableText0"/>
              <w:keepNext w:val="0"/>
              <w:widowControl w:val="0"/>
              <w:jc w:val="center"/>
              <w:rPr>
                <w:rFonts w:cs="Arial"/>
              </w:rPr>
            </w:pPr>
            <w:r w:rsidRPr="00AA756E">
              <w:rPr>
                <w:rFonts w:cs="Arial"/>
              </w:rPr>
              <w:t xml:space="preserve">87.6 </w:t>
            </w:r>
            <w:r>
              <w:rPr>
                <w:rFonts w:cs="Arial"/>
              </w:rPr>
              <w:br/>
            </w:r>
            <w:r w:rsidRPr="00AA756E">
              <w:rPr>
                <w:rFonts w:cs="Arial"/>
              </w:rPr>
              <w:t>(17.8)</w:t>
            </w:r>
          </w:p>
        </w:tc>
        <w:tc>
          <w:tcPr>
            <w:tcW w:w="771" w:type="pct"/>
          </w:tcPr>
          <w:p w14:paraId="52445E0F" w14:textId="77777777" w:rsidR="00EE52E1" w:rsidRPr="00494FC6" w:rsidRDefault="00EE52E1" w:rsidP="00EE52E1">
            <w:pPr>
              <w:pStyle w:val="TableText0"/>
              <w:keepNext w:val="0"/>
              <w:widowControl w:val="0"/>
              <w:jc w:val="center"/>
              <w:rPr>
                <w:rFonts w:cs="Arial"/>
                <w:b/>
                <w:bCs/>
                <w:i/>
                <w:iCs/>
              </w:rPr>
            </w:pPr>
            <w:r w:rsidRPr="006C7F5E">
              <w:rPr>
                <w:rFonts w:cs="Arial"/>
                <w:b/>
                <w:bCs/>
              </w:rPr>
              <w:t>38.1</w:t>
            </w:r>
            <w:r>
              <w:rPr>
                <w:rFonts w:cs="Arial"/>
                <w:b/>
                <w:bCs/>
              </w:rPr>
              <w:t xml:space="preserve"> </w:t>
            </w:r>
            <w:r>
              <w:rPr>
                <w:rFonts w:cs="Arial"/>
                <w:b/>
                <w:bCs/>
              </w:rPr>
              <w:br/>
            </w:r>
            <w:r w:rsidRPr="00494FC6">
              <w:rPr>
                <w:rFonts w:cs="Arial"/>
                <w:b/>
                <w:bCs/>
                <w:i/>
                <w:iCs/>
                <w:color w:val="1F497D" w:themeColor="text2"/>
              </w:rPr>
              <w:t>(30.3;45.9)</w:t>
            </w:r>
            <w:r w:rsidRPr="00331137">
              <w:rPr>
                <w:b/>
              </w:rPr>
              <w:t xml:space="preserve"> *</w:t>
            </w:r>
          </w:p>
        </w:tc>
        <w:tc>
          <w:tcPr>
            <w:tcW w:w="478" w:type="pct"/>
          </w:tcPr>
          <w:p w14:paraId="23D95146" w14:textId="77777777" w:rsidR="00EE52E1" w:rsidRPr="006C7F5E" w:rsidRDefault="00EE52E1" w:rsidP="00EE52E1">
            <w:pPr>
              <w:pStyle w:val="TableText0"/>
              <w:keepNext w:val="0"/>
              <w:widowControl w:val="0"/>
              <w:jc w:val="center"/>
              <w:rPr>
                <w:rFonts w:cs="Arial"/>
                <w:b/>
                <w:bCs/>
              </w:rPr>
            </w:pPr>
            <w:r>
              <w:rPr>
                <w:rFonts w:cs="Arial"/>
              </w:rPr>
              <w:t xml:space="preserve">73.1 </w:t>
            </w:r>
            <w:r>
              <w:rPr>
                <w:rFonts w:cs="Arial"/>
              </w:rPr>
              <w:br/>
              <w:t>(22.2)</w:t>
            </w:r>
          </w:p>
        </w:tc>
      </w:tr>
      <w:tr w:rsidR="00EE52E1" w:rsidRPr="00331137" w14:paraId="3ECF60D1" w14:textId="77777777" w:rsidTr="0036773E">
        <w:trPr>
          <w:trHeight w:val="17"/>
        </w:trPr>
        <w:tc>
          <w:tcPr>
            <w:tcW w:w="624" w:type="pct"/>
          </w:tcPr>
          <w:p w14:paraId="6B5A25BB" w14:textId="77777777" w:rsidR="00EE52E1" w:rsidRPr="00331137" w:rsidRDefault="00EE52E1" w:rsidP="00EE52E1">
            <w:pPr>
              <w:pStyle w:val="TableText0"/>
              <w:keepNext w:val="0"/>
              <w:widowControl w:val="0"/>
              <w:jc w:val="left"/>
            </w:pPr>
            <w:r w:rsidRPr="00331137">
              <w:t>General Health</w:t>
            </w:r>
          </w:p>
        </w:tc>
        <w:tc>
          <w:tcPr>
            <w:tcW w:w="563" w:type="pct"/>
          </w:tcPr>
          <w:p w14:paraId="7C6678B5" w14:textId="77777777" w:rsidR="00EE52E1" w:rsidRDefault="00EE52E1" w:rsidP="00EE52E1">
            <w:pPr>
              <w:pStyle w:val="TableText0"/>
              <w:keepNext w:val="0"/>
              <w:widowControl w:val="0"/>
              <w:jc w:val="center"/>
              <w:rPr>
                <w:rFonts w:cs="Arial"/>
              </w:rPr>
            </w:pPr>
            <w:r w:rsidRPr="00331137">
              <w:t xml:space="preserve">71.50 </w:t>
            </w:r>
            <w:r>
              <w:br/>
            </w:r>
            <w:r w:rsidRPr="00331137">
              <w:t>(20.92)</w:t>
            </w:r>
          </w:p>
        </w:tc>
        <w:tc>
          <w:tcPr>
            <w:tcW w:w="636" w:type="pct"/>
          </w:tcPr>
          <w:p w14:paraId="0231A8AD" w14:textId="77777777" w:rsidR="00EE52E1" w:rsidRPr="00AA756E" w:rsidRDefault="00EE52E1" w:rsidP="00EE52E1">
            <w:pPr>
              <w:pStyle w:val="TableText0"/>
              <w:keepNext w:val="0"/>
              <w:widowControl w:val="0"/>
              <w:jc w:val="center"/>
              <w:rPr>
                <w:rFonts w:cs="Arial"/>
              </w:rPr>
            </w:pPr>
            <w:r w:rsidRPr="00331137">
              <w:t xml:space="preserve">80.70 </w:t>
            </w:r>
            <w:r>
              <w:br/>
            </w:r>
            <w:r w:rsidRPr="00331137">
              <w:t>(21.23)</w:t>
            </w:r>
          </w:p>
        </w:tc>
        <w:tc>
          <w:tcPr>
            <w:tcW w:w="793" w:type="pct"/>
          </w:tcPr>
          <w:p w14:paraId="46209E22" w14:textId="77777777" w:rsidR="00EE52E1" w:rsidRPr="00AA756E" w:rsidRDefault="00EE52E1" w:rsidP="00EE52E1">
            <w:pPr>
              <w:pStyle w:val="TableText0"/>
              <w:keepNext w:val="0"/>
              <w:widowControl w:val="0"/>
              <w:jc w:val="center"/>
              <w:rPr>
                <w:rFonts w:cs="Arial"/>
              </w:rPr>
            </w:pPr>
            <w:r w:rsidRPr="00331137">
              <w:rPr>
                <w:b/>
              </w:rPr>
              <w:t xml:space="preserve">9.58 </w:t>
            </w:r>
            <w:r>
              <w:rPr>
                <w:b/>
              </w:rPr>
              <w:br/>
            </w:r>
            <w:r w:rsidRPr="00331137">
              <w:rPr>
                <w:b/>
              </w:rPr>
              <w:t>(4.86;14.29) *</w:t>
            </w:r>
          </w:p>
        </w:tc>
        <w:tc>
          <w:tcPr>
            <w:tcW w:w="509" w:type="pct"/>
          </w:tcPr>
          <w:p w14:paraId="6C5F5B6A" w14:textId="77777777" w:rsidR="00EE52E1" w:rsidRPr="00AA756E" w:rsidRDefault="00EE52E1" w:rsidP="00EE52E1">
            <w:pPr>
              <w:pStyle w:val="TableText0"/>
              <w:keepNext w:val="0"/>
              <w:widowControl w:val="0"/>
              <w:jc w:val="center"/>
              <w:rPr>
                <w:rFonts w:cs="Arial"/>
              </w:rPr>
            </w:pPr>
            <w:r w:rsidRPr="00AA756E">
              <w:rPr>
                <w:rFonts w:cs="Arial"/>
              </w:rPr>
              <w:t xml:space="preserve">66.2 </w:t>
            </w:r>
            <w:r>
              <w:rPr>
                <w:rFonts w:cs="Arial"/>
              </w:rPr>
              <w:br/>
            </w:r>
            <w:r w:rsidRPr="00AA756E">
              <w:rPr>
                <w:rFonts w:cs="Arial"/>
              </w:rPr>
              <w:t>(19.8)</w:t>
            </w:r>
          </w:p>
        </w:tc>
        <w:tc>
          <w:tcPr>
            <w:tcW w:w="625" w:type="pct"/>
          </w:tcPr>
          <w:p w14:paraId="2142D2EB" w14:textId="77777777" w:rsidR="00EE52E1" w:rsidRPr="00AA756E" w:rsidRDefault="00EE52E1" w:rsidP="00EE52E1">
            <w:pPr>
              <w:pStyle w:val="TableText0"/>
              <w:keepNext w:val="0"/>
              <w:widowControl w:val="0"/>
              <w:jc w:val="center"/>
              <w:rPr>
                <w:rFonts w:cs="Arial"/>
              </w:rPr>
            </w:pPr>
            <w:r w:rsidRPr="00AA756E">
              <w:rPr>
                <w:rFonts w:cs="Arial"/>
              </w:rPr>
              <w:t xml:space="preserve">78.2 </w:t>
            </w:r>
            <w:r>
              <w:rPr>
                <w:rFonts w:cs="Arial"/>
              </w:rPr>
              <w:br/>
            </w:r>
            <w:r w:rsidRPr="00AA756E">
              <w:rPr>
                <w:rFonts w:cs="Arial"/>
              </w:rPr>
              <w:t>(18.9)</w:t>
            </w:r>
          </w:p>
        </w:tc>
        <w:tc>
          <w:tcPr>
            <w:tcW w:w="771" w:type="pct"/>
          </w:tcPr>
          <w:p w14:paraId="1BA239F2" w14:textId="77777777" w:rsidR="00EE52E1" w:rsidRPr="006C7F5E" w:rsidRDefault="00EE52E1" w:rsidP="00EE52E1">
            <w:pPr>
              <w:pStyle w:val="TableText0"/>
              <w:keepNext w:val="0"/>
              <w:widowControl w:val="0"/>
              <w:jc w:val="center"/>
              <w:rPr>
                <w:rFonts w:cs="Arial"/>
                <w:b/>
                <w:bCs/>
              </w:rPr>
            </w:pPr>
            <w:r w:rsidRPr="006C7F5E">
              <w:rPr>
                <w:rFonts w:cs="Arial"/>
                <w:b/>
                <w:bCs/>
              </w:rPr>
              <w:t>12.0</w:t>
            </w:r>
            <w:r>
              <w:rPr>
                <w:rFonts w:cs="Arial"/>
                <w:b/>
                <w:bCs/>
              </w:rPr>
              <w:t xml:space="preserve"> </w:t>
            </w:r>
            <w:r>
              <w:rPr>
                <w:rFonts w:cs="Arial"/>
                <w:b/>
                <w:bCs/>
              </w:rPr>
              <w:br/>
            </w:r>
            <w:r w:rsidRPr="00494FC6">
              <w:rPr>
                <w:rFonts w:cs="Arial"/>
                <w:b/>
                <w:bCs/>
                <w:i/>
                <w:iCs/>
                <w:color w:val="1F497D" w:themeColor="text2"/>
              </w:rPr>
              <w:t>(5.0;19.0)</w:t>
            </w:r>
            <w:r w:rsidRPr="00331137">
              <w:rPr>
                <w:b/>
              </w:rPr>
              <w:t xml:space="preserve"> *</w:t>
            </w:r>
          </w:p>
        </w:tc>
        <w:tc>
          <w:tcPr>
            <w:tcW w:w="478" w:type="pct"/>
          </w:tcPr>
          <w:p w14:paraId="3995B1B6" w14:textId="77777777" w:rsidR="00EE52E1" w:rsidRPr="006C7F5E" w:rsidRDefault="00EE52E1" w:rsidP="00EE52E1">
            <w:pPr>
              <w:pStyle w:val="TableText0"/>
              <w:keepNext w:val="0"/>
              <w:widowControl w:val="0"/>
              <w:jc w:val="center"/>
              <w:rPr>
                <w:rFonts w:cs="Arial"/>
                <w:b/>
                <w:bCs/>
              </w:rPr>
            </w:pPr>
            <w:r>
              <w:rPr>
                <w:rFonts w:cs="Arial"/>
              </w:rPr>
              <w:t xml:space="preserve">69.6 </w:t>
            </w:r>
            <w:r>
              <w:rPr>
                <w:rFonts w:cs="Arial"/>
              </w:rPr>
              <w:br/>
              <w:t>(22.9)</w:t>
            </w:r>
          </w:p>
        </w:tc>
      </w:tr>
      <w:tr w:rsidR="00EE52E1" w:rsidRPr="00331137" w14:paraId="44479B4A" w14:textId="77777777" w:rsidTr="0036773E">
        <w:trPr>
          <w:trHeight w:val="17"/>
        </w:trPr>
        <w:tc>
          <w:tcPr>
            <w:tcW w:w="624" w:type="pct"/>
          </w:tcPr>
          <w:p w14:paraId="34C219A1" w14:textId="77777777" w:rsidR="00EE52E1" w:rsidRPr="00331137" w:rsidRDefault="00EE52E1" w:rsidP="00EE52E1">
            <w:pPr>
              <w:pStyle w:val="TableText0"/>
              <w:keepNext w:val="0"/>
              <w:widowControl w:val="0"/>
              <w:jc w:val="left"/>
            </w:pPr>
            <w:r w:rsidRPr="00331137">
              <w:t>Vitality</w:t>
            </w:r>
          </w:p>
        </w:tc>
        <w:tc>
          <w:tcPr>
            <w:tcW w:w="563" w:type="pct"/>
          </w:tcPr>
          <w:p w14:paraId="155DF7F4" w14:textId="77777777" w:rsidR="00EE52E1" w:rsidRDefault="00EE52E1" w:rsidP="00EE52E1">
            <w:pPr>
              <w:pStyle w:val="TableText0"/>
              <w:keepNext w:val="0"/>
              <w:widowControl w:val="0"/>
              <w:jc w:val="center"/>
              <w:rPr>
                <w:rFonts w:cs="Arial"/>
              </w:rPr>
            </w:pPr>
            <w:r w:rsidRPr="00331137">
              <w:t xml:space="preserve">50.36 </w:t>
            </w:r>
            <w:r>
              <w:br/>
            </w:r>
            <w:r w:rsidRPr="00331137">
              <w:t>(22.92)</w:t>
            </w:r>
          </w:p>
        </w:tc>
        <w:tc>
          <w:tcPr>
            <w:tcW w:w="636" w:type="pct"/>
          </w:tcPr>
          <w:p w14:paraId="50FE0389" w14:textId="77777777" w:rsidR="00EE52E1" w:rsidRPr="00AA756E" w:rsidRDefault="00EE52E1" w:rsidP="00EE52E1">
            <w:pPr>
              <w:pStyle w:val="TableText0"/>
              <w:keepNext w:val="0"/>
              <w:widowControl w:val="0"/>
              <w:jc w:val="center"/>
              <w:rPr>
                <w:rFonts w:cs="Arial"/>
              </w:rPr>
            </w:pPr>
            <w:r w:rsidRPr="00331137">
              <w:t xml:space="preserve">66.25 </w:t>
            </w:r>
            <w:r>
              <w:br/>
            </w:r>
            <w:r w:rsidRPr="00331137">
              <w:t>(21.43)</w:t>
            </w:r>
          </w:p>
        </w:tc>
        <w:tc>
          <w:tcPr>
            <w:tcW w:w="793" w:type="pct"/>
          </w:tcPr>
          <w:p w14:paraId="3BDA8BF1" w14:textId="77777777" w:rsidR="00EE52E1" w:rsidRPr="00AA756E" w:rsidRDefault="00EE52E1" w:rsidP="00EE52E1">
            <w:pPr>
              <w:pStyle w:val="TableText0"/>
              <w:keepNext w:val="0"/>
              <w:widowControl w:val="0"/>
              <w:jc w:val="center"/>
              <w:rPr>
                <w:rFonts w:cs="Arial"/>
              </w:rPr>
            </w:pPr>
            <w:r w:rsidRPr="00331137">
              <w:rPr>
                <w:b/>
              </w:rPr>
              <w:t xml:space="preserve">15.90 </w:t>
            </w:r>
            <w:r>
              <w:rPr>
                <w:b/>
              </w:rPr>
              <w:br/>
            </w:r>
            <w:r w:rsidRPr="00331137">
              <w:rPr>
                <w:b/>
              </w:rPr>
              <w:t>(9.31;22.49) *</w:t>
            </w:r>
          </w:p>
        </w:tc>
        <w:tc>
          <w:tcPr>
            <w:tcW w:w="509" w:type="pct"/>
          </w:tcPr>
          <w:p w14:paraId="4A3768FA" w14:textId="77777777" w:rsidR="00EE52E1" w:rsidRPr="00AA756E" w:rsidRDefault="00EE52E1" w:rsidP="00EE52E1">
            <w:pPr>
              <w:pStyle w:val="TableText0"/>
              <w:keepNext w:val="0"/>
              <w:widowControl w:val="0"/>
              <w:jc w:val="center"/>
              <w:rPr>
                <w:rFonts w:cs="Arial"/>
              </w:rPr>
            </w:pPr>
            <w:r w:rsidRPr="00AA756E">
              <w:rPr>
                <w:rFonts w:cs="Arial"/>
              </w:rPr>
              <w:t xml:space="preserve">38.9 </w:t>
            </w:r>
            <w:r>
              <w:rPr>
                <w:rFonts w:cs="Arial"/>
              </w:rPr>
              <w:br/>
            </w:r>
            <w:r w:rsidRPr="00AA756E">
              <w:rPr>
                <w:rFonts w:cs="Arial"/>
              </w:rPr>
              <w:t>(23.6)</w:t>
            </w:r>
          </w:p>
        </w:tc>
        <w:tc>
          <w:tcPr>
            <w:tcW w:w="625" w:type="pct"/>
          </w:tcPr>
          <w:p w14:paraId="4AC32326" w14:textId="77777777" w:rsidR="00EE52E1" w:rsidRPr="00AA756E" w:rsidRDefault="00EE52E1" w:rsidP="00EE52E1">
            <w:pPr>
              <w:pStyle w:val="TableText0"/>
              <w:keepNext w:val="0"/>
              <w:widowControl w:val="0"/>
              <w:jc w:val="center"/>
              <w:rPr>
                <w:rFonts w:cs="Arial"/>
              </w:rPr>
            </w:pPr>
            <w:r w:rsidRPr="00AA756E">
              <w:rPr>
                <w:rFonts w:cs="Arial"/>
              </w:rPr>
              <w:t xml:space="preserve">64.9 </w:t>
            </w:r>
            <w:r>
              <w:rPr>
                <w:rFonts w:cs="Arial"/>
              </w:rPr>
              <w:br/>
            </w:r>
            <w:r w:rsidRPr="00AA756E">
              <w:rPr>
                <w:rFonts w:cs="Arial"/>
              </w:rPr>
              <w:t>(22.7)</w:t>
            </w:r>
          </w:p>
        </w:tc>
        <w:tc>
          <w:tcPr>
            <w:tcW w:w="771" w:type="pct"/>
          </w:tcPr>
          <w:p w14:paraId="3B284AF6" w14:textId="77777777" w:rsidR="00EE52E1" w:rsidRPr="00494FC6" w:rsidRDefault="00EE52E1" w:rsidP="00EE52E1">
            <w:pPr>
              <w:pStyle w:val="TableText0"/>
              <w:keepNext w:val="0"/>
              <w:widowControl w:val="0"/>
              <w:jc w:val="center"/>
              <w:rPr>
                <w:rFonts w:cs="Arial"/>
                <w:b/>
                <w:bCs/>
                <w:i/>
                <w:iCs/>
              </w:rPr>
            </w:pPr>
            <w:r w:rsidRPr="006C7F5E">
              <w:rPr>
                <w:rFonts w:cs="Arial"/>
                <w:b/>
                <w:bCs/>
              </w:rPr>
              <w:t>26.0</w:t>
            </w:r>
            <w:r>
              <w:rPr>
                <w:rFonts w:cs="Arial"/>
                <w:b/>
                <w:bCs/>
              </w:rPr>
              <w:t xml:space="preserve"> </w:t>
            </w:r>
            <w:r>
              <w:rPr>
                <w:rFonts w:cs="Arial"/>
                <w:b/>
                <w:bCs/>
              </w:rPr>
              <w:br/>
            </w:r>
            <w:r w:rsidRPr="00494FC6">
              <w:rPr>
                <w:rFonts w:cs="Arial"/>
                <w:b/>
                <w:bCs/>
                <w:i/>
                <w:iCs/>
                <w:color w:val="1F497D" w:themeColor="text2"/>
              </w:rPr>
              <w:t>(17.6;34.4)</w:t>
            </w:r>
            <w:r w:rsidRPr="00331137">
              <w:rPr>
                <w:b/>
              </w:rPr>
              <w:t xml:space="preserve"> *</w:t>
            </w:r>
          </w:p>
        </w:tc>
        <w:tc>
          <w:tcPr>
            <w:tcW w:w="478" w:type="pct"/>
          </w:tcPr>
          <w:p w14:paraId="13D09743" w14:textId="77777777" w:rsidR="00EE52E1" w:rsidRDefault="00EE52E1" w:rsidP="00EE52E1">
            <w:pPr>
              <w:pStyle w:val="TableText0"/>
              <w:keepNext w:val="0"/>
              <w:widowControl w:val="0"/>
              <w:jc w:val="center"/>
              <w:rPr>
                <w:rFonts w:cs="Arial"/>
              </w:rPr>
            </w:pPr>
            <w:r>
              <w:rPr>
                <w:rFonts w:cs="Arial"/>
              </w:rPr>
              <w:t xml:space="preserve">57.2 </w:t>
            </w:r>
            <w:r>
              <w:rPr>
                <w:rFonts w:cs="Arial"/>
              </w:rPr>
              <w:br/>
              <w:t>(21.8)</w:t>
            </w:r>
          </w:p>
        </w:tc>
      </w:tr>
      <w:tr w:rsidR="00EE52E1" w:rsidRPr="00331137" w14:paraId="3A6D3A32" w14:textId="77777777" w:rsidTr="0036773E">
        <w:trPr>
          <w:trHeight w:val="17"/>
        </w:trPr>
        <w:tc>
          <w:tcPr>
            <w:tcW w:w="624" w:type="pct"/>
          </w:tcPr>
          <w:p w14:paraId="0A1D3755" w14:textId="77777777" w:rsidR="00EE52E1" w:rsidRPr="00331137" w:rsidRDefault="00EE52E1" w:rsidP="00EE52E1">
            <w:pPr>
              <w:pStyle w:val="TableText0"/>
              <w:keepNext w:val="0"/>
              <w:widowControl w:val="0"/>
              <w:jc w:val="left"/>
            </w:pPr>
            <w:r w:rsidRPr="00331137">
              <w:t>Social Functioning</w:t>
            </w:r>
          </w:p>
        </w:tc>
        <w:tc>
          <w:tcPr>
            <w:tcW w:w="563" w:type="pct"/>
          </w:tcPr>
          <w:p w14:paraId="1DE07C5E" w14:textId="77777777" w:rsidR="00EE52E1" w:rsidRDefault="00EE52E1" w:rsidP="00EE52E1">
            <w:pPr>
              <w:pStyle w:val="TableText0"/>
              <w:keepNext w:val="0"/>
              <w:widowControl w:val="0"/>
              <w:jc w:val="center"/>
              <w:rPr>
                <w:rFonts w:cs="Arial"/>
              </w:rPr>
            </w:pPr>
            <w:r w:rsidRPr="00331137">
              <w:t xml:space="preserve">71.21 </w:t>
            </w:r>
            <w:r>
              <w:br/>
            </w:r>
            <w:r w:rsidRPr="00331137">
              <w:t>(30.24)</w:t>
            </w:r>
          </w:p>
        </w:tc>
        <w:tc>
          <w:tcPr>
            <w:tcW w:w="636" w:type="pct"/>
          </w:tcPr>
          <w:p w14:paraId="480FD660" w14:textId="77777777" w:rsidR="00EE52E1" w:rsidRPr="00AA756E" w:rsidRDefault="00EE52E1" w:rsidP="00EE52E1">
            <w:pPr>
              <w:pStyle w:val="TableText0"/>
              <w:keepNext w:val="0"/>
              <w:widowControl w:val="0"/>
              <w:jc w:val="center"/>
              <w:rPr>
                <w:rFonts w:cs="Arial"/>
              </w:rPr>
            </w:pPr>
            <w:r w:rsidRPr="00331137">
              <w:t xml:space="preserve">88.39 </w:t>
            </w:r>
            <w:r>
              <w:br/>
            </w:r>
            <w:r w:rsidRPr="00331137">
              <w:t>(29.60)</w:t>
            </w:r>
          </w:p>
        </w:tc>
        <w:tc>
          <w:tcPr>
            <w:tcW w:w="793" w:type="pct"/>
          </w:tcPr>
          <w:p w14:paraId="229FEB81" w14:textId="77777777" w:rsidR="00EE52E1" w:rsidRPr="00AA756E" w:rsidRDefault="00EE52E1" w:rsidP="00EE52E1">
            <w:pPr>
              <w:pStyle w:val="TableText0"/>
              <w:keepNext w:val="0"/>
              <w:widowControl w:val="0"/>
              <w:jc w:val="center"/>
              <w:rPr>
                <w:rFonts w:cs="Arial"/>
              </w:rPr>
            </w:pPr>
            <w:r w:rsidRPr="00331137">
              <w:rPr>
                <w:b/>
              </w:rPr>
              <w:t xml:space="preserve">17.26 </w:t>
            </w:r>
            <w:r>
              <w:rPr>
                <w:b/>
              </w:rPr>
              <w:br/>
            </w:r>
            <w:r w:rsidRPr="00331137">
              <w:rPr>
                <w:b/>
              </w:rPr>
              <w:t>(8.69;25.82) *</w:t>
            </w:r>
          </w:p>
        </w:tc>
        <w:tc>
          <w:tcPr>
            <w:tcW w:w="509" w:type="pct"/>
          </w:tcPr>
          <w:p w14:paraId="6C1A8A67" w14:textId="77777777" w:rsidR="00EE52E1" w:rsidRPr="00AA756E" w:rsidRDefault="00EE52E1" w:rsidP="00EE52E1">
            <w:pPr>
              <w:pStyle w:val="TableText0"/>
              <w:keepNext w:val="0"/>
              <w:widowControl w:val="0"/>
              <w:jc w:val="center"/>
              <w:rPr>
                <w:rFonts w:cs="Arial"/>
              </w:rPr>
            </w:pPr>
            <w:r w:rsidRPr="00AA756E">
              <w:rPr>
                <w:rFonts w:cs="Arial"/>
              </w:rPr>
              <w:t xml:space="preserve">71.9 </w:t>
            </w:r>
            <w:r>
              <w:rPr>
                <w:rFonts w:cs="Arial"/>
              </w:rPr>
              <w:br/>
            </w:r>
            <w:r w:rsidRPr="00AA756E">
              <w:rPr>
                <w:rFonts w:cs="Arial"/>
              </w:rPr>
              <w:t>(25.8)</w:t>
            </w:r>
          </w:p>
        </w:tc>
        <w:tc>
          <w:tcPr>
            <w:tcW w:w="625" w:type="pct"/>
          </w:tcPr>
          <w:p w14:paraId="513C89C1" w14:textId="77777777" w:rsidR="00EE52E1" w:rsidRPr="00AA756E" w:rsidRDefault="00EE52E1" w:rsidP="00EE52E1">
            <w:pPr>
              <w:pStyle w:val="TableText0"/>
              <w:keepNext w:val="0"/>
              <w:widowControl w:val="0"/>
              <w:jc w:val="center"/>
              <w:rPr>
                <w:rFonts w:cs="Arial"/>
              </w:rPr>
            </w:pPr>
            <w:r w:rsidRPr="00AA756E">
              <w:rPr>
                <w:rFonts w:cs="Arial"/>
              </w:rPr>
              <w:t xml:space="preserve">88.6 </w:t>
            </w:r>
            <w:r>
              <w:rPr>
                <w:rFonts w:cs="Arial"/>
              </w:rPr>
              <w:br/>
            </w:r>
            <w:r w:rsidRPr="00AA756E">
              <w:rPr>
                <w:rFonts w:cs="Arial"/>
              </w:rPr>
              <w:t>(20.0)</w:t>
            </w:r>
          </w:p>
        </w:tc>
        <w:tc>
          <w:tcPr>
            <w:tcW w:w="771" w:type="pct"/>
          </w:tcPr>
          <w:p w14:paraId="1A7D802A" w14:textId="77777777" w:rsidR="00EE52E1" w:rsidRPr="00494FC6" w:rsidRDefault="00EE52E1" w:rsidP="00EE52E1">
            <w:pPr>
              <w:pStyle w:val="TableText0"/>
              <w:keepNext w:val="0"/>
              <w:widowControl w:val="0"/>
              <w:jc w:val="center"/>
              <w:rPr>
                <w:rFonts w:cs="Arial"/>
                <w:b/>
                <w:bCs/>
                <w:i/>
                <w:iCs/>
              </w:rPr>
            </w:pPr>
            <w:r w:rsidRPr="006C7F5E">
              <w:rPr>
                <w:rFonts w:cs="Arial"/>
                <w:b/>
                <w:bCs/>
              </w:rPr>
              <w:t>16.7</w:t>
            </w:r>
            <w:r>
              <w:rPr>
                <w:rFonts w:cs="Arial"/>
                <w:b/>
                <w:bCs/>
              </w:rPr>
              <w:t xml:space="preserve"> </w:t>
            </w:r>
            <w:r>
              <w:rPr>
                <w:rFonts w:cs="Arial"/>
                <w:b/>
                <w:bCs/>
              </w:rPr>
              <w:br/>
            </w:r>
            <w:r w:rsidRPr="00494FC6">
              <w:rPr>
                <w:rFonts w:cs="Arial"/>
                <w:b/>
                <w:bCs/>
                <w:i/>
                <w:iCs/>
                <w:color w:val="1F497D" w:themeColor="text2"/>
              </w:rPr>
              <w:t>(8.35;25.0)</w:t>
            </w:r>
            <w:r w:rsidRPr="00331137">
              <w:rPr>
                <w:b/>
              </w:rPr>
              <w:t xml:space="preserve"> *</w:t>
            </w:r>
          </w:p>
        </w:tc>
        <w:tc>
          <w:tcPr>
            <w:tcW w:w="478" w:type="pct"/>
          </w:tcPr>
          <w:p w14:paraId="5BAA96EF" w14:textId="77777777" w:rsidR="00EE52E1" w:rsidRDefault="00EE52E1" w:rsidP="00EE52E1">
            <w:pPr>
              <w:pStyle w:val="TableText0"/>
              <w:keepNext w:val="0"/>
              <w:widowControl w:val="0"/>
              <w:jc w:val="center"/>
              <w:rPr>
                <w:rFonts w:cs="Arial"/>
              </w:rPr>
            </w:pPr>
            <w:r>
              <w:rPr>
                <w:rFonts w:cs="Arial"/>
              </w:rPr>
              <w:t xml:space="preserve">82.9 </w:t>
            </w:r>
            <w:r>
              <w:rPr>
                <w:rFonts w:cs="Arial"/>
              </w:rPr>
              <w:br/>
              <w:t>(24.2)</w:t>
            </w:r>
          </w:p>
        </w:tc>
      </w:tr>
      <w:tr w:rsidR="00EE52E1" w:rsidRPr="00331137" w14:paraId="65470701" w14:textId="77777777" w:rsidTr="0036773E">
        <w:trPr>
          <w:trHeight w:val="17"/>
        </w:trPr>
        <w:tc>
          <w:tcPr>
            <w:tcW w:w="624" w:type="pct"/>
          </w:tcPr>
          <w:p w14:paraId="0B5E752C" w14:textId="77777777" w:rsidR="00EE52E1" w:rsidRPr="00331137" w:rsidRDefault="00EE52E1" w:rsidP="00EE52E1">
            <w:pPr>
              <w:pStyle w:val="TableText0"/>
              <w:keepNext w:val="0"/>
              <w:widowControl w:val="0"/>
              <w:jc w:val="left"/>
            </w:pPr>
            <w:r>
              <w:t xml:space="preserve">Role– Emotional </w:t>
            </w:r>
          </w:p>
        </w:tc>
        <w:tc>
          <w:tcPr>
            <w:tcW w:w="563" w:type="pct"/>
          </w:tcPr>
          <w:p w14:paraId="41C1C6C4" w14:textId="77777777" w:rsidR="00EE52E1" w:rsidRDefault="00EE52E1" w:rsidP="00EE52E1">
            <w:pPr>
              <w:pStyle w:val="TableText0"/>
              <w:keepNext w:val="0"/>
              <w:widowControl w:val="0"/>
              <w:jc w:val="center"/>
              <w:rPr>
                <w:rFonts w:cs="Arial"/>
              </w:rPr>
            </w:pPr>
            <w:r w:rsidRPr="00331137">
              <w:t xml:space="preserve">73.81 </w:t>
            </w:r>
            <w:r>
              <w:br/>
            </w:r>
            <w:r w:rsidRPr="00331137">
              <w:t>(36.36)</w:t>
            </w:r>
          </w:p>
        </w:tc>
        <w:tc>
          <w:tcPr>
            <w:tcW w:w="636" w:type="pct"/>
          </w:tcPr>
          <w:p w14:paraId="41F3265E" w14:textId="77777777" w:rsidR="00EE52E1" w:rsidRPr="00AA756E" w:rsidRDefault="00EE52E1" w:rsidP="00EE52E1">
            <w:pPr>
              <w:pStyle w:val="TableText0"/>
              <w:keepNext w:val="0"/>
              <w:widowControl w:val="0"/>
              <w:jc w:val="center"/>
              <w:rPr>
                <w:rFonts w:cs="Arial"/>
              </w:rPr>
            </w:pPr>
            <w:r w:rsidRPr="00331137">
              <w:t xml:space="preserve">86.90 </w:t>
            </w:r>
            <w:r>
              <w:br/>
            </w:r>
            <w:r w:rsidRPr="00331137">
              <w:t>(20.35)</w:t>
            </w:r>
          </w:p>
        </w:tc>
        <w:tc>
          <w:tcPr>
            <w:tcW w:w="793" w:type="pct"/>
          </w:tcPr>
          <w:p w14:paraId="2813C3D5" w14:textId="77777777" w:rsidR="00EE52E1" w:rsidRPr="00AA756E" w:rsidRDefault="00EE52E1" w:rsidP="00EE52E1">
            <w:pPr>
              <w:pStyle w:val="TableText0"/>
              <w:keepNext w:val="0"/>
              <w:widowControl w:val="0"/>
              <w:jc w:val="center"/>
              <w:rPr>
                <w:rFonts w:cs="Arial"/>
              </w:rPr>
            </w:pPr>
            <w:r w:rsidRPr="00331137">
              <w:rPr>
                <w:b/>
              </w:rPr>
              <w:t xml:space="preserve">13.18 </w:t>
            </w:r>
            <w:r>
              <w:rPr>
                <w:b/>
              </w:rPr>
              <w:br/>
            </w:r>
            <w:r w:rsidRPr="00331137">
              <w:rPr>
                <w:b/>
              </w:rPr>
              <w:t>(3.43;22.94) *</w:t>
            </w:r>
          </w:p>
        </w:tc>
        <w:tc>
          <w:tcPr>
            <w:tcW w:w="509" w:type="pct"/>
          </w:tcPr>
          <w:p w14:paraId="194C9A7F" w14:textId="77777777" w:rsidR="00EE52E1" w:rsidRPr="00AA756E" w:rsidRDefault="00EE52E1" w:rsidP="00EE52E1">
            <w:pPr>
              <w:pStyle w:val="TableText0"/>
              <w:keepNext w:val="0"/>
              <w:widowControl w:val="0"/>
              <w:jc w:val="center"/>
              <w:rPr>
                <w:rFonts w:cs="Arial"/>
              </w:rPr>
            </w:pPr>
            <w:r w:rsidRPr="00AA756E">
              <w:rPr>
                <w:rFonts w:cs="Arial"/>
              </w:rPr>
              <w:t xml:space="preserve">59.3 </w:t>
            </w:r>
            <w:r>
              <w:rPr>
                <w:rFonts w:cs="Arial"/>
              </w:rPr>
              <w:br/>
            </w:r>
            <w:r w:rsidRPr="00AA756E">
              <w:rPr>
                <w:rFonts w:cs="Arial"/>
              </w:rPr>
              <w:t>(42.5)</w:t>
            </w:r>
          </w:p>
        </w:tc>
        <w:tc>
          <w:tcPr>
            <w:tcW w:w="625" w:type="pct"/>
          </w:tcPr>
          <w:p w14:paraId="2ACFC4FE" w14:textId="77777777" w:rsidR="00EE52E1" w:rsidRPr="00AA756E" w:rsidRDefault="00EE52E1" w:rsidP="00EE52E1">
            <w:pPr>
              <w:pStyle w:val="TableText0"/>
              <w:keepNext w:val="0"/>
              <w:widowControl w:val="0"/>
              <w:jc w:val="center"/>
              <w:rPr>
                <w:rFonts w:cs="Arial"/>
              </w:rPr>
            </w:pPr>
            <w:r w:rsidRPr="00AA756E">
              <w:rPr>
                <w:rFonts w:cs="Arial"/>
              </w:rPr>
              <w:t xml:space="preserve">83.0 </w:t>
            </w:r>
            <w:r>
              <w:rPr>
                <w:rFonts w:cs="Arial"/>
              </w:rPr>
              <w:br/>
            </w:r>
            <w:r w:rsidRPr="00AA756E">
              <w:rPr>
                <w:rFonts w:cs="Arial"/>
              </w:rPr>
              <w:t>(32.6)</w:t>
            </w:r>
          </w:p>
        </w:tc>
        <w:tc>
          <w:tcPr>
            <w:tcW w:w="771" w:type="pct"/>
          </w:tcPr>
          <w:p w14:paraId="7FC5095B" w14:textId="77777777" w:rsidR="00EE52E1" w:rsidRPr="00494FC6" w:rsidRDefault="00EE52E1" w:rsidP="00EE52E1">
            <w:pPr>
              <w:pStyle w:val="TableText0"/>
              <w:keepNext w:val="0"/>
              <w:widowControl w:val="0"/>
              <w:jc w:val="center"/>
              <w:rPr>
                <w:rFonts w:cs="Arial"/>
                <w:b/>
                <w:bCs/>
                <w:i/>
                <w:iCs/>
              </w:rPr>
            </w:pPr>
            <w:r w:rsidRPr="006C7F5E">
              <w:rPr>
                <w:rFonts w:cs="Arial"/>
                <w:b/>
                <w:bCs/>
              </w:rPr>
              <w:t>23.7</w:t>
            </w:r>
            <w:r>
              <w:rPr>
                <w:rFonts w:cs="Arial"/>
                <w:b/>
                <w:bCs/>
              </w:rPr>
              <w:t xml:space="preserve"> </w:t>
            </w:r>
            <w:r>
              <w:rPr>
                <w:rFonts w:cs="Arial"/>
                <w:b/>
                <w:bCs/>
              </w:rPr>
              <w:br/>
            </w:r>
            <w:r w:rsidRPr="00494FC6">
              <w:rPr>
                <w:rFonts w:cs="Arial"/>
                <w:b/>
                <w:bCs/>
                <w:i/>
                <w:iCs/>
                <w:color w:val="1F497D" w:themeColor="text2"/>
              </w:rPr>
              <w:t>(10.0;37.4)</w:t>
            </w:r>
            <w:r w:rsidRPr="00331137">
              <w:rPr>
                <w:b/>
              </w:rPr>
              <w:t xml:space="preserve"> *</w:t>
            </w:r>
          </w:p>
        </w:tc>
        <w:tc>
          <w:tcPr>
            <w:tcW w:w="478" w:type="pct"/>
          </w:tcPr>
          <w:p w14:paraId="4504D408" w14:textId="77777777" w:rsidR="00EE52E1" w:rsidRDefault="00EE52E1" w:rsidP="00EE52E1">
            <w:pPr>
              <w:pStyle w:val="TableText0"/>
              <w:keepNext w:val="0"/>
              <w:widowControl w:val="0"/>
              <w:jc w:val="center"/>
              <w:rPr>
                <w:rFonts w:cs="Arial"/>
              </w:rPr>
            </w:pPr>
            <w:r>
              <w:rPr>
                <w:rFonts w:cs="Arial"/>
              </w:rPr>
              <w:t xml:space="preserve">88.5 </w:t>
            </w:r>
            <w:r>
              <w:rPr>
                <w:rFonts w:cs="Arial"/>
              </w:rPr>
              <w:br/>
              <w:t>(20.6)</w:t>
            </w:r>
          </w:p>
        </w:tc>
      </w:tr>
      <w:tr w:rsidR="00EE52E1" w:rsidRPr="00331137" w14:paraId="67AED470" w14:textId="77777777" w:rsidTr="0036773E">
        <w:trPr>
          <w:trHeight w:val="17"/>
        </w:trPr>
        <w:tc>
          <w:tcPr>
            <w:tcW w:w="624" w:type="pct"/>
          </w:tcPr>
          <w:p w14:paraId="70E491DE" w14:textId="77777777" w:rsidR="00EE52E1" w:rsidRPr="00331137" w:rsidRDefault="00EE52E1" w:rsidP="00EE52E1">
            <w:pPr>
              <w:pStyle w:val="TableText0"/>
              <w:keepNext w:val="0"/>
              <w:widowControl w:val="0"/>
              <w:jc w:val="left"/>
            </w:pPr>
            <w:r w:rsidRPr="00331137">
              <w:t>Mental Health</w:t>
            </w:r>
          </w:p>
        </w:tc>
        <w:tc>
          <w:tcPr>
            <w:tcW w:w="563" w:type="pct"/>
          </w:tcPr>
          <w:p w14:paraId="0BBCF00E" w14:textId="77777777" w:rsidR="00EE52E1" w:rsidRDefault="00EE52E1" w:rsidP="00EE52E1">
            <w:pPr>
              <w:pStyle w:val="TableText0"/>
              <w:keepNext w:val="0"/>
              <w:widowControl w:val="0"/>
              <w:jc w:val="center"/>
              <w:rPr>
                <w:rFonts w:cs="Arial"/>
              </w:rPr>
            </w:pPr>
            <w:r w:rsidRPr="00331137">
              <w:t xml:space="preserve">71.29 </w:t>
            </w:r>
            <w:r>
              <w:br/>
            </w:r>
            <w:r w:rsidRPr="00331137">
              <w:t>(18.34)</w:t>
            </w:r>
          </w:p>
        </w:tc>
        <w:tc>
          <w:tcPr>
            <w:tcW w:w="636" w:type="pct"/>
          </w:tcPr>
          <w:p w14:paraId="6A520D0B" w14:textId="77777777" w:rsidR="00EE52E1" w:rsidRPr="00AA756E" w:rsidRDefault="00EE52E1" w:rsidP="00EE52E1">
            <w:pPr>
              <w:pStyle w:val="TableText0"/>
              <w:keepNext w:val="0"/>
              <w:widowControl w:val="0"/>
              <w:jc w:val="center"/>
              <w:rPr>
                <w:rFonts w:cs="Arial"/>
              </w:rPr>
            </w:pPr>
            <w:r w:rsidRPr="00331137">
              <w:t xml:space="preserve">77.07 </w:t>
            </w:r>
            <w:r>
              <w:br/>
            </w:r>
            <w:r w:rsidRPr="00331137">
              <w:t>(8.73)</w:t>
            </w:r>
          </w:p>
        </w:tc>
        <w:tc>
          <w:tcPr>
            <w:tcW w:w="793" w:type="pct"/>
          </w:tcPr>
          <w:p w14:paraId="68CB5588" w14:textId="77777777" w:rsidR="00EE52E1" w:rsidRPr="00AA756E" w:rsidRDefault="00EE52E1" w:rsidP="00EE52E1">
            <w:pPr>
              <w:pStyle w:val="TableText0"/>
              <w:keepNext w:val="0"/>
              <w:widowControl w:val="0"/>
              <w:jc w:val="center"/>
              <w:rPr>
                <w:rFonts w:cs="Arial"/>
              </w:rPr>
            </w:pPr>
            <w:r w:rsidRPr="00331137">
              <w:rPr>
                <w:b/>
              </w:rPr>
              <w:t xml:space="preserve">5.74 </w:t>
            </w:r>
            <w:r>
              <w:rPr>
                <w:b/>
              </w:rPr>
              <w:br/>
            </w:r>
            <w:r w:rsidRPr="00331137">
              <w:rPr>
                <w:b/>
              </w:rPr>
              <w:t>(0.35;11.12)</w:t>
            </w:r>
          </w:p>
        </w:tc>
        <w:tc>
          <w:tcPr>
            <w:tcW w:w="509" w:type="pct"/>
          </w:tcPr>
          <w:p w14:paraId="5B9D29E2" w14:textId="77777777" w:rsidR="00EE52E1" w:rsidRPr="00AA756E" w:rsidRDefault="00EE52E1" w:rsidP="00EE52E1">
            <w:pPr>
              <w:pStyle w:val="TableText0"/>
              <w:keepNext w:val="0"/>
              <w:widowControl w:val="0"/>
              <w:jc w:val="center"/>
              <w:rPr>
                <w:rFonts w:cs="Arial"/>
              </w:rPr>
            </w:pPr>
            <w:r w:rsidRPr="00AA756E">
              <w:rPr>
                <w:rFonts w:cs="Arial"/>
              </w:rPr>
              <w:t xml:space="preserve">65.0 </w:t>
            </w:r>
            <w:r>
              <w:rPr>
                <w:rFonts w:cs="Arial"/>
              </w:rPr>
              <w:br/>
            </w:r>
            <w:r w:rsidRPr="00AA756E">
              <w:rPr>
                <w:rFonts w:cs="Arial"/>
              </w:rPr>
              <w:t>(17.6)</w:t>
            </w:r>
          </w:p>
        </w:tc>
        <w:tc>
          <w:tcPr>
            <w:tcW w:w="625" w:type="pct"/>
          </w:tcPr>
          <w:p w14:paraId="375C9706" w14:textId="77777777" w:rsidR="00EE52E1" w:rsidRPr="00AA756E" w:rsidRDefault="00EE52E1" w:rsidP="00EE52E1">
            <w:pPr>
              <w:pStyle w:val="TableText0"/>
              <w:keepNext w:val="0"/>
              <w:widowControl w:val="0"/>
              <w:jc w:val="center"/>
              <w:rPr>
                <w:rFonts w:cs="Arial"/>
              </w:rPr>
            </w:pPr>
            <w:r w:rsidRPr="00AA756E">
              <w:rPr>
                <w:rFonts w:cs="Arial"/>
              </w:rPr>
              <w:t xml:space="preserve">77.5 </w:t>
            </w:r>
            <w:r>
              <w:rPr>
                <w:rFonts w:cs="Arial"/>
              </w:rPr>
              <w:br/>
            </w:r>
            <w:r w:rsidRPr="00AA756E">
              <w:rPr>
                <w:rFonts w:cs="Arial"/>
              </w:rPr>
              <w:t>(16.2)</w:t>
            </w:r>
          </w:p>
        </w:tc>
        <w:tc>
          <w:tcPr>
            <w:tcW w:w="771" w:type="pct"/>
          </w:tcPr>
          <w:p w14:paraId="761A8570" w14:textId="77777777" w:rsidR="00EE52E1" w:rsidRPr="006C7F5E" w:rsidRDefault="00EE52E1" w:rsidP="00EE52E1">
            <w:pPr>
              <w:pStyle w:val="TableText0"/>
              <w:keepNext w:val="0"/>
              <w:widowControl w:val="0"/>
              <w:jc w:val="center"/>
              <w:rPr>
                <w:rFonts w:cs="Arial"/>
                <w:b/>
                <w:bCs/>
              </w:rPr>
            </w:pPr>
            <w:r w:rsidRPr="006C7F5E">
              <w:rPr>
                <w:rFonts w:cs="Arial"/>
                <w:b/>
                <w:bCs/>
              </w:rPr>
              <w:t>12.5</w:t>
            </w:r>
            <w:r>
              <w:rPr>
                <w:rFonts w:cs="Arial"/>
                <w:b/>
                <w:bCs/>
              </w:rPr>
              <w:t xml:space="preserve"> </w:t>
            </w:r>
            <w:r>
              <w:rPr>
                <w:rFonts w:cs="Arial"/>
                <w:b/>
                <w:bCs/>
              </w:rPr>
              <w:br/>
            </w:r>
            <w:r w:rsidRPr="00494FC6">
              <w:rPr>
                <w:rFonts w:cs="Arial"/>
                <w:b/>
                <w:bCs/>
                <w:i/>
                <w:iCs/>
                <w:color w:val="1F497D" w:themeColor="text2"/>
              </w:rPr>
              <w:t>(6.4;18.6)</w:t>
            </w:r>
            <w:r w:rsidRPr="00331137">
              <w:rPr>
                <w:b/>
              </w:rPr>
              <w:t xml:space="preserve"> *</w:t>
            </w:r>
          </w:p>
        </w:tc>
        <w:tc>
          <w:tcPr>
            <w:tcW w:w="478" w:type="pct"/>
          </w:tcPr>
          <w:p w14:paraId="727E05BB" w14:textId="77777777" w:rsidR="00EE52E1" w:rsidRDefault="00EE52E1" w:rsidP="00EE52E1">
            <w:pPr>
              <w:pStyle w:val="TableText0"/>
              <w:keepNext w:val="0"/>
              <w:widowControl w:val="0"/>
              <w:jc w:val="center"/>
              <w:rPr>
                <w:rFonts w:cs="Arial"/>
              </w:rPr>
            </w:pPr>
            <w:r>
              <w:rPr>
                <w:rFonts w:cs="Arial"/>
              </w:rPr>
              <w:t xml:space="preserve">77.4 </w:t>
            </w:r>
            <w:r>
              <w:rPr>
                <w:rFonts w:cs="Arial"/>
              </w:rPr>
              <w:br/>
              <w:t>(18.3)</w:t>
            </w:r>
          </w:p>
        </w:tc>
      </w:tr>
      <w:tr w:rsidR="00EE52E1" w:rsidRPr="00331137" w14:paraId="08EA3FA4" w14:textId="77777777" w:rsidTr="0036773E">
        <w:trPr>
          <w:trHeight w:val="17"/>
        </w:trPr>
        <w:tc>
          <w:tcPr>
            <w:tcW w:w="624" w:type="pct"/>
          </w:tcPr>
          <w:p w14:paraId="3918B01E" w14:textId="77777777" w:rsidR="00EE52E1" w:rsidRPr="00331137" w:rsidRDefault="00EE52E1" w:rsidP="00EE52E1">
            <w:pPr>
              <w:pStyle w:val="TableText0"/>
              <w:keepNext w:val="0"/>
              <w:widowControl w:val="0"/>
              <w:jc w:val="left"/>
            </w:pPr>
            <w:r>
              <w:t>PCS</w:t>
            </w:r>
          </w:p>
        </w:tc>
        <w:tc>
          <w:tcPr>
            <w:tcW w:w="563" w:type="pct"/>
          </w:tcPr>
          <w:p w14:paraId="03294A2A" w14:textId="77777777" w:rsidR="00EE52E1" w:rsidRDefault="00EE52E1" w:rsidP="00EE52E1">
            <w:pPr>
              <w:pStyle w:val="TableText0"/>
              <w:keepNext w:val="0"/>
              <w:widowControl w:val="0"/>
              <w:jc w:val="center"/>
              <w:rPr>
                <w:rFonts w:cs="Arial"/>
              </w:rPr>
            </w:pPr>
            <w:r w:rsidRPr="00331137">
              <w:t xml:space="preserve">47.88 </w:t>
            </w:r>
            <w:r>
              <w:br/>
            </w:r>
            <w:r w:rsidRPr="00331137">
              <w:t>(11.71)</w:t>
            </w:r>
          </w:p>
        </w:tc>
        <w:tc>
          <w:tcPr>
            <w:tcW w:w="636" w:type="pct"/>
          </w:tcPr>
          <w:p w14:paraId="620EE9E0" w14:textId="77777777" w:rsidR="00EE52E1" w:rsidRPr="00AA756E" w:rsidRDefault="00EE52E1" w:rsidP="00EE52E1">
            <w:pPr>
              <w:pStyle w:val="TableText0"/>
              <w:keepNext w:val="0"/>
              <w:widowControl w:val="0"/>
              <w:jc w:val="center"/>
              <w:rPr>
                <w:rFonts w:cs="Arial"/>
              </w:rPr>
            </w:pPr>
            <w:r w:rsidRPr="00331137">
              <w:t xml:space="preserve">55.12 </w:t>
            </w:r>
            <w:r>
              <w:br/>
            </w:r>
            <w:r w:rsidRPr="00331137">
              <w:t>(12.88)</w:t>
            </w:r>
          </w:p>
        </w:tc>
        <w:tc>
          <w:tcPr>
            <w:tcW w:w="793" w:type="pct"/>
          </w:tcPr>
          <w:p w14:paraId="712F0E31" w14:textId="77777777" w:rsidR="00EE52E1" w:rsidRPr="00AA756E" w:rsidRDefault="00EE52E1" w:rsidP="00EE52E1">
            <w:pPr>
              <w:pStyle w:val="TableText0"/>
              <w:keepNext w:val="0"/>
              <w:widowControl w:val="0"/>
              <w:jc w:val="center"/>
              <w:rPr>
                <w:rFonts w:cs="Arial"/>
              </w:rPr>
            </w:pPr>
            <w:r w:rsidRPr="00331137">
              <w:rPr>
                <w:b/>
              </w:rPr>
              <w:t xml:space="preserve">7.31 </w:t>
            </w:r>
            <w:r>
              <w:rPr>
                <w:b/>
              </w:rPr>
              <w:br/>
            </w:r>
            <w:r w:rsidRPr="00331137">
              <w:rPr>
                <w:b/>
              </w:rPr>
              <w:t>(4.49;10.13)</w:t>
            </w:r>
          </w:p>
        </w:tc>
        <w:tc>
          <w:tcPr>
            <w:tcW w:w="509" w:type="pct"/>
          </w:tcPr>
          <w:p w14:paraId="35405A26" w14:textId="77777777" w:rsidR="00EE52E1" w:rsidRPr="00AA756E" w:rsidRDefault="00EE52E1" w:rsidP="00EE52E1">
            <w:pPr>
              <w:pStyle w:val="TableText0"/>
              <w:keepNext w:val="0"/>
              <w:widowControl w:val="0"/>
              <w:jc w:val="center"/>
              <w:rPr>
                <w:rFonts w:cs="Arial"/>
              </w:rPr>
            </w:pPr>
            <w:r>
              <w:rPr>
                <w:rFonts w:cs="Arial"/>
              </w:rPr>
              <w:t>NR</w:t>
            </w:r>
          </w:p>
        </w:tc>
        <w:tc>
          <w:tcPr>
            <w:tcW w:w="625" w:type="pct"/>
          </w:tcPr>
          <w:p w14:paraId="00CF3076" w14:textId="77777777" w:rsidR="00EE52E1" w:rsidRPr="00AA756E" w:rsidRDefault="00EE52E1" w:rsidP="00EE52E1">
            <w:pPr>
              <w:pStyle w:val="TableText0"/>
              <w:keepNext w:val="0"/>
              <w:widowControl w:val="0"/>
              <w:jc w:val="center"/>
              <w:rPr>
                <w:rFonts w:cs="Arial"/>
              </w:rPr>
            </w:pPr>
            <w:r>
              <w:rPr>
                <w:rFonts w:cs="Arial"/>
              </w:rPr>
              <w:t>NR</w:t>
            </w:r>
          </w:p>
        </w:tc>
        <w:tc>
          <w:tcPr>
            <w:tcW w:w="771" w:type="pct"/>
          </w:tcPr>
          <w:p w14:paraId="2782CB60" w14:textId="77777777" w:rsidR="00EE52E1" w:rsidRPr="00D113E8" w:rsidRDefault="00EE52E1" w:rsidP="00EE52E1">
            <w:pPr>
              <w:pStyle w:val="TableText0"/>
              <w:keepNext w:val="0"/>
              <w:widowControl w:val="0"/>
              <w:jc w:val="center"/>
              <w:rPr>
                <w:rFonts w:cs="Arial"/>
              </w:rPr>
            </w:pPr>
            <w:r w:rsidRPr="00D113E8">
              <w:rPr>
                <w:rFonts w:cs="Arial"/>
              </w:rPr>
              <w:t>NR</w:t>
            </w:r>
          </w:p>
        </w:tc>
        <w:tc>
          <w:tcPr>
            <w:tcW w:w="478" w:type="pct"/>
          </w:tcPr>
          <w:p w14:paraId="5FC0F7AB" w14:textId="77777777" w:rsidR="00EE52E1" w:rsidRDefault="00EE52E1" w:rsidP="00EE52E1">
            <w:pPr>
              <w:pStyle w:val="TableText0"/>
              <w:keepNext w:val="0"/>
              <w:widowControl w:val="0"/>
              <w:jc w:val="center"/>
              <w:rPr>
                <w:rFonts w:cs="Arial"/>
              </w:rPr>
            </w:pPr>
            <w:r>
              <w:rPr>
                <w:rFonts w:cs="Arial"/>
              </w:rPr>
              <w:t>NR</w:t>
            </w:r>
          </w:p>
        </w:tc>
      </w:tr>
      <w:tr w:rsidR="00EE52E1" w:rsidRPr="00331137" w14:paraId="06A91FA5" w14:textId="77777777" w:rsidTr="0036773E">
        <w:trPr>
          <w:trHeight w:val="17"/>
        </w:trPr>
        <w:tc>
          <w:tcPr>
            <w:tcW w:w="624" w:type="pct"/>
          </w:tcPr>
          <w:p w14:paraId="1D983093" w14:textId="77777777" w:rsidR="00EE52E1" w:rsidRPr="00331137" w:rsidRDefault="00EE52E1" w:rsidP="00EE52E1">
            <w:pPr>
              <w:pStyle w:val="TableText0"/>
              <w:keepNext w:val="0"/>
              <w:widowControl w:val="0"/>
              <w:jc w:val="left"/>
            </w:pPr>
            <w:r>
              <w:t>MCS</w:t>
            </w:r>
          </w:p>
        </w:tc>
        <w:tc>
          <w:tcPr>
            <w:tcW w:w="563" w:type="pct"/>
          </w:tcPr>
          <w:p w14:paraId="728C4181" w14:textId="77777777" w:rsidR="00EE52E1" w:rsidRDefault="00EE52E1" w:rsidP="00EE52E1">
            <w:pPr>
              <w:pStyle w:val="TableText0"/>
              <w:keepNext w:val="0"/>
              <w:widowControl w:val="0"/>
              <w:jc w:val="center"/>
              <w:rPr>
                <w:rFonts w:cs="Arial"/>
              </w:rPr>
            </w:pPr>
            <w:r w:rsidRPr="00331137">
              <w:t xml:space="preserve">42.06 </w:t>
            </w:r>
            <w:r>
              <w:br/>
            </w:r>
            <w:r w:rsidRPr="00331137">
              <w:t>(13.96)</w:t>
            </w:r>
          </w:p>
        </w:tc>
        <w:tc>
          <w:tcPr>
            <w:tcW w:w="636" w:type="pct"/>
          </w:tcPr>
          <w:p w14:paraId="09B9E45B" w14:textId="77777777" w:rsidR="00EE52E1" w:rsidRPr="00AA756E" w:rsidRDefault="00EE52E1" w:rsidP="00EE52E1">
            <w:pPr>
              <w:pStyle w:val="TableText0"/>
              <w:keepNext w:val="0"/>
              <w:widowControl w:val="0"/>
              <w:jc w:val="center"/>
              <w:rPr>
                <w:rFonts w:cs="Arial"/>
              </w:rPr>
            </w:pPr>
            <w:r w:rsidRPr="00331137">
              <w:t xml:space="preserve">47.08 </w:t>
            </w:r>
            <w:r>
              <w:br/>
            </w:r>
            <w:r w:rsidRPr="00331137">
              <w:t>(0.122)</w:t>
            </w:r>
          </w:p>
        </w:tc>
        <w:tc>
          <w:tcPr>
            <w:tcW w:w="793" w:type="pct"/>
          </w:tcPr>
          <w:p w14:paraId="3B7A3F84" w14:textId="77777777" w:rsidR="00EE52E1" w:rsidRPr="00AA756E" w:rsidRDefault="00EE52E1" w:rsidP="00EE52E1">
            <w:pPr>
              <w:pStyle w:val="TableText0"/>
              <w:keepNext w:val="0"/>
              <w:widowControl w:val="0"/>
              <w:jc w:val="center"/>
              <w:rPr>
                <w:rFonts w:cs="Arial"/>
              </w:rPr>
            </w:pPr>
            <w:r w:rsidRPr="00331137">
              <w:rPr>
                <w:b/>
              </w:rPr>
              <w:t xml:space="preserve">5.44 </w:t>
            </w:r>
            <w:r>
              <w:rPr>
                <w:b/>
              </w:rPr>
              <w:br/>
            </w:r>
            <w:r w:rsidRPr="00331137">
              <w:rPr>
                <w:b/>
              </w:rPr>
              <w:t>(1.13;9.76)</w:t>
            </w:r>
          </w:p>
        </w:tc>
        <w:tc>
          <w:tcPr>
            <w:tcW w:w="509" w:type="pct"/>
          </w:tcPr>
          <w:p w14:paraId="5BE3773B" w14:textId="77777777" w:rsidR="00EE52E1" w:rsidRPr="00AA756E" w:rsidRDefault="00EE52E1" w:rsidP="00EE52E1">
            <w:pPr>
              <w:pStyle w:val="TableText0"/>
              <w:keepNext w:val="0"/>
              <w:widowControl w:val="0"/>
              <w:jc w:val="center"/>
              <w:rPr>
                <w:rFonts w:cs="Arial"/>
              </w:rPr>
            </w:pPr>
            <w:r>
              <w:rPr>
                <w:rFonts w:cs="Arial"/>
              </w:rPr>
              <w:t>NR</w:t>
            </w:r>
          </w:p>
        </w:tc>
        <w:tc>
          <w:tcPr>
            <w:tcW w:w="625" w:type="pct"/>
          </w:tcPr>
          <w:p w14:paraId="4061E8D4" w14:textId="77777777" w:rsidR="00EE52E1" w:rsidRPr="00AA756E" w:rsidRDefault="00EE52E1" w:rsidP="00EE52E1">
            <w:pPr>
              <w:pStyle w:val="TableText0"/>
              <w:keepNext w:val="0"/>
              <w:widowControl w:val="0"/>
              <w:jc w:val="center"/>
              <w:rPr>
                <w:rFonts w:cs="Arial"/>
              </w:rPr>
            </w:pPr>
            <w:r>
              <w:rPr>
                <w:rFonts w:cs="Arial"/>
              </w:rPr>
              <w:t>NR</w:t>
            </w:r>
          </w:p>
        </w:tc>
        <w:tc>
          <w:tcPr>
            <w:tcW w:w="771" w:type="pct"/>
          </w:tcPr>
          <w:p w14:paraId="072DD10E" w14:textId="77777777" w:rsidR="00EE52E1" w:rsidRPr="006C7F5E" w:rsidRDefault="00EE52E1" w:rsidP="00EE52E1">
            <w:pPr>
              <w:pStyle w:val="TableText0"/>
              <w:keepNext w:val="0"/>
              <w:widowControl w:val="0"/>
              <w:jc w:val="center"/>
              <w:rPr>
                <w:rFonts w:cs="Arial"/>
                <w:b/>
                <w:bCs/>
              </w:rPr>
            </w:pPr>
            <w:r>
              <w:rPr>
                <w:rFonts w:cs="Arial"/>
              </w:rPr>
              <w:t>NR</w:t>
            </w:r>
          </w:p>
        </w:tc>
        <w:tc>
          <w:tcPr>
            <w:tcW w:w="478" w:type="pct"/>
          </w:tcPr>
          <w:p w14:paraId="03B9B6DE" w14:textId="77777777" w:rsidR="00EE52E1" w:rsidRDefault="00EE52E1" w:rsidP="00EE52E1">
            <w:pPr>
              <w:pStyle w:val="TableText0"/>
              <w:keepNext w:val="0"/>
              <w:widowControl w:val="0"/>
              <w:jc w:val="center"/>
              <w:rPr>
                <w:rFonts w:cs="Arial"/>
              </w:rPr>
            </w:pPr>
            <w:r>
              <w:rPr>
                <w:rFonts w:cs="Arial"/>
              </w:rPr>
              <w:t>NR</w:t>
            </w:r>
          </w:p>
        </w:tc>
      </w:tr>
    </w:tbl>
    <w:p w14:paraId="212FAAE0" w14:textId="76651402" w:rsidR="00EE52E1" w:rsidRDefault="00EE52E1" w:rsidP="00EE52E1">
      <w:pPr>
        <w:pStyle w:val="TableFooter"/>
      </w:pPr>
      <w:r>
        <w:t xml:space="preserve">Source: Adapted from ADAR Table 19 (p.67) and DCAR Table Att.F83 (p.117). Australian normative value: </w:t>
      </w:r>
      <w:r>
        <w:rPr>
          <w:noProof/>
        </w:rPr>
        <w:t>(Marin 2009)</w:t>
      </w:r>
      <w:r>
        <w:t xml:space="preserve">; Olsson trial: Table S1 (p. 8) of Supplement to </w:t>
      </w:r>
      <w:r>
        <w:rPr>
          <w:noProof/>
        </w:rPr>
        <w:t>(Olsson et al. 2019)</w:t>
      </w:r>
      <w:r w:rsidR="003A218A">
        <w:rPr>
          <w:noProof/>
        </w:rPr>
        <w:t xml:space="preserve"> </w:t>
      </w:r>
      <w:r w:rsidR="003A218A">
        <w:t xml:space="preserve">[Table 4, </w:t>
      </w:r>
      <w:r w:rsidR="003A218A" w:rsidRPr="009002AF">
        <w:t>pxv</w:t>
      </w:r>
      <w:r w:rsidR="003A218A">
        <w:t xml:space="preserve"> of the </w:t>
      </w:r>
      <w:r w:rsidR="00CC3E12">
        <w:t>c</w:t>
      </w:r>
      <w:r w:rsidR="003A218A">
        <w:t>ommentary]</w:t>
      </w:r>
    </w:p>
    <w:p w14:paraId="3CBB141D" w14:textId="77777777" w:rsidR="00EE52E1" w:rsidRDefault="00EE52E1" w:rsidP="009555C2">
      <w:pPr>
        <w:pStyle w:val="Tablenotes"/>
      </w:pPr>
      <w:r w:rsidRPr="00331137">
        <w:t xml:space="preserve">CI = confidence interval; MCS = mental components summary score; </w:t>
      </w:r>
      <w:r>
        <w:t xml:space="preserve">NR = not reported; </w:t>
      </w:r>
      <w:r w:rsidRPr="00331137">
        <w:t>PCS = physical components summary score</w:t>
      </w:r>
      <w:r>
        <w:t>; SD = standard deviation; SF-36 = 36-item Short Form health survey</w:t>
      </w:r>
    </w:p>
    <w:p w14:paraId="0250805B" w14:textId="1D735D9B" w:rsidR="00F53F1A" w:rsidRDefault="00EE52E1" w:rsidP="005D5523">
      <w:pPr>
        <w:pStyle w:val="TableFooter"/>
      </w:pPr>
      <w:r w:rsidRPr="00331137">
        <w:rPr>
          <w:b/>
        </w:rPr>
        <w:t xml:space="preserve">Bold </w:t>
      </w:r>
      <w:r w:rsidRPr="00331137">
        <w:t>=</w:t>
      </w:r>
      <w:r>
        <w:t xml:space="preserve"> </w:t>
      </w:r>
      <w:r w:rsidRPr="00331137">
        <w:t xml:space="preserve">statistically significant at </w:t>
      </w:r>
      <w:r>
        <w:t>P</w:t>
      </w:r>
      <w:r w:rsidRPr="00331137">
        <w:t xml:space="preserve">-value&lt;0.05; </w:t>
      </w:r>
      <w:r>
        <w:t>* clinically meaningful change based on MCID threshold of 8</w:t>
      </w:r>
    </w:p>
    <w:p w14:paraId="6DDAC997" w14:textId="5CEFDCC6" w:rsidR="00F53F1A" w:rsidRPr="005D5523" w:rsidRDefault="00F53F1A" w:rsidP="00F53F1A">
      <w:pPr>
        <w:pStyle w:val="TableFooter"/>
        <w:spacing w:after="360"/>
        <w:rPr>
          <w:i/>
        </w:rPr>
      </w:pPr>
      <w:r w:rsidRPr="005D5523">
        <w:rPr>
          <w:i/>
          <w:vertAlign w:val="superscript"/>
        </w:rPr>
        <w:t xml:space="preserve">a </w:t>
      </w:r>
      <w:r w:rsidRPr="005D5523">
        <w:rPr>
          <w:i/>
        </w:rPr>
        <w:t xml:space="preserve">Note </w:t>
      </w:r>
      <w:r w:rsidR="0059035A" w:rsidRPr="005D5523">
        <w:rPr>
          <w:i/>
        </w:rPr>
        <w:t xml:space="preserve">these </w:t>
      </w:r>
      <w:r w:rsidR="0059035A">
        <w:rPr>
          <w:i/>
        </w:rPr>
        <w:t xml:space="preserve">Australian normative </w:t>
      </w:r>
      <w:r w:rsidR="0059035A" w:rsidRPr="005D5523">
        <w:rPr>
          <w:i/>
        </w:rPr>
        <w:t xml:space="preserve">values are population norms rather than </w:t>
      </w:r>
      <w:r w:rsidR="0059035A" w:rsidRPr="0059035A">
        <w:rPr>
          <w:i/>
        </w:rPr>
        <w:t>normative values specific to women with a similar age range</w:t>
      </w:r>
    </w:p>
    <w:p w14:paraId="11DBC8C4" w14:textId="5638D918" w:rsidR="00EE52E1" w:rsidRDefault="00EE52E1" w:rsidP="00EE52E1">
      <w:pPr>
        <w:pStyle w:val="Heading2"/>
      </w:pPr>
      <w:r>
        <w:t>Abdominal wall muscle strength</w:t>
      </w:r>
    </w:p>
    <w:p w14:paraId="3E6B9500" w14:textId="05C6598E" w:rsidR="00180202" w:rsidRPr="009555C2" w:rsidRDefault="00EE52E1" w:rsidP="009555C2">
      <w:r>
        <w:t xml:space="preserve">The Disability Rating Index (DRI) is a measure of overall physical disability and is not specific to abdominal wall muscle strength. It was used to measure patient-reported abdominal wall muscle strength in the </w:t>
      </w:r>
      <w:r>
        <w:rPr>
          <w:noProof/>
        </w:rPr>
        <w:t>Olsson (2019)</w:t>
      </w:r>
      <w:r>
        <w:t xml:space="preserve"> study (</w:t>
      </w:r>
      <w:r w:rsidR="00180202">
        <w:t>Table 6</w:t>
      </w:r>
      <w:r>
        <w:t>).</w:t>
      </w:r>
      <w:bookmarkStart w:id="6" w:name="_Ref69402934"/>
      <w:r w:rsidR="00180202">
        <w:br w:type="page"/>
      </w:r>
    </w:p>
    <w:p w14:paraId="35031C15" w14:textId="6152BEB8" w:rsidR="00EE52E1" w:rsidRDefault="00EE52E1" w:rsidP="00EE52E1">
      <w:pPr>
        <w:pStyle w:val="Caption"/>
      </w:pPr>
      <w:r>
        <w:lastRenderedPageBreak/>
        <w:t>Table</w:t>
      </w:r>
      <w:bookmarkEnd w:id="6"/>
      <w:r w:rsidR="00180202">
        <w:t xml:space="preserve"> 6</w:t>
      </w:r>
      <w:r>
        <w:tab/>
        <w:t xml:space="preserve">Disability Rating Index results at baseline and 1-year post-surgery reported in Olsson </w:t>
      </w:r>
      <w:r w:rsidR="001D0D5C">
        <w:t>(</w:t>
      </w:r>
      <w:r>
        <w:t>2019</w:t>
      </w:r>
      <w:r w:rsidR="001D0D5C">
        <w:t>)</w:t>
      </w:r>
      <w:r>
        <w:t xml:space="preserve"> study</w:t>
      </w:r>
    </w:p>
    <w:tbl>
      <w:tblPr>
        <w:tblStyle w:val="TableGrid"/>
        <w:tblW w:w="5000" w:type="pct"/>
        <w:tblLayout w:type="fixed"/>
        <w:tblLook w:val="04A0" w:firstRow="1" w:lastRow="0" w:firstColumn="1" w:lastColumn="0" w:noHBand="0" w:noVBand="1"/>
        <w:tblCaption w:val="Disability Rating Index results at baseline and 1-year post-surgery reported in Olsson 2019 study"/>
        <w:tblDescription w:val="The table includes the specific DRI at baseline and one year post surgery. The P values are also given for each specific DRI."/>
      </w:tblPr>
      <w:tblGrid>
        <w:gridCol w:w="4873"/>
        <w:gridCol w:w="1444"/>
        <w:gridCol w:w="1758"/>
        <w:gridCol w:w="941"/>
      </w:tblGrid>
      <w:tr w:rsidR="00EE52E1" w:rsidRPr="00273F92" w14:paraId="2ED71959" w14:textId="77777777" w:rsidTr="005F6B7E">
        <w:trPr>
          <w:trHeight w:val="300"/>
          <w:tblHeader/>
        </w:trPr>
        <w:tc>
          <w:tcPr>
            <w:tcW w:w="2702" w:type="pct"/>
            <w:noWrap/>
            <w:hideMark/>
          </w:tcPr>
          <w:p w14:paraId="53593462" w14:textId="77777777" w:rsidR="00EE52E1" w:rsidRPr="00483FBC" w:rsidRDefault="00EE52E1" w:rsidP="0036773E">
            <w:pPr>
              <w:pStyle w:val="Tabletext"/>
              <w:rPr>
                <w:b/>
                <w:bCs/>
              </w:rPr>
            </w:pPr>
          </w:p>
        </w:tc>
        <w:tc>
          <w:tcPr>
            <w:tcW w:w="801" w:type="pct"/>
            <w:noWrap/>
            <w:hideMark/>
          </w:tcPr>
          <w:p w14:paraId="203B7CE1" w14:textId="77777777" w:rsidR="00EE52E1" w:rsidRDefault="00EE52E1" w:rsidP="0036773E">
            <w:pPr>
              <w:pStyle w:val="Tabletext"/>
              <w:jc w:val="center"/>
              <w:rPr>
                <w:b/>
                <w:bCs/>
              </w:rPr>
            </w:pPr>
            <w:r w:rsidRPr="00483FBC">
              <w:rPr>
                <w:b/>
                <w:bCs/>
              </w:rPr>
              <w:t xml:space="preserve">At baseline </w:t>
            </w:r>
          </w:p>
          <w:p w14:paraId="25327F15" w14:textId="77777777" w:rsidR="00EE52E1" w:rsidRPr="00483FBC" w:rsidRDefault="00EE52E1" w:rsidP="0036773E">
            <w:pPr>
              <w:pStyle w:val="Tabletext"/>
              <w:jc w:val="center"/>
              <w:rPr>
                <w:b/>
                <w:bCs/>
              </w:rPr>
            </w:pPr>
            <w:r w:rsidRPr="00483FBC">
              <w:rPr>
                <w:b/>
                <w:bCs/>
              </w:rPr>
              <w:t>(</w:t>
            </w:r>
            <w:r>
              <w:rPr>
                <w:b/>
                <w:bCs/>
              </w:rPr>
              <w:t>N</w:t>
            </w:r>
            <w:r w:rsidRPr="00483FBC">
              <w:rPr>
                <w:b/>
                <w:bCs/>
              </w:rPr>
              <w:t xml:space="preserve"> = 60)</w:t>
            </w:r>
          </w:p>
        </w:tc>
        <w:tc>
          <w:tcPr>
            <w:tcW w:w="975" w:type="pct"/>
            <w:noWrap/>
            <w:hideMark/>
          </w:tcPr>
          <w:p w14:paraId="1D421D13" w14:textId="77777777" w:rsidR="00EE52E1" w:rsidRDefault="00EE52E1" w:rsidP="0036773E">
            <w:pPr>
              <w:pStyle w:val="Tabletext"/>
              <w:jc w:val="center"/>
              <w:rPr>
                <w:b/>
                <w:bCs/>
              </w:rPr>
            </w:pPr>
            <w:r w:rsidRPr="00483FBC">
              <w:rPr>
                <w:b/>
                <w:bCs/>
              </w:rPr>
              <w:t>At 1 year post</w:t>
            </w:r>
            <w:r>
              <w:rPr>
                <w:b/>
                <w:bCs/>
              </w:rPr>
              <w:t xml:space="preserve"> surgery </w:t>
            </w:r>
          </w:p>
          <w:p w14:paraId="0C623095" w14:textId="77777777" w:rsidR="00EE52E1" w:rsidRPr="00483FBC" w:rsidRDefault="00EE52E1" w:rsidP="0036773E">
            <w:pPr>
              <w:pStyle w:val="Tabletext"/>
              <w:jc w:val="center"/>
              <w:rPr>
                <w:b/>
                <w:bCs/>
              </w:rPr>
            </w:pPr>
            <w:r>
              <w:rPr>
                <w:b/>
                <w:bCs/>
              </w:rPr>
              <w:t xml:space="preserve">(N = </w:t>
            </w:r>
            <w:r w:rsidRPr="000A163C">
              <w:rPr>
                <w:b/>
                <w:bCs/>
                <w:strike/>
              </w:rPr>
              <w:t>60</w:t>
            </w:r>
            <w:r>
              <w:rPr>
                <w:b/>
                <w:bCs/>
              </w:rPr>
              <w:t xml:space="preserve"> </w:t>
            </w:r>
            <w:r w:rsidRPr="000A163C">
              <w:rPr>
                <w:b/>
                <w:bCs/>
                <w:i/>
                <w:iCs/>
                <w:color w:val="1F497D" w:themeColor="text2"/>
              </w:rPr>
              <w:t>56</w:t>
            </w:r>
            <w:r>
              <w:rPr>
                <w:b/>
                <w:bCs/>
              </w:rPr>
              <w:t>)</w:t>
            </w:r>
          </w:p>
        </w:tc>
        <w:tc>
          <w:tcPr>
            <w:tcW w:w="522" w:type="pct"/>
            <w:noWrap/>
            <w:hideMark/>
          </w:tcPr>
          <w:p w14:paraId="2DEE6CF7" w14:textId="77777777" w:rsidR="00EE52E1" w:rsidRPr="00483FBC" w:rsidRDefault="00EE52E1" w:rsidP="0036773E">
            <w:pPr>
              <w:pStyle w:val="Tabletext"/>
              <w:jc w:val="center"/>
              <w:rPr>
                <w:b/>
                <w:bCs/>
              </w:rPr>
            </w:pPr>
            <w:r w:rsidRPr="00483FBC">
              <w:rPr>
                <w:b/>
                <w:bCs/>
              </w:rPr>
              <w:t>P</w:t>
            </w:r>
            <w:r>
              <w:rPr>
                <w:b/>
                <w:bCs/>
              </w:rPr>
              <w:t>-value</w:t>
            </w:r>
          </w:p>
        </w:tc>
      </w:tr>
      <w:tr w:rsidR="00EE52E1" w:rsidRPr="00273F92" w14:paraId="4B4F1073" w14:textId="77777777" w:rsidTr="005F6B7E">
        <w:trPr>
          <w:trHeight w:val="300"/>
          <w:tblHeader/>
        </w:trPr>
        <w:tc>
          <w:tcPr>
            <w:tcW w:w="2702" w:type="pct"/>
            <w:noWrap/>
            <w:hideMark/>
          </w:tcPr>
          <w:p w14:paraId="0CF4281A" w14:textId="77777777" w:rsidR="00EE52E1" w:rsidRPr="006F02E1" w:rsidRDefault="00EE52E1" w:rsidP="0036773E">
            <w:pPr>
              <w:pStyle w:val="Tabletext"/>
              <w:rPr>
                <w:b/>
                <w:bCs/>
              </w:rPr>
            </w:pPr>
            <w:r w:rsidRPr="006F02E1">
              <w:rPr>
                <w:b/>
                <w:bCs/>
              </w:rPr>
              <w:t>Specific DRI (0–100 points), median (range)</w:t>
            </w:r>
          </w:p>
        </w:tc>
        <w:tc>
          <w:tcPr>
            <w:tcW w:w="801" w:type="pct"/>
            <w:noWrap/>
            <w:hideMark/>
          </w:tcPr>
          <w:p w14:paraId="0DB32CD7" w14:textId="77777777" w:rsidR="00EE52E1" w:rsidRPr="006F02E1" w:rsidRDefault="00EE52E1" w:rsidP="0036773E">
            <w:pPr>
              <w:pStyle w:val="Tabletext"/>
              <w:jc w:val="center"/>
              <w:rPr>
                <w:b/>
                <w:bCs/>
              </w:rPr>
            </w:pPr>
          </w:p>
        </w:tc>
        <w:tc>
          <w:tcPr>
            <w:tcW w:w="975" w:type="pct"/>
            <w:noWrap/>
            <w:hideMark/>
          </w:tcPr>
          <w:p w14:paraId="2DCBDAD8" w14:textId="77777777" w:rsidR="00EE52E1" w:rsidRPr="006F02E1" w:rsidRDefault="00EE52E1" w:rsidP="0036773E">
            <w:pPr>
              <w:pStyle w:val="Tabletext"/>
              <w:jc w:val="center"/>
              <w:rPr>
                <w:b/>
                <w:bCs/>
              </w:rPr>
            </w:pPr>
          </w:p>
        </w:tc>
        <w:tc>
          <w:tcPr>
            <w:tcW w:w="522" w:type="pct"/>
            <w:noWrap/>
            <w:hideMark/>
          </w:tcPr>
          <w:p w14:paraId="009766CA" w14:textId="77777777" w:rsidR="00EE52E1" w:rsidRPr="006F02E1" w:rsidRDefault="00EE52E1" w:rsidP="0036773E">
            <w:pPr>
              <w:pStyle w:val="Tabletext"/>
              <w:jc w:val="center"/>
              <w:rPr>
                <w:b/>
                <w:bCs/>
              </w:rPr>
            </w:pPr>
          </w:p>
        </w:tc>
      </w:tr>
      <w:tr w:rsidR="00EE52E1" w:rsidRPr="00273F92" w14:paraId="4FD441B9" w14:textId="77777777" w:rsidTr="0036773E">
        <w:trPr>
          <w:trHeight w:val="300"/>
        </w:trPr>
        <w:tc>
          <w:tcPr>
            <w:tcW w:w="2702" w:type="pct"/>
            <w:noWrap/>
            <w:hideMark/>
          </w:tcPr>
          <w:p w14:paraId="3336E70B" w14:textId="77777777" w:rsidR="00EE52E1" w:rsidRPr="00273F92" w:rsidRDefault="00EE52E1" w:rsidP="0036773E">
            <w:pPr>
              <w:pStyle w:val="Tabletext"/>
              <w:ind w:left="567"/>
            </w:pPr>
            <w:r w:rsidRPr="00273F92">
              <w:t>Dressing</w:t>
            </w:r>
          </w:p>
        </w:tc>
        <w:tc>
          <w:tcPr>
            <w:tcW w:w="801" w:type="pct"/>
            <w:noWrap/>
            <w:hideMark/>
          </w:tcPr>
          <w:p w14:paraId="5C4A5913" w14:textId="77777777" w:rsidR="00EE52E1" w:rsidRPr="00273F92" w:rsidRDefault="00EE52E1" w:rsidP="0036773E">
            <w:pPr>
              <w:pStyle w:val="Tabletext"/>
              <w:jc w:val="center"/>
            </w:pPr>
            <w:r w:rsidRPr="00273F92">
              <w:t>1 (0</w:t>
            </w:r>
            <w:r w:rsidRPr="00273F92">
              <w:rPr>
                <w:rFonts w:ascii="Cambria Math" w:hAnsi="Cambria Math" w:cs="Cambria Math"/>
              </w:rPr>
              <w:t>⋅</w:t>
            </w:r>
            <w:r w:rsidRPr="00273F92">
              <w:t>0–7</w:t>
            </w:r>
            <w:r w:rsidRPr="00273F92">
              <w:rPr>
                <w:rFonts w:ascii="Cambria Math" w:hAnsi="Cambria Math" w:cs="Cambria Math"/>
              </w:rPr>
              <w:t>⋅</w:t>
            </w:r>
            <w:r w:rsidRPr="00273F92">
              <w:t>0)</w:t>
            </w:r>
          </w:p>
        </w:tc>
        <w:tc>
          <w:tcPr>
            <w:tcW w:w="975" w:type="pct"/>
            <w:noWrap/>
            <w:hideMark/>
          </w:tcPr>
          <w:p w14:paraId="2B482411" w14:textId="77777777" w:rsidR="00EE52E1" w:rsidRPr="00273F92" w:rsidRDefault="00EE52E1" w:rsidP="0036773E">
            <w:pPr>
              <w:pStyle w:val="Tabletext"/>
              <w:jc w:val="center"/>
            </w:pPr>
            <w:r w:rsidRPr="00273F92">
              <w:t>0 (0</w:t>
            </w:r>
            <w:r w:rsidRPr="00273F92">
              <w:rPr>
                <w:rFonts w:ascii="Cambria Math" w:hAnsi="Cambria Math" w:cs="Cambria Math"/>
              </w:rPr>
              <w:t>⋅</w:t>
            </w:r>
            <w:r w:rsidRPr="00273F92">
              <w:t>0–1</w:t>
            </w:r>
            <w:r w:rsidRPr="00273F92">
              <w:rPr>
                <w:rFonts w:ascii="Cambria Math" w:hAnsi="Cambria Math" w:cs="Cambria Math"/>
              </w:rPr>
              <w:t>⋅</w:t>
            </w:r>
            <w:r w:rsidRPr="00273F92">
              <w:t>0)</w:t>
            </w:r>
          </w:p>
        </w:tc>
        <w:tc>
          <w:tcPr>
            <w:tcW w:w="522" w:type="pct"/>
            <w:noWrap/>
            <w:hideMark/>
          </w:tcPr>
          <w:p w14:paraId="099C64D0" w14:textId="77777777" w:rsidR="00EE52E1" w:rsidRPr="00273F92" w:rsidRDefault="00EE52E1" w:rsidP="0036773E">
            <w:pPr>
              <w:pStyle w:val="Tabletext"/>
              <w:jc w:val="center"/>
            </w:pPr>
            <w:r w:rsidRPr="00273F92">
              <w:t>0</w:t>
            </w:r>
            <w:r w:rsidRPr="00273F92">
              <w:rPr>
                <w:rFonts w:ascii="Cambria Math" w:hAnsi="Cambria Math" w:cs="Cambria Math"/>
              </w:rPr>
              <w:t>⋅</w:t>
            </w:r>
            <w:r w:rsidRPr="00273F92">
              <w:t>006</w:t>
            </w:r>
          </w:p>
        </w:tc>
      </w:tr>
      <w:tr w:rsidR="00EE52E1" w:rsidRPr="00273F92" w14:paraId="4361C6ED" w14:textId="77777777" w:rsidTr="0036773E">
        <w:trPr>
          <w:trHeight w:val="300"/>
        </w:trPr>
        <w:tc>
          <w:tcPr>
            <w:tcW w:w="2702" w:type="pct"/>
            <w:noWrap/>
            <w:hideMark/>
          </w:tcPr>
          <w:p w14:paraId="1CEA3EF6" w14:textId="77777777" w:rsidR="00EE52E1" w:rsidRPr="00273F92" w:rsidRDefault="00EE52E1" w:rsidP="0036773E">
            <w:pPr>
              <w:pStyle w:val="Tabletext"/>
              <w:ind w:left="567"/>
            </w:pPr>
            <w:r w:rsidRPr="00273F92">
              <w:t>Outdoor walks</w:t>
            </w:r>
          </w:p>
        </w:tc>
        <w:tc>
          <w:tcPr>
            <w:tcW w:w="801" w:type="pct"/>
            <w:noWrap/>
            <w:hideMark/>
          </w:tcPr>
          <w:p w14:paraId="617E144B" w14:textId="77777777" w:rsidR="00EE52E1" w:rsidRPr="00273F92" w:rsidRDefault="00EE52E1" w:rsidP="0036773E">
            <w:pPr>
              <w:pStyle w:val="Tabletext"/>
              <w:jc w:val="center"/>
            </w:pPr>
            <w:r w:rsidRPr="00273F92">
              <w:t>4 (0</w:t>
            </w:r>
            <w:r w:rsidRPr="00273F92">
              <w:rPr>
                <w:rFonts w:ascii="Cambria Math" w:hAnsi="Cambria Math" w:cs="Cambria Math"/>
              </w:rPr>
              <w:t>⋅</w:t>
            </w:r>
            <w:r w:rsidRPr="00273F92">
              <w:t>0–9</w:t>
            </w:r>
            <w:r w:rsidRPr="00273F92">
              <w:rPr>
                <w:rFonts w:ascii="Cambria Math" w:hAnsi="Cambria Math" w:cs="Cambria Math"/>
              </w:rPr>
              <w:t>⋅</w:t>
            </w:r>
            <w:r w:rsidRPr="00273F92">
              <w:t>5)</w:t>
            </w:r>
          </w:p>
        </w:tc>
        <w:tc>
          <w:tcPr>
            <w:tcW w:w="975" w:type="pct"/>
            <w:noWrap/>
            <w:hideMark/>
          </w:tcPr>
          <w:p w14:paraId="3CDD728A" w14:textId="77777777" w:rsidR="00EE52E1" w:rsidRPr="00273F92" w:rsidRDefault="00EE52E1" w:rsidP="0036773E">
            <w:pPr>
              <w:pStyle w:val="Tabletext"/>
              <w:jc w:val="center"/>
            </w:pPr>
            <w:r w:rsidRPr="00273F92">
              <w:t>0 (0</w:t>
            </w:r>
            <w:r w:rsidRPr="00273F92">
              <w:rPr>
                <w:rFonts w:ascii="Cambria Math" w:hAnsi="Cambria Math" w:cs="Cambria Math"/>
              </w:rPr>
              <w:t>⋅</w:t>
            </w:r>
            <w:r w:rsidRPr="00273F92">
              <w:t>0–4</w:t>
            </w:r>
            <w:r w:rsidRPr="00273F92">
              <w:rPr>
                <w:rFonts w:ascii="Cambria Math" w:hAnsi="Cambria Math" w:cs="Cambria Math"/>
              </w:rPr>
              <w:t>⋅</w:t>
            </w:r>
            <w:r w:rsidRPr="00273F92">
              <w:t>4)</w:t>
            </w:r>
          </w:p>
        </w:tc>
        <w:tc>
          <w:tcPr>
            <w:tcW w:w="522" w:type="pct"/>
            <w:noWrap/>
            <w:hideMark/>
          </w:tcPr>
          <w:p w14:paraId="167FE430" w14:textId="77777777" w:rsidR="00EE52E1" w:rsidRPr="00273F92" w:rsidRDefault="00EE52E1" w:rsidP="0036773E">
            <w:pPr>
              <w:pStyle w:val="Tabletext"/>
              <w:jc w:val="center"/>
            </w:pPr>
            <w:r w:rsidRPr="00273F92">
              <w:t>&lt; 0</w:t>
            </w:r>
            <w:r w:rsidRPr="00273F92">
              <w:rPr>
                <w:rFonts w:ascii="Cambria Math" w:hAnsi="Cambria Math" w:cs="Cambria Math"/>
              </w:rPr>
              <w:t>⋅</w:t>
            </w:r>
            <w:r w:rsidRPr="00273F92">
              <w:t>001</w:t>
            </w:r>
          </w:p>
        </w:tc>
      </w:tr>
      <w:tr w:rsidR="00EE52E1" w:rsidRPr="00273F92" w14:paraId="7E61BD02" w14:textId="77777777" w:rsidTr="0036773E">
        <w:trPr>
          <w:trHeight w:val="300"/>
        </w:trPr>
        <w:tc>
          <w:tcPr>
            <w:tcW w:w="2702" w:type="pct"/>
            <w:noWrap/>
            <w:hideMark/>
          </w:tcPr>
          <w:p w14:paraId="19194280" w14:textId="77777777" w:rsidR="00EE52E1" w:rsidRPr="00273F92" w:rsidRDefault="00EE52E1" w:rsidP="0036773E">
            <w:pPr>
              <w:pStyle w:val="Tabletext"/>
              <w:ind w:left="567"/>
            </w:pPr>
            <w:r w:rsidRPr="00273F92">
              <w:t>Climbing stairs</w:t>
            </w:r>
          </w:p>
        </w:tc>
        <w:tc>
          <w:tcPr>
            <w:tcW w:w="801" w:type="pct"/>
            <w:noWrap/>
            <w:hideMark/>
          </w:tcPr>
          <w:p w14:paraId="7918D827" w14:textId="77777777" w:rsidR="00EE52E1" w:rsidRPr="00273F92" w:rsidRDefault="00EE52E1" w:rsidP="0036773E">
            <w:pPr>
              <w:pStyle w:val="Tabletext"/>
              <w:jc w:val="center"/>
            </w:pPr>
            <w:r w:rsidRPr="00273F92">
              <w:t>3 (0</w:t>
            </w:r>
            <w:r w:rsidRPr="00273F92">
              <w:rPr>
                <w:rFonts w:ascii="Cambria Math" w:hAnsi="Cambria Math" w:cs="Cambria Math"/>
              </w:rPr>
              <w:t>⋅</w:t>
            </w:r>
            <w:r w:rsidRPr="00273F92">
              <w:t>0–9</w:t>
            </w:r>
            <w:r w:rsidRPr="00273F92">
              <w:rPr>
                <w:rFonts w:ascii="Cambria Math" w:hAnsi="Cambria Math" w:cs="Cambria Math"/>
              </w:rPr>
              <w:t>⋅</w:t>
            </w:r>
            <w:r w:rsidRPr="00273F92">
              <w:t>4)</w:t>
            </w:r>
          </w:p>
        </w:tc>
        <w:tc>
          <w:tcPr>
            <w:tcW w:w="975" w:type="pct"/>
            <w:noWrap/>
            <w:hideMark/>
          </w:tcPr>
          <w:p w14:paraId="49293E16" w14:textId="77777777" w:rsidR="00EE52E1" w:rsidRPr="00273F92" w:rsidRDefault="00EE52E1" w:rsidP="0036773E">
            <w:pPr>
              <w:pStyle w:val="Tabletext"/>
              <w:jc w:val="center"/>
            </w:pPr>
            <w:r w:rsidRPr="00273F92">
              <w:t>0 (0</w:t>
            </w:r>
            <w:r w:rsidRPr="00273F92">
              <w:rPr>
                <w:rFonts w:ascii="Cambria Math" w:hAnsi="Cambria Math" w:cs="Cambria Math"/>
              </w:rPr>
              <w:t>⋅</w:t>
            </w:r>
            <w:r w:rsidRPr="00273F92">
              <w:t>0–4</w:t>
            </w:r>
            <w:r w:rsidRPr="00273F92">
              <w:rPr>
                <w:rFonts w:ascii="Cambria Math" w:hAnsi="Cambria Math" w:cs="Cambria Math"/>
              </w:rPr>
              <w:t>⋅</w:t>
            </w:r>
            <w:r w:rsidRPr="00273F92">
              <w:t>4)</w:t>
            </w:r>
          </w:p>
        </w:tc>
        <w:tc>
          <w:tcPr>
            <w:tcW w:w="522" w:type="pct"/>
            <w:noWrap/>
            <w:hideMark/>
          </w:tcPr>
          <w:p w14:paraId="4E3FBDD0" w14:textId="77777777" w:rsidR="00EE52E1" w:rsidRPr="00273F92" w:rsidRDefault="00EE52E1" w:rsidP="0036773E">
            <w:pPr>
              <w:pStyle w:val="Tabletext"/>
              <w:jc w:val="center"/>
            </w:pPr>
            <w:r w:rsidRPr="00273F92">
              <w:t>&lt; 0</w:t>
            </w:r>
            <w:r w:rsidRPr="00273F92">
              <w:rPr>
                <w:rFonts w:ascii="Cambria Math" w:hAnsi="Cambria Math" w:cs="Cambria Math"/>
              </w:rPr>
              <w:t>⋅</w:t>
            </w:r>
            <w:r w:rsidRPr="00273F92">
              <w:t>001</w:t>
            </w:r>
          </w:p>
        </w:tc>
      </w:tr>
      <w:tr w:rsidR="00EE52E1" w:rsidRPr="00273F92" w14:paraId="74115551" w14:textId="77777777" w:rsidTr="0036773E">
        <w:trPr>
          <w:trHeight w:val="300"/>
        </w:trPr>
        <w:tc>
          <w:tcPr>
            <w:tcW w:w="2702" w:type="pct"/>
            <w:noWrap/>
            <w:hideMark/>
          </w:tcPr>
          <w:p w14:paraId="069CFDE0" w14:textId="77777777" w:rsidR="00EE52E1" w:rsidRPr="00273F92" w:rsidRDefault="00EE52E1" w:rsidP="0036773E">
            <w:pPr>
              <w:pStyle w:val="Tabletext"/>
              <w:ind w:left="567"/>
            </w:pPr>
            <w:r w:rsidRPr="00273F92">
              <w:t>Sitting for a longer period</w:t>
            </w:r>
          </w:p>
        </w:tc>
        <w:tc>
          <w:tcPr>
            <w:tcW w:w="801" w:type="pct"/>
            <w:noWrap/>
            <w:hideMark/>
          </w:tcPr>
          <w:p w14:paraId="4FC42F80" w14:textId="77777777" w:rsidR="00EE52E1" w:rsidRPr="00273F92" w:rsidRDefault="00EE52E1" w:rsidP="0036773E">
            <w:pPr>
              <w:pStyle w:val="Tabletext"/>
              <w:jc w:val="center"/>
            </w:pPr>
            <w:r w:rsidRPr="00273F92">
              <w:t>28 (0</w:t>
            </w:r>
            <w:r w:rsidRPr="00273F92">
              <w:rPr>
                <w:rFonts w:ascii="Cambria Math" w:hAnsi="Cambria Math" w:cs="Cambria Math"/>
              </w:rPr>
              <w:t>⋅</w:t>
            </w:r>
            <w:r w:rsidRPr="00273F92">
              <w:t>0–9</w:t>
            </w:r>
            <w:r w:rsidRPr="00273F92">
              <w:rPr>
                <w:rFonts w:ascii="Cambria Math" w:hAnsi="Cambria Math" w:cs="Cambria Math"/>
              </w:rPr>
              <w:t>⋅</w:t>
            </w:r>
            <w:r w:rsidRPr="00273F92">
              <w:t>6)</w:t>
            </w:r>
          </w:p>
        </w:tc>
        <w:tc>
          <w:tcPr>
            <w:tcW w:w="975" w:type="pct"/>
            <w:noWrap/>
            <w:hideMark/>
          </w:tcPr>
          <w:p w14:paraId="345F1306" w14:textId="77777777" w:rsidR="00EE52E1" w:rsidRPr="00273F92" w:rsidRDefault="00EE52E1" w:rsidP="0036773E">
            <w:pPr>
              <w:pStyle w:val="Tabletext"/>
              <w:jc w:val="center"/>
            </w:pPr>
            <w:r w:rsidRPr="00273F92">
              <w:t>0 (0</w:t>
            </w:r>
            <w:r w:rsidRPr="00273F92">
              <w:rPr>
                <w:rFonts w:ascii="Cambria Math" w:hAnsi="Cambria Math" w:cs="Cambria Math"/>
              </w:rPr>
              <w:t>⋅</w:t>
            </w:r>
            <w:r w:rsidRPr="00273F92">
              <w:t>0–5</w:t>
            </w:r>
            <w:r w:rsidRPr="00273F92">
              <w:rPr>
                <w:rFonts w:ascii="Cambria Math" w:hAnsi="Cambria Math" w:cs="Cambria Math"/>
              </w:rPr>
              <w:t>⋅</w:t>
            </w:r>
            <w:r w:rsidRPr="00273F92">
              <w:t>2)</w:t>
            </w:r>
          </w:p>
        </w:tc>
        <w:tc>
          <w:tcPr>
            <w:tcW w:w="522" w:type="pct"/>
            <w:noWrap/>
            <w:hideMark/>
          </w:tcPr>
          <w:p w14:paraId="3E6998A2" w14:textId="77777777" w:rsidR="00EE52E1" w:rsidRPr="00273F92" w:rsidRDefault="00EE52E1" w:rsidP="0036773E">
            <w:pPr>
              <w:pStyle w:val="Tabletext"/>
              <w:jc w:val="center"/>
            </w:pPr>
            <w:r w:rsidRPr="00273F92">
              <w:t>&lt; 0</w:t>
            </w:r>
            <w:r w:rsidRPr="00273F92">
              <w:rPr>
                <w:rFonts w:ascii="Cambria Math" w:hAnsi="Cambria Math" w:cs="Cambria Math"/>
              </w:rPr>
              <w:t>⋅</w:t>
            </w:r>
            <w:r w:rsidRPr="00273F92">
              <w:t>001</w:t>
            </w:r>
          </w:p>
        </w:tc>
      </w:tr>
      <w:tr w:rsidR="00EE52E1" w:rsidRPr="00273F92" w14:paraId="112D9A5C" w14:textId="77777777" w:rsidTr="0036773E">
        <w:trPr>
          <w:trHeight w:val="300"/>
        </w:trPr>
        <w:tc>
          <w:tcPr>
            <w:tcW w:w="2702" w:type="pct"/>
            <w:noWrap/>
            <w:hideMark/>
          </w:tcPr>
          <w:p w14:paraId="5802F5CB" w14:textId="77777777" w:rsidR="00EE52E1" w:rsidRPr="00273F92" w:rsidRDefault="00EE52E1" w:rsidP="0036773E">
            <w:pPr>
              <w:pStyle w:val="Tabletext"/>
              <w:ind w:left="567"/>
            </w:pPr>
            <w:r w:rsidRPr="00273F92">
              <w:t>Standing bent over a sink</w:t>
            </w:r>
          </w:p>
        </w:tc>
        <w:tc>
          <w:tcPr>
            <w:tcW w:w="801" w:type="pct"/>
            <w:noWrap/>
            <w:hideMark/>
          </w:tcPr>
          <w:p w14:paraId="049C3FD8" w14:textId="77777777" w:rsidR="00EE52E1" w:rsidRPr="00273F92" w:rsidRDefault="00EE52E1" w:rsidP="0036773E">
            <w:pPr>
              <w:pStyle w:val="Tabletext"/>
              <w:jc w:val="center"/>
            </w:pPr>
            <w:r w:rsidRPr="00273F92">
              <w:t>41 (0</w:t>
            </w:r>
            <w:r w:rsidRPr="00273F92">
              <w:rPr>
                <w:rFonts w:ascii="Cambria Math" w:hAnsi="Cambria Math" w:cs="Cambria Math"/>
              </w:rPr>
              <w:t>⋅</w:t>
            </w:r>
            <w:r w:rsidRPr="00273F92">
              <w:t>0–10</w:t>
            </w:r>
            <w:r w:rsidRPr="00273F92">
              <w:rPr>
                <w:rFonts w:ascii="Cambria Math" w:hAnsi="Cambria Math" w:cs="Cambria Math"/>
              </w:rPr>
              <w:t>⋅</w:t>
            </w:r>
            <w:r w:rsidRPr="00273F92">
              <w:t>0)</w:t>
            </w:r>
          </w:p>
        </w:tc>
        <w:tc>
          <w:tcPr>
            <w:tcW w:w="975" w:type="pct"/>
            <w:noWrap/>
            <w:hideMark/>
          </w:tcPr>
          <w:p w14:paraId="794A05CD" w14:textId="77777777" w:rsidR="00EE52E1" w:rsidRPr="00273F92" w:rsidRDefault="00EE52E1" w:rsidP="0036773E">
            <w:pPr>
              <w:pStyle w:val="Tabletext"/>
              <w:jc w:val="center"/>
            </w:pPr>
            <w:r w:rsidRPr="00273F92">
              <w:t>0 (0</w:t>
            </w:r>
            <w:r w:rsidRPr="00273F92">
              <w:rPr>
                <w:rFonts w:ascii="Cambria Math" w:hAnsi="Cambria Math" w:cs="Cambria Math"/>
              </w:rPr>
              <w:t>⋅</w:t>
            </w:r>
            <w:r w:rsidRPr="00273F92">
              <w:t>0–5</w:t>
            </w:r>
            <w:r w:rsidRPr="00273F92">
              <w:rPr>
                <w:rFonts w:ascii="Cambria Math" w:hAnsi="Cambria Math" w:cs="Cambria Math"/>
              </w:rPr>
              <w:t>⋅</w:t>
            </w:r>
            <w:r w:rsidRPr="00273F92">
              <w:t>3)</w:t>
            </w:r>
          </w:p>
        </w:tc>
        <w:tc>
          <w:tcPr>
            <w:tcW w:w="522" w:type="pct"/>
            <w:noWrap/>
            <w:hideMark/>
          </w:tcPr>
          <w:p w14:paraId="27CD7C7D" w14:textId="77777777" w:rsidR="00EE52E1" w:rsidRPr="00273F92" w:rsidRDefault="00EE52E1" w:rsidP="0036773E">
            <w:pPr>
              <w:pStyle w:val="Tabletext"/>
              <w:jc w:val="center"/>
            </w:pPr>
            <w:r w:rsidRPr="00273F92">
              <w:t>&lt; 0</w:t>
            </w:r>
            <w:r w:rsidRPr="00273F92">
              <w:rPr>
                <w:rFonts w:ascii="Cambria Math" w:hAnsi="Cambria Math" w:cs="Cambria Math"/>
              </w:rPr>
              <w:t>⋅</w:t>
            </w:r>
            <w:r w:rsidRPr="00273F92">
              <w:t>001</w:t>
            </w:r>
          </w:p>
        </w:tc>
      </w:tr>
      <w:tr w:rsidR="00EE52E1" w:rsidRPr="00273F92" w14:paraId="1BC531DD" w14:textId="77777777" w:rsidTr="0036773E">
        <w:trPr>
          <w:trHeight w:val="300"/>
        </w:trPr>
        <w:tc>
          <w:tcPr>
            <w:tcW w:w="2702" w:type="pct"/>
            <w:noWrap/>
            <w:hideMark/>
          </w:tcPr>
          <w:p w14:paraId="1D8771D2" w14:textId="77777777" w:rsidR="00EE52E1" w:rsidRPr="00273F92" w:rsidRDefault="00EE52E1" w:rsidP="0036773E">
            <w:pPr>
              <w:pStyle w:val="Tabletext"/>
              <w:ind w:left="567"/>
            </w:pPr>
            <w:r w:rsidRPr="00273F92">
              <w:t>Carrying a bag</w:t>
            </w:r>
          </w:p>
        </w:tc>
        <w:tc>
          <w:tcPr>
            <w:tcW w:w="801" w:type="pct"/>
            <w:noWrap/>
            <w:hideMark/>
          </w:tcPr>
          <w:p w14:paraId="70265A2E" w14:textId="77777777" w:rsidR="00EE52E1" w:rsidRPr="00273F92" w:rsidRDefault="00EE52E1" w:rsidP="0036773E">
            <w:pPr>
              <w:pStyle w:val="Tabletext"/>
              <w:jc w:val="center"/>
            </w:pPr>
            <w:r w:rsidRPr="00273F92">
              <w:t>29 (0</w:t>
            </w:r>
            <w:r w:rsidRPr="00273F92">
              <w:rPr>
                <w:rFonts w:ascii="Cambria Math" w:hAnsi="Cambria Math" w:cs="Cambria Math"/>
              </w:rPr>
              <w:t>⋅</w:t>
            </w:r>
            <w:r w:rsidRPr="00273F92">
              <w:t>0–8</w:t>
            </w:r>
            <w:r w:rsidRPr="00273F92">
              <w:rPr>
                <w:rFonts w:ascii="Cambria Math" w:hAnsi="Cambria Math" w:cs="Cambria Math"/>
              </w:rPr>
              <w:t>⋅</w:t>
            </w:r>
            <w:r w:rsidRPr="00273F92">
              <w:t>3)</w:t>
            </w:r>
          </w:p>
        </w:tc>
        <w:tc>
          <w:tcPr>
            <w:tcW w:w="975" w:type="pct"/>
            <w:noWrap/>
            <w:hideMark/>
          </w:tcPr>
          <w:p w14:paraId="0A5E8F33" w14:textId="77777777" w:rsidR="00EE52E1" w:rsidRPr="00273F92" w:rsidRDefault="00EE52E1" w:rsidP="0036773E">
            <w:pPr>
              <w:pStyle w:val="Tabletext"/>
              <w:jc w:val="center"/>
            </w:pPr>
            <w:r w:rsidRPr="00273F92">
              <w:t>1 (0</w:t>
            </w:r>
            <w:r w:rsidRPr="00273F92">
              <w:rPr>
                <w:rFonts w:ascii="Cambria Math" w:hAnsi="Cambria Math" w:cs="Cambria Math"/>
              </w:rPr>
              <w:t>⋅</w:t>
            </w:r>
            <w:r w:rsidRPr="00273F92">
              <w:t>0–4</w:t>
            </w:r>
            <w:r w:rsidRPr="00273F92">
              <w:rPr>
                <w:rFonts w:ascii="Cambria Math" w:hAnsi="Cambria Math" w:cs="Cambria Math"/>
              </w:rPr>
              <w:t>⋅</w:t>
            </w:r>
            <w:r w:rsidRPr="00273F92">
              <w:t>9)</w:t>
            </w:r>
          </w:p>
        </w:tc>
        <w:tc>
          <w:tcPr>
            <w:tcW w:w="522" w:type="pct"/>
            <w:noWrap/>
            <w:hideMark/>
          </w:tcPr>
          <w:p w14:paraId="68A84E00" w14:textId="77777777" w:rsidR="00EE52E1" w:rsidRPr="00273F92" w:rsidRDefault="00EE52E1" w:rsidP="0036773E">
            <w:pPr>
              <w:pStyle w:val="Tabletext"/>
              <w:jc w:val="center"/>
            </w:pPr>
            <w:r w:rsidRPr="00273F92">
              <w:t>&lt; 0</w:t>
            </w:r>
            <w:r w:rsidRPr="00273F92">
              <w:rPr>
                <w:rFonts w:ascii="Cambria Math" w:hAnsi="Cambria Math" w:cs="Cambria Math"/>
              </w:rPr>
              <w:t>⋅</w:t>
            </w:r>
            <w:r w:rsidRPr="00273F92">
              <w:t>001</w:t>
            </w:r>
          </w:p>
        </w:tc>
      </w:tr>
      <w:tr w:rsidR="00EE52E1" w:rsidRPr="00273F92" w14:paraId="1FF63186" w14:textId="77777777" w:rsidTr="0036773E">
        <w:trPr>
          <w:trHeight w:val="300"/>
        </w:trPr>
        <w:tc>
          <w:tcPr>
            <w:tcW w:w="2702" w:type="pct"/>
            <w:noWrap/>
            <w:hideMark/>
          </w:tcPr>
          <w:p w14:paraId="7716B948" w14:textId="77777777" w:rsidR="00EE52E1" w:rsidRPr="00273F92" w:rsidRDefault="00EE52E1" w:rsidP="0036773E">
            <w:pPr>
              <w:pStyle w:val="Tabletext"/>
              <w:ind w:left="567"/>
            </w:pPr>
            <w:r w:rsidRPr="00273F92">
              <w:t>Making the bed</w:t>
            </w:r>
          </w:p>
        </w:tc>
        <w:tc>
          <w:tcPr>
            <w:tcW w:w="801" w:type="pct"/>
            <w:noWrap/>
            <w:hideMark/>
          </w:tcPr>
          <w:p w14:paraId="3DCF02BB" w14:textId="77777777" w:rsidR="00EE52E1" w:rsidRPr="00273F92" w:rsidRDefault="00EE52E1" w:rsidP="0036773E">
            <w:pPr>
              <w:pStyle w:val="Tabletext"/>
              <w:jc w:val="center"/>
            </w:pPr>
            <w:r w:rsidRPr="00273F92">
              <w:t>13 (0</w:t>
            </w:r>
            <w:r w:rsidRPr="00273F92">
              <w:rPr>
                <w:rFonts w:ascii="Cambria Math" w:hAnsi="Cambria Math" w:cs="Cambria Math"/>
              </w:rPr>
              <w:t>⋅</w:t>
            </w:r>
            <w:r w:rsidRPr="00273F92">
              <w:t>0–8</w:t>
            </w:r>
            <w:r w:rsidRPr="00273F92">
              <w:rPr>
                <w:rFonts w:ascii="Cambria Math" w:hAnsi="Cambria Math" w:cs="Cambria Math"/>
              </w:rPr>
              <w:t>⋅</w:t>
            </w:r>
            <w:r w:rsidRPr="00273F92">
              <w:t>4)</w:t>
            </w:r>
          </w:p>
        </w:tc>
        <w:tc>
          <w:tcPr>
            <w:tcW w:w="975" w:type="pct"/>
            <w:noWrap/>
            <w:hideMark/>
          </w:tcPr>
          <w:p w14:paraId="49A89846" w14:textId="77777777" w:rsidR="00EE52E1" w:rsidRPr="00273F92" w:rsidRDefault="00EE52E1" w:rsidP="0036773E">
            <w:pPr>
              <w:pStyle w:val="Tabletext"/>
              <w:jc w:val="center"/>
            </w:pPr>
            <w:r w:rsidRPr="00273F92">
              <w:t>0 (0</w:t>
            </w:r>
            <w:r w:rsidRPr="00273F92">
              <w:rPr>
                <w:rFonts w:ascii="Cambria Math" w:hAnsi="Cambria Math" w:cs="Cambria Math"/>
              </w:rPr>
              <w:t>⋅</w:t>
            </w:r>
            <w:r w:rsidRPr="00273F92">
              <w:t>0–4</w:t>
            </w:r>
            <w:r w:rsidRPr="00273F92">
              <w:rPr>
                <w:rFonts w:ascii="Cambria Math" w:hAnsi="Cambria Math" w:cs="Cambria Math"/>
              </w:rPr>
              <w:t>⋅</w:t>
            </w:r>
            <w:r w:rsidRPr="00273F92">
              <w:t>5)</w:t>
            </w:r>
          </w:p>
        </w:tc>
        <w:tc>
          <w:tcPr>
            <w:tcW w:w="522" w:type="pct"/>
            <w:noWrap/>
            <w:hideMark/>
          </w:tcPr>
          <w:p w14:paraId="63E69530" w14:textId="77777777" w:rsidR="00EE52E1" w:rsidRPr="00273F92" w:rsidRDefault="00EE52E1" w:rsidP="0036773E">
            <w:pPr>
              <w:pStyle w:val="Tabletext"/>
              <w:jc w:val="center"/>
            </w:pPr>
            <w:r w:rsidRPr="00273F92">
              <w:t>&lt; 0</w:t>
            </w:r>
            <w:r w:rsidRPr="00273F92">
              <w:rPr>
                <w:rFonts w:ascii="Cambria Math" w:hAnsi="Cambria Math" w:cs="Cambria Math"/>
              </w:rPr>
              <w:t>⋅</w:t>
            </w:r>
            <w:r w:rsidRPr="00273F92">
              <w:t>001</w:t>
            </w:r>
          </w:p>
        </w:tc>
      </w:tr>
      <w:tr w:rsidR="00EE52E1" w:rsidRPr="00273F92" w14:paraId="27FF6231" w14:textId="77777777" w:rsidTr="0036773E">
        <w:trPr>
          <w:trHeight w:val="300"/>
        </w:trPr>
        <w:tc>
          <w:tcPr>
            <w:tcW w:w="2702" w:type="pct"/>
            <w:noWrap/>
            <w:hideMark/>
          </w:tcPr>
          <w:p w14:paraId="42D6A86A" w14:textId="77777777" w:rsidR="00EE52E1" w:rsidRPr="00273F92" w:rsidRDefault="00EE52E1" w:rsidP="0036773E">
            <w:pPr>
              <w:pStyle w:val="Tabletext"/>
              <w:ind w:left="567"/>
            </w:pPr>
            <w:r w:rsidRPr="00273F92">
              <w:t>Running</w:t>
            </w:r>
          </w:p>
        </w:tc>
        <w:tc>
          <w:tcPr>
            <w:tcW w:w="801" w:type="pct"/>
            <w:noWrap/>
            <w:hideMark/>
          </w:tcPr>
          <w:p w14:paraId="4007AFF7" w14:textId="77777777" w:rsidR="00EE52E1" w:rsidRPr="00273F92" w:rsidRDefault="00EE52E1" w:rsidP="0036773E">
            <w:pPr>
              <w:pStyle w:val="Tabletext"/>
              <w:jc w:val="center"/>
            </w:pPr>
            <w:r w:rsidRPr="00273F92">
              <w:t>49 (0</w:t>
            </w:r>
            <w:r w:rsidRPr="00273F92">
              <w:rPr>
                <w:rFonts w:ascii="Cambria Math" w:hAnsi="Cambria Math" w:cs="Cambria Math"/>
              </w:rPr>
              <w:t>⋅</w:t>
            </w:r>
            <w:r w:rsidRPr="00273F92">
              <w:t>0–10</w:t>
            </w:r>
            <w:r w:rsidRPr="00273F92">
              <w:rPr>
                <w:rFonts w:ascii="Cambria Math" w:hAnsi="Cambria Math" w:cs="Cambria Math"/>
              </w:rPr>
              <w:t>⋅</w:t>
            </w:r>
            <w:r w:rsidRPr="00273F92">
              <w:t>0)</w:t>
            </w:r>
          </w:p>
        </w:tc>
        <w:tc>
          <w:tcPr>
            <w:tcW w:w="975" w:type="pct"/>
            <w:noWrap/>
            <w:hideMark/>
          </w:tcPr>
          <w:p w14:paraId="01F67F2F" w14:textId="77777777" w:rsidR="00EE52E1" w:rsidRPr="00273F92" w:rsidRDefault="00EE52E1" w:rsidP="0036773E">
            <w:pPr>
              <w:pStyle w:val="Tabletext"/>
              <w:jc w:val="center"/>
            </w:pPr>
            <w:r w:rsidRPr="00273F92">
              <w:t>1 (0</w:t>
            </w:r>
            <w:r w:rsidRPr="00273F92">
              <w:rPr>
                <w:rFonts w:ascii="Cambria Math" w:hAnsi="Cambria Math" w:cs="Cambria Math"/>
              </w:rPr>
              <w:t>⋅</w:t>
            </w:r>
            <w:r w:rsidRPr="00273F92">
              <w:t>0–9</w:t>
            </w:r>
            <w:r w:rsidRPr="00273F92">
              <w:rPr>
                <w:rFonts w:ascii="Cambria Math" w:hAnsi="Cambria Math" w:cs="Cambria Math"/>
              </w:rPr>
              <w:t>⋅</w:t>
            </w:r>
            <w:r w:rsidRPr="00273F92">
              <w:t>6)</w:t>
            </w:r>
          </w:p>
        </w:tc>
        <w:tc>
          <w:tcPr>
            <w:tcW w:w="522" w:type="pct"/>
            <w:noWrap/>
            <w:hideMark/>
          </w:tcPr>
          <w:p w14:paraId="6879E97D" w14:textId="77777777" w:rsidR="00EE52E1" w:rsidRPr="00273F92" w:rsidRDefault="00EE52E1" w:rsidP="0036773E">
            <w:pPr>
              <w:pStyle w:val="Tabletext"/>
              <w:jc w:val="center"/>
            </w:pPr>
            <w:r w:rsidRPr="00273F92">
              <w:t>&lt; 0</w:t>
            </w:r>
            <w:r w:rsidRPr="00273F92">
              <w:rPr>
                <w:rFonts w:ascii="Cambria Math" w:hAnsi="Cambria Math" w:cs="Cambria Math"/>
              </w:rPr>
              <w:t>⋅</w:t>
            </w:r>
            <w:r w:rsidRPr="00273F92">
              <w:t>001</w:t>
            </w:r>
          </w:p>
        </w:tc>
      </w:tr>
      <w:tr w:rsidR="00EE52E1" w:rsidRPr="00273F92" w14:paraId="5AB775AB" w14:textId="77777777" w:rsidTr="0036773E">
        <w:trPr>
          <w:trHeight w:val="300"/>
        </w:trPr>
        <w:tc>
          <w:tcPr>
            <w:tcW w:w="2702" w:type="pct"/>
            <w:noWrap/>
            <w:hideMark/>
          </w:tcPr>
          <w:p w14:paraId="0B66ACFF" w14:textId="77777777" w:rsidR="00EE52E1" w:rsidRPr="00273F92" w:rsidRDefault="00EE52E1" w:rsidP="0036773E">
            <w:pPr>
              <w:pStyle w:val="Tabletext"/>
              <w:ind w:left="567"/>
            </w:pPr>
            <w:r w:rsidRPr="00273F92">
              <w:t>Light work</w:t>
            </w:r>
          </w:p>
        </w:tc>
        <w:tc>
          <w:tcPr>
            <w:tcW w:w="801" w:type="pct"/>
            <w:noWrap/>
            <w:hideMark/>
          </w:tcPr>
          <w:p w14:paraId="7D077924" w14:textId="77777777" w:rsidR="00EE52E1" w:rsidRPr="00273F92" w:rsidRDefault="00EE52E1" w:rsidP="0036773E">
            <w:pPr>
              <w:pStyle w:val="Tabletext"/>
              <w:jc w:val="center"/>
            </w:pPr>
            <w:r w:rsidRPr="00273F92">
              <w:t>21 (0</w:t>
            </w:r>
            <w:r w:rsidRPr="00273F92">
              <w:rPr>
                <w:rFonts w:ascii="Cambria Math" w:hAnsi="Cambria Math" w:cs="Cambria Math"/>
              </w:rPr>
              <w:t>⋅</w:t>
            </w:r>
            <w:r w:rsidRPr="00273F92">
              <w:t>0–10</w:t>
            </w:r>
            <w:r w:rsidRPr="00273F92">
              <w:rPr>
                <w:rFonts w:ascii="Cambria Math" w:hAnsi="Cambria Math" w:cs="Cambria Math"/>
              </w:rPr>
              <w:t>⋅</w:t>
            </w:r>
            <w:r w:rsidRPr="00273F92">
              <w:t>0)</w:t>
            </w:r>
          </w:p>
        </w:tc>
        <w:tc>
          <w:tcPr>
            <w:tcW w:w="975" w:type="pct"/>
            <w:noWrap/>
            <w:hideMark/>
          </w:tcPr>
          <w:p w14:paraId="22BF575C" w14:textId="77777777" w:rsidR="00EE52E1" w:rsidRPr="00273F92" w:rsidRDefault="00EE52E1" w:rsidP="0036773E">
            <w:pPr>
              <w:pStyle w:val="Tabletext"/>
              <w:jc w:val="center"/>
            </w:pPr>
            <w:r w:rsidRPr="00273F92">
              <w:t>0 (0</w:t>
            </w:r>
            <w:r w:rsidRPr="00273F92">
              <w:rPr>
                <w:rFonts w:ascii="Cambria Math" w:hAnsi="Cambria Math" w:cs="Cambria Math"/>
              </w:rPr>
              <w:t>⋅</w:t>
            </w:r>
            <w:r w:rsidRPr="00273F92">
              <w:t>0–5</w:t>
            </w:r>
            <w:r w:rsidRPr="00273F92">
              <w:rPr>
                <w:rFonts w:ascii="Cambria Math" w:hAnsi="Cambria Math" w:cs="Cambria Math"/>
              </w:rPr>
              <w:t>⋅</w:t>
            </w:r>
            <w:r w:rsidRPr="00273F92">
              <w:t>0)</w:t>
            </w:r>
          </w:p>
        </w:tc>
        <w:tc>
          <w:tcPr>
            <w:tcW w:w="522" w:type="pct"/>
            <w:noWrap/>
            <w:hideMark/>
          </w:tcPr>
          <w:p w14:paraId="218732E0" w14:textId="77777777" w:rsidR="00EE52E1" w:rsidRPr="00273F92" w:rsidRDefault="00EE52E1" w:rsidP="0036773E">
            <w:pPr>
              <w:pStyle w:val="Tabletext"/>
              <w:jc w:val="center"/>
            </w:pPr>
            <w:r w:rsidRPr="00273F92">
              <w:t>&lt; 0</w:t>
            </w:r>
            <w:r w:rsidRPr="00273F92">
              <w:rPr>
                <w:rFonts w:ascii="Cambria Math" w:hAnsi="Cambria Math" w:cs="Cambria Math"/>
              </w:rPr>
              <w:t>⋅</w:t>
            </w:r>
            <w:r w:rsidRPr="00273F92">
              <w:t>001</w:t>
            </w:r>
          </w:p>
        </w:tc>
      </w:tr>
      <w:tr w:rsidR="00EE52E1" w:rsidRPr="00273F92" w14:paraId="7D1B754F" w14:textId="77777777" w:rsidTr="0036773E">
        <w:trPr>
          <w:trHeight w:val="300"/>
        </w:trPr>
        <w:tc>
          <w:tcPr>
            <w:tcW w:w="2702" w:type="pct"/>
            <w:noWrap/>
            <w:hideMark/>
          </w:tcPr>
          <w:p w14:paraId="4B2A0719" w14:textId="77777777" w:rsidR="00EE52E1" w:rsidRPr="00273F92" w:rsidRDefault="00EE52E1" w:rsidP="0036773E">
            <w:pPr>
              <w:pStyle w:val="Tabletext"/>
              <w:ind w:left="567"/>
            </w:pPr>
            <w:r w:rsidRPr="00273F92">
              <w:t>Heavy work</w:t>
            </w:r>
          </w:p>
        </w:tc>
        <w:tc>
          <w:tcPr>
            <w:tcW w:w="801" w:type="pct"/>
            <w:noWrap/>
            <w:hideMark/>
          </w:tcPr>
          <w:p w14:paraId="265F2C17" w14:textId="77777777" w:rsidR="00EE52E1" w:rsidRPr="00273F92" w:rsidRDefault="00EE52E1" w:rsidP="0036773E">
            <w:pPr>
              <w:pStyle w:val="Tabletext"/>
              <w:jc w:val="center"/>
            </w:pPr>
            <w:r w:rsidRPr="00273F92">
              <w:t>64 (0</w:t>
            </w:r>
            <w:r w:rsidRPr="00273F92">
              <w:rPr>
                <w:rFonts w:ascii="Cambria Math" w:hAnsi="Cambria Math" w:cs="Cambria Math"/>
              </w:rPr>
              <w:t>⋅</w:t>
            </w:r>
            <w:r w:rsidRPr="00273F92">
              <w:t>0–10</w:t>
            </w:r>
            <w:r w:rsidRPr="00273F92">
              <w:rPr>
                <w:rFonts w:ascii="Cambria Math" w:hAnsi="Cambria Math" w:cs="Cambria Math"/>
              </w:rPr>
              <w:t>⋅</w:t>
            </w:r>
            <w:r w:rsidRPr="00273F92">
              <w:t>0)</w:t>
            </w:r>
          </w:p>
        </w:tc>
        <w:tc>
          <w:tcPr>
            <w:tcW w:w="975" w:type="pct"/>
            <w:noWrap/>
            <w:hideMark/>
          </w:tcPr>
          <w:p w14:paraId="2C2B3850" w14:textId="77777777" w:rsidR="00EE52E1" w:rsidRPr="00273F92" w:rsidRDefault="00EE52E1" w:rsidP="0036773E">
            <w:pPr>
              <w:pStyle w:val="Tabletext"/>
              <w:jc w:val="center"/>
            </w:pPr>
            <w:r w:rsidRPr="00273F92">
              <w:t>5 (0</w:t>
            </w:r>
            <w:r w:rsidRPr="00273F92">
              <w:rPr>
                <w:rFonts w:ascii="Cambria Math" w:hAnsi="Cambria Math" w:cs="Cambria Math"/>
              </w:rPr>
              <w:t>⋅</w:t>
            </w:r>
            <w:r w:rsidRPr="00273F92">
              <w:t>0–9</w:t>
            </w:r>
            <w:r w:rsidRPr="00273F92">
              <w:rPr>
                <w:rFonts w:ascii="Cambria Math" w:hAnsi="Cambria Math" w:cs="Cambria Math"/>
              </w:rPr>
              <w:t>⋅</w:t>
            </w:r>
            <w:r w:rsidRPr="00273F92">
              <w:t>8)</w:t>
            </w:r>
          </w:p>
        </w:tc>
        <w:tc>
          <w:tcPr>
            <w:tcW w:w="522" w:type="pct"/>
            <w:noWrap/>
            <w:hideMark/>
          </w:tcPr>
          <w:p w14:paraId="111C1342" w14:textId="77777777" w:rsidR="00EE52E1" w:rsidRPr="00273F92" w:rsidRDefault="00EE52E1" w:rsidP="0036773E">
            <w:pPr>
              <w:pStyle w:val="Tabletext"/>
              <w:jc w:val="center"/>
            </w:pPr>
            <w:r w:rsidRPr="00273F92">
              <w:t>&lt; 0</w:t>
            </w:r>
            <w:r w:rsidRPr="00273F92">
              <w:rPr>
                <w:rFonts w:ascii="Cambria Math" w:hAnsi="Cambria Math" w:cs="Cambria Math"/>
              </w:rPr>
              <w:t>⋅</w:t>
            </w:r>
            <w:r w:rsidRPr="00273F92">
              <w:t>001</w:t>
            </w:r>
          </w:p>
        </w:tc>
      </w:tr>
      <w:tr w:rsidR="00EE52E1" w:rsidRPr="00273F92" w14:paraId="46CF138D" w14:textId="77777777" w:rsidTr="0036773E">
        <w:trPr>
          <w:trHeight w:val="300"/>
        </w:trPr>
        <w:tc>
          <w:tcPr>
            <w:tcW w:w="2702" w:type="pct"/>
            <w:noWrap/>
            <w:hideMark/>
          </w:tcPr>
          <w:p w14:paraId="21704998" w14:textId="77777777" w:rsidR="00EE52E1" w:rsidRPr="00273F92" w:rsidRDefault="00EE52E1" w:rsidP="0036773E">
            <w:pPr>
              <w:pStyle w:val="Tabletext"/>
              <w:ind w:left="567"/>
            </w:pPr>
            <w:r w:rsidRPr="00273F92">
              <w:t>Lifting heavy objects</w:t>
            </w:r>
          </w:p>
        </w:tc>
        <w:tc>
          <w:tcPr>
            <w:tcW w:w="801" w:type="pct"/>
            <w:noWrap/>
            <w:hideMark/>
          </w:tcPr>
          <w:p w14:paraId="6BC4034A" w14:textId="77777777" w:rsidR="00EE52E1" w:rsidRPr="00273F92" w:rsidRDefault="00EE52E1" w:rsidP="0036773E">
            <w:pPr>
              <w:pStyle w:val="Tabletext"/>
              <w:jc w:val="center"/>
            </w:pPr>
            <w:r w:rsidRPr="00273F92">
              <w:t>63 (0</w:t>
            </w:r>
            <w:r w:rsidRPr="00273F92">
              <w:rPr>
                <w:rFonts w:ascii="Cambria Math" w:hAnsi="Cambria Math" w:cs="Cambria Math"/>
              </w:rPr>
              <w:t>⋅</w:t>
            </w:r>
            <w:r w:rsidRPr="00273F92">
              <w:t>1–10</w:t>
            </w:r>
            <w:r w:rsidRPr="00273F92">
              <w:rPr>
                <w:rFonts w:ascii="Cambria Math" w:hAnsi="Cambria Math" w:cs="Cambria Math"/>
              </w:rPr>
              <w:t>⋅</w:t>
            </w:r>
            <w:r w:rsidRPr="00273F92">
              <w:t>0)</w:t>
            </w:r>
          </w:p>
        </w:tc>
        <w:tc>
          <w:tcPr>
            <w:tcW w:w="975" w:type="pct"/>
            <w:noWrap/>
            <w:hideMark/>
          </w:tcPr>
          <w:p w14:paraId="59BF1B21" w14:textId="77777777" w:rsidR="00EE52E1" w:rsidRPr="00273F92" w:rsidRDefault="00EE52E1" w:rsidP="0036773E">
            <w:pPr>
              <w:pStyle w:val="Tabletext"/>
              <w:jc w:val="center"/>
            </w:pPr>
            <w:r w:rsidRPr="00273F92">
              <w:t>9 (0</w:t>
            </w:r>
            <w:r w:rsidRPr="00273F92">
              <w:rPr>
                <w:rFonts w:ascii="Cambria Math" w:hAnsi="Cambria Math" w:cs="Cambria Math"/>
              </w:rPr>
              <w:t>⋅</w:t>
            </w:r>
            <w:r w:rsidRPr="00273F92">
              <w:t>0–9</w:t>
            </w:r>
            <w:r w:rsidRPr="00273F92">
              <w:rPr>
                <w:rFonts w:ascii="Cambria Math" w:hAnsi="Cambria Math" w:cs="Cambria Math"/>
              </w:rPr>
              <w:t>⋅</w:t>
            </w:r>
            <w:r w:rsidRPr="00273F92">
              <w:t>8)</w:t>
            </w:r>
          </w:p>
        </w:tc>
        <w:tc>
          <w:tcPr>
            <w:tcW w:w="522" w:type="pct"/>
            <w:noWrap/>
            <w:hideMark/>
          </w:tcPr>
          <w:p w14:paraId="13809489" w14:textId="77777777" w:rsidR="00EE52E1" w:rsidRPr="00273F92" w:rsidRDefault="00EE52E1" w:rsidP="0036773E">
            <w:pPr>
              <w:pStyle w:val="Tabletext"/>
              <w:jc w:val="center"/>
            </w:pPr>
            <w:r w:rsidRPr="00273F92">
              <w:t>&lt; 0</w:t>
            </w:r>
            <w:r w:rsidRPr="00273F92">
              <w:rPr>
                <w:rFonts w:ascii="Cambria Math" w:hAnsi="Cambria Math" w:cs="Cambria Math"/>
              </w:rPr>
              <w:t>⋅</w:t>
            </w:r>
            <w:r w:rsidRPr="00273F92">
              <w:t>001</w:t>
            </w:r>
          </w:p>
        </w:tc>
      </w:tr>
      <w:tr w:rsidR="00EE52E1" w:rsidRPr="00273F92" w14:paraId="0E8359FA" w14:textId="77777777" w:rsidTr="0036773E">
        <w:trPr>
          <w:trHeight w:val="300"/>
        </w:trPr>
        <w:tc>
          <w:tcPr>
            <w:tcW w:w="2702" w:type="pct"/>
            <w:noWrap/>
            <w:hideMark/>
          </w:tcPr>
          <w:p w14:paraId="112DE284" w14:textId="77777777" w:rsidR="00EE52E1" w:rsidRPr="00273F92" w:rsidRDefault="00EE52E1" w:rsidP="0036773E">
            <w:pPr>
              <w:pStyle w:val="Tabletext"/>
              <w:ind w:left="567"/>
            </w:pPr>
            <w:r w:rsidRPr="00273F92">
              <w:t>Exercise/sports</w:t>
            </w:r>
          </w:p>
        </w:tc>
        <w:tc>
          <w:tcPr>
            <w:tcW w:w="801" w:type="pct"/>
            <w:noWrap/>
            <w:hideMark/>
          </w:tcPr>
          <w:p w14:paraId="285790B6" w14:textId="77777777" w:rsidR="00EE52E1" w:rsidRPr="00273F92" w:rsidRDefault="00EE52E1" w:rsidP="0036773E">
            <w:pPr>
              <w:pStyle w:val="Tabletext"/>
              <w:jc w:val="center"/>
            </w:pPr>
            <w:r w:rsidRPr="00273F92">
              <w:t>54 (0</w:t>
            </w:r>
            <w:r w:rsidRPr="00273F92">
              <w:rPr>
                <w:rFonts w:ascii="Cambria Math" w:hAnsi="Cambria Math" w:cs="Cambria Math"/>
              </w:rPr>
              <w:t>⋅</w:t>
            </w:r>
            <w:r w:rsidRPr="00273F92">
              <w:t>1–10</w:t>
            </w:r>
            <w:r w:rsidRPr="00273F92">
              <w:rPr>
                <w:rFonts w:ascii="Cambria Math" w:hAnsi="Cambria Math" w:cs="Cambria Math"/>
              </w:rPr>
              <w:t>⋅</w:t>
            </w:r>
            <w:r w:rsidRPr="00273F92">
              <w:t>0)</w:t>
            </w:r>
          </w:p>
        </w:tc>
        <w:tc>
          <w:tcPr>
            <w:tcW w:w="975" w:type="pct"/>
            <w:noWrap/>
            <w:hideMark/>
          </w:tcPr>
          <w:p w14:paraId="425756C8" w14:textId="77777777" w:rsidR="00EE52E1" w:rsidRPr="00273F92" w:rsidRDefault="00EE52E1" w:rsidP="0036773E">
            <w:pPr>
              <w:pStyle w:val="Tabletext"/>
              <w:jc w:val="center"/>
            </w:pPr>
            <w:r w:rsidRPr="00273F92">
              <w:t>5 (0</w:t>
            </w:r>
            <w:r w:rsidRPr="00273F92">
              <w:rPr>
                <w:rFonts w:ascii="Cambria Math" w:hAnsi="Cambria Math" w:cs="Cambria Math"/>
              </w:rPr>
              <w:t>⋅</w:t>
            </w:r>
            <w:r w:rsidRPr="00273F92">
              <w:t>0–9</w:t>
            </w:r>
            <w:r w:rsidRPr="00273F92">
              <w:rPr>
                <w:rFonts w:ascii="Cambria Math" w:hAnsi="Cambria Math" w:cs="Cambria Math"/>
              </w:rPr>
              <w:t>⋅</w:t>
            </w:r>
            <w:r w:rsidRPr="00273F92">
              <w:t>4)</w:t>
            </w:r>
          </w:p>
        </w:tc>
        <w:tc>
          <w:tcPr>
            <w:tcW w:w="522" w:type="pct"/>
            <w:noWrap/>
            <w:hideMark/>
          </w:tcPr>
          <w:p w14:paraId="2BA90721" w14:textId="77777777" w:rsidR="00EE52E1" w:rsidRPr="00273F92" w:rsidRDefault="00EE52E1" w:rsidP="0036773E">
            <w:pPr>
              <w:pStyle w:val="Tabletext"/>
              <w:jc w:val="center"/>
            </w:pPr>
            <w:r w:rsidRPr="00273F92">
              <w:t>&lt; 0</w:t>
            </w:r>
            <w:r w:rsidRPr="00273F92">
              <w:rPr>
                <w:rFonts w:ascii="Cambria Math" w:hAnsi="Cambria Math" w:cs="Cambria Math"/>
              </w:rPr>
              <w:t>⋅</w:t>
            </w:r>
            <w:r w:rsidRPr="00273F92">
              <w:t>001</w:t>
            </w:r>
          </w:p>
        </w:tc>
      </w:tr>
      <w:tr w:rsidR="00EE52E1" w:rsidRPr="00273F92" w14:paraId="79960156" w14:textId="77777777" w:rsidTr="0036773E">
        <w:trPr>
          <w:trHeight w:val="300"/>
        </w:trPr>
        <w:tc>
          <w:tcPr>
            <w:tcW w:w="2702" w:type="pct"/>
            <w:noWrap/>
            <w:hideMark/>
          </w:tcPr>
          <w:p w14:paraId="601F8F41" w14:textId="77777777" w:rsidR="00EE52E1" w:rsidRPr="00273F92" w:rsidRDefault="00EE52E1" w:rsidP="0036773E">
            <w:pPr>
              <w:pStyle w:val="Tabletext"/>
            </w:pPr>
            <w:r w:rsidRPr="00273F92">
              <w:t>Total DRI score (0–120 points</w:t>
            </w:r>
            <w:r>
              <w:t>*</w:t>
            </w:r>
            <w:r w:rsidRPr="00273F92">
              <w:t>)</w:t>
            </w:r>
            <w:r>
              <w:t xml:space="preserve">, mean (SD) (as reported in </w:t>
            </w:r>
            <w:r>
              <w:rPr>
                <w:noProof/>
              </w:rPr>
              <w:t>Olsson (2019)</w:t>
            </w:r>
            <w:r>
              <w:t>)</w:t>
            </w:r>
          </w:p>
        </w:tc>
        <w:tc>
          <w:tcPr>
            <w:tcW w:w="801" w:type="pct"/>
            <w:noWrap/>
            <w:hideMark/>
          </w:tcPr>
          <w:p w14:paraId="35C79CBC" w14:textId="77777777" w:rsidR="00EE52E1" w:rsidRPr="00273F92" w:rsidRDefault="00EE52E1" w:rsidP="0036773E">
            <w:pPr>
              <w:pStyle w:val="Tabletext"/>
              <w:jc w:val="center"/>
            </w:pPr>
            <w:r w:rsidRPr="00273F92">
              <w:t>386</w:t>
            </w:r>
            <w:r>
              <w:t xml:space="preserve"> </w:t>
            </w:r>
            <w:r w:rsidRPr="00273F92">
              <w:t>(247)</w:t>
            </w:r>
          </w:p>
        </w:tc>
        <w:tc>
          <w:tcPr>
            <w:tcW w:w="975" w:type="pct"/>
            <w:noWrap/>
            <w:hideMark/>
          </w:tcPr>
          <w:p w14:paraId="45D4B642" w14:textId="77777777" w:rsidR="00EE52E1" w:rsidRPr="00273F92" w:rsidRDefault="00EE52E1" w:rsidP="0036773E">
            <w:pPr>
              <w:pStyle w:val="Tabletext"/>
              <w:jc w:val="center"/>
            </w:pPr>
            <w:r w:rsidRPr="00273F92">
              <w:t>82</w:t>
            </w:r>
            <w:r>
              <w:t xml:space="preserve"> </w:t>
            </w:r>
            <w:r w:rsidRPr="00273F92">
              <w:t>(118)</w:t>
            </w:r>
          </w:p>
        </w:tc>
        <w:tc>
          <w:tcPr>
            <w:tcW w:w="522" w:type="pct"/>
            <w:noWrap/>
            <w:hideMark/>
          </w:tcPr>
          <w:p w14:paraId="0C60D347" w14:textId="77777777" w:rsidR="00EE52E1" w:rsidRPr="00273F92" w:rsidRDefault="00EE52E1" w:rsidP="0036773E">
            <w:pPr>
              <w:pStyle w:val="Tabletext"/>
              <w:jc w:val="center"/>
            </w:pPr>
            <w:r w:rsidRPr="00273F92">
              <w:t>&lt; 0</w:t>
            </w:r>
            <w:r w:rsidRPr="00273F92">
              <w:rPr>
                <w:rFonts w:ascii="Cambria Math" w:hAnsi="Cambria Math" w:cs="Cambria Math"/>
              </w:rPr>
              <w:t>⋅</w:t>
            </w:r>
            <w:r w:rsidRPr="00273F92">
              <w:t>001</w:t>
            </w:r>
          </w:p>
        </w:tc>
      </w:tr>
      <w:tr w:rsidR="00EE52E1" w:rsidRPr="000253FB" w14:paraId="07860E41" w14:textId="77777777" w:rsidTr="0036773E">
        <w:trPr>
          <w:trHeight w:val="300"/>
        </w:trPr>
        <w:tc>
          <w:tcPr>
            <w:tcW w:w="2702" w:type="pct"/>
            <w:noWrap/>
          </w:tcPr>
          <w:p w14:paraId="0ABE4971" w14:textId="66740E8D" w:rsidR="00EE52E1" w:rsidRPr="000253FB" w:rsidRDefault="00EE52E1" w:rsidP="0036773E">
            <w:pPr>
              <w:pStyle w:val="Tabletext"/>
              <w:rPr>
                <w:i/>
                <w:iCs/>
                <w:color w:val="1F497D" w:themeColor="text2"/>
              </w:rPr>
            </w:pPr>
            <w:r w:rsidRPr="000253FB">
              <w:rPr>
                <w:i/>
                <w:iCs/>
                <w:color w:val="1F497D" w:themeColor="text2"/>
              </w:rPr>
              <w:t xml:space="preserve">Total DRI score as calculated in </w:t>
            </w:r>
            <w:r w:rsidR="00CC3E12">
              <w:rPr>
                <w:i/>
                <w:iCs/>
                <w:color w:val="1F497D" w:themeColor="text2"/>
              </w:rPr>
              <w:t>c</w:t>
            </w:r>
            <w:r w:rsidRPr="000253FB">
              <w:rPr>
                <w:i/>
                <w:iCs/>
                <w:color w:val="1F497D" w:themeColor="text2"/>
              </w:rPr>
              <w:t>ommentary</w:t>
            </w:r>
            <w:r>
              <w:rPr>
                <w:i/>
                <w:iCs/>
                <w:color w:val="1F497D" w:themeColor="text2"/>
              </w:rPr>
              <w:t xml:space="preserve"> (0-100 scale)</w:t>
            </w:r>
          </w:p>
        </w:tc>
        <w:tc>
          <w:tcPr>
            <w:tcW w:w="801" w:type="pct"/>
            <w:noWrap/>
          </w:tcPr>
          <w:p w14:paraId="411417A4" w14:textId="77777777" w:rsidR="00EE52E1" w:rsidRPr="000253FB" w:rsidRDefault="00EE52E1" w:rsidP="0036773E">
            <w:pPr>
              <w:pStyle w:val="Tabletext"/>
              <w:jc w:val="center"/>
              <w:rPr>
                <w:i/>
                <w:iCs/>
                <w:color w:val="1F497D" w:themeColor="text2"/>
              </w:rPr>
            </w:pPr>
            <w:r w:rsidRPr="000253FB">
              <w:rPr>
                <w:i/>
                <w:iCs/>
                <w:color w:val="1F497D" w:themeColor="text2"/>
              </w:rPr>
              <w:t>32.2</w:t>
            </w:r>
          </w:p>
        </w:tc>
        <w:tc>
          <w:tcPr>
            <w:tcW w:w="975" w:type="pct"/>
            <w:noWrap/>
          </w:tcPr>
          <w:p w14:paraId="3ADBD322" w14:textId="77777777" w:rsidR="00EE52E1" w:rsidRPr="000253FB" w:rsidRDefault="00EE52E1" w:rsidP="0036773E">
            <w:pPr>
              <w:pStyle w:val="Tabletext"/>
              <w:jc w:val="center"/>
              <w:rPr>
                <w:i/>
                <w:iCs/>
                <w:color w:val="1F497D" w:themeColor="text2"/>
              </w:rPr>
            </w:pPr>
            <w:r w:rsidRPr="000253FB">
              <w:rPr>
                <w:i/>
                <w:iCs/>
                <w:color w:val="1F497D" w:themeColor="text2"/>
              </w:rPr>
              <w:t>6.8</w:t>
            </w:r>
          </w:p>
        </w:tc>
        <w:tc>
          <w:tcPr>
            <w:tcW w:w="522" w:type="pct"/>
            <w:noWrap/>
          </w:tcPr>
          <w:p w14:paraId="1E3F900D" w14:textId="77777777" w:rsidR="00EE52E1" w:rsidRPr="000253FB" w:rsidRDefault="00EE52E1" w:rsidP="0036773E">
            <w:pPr>
              <w:pStyle w:val="Tabletext"/>
              <w:jc w:val="center"/>
              <w:rPr>
                <w:i/>
                <w:iCs/>
                <w:color w:val="1F497D" w:themeColor="text2"/>
              </w:rPr>
            </w:pPr>
          </w:p>
        </w:tc>
      </w:tr>
    </w:tbl>
    <w:p w14:paraId="3CDD8AB0" w14:textId="147455E0" w:rsidR="00EE52E1" w:rsidRDefault="00EE52E1" w:rsidP="009555C2">
      <w:pPr>
        <w:pStyle w:val="Tablenotes"/>
      </w:pPr>
      <w:r>
        <w:t xml:space="preserve">Source: ADAR Table 22 (p.71) with </w:t>
      </w:r>
      <w:r w:rsidR="00CC3E12">
        <w:t>c</w:t>
      </w:r>
      <w:r w:rsidR="003A218A">
        <w:t xml:space="preserve">ommentary additions in italics [Table 5, pxvi of the </w:t>
      </w:r>
      <w:r w:rsidR="00CC3E12">
        <w:t>c</w:t>
      </w:r>
      <w:r w:rsidR="003A218A">
        <w:t>ommentary]</w:t>
      </w:r>
    </w:p>
    <w:p w14:paraId="1A1E48D3" w14:textId="77777777" w:rsidR="00EE52E1" w:rsidRDefault="00EE52E1" w:rsidP="009555C2">
      <w:pPr>
        <w:pStyle w:val="Tablenotes"/>
      </w:pPr>
      <w:r>
        <w:t>DRI = Disability Rating Index; SD = standard deviation</w:t>
      </w:r>
    </w:p>
    <w:p w14:paraId="16DC73B0" w14:textId="77777777" w:rsidR="00EE52E1" w:rsidRDefault="00EE52E1" w:rsidP="009555C2">
      <w:pPr>
        <w:pStyle w:val="Tablenotes"/>
      </w:pPr>
      <w:r w:rsidRPr="000075DC">
        <w:t>*</w:t>
      </w:r>
      <w:r>
        <w:t xml:space="preserve"> as reported, should read 0-1,200 points</w:t>
      </w:r>
    </w:p>
    <w:p w14:paraId="224EE0C9" w14:textId="61640B21" w:rsidR="00EE52E1" w:rsidRDefault="00EE52E1" w:rsidP="005F6B7E">
      <w:r w:rsidRPr="005F6B7E">
        <w:t>Statistically significant changes in DRI were reported and these are greater than proposed minimal clinically important difference (MCID) values; however,</w:t>
      </w:r>
      <w:r w:rsidR="005F6B7E">
        <w:t xml:space="preserve"> the commentary considered that </w:t>
      </w:r>
      <w:r w:rsidRPr="005F6B7E">
        <w:t xml:space="preserve"> the findings should be considered cautiously as there is no external comparator and it is a patient-reported outcome</w:t>
      </w:r>
      <w:r>
        <w:t>.</w:t>
      </w:r>
    </w:p>
    <w:p w14:paraId="47123B30" w14:textId="24A41C71" w:rsidR="00EE52E1" w:rsidRPr="005F6B7E" w:rsidRDefault="00EE52E1" w:rsidP="009555C2">
      <w:pPr>
        <w:spacing w:before="240"/>
      </w:pPr>
      <w:r>
        <w:t xml:space="preserve">Physiological tests by a physiotherapist were also conducted in the </w:t>
      </w:r>
      <w:r>
        <w:rPr>
          <w:noProof/>
        </w:rPr>
        <w:t>Olsson (2019)</w:t>
      </w:r>
      <w:r>
        <w:t xml:space="preserve"> study. A majority of patients (38 of 50, 76%) had significantly better performance and stamina at follow-up than before surgery based on the physiological tests.</w:t>
      </w:r>
      <w:r w:rsidR="005F6B7E">
        <w:t xml:space="preserve"> The commentary </w:t>
      </w:r>
      <w:r w:rsidR="005F6B7E" w:rsidRPr="005F6B7E">
        <w:t xml:space="preserve">stated this </w:t>
      </w:r>
      <w:r w:rsidR="005F6B7E">
        <w:t>was</w:t>
      </w:r>
      <w:r w:rsidR="005F6B7E" w:rsidRPr="005F6B7E">
        <w:t xml:space="preserve"> the only non-patient reported outcome reported in the ADAR, although may still</w:t>
      </w:r>
      <w:r w:rsidR="005F6B7E" w:rsidRPr="005F6B7E">
        <w:rPr>
          <w:rStyle w:val="CommentChar"/>
          <w:i w:val="0"/>
          <w:color w:val="auto"/>
        </w:rPr>
        <w:t xml:space="preserve"> </w:t>
      </w:r>
      <w:r w:rsidR="005F6B7E" w:rsidRPr="005F6B7E">
        <w:t>be at risk of bias as the physiotherapist was not blinded and the study was non-comparative.</w:t>
      </w:r>
    </w:p>
    <w:p w14:paraId="41F71D8E" w14:textId="77777777" w:rsidR="005F6B7E" w:rsidRDefault="005F6B7E" w:rsidP="009555C2">
      <w:pPr>
        <w:pStyle w:val="Heading2"/>
        <w:spacing w:before="240"/>
      </w:pPr>
      <w:r>
        <w:t>Back pain</w:t>
      </w:r>
    </w:p>
    <w:p w14:paraId="42233B54" w14:textId="3AA1D6F2" w:rsidR="00180202" w:rsidRPr="009555C2" w:rsidRDefault="005F6B7E" w:rsidP="009555C2">
      <w:r>
        <w:t xml:space="preserve">Change in back pain measured with the Oswestry Disability Index (ODI) is presented in </w:t>
      </w:r>
      <w:r w:rsidR="00180202">
        <w:t>Table 7</w:t>
      </w:r>
      <w:r>
        <w:t>. The ODI ranges from 0 to 100% with a change of 9.5 considered clinically significant. The ADAR proposed that a post-operative reduction in baseline ODI of 35% is a suitable MCID for ODI.</w:t>
      </w:r>
      <w:bookmarkStart w:id="7" w:name="_Ref69480943"/>
      <w:r w:rsidR="00180202">
        <w:br w:type="page"/>
      </w:r>
    </w:p>
    <w:p w14:paraId="634E467F" w14:textId="17C38071" w:rsidR="005F6B7E" w:rsidRPr="00331137" w:rsidRDefault="005F6B7E" w:rsidP="005F6B7E">
      <w:pPr>
        <w:pStyle w:val="Caption"/>
      </w:pPr>
      <w:r>
        <w:lastRenderedPageBreak/>
        <w:t>Table</w:t>
      </w:r>
      <w:bookmarkEnd w:id="7"/>
      <w:r w:rsidR="00180202">
        <w:rPr>
          <w:noProof/>
        </w:rPr>
        <w:t xml:space="preserve"> 7</w:t>
      </w:r>
      <w:r>
        <w:tab/>
      </w:r>
      <w:r w:rsidRPr="00331137">
        <w:t>Change in Oswestry Disability Index score for back pain from baseline</w:t>
      </w:r>
    </w:p>
    <w:tbl>
      <w:tblPr>
        <w:tblStyle w:val="TableGrid"/>
        <w:tblW w:w="0" w:type="auto"/>
        <w:tblLook w:val="04A0" w:firstRow="1" w:lastRow="0" w:firstColumn="1" w:lastColumn="0" w:noHBand="0" w:noVBand="1"/>
        <w:tblCaption w:val="Change in Oswestry Disability Index score for back pain from baseline"/>
        <w:tblDescription w:val="The table outlines for Taylor 2018 and Carrara 2020, the numbers, mean at baseline, mean and standard deviation at 4-6 weeks and six months follow up. The mean difference from six months to baseline with confidence intervals and reduction in baseline ODI as a percentage, are also included. "/>
      </w:tblPr>
      <w:tblGrid>
        <w:gridCol w:w="1672"/>
        <w:gridCol w:w="964"/>
        <w:gridCol w:w="1123"/>
        <w:gridCol w:w="1198"/>
        <w:gridCol w:w="1134"/>
        <w:gridCol w:w="1843"/>
        <w:gridCol w:w="1082"/>
      </w:tblGrid>
      <w:tr w:rsidR="005F6B7E" w:rsidRPr="00331137" w14:paraId="26E7C075" w14:textId="77777777" w:rsidTr="0036773E">
        <w:trPr>
          <w:tblHeader/>
        </w:trPr>
        <w:tc>
          <w:tcPr>
            <w:tcW w:w="1672" w:type="dxa"/>
          </w:tcPr>
          <w:p w14:paraId="4CF35A2A" w14:textId="77777777" w:rsidR="005F6B7E" w:rsidRPr="00331137" w:rsidRDefault="005F6B7E" w:rsidP="003A218A">
            <w:pPr>
              <w:pStyle w:val="TableHeading"/>
              <w:ind w:left="0" w:firstLine="0"/>
            </w:pPr>
            <w:r>
              <w:t>Study ID</w:t>
            </w:r>
          </w:p>
        </w:tc>
        <w:tc>
          <w:tcPr>
            <w:tcW w:w="964" w:type="dxa"/>
          </w:tcPr>
          <w:p w14:paraId="2ED6E9E8" w14:textId="77777777" w:rsidR="005F6B7E" w:rsidRPr="00331137" w:rsidRDefault="005F6B7E" w:rsidP="003A218A">
            <w:pPr>
              <w:pStyle w:val="TableHeading"/>
              <w:ind w:left="0" w:firstLine="0"/>
            </w:pPr>
            <w:r>
              <w:t>N</w:t>
            </w:r>
          </w:p>
        </w:tc>
        <w:tc>
          <w:tcPr>
            <w:tcW w:w="1123" w:type="dxa"/>
          </w:tcPr>
          <w:p w14:paraId="05D82B4C" w14:textId="77777777" w:rsidR="005F6B7E" w:rsidRPr="00331137" w:rsidRDefault="005F6B7E" w:rsidP="003A218A">
            <w:pPr>
              <w:pStyle w:val="TableHeading"/>
              <w:ind w:left="0" w:firstLine="0"/>
            </w:pPr>
            <w:r w:rsidRPr="00331137">
              <w:t>Mean (SD) at baseline</w:t>
            </w:r>
          </w:p>
        </w:tc>
        <w:tc>
          <w:tcPr>
            <w:tcW w:w="1198" w:type="dxa"/>
          </w:tcPr>
          <w:p w14:paraId="5101B70F" w14:textId="77777777" w:rsidR="005F6B7E" w:rsidRPr="00331137" w:rsidRDefault="005F6B7E" w:rsidP="003A218A">
            <w:pPr>
              <w:pStyle w:val="TableHeading"/>
              <w:ind w:left="0" w:firstLine="0"/>
            </w:pPr>
            <w:r w:rsidRPr="00331137">
              <w:t xml:space="preserve">Mean (SD) at </w:t>
            </w:r>
            <w:r>
              <w:t xml:space="preserve">4-6-week </w:t>
            </w:r>
            <w:r w:rsidRPr="00331137">
              <w:t>follow-up</w:t>
            </w:r>
          </w:p>
        </w:tc>
        <w:tc>
          <w:tcPr>
            <w:tcW w:w="1134" w:type="dxa"/>
          </w:tcPr>
          <w:p w14:paraId="49D899FC" w14:textId="77777777" w:rsidR="005F6B7E" w:rsidRPr="00331137" w:rsidRDefault="005F6B7E" w:rsidP="003A218A">
            <w:pPr>
              <w:pStyle w:val="TableHeading"/>
              <w:ind w:left="0" w:firstLine="0"/>
            </w:pPr>
            <w:r w:rsidRPr="00331137">
              <w:t xml:space="preserve">Mean (SD) at </w:t>
            </w:r>
            <w:r>
              <w:t xml:space="preserve">6-month </w:t>
            </w:r>
            <w:r w:rsidRPr="00331137">
              <w:t>follow-up</w:t>
            </w:r>
          </w:p>
        </w:tc>
        <w:tc>
          <w:tcPr>
            <w:tcW w:w="1843" w:type="dxa"/>
          </w:tcPr>
          <w:p w14:paraId="159822BB" w14:textId="77777777" w:rsidR="005F6B7E" w:rsidRPr="00331137" w:rsidRDefault="005F6B7E" w:rsidP="003A218A">
            <w:pPr>
              <w:pStyle w:val="TableHeading"/>
              <w:ind w:left="0" w:firstLine="0"/>
            </w:pPr>
            <w:r w:rsidRPr="00331137">
              <w:t>Mean Difference</w:t>
            </w:r>
            <w:r>
              <w:t xml:space="preserve"> (6-month to baseline)</w:t>
            </w:r>
            <w:r w:rsidRPr="00331137">
              <w:t xml:space="preserve"> </w:t>
            </w:r>
            <w:r>
              <w:br/>
            </w:r>
            <w:r w:rsidRPr="00331137">
              <w:t>(95% CI)</w:t>
            </w:r>
          </w:p>
        </w:tc>
        <w:tc>
          <w:tcPr>
            <w:tcW w:w="1082" w:type="dxa"/>
          </w:tcPr>
          <w:p w14:paraId="08790CAB" w14:textId="77777777" w:rsidR="005F6B7E" w:rsidRPr="00331137" w:rsidRDefault="005F6B7E" w:rsidP="003A218A">
            <w:pPr>
              <w:pStyle w:val="TableHeading"/>
              <w:ind w:left="0" w:firstLine="0"/>
            </w:pPr>
            <w:r>
              <w:t>Reduction in baseline ODI (%)</w:t>
            </w:r>
          </w:p>
        </w:tc>
      </w:tr>
      <w:tr w:rsidR="005F6B7E" w:rsidRPr="00331137" w14:paraId="5EC04428" w14:textId="77777777" w:rsidTr="0036773E">
        <w:tc>
          <w:tcPr>
            <w:tcW w:w="1672" w:type="dxa"/>
          </w:tcPr>
          <w:p w14:paraId="23CF1528" w14:textId="77777777" w:rsidR="005F6B7E" w:rsidRPr="00331137" w:rsidRDefault="005F6B7E" w:rsidP="0036773E">
            <w:pPr>
              <w:pStyle w:val="Tabletext"/>
            </w:pPr>
            <w:r>
              <w:rPr>
                <w:noProof/>
              </w:rPr>
              <w:t>Taylor (2018)</w:t>
            </w:r>
            <w:r>
              <w:t xml:space="preserve"> study (Australian cohort)</w:t>
            </w:r>
          </w:p>
        </w:tc>
        <w:tc>
          <w:tcPr>
            <w:tcW w:w="964" w:type="dxa"/>
          </w:tcPr>
          <w:p w14:paraId="5A6B7267" w14:textId="77777777" w:rsidR="005F6B7E" w:rsidRPr="00331137" w:rsidRDefault="005F6B7E" w:rsidP="0036773E">
            <w:pPr>
              <w:pStyle w:val="Tabletext"/>
              <w:jc w:val="center"/>
            </w:pPr>
            <w:r>
              <w:t>214</w:t>
            </w:r>
          </w:p>
        </w:tc>
        <w:tc>
          <w:tcPr>
            <w:tcW w:w="1123" w:type="dxa"/>
          </w:tcPr>
          <w:p w14:paraId="6710AF35" w14:textId="77777777" w:rsidR="005F6B7E" w:rsidRPr="00331137" w:rsidRDefault="005F6B7E" w:rsidP="0036773E">
            <w:pPr>
              <w:pStyle w:val="Tabletext"/>
              <w:jc w:val="center"/>
            </w:pPr>
            <w:r w:rsidRPr="00331137">
              <w:t>10.9 (7.31)</w:t>
            </w:r>
          </w:p>
        </w:tc>
        <w:tc>
          <w:tcPr>
            <w:tcW w:w="1198" w:type="dxa"/>
          </w:tcPr>
          <w:p w14:paraId="061E83A3" w14:textId="77777777" w:rsidR="005F6B7E" w:rsidRPr="00331137" w:rsidRDefault="005F6B7E" w:rsidP="0036773E">
            <w:pPr>
              <w:pStyle w:val="Tabletext"/>
              <w:jc w:val="center"/>
            </w:pPr>
            <w:r w:rsidRPr="00331137">
              <w:t>3.97 (5.65)</w:t>
            </w:r>
          </w:p>
        </w:tc>
        <w:tc>
          <w:tcPr>
            <w:tcW w:w="1134" w:type="dxa"/>
          </w:tcPr>
          <w:p w14:paraId="5BACAF99" w14:textId="77777777" w:rsidR="005F6B7E" w:rsidRPr="00331137" w:rsidRDefault="005F6B7E" w:rsidP="0036773E">
            <w:pPr>
              <w:pStyle w:val="Tabletext"/>
              <w:jc w:val="center"/>
            </w:pPr>
            <w:r w:rsidRPr="00331137">
              <w:t>1.58 (3.49)</w:t>
            </w:r>
          </w:p>
        </w:tc>
        <w:tc>
          <w:tcPr>
            <w:tcW w:w="1843" w:type="dxa"/>
          </w:tcPr>
          <w:p w14:paraId="0AD960F2" w14:textId="77777777" w:rsidR="005F6B7E" w:rsidRPr="00331137" w:rsidRDefault="005F6B7E" w:rsidP="0036773E">
            <w:pPr>
              <w:pStyle w:val="Tabletext"/>
              <w:jc w:val="center"/>
              <w:rPr>
                <w:b/>
              </w:rPr>
            </w:pPr>
            <w:r w:rsidRPr="00331137">
              <w:rPr>
                <w:b/>
              </w:rPr>
              <w:t>-9.32</w:t>
            </w:r>
            <w:r>
              <w:rPr>
                <w:b/>
              </w:rPr>
              <w:br/>
            </w:r>
            <w:r w:rsidRPr="00331137">
              <w:rPr>
                <w:b/>
              </w:rPr>
              <w:t>(-10.40; -8.24)</w:t>
            </w:r>
          </w:p>
        </w:tc>
        <w:tc>
          <w:tcPr>
            <w:tcW w:w="1082" w:type="dxa"/>
          </w:tcPr>
          <w:p w14:paraId="5068C7A7" w14:textId="77777777" w:rsidR="005F6B7E" w:rsidRPr="00F02853" w:rsidRDefault="005F6B7E" w:rsidP="0036773E">
            <w:pPr>
              <w:pStyle w:val="Tabletext"/>
              <w:jc w:val="center"/>
              <w:rPr>
                <w:bCs/>
              </w:rPr>
            </w:pPr>
            <w:r w:rsidRPr="00F02853">
              <w:rPr>
                <w:bCs/>
              </w:rPr>
              <w:t>85.5%</w:t>
            </w:r>
          </w:p>
        </w:tc>
      </w:tr>
      <w:tr w:rsidR="005F6B7E" w:rsidRPr="00331137" w14:paraId="15A2211B" w14:textId="77777777" w:rsidTr="0036773E">
        <w:tc>
          <w:tcPr>
            <w:tcW w:w="1672" w:type="dxa"/>
          </w:tcPr>
          <w:p w14:paraId="1103A15A" w14:textId="77777777" w:rsidR="005F6B7E" w:rsidRPr="00331137" w:rsidRDefault="005F6B7E" w:rsidP="0036773E">
            <w:pPr>
              <w:pStyle w:val="Tabletext"/>
            </w:pPr>
            <w:r>
              <w:rPr>
                <w:noProof/>
              </w:rPr>
              <w:t>Carrara (2020)</w:t>
            </w:r>
          </w:p>
        </w:tc>
        <w:tc>
          <w:tcPr>
            <w:tcW w:w="964" w:type="dxa"/>
          </w:tcPr>
          <w:p w14:paraId="5351C5F9" w14:textId="77777777" w:rsidR="005F6B7E" w:rsidRPr="007A254F" w:rsidRDefault="005F6B7E" w:rsidP="0036773E">
            <w:pPr>
              <w:pStyle w:val="Tabletext"/>
              <w:jc w:val="center"/>
              <w:rPr>
                <w:strike/>
              </w:rPr>
            </w:pPr>
            <w:r w:rsidRPr="007A254F">
              <w:rPr>
                <w:strike/>
              </w:rPr>
              <w:t>110</w:t>
            </w:r>
            <w:r w:rsidRPr="007A254F">
              <w:rPr>
                <w:i/>
                <w:iCs/>
                <w:color w:val="1F497D" w:themeColor="text2"/>
              </w:rPr>
              <w:t xml:space="preserve"> 75</w:t>
            </w:r>
          </w:p>
        </w:tc>
        <w:tc>
          <w:tcPr>
            <w:tcW w:w="1123" w:type="dxa"/>
          </w:tcPr>
          <w:p w14:paraId="0324B7DA" w14:textId="77777777" w:rsidR="005F6B7E" w:rsidRPr="00331137" w:rsidRDefault="005F6B7E" w:rsidP="0036773E">
            <w:pPr>
              <w:pStyle w:val="Tabletext"/>
              <w:jc w:val="center"/>
            </w:pPr>
            <w:r>
              <w:t>11.5 (4.4)</w:t>
            </w:r>
          </w:p>
        </w:tc>
        <w:tc>
          <w:tcPr>
            <w:tcW w:w="1198" w:type="dxa"/>
          </w:tcPr>
          <w:p w14:paraId="32ADEA3B" w14:textId="77777777" w:rsidR="005F6B7E" w:rsidRDefault="005F6B7E" w:rsidP="0036773E">
            <w:pPr>
              <w:pStyle w:val="Tabletext"/>
              <w:jc w:val="center"/>
            </w:pPr>
            <w:r>
              <w:t>4.3 (5.4)</w:t>
            </w:r>
          </w:p>
        </w:tc>
        <w:tc>
          <w:tcPr>
            <w:tcW w:w="1134" w:type="dxa"/>
          </w:tcPr>
          <w:p w14:paraId="54FFB094" w14:textId="77777777" w:rsidR="005F6B7E" w:rsidRPr="00331137" w:rsidRDefault="005F6B7E" w:rsidP="0036773E">
            <w:pPr>
              <w:pStyle w:val="Tabletext"/>
              <w:jc w:val="center"/>
            </w:pPr>
            <w:r>
              <w:t>2.6 (3.1)</w:t>
            </w:r>
          </w:p>
        </w:tc>
        <w:tc>
          <w:tcPr>
            <w:tcW w:w="1843" w:type="dxa"/>
          </w:tcPr>
          <w:p w14:paraId="7025F1C2" w14:textId="77777777" w:rsidR="005F6B7E" w:rsidRPr="00403036" w:rsidRDefault="005F6B7E" w:rsidP="0036773E">
            <w:pPr>
              <w:pStyle w:val="Tabletext"/>
              <w:jc w:val="center"/>
              <w:rPr>
                <w:b/>
                <w:bCs/>
              </w:rPr>
            </w:pPr>
            <w:r w:rsidRPr="00403036">
              <w:rPr>
                <w:b/>
                <w:bCs/>
              </w:rPr>
              <w:t>-8.9</w:t>
            </w:r>
            <w:r>
              <w:rPr>
                <w:b/>
                <w:bCs/>
              </w:rPr>
              <w:br/>
            </w:r>
            <w:r w:rsidRPr="00403036">
              <w:rPr>
                <w:b/>
                <w:bCs/>
              </w:rPr>
              <w:t>(-9.91; -7.89)</w:t>
            </w:r>
            <w:r>
              <w:rPr>
                <w:b/>
                <w:bCs/>
              </w:rPr>
              <w:br/>
            </w:r>
            <w:r w:rsidRPr="00403036">
              <w:rPr>
                <w:b/>
                <w:bCs/>
              </w:rPr>
              <w:t>P &lt;0.001</w:t>
            </w:r>
            <w:r w:rsidRPr="00AD51FF">
              <w:rPr>
                <w:b/>
                <w:bCs/>
                <w:vertAlign w:val="superscript"/>
              </w:rPr>
              <w:t>a</w:t>
            </w:r>
          </w:p>
        </w:tc>
        <w:tc>
          <w:tcPr>
            <w:tcW w:w="1082" w:type="dxa"/>
          </w:tcPr>
          <w:p w14:paraId="7AB89111" w14:textId="77777777" w:rsidR="005F6B7E" w:rsidRPr="00F02853" w:rsidRDefault="005F6B7E" w:rsidP="0036773E">
            <w:pPr>
              <w:pStyle w:val="Tabletext"/>
              <w:jc w:val="center"/>
              <w:rPr>
                <w:bCs/>
              </w:rPr>
            </w:pPr>
            <w:r w:rsidRPr="00F02853">
              <w:rPr>
                <w:bCs/>
              </w:rPr>
              <w:t>77.4%</w:t>
            </w:r>
          </w:p>
        </w:tc>
      </w:tr>
    </w:tbl>
    <w:p w14:paraId="07DCB9E4" w14:textId="3BA88A80" w:rsidR="005F6B7E" w:rsidRPr="00F02853" w:rsidRDefault="005F6B7E" w:rsidP="009555C2">
      <w:pPr>
        <w:pStyle w:val="Tablenotes"/>
      </w:pPr>
      <w:r w:rsidRPr="00F02853">
        <w:t>Source</w:t>
      </w:r>
      <w:r>
        <w:t>: Modified from Table 23</w:t>
      </w:r>
      <w:r w:rsidRPr="00F02853">
        <w:t xml:space="preserve"> (p.</w:t>
      </w:r>
      <w:r>
        <w:t>72</w:t>
      </w:r>
      <w:r w:rsidRPr="00F02853">
        <w:t xml:space="preserve">) of </w:t>
      </w:r>
      <w:r>
        <w:t xml:space="preserve">ADAR, with </w:t>
      </w:r>
      <w:r w:rsidR="00CC3E12">
        <w:t>c</w:t>
      </w:r>
      <w:r>
        <w:t>ommentary amendment in italics.</w:t>
      </w:r>
      <w:r w:rsidR="003A218A">
        <w:t xml:space="preserve"> [Table 6, pxvii of the </w:t>
      </w:r>
      <w:r w:rsidR="00CC3E12">
        <w:t>c</w:t>
      </w:r>
      <w:r w:rsidR="003A218A">
        <w:t>ommentary]</w:t>
      </w:r>
    </w:p>
    <w:p w14:paraId="39D41255" w14:textId="77777777" w:rsidR="005F6B7E" w:rsidRDefault="005F6B7E" w:rsidP="009555C2">
      <w:pPr>
        <w:pStyle w:val="Tablenotes"/>
      </w:pPr>
      <w:r w:rsidRPr="00F02853">
        <w:t xml:space="preserve">CI = confidence interval; </w:t>
      </w:r>
      <w:r>
        <w:t xml:space="preserve">ODI = Oswestry Disability Index; </w:t>
      </w:r>
      <w:r w:rsidRPr="00F02853">
        <w:t>SD = standard deviation</w:t>
      </w:r>
    </w:p>
    <w:p w14:paraId="17D00AB1" w14:textId="77777777" w:rsidR="005F6B7E" w:rsidRPr="00F02853" w:rsidRDefault="005F6B7E" w:rsidP="009555C2">
      <w:pPr>
        <w:pStyle w:val="Tablenotes"/>
      </w:pPr>
      <w:r w:rsidRPr="000075DC">
        <w:rPr>
          <w:b/>
          <w:bCs/>
        </w:rPr>
        <w:t>Bold</w:t>
      </w:r>
      <w:r w:rsidRPr="00F02853">
        <w:t xml:space="preserve"> = statistically significant change from baseline (</w:t>
      </w:r>
      <w:r>
        <w:t>P</w:t>
      </w:r>
      <w:r w:rsidRPr="00F02853">
        <w:t xml:space="preserve"> &lt; 0.05)</w:t>
      </w:r>
    </w:p>
    <w:p w14:paraId="2336EA8A" w14:textId="77777777" w:rsidR="005F6B7E" w:rsidRPr="00F02853" w:rsidRDefault="005F6B7E" w:rsidP="009555C2">
      <w:pPr>
        <w:pStyle w:val="Tablenotes"/>
      </w:pPr>
      <w:r w:rsidRPr="000075DC">
        <w:rPr>
          <w:b/>
          <w:bCs/>
        </w:rPr>
        <w:t>a</w:t>
      </w:r>
      <w:r w:rsidRPr="00F02853">
        <w:t xml:space="preserve"> Calculated by </w:t>
      </w:r>
      <w:r>
        <w:t>A</w:t>
      </w:r>
      <w:r w:rsidRPr="00F02853">
        <w:t xml:space="preserve">pplicant during the preparation of the </w:t>
      </w:r>
      <w:r>
        <w:t>ADAR</w:t>
      </w:r>
    </w:p>
    <w:p w14:paraId="0CD0797E" w14:textId="156DEC3C" w:rsidR="005F6B7E" w:rsidRDefault="005F6B7E" w:rsidP="005F6B7E">
      <w:r>
        <w:t xml:space="preserve">In the two studies reporting this outcome </w:t>
      </w:r>
      <w:r>
        <w:rPr>
          <w:noProof/>
        </w:rPr>
        <w:t>(Carrara, 2020; Taylor, 2018)</w:t>
      </w:r>
      <w:r>
        <w:t>, there was a statistically significant change at 6 months compared with baseline. However, in both studies the baseline value was very low (&lt;20%, indicating minimal disability) and the change did not reach clinical significance.</w:t>
      </w:r>
    </w:p>
    <w:p w14:paraId="34D18395" w14:textId="5A14F28D" w:rsidR="005F6B7E" w:rsidRDefault="0007321C" w:rsidP="009555C2">
      <w:pPr>
        <w:spacing w:before="240"/>
      </w:pPr>
      <w:r>
        <w:t>The commentary considered that t</w:t>
      </w:r>
      <w:r w:rsidR="005F6B7E">
        <w:t>he ODI scores in the two studies also raise applicability concerns as the</w:t>
      </w:r>
      <w:r>
        <w:t>se</w:t>
      </w:r>
      <w:r w:rsidR="005F6B7E">
        <w:t xml:space="preserve"> patients </w:t>
      </w:r>
      <w:r>
        <w:t>had</w:t>
      </w:r>
      <w:r w:rsidR="005F6B7E">
        <w:t xml:space="preserve"> mild back pain for which no treatment is indicated and therefore may not be eligible for the proposed MBS item, although no threshold is explicitly specified.</w:t>
      </w:r>
    </w:p>
    <w:p w14:paraId="64B1B66E" w14:textId="30D36CE7" w:rsidR="005F6B7E" w:rsidRDefault="005F6B7E" w:rsidP="009555C2">
      <w:pPr>
        <w:spacing w:before="240"/>
      </w:pPr>
      <w:r>
        <w:t xml:space="preserve">An alternative analysis of the ODI was presented in </w:t>
      </w:r>
      <w:r>
        <w:rPr>
          <w:noProof/>
        </w:rPr>
        <w:t>Taylor (2018)</w:t>
      </w:r>
      <w:r>
        <w:t xml:space="preserve"> in which the number of patients in each category of disability at baseline and at 6 months post-surgery is reported (</w:t>
      </w:r>
      <w:r w:rsidR="0007321C">
        <w:t xml:space="preserve">Table </w:t>
      </w:r>
      <w:r w:rsidR="00180202">
        <w:t>8</w:t>
      </w:r>
      <w:r>
        <w:t>).</w:t>
      </w:r>
    </w:p>
    <w:p w14:paraId="10B088DC" w14:textId="0438F468" w:rsidR="005F6B7E" w:rsidRDefault="005F6B7E" w:rsidP="009555C2">
      <w:pPr>
        <w:pStyle w:val="Caption"/>
        <w:spacing w:before="240"/>
      </w:pPr>
      <w:bookmarkStart w:id="8" w:name="_Ref69480963"/>
      <w:r>
        <w:t xml:space="preserve">Table </w:t>
      </w:r>
      <w:bookmarkEnd w:id="8"/>
      <w:r w:rsidR="00180202">
        <w:t>8</w:t>
      </w:r>
      <w:r>
        <w:tab/>
        <w:t xml:space="preserve">Oswestry Disability Index categories at baseline and 6-month follow-up reported in Taylor </w:t>
      </w:r>
      <w:r w:rsidR="001D0D5C">
        <w:t>(</w:t>
      </w:r>
      <w:r>
        <w:t>2018</w:t>
      </w:r>
      <w:r w:rsidR="001D0D5C">
        <w:t>)</w:t>
      </w:r>
      <w:r>
        <w:t xml:space="preserve"> study</w:t>
      </w:r>
    </w:p>
    <w:tbl>
      <w:tblPr>
        <w:tblStyle w:val="TableGrid"/>
        <w:tblW w:w="0" w:type="auto"/>
        <w:tblLook w:val="04A0" w:firstRow="1" w:lastRow="0" w:firstColumn="1" w:lastColumn="0" w:noHBand="0" w:noVBand="1"/>
        <w:tblCaption w:val="Oswestry Disability Index categories at baseline and 6-month follow-up reported in Taylor 2018 study"/>
        <w:tblDescription w:val="The table specifies the Oswestry Disability Index scoring categories, disability, no of patients at baseline and at six months follow-up. "/>
      </w:tblPr>
      <w:tblGrid>
        <w:gridCol w:w="2830"/>
        <w:gridCol w:w="2127"/>
        <w:gridCol w:w="1984"/>
        <w:gridCol w:w="2075"/>
      </w:tblGrid>
      <w:tr w:rsidR="005F6B7E" w14:paraId="20572680" w14:textId="77777777" w:rsidTr="0036773E">
        <w:trPr>
          <w:tblHeader/>
        </w:trPr>
        <w:tc>
          <w:tcPr>
            <w:tcW w:w="2830" w:type="dxa"/>
          </w:tcPr>
          <w:p w14:paraId="5F7F0CCD" w14:textId="77777777" w:rsidR="005F6B7E" w:rsidRDefault="005F6B7E" w:rsidP="0053761B">
            <w:pPr>
              <w:pStyle w:val="TableHeading"/>
              <w:ind w:left="0" w:firstLine="0"/>
            </w:pPr>
            <w:r>
              <w:t>Oswestry Disability Index scoring categories</w:t>
            </w:r>
          </w:p>
        </w:tc>
        <w:tc>
          <w:tcPr>
            <w:tcW w:w="2127" w:type="dxa"/>
          </w:tcPr>
          <w:p w14:paraId="281B0D1C" w14:textId="77777777" w:rsidR="005F6B7E" w:rsidRDefault="005F6B7E" w:rsidP="0053761B">
            <w:pPr>
              <w:pStyle w:val="TableHeading"/>
              <w:ind w:left="0" w:firstLine="0"/>
            </w:pPr>
            <w:r>
              <w:t>Disability</w:t>
            </w:r>
          </w:p>
        </w:tc>
        <w:tc>
          <w:tcPr>
            <w:tcW w:w="1984" w:type="dxa"/>
          </w:tcPr>
          <w:p w14:paraId="30D2AF95" w14:textId="77777777" w:rsidR="005F6B7E" w:rsidRDefault="005F6B7E" w:rsidP="0053761B">
            <w:pPr>
              <w:pStyle w:val="TableHeading"/>
              <w:ind w:left="0" w:firstLine="0"/>
            </w:pPr>
            <w:r>
              <w:t>No. of patients</w:t>
            </w:r>
            <w:r>
              <w:br/>
              <w:t>Baseline</w:t>
            </w:r>
          </w:p>
        </w:tc>
        <w:tc>
          <w:tcPr>
            <w:tcW w:w="2075" w:type="dxa"/>
          </w:tcPr>
          <w:p w14:paraId="1DA6BAC0" w14:textId="77777777" w:rsidR="005F6B7E" w:rsidRDefault="005F6B7E" w:rsidP="0053761B">
            <w:pPr>
              <w:pStyle w:val="TableHeading"/>
              <w:ind w:left="0" w:firstLine="0"/>
            </w:pPr>
            <w:r>
              <w:t>No. of patients</w:t>
            </w:r>
            <w:r>
              <w:br/>
              <w:t>6-month follow-up</w:t>
            </w:r>
          </w:p>
        </w:tc>
      </w:tr>
      <w:tr w:rsidR="005F6B7E" w14:paraId="070313A6" w14:textId="77777777" w:rsidTr="0036773E">
        <w:tc>
          <w:tcPr>
            <w:tcW w:w="2830" w:type="dxa"/>
          </w:tcPr>
          <w:p w14:paraId="4A6CD2AB" w14:textId="77777777" w:rsidR="005F6B7E" w:rsidRDefault="005F6B7E" w:rsidP="0053761B">
            <w:pPr>
              <w:pStyle w:val="Tabletext"/>
            </w:pPr>
            <w:r>
              <w:t>0-20%</w:t>
            </w:r>
          </w:p>
        </w:tc>
        <w:tc>
          <w:tcPr>
            <w:tcW w:w="2127" w:type="dxa"/>
          </w:tcPr>
          <w:p w14:paraId="4BDABF9D" w14:textId="77777777" w:rsidR="005F6B7E" w:rsidRDefault="005F6B7E" w:rsidP="0053761B">
            <w:pPr>
              <w:pStyle w:val="Tabletext"/>
            </w:pPr>
            <w:r>
              <w:t>Mild</w:t>
            </w:r>
          </w:p>
        </w:tc>
        <w:tc>
          <w:tcPr>
            <w:tcW w:w="1984" w:type="dxa"/>
          </w:tcPr>
          <w:p w14:paraId="21F5CD8B" w14:textId="77777777" w:rsidR="005F6B7E" w:rsidRDefault="005F6B7E" w:rsidP="0053761B">
            <w:pPr>
              <w:pStyle w:val="Tabletext"/>
            </w:pPr>
            <w:r>
              <w:t>105</w:t>
            </w:r>
          </w:p>
        </w:tc>
        <w:tc>
          <w:tcPr>
            <w:tcW w:w="2075" w:type="dxa"/>
          </w:tcPr>
          <w:p w14:paraId="6DDB095D" w14:textId="77777777" w:rsidR="005F6B7E" w:rsidRDefault="005F6B7E" w:rsidP="0053761B">
            <w:pPr>
              <w:pStyle w:val="Tabletext"/>
            </w:pPr>
            <w:r>
              <w:t>206</w:t>
            </w:r>
          </w:p>
        </w:tc>
      </w:tr>
      <w:tr w:rsidR="005F6B7E" w14:paraId="2AB61079" w14:textId="77777777" w:rsidTr="0036773E">
        <w:tc>
          <w:tcPr>
            <w:tcW w:w="2830" w:type="dxa"/>
          </w:tcPr>
          <w:p w14:paraId="1C157949" w14:textId="77777777" w:rsidR="005F6B7E" w:rsidRDefault="005F6B7E" w:rsidP="0053761B">
            <w:pPr>
              <w:pStyle w:val="Tabletext"/>
            </w:pPr>
            <w:r>
              <w:t>21-40%</w:t>
            </w:r>
          </w:p>
        </w:tc>
        <w:tc>
          <w:tcPr>
            <w:tcW w:w="2127" w:type="dxa"/>
          </w:tcPr>
          <w:p w14:paraId="7EDA9EE9" w14:textId="77777777" w:rsidR="005F6B7E" w:rsidRDefault="005F6B7E" w:rsidP="0053761B">
            <w:pPr>
              <w:pStyle w:val="Tabletext"/>
            </w:pPr>
            <w:r>
              <w:t>Moderate</w:t>
            </w:r>
          </w:p>
        </w:tc>
        <w:tc>
          <w:tcPr>
            <w:tcW w:w="1984" w:type="dxa"/>
          </w:tcPr>
          <w:p w14:paraId="240F5618" w14:textId="77777777" w:rsidR="005F6B7E" w:rsidRDefault="005F6B7E" w:rsidP="0053761B">
            <w:pPr>
              <w:pStyle w:val="Tabletext"/>
            </w:pPr>
            <w:r>
              <w:t>89</w:t>
            </w:r>
          </w:p>
        </w:tc>
        <w:tc>
          <w:tcPr>
            <w:tcW w:w="2075" w:type="dxa"/>
          </w:tcPr>
          <w:p w14:paraId="7B669D86" w14:textId="77777777" w:rsidR="005F6B7E" w:rsidRDefault="005F6B7E" w:rsidP="0053761B">
            <w:pPr>
              <w:pStyle w:val="Tabletext"/>
            </w:pPr>
            <w:r>
              <w:t>7</w:t>
            </w:r>
          </w:p>
        </w:tc>
      </w:tr>
      <w:tr w:rsidR="005F6B7E" w14:paraId="3805AEDA" w14:textId="77777777" w:rsidTr="0036773E">
        <w:tc>
          <w:tcPr>
            <w:tcW w:w="2830" w:type="dxa"/>
          </w:tcPr>
          <w:p w14:paraId="25A2AFED" w14:textId="77777777" w:rsidR="005F6B7E" w:rsidRDefault="005F6B7E" w:rsidP="0053761B">
            <w:pPr>
              <w:pStyle w:val="Tabletext"/>
            </w:pPr>
            <w:r>
              <w:t>41-60%</w:t>
            </w:r>
          </w:p>
        </w:tc>
        <w:tc>
          <w:tcPr>
            <w:tcW w:w="2127" w:type="dxa"/>
          </w:tcPr>
          <w:p w14:paraId="6D43D2E3" w14:textId="77777777" w:rsidR="005F6B7E" w:rsidRDefault="005F6B7E" w:rsidP="0053761B">
            <w:pPr>
              <w:pStyle w:val="Tabletext"/>
            </w:pPr>
            <w:r>
              <w:t>Severe</w:t>
            </w:r>
          </w:p>
        </w:tc>
        <w:tc>
          <w:tcPr>
            <w:tcW w:w="1984" w:type="dxa"/>
          </w:tcPr>
          <w:p w14:paraId="5DFE4CB8" w14:textId="77777777" w:rsidR="005F6B7E" w:rsidRDefault="005F6B7E" w:rsidP="0053761B">
            <w:pPr>
              <w:pStyle w:val="Tabletext"/>
            </w:pPr>
            <w:r>
              <w:t>17</w:t>
            </w:r>
          </w:p>
        </w:tc>
        <w:tc>
          <w:tcPr>
            <w:tcW w:w="2075" w:type="dxa"/>
          </w:tcPr>
          <w:p w14:paraId="7FD20B3A" w14:textId="77777777" w:rsidR="005F6B7E" w:rsidRDefault="005F6B7E" w:rsidP="0053761B">
            <w:pPr>
              <w:pStyle w:val="Tabletext"/>
            </w:pPr>
            <w:r>
              <w:t>0</w:t>
            </w:r>
          </w:p>
        </w:tc>
      </w:tr>
      <w:tr w:rsidR="005F6B7E" w14:paraId="1E109697" w14:textId="77777777" w:rsidTr="0036773E">
        <w:tc>
          <w:tcPr>
            <w:tcW w:w="2830" w:type="dxa"/>
          </w:tcPr>
          <w:p w14:paraId="4D11A18F" w14:textId="77777777" w:rsidR="005F6B7E" w:rsidRDefault="005F6B7E" w:rsidP="0053761B">
            <w:pPr>
              <w:pStyle w:val="Tabletext"/>
            </w:pPr>
            <w:r>
              <w:t>61-80%</w:t>
            </w:r>
          </w:p>
        </w:tc>
        <w:tc>
          <w:tcPr>
            <w:tcW w:w="2127" w:type="dxa"/>
          </w:tcPr>
          <w:p w14:paraId="386FC5EA" w14:textId="77777777" w:rsidR="005F6B7E" w:rsidRDefault="005F6B7E" w:rsidP="0053761B">
            <w:pPr>
              <w:pStyle w:val="Tabletext"/>
            </w:pPr>
            <w:r>
              <w:t>Crippled</w:t>
            </w:r>
          </w:p>
        </w:tc>
        <w:tc>
          <w:tcPr>
            <w:tcW w:w="1984" w:type="dxa"/>
          </w:tcPr>
          <w:p w14:paraId="3308691E" w14:textId="77777777" w:rsidR="005F6B7E" w:rsidRDefault="005F6B7E" w:rsidP="0053761B">
            <w:pPr>
              <w:pStyle w:val="Tabletext"/>
            </w:pPr>
            <w:r>
              <w:t>3</w:t>
            </w:r>
          </w:p>
        </w:tc>
        <w:tc>
          <w:tcPr>
            <w:tcW w:w="2075" w:type="dxa"/>
          </w:tcPr>
          <w:p w14:paraId="64B565D5" w14:textId="77777777" w:rsidR="005F6B7E" w:rsidRDefault="005F6B7E" w:rsidP="0053761B">
            <w:pPr>
              <w:pStyle w:val="Tabletext"/>
            </w:pPr>
            <w:r>
              <w:t>1</w:t>
            </w:r>
          </w:p>
        </w:tc>
      </w:tr>
      <w:tr w:rsidR="005F6B7E" w14:paraId="7654B830" w14:textId="77777777" w:rsidTr="0036773E">
        <w:tc>
          <w:tcPr>
            <w:tcW w:w="2830" w:type="dxa"/>
          </w:tcPr>
          <w:p w14:paraId="7D6DDC25" w14:textId="77777777" w:rsidR="005F6B7E" w:rsidRDefault="005F6B7E" w:rsidP="0053761B">
            <w:pPr>
              <w:pStyle w:val="Tabletext"/>
            </w:pPr>
            <w:r>
              <w:t>81-100%</w:t>
            </w:r>
          </w:p>
        </w:tc>
        <w:tc>
          <w:tcPr>
            <w:tcW w:w="2127" w:type="dxa"/>
          </w:tcPr>
          <w:p w14:paraId="7AA3679B" w14:textId="77777777" w:rsidR="005F6B7E" w:rsidRDefault="005F6B7E" w:rsidP="0053761B">
            <w:pPr>
              <w:pStyle w:val="Tabletext"/>
            </w:pPr>
            <w:r>
              <w:t>-</w:t>
            </w:r>
          </w:p>
        </w:tc>
        <w:tc>
          <w:tcPr>
            <w:tcW w:w="1984" w:type="dxa"/>
          </w:tcPr>
          <w:p w14:paraId="69CAA25D" w14:textId="77777777" w:rsidR="005F6B7E" w:rsidRDefault="005F6B7E" w:rsidP="0053761B">
            <w:pPr>
              <w:pStyle w:val="Tabletext"/>
            </w:pPr>
            <w:r>
              <w:t>0</w:t>
            </w:r>
          </w:p>
        </w:tc>
        <w:tc>
          <w:tcPr>
            <w:tcW w:w="2075" w:type="dxa"/>
          </w:tcPr>
          <w:p w14:paraId="1DC3A9C5" w14:textId="77777777" w:rsidR="005F6B7E" w:rsidRDefault="005F6B7E" w:rsidP="0053761B">
            <w:pPr>
              <w:pStyle w:val="Tabletext"/>
            </w:pPr>
            <w:r>
              <w:t>0</w:t>
            </w:r>
          </w:p>
        </w:tc>
      </w:tr>
    </w:tbl>
    <w:p w14:paraId="2B2B1089" w14:textId="701AD4AF" w:rsidR="005F6B7E" w:rsidRDefault="005F6B7E" w:rsidP="009555C2">
      <w:pPr>
        <w:pStyle w:val="Tablenotes"/>
      </w:pPr>
      <w:r>
        <w:t xml:space="preserve">Source: </w:t>
      </w:r>
      <w:r>
        <w:rPr>
          <w:noProof/>
        </w:rPr>
        <w:t>Taylor (2018)</w:t>
      </w:r>
      <w:r>
        <w:t xml:space="preserve"> Table 7. Note that the Table is incorrectly titled “Incontinence scores” in the publication.</w:t>
      </w:r>
      <w:r w:rsidR="003A218A">
        <w:t xml:space="preserve"> [Table 7, pxvii of the </w:t>
      </w:r>
      <w:r w:rsidR="00CC3E12">
        <w:t>c</w:t>
      </w:r>
      <w:r w:rsidR="003A218A">
        <w:t>ommentary]</w:t>
      </w:r>
      <w:r>
        <w:t xml:space="preserve"> </w:t>
      </w:r>
    </w:p>
    <w:p w14:paraId="2E261E6E" w14:textId="020C7A7C" w:rsidR="005F6B7E" w:rsidRPr="000900F8" w:rsidRDefault="0007321C" w:rsidP="0007321C">
      <w:r>
        <w:t>The commentary considered that p</w:t>
      </w:r>
      <w:r w:rsidR="005F6B7E">
        <w:t>atients with moderate to severe back pain demonstrated a high response rate at 6 months post-surgery. These patients are more likely to meet the intent of the proposed population; however, the results should be interpreted with caution as there was no external comparator and the outcome is patient reported.</w:t>
      </w:r>
    </w:p>
    <w:p w14:paraId="076A2074" w14:textId="54EF6107" w:rsidR="005F6B7E" w:rsidRDefault="005F6B7E" w:rsidP="009555C2">
      <w:pPr>
        <w:pStyle w:val="Heading2"/>
        <w:spacing w:before="240"/>
      </w:pPr>
      <w:r>
        <w:t>Urinary incontinence</w:t>
      </w:r>
    </w:p>
    <w:p w14:paraId="145949E4" w14:textId="78E069E6" w:rsidR="0007321C" w:rsidRDefault="005F6B7E" w:rsidP="005F6B7E">
      <w:r>
        <w:t xml:space="preserve">Three studies reported urinary incontinence symptoms </w:t>
      </w:r>
      <w:r>
        <w:rPr>
          <w:noProof/>
        </w:rPr>
        <w:t>(Carrara, 2020; Olsson, 2019; Taylor, 2018)</w:t>
      </w:r>
      <w:r>
        <w:t xml:space="preserve">. The </w:t>
      </w:r>
      <w:r>
        <w:rPr>
          <w:noProof/>
        </w:rPr>
        <w:t>Olsson (2019)</w:t>
      </w:r>
      <w:r>
        <w:t xml:space="preserve"> study did not report mean difference and is excluded from </w:t>
      </w:r>
      <w:r w:rsidR="00180202">
        <w:t>Table 9</w:t>
      </w:r>
      <w:r>
        <w:t xml:space="preserve"> but discussed in the body of the report. The tools used to assess urinary incontinence differed across the studies.</w:t>
      </w:r>
    </w:p>
    <w:p w14:paraId="7AF1DFBC" w14:textId="11215287" w:rsidR="005F6B7E" w:rsidRPr="00331137" w:rsidRDefault="005F6B7E" w:rsidP="005F6B7E">
      <w:pPr>
        <w:pStyle w:val="Caption"/>
        <w:keepLines/>
      </w:pPr>
      <w:bookmarkStart w:id="9" w:name="_Ref69456733"/>
      <w:r>
        <w:lastRenderedPageBreak/>
        <w:t>Table</w:t>
      </w:r>
      <w:bookmarkEnd w:id="9"/>
      <w:r w:rsidR="00180202">
        <w:rPr>
          <w:noProof/>
        </w:rPr>
        <w:t xml:space="preserve"> 9</w:t>
      </w:r>
      <w:r>
        <w:tab/>
        <w:t>Assessment of reduction in urinary incontinence symptoms</w:t>
      </w:r>
    </w:p>
    <w:tbl>
      <w:tblPr>
        <w:tblStyle w:val="TableGrid"/>
        <w:tblW w:w="0" w:type="auto"/>
        <w:tblLook w:val="04A0" w:firstRow="1" w:lastRow="0" w:firstColumn="1" w:lastColumn="0" w:noHBand="0" w:noVBand="1"/>
        <w:tblCaption w:val="Assessment of reduction in urinary incontinence symptoms"/>
        <w:tblDescription w:val="The table outlines study ID, instrument used, mean standard deviation at baseline and follow up, mean difference with confidence intervals and MCID for Taylor (2018) and Carrara (2020). The table also provides the DCAR for six weeks and six months postsurgery. "/>
      </w:tblPr>
      <w:tblGrid>
        <w:gridCol w:w="1694"/>
        <w:gridCol w:w="1091"/>
        <w:gridCol w:w="1064"/>
        <w:gridCol w:w="1310"/>
        <w:gridCol w:w="1291"/>
        <w:gridCol w:w="1496"/>
        <w:gridCol w:w="1070"/>
      </w:tblGrid>
      <w:tr w:rsidR="005F6B7E" w:rsidRPr="00331137" w14:paraId="619321B3" w14:textId="77777777" w:rsidTr="0036773E">
        <w:trPr>
          <w:trHeight w:val="43"/>
          <w:tblHeader/>
        </w:trPr>
        <w:tc>
          <w:tcPr>
            <w:tcW w:w="1696" w:type="dxa"/>
          </w:tcPr>
          <w:p w14:paraId="2C213499" w14:textId="77777777" w:rsidR="005F6B7E" w:rsidRPr="00331137" w:rsidRDefault="005F6B7E" w:rsidP="0007321C">
            <w:pPr>
              <w:pStyle w:val="TableHeading"/>
              <w:ind w:left="0" w:firstLine="0"/>
            </w:pPr>
          </w:p>
        </w:tc>
        <w:tc>
          <w:tcPr>
            <w:tcW w:w="1092" w:type="dxa"/>
          </w:tcPr>
          <w:p w14:paraId="10EB8A75" w14:textId="77777777" w:rsidR="005F6B7E" w:rsidRDefault="005F6B7E" w:rsidP="0007321C">
            <w:pPr>
              <w:pStyle w:val="TableHeading"/>
              <w:ind w:left="0" w:firstLine="0"/>
            </w:pPr>
            <w:r>
              <w:t>Study ID</w:t>
            </w:r>
          </w:p>
        </w:tc>
        <w:tc>
          <w:tcPr>
            <w:tcW w:w="1055" w:type="dxa"/>
          </w:tcPr>
          <w:p w14:paraId="372B58CF" w14:textId="77777777" w:rsidR="005F6B7E" w:rsidRPr="00331137" w:rsidRDefault="005F6B7E" w:rsidP="0007321C">
            <w:pPr>
              <w:pStyle w:val="TableHeading"/>
              <w:ind w:left="0" w:firstLine="0"/>
            </w:pPr>
            <w:r>
              <w:t>Instrument used</w:t>
            </w:r>
          </w:p>
        </w:tc>
        <w:tc>
          <w:tcPr>
            <w:tcW w:w="1311" w:type="dxa"/>
          </w:tcPr>
          <w:p w14:paraId="14FAE0C8" w14:textId="77777777" w:rsidR="005F6B7E" w:rsidRPr="00331137" w:rsidRDefault="005F6B7E" w:rsidP="0007321C">
            <w:pPr>
              <w:pStyle w:val="TableHeading"/>
              <w:ind w:left="0" w:firstLine="0"/>
            </w:pPr>
            <w:r w:rsidRPr="00331137">
              <w:t>Mean (SD) at baseline</w:t>
            </w:r>
          </w:p>
        </w:tc>
        <w:tc>
          <w:tcPr>
            <w:tcW w:w="1293" w:type="dxa"/>
          </w:tcPr>
          <w:p w14:paraId="778E1B7D" w14:textId="77777777" w:rsidR="005F6B7E" w:rsidRPr="00331137" w:rsidRDefault="005F6B7E" w:rsidP="0007321C">
            <w:pPr>
              <w:pStyle w:val="TableHeading"/>
              <w:ind w:left="0" w:firstLine="0"/>
            </w:pPr>
            <w:r w:rsidRPr="00331137">
              <w:t>Mean (SD) at follow-up</w:t>
            </w:r>
          </w:p>
        </w:tc>
        <w:tc>
          <w:tcPr>
            <w:tcW w:w="1498" w:type="dxa"/>
          </w:tcPr>
          <w:p w14:paraId="21C18B84" w14:textId="77777777" w:rsidR="005F6B7E" w:rsidRPr="00331137" w:rsidRDefault="005F6B7E" w:rsidP="0007321C">
            <w:pPr>
              <w:pStyle w:val="TableHeading"/>
              <w:ind w:left="0" w:firstLine="0"/>
            </w:pPr>
            <w:r w:rsidRPr="00331137">
              <w:t>Mean Difference (95% CI)</w:t>
            </w:r>
          </w:p>
        </w:tc>
        <w:tc>
          <w:tcPr>
            <w:tcW w:w="1071" w:type="dxa"/>
          </w:tcPr>
          <w:p w14:paraId="1911F93C" w14:textId="77777777" w:rsidR="005F6B7E" w:rsidRPr="00AB30EB" w:rsidRDefault="005F6B7E" w:rsidP="0007321C">
            <w:pPr>
              <w:pStyle w:val="TableHeading"/>
              <w:ind w:left="0" w:firstLine="0"/>
              <w:rPr>
                <w:i/>
                <w:iCs/>
                <w:color w:val="1F497D" w:themeColor="text2"/>
              </w:rPr>
            </w:pPr>
            <w:r w:rsidRPr="00AB30EB">
              <w:rPr>
                <w:i/>
                <w:iCs/>
                <w:color w:val="1F497D" w:themeColor="text2"/>
              </w:rPr>
              <w:t>MCID</w:t>
            </w:r>
          </w:p>
        </w:tc>
      </w:tr>
      <w:tr w:rsidR="005F6B7E" w:rsidRPr="00331137" w14:paraId="6E1424C7" w14:textId="77777777" w:rsidTr="0036773E">
        <w:trPr>
          <w:trHeight w:val="43"/>
        </w:trPr>
        <w:tc>
          <w:tcPr>
            <w:tcW w:w="1696" w:type="dxa"/>
            <w:tcBorders>
              <w:right w:val="nil"/>
            </w:tcBorders>
          </w:tcPr>
          <w:p w14:paraId="6480C4FD" w14:textId="77777777" w:rsidR="005F6B7E" w:rsidRPr="00D97ED6" w:rsidRDefault="005F6B7E" w:rsidP="0036773E">
            <w:pPr>
              <w:pStyle w:val="Tabletext"/>
              <w:keepNext/>
              <w:keepLines/>
              <w:rPr>
                <w:b/>
                <w:bCs/>
              </w:rPr>
            </w:pPr>
            <w:r w:rsidRPr="00D97ED6">
              <w:rPr>
                <w:b/>
                <w:bCs/>
              </w:rPr>
              <w:t>Presented in DCAR</w:t>
            </w:r>
          </w:p>
        </w:tc>
        <w:tc>
          <w:tcPr>
            <w:tcW w:w="1092" w:type="dxa"/>
            <w:tcBorders>
              <w:left w:val="nil"/>
              <w:bottom w:val="single" w:sz="4" w:space="0" w:color="auto"/>
              <w:right w:val="nil"/>
            </w:tcBorders>
          </w:tcPr>
          <w:p w14:paraId="3B120C81" w14:textId="77777777" w:rsidR="005F6B7E" w:rsidRPr="00D97ED6" w:rsidRDefault="005F6B7E" w:rsidP="0036773E">
            <w:pPr>
              <w:pStyle w:val="Tabletext"/>
              <w:keepNext/>
              <w:keepLines/>
              <w:rPr>
                <w:b/>
                <w:bCs/>
              </w:rPr>
            </w:pPr>
          </w:p>
        </w:tc>
        <w:tc>
          <w:tcPr>
            <w:tcW w:w="1055" w:type="dxa"/>
            <w:tcBorders>
              <w:left w:val="nil"/>
              <w:bottom w:val="single" w:sz="4" w:space="0" w:color="auto"/>
              <w:right w:val="nil"/>
            </w:tcBorders>
          </w:tcPr>
          <w:p w14:paraId="3E768E99" w14:textId="77777777" w:rsidR="005F6B7E" w:rsidRPr="00D97ED6" w:rsidRDefault="005F6B7E" w:rsidP="0036773E">
            <w:pPr>
              <w:pStyle w:val="Tabletext"/>
              <w:keepNext/>
              <w:keepLines/>
              <w:rPr>
                <w:b/>
                <w:bCs/>
              </w:rPr>
            </w:pPr>
          </w:p>
        </w:tc>
        <w:tc>
          <w:tcPr>
            <w:tcW w:w="1311" w:type="dxa"/>
            <w:tcBorders>
              <w:left w:val="nil"/>
              <w:right w:val="nil"/>
            </w:tcBorders>
          </w:tcPr>
          <w:p w14:paraId="65496656" w14:textId="77777777" w:rsidR="005F6B7E" w:rsidRPr="00D97ED6" w:rsidRDefault="005F6B7E" w:rsidP="0036773E">
            <w:pPr>
              <w:pStyle w:val="Tabletext"/>
              <w:keepNext/>
              <w:keepLines/>
              <w:rPr>
                <w:b/>
                <w:bCs/>
              </w:rPr>
            </w:pPr>
          </w:p>
        </w:tc>
        <w:tc>
          <w:tcPr>
            <w:tcW w:w="1293" w:type="dxa"/>
            <w:tcBorders>
              <w:left w:val="nil"/>
              <w:right w:val="nil"/>
            </w:tcBorders>
          </w:tcPr>
          <w:p w14:paraId="4BE7DA84" w14:textId="77777777" w:rsidR="005F6B7E" w:rsidRPr="00D97ED6" w:rsidRDefault="005F6B7E" w:rsidP="0036773E">
            <w:pPr>
              <w:pStyle w:val="Tabletext"/>
              <w:keepNext/>
              <w:keepLines/>
              <w:rPr>
                <w:b/>
                <w:bCs/>
              </w:rPr>
            </w:pPr>
          </w:p>
        </w:tc>
        <w:tc>
          <w:tcPr>
            <w:tcW w:w="1498" w:type="dxa"/>
            <w:tcBorders>
              <w:left w:val="nil"/>
              <w:right w:val="nil"/>
            </w:tcBorders>
          </w:tcPr>
          <w:p w14:paraId="18B6DBAA" w14:textId="77777777" w:rsidR="005F6B7E" w:rsidRPr="00B202C5" w:rsidRDefault="005F6B7E" w:rsidP="0036773E">
            <w:pPr>
              <w:pStyle w:val="Tabletext"/>
              <w:keepNext/>
              <w:keepLines/>
              <w:rPr>
                <w:b/>
                <w:bCs/>
              </w:rPr>
            </w:pPr>
          </w:p>
        </w:tc>
        <w:tc>
          <w:tcPr>
            <w:tcW w:w="1071" w:type="dxa"/>
            <w:tcBorders>
              <w:left w:val="nil"/>
            </w:tcBorders>
          </w:tcPr>
          <w:p w14:paraId="3A15B6D7" w14:textId="77777777" w:rsidR="005F6B7E" w:rsidRPr="00D97ED6" w:rsidRDefault="005F6B7E" w:rsidP="0036773E">
            <w:pPr>
              <w:pStyle w:val="Tabletext"/>
              <w:keepNext/>
              <w:keepLines/>
              <w:rPr>
                <w:b/>
                <w:bCs/>
                <w:i/>
                <w:iCs/>
                <w:color w:val="1F497D" w:themeColor="text2"/>
              </w:rPr>
            </w:pPr>
          </w:p>
        </w:tc>
      </w:tr>
      <w:tr w:rsidR="005F6B7E" w:rsidRPr="00331137" w14:paraId="7756276F" w14:textId="77777777" w:rsidTr="0036773E">
        <w:trPr>
          <w:trHeight w:val="43"/>
        </w:trPr>
        <w:tc>
          <w:tcPr>
            <w:tcW w:w="1696" w:type="dxa"/>
          </w:tcPr>
          <w:p w14:paraId="15D3DBDC" w14:textId="77777777" w:rsidR="005F6B7E" w:rsidRPr="00331137" w:rsidRDefault="005F6B7E" w:rsidP="0036773E">
            <w:pPr>
              <w:pStyle w:val="Tabletext"/>
              <w:keepNext/>
              <w:keepLines/>
            </w:pPr>
            <w:r w:rsidRPr="00331137">
              <w:t>At 6 weeks post</w:t>
            </w:r>
            <w:r>
              <w:t>surgery</w:t>
            </w:r>
            <w:r w:rsidRPr="00331137">
              <w:t xml:space="preserve"> </w:t>
            </w:r>
          </w:p>
        </w:tc>
        <w:tc>
          <w:tcPr>
            <w:tcW w:w="1092" w:type="dxa"/>
            <w:tcBorders>
              <w:bottom w:val="nil"/>
            </w:tcBorders>
          </w:tcPr>
          <w:p w14:paraId="7BA63A3F" w14:textId="77777777" w:rsidR="005F6B7E" w:rsidRDefault="005F6B7E" w:rsidP="0036773E">
            <w:pPr>
              <w:pStyle w:val="Tabletext"/>
              <w:keepNext/>
              <w:keepLines/>
            </w:pPr>
            <w:r>
              <w:rPr>
                <w:noProof/>
              </w:rPr>
              <w:t>Taylor (2018)</w:t>
            </w:r>
          </w:p>
        </w:tc>
        <w:tc>
          <w:tcPr>
            <w:tcW w:w="1055" w:type="dxa"/>
            <w:tcBorders>
              <w:bottom w:val="nil"/>
            </w:tcBorders>
          </w:tcPr>
          <w:p w14:paraId="33156CFC" w14:textId="77777777" w:rsidR="005F6B7E" w:rsidRPr="00331137" w:rsidRDefault="005F6B7E" w:rsidP="0036773E">
            <w:pPr>
              <w:pStyle w:val="Tabletext"/>
              <w:keepNext/>
              <w:keepLines/>
            </w:pPr>
            <w:r>
              <w:t>ICQI-UI-SF</w:t>
            </w:r>
          </w:p>
        </w:tc>
        <w:tc>
          <w:tcPr>
            <w:tcW w:w="1311" w:type="dxa"/>
          </w:tcPr>
          <w:p w14:paraId="5802E12D" w14:textId="77777777" w:rsidR="005F6B7E" w:rsidRPr="00331137" w:rsidRDefault="005F6B7E" w:rsidP="0036773E">
            <w:pPr>
              <w:pStyle w:val="Tabletext"/>
              <w:keepNext/>
              <w:keepLines/>
            </w:pPr>
            <w:r w:rsidRPr="00331137">
              <w:t>6.22 (5.36)</w:t>
            </w:r>
          </w:p>
        </w:tc>
        <w:tc>
          <w:tcPr>
            <w:tcW w:w="1293" w:type="dxa"/>
          </w:tcPr>
          <w:p w14:paraId="01856F31" w14:textId="77777777" w:rsidR="005F6B7E" w:rsidRPr="00331137" w:rsidRDefault="005F6B7E" w:rsidP="0036773E">
            <w:pPr>
              <w:pStyle w:val="Tabletext"/>
              <w:keepNext/>
              <w:keepLines/>
            </w:pPr>
            <w:r w:rsidRPr="00331137">
              <w:t>1.63 (2.87)</w:t>
            </w:r>
          </w:p>
        </w:tc>
        <w:tc>
          <w:tcPr>
            <w:tcW w:w="1498" w:type="dxa"/>
          </w:tcPr>
          <w:p w14:paraId="7707573B" w14:textId="77777777" w:rsidR="005F6B7E" w:rsidRPr="00331137" w:rsidRDefault="005F6B7E" w:rsidP="0036773E">
            <w:pPr>
              <w:pStyle w:val="Tabletext"/>
              <w:keepNext/>
              <w:keepLines/>
              <w:rPr>
                <w:b/>
              </w:rPr>
            </w:pPr>
            <w:r w:rsidRPr="00331137">
              <w:rPr>
                <w:b/>
              </w:rPr>
              <w:t>-4.59</w:t>
            </w:r>
            <w:r>
              <w:rPr>
                <w:b/>
              </w:rPr>
              <w:br/>
            </w:r>
            <w:r w:rsidRPr="00331137">
              <w:rPr>
                <w:b/>
              </w:rPr>
              <w:t>(-5.40; -3.78)</w:t>
            </w:r>
          </w:p>
        </w:tc>
        <w:tc>
          <w:tcPr>
            <w:tcW w:w="1071" w:type="dxa"/>
          </w:tcPr>
          <w:p w14:paraId="6FAA679F" w14:textId="77777777" w:rsidR="005F6B7E" w:rsidRPr="00AB30EB" w:rsidRDefault="005F6B7E" w:rsidP="0036773E">
            <w:pPr>
              <w:pStyle w:val="Tabletext"/>
              <w:keepNext/>
              <w:keepLines/>
              <w:rPr>
                <w:bCs/>
                <w:i/>
                <w:iCs/>
                <w:color w:val="1F497D" w:themeColor="text2"/>
              </w:rPr>
            </w:pPr>
            <w:r w:rsidRPr="00AB30EB">
              <w:rPr>
                <w:bCs/>
                <w:i/>
                <w:iCs/>
                <w:color w:val="1F497D" w:themeColor="text2"/>
              </w:rPr>
              <w:t>5</w:t>
            </w:r>
          </w:p>
        </w:tc>
      </w:tr>
      <w:tr w:rsidR="005F6B7E" w:rsidRPr="00331137" w14:paraId="717D3631" w14:textId="77777777" w:rsidTr="0036773E">
        <w:tc>
          <w:tcPr>
            <w:tcW w:w="1696" w:type="dxa"/>
          </w:tcPr>
          <w:p w14:paraId="3F33C416" w14:textId="77777777" w:rsidR="005F6B7E" w:rsidRPr="00331137" w:rsidRDefault="005F6B7E" w:rsidP="0036773E">
            <w:pPr>
              <w:pStyle w:val="Tabletext"/>
              <w:keepNext/>
              <w:keepLines/>
            </w:pPr>
            <w:r w:rsidRPr="00331137">
              <w:t>At 6 months post</w:t>
            </w:r>
            <w:r>
              <w:t>surgery</w:t>
            </w:r>
          </w:p>
        </w:tc>
        <w:tc>
          <w:tcPr>
            <w:tcW w:w="1092" w:type="dxa"/>
            <w:tcBorders>
              <w:top w:val="nil"/>
            </w:tcBorders>
          </w:tcPr>
          <w:p w14:paraId="3FF65616" w14:textId="77777777" w:rsidR="005F6B7E" w:rsidRPr="00331137" w:rsidRDefault="005F6B7E" w:rsidP="0036773E">
            <w:pPr>
              <w:pStyle w:val="Tabletext"/>
              <w:keepNext/>
              <w:keepLines/>
            </w:pPr>
          </w:p>
        </w:tc>
        <w:tc>
          <w:tcPr>
            <w:tcW w:w="1055" w:type="dxa"/>
            <w:tcBorders>
              <w:top w:val="nil"/>
            </w:tcBorders>
          </w:tcPr>
          <w:p w14:paraId="68515884" w14:textId="77777777" w:rsidR="005F6B7E" w:rsidRPr="00331137" w:rsidRDefault="005F6B7E" w:rsidP="0036773E">
            <w:pPr>
              <w:pStyle w:val="Tabletext"/>
              <w:keepNext/>
              <w:keepLines/>
            </w:pPr>
          </w:p>
        </w:tc>
        <w:tc>
          <w:tcPr>
            <w:tcW w:w="1311" w:type="dxa"/>
          </w:tcPr>
          <w:p w14:paraId="13BDA795" w14:textId="77777777" w:rsidR="005F6B7E" w:rsidRPr="00331137" w:rsidRDefault="005F6B7E" w:rsidP="0036773E">
            <w:pPr>
              <w:pStyle w:val="Tabletext"/>
              <w:keepNext/>
              <w:keepLines/>
            </w:pPr>
            <w:r w:rsidRPr="00331137">
              <w:t>6.22 (5.36)</w:t>
            </w:r>
          </w:p>
        </w:tc>
        <w:tc>
          <w:tcPr>
            <w:tcW w:w="1293" w:type="dxa"/>
          </w:tcPr>
          <w:p w14:paraId="6DD2BA9F" w14:textId="77777777" w:rsidR="005F6B7E" w:rsidRPr="00331137" w:rsidRDefault="005F6B7E" w:rsidP="0036773E">
            <w:pPr>
              <w:pStyle w:val="Tabletext"/>
              <w:keepNext/>
              <w:keepLines/>
            </w:pPr>
            <w:r w:rsidRPr="00331137">
              <w:t>1.60 (2.92)</w:t>
            </w:r>
          </w:p>
        </w:tc>
        <w:tc>
          <w:tcPr>
            <w:tcW w:w="1498" w:type="dxa"/>
          </w:tcPr>
          <w:p w14:paraId="484E4824" w14:textId="77777777" w:rsidR="005F6B7E" w:rsidRPr="00331137" w:rsidRDefault="005F6B7E" w:rsidP="0036773E">
            <w:pPr>
              <w:pStyle w:val="Tabletext"/>
              <w:keepNext/>
              <w:keepLines/>
              <w:rPr>
                <w:b/>
              </w:rPr>
            </w:pPr>
            <w:r w:rsidRPr="00331137">
              <w:rPr>
                <w:b/>
              </w:rPr>
              <w:t xml:space="preserve">-4.62 </w:t>
            </w:r>
            <w:r>
              <w:rPr>
                <w:b/>
              </w:rPr>
              <w:br/>
            </w:r>
            <w:r w:rsidRPr="00331137">
              <w:rPr>
                <w:b/>
              </w:rPr>
              <w:t>(-5.43; -3.81)</w:t>
            </w:r>
          </w:p>
        </w:tc>
        <w:tc>
          <w:tcPr>
            <w:tcW w:w="1071" w:type="dxa"/>
          </w:tcPr>
          <w:p w14:paraId="7E3279F2" w14:textId="77777777" w:rsidR="005F6B7E" w:rsidRPr="00AB30EB" w:rsidRDefault="005F6B7E" w:rsidP="0036773E">
            <w:pPr>
              <w:pStyle w:val="Tabletext"/>
              <w:keepNext/>
              <w:keepLines/>
              <w:rPr>
                <w:bCs/>
                <w:i/>
                <w:iCs/>
                <w:color w:val="1F497D" w:themeColor="text2"/>
              </w:rPr>
            </w:pPr>
            <w:r w:rsidRPr="00AB30EB">
              <w:rPr>
                <w:bCs/>
                <w:i/>
                <w:iCs/>
                <w:color w:val="1F497D" w:themeColor="text2"/>
              </w:rPr>
              <w:t>5</w:t>
            </w:r>
          </w:p>
        </w:tc>
      </w:tr>
      <w:tr w:rsidR="005F6B7E" w:rsidRPr="00331137" w14:paraId="00BF013E" w14:textId="77777777" w:rsidTr="0036773E">
        <w:tc>
          <w:tcPr>
            <w:tcW w:w="1696" w:type="dxa"/>
            <w:tcBorders>
              <w:right w:val="nil"/>
            </w:tcBorders>
          </w:tcPr>
          <w:p w14:paraId="6B94EA9D" w14:textId="77777777" w:rsidR="005F6B7E" w:rsidRPr="00D97ED6" w:rsidRDefault="005F6B7E" w:rsidP="0036773E">
            <w:pPr>
              <w:pStyle w:val="Tabletext"/>
              <w:keepNext/>
              <w:keepLines/>
              <w:rPr>
                <w:b/>
                <w:bCs/>
              </w:rPr>
            </w:pPr>
            <w:r w:rsidRPr="00D97ED6">
              <w:rPr>
                <w:b/>
                <w:bCs/>
              </w:rPr>
              <w:t>Additional evidence in ADAR</w:t>
            </w:r>
          </w:p>
        </w:tc>
        <w:tc>
          <w:tcPr>
            <w:tcW w:w="1092" w:type="dxa"/>
            <w:tcBorders>
              <w:left w:val="nil"/>
              <w:bottom w:val="single" w:sz="4" w:space="0" w:color="auto"/>
              <w:right w:val="nil"/>
            </w:tcBorders>
          </w:tcPr>
          <w:p w14:paraId="4AF969C4" w14:textId="77777777" w:rsidR="005F6B7E" w:rsidRPr="00D97ED6" w:rsidRDefault="005F6B7E" w:rsidP="0036773E">
            <w:pPr>
              <w:pStyle w:val="Tabletext"/>
              <w:keepNext/>
              <w:keepLines/>
              <w:rPr>
                <w:b/>
                <w:bCs/>
              </w:rPr>
            </w:pPr>
          </w:p>
        </w:tc>
        <w:tc>
          <w:tcPr>
            <w:tcW w:w="1055" w:type="dxa"/>
            <w:tcBorders>
              <w:left w:val="nil"/>
              <w:right w:val="nil"/>
            </w:tcBorders>
          </w:tcPr>
          <w:p w14:paraId="5D5B7139" w14:textId="77777777" w:rsidR="005F6B7E" w:rsidRPr="00D97ED6" w:rsidRDefault="005F6B7E" w:rsidP="0036773E">
            <w:pPr>
              <w:pStyle w:val="Tabletext"/>
              <w:keepNext/>
              <w:keepLines/>
              <w:rPr>
                <w:b/>
                <w:bCs/>
              </w:rPr>
            </w:pPr>
          </w:p>
        </w:tc>
        <w:tc>
          <w:tcPr>
            <w:tcW w:w="1311" w:type="dxa"/>
            <w:tcBorders>
              <w:left w:val="nil"/>
              <w:right w:val="nil"/>
            </w:tcBorders>
          </w:tcPr>
          <w:p w14:paraId="18137C90" w14:textId="77777777" w:rsidR="005F6B7E" w:rsidRPr="00D97ED6" w:rsidRDefault="005F6B7E" w:rsidP="0036773E">
            <w:pPr>
              <w:pStyle w:val="Tabletext"/>
              <w:keepNext/>
              <w:keepLines/>
              <w:rPr>
                <w:b/>
                <w:bCs/>
              </w:rPr>
            </w:pPr>
          </w:p>
        </w:tc>
        <w:tc>
          <w:tcPr>
            <w:tcW w:w="1293" w:type="dxa"/>
            <w:tcBorders>
              <w:left w:val="nil"/>
              <w:right w:val="nil"/>
            </w:tcBorders>
          </w:tcPr>
          <w:p w14:paraId="3E9E6685" w14:textId="77777777" w:rsidR="005F6B7E" w:rsidRPr="00D97ED6" w:rsidRDefault="005F6B7E" w:rsidP="0036773E">
            <w:pPr>
              <w:pStyle w:val="Tabletext"/>
              <w:keepNext/>
              <w:keepLines/>
              <w:rPr>
                <w:b/>
                <w:bCs/>
              </w:rPr>
            </w:pPr>
          </w:p>
        </w:tc>
        <w:tc>
          <w:tcPr>
            <w:tcW w:w="1498" w:type="dxa"/>
            <w:tcBorders>
              <w:left w:val="nil"/>
              <w:right w:val="nil"/>
            </w:tcBorders>
          </w:tcPr>
          <w:p w14:paraId="5DCFDDB9" w14:textId="77777777" w:rsidR="005F6B7E" w:rsidRPr="00B202C5" w:rsidRDefault="005F6B7E" w:rsidP="0036773E">
            <w:pPr>
              <w:pStyle w:val="Tabletext"/>
              <w:keepNext/>
              <w:keepLines/>
              <w:rPr>
                <w:b/>
                <w:bCs/>
              </w:rPr>
            </w:pPr>
          </w:p>
        </w:tc>
        <w:tc>
          <w:tcPr>
            <w:tcW w:w="1071" w:type="dxa"/>
            <w:tcBorders>
              <w:left w:val="nil"/>
            </w:tcBorders>
          </w:tcPr>
          <w:p w14:paraId="0A79E125" w14:textId="77777777" w:rsidR="005F6B7E" w:rsidRPr="00D97ED6" w:rsidRDefault="005F6B7E" w:rsidP="0036773E">
            <w:pPr>
              <w:pStyle w:val="Tabletext"/>
              <w:keepNext/>
              <w:keepLines/>
              <w:rPr>
                <w:b/>
                <w:bCs/>
                <w:i/>
                <w:iCs/>
                <w:color w:val="1F497D" w:themeColor="text2"/>
              </w:rPr>
            </w:pPr>
          </w:p>
        </w:tc>
      </w:tr>
      <w:tr w:rsidR="005F6B7E" w:rsidRPr="00331137" w14:paraId="1B4A338D" w14:textId="77777777" w:rsidTr="0036773E">
        <w:tc>
          <w:tcPr>
            <w:tcW w:w="1696" w:type="dxa"/>
          </w:tcPr>
          <w:p w14:paraId="3A9F4EDD" w14:textId="77777777" w:rsidR="005F6B7E" w:rsidRPr="00331137" w:rsidRDefault="005F6B7E" w:rsidP="0036773E">
            <w:pPr>
              <w:pStyle w:val="Tabletext"/>
              <w:keepNext/>
              <w:keepLines/>
            </w:pPr>
            <w:r>
              <w:t>At 1 month postsurgery</w:t>
            </w:r>
          </w:p>
        </w:tc>
        <w:tc>
          <w:tcPr>
            <w:tcW w:w="1092" w:type="dxa"/>
            <w:tcBorders>
              <w:bottom w:val="nil"/>
            </w:tcBorders>
          </w:tcPr>
          <w:p w14:paraId="0CA135A1" w14:textId="77777777" w:rsidR="005F6B7E" w:rsidRPr="00331137" w:rsidRDefault="005F6B7E" w:rsidP="0036773E">
            <w:pPr>
              <w:pStyle w:val="Tabletext"/>
              <w:keepNext/>
              <w:keepLines/>
            </w:pPr>
            <w:r>
              <w:rPr>
                <w:noProof/>
              </w:rPr>
              <w:t>Carrara (2020)</w:t>
            </w:r>
          </w:p>
        </w:tc>
        <w:tc>
          <w:tcPr>
            <w:tcW w:w="1055" w:type="dxa"/>
            <w:tcBorders>
              <w:bottom w:val="nil"/>
            </w:tcBorders>
          </w:tcPr>
          <w:p w14:paraId="1F93090D" w14:textId="77777777" w:rsidR="005F6B7E" w:rsidRPr="00331137" w:rsidRDefault="005F6B7E" w:rsidP="0036773E">
            <w:pPr>
              <w:pStyle w:val="Tabletext"/>
              <w:keepNext/>
              <w:keepLines/>
            </w:pPr>
            <w:r>
              <w:t>ISI</w:t>
            </w:r>
          </w:p>
        </w:tc>
        <w:tc>
          <w:tcPr>
            <w:tcW w:w="1311" w:type="dxa"/>
          </w:tcPr>
          <w:p w14:paraId="66CF0DF7" w14:textId="77777777" w:rsidR="005F6B7E" w:rsidRPr="00331137" w:rsidRDefault="005F6B7E" w:rsidP="0036773E">
            <w:pPr>
              <w:pStyle w:val="Tabletext"/>
              <w:keepNext/>
              <w:keepLines/>
            </w:pPr>
            <w:r>
              <w:t>3.6 (3.0)</w:t>
            </w:r>
          </w:p>
        </w:tc>
        <w:tc>
          <w:tcPr>
            <w:tcW w:w="1293" w:type="dxa"/>
          </w:tcPr>
          <w:p w14:paraId="30579931" w14:textId="77777777" w:rsidR="005F6B7E" w:rsidRPr="00331137" w:rsidRDefault="005F6B7E" w:rsidP="0036773E">
            <w:pPr>
              <w:pStyle w:val="Tabletext"/>
              <w:keepNext/>
              <w:keepLines/>
            </w:pPr>
            <w:r>
              <w:t>0.9 (1.5)</w:t>
            </w:r>
          </w:p>
        </w:tc>
        <w:tc>
          <w:tcPr>
            <w:tcW w:w="1498" w:type="dxa"/>
          </w:tcPr>
          <w:p w14:paraId="2B9CCC30" w14:textId="77777777" w:rsidR="005F6B7E" w:rsidRPr="00331137" w:rsidRDefault="005F6B7E" w:rsidP="0036773E">
            <w:pPr>
              <w:pStyle w:val="Tabletext"/>
              <w:keepNext/>
              <w:keepLines/>
              <w:rPr>
                <w:b/>
              </w:rPr>
            </w:pPr>
            <w:r>
              <w:rPr>
                <w:b/>
              </w:rPr>
              <w:t>-2.7</w:t>
            </w:r>
            <w:r>
              <w:rPr>
                <w:b/>
              </w:rPr>
              <w:br/>
              <w:t>(-3.33; -2.07)</w:t>
            </w:r>
            <w:r>
              <w:rPr>
                <w:b/>
              </w:rPr>
              <w:br/>
              <w:t>P &lt;0.0001</w:t>
            </w:r>
          </w:p>
        </w:tc>
        <w:tc>
          <w:tcPr>
            <w:tcW w:w="1071" w:type="dxa"/>
          </w:tcPr>
          <w:p w14:paraId="395209AE" w14:textId="77777777" w:rsidR="005F6B7E" w:rsidRPr="006F676D" w:rsidRDefault="005F6B7E" w:rsidP="0036773E">
            <w:pPr>
              <w:pStyle w:val="Tabletext"/>
              <w:keepNext/>
              <w:keepLines/>
              <w:rPr>
                <w:bCs/>
                <w:i/>
                <w:iCs/>
                <w:color w:val="1F497D" w:themeColor="text2"/>
              </w:rPr>
            </w:pPr>
            <w:r w:rsidRPr="006F676D">
              <w:rPr>
                <w:bCs/>
                <w:i/>
                <w:iCs/>
                <w:color w:val="1F497D" w:themeColor="text2"/>
              </w:rPr>
              <w:t>Change in severity</w:t>
            </w:r>
          </w:p>
        </w:tc>
      </w:tr>
      <w:tr w:rsidR="005F6B7E" w:rsidRPr="00331137" w14:paraId="16027AC3" w14:textId="77777777" w:rsidTr="0036773E">
        <w:tc>
          <w:tcPr>
            <w:tcW w:w="1696" w:type="dxa"/>
          </w:tcPr>
          <w:p w14:paraId="08A86BD0" w14:textId="77777777" w:rsidR="005F6B7E" w:rsidRPr="00331137" w:rsidRDefault="005F6B7E" w:rsidP="0036773E">
            <w:pPr>
              <w:pStyle w:val="Tabletext"/>
              <w:keepNext/>
              <w:keepLines/>
            </w:pPr>
            <w:r>
              <w:t>At 6 months postsurgery</w:t>
            </w:r>
          </w:p>
        </w:tc>
        <w:tc>
          <w:tcPr>
            <w:tcW w:w="1092" w:type="dxa"/>
            <w:tcBorders>
              <w:top w:val="nil"/>
            </w:tcBorders>
          </w:tcPr>
          <w:p w14:paraId="403CB7E5" w14:textId="77777777" w:rsidR="005F6B7E" w:rsidRPr="00331137" w:rsidRDefault="005F6B7E" w:rsidP="0036773E">
            <w:pPr>
              <w:pStyle w:val="Tabletext"/>
              <w:keepNext/>
              <w:keepLines/>
            </w:pPr>
          </w:p>
        </w:tc>
        <w:tc>
          <w:tcPr>
            <w:tcW w:w="1055" w:type="dxa"/>
            <w:tcBorders>
              <w:top w:val="nil"/>
            </w:tcBorders>
          </w:tcPr>
          <w:p w14:paraId="7467A1E8" w14:textId="77777777" w:rsidR="005F6B7E" w:rsidRPr="00331137" w:rsidRDefault="005F6B7E" w:rsidP="0036773E">
            <w:pPr>
              <w:pStyle w:val="Tabletext"/>
              <w:keepNext/>
              <w:keepLines/>
            </w:pPr>
          </w:p>
        </w:tc>
        <w:tc>
          <w:tcPr>
            <w:tcW w:w="1311" w:type="dxa"/>
          </w:tcPr>
          <w:p w14:paraId="46BB39B1" w14:textId="77777777" w:rsidR="005F6B7E" w:rsidRPr="00331137" w:rsidRDefault="005F6B7E" w:rsidP="0036773E">
            <w:pPr>
              <w:pStyle w:val="Tabletext"/>
              <w:keepNext/>
              <w:keepLines/>
            </w:pPr>
            <w:r>
              <w:t>3.6 (3.0)</w:t>
            </w:r>
          </w:p>
        </w:tc>
        <w:tc>
          <w:tcPr>
            <w:tcW w:w="1293" w:type="dxa"/>
          </w:tcPr>
          <w:p w14:paraId="17A1113F" w14:textId="77777777" w:rsidR="005F6B7E" w:rsidRPr="00331137" w:rsidRDefault="005F6B7E" w:rsidP="0036773E">
            <w:pPr>
              <w:pStyle w:val="Tabletext"/>
              <w:keepNext/>
              <w:keepLines/>
            </w:pPr>
            <w:r>
              <w:t>0.7 (1.5)</w:t>
            </w:r>
          </w:p>
        </w:tc>
        <w:tc>
          <w:tcPr>
            <w:tcW w:w="1498" w:type="dxa"/>
          </w:tcPr>
          <w:p w14:paraId="191F5E7A" w14:textId="77777777" w:rsidR="005F6B7E" w:rsidRPr="00331137" w:rsidRDefault="005F6B7E" w:rsidP="0036773E">
            <w:pPr>
              <w:pStyle w:val="Tabletext"/>
              <w:keepNext/>
              <w:keepLines/>
              <w:rPr>
                <w:b/>
              </w:rPr>
            </w:pPr>
            <w:r>
              <w:rPr>
                <w:b/>
              </w:rPr>
              <w:t>-2.7</w:t>
            </w:r>
            <w:r>
              <w:rPr>
                <w:b/>
              </w:rPr>
              <w:br/>
              <w:t>(-3.53; -2.27)</w:t>
            </w:r>
            <w:r>
              <w:rPr>
                <w:b/>
              </w:rPr>
              <w:br/>
              <w:t>P &lt;0.0001</w:t>
            </w:r>
          </w:p>
        </w:tc>
        <w:tc>
          <w:tcPr>
            <w:tcW w:w="1071" w:type="dxa"/>
          </w:tcPr>
          <w:p w14:paraId="637837D3" w14:textId="77777777" w:rsidR="005F6B7E" w:rsidRPr="006F676D" w:rsidRDefault="005F6B7E" w:rsidP="0036773E">
            <w:pPr>
              <w:pStyle w:val="Tabletext"/>
              <w:keepNext/>
              <w:keepLines/>
              <w:rPr>
                <w:bCs/>
                <w:i/>
                <w:iCs/>
                <w:color w:val="1F497D" w:themeColor="text2"/>
              </w:rPr>
            </w:pPr>
            <w:r w:rsidRPr="006F676D">
              <w:rPr>
                <w:bCs/>
                <w:i/>
                <w:iCs/>
                <w:color w:val="1F497D" w:themeColor="text2"/>
              </w:rPr>
              <w:t>Change in severity</w:t>
            </w:r>
          </w:p>
        </w:tc>
      </w:tr>
    </w:tbl>
    <w:p w14:paraId="782C4DE6" w14:textId="078DBD7C" w:rsidR="005F6B7E" w:rsidRPr="002720E8" w:rsidRDefault="005F6B7E" w:rsidP="005F6B7E">
      <w:pPr>
        <w:pStyle w:val="TableFooter"/>
      </w:pPr>
      <w:r w:rsidRPr="002720E8">
        <w:t>Source:</w:t>
      </w:r>
      <w:r>
        <w:t xml:space="preserve"> </w:t>
      </w:r>
      <w:r>
        <w:rPr>
          <w:noProof/>
        </w:rPr>
        <w:t xml:space="preserve">ADAR Table 25 (p.74) with </w:t>
      </w:r>
      <w:r w:rsidR="00CC3E12">
        <w:rPr>
          <w:noProof/>
        </w:rPr>
        <w:t>c</w:t>
      </w:r>
      <w:r w:rsidR="003A218A">
        <w:rPr>
          <w:noProof/>
        </w:rPr>
        <w:t xml:space="preserve">ommentary additions in italics </w:t>
      </w:r>
      <w:r w:rsidR="003A218A">
        <w:t xml:space="preserve">[Table 8, pxviii of the </w:t>
      </w:r>
      <w:r w:rsidR="00CC3E12">
        <w:t>c</w:t>
      </w:r>
      <w:r w:rsidR="003A218A">
        <w:t>ommentary]</w:t>
      </w:r>
    </w:p>
    <w:p w14:paraId="56B56032" w14:textId="77777777" w:rsidR="005F6B7E" w:rsidRDefault="005F6B7E" w:rsidP="009555C2">
      <w:pPr>
        <w:pStyle w:val="Tablenotes"/>
      </w:pPr>
      <w:r w:rsidRPr="002720E8">
        <w:t>CI = confidence interval; ICQI-UI-SF</w:t>
      </w:r>
      <w:r>
        <w:t xml:space="preserve"> </w:t>
      </w:r>
      <w:r w:rsidRPr="002720E8">
        <w:rPr>
          <w:rFonts w:cstheme="minorHAnsi"/>
          <w:shd w:val="clear" w:color="auto" w:fill="FFFFFF"/>
        </w:rPr>
        <w:t>= International Consultation on Incontinence Questionnaire</w:t>
      </w:r>
      <w:r>
        <w:rPr>
          <w:rFonts w:cstheme="minorHAnsi"/>
          <w:shd w:val="clear" w:color="auto" w:fill="FFFFFF"/>
        </w:rPr>
        <w:t xml:space="preserve"> – </w:t>
      </w:r>
      <w:r w:rsidRPr="002720E8">
        <w:rPr>
          <w:rFonts w:cstheme="minorHAnsi"/>
          <w:shd w:val="clear" w:color="auto" w:fill="FFFFFF"/>
        </w:rPr>
        <w:t>Urinary Incontinence Short Form</w:t>
      </w:r>
      <w:r>
        <w:rPr>
          <w:rFonts w:cstheme="minorHAnsi"/>
          <w:shd w:val="clear" w:color="auto" w:fill="FFFFFF"/>
        </w:rPr>
        <w:t xml:space="preserve">; </w:t>
      </w:r>
      <w:r w:rsidRPr="002720E8">
        <w:t>ISI</w:t>
      </w:r>
      <w:r>
        <w:t xml:space="preserve"> </w:t>
      </w:r>
      <w:r w:rsidRPr="002720E8">
        <w:t xml:space="preserve">= Incontinence Severity Index; </w:t>
      </w:r>
      <w:r>
        <w:t>MCID = minimal clinically important difference; SD = standard deviation</w:t>
      </w:r>
      <w:r w:rsidRPr="002720E8">
        <w:t xml:space="preserve"> </w:t>
      </w:r>
    </w:p>
    <w:p w14:paraId="073850E2" w14:textId="77777777" w:rsidR="005F6B7E" w:rsidRPr="00331137" w:rsidRDefault="005F6B7E" w:rsidP="009555C2">
      <w:pPr>
        <w:pStyle w:val="Tablenotes"/>
        <w:rPr>
          <w:b/>
        </w:rPr>
      </w:pPr>
      <w:r w:rsidRPr="002720E8">
        <w:rPr>
          <w:b/>
        </w:rPr>
        <w:t>Bold</w:t>
      </w:r>
      <w:r w:rsidRPr="002720E8">
        <w:t xml:space="preserve"> = statistically significant change from baseline (</w:t>
      </w:r>
      <w:r>
        <w:t>P</w:t>
      </w:r>
      <w:r w:rsidRPr="002720E8">
        <w:t xml:space="preserve"> &lt; 0.05)</w:t>
      </w:r>
    </w:p>
    <w:p w14:paraId="1683A51A" w14:textId="60606E76" w:rsidR="005F6B7E" w:rsidRDefault="005F6B7E" w:rsidP="005F6B7E">
      <w:r>
        <w:t xml:space="preserve">The ICQU-UI-SF has a maximum score of 21 with a value of </w:t>
      </w:r>
      <w:r>
        <w:rPr>
          <w:rFonts w:cs="Calibri"/>
        </w:rPr>
        <w:t>≥</w:t>
      </w:r>
      <w:r>
        <w:t xml:space="preserve">6 representing symptomatic urinary incontinence. The ISI has a range of 0-12 where scores of 1-2 are classified as ‘slight,’ 3-6 as ‘moderate,’ 8-9 as ‘severe’ and 12 as ‘very severe’ </w:t>
      </w:r>
      <w:r>
        <w:rPr>
          <w:noProof/>
        </w:rPr>
        <w:t>(Barber, 2009)</w:t>
      </w:r>
      <w:r w:rsidR="00EB621A">
        <w:rPr>
          <w:rStyle w:val="FootnoteReference"/>
          <w:noProof/>
        </w:rPr>
        <w:footnoteReference w:id="8"/>
      </w:r>
      <w:r>
        <w:t>.</w:t>
      </w:r>
    </w:p>
    <w:p w14:paraId="63729C98" w14:textId="77777777" w:rsidR="0056195F" w:rsidRDefault="005F6B7E" w:rsidP="009555C2">
      <w:pPr>
        <w:spacing w:before="240"/>
      </w:pPr>
      <w:r>
        <w:t xml:space="preserve">The mean score at baseline in the </w:t>
      </w:r>
      <w:r>
        <w:rPr>
          <w:noProof/>
        </w:rPr>
        <w:t>Taylor (2018)</w:t>
      </w:r>
      <w:r>
        <w:t xml:space="preserve"> study was 6.22, which is just above the value of </w:t>
      </w:r>
      <w:r>
        <w:rPr>
          <w:rFonts w:cs="Calibri"/>
        </w:rPr>
        <w:t>≥</w:t>
      </w:r>
      <w:r>
        <w:t xml:space="preserve">6 representing symptomatic urinary incontinence </w:t>
      </w:r>
      <w:r>
        <w:rPr>
          <w:noProof/>
        </w:rPr>
        <w:t>(Skorupska, 2021</w:t>
      </w:r>
      <w:r w:rsidR="00EB621A">
        <w:rPr>
          <w:rStyle w:val="FootnoteReference"/>
          <w:noProof/>
        </w:rPr>
        <w:footnoteReference w:id="9"/>
      </w:r>
      <w:r>
        <w:rPr>
          <w:noProof/>
        </w:rPr>
        <w:t>)</w:t>
      </w:r>
      <w:r>
        <w:t xml:space="preserve">. In an alternative analysis, the study used a cut point of </w:t>
      </w:r>
      <w:r>
        <w:rPr>
          <w:rFonts w:cs="Calibri"/>
        </w:rPr>
        <w:t>≥</w:t>
      </w:r>
      <w:r>
        <w:t xml:space="preserve">5 to specify ‘urinary incontinence of significant concern.’ Of the 214 included patients, 59 had no incontinence preoperatively (presumably a value of 0). Of the 166 who did report incontinence, 66 scored over five on the ICQI-UI-SF preoperatively. At 6 months’ follow-up, </w:t>
      </w:r>
      <w:r w:rsidR="0056195F">
        <w:t>four patients scored over five.</w:t>
      </w:r>
    </w:p>
    <w:p w14:paraId="61D21EF0" w14:textId="1E3A7A89" w:rsidR="005F6B7E" w:rsidRDefault="0007321C" w:rsidP="009555C2">
      <w:pPr>
        <w:spacing w:before="240"/>
      </w:pPr>
      <w:r>
        <w:t>The commentary stated that o</w:t>
      </w:r>
      <w:r w:rsidR="005F6B7E">
        <w:t xml:space="preserve">f the total number of patients in the </w:t>
      </w:r>
      <w:r w:rsidR="005F6B7E">
        <w:rPr>
          <w:noProof/>
        </w:rPr>
        <w:t>Taylor (2018)</w:t>
      </w:r>
      <w:r w:rsidR="005F6B7E">
        <w:t xml:space="preserve"> study, 31% met the study-defined threshold for urinary incontinence. Of these patients, there was a high response rate with only four patients (1.9% of the total study population) meeting this threshold at 6 months’ follow-up. This suggests that although the mean change in ICQU-UI-SF score did not reach clinical significance, for those patients with urinary incontinence there were clinically significant changes observed.</w:t>
      </w:r>
    </w:p>
    <w:p w14:paraId="54F9BD05" w14:textId="08729068" w:rsidR="005F6B7E" w:rsidRDefault="0007321C" w:rsidP="009555C2">
      <w:pPr>
        <w:spacing w:before="240"/>
      </w:pPr>
      <w:r>
        <w:t>The commentary noted i</w:t>
      </w:r>
      <w:r w:rsidR="005F6B7E">
        <w:t xml:space="preserve">n the </w:t>
      </w:r>
      <w:r w:rsidR="005F6B7E">
        <w:rPr>
          <w:noProof/>
        </w:rPr>
        <w:t>Carrara (2020)</w:t>
      </w:r>
      <w:r w:rsidR="005F6B7E">
        <w:t xml:space="preserve"> study, baseline scores using the </w:t>
      </w:r>
      <w:r>
        <w:t>incontinence severity (</w:t>
      </w:r>
      <w:r w:rsidR="005F6B7E">
        <w:t>ISI</w:t>
      </w:r>
      <w:r>
        <w:t>)</w:t>
      </w:r>
      <w:r w:rsidR="005F6B7E">
        <w:t xml:space="preserve"> appear to reflect a higher burden of urinary incontinence than the other studies, with the mean score of 3.6 corresponding to ‘moderate’ urinary incontinence. The mean change does span a change in category from ‘moderate’ to ‘slight/none’ and therefore likely reflects both a statistically and clinically significant effect. No data were reported to estimate patient response rates or number of patients who had a clinically significant response. This </w:t>
      </w:r>
      <w:r w:rsidR="005F6B7E">
        <w:lastRenderedPageBreak/>
        <w:t>study is the least applicable as the procedure was endo-laparoscopic reconstruction using staplers.</w:t>
      </w:r>
    </w:p>
    <w:p w14:paraId="0C89C34F" w14:textId="7834464E" w:rsidR="0007321C" w:rsidRDefault="0007321C" w:rsidP="009555C2">
      <w:pPr>
        <w:pStyle w:val="Heading2"/>
        <w:spacing w:before="240"/>
      </w:pPr>
      <w:r>
        <w:t>Clinical claim</w:t>
      </w:r>
    </w:p>
    <w:p w14:paraId="3A220422" w14:textId="12A47362" w:rsidR="00F81E8C" w:rsidRDefault="00F81E8C" w:rsidP="00F81E8C">
      <w:r>
        <w:t xml:space="preserve">On the basis of the benefits and harms reported in the evidence base, the ADAR </w:t>
      </w:r>
      <w:r w:rsidRPr="007613A4">
        <w:t xml:space="preserve">proposes that, relative to </w:t>
      </w:r>
      <w:r>
        <w:t>conservative treatment alone</w:t>
      </w:r>
      <w:r w:rsidRPr="007613A4">
        <w:t xml:space="preserve">, </w:t>
      </w:r>
      <w:r>
        <w:t>abdominoplasty following failed conservative treatment</w:t>
      </w:r>
      <w:r w:rsidRPr="007613A4">
        <w:t xml:space="preserve"> has inferior</w:t>
      </w:r>
      <w:r>
        <w:t xml:space="preserve"> </w:t>
      </w:r>
      <w:r w:rsidRPr="007613A4">
        <w:t>safety and superio</w:t>
      </w:r>
      <w:r>
        <w:t>r</w:t>
      </w:r>
      <w:r w:rsidRPr="007613A4">
        <w:t xml:space="preserve"> effectiveness.</w:t>
      </w:r>
    </w:p>
    <w:p w14:paraId="46056F68" w14:textId="5478C95B" w:rsidR="00F81E8C" w:rsidRDefault="00F81E8C" w:rsidP="009555C2">
      <w:pPr>
        <w:spacing w:before="240"/>
      </w:pPr>
      <w:r>
        <w:t xml:space="preserve">The commentary considered that the clinical claim of superior effectiveness is reasonable; however, the magnitude of the benefit remains uncertain due to the same factors outlined in the previous </w:t>
      </w:r>
      <w:r w:rsidR="00BA68DE">
        <w:t>DCAR</w:t>
      </w:r>
      <w:r>
        <w:t>:</w:t>
      </w:r>
    </w:p>
    <w:p w14:paraId="598FC790" w14:textId="50AACAC8" w:rsidR="00F81E8C" w:rsidRDefault="00F81E8C" w:rsidP="00F81E8C">
      <w:pPr>
        <w:pStyle w:val="ListParagraph"/>
        <w:numPr>
          <w:ilvl w:val="0"/>
          <w:numId w:val="19"/>
        </w:numPr>
      </w:pPr>
      <w:r>
        <w:t>All studies have high to serious risk of bias and the outcomes reported in the ADAR are on the basis of a pre and post research design without a valid external control group</w:t>
      </w:r>
    </w:p>
    <w:p w14:paraId="7BE7D6E5" w14:textId="62D26E79" w:rsidR="00F81E8C" w:rsidRDefault="00F81E8C" w:rsidP="00F81E8C">
      <w:pPr>
        <w:pStyle w:val="ListParagraph"/>
        <w:numPr>
          <w:ilvl w:val="0"/>
          <w:numId w:val="19"/>
        </w:numPr>
      </w:pPr>
      <w:r>
        <w:t>The outcomes are almost exclusively patient-reported. While these are important for measuring the patient’s experience of the treatment, they would ideally be supplemented with some objectively measured outcomes</w:t>
      </w:r>
    </w:p>
    <w:p w14:paraId="082C0B80" w14:textId="74B5C00D" w:rsidR="00F81E8C" w:rsidRDefault="00F81E8C" w:rsidP="00F81E8C">
      <w:pPr>
        <w:pStyle w:val="ListParagraph"/>
        <w:numPr>
          <w:ilvl w:val="0"/>
          <w:numId w:val="19"/>
        </w:numPr>
      </w:pPr>
      <w:r>
        <w:t>There is variability across the included studies with respect to the population and the intervention. Therefore, there are applicability concerns, which resulted in downgrading of GRADE outcomes. In particular:</w:t>
      </w:r>
    </w:p>
    <w:p w14:paraId="1CC1EE2A" w14:textId="65BCAF74" w:rsidR="00F81E8C" w:rsidRDefault="00F81E8C" w:rsidP="00F81E8C">
      <w:pPr>
        <w:pStyle w:val="ListParagraph"/>
        <w:numPr>
          <w:ilvl w:val="1"/>
          <w:numId w:val="19"/>
        </w:numPr>
      </w:pPr>
      <w:r>
        <w:t xml:space="preserve">Back pain was not an inclusion criteria in any study but is for the proposed MBS item. In the studies that reported baseline rates </w:t>
      </w:r>
      <w:r>
        <w:rPr>
          <w:noProof/>
        </w:rPr>
        <w:t>(Carrara, 2020; Taylor, 2018)</w:t>
      </w:r>
      <w:r>
        <w:t>, there was a low burden of disability due to back pain despite high numbers of patients reporting back pain</w:t>
      </w:r>
    </w:p>
    <w:p w14:paraId="56DA91BB" w14:textId="7EB138EA" w:rsidR="00F81E8C" w:rsidRDefault="00F81E8C" w:rsidP="00324FB5">
      <w:pPr>
        <w:pStyle w:val="ListParagraph"/>
        <w:numPr>
          <w:ilvl w:val="1"/>
          <w:numId w:val="19"/>
        </w:numPr>
      </w:pPr>
      <w:r>
        <w:t xml:space="preserve">There were a high number of patients with ventral hernias, particularly in the studies presented for the first time in the ADAR </w:t>
      </w:r>
      <w:r>
        <w:rPr>
          <w:noProof/>
        </w:rPr>
        <w:t>(Carrara, 2020; Olsson, 2019)</w:t>
      </w:r>
      <w:r>
        <w:t>.</w:t>
      </w:r>
      <w:r w:rsidR="00324FB5">
        <w:t xml:space="preserve"> </w:t>
      </w:r>
      <w:r w:rsidR="00324FB5" w:rsidRPr="00324FB5">
        <w:t>There are existing MBS items for the repair of ventral hernias (MBS items 30403 and 30405) and umbilical or linea alba hernias (MBS item 30621). The PICO Confirmation does not discuss the applicability of abdominoplasty for patients with hernia or the eligibility of these patients for repair within existing MBS item numbers.</w:t>
      </w:r>
    </w:p>
    <w:p w14:paraId="1A158FEC" w14:textId="3A554C88" w:rsidR="00F81E8C" w:rsidRPr="00D97E4D" w:rsidRDefault="00F81E8C" w:rsidP="00F81E8C">
      <w:pPr>
        <w:pStyle w:val="ListParagraph"/>
        <w:numPr>
          <w:ilvl w:val="1"/>
          <w:numId w:val="19"/>
        </w:numPr>
      </w:pPr>
      <w:r>
        <w:t>The intervention varied across studies and was rarely a radical abdominoplasty as described in the proposed MBS item descriptor.</w:t>
      </w:r>
    </w:p>
    <w:p w14:paraId="483F142B" w14:textId="201AA4D1" w:rsidR="00F81E8C" w:rsidRDefault="00F81E8C" w:rsidP="00F81E8C">
      <w:r>
        <w:t xml:space="preserve">As a surgical intervention compared to non-surgical care, the claim of inferior safety is appropriate. The magnitude of the surgical harms was variable across studies and may reflect the variability in the procedure; however, rates of complications in the </w:t>
      </w:r>
      <w:r w:rsidRPr="00AC47CF">
        <w:t>Emanuelsson (201</w:t>
      </w:r>
      <w:r>
        <w:t>4</w:t>
      </w:r>
      <w:r w:rsidRPr="00AC47CF">
        <w:t>)</w:t>
      </w:r>
      <w:r w:rsidR="00BA68DE">
        <w:t xml:space="preserve"> trial are high.</w:t>
      </w:r>
    </w:p>
    <w:p w14:paraId="36F5A1BE" w14:textId="289592E9" w:rsidR="00F81E8C" w:rsidRPr="00183E4D" w:rsidRDefault="00F81E8C" w:rsidP="009555C2">
      <w:pPr>
        <w:spacing w:before="240"/>
      </w:pPr>
      <w:r>
        <w:t>Overall, the commentary considered that the clinical claim of superior effectiveness and inferior safety is supported by the evidence base, albeit with a high level of uncertainty.</w:t>
      </w:r>
    </w:p>
    <w:p w14:paraId="17D2E72E" w14:textId="098758DF" w:rsidR="00EE52E1" w:rsidRDefault="00F91D36" w:rsidP="009555C2">
      <w:pPr>
        <w:pStyle w:val="Heading2"/>
        <w:spacing w:before="240"/>
      </w:pPr>
      <w:r>
        <w:t>Translation issues</w:t>
      </w:r>
    </w:p>
    <w:p w14:paraId="33A215BD" w14:textId="7684E096" w:rsidR="003A218A" w:rsidRDefault="003A218A" w:rsidP="00F91D36">
      <w:r>
        <w:t xml:space="preserve">The translation issues are summarised in Table </w:t>
      </w:r>
      <w:r w:rsidR="00180202">
        <w:t>10</w:t>
      </w:r>
      <w:r>
        <w:t>.</w:t>
      </w:r>
    </w:p>
    <w:p w14:paraId="7058A0F5" w14:textId="60E8F29F" w:rsidR="003A218A" w:rsidRPr="00331137" w:rsidRDefault="003A218A" w:rsidP="003A218A">
      <w:pPr>
        <w:pStyle w:val="Caption"/>
      </w:pPr>
      <w:bookmarkStart w:id="10" w:name="_Ref69423574"/>
      <w:r w:rsidRPr="00331137">
        <w:lastRenderedPageBreak/>
        <w:t>Table</w:t>
      </w:r>
      <w:bookmarkEnd w:id="10"/>
      <w:r>
        <w:t xml:space="preserve"> </w:t>
      </w:r>
      <w:r w:rsidR="00180202">
        <w:rPr>
          <w:noProof/>
        </w:rPr>
        <w:t>10</w:t>
      </w:r>
      <w:r>
        <w:tab/>
      </w:r>
      <w:r w:rsidRPr="00331137">
        <w:t>Translation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ranslation issues"/>
        <w:tblDescription w:val="The table outlines the type of translational issue, the DCAR comments and the commentary to the issue. "/>
      </w:tblPr>
      <w:tblGrid>
        <w:gridCol w:w="1341"/>
        <w:gridCol w:w="2623"/>
        <w:gridCol w:w="2410"/>
        <w:gridCol w:w="2642"/>
      </w:tblGrid>
      <w:tr w:rsidR="003A218A" w:rsidRPr="00331137" w14:paraId="458FF202" w14:textId="77777777" w:rsidTr="0036773E">
        <w:trPr>
          <w:tblHeader/>
        </w:trPr>
        <w:tc>
          <w:tcPr>
            <w:tcW w:w="0" w:type="auto"/>
            <w:tcBorders>
              <w:bottom w:val="single" w:sz="4" w:space="0" w:color="auto"/>
            </w:tcBorders>
          </w:tcPr>
          <w:p w14:paraId="1323CEE4" w14:textId="77777777" w:rsidR="003A218A" w:rsidRPr="00331137" w:rsidRDefault="003A218A" w:rsidP="00180202">
            <w:pPr>
              <w:pStyle w:val="Tabletext"/>
              <w:spacing w:before="0" w:after="0"/>
              <w:ind w:left="22"/>
              <w:rPr>
                <w:b/>
              </w:rPr>
            </w:pPr>
            <w:r w:rsidRPr="00331137">
              <w:rPr>
                <w:b/>
              </w:rPr>
              <w:t>Type</w:t>
            </w:r>
          </w:p>
        </w:tc>
        <w:tc>
          <w:tcPr>
            <w:tcW w:w="2623" w:type="dxa"/>
            <w:tcBorders>
              <w:bottom w:val="single" w:sz="4" w:space="0" w:color="auto"/>
            </w:tcBorders>
          </w:tcPr>
          <w:p w14:paraId="5FC4CC48" w14:textId="77777777" w:rsidR="003A218A" w:rsidRPr="00331137" w:rsidRDefault="003A218A" w:rsidP="00180202">
            <w:pPr>
              <w:pStyle w:val="Tabletext"/>
              <w:spacing w:before="0" w:after="0"/>
              <w:rPr>
                <w:b/>
              </w:rPr>
            </w:pPr>
            <w:r w:rsidRPr="00331137">
              <w:rPr>
                <w:b/>
              </w:rPr>
              <w:t>Issue</w:t>
            </w:r>
          </w:p>
        </w:tc>
        <w:tc>
          <w:tcPr>
            <w:tcW w:w="2410" w:type="dxa"/>
            <w:tcBorders>
              <w:bottom w:val="single" w:sz="4" w:space="0" w:color="auto"/>
            </w:tcBorders>
          </w:tcPr>
          <w:p w14:paraId="1BDDBCA0" w14:textId="77777777" w:rsidR="003A218A" w:rsidRPr="00331137" w:rsidRDefault="003A218A" w:rsidP="00180202">
            <w:pPr>
              <w:pStyle w:val="Tabletext"/>
              <w:spacing w:before="0" w:after="0"/>
              <w:rPr>
                <w:b/>
              </w:rPr>
            </w:pPr>
            <w:r>
              <w:rPr>
                <w:b/>
              </w:rPr>
              <w:t>DCAR Comments</w:t>
            </w:r>
          </w:p>
        </w:tc>
        <w:tc>
          <w:tcPr>
            <w:tcW w:w="2642" w:type="dxa"/>
            <w:tcBorders>
              <w:bottom w:val="single" w:sz="4" w:space="0" w:color="auto"/>
            </w:tcBorders>
          </w:tcPr>
          <w:p w14:paraId="249A1121" w14:textId="77777777" w:rsidR="003A218A" w:rsidRPr="00650F6C" w:rsidRDefault="003A218A" w:rsidP="00180202">
            <w:pPr>
              <w:pStyle w:val="Tabletext"/>
              <w:spacing w:before="0" w:after="0"/>
              <w:ind w:left="75" w:hanging="15"/>
              <w:rPr>
                <w:b/>
                <w:i/>
                <w:iCs/>
                <w:color w:val="1F497D" w:themeColor="text2"/>
              </w:rPr>
            </w:pPr>
            <w:r w:rsidRPr="00650F6C">
              <w:rPr>
                <w:b/>
                <w:i/>
                <w:iCs/>
                <w:color w:val="1F497D" w:themeColor="text2"/>
              </w:rPr>
              <w:t>Commentary</w:t>
            </w:r>
          </w:p>
        </w:tc>
      </w:tr>
      <w:tr w:rsidR="003A218A" w:rsidRPr="00331137" w14:paraId="662304ED" w14:textId="77777777" w:rsidTr="0036773E">
        <w:trPr>
          <w:trHeight w:val="2225"/>
          <w:tblHeader/>
        </w:trPr>
        <w:tc>
          <w:tcPr>
            <w:tcW w:w="0" w:type="auto"/>
            <w:tcBorders>
              <w:top w:val="single" w:sz="4" w:space="0" w:color="auto"/>
              <w:left w:val="single" w:sz="4" w:space="0" w:color="auto"/>
              <w:right w:val="single" w:sz="4" w:space="0" w:color="auto"/>
            </w:tcBorders>
          </w:tcPr>
          <w:p w14:paraId="3E441A75" w14:textId="77777777" w:rsidR="003A218A" w:rsidRPr="00331137" w:rsidRDefault="003A218A" w:rsidP="00180202">
            <w:pPr>
              <w:pStyle w:val="Tabletext"/>
              <w:spacing w:before="0" w:after="0"/>
              <w:ind w:left="22"/>
            </w:pPr>
            <w:r w:rsidRPr="00331137">
              <w:t>Applicability</w:t>
            </w:r>
          </w:p>
        </w:tc>
        <w:tc>
          <w:tcPr>
            <w:tcW w:w="2623" w:type="dxa"/>
            <w:tcBorders>
              <w:top w:val="single" w:sz="4" w:space="0" w:color="auto"/>
              <w:left w:val="single" w:sz="4" w:space="0" w:color="auto"/>
              <w:right w:val="single" w:sz="4" w:space="0" w:color="auto"/>
            </w:tcBorders>
          </w:tcPr>
          <w:p w14:paraId="55B7CB47" w14:textId="77777777" w:rsidR="003A218A" w:rsidRPr="00331137" w:rsidRDefault="003A218A" w:rsidP="00180202">
            <w:pPr>
              <w:pStyle w:val="Tabletext"/>
              <w:spacing w:before="0" w:after="0"/>
            </w:pPr>
            <w:r w:rsidRPr="00331137">
              <w:t xml:space="preserve">Generalisability of the evidence </w:t>
            </w:r>
          </w:p>
          <w:p w14:paraId="06FE354B" w14:textId="77777777" w:rsidR="003A218A" w:rsidRPr="00331137" w:rsidRDefault="003A218A" w:rsidP="00180202">
            <w:pPr>
              <w:pStyle w:val="Tabletext"/>
              <w:numPr>
                <w:ilvl w:val="0"/>
                <w:numId w:val="21"/>
              </w:numPr>
              <w:spacing w:before="0" w:after="0"/>
              <w:ind w:left="247" w:hanging="247"/>
            </w:pPr>
            <w:r w:rsidRPr="00331137">
              <w:t xml:space="preserve">Comparability of trial population </w:t>
            </w:r>
            <w:r>
              <w:t>vs</w:t>
            </w:r>
            <w:r w:rsidRPr="00331137">
              <w:t xml:space="preserve"> MBS population</w:t>
            </w:r>
          </w:p>
          <w:p w14:paraId="614F3132" w14:textId="77777777" w:rsidR="003A218A" w:rsidRPr="00331137" w:rsidRDefault="003A218A" w:rsidP="00180202">
            <w:pPr>
              <w:pStyle w:val="Tabletext"/>
              <w:numPr>
                <w:ilvl w:val="0"/>
                <w:numId w:val="20"/>
              </w:numPr>
              <w:spacing w:before="0" w:after="0"/>
              <w:ind w:left="247" w:firstLine="0"/>
            </w:pPr>
            <w:r w:rsidRPr="00331137">
              <w:t>Baseline characteristics</w:t>
            </w:r>
          </w:p>
          <w:p w14:paraId="361F38C9" w14:textId="77777777" w:rsidR="003A218A" w:rsidRPr="00331137" w:rsidRDefault="003A218A" w:rsidP="00180202">
            <w:pPr>
              <w:pStyle w:val="Tabletext"/>
              <w:numPr>
                <w:ilvl w:val="0"/>
                <w:numId w:val="20"/>
              </w:numPr>
              <w:spacing w:before="0" w:after="0"/>
              <w:ind w:left="531" w:hanging="284"/>
            </w:pPr>
            <w:r w:rsidRPr="00331137">
              <w:t xml:space="preserve">Type of treatment patients received </w:t>
            </w:r>
          </w:p>
        </w:tc>
        <w:tc>
          <w:tcPr>
            <w:tcW w:w="2410" w:type="dxa"/>
            <w:tcBorders>
              <w:top w:val="single" w:sz="4" w:space="0" w:color="auto"/>
              <w:left w:val="single" w:sz="4" w:space="0" w:color="auto"/>
              <w:right w:val="single" w:sz="4" w:space="0" w:color="auto"/>
            </w:tcBorders>
          </w:tcPr>
          <w:p w14:paraId="66D246E4" w14:textId="77777777" w:rsidR="003A218A" w:rsidRPr="005555FF" w:rsidRDefault="003A218A" w:rsidP="00180202">
            <w:pPr>
              <w:pStyle w:val="Tabletext"/>
              <w:spacing w:before="0" w:after="0"/>
              <w:rPr>
                <w:bCs/>
              </w:rPr>
            </w:pPr>
            <w:r w:rsidRPr="005555FF">
              <w:rPr>
                <w:bCs/>
              </w:rPr>
              <w:t>In general</w:t>
            </w:r>
            <w:r>
              <w:rPr>
                <w:bCs/>
              </w:rPr>
              <w:t>,</w:t>
            </w:r>
            <w:r w:rsidRPr="005555FF">
              <w:rPr>
                <w:bCs/>
              </w:rPr>
              <w:t xml:space="preserve"> the population in the trial was comparable to the Australian population.</w:t>
            </w:r>
          </w:p>
          <w:p w14:paraId="2BF68ACC" w14:textId="77777777" w:rsidR="003A218A" w:rsidRPr="005555FF" w:rsidRDefault="003A218A" w:rsidP="00180202">
            <w:pPr>
              <w:pStyle w:val="Tabletext"/>
              <w:spacing w:before="0" w:after="0"/>
              <w:rPr>
                <w:bCs/>
              </w:rPr>
            </w:pPr>
            <w:r w:rsidRPr="005555FF">
              <w:rPr>
                <w:bCs/>
              </w:rPr>
              <w:t xml:space="preserve">The approach to the repair of the rectus abdominus may vary from Australian </w:t>
            </w:r>
            <w:r>
              <w:rPr>
                <w:bCs/>
              </w:rPr>
              <w:t>t</w:t>
            </w:r>
            <w:r w:rsidRPr="005555FF">
              <w:rPr>
                <w:bCs/>
              </w:rPr>
              <w:t>echniques</w:t>
            </w:r>
            <w:r>
              <w:rPr>
                <w:bCs/>
              </w:rPr>
              <w:t>.</w:t>
            </w:r>
          </w:p>
        </w:tc>
        <w:tc>
          <w:tcPr>
            <w:tcW w:w="2642" w:type="dxa"/>
            <w:tcBorders>
              <w:top w:val="single" w:sz="4" w:space="0" w:color="auto"/>
              <w:left w:val="single" w:sz="4" w:space="0" w:color="auto"/>
              <w:right w:val="single" w:sz="4" w:space="0" w:color="auto"/>
            </w:tcBorders>
          </w:tcPr>
          <w:p w14:paraId="2C377227" w14:textId="77777777" w:rsidR="003A218A" w:rsidRPr="00650F6C" w:rsidRDefault="003A218A" w:rsidP="00180202">
            <w:pPr>
              <w:pStyle w:val="Tabletext"/>
              <w:spacing w:before="0" w:after="0"/>
              <w:ind w:left="75" w:hanging="15"/>
              <w:rPr>
                <w:color w:val="1F497D" w:themeColor="text2"/>
              </w:rPr>
            </w:pPr>
            <w:r>
              <w:rPr>
                <w:i/>
                <w:iCs/>
                <w:color w:val="1F497D" w:themeColor="text2"/>
              </w:rPr>
              <w:t>There are concerns regarding both the baseline characteristics of the patients and the treatment received.</w:t>
            </w:r>
          </w:p>
        </w:tc>
      </w:tr>
      <w:tr w:rsidR="003A218A" w:rsidRPr="00331137" w14:paraId="24C1DBC0" w14:textId="77777777" w:rsidTr="0036773E">
        <w:trPr>
          <w:tblHeader/>
        </w:trPr>
        <w:tc>
          <w:tcPr>
            <w:tcW w:w="0" w:type="auto"/>
            <w:tcBorders>
              <w:top w:val="single" w:sz="4" w:space="0" w:color="auto"/>
              <w:left w:val="single" w:sz="4" w:space="0" w:color="auto"/>
              <w:bottom w:val="nil"/>
              <w:right w:val="single" w:sz="4" w:space="0" w:color="auto"/>
            </w:tcBorders>
          </w:tcPr>
          <w:p w14:paraId="6880F23B" w14:textId="77777777" w:rsidR="003A218A" w:rsidRPr="00331137" w:rsidRDefault="003A218A" w:rsidP="00180202">
            <w:pPr>
              <w:pStyle w:val="Tabletext"/>
              <w:spacing w:before="0" w:after="0"/>
              <w:ind w:left="22"/>
            </w:pPr>
            <w:r w:rsidRPr="00331137">
              <w:t>Extrapolation</w:t>
            </w:r>
          </w:p>
        </w:tc>
        <w:tc>
          <w:tcPr>
            <w:tcW w:w="2623" w:type="dxa"/>
            <w:tcBorders>
              <w:top w:val="single" w:sz="4" w:space="0" w:color="auto"/>
              <w:left w:val="single" w:sz="4" w:space="0" w:color="auto"/>
              <w:bottom w:val="nil"/>
              <w:right w:val="single" w:sz="4" w:space="0" w:color="auto"/>
            </w:tcBorders>
          </w:tcPr>
          <w:p w14:paraId="35D99E1F" w14:textId="77777777" w:rsidR="003A218A" w:rsidRPr="00331137" w:rsidRDefault="003A218A" w:rsidP="00180202">
            <w:pPr>
              <w:pStyle w:val="Tabletext"/>
              <w:spacing w:before="0" w:after="0"/>
            </w:pPr>
            <w:r w:rsidRPr="00331137">
              <w:t>Time horizon of the model</w:t>
            </w:r>
          </w:p>
        </w:tc>
        <w:tc>
          <w:tcPr>
            <w:tcW w:w="2410" w:type="dxa"/>
            <w:tcBorders>
              <w:top w:val="single" w:sz="4" w:space="0" w:color="auto"/>
              <w:left w:val="single" w:sz="4" w:space="0" w:color="auto"/>
              <w:bottom w:val="nil"/>
              <w:right w:val="single" w:sz="4" w:space="0" w:color="auto"/>
            </w:tcBorders>
          </w:tcPr>
          <w:p w14:paraId="7893D92F" w14:textId="77777777" w:rsidR="003A218A" w:rsidRPr="005555FF" w:rsidRDefault="003A218A" w:rsidP="00180202">
            <w:pPr>
              <w:pStyle w:val="Tabletext"/>
              <w:spacing w:before="0" w:after="0"/>
              <w:rPr>
                <w:bCs/>
              </w:rPr>
            </w:pPr>
            <w:r w:rsidRPr="005555FF">
              <w:rPr>
                <w:bCs/>
              </w:rPr>
              <w:t>The time horizon in the model was considered conservative as the condition does not lead to a reduction in survival. The outcomes were assumed to stay constant for the duration of the model beyond 12 months</w:t>
            </w:r>
            <w:r>
              <w:rPr>
                <w:bCs/>
              </w:rPr>
              <w:t>.</w:t>
            </w:r>
          </w:p>
        </w:tc>
        <w:tc>
          <w:tcPr>
            <w:tcW w:w="2642" w:type="dxa"/>
            <w:tcBorders>
              <w:top w:val="single" w:sz="4" w:space="0" w:color="auto"/>
              <w:left w:val="single" w:sz="4" w:space="0" w:color="auto"/>
              <w:bottom w:val="nil"/>
              <w:right w:val="single" w:sz="4" w:space="0" w:color="auto"/>
            </w:tcBorders>
          </w:tcPr>
          <w:p w14:paraId="5AFFDCAE" w14:textId="77777777" w:rsidR="003A218A" w:rsidRPr="006441D2" w:rsidRDefault="003A218A" w:rsidP="00180202">
            <w:pPr>
              <w:pStyle w:val="Tabletext"/>
              <w:spacing w:before="0" w:after="0"/>
              <w:ind w:left="75" w:hanging="15"/>
              <w:rPr>
                <w:i/>
                <w:iCs/>
                <w:color w:val="1F497D" w:themeColor="text2"/>
              </w:rPr>
            </w:pPr>
            <w:r>
              <w:rPr>
                <w:i/>
                <w:iCs/>
                <w:color w:val="1F497D" w:themeColor="text2"/>
              </w:rPr>
              <w:t xml:space="preserve">The time horizon has been extended in the ADAR. This is appropriate from the perspective of the condition being a chronic condition with benefits to treatment accruing over a lifetime; however, there is considerable uncertainty regarding the clinical inputs and extrapolation of these over the longer time horizon.  </w:t>
            </w:r>
          </w:p>
        </w:tc>
      </w:tr>
      <w:tr w:rsidR="003A218A" w:rsidRPr="00331137" w14:paraId="17FA2C03" w14:textId="77777777" w:rsidTr="0036773E">
        <w:trPr>
          <w:tblHeader/>
        </w:trPr>
        <w:tc>
          <w:tcPr>
            <w:tcW w:w="0" w:type="auto"/>
            <w:tcBorders>
              <w:top w:val="single" w:sz="4" w:space="0" w:color="auto"/>
              <w:left w:val="single" w:sz="4" w:space="0" w:color="auto"/>
              <w:bottom w:val="single" w:sz="4" w:space="0" w:color="auto"/>
              <w:right w:val="single" w:sz="4" w:space="0" w:color="auto"/>
            </w:tcBorders>
          </w:tcPr>
          <w:p w14:paraId="3C1814BD" w14:textId="77777777" w:rsidR="003A218A" w:rsidRPr="00331137" w:rsidRDefault="003A218A" w:rsidP="00180202">
            <w:pPr>
              <w:pStyle w:val="Tabletext"/>
              <w:spacing w:before="0" w:after="0"/>
              <w:ind w:left="22"/>
            </w:pPr>
            <w:r w:rsidRPr="00331137">
              <w:t>Transformation</w:t>
            </w:r>
          </w:p>
        </w:tc>
        <w:tc>
          <w:tcPr>
            <w:tcW w:w="2623" w:type="dxa"/>
            <w:tcBorders>
              <w:top w:val="single" w:sz="4" w:space="0" w:color="auto"/>
              <w:left w:val="single" w:sz="4" w:space="0" w:color="auto"/>
              <w:bottom w:val="single" w:sz="4" w:space="0" w:color="auto"/>
              <w:right w:val="single" w:sz="4" w:space="0" w:color="auto"/>
            </w:tcBorders>
          </w:tcPr>
          <w:p w14:paraId="02E07526" w14:textId="77777777" w:rsidR="003A218A" w:rsidRPr="00331137" w:rsidRDefault="003A218A" w:rsidP="00180202">
            <w:pPr>
              <w:pStyle w:val="Tabletext"/>
              <w:spacing w:before="0" w:after="0"/>
            </w:pPr>
            <w:r w:rsidRPr="00331137">
              <w:t>Utilities applied in the stepped economic evaluation</w:t>
            </w:r>
          </w:p>
          <w:p w14:paraId="77FAE827" w14:textId="77777777" w:rsidR="003A218A" w:rsidRPr="00331137" w:rsidRDefault="003A218A" w:rsidP="00180202">
            <w:pPr>
              <w:pStyle w:val="Tabletext"/>
              <w:spacing w:before="0" w:after="0"/>
            </w:pPr>
            <w:r w:rsidRPr="00331137">
              <w:t>Costing of different health states</w:t>
            </w:r>
          </w:p>
        </w:tc>
        <w:tc>
          <w:tcPr>
            <w:tcW w:w="2410" w:type="dxa"/>
            <w:tcBorders>
              <w:top w:val="single" w:sz="4" w:space="0" w:color="auto"/>
              <w:left w:val="single" w:sz="4" w:space="0" w:color="auto"/>
              <w:bottom w:val="single" w:sz="4" w:space="0" w:color="auto"/>
              <w:right w:val="single" w:sz="4" w:space="0" w:color="auto"/>
            </w:tcBorders>
          </w:tcPr>
          <w:p w14:paraId="6FA90698" w14:textId="77777777" w:rsidR="003A218A" w:rsidRPr="005555FF" w:rsidRDefault="003A218A" w:rsidP="00180202">
            <w:pPr>
              <w:pStyle w:val="Tabletext"/>
              <w:spacing w:before="0" w:after="0"/>
              <w:rPr>
                <w:bCs/>
              </w:rPr>
            </w:pPr>
            <w:r w:rsidRPr="005555FF">
              <w:rPr>
                <w:bCs/>
              </w:rPr>
              <w:t>The utilities were calculated directly from the trial utilities</w:t>
            </w:r>
            <w:r>
              <w:rPr>
                <w:bCs/>
              </w:rPr>
              <w:t>.</w:t>
            </w:r>
          </w:p>
          <w:p w14:paraId="426EF1AD" w14:textId="77777777" w:rsidR="003A218A" w:rsidRPr="005555FF" w:rsidRDefault="003A218A" w:rsidP="00180202">
            <w:pPr>
              <w:pStyle w:val="Tabletext"/>
              <w:spacing w:before="0" w:after="0"/>
              <w:rPr>
                <w:bCs/>
              </w:rPr>
            </w:pPr>
            <w:r w:rsidRPr="005555FF">
              <w:rPr>
                <w:bCs/>
              </w:rPr>
              <w:t>Costs were based on local costs</w:t>
            </w:r>
            <w:r>
              <w:rPr>
                <w:bCs/>
              </w:rPr>
              <w:t>.</w:t>
            </w:r>
          </w:p>
        </w:tc>
        <w:tc>
          <w:tcPr>
            <w:tcW w:w="2642" w:type="dxa"/>
            <w:tcBorders>
              <w:top w:val="single" w:sz="4" w:space="0" w:color="auto"/>
              <w:left w:val="single" w:sz="4" w:space="0" w:color="auto"/>
              <w:bottom w:val="single" w:sz="4" w:space="0" w:color="auto"/>
              <w:right w:val="single" w:sz="4" w:space="0" w:color="auto"/>
            </w:tcBorders>
          </w:tcPr>
          <w:p w14:paraId="353A4873" w14:textId="77777777" w:rsidR="003A218A" w:rsidRPr="006441D2" w:rsidRDefault="003A218A" w:rsidP="00180202">
            <w:pPr>
              <w:pStyle w:val="Tabletext"/>
              <w:spacing w:before="0" w:after="0"/>
              <w:ind w:left="75" w:hanging="15"/>
              <w:rPr>
                <w:i/>
                <w:iCs/>
                <w:color w:val="1F497D" w:themeColor="text2"/>
              </w:rPr>
            </w:pPr>
            <w:r>
              <w:rPr>
                <w:i/>
                <w:iCs/>
                <w:color w:val="1F497D" w:themeColor="text2"/>
              </w:rPr>
              <w:t>These are unchanged in the ADAR.</w:t>
            </w:r>
          </w:p>
        </w:tc>
      </w:tr>
    </w:tbl>
    <w:p w14:paraId="73772676" w14:textId="31FD3C76" w:rsidR="003A218A" w:rsidRDefault="003A218A" w:rsidP="003A218A">
      <w:pPr>
        <w:pStyle w:val="TFAbbrevs0"/>
      </w:pPr>
      <w:r>
        <w:t xml:space="preserve">Source: Table 9, pxiii of the </w:t>
      </w:r>
      <w:r w:rsidR="00CC3E12">
        <w:t>c</w:t>
      </w:r>
      <w:r>
        <w:t>ommentary</w:t>
      </w:r>
    </w:p>
    <w:p w14:paraId="7E9ADC07" w14:textId="09B54895" w:rsidR="003A218A" w:rsidRPr="00B02E35" w:rsidRDefault="003A218A" w:rsidP="009555C2">
      <w:pPr>
        <w:pStyle w:val="TFAbbrevs0"/>
        <w:keepNext w:val="0"/>
        <w:keepLines w:val="0"/>
        <w:spacing w:after="240"/>
      </w:pPr>
      <w:r w:rsidRPr="00331137">
        <w:t>MBS = Medicare Benefits Schedule</w:t>
      </w:r>
    </w:p>
    <w:p w14:paraId="528DD5FF" w14:textId="7EF0D726" w:rsidR="003B02B8" w:rsidRPr="009555C2" w:rsidRDefault="00065623" w:rsidP="009555C2">
      <w:pPr>
        <w:pStyle w:val="Heading1"/>
        <w:rPr>
          <w:rFonts w:ascii="Arial" w:hAnsi="Arial" w:cs="Arial"/>
        </w:rPr>
      </w:pPr>
      <w:r w:rsidRPr="00180202">
        <w:rPr>
          <w:rFonts w:ascii="Arial" w:hAnsi="Arial" w:cs="Arial"/>
        </w:rPr>
        <w:t>Economic evaluation</w:t>
      </w:r>
    </w:p>
    <w:p w14:paraId="082CEE5C" w14:textId="787ABD45" w:rsidR="00D233DA" w:rsidRPr="00183E4D" w:rsidRDefault="00D233DA" w:rsidP="009555C2">
      <w:pPr>
        <w:spacing w:before="240" w:after="240"/>
      </w:pPr>
      <w:bookmarkStart w:id="11" w:name="_Ref379404328"/>
      <w:r>
        <w:t xml:space="preserve">The economic evaluation is summarised in </w:t>
      </w:r>
      <w:r w:rsidR="0056195F">
        <w:t>Table 1</w:t>
      </w:r>
      <w:r w:rsidR="00180202">
        <w:t>1.</w:t>
      </w:r>
    </w:p>
    <w:p w14:paraId="1EFDD8DC" w14:textId="70410C6A" w:rsidR="00D233DA" w:rsidRPr="00183E4D" w:rsidRDefault="00D233DA" w:rsidP="00D233DA">
      <w:pPr>
        <w:pStyle w:val="Caption"/>
      </w:pPr>
      <w:bookmarkStart w:id="12" w:name="_Ref404370956"/>
      <w:bookmarkStart w:id="13" w:name="_Ref394419656"/>
      <w:bookmarkStart w:id="14" w:name="_Toc399251123"/>
      <w:r>
        <w:t xml:space="preserve">Table </w:t>
      </w:r>
      <w:bookmarkEnd w:id="12"/>
      <w:r w:rsidR="00180202">
        <w:t>11</w:t>
      </w:r>
      <w:r w:rsidRPr="00183E4D">
        <w:tab/>
      </w:r>
      <w:r>
        <w:tab/>
      </w:r>
      <w:r w:rsidRPr="00183E4D">
        <w:t>Summary of the economic evaluation</w:t>
      </w:r>
      <w:bookmarkEnd w:id="13"/>
      <w:bookmarkEnd w:id="14"/>
      <w:r w:rsidRPr="00183E4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of the economic evaluation"/>
        <w:tblDescription w:val="This table describes the key constructs of the economic evaluation that is provided in the assessment report."/>
      </w:tblPr>
      <w:tblGrid>
        <w:gridCol w:w="3107"/>
        <w:gridCol w:w="5909"/>
      </w:tblGrid>
      <w:tr w:rsidR="00D233DA" w:rsidRPr="00183E4D" w14:paraId="7374A138" w14:textId="77777777" w:rsidTr="0036773E">
        <w:trPr>
          <w:trHeight w:val="20"/>
        </w:trPr>
        <w:tc>
          <w:tcPr>
            <w:tcW w:w="1723" w:type="pct"/>
            <w:tcBorders>
              <w:top w:val="single" w:sz="4" w:space="0" w:color="auto"/>
              <w:left w:val="single" w:sz="4" w:space="0" w:color="auto"/>
              <w:bottom w:val="single" w:sz="4" w:space="0" w:color="auto"/>
              <w:right w:val="single" w:sz="4" w:space="0" w:color="auto"/>
            </w:tcBorders>
          </w:tcPr>
          <w:p w14:paraId="0B753C94" w14:textId="77777777" w:rsidR="00D233DA" w:rsidRPr="00056B68" w:rsidRDefault="00D233DA" w:rsidP="00180202">
            <w:pPr>
              <w:pStyle w:val="Tabletext"/>
              <w:spacing w:before="0" w:after="0"/>
              <w:rPr>
                <w:b/>
                <w:bCs/>
              </w:rPr>
            </w:pPr>
            <w:r w:rsidRPr="00056B68">
              <w:rPr>
                <w:b/>
                <w:bCs/>
              </w:rPr>
              <w:t>Perspective</w:t>
            </w:r>
          </w:p>
        </w:tc>
        <w:tc>
          <w:tcPr>
            <w:tcW w:w="3277" w:type="pct"/>
            <w:tcBorders>
              <w:top w:val="single" w:sz="4" w:space="0" w:color="auto"/>
              <w:left w:val="single" w:sz="4" w:space="0" w:color="auto"/>
              <w:bottom w:val="single" w:sz="4" w:space="0" w:color="auto"/>
              <w:right w:val="single" w:sz="4" w:space="0" w:color="auto"/>
            </w:tcBorders>
          </w:tcPr>
          <w:p w14:paraId="2BA1A646" w14:textId="77777777" w:rsidR="00D233DA" w:rsidRPr="00183E4D" w:rsidRDefault="00D233DA" w:rsidP="00180202">
            <w:pPr>
              <w:pStyle w:val="Tabletext"/>
              <w:spacing w:before="0" w:after="0"/>
            </w:pPr>
            <w:r>
              <w:t xml:space="preserve">Australian Health System </w:t>
            </w:r>
          </w:p>
        </w:tc>
      </w:tr>
      <w:tr w:rsidR="00D233DA" w:rsidRPr="00183E4D" w14:paraId="2E409141" w14:textId="77777777" w:rsidTr="0036773E">
        <w:trPr>
          <w:trHeight w:val="20"/>
        </w:trPr>
        <w:tc>
          <w:tcPr>
            <w:tcW w:w="1723" w:type="pct"/>
            <w:tcBorders>
              <w:top w:val="single" w:sz="4" w:space="0" w:color="auto"/>
              <w:left w:val="single" w:sz="4" w:space="0" w:color="auto"/>
              <w:bottom w:val="single" w:sz="4" w:space="0" w:color="auto"/>
              <w:right w:val="single" w:sz="4" w:space="0" w:color="auto"/>
            </w:tcBorders>
          </w:tcPr>
          <w:p w14:paraId="5C59E0B8" w14:textId="77777777" w:rsidR="00D233DA" w:rsidRPr="00056B68" w:rsidRDefault="00D233DA" w:rsidP="00180202">
            <w:pPr>
              <w:pStyle w:val="Tabletext"/>
              <w:spacing w:before="0" w:after="0"/>
              <w:rPr>
                <w:b/>
                <w:bCs/>
              </w:rPr>
            </w:pPr>
            <w:r w:rsidRPr="00056B68">
              <w:rPr>
                <w:b/>
                <w:bCs/>
              </w:rPr>
              <w:t>Comparator</w:t>
            </w:r>
          </w:p>
        </w:tc>
        <w:tc>
          <w:tcPr>
            <w:tcW w:w="3277" w:type="pct"/>
            <w:tcBorders>
              <w:top w:val="single" w:sz="4" w:space="0" w:color="auto"/>
              <w:left w:val="single" w:sz="4" w:space="0" w:color="auto"/>
              <w:bottom w:val="single" w:sz="4" w:space="0" w:color="auto"/>
              <w:right w:val="single" w:sz="4" w:space="0" w:color="auto"/>
            </w:tcBorders>
          </w:tcPr>
          <w:p w14:paraId="7F0EEAF3" w14:textId="77777777" w:rsidR="00D233DA" w:rsidRDefault="00D233DA" w:rsidP="00180202">
            <w:pPr>
              <w:pStyle w:val="Tabletext"/>
              <w:spacing w:before="0" w:after="0"/>
            </w:pPr>
            <w:r w:rsidRPr="00761D82">
              <w:t xml:space="preserve">Best supportive care </w:t>
            </w:r>
          </w:p>
          <w:p w14:paraId="7A5872FF" w14:textId="77777777" w:rsidR="00D233DA" w:rsidRPr="00761D82" w:rsidRDefault="00D233DA" w:rsidP="00180202">
            <w:pPr>
              <w:pStyle w:val="CommentTabletext"/>
              <w:spacing w:before="0" w:after="0"/>
              <w:ind w:left="0"/>
            </w:pPr>
            <w:r>
              <w:t xml:space="preserve">The ADAR argues that no treatment is the ideal comparator, not ‘best supportive care,’ as conservative treatment is assumed to have been trialled prior to offering surgery (ADAR p. 11). </w:t>
            </w:r>
          </w:p>
        </w:tc>
      </w:tr>
      <w:tr w:rsidR="00D233DA" w:rsidRPr="00183E4D" w14:paraId="209297AB" w14:textId="77777777" w:rsidTr="0036773E">
        <w:trPr>
          <w:trHeight w:val="20"/>
        </w:trPr>
        <w:tc>
          <w:tcPr>
            <w:tcW w:w="1723" w:type="pct"/>
            <w:tcBorders>
              <w:top w:val="single" w:sz="4" w:space="0" w:color="auto"/>
              <w:left w:val="single" w:sz="4" w:space="0" w:color="auto"/>
              <w:bottom w:val="single" w:sz="4" w:space="0" w:color="auto"/>
              <w:right w:val="single" w:sz="4" w:space="0" w:color="auto"/>
            </w:tcBorders>
          </w:tcPr>
          <w:p w14:paraId="7E1144C0" w14:textId="77777777" w:rsidR="00D233DA" w:rsidRPr="00056B68" w:rsidRDefault="00D233DA" w:rsidP="00180202">
            <w:pPr>
              <w:pStyle w:val="Tabletext"/>
              <w:spacing w:before="0" w:after="0"/>
              <w:rPr>
                <w:b/>
                <w:bCs/>
              </w:rPr>
            </w:pPr>
            <w:r w:rsidRPr="00056B68">
              <w:rPr>
                <w:b/>
                <w:bCs/>
              </w:rPr>
              <w:t>Type of economic evaluation</w:t>
            </w:r>
          </w:p>
        </w:tc>
        <w:tc>
          <w:tcPr>
            <w:tcW w:w="3277" w:type="pct"/>
            <w:tcBorders>
              <w:top w:val="single" w:sz="4" w:space="0" w:color="auto"/>
              <w:left w:val="single" w:sz="4" w:space="0" w:color="auto"/>
              <w:bottom w:val="single" w:sz="4" w:space="0" w:color="auto"/>
              <w:right w:val="single" w:sz="4" w:space="0" w:color="auto"/>
            </w:tcBorders>
          </w:tcPr>
          <w:p w14:paraId="7787674B" w14:textId="77777777" w:rsidR="00D233DA" w:rsidRPr="00761D82" w:rsidRDefault="00D233DA" w:rsidP="00180202">
            <w:pPr>
              <w:pStyle w:val="Tabletext"/>
              <w:spacing w:before="0" w:after="0"/>
            </w:pPr>
            <w:r w:rsidRPr="00761D82">
              <w:t xml:space="preserve">Cost-utility analysis </w:t>
            </w:r>
          </w:p>
        </w:tc>
      </w:tr>
      <w:tr w:rsidR="00D233DA" w:rsidRPr="00183E4D" w14:paraId="52ED9A51" w14:textId="77777777" w:rsidTr="0036773E">
        <w:trPr>
          <w:trHeight w:val="20"/>
        </w:trPr>
        <w:tc>
          <w:tcPr>
            <w:tcW w:w="1723" w:type="pct"/>
            <w:tcBorders>
              <w:top w:val="single" w:sz="4" w:space="0" w:color="auto"/>
              <w:left w:val="single" w:sz="4" w:space="0" w:color="auto"/>
              <w:bottom w:val="single" w:sz="4" w:space="0" w:color="auto"/>
              <w:right w:val="single" w:sz="4" w:space="0" w:color="auto"/>
            </w:tcBorders>
          </w:tcPr>
          <w:p w14:paraId="32D1327F" w14:textId="77777777" w:rsidR="00D233DA" w:rsidRPr="00056B68" w:rsidRDefault="00D233DA" w:rsidP="00180202">
            <w:pPr>
              <w:pStyle w:val="Tabletext"/>
              <w:spacing w:before="0" w:after="0"/>
              <w:rPr>
                <w:b/>
                <w:bCs/>
              </w:rPr>
            </w:pPr>
            <w:r w:rsidRPr="00056B68">
              <w:rPr>
                <w:b/>
                <w:bCs/>
              </w:rPr>
              <w:t>Sources of evidence</w:t>
            </w:r>
          </w:p>
        </w:tc>
        <w:tc>
          <w:tcPr>
            <w:tcW w:w="3277" w:type="pct"/>
            <w:tcBorders>
              <w:top w:val="single" w:sz="4" w:space="0" w:color="auto"/>
              <w:left w:val="single" w:sz="4" w:space="0" w:color="auto"/>
              <w:bottom w:val="single" w:sz="4" w:space="0" w:color="auto"/>
              <w:right w:val="single" w:sz="4" w:space="0" w:color="auto"/>
            </w:tcBorders>
          </w:tcPr>
          <w:p w14:paraId="1E8AEE88" w14:textId="77777777" w:rsidR="00D233DA" w:rsidRPr="00B90E1C" w:rsidRDefault="00D233DA" w:rsidP="00180202">
            <w:pPr>
              <w:pStyle w:val="Tabletext"/>
              <w:spacing w:before="0" w:after="0"/>
              <w:rPr>
                <w:highlight w:val="yellow"/>
              </w:rPr>
            </w:pPr>
            <w:r w:rsidRPr="00761D82">
              <w:t xml:space="preserve">Emanuelsson </w:t>
            </w:r>
            <w:r>
              <w:t>trial (</w:t>
            </w:r>
            <w:r w:rsidRPr="00056B68">
              <w:t>Emanuelsson et al. 2014, 2016</w:t>
            </w:r>
            <w:r>
              <w:t>; Swedenhammar et al. 2020</w:t>
            </w:r>
            <w:r w:rsidRPr="00056B68">
              <w:t>)</w:t>
            </w:r>
          </w:p>
        </w:tc>
      </w:tr>
      <w:tr w:rsidR="00D233DA" w:rsidRPr="00183E4D" w14:paraId="39D0FB96" w14:textId="77777777" w:rsidTr="0036773E">
        <w:trPr>
          <w:trHeight w:val="20"/>
        </w:trPr>
        <w:tc>
          <w:tcPr>
            <w:tcW w:w="1723" w:type="pct"/>
            <w:tcBorders>
              <w:top w:val="single" w:sz="4" w:space="0" w:color="auto"/>
              <w:left w:val="single" w:sz="4" w:space="0" w:color="auto"/>
              <w:bottom w:val="single" w:sz="4" w:space="0" w:color="auto"/>
              <w:right w:val="single" w:sz="4" w:space="0" w:color="auto"/>
            </w:tcBorders>
            <w:hideMark/>
          </w:tcPr>
          <w:p w14:paraId="0045F723" w14:textId="77777777" w:rsidR="00D233DA" w:rsidRPr="00056B68" w:rsidRDefault="00D233DA" w:rsidP="00180202">
            <w:pPr>
              <w:pStyle w:val="Tabletext"/>
              <w:spacing w:before="0" w:after="0"/>
              <w:rPr>
                <w:b/>
                <w:bCs/>
              </w:rPr>
            </w:pPr>
            <w:r w:rsidRPr="00056B68">
              <w:rPr>
                <w:b/>
                <w:bCs/>
              </w:rPr>
              <w:t>Time horizon</w:t>
            </w:r>
          </w:p>
        </w:tc>
        <w:tc>
          <w:tcPr>
            <w:tcW w:w="3277" w:type="pct"/>
            <w:tcBorders>
              <w:top w:val="single" w:sz="4" w:space="0" w:color="auto"/>
              <w:left w:val="single" w:sz="4" w:space="0" w:color="auto"/>
              <w:bottom w:val="single" w:sz="4" w:space="0" w:color="auto"/>
              <w:right w:val="single" w:sz="4" w:space="0" w:color="auto"/>
            </w:tcBorders>
            <w:hideMark/>
          </w:tcPr>
          <w:p w14:paraId="1726A7CC" w14:textId="77777777" w:rsidR="00D233DA" w:rsidRDefault="00D233DA" w:rsidP="00180202">
            <w:pPr>
              <w:pStyle w:val="Tabletext"/>
              <w:spacing w:before="0" w:after="0"/>
            </w:pPr>
            <w:r>
              <w:t xml:space="preserve">20 years </w:t>
            </w:r>
          </w:p>
          <w:p w14:paraId="41000BC9" w14:textId="77777777" w:rsidR="00D233DA" w:rsidRPr="00183E4D" w:rsidRDefault="00D233DA" w:rsidP="00180202">
            <w:pPr>
              <w:pStyle w:val="CommentTabletext"/>
              <w:spacing w:before="0" w:after="0"/>
              <w:ind w:left="0"/>
            </w:pPr>
            <w:r>
              <w:t xml:space="preserve">Changed from 5 years in the DCAR. </w:t>
            </w:r>
          </w:p>
        </w:tc>
      </w:tr>
      <w:tr w:rsidR="00D233DA" w:rsidRPr="00183E4D" w14:paraId="72E02374" w14:textId="77777777" w:rsidTr="0036773E">
        <w:trPr>
          <w:trHeight w:val="20"/>
        </w:trPr>
        <w:tc>
          <w:tcPr>
            <w:tcW w:w="1723" w:type="pct"/>
            <w:tcBorders>
              <w:top w:val="single" w:sz="4" w:space="0" w:color="auto"/>
              <w:left w:val="single" w:sz="4" w:space="0" w:color="auto"/>
              <w:bottom w:val="single" w:sz="4" w:space="0" w:color="auto"/>
              <w:right w:val="single" w:sz="4" w:space="0" w:color="auto"/>
            </w:tcBorders>
            <w:hideMark/>
          </w:tcPr>
          <w:p w14:paraId="2150862E" w14:textId="77777777" w:rsidR="00D233DA" w:rsidRPr="00056B68" w:rsidRDefault="00D233DA" w:rsidP="00180202">
            <w:pPr>
              <w:pStyle w:val="Tabletext"/>
              <w:spacing w:before="0" w:after="0"/>
              <w:rPr>
                <w:b/>
                <w:bCs/>
              </w:rPr>
            </w:pPr>
            <w:r w:rsidRPr="00056B68">
              <w:rPr>
                <w:b/>
                <w:bCs/>
              </w:rPr>
              <w:t>Outcomes</w:t>
            </w:r>
          </w:p>
        </w:tc>
        <w:tc>
          <w:tcPr>
            <w:tcW w:w="3277" w:type="pct"/>
            <w:tcBorders>
              <w:top w:val="single" w:sz="4" w:space="0" w:color="auto"/>
              <w:left w:val="single" w:sz="4" w:space="0" w:color="auto"/>
              <w:bottom w:val="single" w:sz="4" w:space="0" w:color="auto"/>
              <w:right w:val="single" w:sz="4" w:space="0" w:color="auto"/>
            </w:tcBorders>
          </w:tcPr>
          <w:p w14:paraId="293860A3" w14:textId="77777777" w:rsidR="00D233DA" w:rsidRPr="00183E4D" w:rsidRDefault="00D233DA" w:rsidP="00180202">
            <w:pPr>
              <w:pStyle w:val="Tabletext"/>
              <w:spacing w:before="0" w:after="0"/>
            </w:pPr>
            <w:r>
              <w:t>QALYs</w:t>
            </w:r>
          </w:p>
        </w:tc>
      </w:tr>
      <w:tr w:rsidR="00D233DA" w:rsidRPr="00183E4D" w14:paraId="6D51A4E1" w14:textId="77777777" w:rsidTr="0036773E">
        <w:trPr>
          <w:trHeight w:val="20"/>
        </w:trPr>
        <w:tc>
          <w:tcPr>
            <w:tcW w:w="1723" w:type="pct"/>
            <w:tcBorders>
              <w:top w:val="single" w:sz="4" w:space="0" w:color="auto"/>
              <w:left w:val="single" w:sz="4" w:space="0" w:color="auto"/>
              <w:bottom w:val="single" w:sz="4" w:space="0" w:color="auto"/>
              <w:right w:val="single" w:sz="4" w:space="0" w:color="auto"/>
            </w:tcBorders>
            <w:hideMark/>
          </w:tcPr>
          <w:p w14:paraId="1BBD1BF8" w14:textId="77777777" w:rsidR="00D233DA" w:rsidRPr="00056B68" w:rsidRDefault="00D233DA" w:rsidP="00180202">
            <w:pPr>
              <w:pStyle w:val="Tabletext"/>
              <w:spacing w:before="0" w:after="0"/>
              <w:rPr>
                <w:b/>
                <w:bCs/>
              </w:rPr>
            </w:pPr>
            <w:r w:rsidRPr="00056B68">
              <w:rPr>
                <w:b/>
                <w:bCs/>
              </w:rPr>
              <w:t>Methods used to generate results</w:t>
            </w:r>
          </w:p>
        </w:tc>
        <w:tc>
          <w:tcPr>
            <w:tcW w:w="3277" w:type="pct"/>
            <w:tcBorders>
              <w:top w:val="single" w:sz="4" w:space="0" w:color="auto"/>
              <w:left w:val="single" w:sz="4" w:space="0" w:color="auto"/>
              <w:bottom w:val="single" w:sz="4" w:space="0" w:color="auto"/>
              <w:right w:val="single" w:sz="4" w:space="0" w:color="auto"/>
            </w:tcBorders>
          </w:tcPr>
          <w:p w14:paraId="40E6B244" w14:textId="77777777" w:rsidR="00D233DA" w:rsidRPr="00183E4D" w:rsidRDefault="00D233DA" w:rsidP="00180202">
            <w:pPr>
              <w:pStyle w:val="Tabletext"/>
              <w:spacing w:before="0" w:after="0"/>
            </w:pPr>
            <w:r w:rsidRPr="00331137">
              <w:t>Cohort expected value analysis, Markov model</w:t>
            </w:r>
          </w:p>
        </w:tc>
      </w:tr>
      <w:tr w:rsidR="00D233DA" w:rsidRPr="00183E4D" w14:paraId="2F218244" w14:textId="77777777" w:rsidTr="0036773E">
        <w:trPr>
          <w:trHeight w:val="20"/>
        </w:trPr>
        <w:tc>
          <w:tcPr>
            <w:tcW w:w="1723" w:type="pct"/>
            <w:tcBorders>
              <w:top w:val="single" w:sz="4" w:space="0" w:color="auto"/>
              <w:left w:val="single" w:sz="4" w:space="0" w:color="auto"/>
              <w:bottom w:val="single" w:sz="4" w:space="0" w:color="auto"/>
              <w:right w:val="single" w:sz="4" w:space="0" w:color="auto"/>
            </w:tcBorders>
          </w:tcPr>
          <w:p w14:paraId="702F4532" w14:textId="77777777" w:rsidR="00D233DA" w:rsidRPr="00056B68" w:rsidRDefault="00D233DA" w:rsidP="00180202">
            <w:pPr>
              <w:pStyle w:val="Tabletext"/>
              <w:spacing w:before="0" w:after="0"/>
              <w:rPr>
                <w:b/>
                <w:bCs/>
              </w:rPr>
            </w:pPr>
            <w:r w:rsidRPr="00056B68">
              <w:rPr>
                <w:b/>
                <w:bCs/>
              </w:rPr>
              <w:t>Health states</w:t>
            </w:r>
          </w:p>
        </w:tc>
        <w:tc>
          <w:tcPr>
            <w:tcW w:w="3277" w:type="pct"/>
            <w:tcBorders>
              <w:top w:val="single" w:sz="4" w:space="0" w:color="auto"/>
              <w:left w:val="single" w:sz="4" w:space="0" w:color="auto"/>
              <w:bottom w:val="single" w:sz="4" w:space="0" w:color="auto"/>
              <w:right w:val="single" w:sz="4" w:space="0" w:color="auto"/>
            </w:tcBorders>
          </w:tcPr>
          <w:p w14:paraId="607E79EF" w14:textId="77777777" w:rsidR="00D233DA" w:rsidRPr="00331137" w:rsidRDefault="00D233DA" w:rsidP="00180202">
            <w:pPr>
              <w:pStyle w:val="Tabletext"/>
              <w:spacing w:before="0" w:after="0"/>
              <w:rPr>
                <w:u w:val="single"/>
              </w:rPr>
            </w:pPr>
            <w:r w:rsidRPr="00331137">
              <w:rPr>
                <w:u w:val="single"/>
              </w:rPr>
              <w:t xml:space="preserve">Abdominoplasty arm: </w:t>
            </w:r>
          </w:p>
          <w:p w14:paraId="6F18BFE1" w14:textId="77777777" w:rsidR="00D233DA" w:rsidRPr="00331137" w:rsidRDefault="00D233DA" w:rsidP="00180202">
            <w:pPr>
              <w:pStyle w:val="Tabletext"/>
              <w:spacing w:before="0" w:after="0"/>
            </w:pPr>
            <w:r w:rsidRPr="00331137">
              <w:t xml:space="preserve">State 1: Alive without recurrent rectus diastasis (i.e., successful surgery) </w:t>
            </w:r>
          </w:p>
          <w:p w14:paraId="238616D2" w14:textId="77777777" w:rsidR="00D233DA" w:rsidRPr="00331137" w:rsidRDefault="00D233DA" w:rsidP="00180202">
            <w:pPr>
              <w:pStyle w:val="Tabletext"/>
              <w:spacing w:before="0" w:after="0"/>
            </w:pPr>
            <w:r w:rsidRPr="00331137">
              <w:t xml:space="preserve">State2: Alive with recurrent rectus diastasis (i.e., surgery failed </w:t>
            </w:r>
            <w:r w:rsidRPr="00331137">
              <w:sym w:font="Wingdings" w:char="F0E8"/>
            </w:r>
            <w:r w:rsidRPr="00331137">
              <w:t xml:space="preserve"> patient receives best supportive care)</w:t>
            </w:r>
          </w:p>
          <w:p w14:paraId="6A264855" w14:textId="77777777" w:rsidR="00D233DA" w:rsidRPr="00331137" w:rsidRDefault="00D233DA" w:rsidP="00180202">
            <w:pPr>
              <w:pStyle w:val="Tabletext"/>
              <w:spacing w:before="0" w:after="0"/>
            </w:pPr>
            <w:r w:rsidRPr="00331137">
              <w:t>State 3: Dead</w:t>
            </w:r>
          </w:p>
          <w:p w14:paraId="59B1E11C" w14:textId="77777777" w:rsidR="00D233DA" w:rsidRPr="00331137" w:rsidRDefault="00D233DA" w:rsidP="00180202">
            <w:pPr>
              <w:pStyle w:val="Tabletext"/>
              <w:spacing w:before="0" w:after="0"/>
              <w:rPr>
                <w:u w:val="single"/>
              </w:rPr>
            </w:pPr>
            <w:r w:rsidRPr="00331137">
              <w:rPr>
                <w:u w:val="single"/>
              </w:rPr>
              <w:t xml:space="preserve">Best supportive care arm: </w:t>
            </w:r>
          </w:p>
          <w:p w14:paraId="1815CF28" w14:textId="77777777" w:rsidR="00D233DA" w:rsidRPr="00331137" w:rsidRDefault="00D233DA" w:rsidP="00180202">
            <w:pPr>
              <w:pStyle w:val="Tabletext"/>
              <w:spacing w:before="0" w:after="0"/>
            </w:pPr>
            <w:r w:rsidRPr="00331137">
              <w:t xml:space="preserve">State 1: Alive </w:t>
            </w:r>
          </w:p>
          <w:p w14:paraId="17B8FF29" w14:textId="77777777" w:rsidR="00D233DA" w:rsidRPr="00183E4D" w:rsidRDefault="00D233DA" w:rsidP="00180202">
            <w:pPr>
              <w:pStyle w:val="Tabletext"/>
              <w:spacing w:before="0" w:after="0"/>
            </w:pPr>
            <w:r w:rsidRPr="00331137">
              <w:t>State 2: Dead</w:t>
            </w:r>
          </w:p>
        </w:tc>
      </w:tr>
      <w:tr w:rsidR="00D233DA" w:rsidRPr="00183E4D" w14:paraId="3CF0AF1C" w14:textId="77777777" w:rsidTr="0036773E">
        <w:trPr>
          <w:trHeight w:val="20"/>
        </w:trPr>
        <w:tc>
          <w:tcPr>
            <w:tcW w:w="1723" w:type="pct"/>
            <w:tcBorders>
              <w:top w:val="single" w:sz="4" w:space="0" w:color="auto"/>
              <w:left w:val="single" w:sz="4" w:space="0" w:color="auto"/>
              <w:bottom w:val="single" w:sz="4" w:space="0" w:color="auto"/>
              <w:right w:val="single" w:sz="4" w:space="0" w:color="auto"/>
            </w:tcBorders>
            <w:hideMark/>
          </w:tcPr>
          <w:p w14:paraId="338F3149" w14:textId="77777777" w:rsidR="00D233DA" w:rsidRPr="00056B68" w:rsidRDefault="00D233DA" w:rsidP="00180202">
            <w:pPr>
              <w:pStyle w:val="Tabletext"/>
              <w:spacing w:before="0" w:after="0"/>
              <w:rPr>
                <w:b/>
                <w:bCs/>
              </w:rPr>
            </w:pPr>
            <w:r w:rsidRPr="00056B68">
              <w:rPr>
                <w:b/>
                <w:bCs/>
              </w:rPr>
              <w:t>Cycle length</w:t>
            </w:r>
          </w:p>
        </w:tc>
        <w:tc>
          <w:tcPr>
            <w:tcW w:w="3277" w:type="pct"/>
            <w:tcBorders>
              <w:top w:val="single" w:sz="4" w:space="0" w:color="auto"/>
              <w:left w:val="single" w:sz="4" w:space="0" w:color="auto"/>
              <w:bottom w:val="single" w:sz="4" w:space="0" w:color="auto"/>
              <w:right w:val="single" w:sz="4" w:space="0" w:color="auto"/>
            </w:tcBorders>
          </w:tcPr>
          <w:p w14:paraId="17629B68" w14:textId="77777777" w:rsidR="00D233DA" w:rsidRPr="00183E4D" w:rsidRDefault="00D233DA" w:rsidP="00180202">
            <w:pPr>
              <w:pStyle w:val="Tabletext"/>
              <w:spacing w:before="0" w:after="0"/>
            </w:pPr>
            <w:r>
              <w:t xml:space="preserve">3 months, with half cycle correction </w:t>
            </w:r>
          </w:p>
        </w:tc>
      </w:tr>
      <w:tr w:rsidR="00D233DA" w:rsidRPr="00183E4D" w14:paraId="022552E3" w14:textId="77777777" w:rsidTr="0036773E">
        <w:trPr>
          <w:trHeight w:val="20"/>
        </w:trPr>
        <w:tc>
          <w:tcPr>
            <w:tcW w:w="1723" w:type="pct"/>
            <w:tcBorders>
              <w:top w:val="single" w:sz="4" w:space="0" w:color="auto"/>
              <w:left w:val="single" w:sz="4" w:space="0" w:color="auto"/>
              <w:bottom w:val="single" w:sz="4" w:space="0" w:color="auto"/>
              <w:right w:val="single" w:sz="4" w:space="0" w:color="auto"/>
            </w:tcBorders>
            <w:hideMark/>
          </w:tcPr>
          <w:p w14:paraId="787AA633" w14:textId="77777777" w:rsidR="00D233DA" w:rsidRPr="00056B68" w:rsidRDefault="00D233DA" w:rsidP="00180202">
            <w:pPr>
              <w:pStyle w:val="Tabletext"/>
              <w:spacing w:before="0" w:after="0"/>
              <w:rPr>
                <w:b/>
                <w:bCs/>
              </w:rPr>
            </w:pPr>
            <w:r w:rsidRPr="00056B68">
              <w:rPr>
                <w:b/>
                <w:bCs/>
              </w:rPr>
              <w:t>Discount rate</w:t>
            </w:r>
          </w:p>
        </w:tc>
        <w:tc>
          <w:tcPr>
            <w:tcW w:w="3277" w:type="pct"/>
            <w:tcBorders>
              <w:top w:val="single" w:sz="4" w:space="0" w:color="auto"/>
              <w:left w:val="single" w:sz="4" w:space="0" w:color="auto"/>
              <w:bottom w:val="single" w:sz="4" w:space="0" w:color="auto"/>
              <w:right w:val="single" w:sz="4" w:space="0" w:color="auto"/>
            </w:tcBorders>
          </w:tcPr>
          <w:p w14:paraId="1446FB59" w14:textId="77777777" w:rsidR="00D233DA" w:rsidRPr="00183E4D" w:rsidRDefault="00D233DA" w:rsidP="00180202">
            <w:pPr>
              <w:pStyle w:val="Tabletext"/>
              <w:spacing w:before="0" w:after="0"/>
            </w:pPr>
            <w:r>
              <w:t xml:space="preserve">5% per annum (costs and outcomes)  </w:t>
            </w:r>
          </w:p>
        </w:tc>
      </w:tr>
      <w:tr w:rsidR="00D233DA" w:rsidRPr="00183E4D" w14:paraId="77A32D35" w14:textId="77777777" w:rsidTr="0036773E">
        <w:trPr>
          <w:trHeight w:val="20"/>
        </w:trPr>
        <w:tc>
          <w:tcPr>
            <w:tcW w:w="1723" w:type="pct"/>
            <w:tcBorders>
              <w:top w:val="single" w:sz="4" w:space="0" w:color="auto"/>
              <w:left w:val="single" w:sz="4" w:space="0" w:color="auto"/>
              <w:bottom w:val="single" w:sz="4" w:space="0" w:color="auto"/>
              <w:right w:val="single" w:sz="4" w:space="0" w:color="auto"/>
            </w:tcBorders>
            <w:hideMark/>
          </w:tcPr>
          <w:p w14:paraId="6CE981DD" w14:textId="77777777" w:rsidR="00D233DA" w:rsidRPr="00056B68" w:rsidRDefault="00D233DA" w:rsidP="00180202">
            <w:pPr>
              <w:pStyle w:val="Tabletext"/>
              <w:spacing w:before="0" w:after="0"/>
              <w:rPr>
                <w:b/>
                <w:bCs/>
              </w:rPr>
            </w:pPr>
            <w:r w:rsidRPr="00056B68">
              <w:rPr>
                <w:b/>
                <w:bCs/>
              </w:rPr>
              <w:t>Software packages used</w:t>
            </w:r>
          </w:p>
        </w:tc>
        <w:tc>
          <w:tcPr>
            <w:tcW w:w="3277" w:type="pct"/>
            <w:tcBorders>
              <w:top w:val="single" w:sz="4" w:space="0" w:color="auto"/>
              <w:left w:val="single" w:sz="4" w:space="0" w:color="auto"/>
              <w:bottom w:val="single" w:sz="4" w:space="0" w:color="auto"/>
              <w:right w:val="single" w:sz="4" w:space="0" w:color="auto"/>
            </w:tcBorders>
          </w:tcPr>
          <w:p w14:paraId="5527EC5A" w14:textId="77777777" w:rsidR="00D233DA" w:rsidRPr="00183E4D" w:rsidRDefault="00D233DA" w:rsidP="00180202">
            <w:pPr>
              <w:pStyle w:val="Tabletext"/>
              <w:spacing w:before="0" w:after="0"/>
            </w:pPr>
            <w:r>
              <w:t xml:space="preserve">Treeage Healthcare Pro </w:t>
            </w:r>
          </w:p>
        </w:tc>
      </w:tr>
    </w:tbl>
    <w:p w14:paraId="4A0A3567" w14:textId="766A171B" w:rsidR="00D233DA" w:rsidRPr="00183E4D" w:rsidRDefault="00D233DA" w:rsidP="00D233DA">
      <w:pPr>
        <w:pStyle w:val="TableFooter"/>
        <w:spacing w:after="360"/>
      </w:pPr>
      <w:r>
        <w:t xml:space="preserve">Source: Table 10, pxxi of the </w:t>
      </w:r>
      <w:r w:rsidR="00CC3E12">
        <w:t>c</w:t>
      </w:r>
      <w:r>
        <w:t>ommentary</w:t>
      </w:r>
    </w:p>
    <w:p w14:paraId="04AF80AC" w14:textId="39D51105" w:rsidR="00D233DA" w:rsidRDefault="00D233DA" w:rsidP="00D233DA">
      <w:r>
        <w:lastRenderedPageBreak/>
        <w:t xml:space="preserve">The </w:t>
      </w:r>
      <w:r w:rsidR="00CC3E12">
        <w:t>c</w:t>
      </w:r>
      <w:r>
        <w:t>ommentary stated that the structure of the model is unchanged from the previous DCAR. The main changes relate to updated costs and to a longer time horizon of 20 years for the base case analysis.</w:t>
      </w:r>
    </w:p>
    <w:p w14:paraId="5BE7E833" w14:textId="32F35E9D" w:rsidR="00D233DA" w:rsidRDefault="00D233DA" w:rsidP="009555C2">
      <w:pPr>
        <w:spacing w:before="240"/>
      </w:pPr>
      <w:r>
        <w:t>The commentary considered that if conservative management is to be applied before offering surgery to postpartum women then the ‘best supportive care’ arm should more appropriately be labelled ‘no treatment,’ as physiotherapy-based exercise programs precede the decision to offer surgical management as an option. The model also assumes that patients with a surgical repair and no recurrence incur no ongoing conservative management costs.</w:t>
      </w:r>
    </w:p>
    <w:p w14:paraId="6AC3E2B0" w14:textId="14EB366A" w:rsidR="00D233DA" w:rsidRDefault="00D233DA" w:rsidP="009555C2">
      <w:pPr>
        <w:spacing w:before="240"/>
      </w:pPr>
      <w:r>
        <w:t>The commentary considered that if both intervention and comparator groups undergo exercise-based programs prior to offering surgery, then the cost of this should be applied to both groups (in which case the marginal cost for this item would be $0), or to neither group (in which case the marginal cost for this item would also be $0).</w:t>
      </w:r>
    </w:p>
    <w:p w14:paraId="77DC64EF" w14:textId="32208AC1" w:rsidR="00D233DA" w:rsidRDefault="00D233DA" w:rsidP="009555C2">
      <w:pPr>
        <w:spacing w:before="240"/>
      </w:pPr>
      <w:r>
        <w:t>The commentary also considered that if the costs of ‘best supportive care’ were removed from the model, the incremental cost and therefore the ICER would increase, relative to that presented in the ADAR.</w:t>
      </w:r>
    </w:p>
    <w:p w14:paraId="53C1A28C" w14:textId="6B823303" w:rsidR="00FD564E" w:rsidRDefault="00D233DA" w:rsidP="009555C2">
      <w:pPr>
        <w:spacing w:before="240"/>
      </w:pPr>
      <w:r w:rsidRPr="00183E4D">
        <w:t>The results of a stepped analysis of the base case economic evaluation are given in</w:t>
      </w:r>
      <w:bookmarkStart w:id="15" w:name="_Ref69423546"/>
      <w:r w:rsidR="0056195F">
        <w:t xml:space="preserve"> Table 1</w:t>
      </w:r>
      <w:r w:rsidR="00180202">
        <w:t>2</w:t>
      </w:r>
      <w:r w:rsidR="0056195F">
        <w:t>.</w:t>
      </w:r>
    </w:p>
    <w:p w14:paraId="2521F829" w14:textId="0002AE35" w:rsidR="00D233DA" w:rsidRPr="00AE7C29" w:rsidRDefault="00D233DA" w:rsidP="00180202">
      <w:pPr>
        <w:pStyle w:val="Caption"/>
        <w:spacing w:before="240"/>
      </w:pPr>
      <w:r>
        <w:t>Table</w:t>
      </w:r>
      <w:bookmarkEnd w:id="15"/>
      <w:r>
        <w:t xml:space="preserve"> 1</w:t>
      </w:r>
      <w:r w:rsidR="00180202">
        <w:t>2</w:t>
      </w:r>
      <w:r>
        <w:tab/>
        <w:t>Results of updated cost-utility analysis (</w:t>
      </w:r>
      <w:r w:rsidRPr="003D35BF">
        <w:rPr>
          <w:u w:val="single"/>
        </w:rPr>
        <w:t>NB: no recalculation from the ADAR values</w:t>
      </w:r>
      <w:r>
        <w:t>)</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updated cost-utility analysis (NB: no recalculation from the ADAR values)"/>
        <w:tblDescription w:val="The table outlines the base case in DCAR, ADAR over 20 years for Abdominoplasty with best supportive care and incremental analysis. "/>
      </w:tblPr>
      <w:tblGrid>
        <w:gridCol w:w="2831"/>
        <w:gridCol w:w="1984"/>
        <w:gridCol w:w="2128"/>
        <w:gridCol w:w="1557"/>
      </w:tblGrid>
      <w:tr w:rsidR="00D233DA" w:rsidRPr="00331137" w14:paraId="5CC9737D" w14:textId="77777777" w:rsidTr="0036773E">
        <w:trPr>
          <w:tblHeader/>
        </w:trPr>
        <w:tc>
          <w:tcPr>
            <w:tcW w:w="1665" w:type="pct"/>
            <w:vAlign w:val="center"/>
          </w:tcPr>
          <w:p w14:paraId="2339F4CB" w14:textId="77777777" w:rsidR="00D233DA" w:rsidRPr="00331137" w:rsidRDefault="00D233DA" w:rsidP="0036773E">
            <w:pPr>
              <w:pStyle w:val="TableText0"/>
              <w:rPr>
                <w:b/>
              </w:rPr>
            </w:pPr>
            <w:r w:rsidRPr="00331137">
              <w:rPr>
                <w:b/>
              </w:rPr>
              <w:t>Step and component</w:t>
            </w:r>
          </w:p>
        </w:tc>
        <w:tc>
          <w:tcPr>
            <w:tcW w:w="1167" w:type="pct"/>
          </w:tcPr>
          <w:p w14:paraId="0170D68F" w14:textId="77777777" w:rsidR="00D233DA" w:rsidRPr="00331137" w:rsidRDefault="00D233DA" w:rsidP="0036773E">
            <w:pPr>
              <w:pStyle w:val="TableText0"/>
              <w:rPr>
                <w:b/>
              </w:rPr>
            </w:pPr>
            <w:r w:rsidRPr="00331137">
              <w:rPr>
                <w:b/>
              </w:rPr>
              <w:t>Abdominoplasty</w:t>
            </w:r>
          </w:p>
        </w:tc>
        <w:tc>
          <w:tcPr>
            <w:tcW w:w="1252" w:type="pct"/>
            <w:vAlign w:val="center"/>
          </w:tcPr>
          <w:p w14:paraId="60E3D203" w14:textId="77777777" w:rsidR="00D233DA" w:rsidRPr="00331137" w:rsidRDefault="00D233DA" w:rsidP="0036773E">
            <w:pPr>
              <w:pStyle w:val="TableText0"/>
              <w:rPr>
                <w:b/>
              </w:rPr>
            </w:pPr>
            <w:r>
              <w:rPr>
                <w:b/>
              </w:rPr>
              <w:t>Best supportive care</w:t>
            </w:r>
          </w:p>
        </w:tc>
        <w:tc>
          <w:tcPr>
            <w:tcW w:w="916" w:type="pct"/>
          </w:tcPr>
          <w:p w14:paraId="1EFCA16C" w14:textId="77777777" w:rsidR="00D233DA" w:rsidRPr="00331137" w:rsidRDefault="00D233DA" w:rsidP="0036773E">
            <w:pPr>
              <w:pStyle w:val="TableText0"/>
              <w:rPr>
                <w:b/>
              </w:rPr>
            </w:pPr>
            <w:r w:rsidRPr="00331137">
              <w:rPr>
                <w:b/>
              </w:rPr>
              <w:t>Increment</w:t>
            </w:r>
          </w:p>
        </w:tc>
      </w:tr>
      <w:tr w:rsidR="00D233DA" w:rsidRPr="00331137" w14:paraId="133C37CD" w14:textId="77777777" w:rsidTr="0036773E">
        <w:tc>
          <w:tcPr>
            <w:tcW w:w="1665" w:type="pct"/>
            <w:tcBorders>
              <w:right w:val="nil"/>
            </w:tcBorders>
            <w:shd w:val="clear" w:color="auto" w:fill="D9D9D9" w:themeFill="background1" w:themeFillShade="D9"/>
          </w:tcPr>
          <w:p w14:paraId="376078A6" w14:textId="77777777" w:rsidR="00D233DA" w:rsidRPr="00630618" w:rsidRDefault="00D233DA" w:rsidP="0036773E">
            <w:pPr>
              <w:pStyle w:val="TableText0"/>
              <w:rPr>
                <w:b/>
                <w:bCs/>
              </w:rPr>
            </w:pPr>
            <w:r w:rsidRPr="00630618">
              <w:rPr>
                <w:b/>
                <w:bCs/>
              </w:rPr>
              <w:t>Base case in DCAR</w:t>
            </w:r>
          </w:p>
        </w:tc>
        <w:tc>
          <w:tcPr>
            <w:tcW w:w="1167" w:type="pct"/>
            <w:tcBorders>
              <w:left w:val="nil"/>
              <w:right w:val="nil"/>
            </w:tcBorders>
            <w:shd w:val="clear" w:color="auto" w:fill="D9D9D9" w:themeFill="background1" w:themeFillShade="D9"/>
          </w:tcPr>
          <w:p w14:paraId="0B0143E9" w14:textId="77777777" w:rsidR="00D233DA" w:rsidRPr="00630618" w:rsidRDefault="00D233DA" w:rsidP="0036773E">
            <w:pPr>
              <w:pStyle w:val="TableText0"/>
              <w:rPr>
                <w:b/>
                <w:bCs/>
              </w:rPr>
            </w:pPr>
          </w:p>
        </w:tc>
        <w:tc>
          <w:tcPr>
            <w:tcW w:w="1252" w:type="pct"/>
            <w:tcBorders>
              <w:left w:val="nil"/>
              <w:right w:val="nil"/>
            </w:tcBorders>
            <w:shd w:val="clear" w:color="auto" w:fill="D9D9D9" w:themeFill="background1" w:themeFillShade="D9"/>
          </w:tcPr>
          <w:p w14:paraId="4A96FFAF" w14:textId="77777777" w:rsidR="00D233DA" w:rsidRPr="00630618" w:rsidRDefault="00D233DA" w:rsidP="0036773E">
            <w:pPr>
              <w:pStyle w:val="TableText0"/>
              <w:rPr>
                <w:b/>
                <w:bCs/>
              </w:rPr>
            </w:pPr>
          </w:p>
        </w:tc>
        <w:tc>
          <w:tcPr>
            <w:tcW w:w="916" w:type="pct"/>
            <w:tcBorders>
              <w:left w:val="nil"/>
            </w:tcBorders>
            <w:shd w:val="clear" w:color="auto" w:fill="D9D9D9" w:themeFill="background1" w:themeFillShade="D9"/>
          </w:tcPr>
          <w:p w14:paraId="1DDBC5B3" w14:textId="77777777" w:rsidR="00D233DA" w:rsidRPr="00630618" w:rsidRDefault="00D233DA" w:rsidP="0036773E">
            <w:pPr>
              <w:pStyle w:val="TableText0"/>
              <w:rPr>
                <w:b/>
                <w:bCs/>
              </w:rPr>
            </w:pPr>
          </w:p>
        </w:tc>
      </w:tr>
      <w:tr w:rsidR="00D233DA" w:rsidRPr="00331137" w14:paraId="6C19181B" w14:textId="77777777" w:rsidTr="0036773E">
        <w:tc>
          <w:tcPr>
            <w:tcW w:w="1665" w:type="pct"/>
          </w:tcPr>
          <w:p w14:paraId="083569CD" w14:textId="77777777" w:rsidR="00D233DA" w:rsidRPr="00331137" w:rsidRDefault="00D233DA" w:rsidP="0036773E">
            <w:pPr>
              <w:pStyle w:val="TableText0"/>
              <w:rPr>
                <w:szCs w:val="16"/>
              </w:rPr>
            </w:pPr>
            <w:r w:rsidRPr="00331137">
              <w:t>Cost</w:t>
            </w:r>
          </w:p>
        </w:tc>
        <w:tc>
          <w:tcPr>
            <w:tcW w:w="1167" w:type="pct"/>
          </w:tcPr>
          <w:p w14:paraId="0428850A" w14:textId="77777777" w:rsidR="00D233DA" w:rsidRPr="00331137" w:rsidRDefault="00D233DA" w:rsidP="0036773E">
            <w:pPr>
              <w:pStyle w:val="TableText0"/>
              <w:rPr>
                <w:szCs w:val="16"/>
              </w:rPr>
            </w:pPr>
            <w:r w:rsidRPr="00331137">
              <w:t>$12</w:t>
            </w:r>
            <w:r>
              <w:t> </w:t>
            </w:r>
            <w:r w:rsidRPr="00331137">
              <w:t>195</w:t>
            </w:r>
          </w:p>
        </w:tc>
        <w:tc>
          <w:tcPr>
            <w:tcW w:w="1252" w:type="pct"/>
          </w:tcPr>
          <w:p w14:paraId="21848084" w14:textId="77777777" w:rsidR="00D233DA" w:rsidRPr="00331137" w:rsidRDefault="00D233DA" w:rsidP="0036773E">
            <w:pPr>
              <w:pStyle w:val="TableText0"/>
              <w:rPr>
                <w:szCs w:val="16"/>
              </w:rPr>
            </w:pPr>
            <w:r w:rsidRPr="00331137">
              <w:t>$311</w:t>
            </w:r>
          </w:p>
        </w:tc>
        <w:tc>
          <w:tcPr>
            <w:tcW w:w="916" w:type="pct"/>
          </w:tcPr>
          <w:p w14:paraId="7342FE0C" w14:textId="77777777" w:rsidR="00D233DA" w:rsidRPr="00331137" w:rsidRDefault="00D233DA" w:rsidP="0036773E">
            <w:pPr>
              <w:pStyle w:val="TableText0"/>
              <w:rPr>
                <w:szCs w:val="16"/>
              </w:rPr>
            </w:pPr>
            <w:r w:rsidRPr="00331137">
              <w:t>$11</w:t>
            </w:r>
            <w:r>
              <w:t> </w:t>
            </w:r>
            <w:r w:rsidRPr="00331137">
              <w:t>884</w:t>
            </w:r>
          </w:p>
        </w:tc>
      </w:tr>
      <w:tr w:rsidR="00D233DA" w:rsidRPr="00331137" w14:paraId="7F906309" w14:textId="77777777" w:rsidTr="0036773E">
        <w:tc>
          <w:tcPr>
            <w:tcW w:w="1665" w:type="pct"/>
          </w:tcPr>
          <w:p w14:paraId="19BEA67E" w14:textId="77777777" w:rsidR="00D233DA" w:rsidRPr="00331137" w:rsidRDefault="00D233DA" w:rsidP="0036773E">
            <w:pPr>
              <w:pStyle w:val="TableText0"/>
              <w:rPr>
                <w:szCs w:val="16"/>
              </w:rPr>
            </w:pPr>
            <w:r w:rsidRPr="00331137">
              <w:t>LYs</w:t>
            </w:r>
          </w:p>
        </w:tc>
        <w:tc>
          <w:tcPr>
            <w:tcW w:w="1167" w:type="pct"/>
          </w:tcPr>
          <w:p w14:paraId="4205EBCB" w14:textId="77777777" w:rsidR="00D233DA" w:rsidRPr="00331137" w:rsidRDefault="00D233DA" w:rsidP="0036773E">
            <w:pPr>
              <w:pStyle w:val="TableText0"/>
              <w:rPr>
                <w:szCs w:val="16"/>
              </w:rPr>
            </w:pPr>
            <w:r w:rsidRPr="00331137">
              <w:t>4.45</w:t>
            </w:r>
          </w:p>
        </w:tc>
        <w:tc>
          <w:tcPr>
            <w:tcW w:w="1252" w:type="pct"/>
          </w:tcPr>
          <w:p w14:paraId="7833912D" w14:textId="77777777" w:rsidR="00D233DA" w:rsidRPr="00331137" w:rsidRDefault="00D233DA" w:rsidP="0036773E">
            <w:pPr>
              <w:pStyle w:val="TableText0"/>
              <w:rPr>
                <w:szCs w:val="16"/>
              </w:rPr>
            </w:pPr>
            <w:r w:rsidRPr="00331137">
              <w:t>4.45</w:t>
            </w:r>
          </w:p>
        </w:tc>
        <w:tc>
          <w:tcPr>
            <w:tcW w:w="916" w:type="pct"/>
          </w:tcPr>
          <w:p w14:paraId="6D5561A8" w14:textId="77777777" w:rsidR="00D233DA" w:rsidRPr="00331137" w:rsidRDefault="00D233DA" w:rsidP="0036773E">
            <w:pPr>
              <w:pStyle w:val="TableText0"/>
              <w:rPr>
                <w:szCs w:val="16"/>
              </w:rPr>
            </w:pPr>
            <w:r w:rsidRPr="00331137">
              <w:t>0</w:t>
            </w:r>
          </w:p>
        </w:tc>
      </w:tr>
      <w:tr w:rsidR="00D233DA" w:rsidRPr="00331137" w14:paraId="586E6F1B" w14:textId="77777777" w:rsidTr="0036773E">
        <w:tc>
          <w:tcPr>
            <w:tcW w:w="1665" w:type="pct"/>
          </w:tcPr>
          <w:p w14:paraId="61345DF5" w14:textId="77777777" w:rsidR="00D233DA" w:rsidRPr="00331137" w:rsidRDefault="00D233DA" w:rsidP="0036773E">
            <w:pPr>
              <w:pStyle w:val="TableText0"/>
              <w:rPr>
                <w:szCs w:val="16"/>
              </w:rPr>
            </w:pPr>
            <w:r w:rsidRPr="00331137">
              <w:t>QALYs</w:t>
            </w:r>
          </w:p>
        </w:tc>
        <w:tc>
          <w:tcPr>
            <w:tcW w:w="1167" w:type="pct"/>
          </w:tcPr>
          <w:p w14:paraId="31056C6D" w14:textId="77777777" w:rsidR="00D233DA" w:rsidRPr="00331137" w:rsidRDefault="00D233DA" w:rsidP="0036773E">
            <w:pPr>
              <w:pStyle w:val="TableText0"/>
              <w:rPr>
                <w:szCs w:val="16"/>
              </w:rPr>
            </w:pPr>
            <w:r w:rsidRPr="00331137">
              <w:t>2.95</w:t>
            </w:r>
          </w:p>
        </w:tc>
        <w:tc>
          <w:tcPr>
            <w:tcW w:w="1252" w:type="pct"/>
          </w:tcPr>
          <w:p w14:paraId="381D6512" w14:textId="77777777" w:rsidR="00D233DA" w:rsidRPr="00331137" w:rsidRDefault="00D233DA" w:rsidP="0036773E">
            <w:pPr>
              <w:pStyle w:val="TableText0"/>
              <w:rPr>
                <w:szCs w:val="16"/>
              </w:rPr>
            </w:pPr>
            <w:r w:rsidRPr="00331137">
              <w:t>2.66</w:t>
            </w:r>
          </w:p>
        </w:tc>
        <w:tc>
          <w:tcPr>
            <w:tcW w:w="916" w:type="pct"/>
          </w:tcPr>
          <w:p w14:paraId="5ABB245A" w14:textId="77777777" w:rsidR="00D233DA" w:rsidRPr="00331137" w:rsidRDefault="00D233DA" w:rsidP="0036773E">
            <w:pPr>
              <w:pStyle w:val="TableText0"/>
              <w:rPr>
                <w:szCs w:val="16"/>
              </w:rPr>
            </w:pPr>
            <w:r w:rsidRPr="00331137">
              <w:t>0.30</w:t>
            </w:r>
          </w:p>
        </w:tc>
      </w:tr>
      <w:tr w:rsidR="00D233DA" w:rsidRPr="00331137" w14:paraId="444D2321" w14:textId="77777777" w:rsidTr="0036773E">
        <w:tc>
          <w:tcPr>
            <w:tcW w:w="1665" w:type="pct"/>
          </w:tcPr>
          <w:p w14:paraId="1FA9338E" w14:textId="77777777" w:rsidR="00D233DA" w:rsidRPr="00331137" w:rsidRDefault="00D233DA" w:rsidP="0036773E">
            <w:pPr>
              <w:pStyle w:val="TableText0"/>
            </w:pPr>
            <w:r w:rsidRPr="00331137">
              <w:rPr>
                <w:b/>
              </w:rPr>
              <w:t>Incremental cost per QALY gained</w:t>
            </w:r>
          </w:p>
        </w:tc>
        <w:tc>
          <w:tcPr>
            <w:tcW w:w="1167" w:type="pct"/>
          </w:tcPr>
          <w:p w14:paraId="392B92C5" w14:textId="77777777" w:rsidR="00D233DA" w:rsidRPr="00331137" w:rsidRDefault="00D233DA" w:rsidP="0036773E">
            <w:pPr>
              <w:pStyle w:val="TableText0"/>
            </w:pPr>
          </w:p>
        </w:tc>
        <w:tc>
          <w:tcPr>
            <w:tcW w:w="1252" w:type="pct"/>
          </w:tcPr>
          <w:p w14:paraId="57AA74A5" w14:textId="77777777" w:rsidR="00D233DA" w:rsidRPr="00331137" w:rsidRDefault="00D233DA" w:rsidP="0036773E">
            <w:pPr>
              <w:pStyle w:val="TableText0"/>
            </w:pPr>
          </w:p>
        </w:tc>
        <w:tc>
          <w:tcPr>
            <w:tcW w:w="916" w:type="pct"/>
          </w:tcPr>
          <w:p w14:paraId="4149B90E" w14:textId="77777777" w:rsidR="00D233DA" w:rsidRPr="00331137" w:rsidRDefault="00D233DA" w:rsidP="0036773E">
            <w:pPr>
              <w:pStyle w:val="TableText0"/>
            </w:pPr>
            <w:r w:rsidRPr="00331137">
              <w:rPr>
                <w:b/>
              </w:rPr>
              <w:t>$39</w:t>
            </w:r>
            <w:r>
              <w:rPr>
                <w:b/>
              </w:rPr>
              <w:t> </w:t>
            </w:r>
            <w:r w:rsidRPr="00331137">
              <w:rPr>
                <w:b/>
              </w:rPr>
              <w:t>942</w:t>
            </w:r>
          </w:p>
        </w:tc>
      </w:tr>
      <w:tr w:rsidR="00D233DA" w:rsidRPr="00331137" w14:paraId="78A13D66" w14:textId="77777777" w:rsidTr="0036773E">
        <w:tc>
          <w:tcPr>
            <w:tcW w:w="1665" w:type="pct"/>
            <w:tcBorders>
              <w:bottom w:val="single" w:sz="4" w:space="0" w:color="auto"/>
              <w:right w:val="nil"/>
            </w:tcBorders>
            <w:shd w:val="clear" w:color="auto" w:fill="D9D9D9" w:themeFill="background1" w:themeFillShade="D9"/>
          </w:tcPr>
          <w:p w14:paraId="5E49890B" w14:textId="77777777" w:rsidR="00D233DA" w:rsidRPr="00630618" w:rsidRDefault="00D233DA" w:rsidP="0036773E">
            <w:pPr>
              <w:pStyle w:val="TableText0"/>
              <w:rPr>
                <w:b/>
                <w:bCs/>
              </w:rPr>
            </w:pPr>
            <w:r>
              <w:rPr>
                <w:b/>
                <w:bCs/>
              </w:rPr>
              <w:t>B</w:t>
            </w:r>
            <w:r w:rsidRPr="00630618">
              <w:rPr>
                <w:b/>
                <w:bCs/>
              </w:rPr>
              <w:t>ase case in ADAR</w:t>
            </w:r>
          </w:p>
        </w:tc>
        <w:tc>
          <w:tcPr>
            <w:tcW w:w="1167" w:type="pct"/>
            <w:tcBorders>
              <w:left w:val="nil"/>
              <w:bottom w:val="single" w:sz="4" w:space="0" w:color="auto"/>
              <w:right w:val="nil"/>
            </w:tcBorders>
            <w:shd w:val="clear" w:color="auto" w:fill="D9D9D9" w:themeFill="background1" w:themeFillShade="D9"/>
          </w:tcPr>
          <w:p w14:paraId="461B65F4" w14:textId="77777777" w:rsidR="00D233DA" w:rsidRPr="00630618" w:rsidRDefault="00D233DA" w:rsidP="0036773E">
            <w:pPr>
              <w:pStyle w:val="TableText0"/>
              <w:rPr>
                <w:b/>
                <w:bCs/>
              </w:rPr>
            </w:pPr>
          </w:p>
        </w:tc>
        <w:tc>
          <w:tcPr>
            <w:tcW w:w="1252" w:type="pct"/>
            <w:tcBorders>
              <w:left w:val="nil"/>
              <w:bottom w:val="single" w:sz="4" w:space="0" w:color="auto"/>
              <w:right w:val="nil"/>
            </w:tcBorders>
            <w:shd w:val="clear" w:color="auto" w:fill="D9D9D9" w:themeFill="background1" w:themeFillShade="D9"/>
          </w:tcPr>
          <w:p w14:paraId="24231E41" w14:textId="77777777" w:rsidR="00D233DA" w:rsidRPr="00630618" w:rsidRDefault="00D233DA" w:rsidP="0036773E">
            <w:pPr>
              <w:pStyle w:val="TableText0"/>
              <w:rPr>
                <w:b/>
                <w:bCs/>
              </w:rPr>
            </w:pPr>
          </w:p>
        </w:tc>
        <w:tc>
          <w:tcPr>
            <w:tcW w:w="916" w:type="pct"/>
            <w:tcBorders>
              <w:left w:val="nil"/>
            </w:tcBorders>
            <w:shd w:val="clear" w:color="auto" w:fill="D9D9D9" w:themeFill="background1" w:themeFillShade="D9"/>
          </w:tcPr>
          <w:p w14:paraId="724C6A91" w14:textId="77777777" w:rsidR="00D233DA" w:rsidRPr="00630618" w:rsidRDefault="00D233DA" w:rsidP="0036773E">
            <w:pPr>
              <w:pStyle w:val="TableText0"/>
              <w:rPr>
                <w:b/>
                <w:bCs/>
              </w:rPr>
            </w:pPr>
          </w:p>
        </w:tc>
      </w:tr>
      <w:tr w:rsidR="00D233DA" w:rsidRPr="00331137" w14:paraId="00A42056" w14:textId="77777777" w:rsidTr="0036773E">
        <w:tc>
          <w:tcPr>
            <w:tcW w:w="1665" w:type="pct"/>
            <w:tcBorders>
              <w:right w:val="nil"/>
            </w:tcBorders>
            <w:shd w:val="clear" w:color="auto" w:fill="F2F2F2" w:themeFill="background1" w:themeFillShade="F2"/>
          </w:tcPr>
          <w:p w14:paraId="5CBD74A7" w14:textId="77777777" w:rsidR="00D233DA" w:rsidRPr="00630618" w:rsidRDefault="00D233DA" w:rsidP="0036773E">
            <w:pPr>
              <w:pStyle w:val="TableText0"/>
              <w:rPr>
                <w:b/>
                <w:bCs/>
              </w:rPr>
            </w:pPr>
            <w:r w:rsidRPr="00630618">
              <w:rPr>
                <w:b/>
                <w:bCs/>
              </w:rPr>
              <w:t>5-year time horizon</w:t>
            </w:r>
          </w:p>
        </w:tc>
        <w:tc>
          <w:tcPr>
            <w:tcW w:w="1167" w:type="pct"/>
            <w:tcBorders>
              <w:left w:val="nil"/>
              <w:right w:val="nil"/>
            </w:tcBorders>
            <w:shd w:val="clear" w:color="auto" w:fill="F2F2F2" w:themeFill="background1" w:themeFillShade="F2"/>
          </w:tcPr>
          <w:p w14:paraId="6B311B95" w14:textId="77777777" w:rsidR="00D233DA" w:rsidRPr="00630618" w:rsidRDefault="00D233DA" w:rsidP="0036773E">
            <w:pPr>
              <w:pStyle w:val="TableText0"/>
              <w:rPr>
                <w:b/>
                <w:bCs/>
              </w:rPr>
            </w:pPr>
          </w:p>
        </w:tc>
        <w:tc>
          <w:tcPr>
            <w:tcW w:w="1252" w:type="pct"/>
            <w:tcBorders>
              <w:left w:val="nil"/>
              <w:right w:val="nil"/>
            </w:tcBorders>
            <w:shd w:val="clear" w:color="auto" w:fill="F2F2F2" w:themeFill="background1" w:themeFillShade="F2"/>
          </w:tcPr>
          <w:p w14:paraId="55FC1911" w14:textId="77777777" w:rsidR="00D233DA" w:rsidRPr="00630618" w:rsidRDefault="00D233DA" w:rsidP="0036773E">
            <w:pPr>
              <w:pStyle w:val="TableText0"/>
              <w:rPr>
                <w:b/>
                <w:bCs/>
              </w:rPr>
            </w:pPr>
          </w:p>
        </w:tc>
        <w:tc>
          <w:tcPr>
            <w:tcW w:w="916" w:type="pct"/>
            <w:tcBorders>
              <w:left w:val="nil"/>
            </w:tcBorders>
            <w:shd w:val="clear" w:color="auto" w:fill="F2F2F2" w:themeFill="background1" w:themeFillShade="F2"/>
          </w:tcPr>
          <w:p w14:paraId="435A776B" w14:textId="77777777" w:rsidR="00D233DA" w:rsidRPr="00630618" w:rsidRDefault="00D233DA" w:rsidP="0036773E">
            <w:pPr>
              <w:pStyle w:val="TableText0"/>
              <w:rPr>
                <w:b/>
                <w:bCs/>
              </w:rPr>
            </w:pPr>
          </w:p>
        </w:tc>
      </w:tr>
      <w:tr w:rsidR="00D233DA" w:rsidRPr="00331137" w14:paraId="6806325F" w14:textId="77777777" w:rsidTr="0036773E">
        <w:tc>
          <w:tcPr>
            <w:tcW w:w="1665" w:type="pct"/>
          </w:tcPr>
          <w:p w14:paraId="33793C44" w14:textId="77777777" w:rsidR="00D233DA" w:rsidRPr="00331137" w:rsidRDefault="00D233DA" w:rsidP="0036773E">
            <w:pPr>
              <w:pStyle w:val="TableText0"/>
            </w:pPr>
            <w:r w:rsidRPr="00331137">
              <w:t>Cost</w:t>
            </w:r>
          </w:p>
        </w:tc>
        <w:tc>
          <w:tcPr>
            <w:tcW w:w="1167" w:type="pct"/>
          </w:tcPr>
          <w:p w14:paraId="4D09B8F2" w14:textId="77777777" w:rsidR="00D233DA" w:rsidRPr="00331137" w:rsidRDefault="00D233DA" w:rsidP="0036773E">
            <w:pPr>
              <w:pStyle w:val="TableText0"/>
            </w:pPr>
            <w:r>
              <w:t>$9056</w:t>
            </w:r>
          </w:p>
        </w:tc>
        <w:tc>
          <w:tcPr>
            <w:tcW w:w="1252" w:type="pct"/>
          </w:tcPr>
          <w:p w14:paraId="090902C2" w14:textId="77777777" w:rsidR="00D233DA" w:rsidRPr="00331137" w:rsidRDefault="00D233DA" w:rsidP="0036773E">
            <w:pPr>
              <w:pStyle w:val="TableText0"/>
            </w:pPr>
            <w:r>
              <w:t>$2490</w:t>
            </w:r>
          </w:p>
        </w:tc>
        <w:tc>
          <w:tcPr>
            <w:tcW w:w="916" w:type="pct"/>
          </w:tcPr>
          <w:p w14:paraId="39BB7863" w14:textId="77777777" w:rsidR="00D233DA" w:rsidRPr="00331137" w:rsidRDefault="00D233DA" w:rsidP="0036773E">
            <w:pPr>
              <w:pStyle w:val="TableText0"/>
            </w:pPr>
            <w:r>
              <w:t>$6565</w:t>
            </w:r>
          </w:p>
        </w:tc>
      </w:tr>
      <w:tr w:rsidR="00D233DA" w:rsidRPr="00331137" w14:paraId="01ACF78D" w14:textId="77777777" w:rsidTr="0036773E">
        <w:tc>
          <w:tcPr>
            <w:tcW w:w="1665" w:type="pct"/>
          </w:tcPr>
          <w:p w14:paraId="50C7607F" w14:textId="77777777" w:rsidR="00D233DA" w:rsidRPr="00331137" w:rsidRDefault="00D233DA" w:rsidP="0036773E">
            <w:pPr>
              <w:pStyle w:val="TableText0"/>
            </w:pPr>
            <w:r w:rsidRPr="00331137">
              <w:t>LYs</w:t>
            </w:r>
          </w:p>
        </w:tc>
        <w:tc>
          <w:tcPr>
            <w:tcW w:w="1167" w:type="pct"/>
          </w:tcPr>
          <w:p w14:paraId="0BCDB6E4" w14:textId="77777777" w:rsidR="00D233DA" w:rsidRPr="00331137" w:rsidRDefault="00D233DA" w:rsidP="0036773E">
            <w:pPr>
              <w:pStyle w:val="TableText0"/>
            </w:pPr>
            <w:r>
              <w:t>4.45</w:t>
            </w:r>
          </w:p>
        </w:tc>
        <w:tc>
          <w:tcPr>
            <w:tcW w:w="1252" w:type="pct"/>
          </w:tcPr>
          <w:p w14:paraId="6DEDF8A1" w14:textId="77777777" w:rsidR="00D233DA" w:rsidRPr="00331137" w:rsidRDefault="00D233DA" w:rsidP="0036773E">
            <w:pPr>
              <w:pStyle w:val="TableText0"/>
            </w:pPr>
            <w:r>
              <w:t>4.45</w:t>
            </w:r>
          </w:p>
        </w:tc>
        <w:tc>
          <w:tcPr>
            <w:tcW w:w="916" w:type="pct"/>
          </w:tcPr>
          <w:p w14:paraId="5D683458" w14:textId="77777777" w:rsidR="00D233DA" w:rsidRPr="00331137" w:rsidRDefault="00D233DA" w:rsidP="0036773E">
            <w:pPr>
              <w:pStyle w:val="TableText0"/>
            </w:pPr>
            <w:r>
              <w:t>0</w:t>
            </w:r>
          </w:p>
        </w:tc>
      </w:tr>
      <w:tr w:rsidR="00D233DA" w:rsidRPr="00331137" w14:paraId="1D2917EA" w14:textId="77777777" w:rsidTr="0036773E">
        <w:tc>
          <w:tcPr>
            <w:tcW w:w="1665" w:type="pct"/>
          </w:tcPr>
          <w:p w14:paraId="63A19F0F" w14:textId="77777777" w:rsidR="00D233DA" w:rsidRPr="00331137" w:rsidRDefault="00D233DA" w:rsidP="0036773E">
            <w:pPr>
              <w:pStyle w:val="TableText0"/>
            </w:pPr>
            <w:r w:rsidRPr="00331137">
              <w:t>QALYs</w:t>
            </w:r>
          </w:p>
        </w:tc>
        <w:tc>
          <w:tcPr>
            <w:tcW w:w="1167" w:type="pct"/>
          </w:tcPr>
          <w:p w14:paraId="4A5FDD30" w14:textId="77777777" w:rsidR="00D233DA" w:rsidRPr="00331137" w:rsidRDefault="00D233DA" w:rsidP="0036773E">
            <w:pPr>
              <w:pStyle w:val="TableText0"/>
            </w:pPr>
            <w:r>
              <w:t>2.95</w:t>
            </w:r>
          </w:p>
        </w:tc>
        <w:tc>
          <w:tcPr>
            <w:tcW w:w="1252" w:type="pct"/>
          </w:tcPr>
          <w:p w14:paraId="5AB56A01" w14:textId="77777777" w:rsidR="00D233DA" w:rsidRPr="00331137" w:rsidRDefault="00D233DA" w:rsidP="0036773E">
            <w:pPr>
              <w:pStyle w:val="TableText0"/>
            </w:pPr>
            <w:r>
              <w:t>2.66</w:t>
            </w:r>
          </w:p>
        </w:tc>
        <w:tc>
          <w:tcPr>
            <w:tcW w:w="916" w:type="pct"/>
          </w:tcPr>
          <w:p w14:paraId="7CB093F5" w14:textId="77777777" w:rsidR="00D233DA" w:rsidRPr="00331137" w:rsidRDefault="00D233DA" w:rsidP="0036773E">
            <w:pPr>
              <w:pStyle w:val="TableText0"/>
            </w:pPr>
            <w:r>
              <w:t>0.30</w:t>
            </w:r>
          </w:p>
        </w:tc>
      </w:tr>
      <w:tr w:rsidR="00D233DA" w:rsidRPr="00331137" w14:paraId="50B79B2B" w14:textId="77777777" w:rsidTr="0036773E">
        <w:tc>
          <w:tcPr>
            <w:tcW w:w="1665" w:type="pct"/>
          </w:tcPr>
          <w:p w14:paraId="4C8733DD" w14:textId="77777777" w:rsidR="00D233DA" w:rsidRPr="00331137" w:rsidRDefault="00D233DA" w:rsidP="0036773E">
            <w:pPr>
              <w:pStyle w:val="TableText0"/>
            </w:pPr>
            <w:r w:rsidRPr="00331137">
              <w:rPr>
                <w:b/>
              </w:rPr>
              <w:t>Incremental cost per QALY gained</w:t>
            </w:r>
          </w:p>
        </w:tc>
        <w:tc>
          <w:tcPr>
            <w:tcW w:w="1167" w:type="pct"/>
          </w:tcPr>
          <w:p w14:paraId="79DD868A" w14:textId="77777777" w:rsidR="00D233DA" w:rsidRPr="00331137" w:rsidRDefault="00D233DA" w:rsidP="0036773E">
            <w:pPr>
              <w:pStyle w:val="TableText0"/>
            </w:pPr>
          </w:p>
        </w:tc>
        <w:tc>
          <w:tcPr>
            <w:tcW w:w="1252" w:type="pct"/>
          </w:tcPr>
          <w:p w14:paraId="427F537E" w14:textId="77777777" w:rsidR="00D233DA" w:rsidRPr="00331137" w:rsidRDefault="00D233DA" w:rsidP="0036773E">
            <w:pPr>
              <w:pStyle w:val="TableText0"/>
            </w:pPr>
          </w:p>
        </w:tc>
        <w:tc>
          <w:tcPr>
            <w:tcW w:w="916" w:type="pct"/>
          </w:tcPr>
          <w:p w14:paraId="29B2F040" w14:textId="77777777" w:rsidR="00D233DA" w:rsidRPr="00331137" w:rsidRDefault="00D233DA" w:rsidP="0036773E">
            <w:pPr>
              <w:pStyle w:val="TableText0"/>
            </w:pPr>
            <w:r w:rsidRPr="00B95831">
              <w:rPr>
                <w:b/>
              </w:rPr>
              <w:t>$22</w:t>
            </w:r>
            <w:r>
              <w:rPr>
                <w:b/>
              </w:rPr>
              <w:t> 067</w:t>
            </w:r>
          </w:p>
        </w:tc>
      </w:tr>
      <w:tr w:rsidR="00D233DA" w:rsidRPr="00331137" w14:paraId="6EBC55B0" w14:textId="77777777" w:rsidTr="0036773E">
        <w:tc>
          <w:tcPr>
            <w:tcW w:w="1665" w:type="pct"/>
            <w:tcBorders>
              <w:right w:val="nil"/>
            </w:tcBorders>
            <w:shd w:val="clear" w:color="auto" w:fill="F2F2F2" w:themeFill="background1" w:themeFillShade="F2"/>
          </w:tcPr>
          <w:p w14:paraId="2EC8AB3F" w14:textId="77777777" w:rsidR="00D233DA" w:rsidRPr="00331137" w:rsidRDefault="00D233DA" w:rsidP="0036773E">
            <w:pPr>
              <w:pStyle w:val="TableText0"/>
            </w:pPr>
            <w:r>
              <w:rPr>
                <w:b/>
                <w:bCs/>
              </w:rPr>
              <w:t>20-year time horizon</w:t>
            </w:r>
          </w:p>
        </w:tc>
        <w:tc>
          <w:tcPr>
            <w:tcW w:w="1167" w:type="pct"/>
            <w:tcBorders>
              <w:left w:val="nil"/>
              <w:right w:val="nil"/>
            </w:tcBorders>
            <w:shd w:val="clear" w:color="auto" w:fill="F2F2F2" w:themeFill="background1" w:themeFillShade="F2"/>
          </w:tcPr>
          <w:p w14:paraId="635E5591" w14:textId="77777777" w:rsidR="00D233DA" w:rsidRDefault="00D233DA" w:rsidP="0036773E">
            <w:pPr>
              <w:pStyle w:val="TableText0"/>
            </w:pPr>
          </w:p>
        </w:tc>
        <w:tc>
          <w:tcPr>
            <w:tcW w:w="1252" w:type="pct"/>
            <w:tcBorders>
              <w:left w:val="nil"/>
              <w:right w:val="nil"/>
            </w:tcBorders>
            <w:shd w:val="clear" w:color="auto" w:fill="F2F2F2" w:themeFill="background1" w:themeFillShade="F2"/>
          </w:tcPr>
          <w:p w14:paraId="35059908" w14:textId="77777777" w:rsidR="00D233DA" w:rsidRDefault="00D233DA" w:rsidP="0036773E">
            <w:pPr>
              <w:pStyle w:val="TableText0"/>
            </w:pPr>
          </w:p>
        </w:tc>
        <w:tc>
          <w:tcPr>
            <w:tcW w:w="916" w:type="pct"/>
            <w:tcBorders>
              <w:left w:val="nil"/>
            </w:tcBorders>
            <w:shd w:val="clear" w:color="auto" w:fill="F2F2F2" w:themeFill="background1" w:themeFillShade="F2"/>
          </w:tcPr>
          <w:p w14:paraId="32CC9D53" w14:textId="77777777" w:rsidR="00D233DA" w:rsidRDefault="00D233DA" w:rsidP="0036773E">
            <w:pPr>
              <w:pStyle w:val="TableText0"/>
            </w:pPr>
          </w:p>
        </w:tc>
      </w:tr>
      <w:tr w:rsidR="00D233DA" w:rsidRPr="00331137" w14:paraId="4A455B31" w14:textId="77777777" w:rsidTr="0036773E">
        <w:tc>
          <w:tcPr>
            <w:tcW w:w="1665" w:type="pct"/>
          </w:tcPr>
          <w:p w14:paraId="4A30274A" w14:textId="77777777" w:rsidR="00D233DA" w:rsidRPr="00331137" w:rsidRDefault="00D233DA" w:rsidP="0036773E">
            <w:pPr>
              <w:pStyle w:val="TableText0"/>
            </w:pPr>
            <w:r w:rsidRPr="00331137">
              <w:t>Cost</w:t>
            </w:r>
          </w:p>
        </w:tc>
        <w:tc>
          <w:tcPr>
            <w:tcW w:w="1167" w:type="pct"/>
          </w:tcPr>
          <w:p w14:paraId="34602085" w14:textId="77777777" w:rsidR="00D233DA" w:rsidRPr="00331137" w:rsidRDefault="00D233DA" w:rsidP="0036773E">
            <w:pPr>
              <w:pStyle w:val="TableText0"/>
            </w:pPr>
            <w:r>
              <w:t>$9056</w:t>
            </w:r>
          </w:p>
        </w:tc>
        <w:tc>
          <w:tcPr>
            <w:tcW w:w="1252" w:type="pct"/>
          </w:tcPr>
          <w:p w14:paraId="66CC519A" w14:textId="77777777" w:rsidR="00D233DA" w:rsidRPr="00331137" w:rsidRDefault="00D233DA" w:rsidP="0036773E">
            <w:pPr>
              <w:pStyle w:val="TableText0"/>
            </w:pPr>
            <w:r>
              <w:t>$2490</w:t>
            </w:r>
          </w:p>
        </w:tc>
        <w:tc>
          <w:tcPr>
            <w:tcW w:w="916" w:type="pct"/>
          </w:tcPr>
          <w:p w14:paraId="47635F21" w14:textId="77777777" w:rsidR="00D233DA" w:rsidRPr="00331137" w:rsidRDefault="00D233DA" w:rsidP="0036773E">
            <w:pPr>
              <w:pStyle w:val="TableText0"/>
            </w:pPr>
            <w:r>
              <w:t>$6565</w:t>
            </w:r>
          </w:p>
        </w:tc>
      </w:tr>
      <w:tr w:rsidR="00D233DA" w:rsidRPr="00331137" w14:paraId="176ABED6" w14:textId="77777777" w:rsidTr="0036773E">
        <w:tc>
          <w:tcPr>
            <w:tcW w:w="1665" w:type="pct"/>
          </w:tcPr>
          <w:p w14:paraId="61C83759" w14:textId="77777777" w:rsidR="00D233DA" w:rsidRPr="00331137" w:rsidRDefault="00D233DA" w:rsidP="0036773E">
            <w:pPr>
              <w:pStyle w:val="TableText0"/>
            </w:pPr>
            <w:r w:rsidRPr="00331137">
              <w:t>LYs</w:t>
            </w:r>
          </w:p>
        </w:tc>
        <w:tc>
          <w:tcPr>
            <w:tcW w:w="1167" w:type="pct"/>
          </w:tcPr>
          <w:p w14:paraId="59003549" w14:textId="77777777" w:rsidR="00D233DA" w:rsidRPr="00331137" w:rsidRDefault="00D233DA" w:rsidP="0036773E">
            <w:pPr>
              <w:pStyle w:val="TableText0"/>
            </w:pPr>
            <w:r>
              <w:t>12.69</w:t>
            </w:r>
          </w:p>
        </w:tc>
        <w:tc>
          <w:tcPr>
            <w:tcW w:w="1252" w:type="pct"/>
          </w:tcPr>
          <w:p w14:paraId="78091732" w14:textId="77777777" w:rsidR="00D233DA" w:rsidRPr="00331137" w:rsidRDefault="00D233DA" w:rsidP="0036773E">
            <w:pPr>
              <w:pStyle w:val="TableText0"/>
            </w:pPr>
            <w:r>
              <w:t>12.69</w:t>
            </w:r>
          </w:p>
        </w:tc>
        <w:tc>
          <w:tcPr>
            <w:tcW w:w="916" w:type="pct"/>
          </w:tcPr>
          <w:p w14:paraId="0FCBC5AA" w14:textId="77777777" w:rsidR="00D233DA" w:rsidRPr="00331137" w:rsidRDefault="00D233DA" w:rsidP="0036773E">
            <w:pPr>
              <w:pStyle w:val="TableText0"/>
            </w:pPr>
            <w:r>
              <w:t>0</w:t>
            </w:r>
          </w:p>
        </w:tc>
      </w:tr>
      <w:tr w:rsidR="00D233DA" w:rsidRPr="00331137" w14:paraId="2922A3B2" w14:textId="77777777" w:rsidTr="0036773E">
        <w:tc>
          <w:tcPr>
            <w:tcW w:w="1665" w:type="pct"/>
          </w:tcPr>
          <w:p w14:paraId="7527D46E" w14:textId="77777777" w:rsidR="00D233DA" w:rsidRPr="00331137" w:rsidRDefault="00D233DA" w:rsidP="0036773E">
            <w:pPr>
              <w:pStyle w:val="TableText0"/>
            </w:pPr>
            <w:r w:rsidRPr="00331137">
              <w:t>QALYs</w:t>
            </w:r>
          </w:p>
        </w:tc>
        <w:tc>
          <w:tcPr>
            <w:tcW w:w="1167" w:type="pct"/>
            <w:tcBorders>
              <w:bottom w:val="single" w:sz="4" w:space="0" w:color="auto"/>
            </w:tcBorders>
          </w:tcPr>
          <w:p w14:paraId="140D851D" w14:textId="77777777" w:rsidR="00D233DA" w:rsidRPr="00331137" w:rsidRDefault="00D233DA" w:rsidP="0036773E">
            <w:pPr>
              <w:pStyle w:val="TableText0"/>
            </w:pPr>
            <w:r>
              <w:t>8.55</w:t>
            </w:r>
          </w:p>
        </w:tc>
        <w:tc>
          <w:tcPr>
            <w:tcW w:w="1252" w:type="pct"/>
          </w:tcPr>
          <w:p w14:paraId="65B85478" w14:textId="77777777" w:rsidR="00D233DA" w:rsidRPr="00331137" w:rsidRDefault="00D233DA" w:rsidP="0036773E">
            <w:pPr>
              <w:pStyle w:val="TableText0"/>
            </w:pPr>
            <w:r>
              <w:t>7.60</w:t>
            </w:r>
          </w:p>
        </w:tc>
        <w:tc>
          <w:tcPr>
            <w:tcW w:w="916" w:type="pct"/>
          </w:tcPr>
          <w:p w14:paraId="6B8D5C81" w14:textId="77777777" w:rsidR="00D233DA" w:rsidRPr="00331137" w:rsidRDefault="00D233DA" w:rsidP="0036773E">
            <w:pPr>
              <w:pStyle w:val="TableText0"/>
            </w:pPr>
            <w:r>
              <w:t>0.94</w:t>
            </w:r>
          </w:p>
        </w:tc>
      </w:tr>
      <w:tr w:rsidR="00D233DA" w:rsidRPr="00331137" w14:paraId="2CE991CA" w14:textId="77777777" w:rsidTr="0036773E">
        <w:trPr>
          <w:trHeight w:val="171"/>
        </w:trPr>
        <w:tc>
          <w:tcPr>
            <w:tcW w:w="1665" w:type="pct"/>
            <w:tcBorders>
              <w:right w:val="nil"/>
            </w:tcBorders>
          </w:tcPr>
          <w:p w14:paraId="30EEAD9F" w14:textId="77777777" w:rsidR="00D233DA" w:rsidRPr="00331137" w:rsidRDefault="00D233DA" w:rsidP="0036773E">
            <w:pPr>
              <w:pStyle w:val="TableText0"/>
              <w:rPr>
                <w:b/>
                <w:szCs w:val="16"/>
              </w:rPr>
            </w:pPr>
            <w:r w:rsidRPr="00331137">
              <w:rPr>
                <w:b/>
              </w:rPr>
              <w:t>Incremental cost per QALY gained</w:t>
            </w:r>
          </w:p>
        </w:tc>
        <w:tc>
          <w:tcPr>
            <w:tcW w:w="1167" w:type="pct"/>
            <w:tcBorders>
              <w:left w:val="nil"/>
              <w:right w:val="nil"/>
            </w:tcBorders>
          </w:tcPr>
          <w:p w14:paraId="4F876AF4" w14:textId="77777777" w:rsidR="00D233DA" w:rsidRPr="00331137" w:rsidRDefault="00D233DA" w:rsidP="0036773E">
            <w:pPr>
              <w:pStyle w:val="TableText0"/>
              <w:rPr>
                <w:b/>
                <w:szCs w:val="16"/>
              </w:rPr>
            </w:pPr>
          </w:p>
        </w:tc>
        <w:tc>
          <w:tcPr>
            <w:tcW w:w="1252" w:type="pct"/>
            <w:tcBorders>
              <w:left w:val="nil"/>
            </w:tcBorders>
          </w:tcPr>
          <w:p w14:paraId="191EE357" w14:textId="77777777" w:rsidR="00D233DA" w:rsidRPr="00331137" w:rsidRDefault="00D233DA" w:rsidP="0036773E">
            <w:pPr>
              <w:pStyle w:val="TableText0"/>
              <w:rPr>
                <w:b/>
                <w:szCs w:val="16"/>
              </w:rPr>
            </w:pPr>
          </w:p>
        </w:tc>
        <w:tc>
          <w:tcPr>
            <w:tcW w:w="916" w:type="pct"/>
          </w:tcPr>
          <w:p w14:paraId="51044C22" w14:textId="48E99EC8" w:rsidR="00D233DA" w:rsidRPr="00331137" w:rsidRDefault="00D233DA" w:rsidP="0036773E">
            <w:pPr>
              <w:pStyle w:val="TableText0"/>
              <w:rPr>
                <w:b/>
                <w:szCs w:val="16"/>
              </w:rPr>
            </w:pPr>
            <w:r>
              <w:rPr>
                <w:b/>
                <w:szCs w:val="16"/>
              </w:rPr>
              <w:t>$6</w:t>
            </w:r>
            <w:r w:rsidR="00137A44">
              <w:rPr>
                <w:b/>
                <w:szCs w:val="16"/>
              </w:rPr>
              <w:t xml:space="preserve"> </w:t>
            </w:r>
            <w:r>
              <w:rPr>
                <w:b/>
                <w:szCs w:val="16"/>
              </w:rPr>
              <w:t>951</w:t>
            </w:r>
          </w:p>
        </w:tc>
      </w:tr>
    </w:tbl>
    <w:p w14:paraId="178AB945" w14:textId="77777777" w:rsidR="00D233DA" w:rsidRPr="00331137" w:rsidRDefault="00D233DA" w:rsidP="009555C2">
      <w:pPr>
        <w:pStyle w:val="Tablenotes"/>
      </w:pPr>
      <w:r w:rsidRPr="00331137">
        <w:t>Source: Base Case</w:t>
      </w:r>
      <w:r>
        <w:t>_ADAR</w:t>
      </w:r>
      <w:r w:rsidRPr="00331137">
        <w:t>.trex</w:t>
      </w:r>
      <w:r>
        <w:t xml:space="preserve">, ADAR Table 27. </w:t>
      </w:r>
    </w:p>
    <w:p w14:paraId="3FF23919" w14:textId="77777777" w:rsidR="00D233DA" w:rsidRPr="00183E4D" w:rsidRDefault="00D233DA" w:rsidP="009555C2">
      <w:pPr>
        <w:pStyle w:val="Tablenotes"/>
      </w:pPr>
      <w:r>
        <w:t xml:space="preserve">ADAR = Applicant Developed Assessment Report; </w:t>
      </w:r>
      <w:r w:rsidRPr="00331137">
        <w:t>LY = life year; QALY = quality</w:t>
      </w:r>
      <w:r>
        <w:t>-</w:t>
      </w:r>
      <w:r w:rsidRPr="00331137">
        <w:t>adjusted life year</w:t>
      </w:r>
    </w:p>
    <w:p w14:paraId="54B92BDF" w14:textId="03AB5D2F" w:rsidR="00B411FE" w:rsidRPr="009555C2" w:rsidRDefault="00D233DA" w:rsidP="009555C2">
      <w:pPr>
        <w:spacing w:before="240" w:after="240"/>
      </w:pPr>
      <w:r w:rsidRPr="00183E4D">
        <w:t>The</w:t>
      </w:r>
      <w:r w:rsidR="00FD564E">
        <w:t xml:space="preserve"> commentary stated the </w:t>
      </w:r>
      <w:r w:rsidRPr="00183E4D">
        <w:t xml:space="preserve">modelled results were most sensitive to </w:t>
      </w:r>
      <w:r>
        <w:t>the time horizon.</w:t>
      </w:r>
      <w:bookmarkEnd w:id="11"/>
    </w:p>
    <w:p w14:paraId="4519492F" w14:textId="52C10D68" w:rsidR="00136969" w:rsidRDefault="00065623" w:rsidP="00BD6C4E">
      <w:pPr>
        <w:pStyle w:val="Heading1"/>
        <w:rPr>
          <w:rFonts w:ascii="Arial" w:hAnsi="Arial" w:cs="Arial"/>
        </w:rPr>
      </w:pPr>
      <w:r w:rsidRPr="00180202">
        <w:rPr>
          <w:rFonts w:ascii="Arial" w:hAnsi="Arial" w:cs="Arial"/>
        </w:rPr>
        <w:t>Financial/budgetary impacts</w:t>
      </w:r>
    </w:p>
    <w:p w14:paraId="1AED0693" w14:textId="77777777" w:rsidR="00180202" w:rsidRDefault="00180202" w:rsidP="00180202">
      <w:pPr>
        <w:spacing w:before="240"/>
        <w:rPr>
          <w:lang w:eastAsia="en-US"/>
        </w:rPr>
      </w:pPr>
      <w:r>
        <w:rPr>
          <w:lang w:eastAsia="en-US"/>
        </w:rPr>
        <w:t xml:space="preserve">The commentary noted that the MSAC did not, in the PSD, outline substantial issues with the financial estimates in the DCAR. However, the resubmission outlines that not all clinical criteria used to determine patient eligibility for MBS-funded abdominoplasty were included </w:t>
      </w:r>
      <w:r>
        <w:rPr>
          <w:lang w:eastAsia="en-US"/>
        </w:rPr>
        <w:lastRenderedPageBreak/>
        <w:t>in the previous DCAR, nor was the circumstances of use of MBS-funded abdominoplasty in broader clinical practice properly considered. Together, these factors are considered to have resulted in an overestimate of the number of patients eligible for treatment in the previous DCAR, which has flow-on consequences for the estimated financial implications.</w:t>
      </w:r>
    </w:p>
    <w:p w14:paraId="3CFACE5D" w14:textId="77777777" w:rsidR="00180202" w:rsidRDefault="00180202" w:rsidP="009555C2">
      <w:pPr>
        <w:spacing w:before="240"/>
        <w:rPr>
          <w:lang w:eastAsia="en-US"/>
        </w:rPr>
      </w:pPr>
      <w:r>
        <w:rPr>
          <w:lang w:eastAsia="en-US"/>
        </w:rPr>
        <w:t>The commentary considered that the ADAR’s estimate of the number of services per year (567 in 2022 increasing to 656 in 2026) is unreasonable as it is lower than the historic uptake of abdominoplasty in postpartum women, which ranged from 967 to 1185 between 2010 and 2015. Therefore, the commentary did not present these in Table 12.</w:t>
      </w:r>
    </w:p>
    <w:p w14:paraId="2A0276F2" w14:textId="77777777" w:rsidR="00180202" w:rsidRDefault="00180202" w:rsidP="009555C2">
      <w:pPr>
        <w:spacing w:before="240"/>
        <w:rPr>
          <w:lang w:eastAsia="en-US"/>
        </w:rPr>
      </w:pPr>
      <w:r>
        <w:rPr>
          <w:lang w:eastAsia="en-US"/>
        </w:rPr>
        <w:t>The commentary considered that the estimate from the previous DCAR which was based on this historic data was the more appropriate measure.</w:t>
      </w:r>
    </w:p>
    <w:p w14:paraId="1BF77CD3" w14:textId="77777777" w:rsidR="00180202" w:rsidRDefault="00180202" w:rsidP="009555C2">
      <w:pPr>
        <w:spacing w:before="240"/>
        <w:rPr>
          <w:lang w:eastAsia="en-US"/>
        </w:rPr>
      </w:pPr>
      <w:r>
        <w:rPr>
          <w:lang w:eastAsia="en-US"/>
        </w:rPr>
        <w:t>The financial implications to the MBS resulting from the proposed listing of abdominoplasty with surgical repair of rectus diastasis following pregnancy are summarised in Table 13.</w:t>
      </w:r>
    </w:p>
    <w:p w14:paraId="3FFA153A" w14:textId="77777777" w:rsidR="00180202" w:rsidRPr="00183E4D" w:rsidRDefault="00180202" w:rsidP="009555C2">
      <w:pPr>
        <w:pStyle w:val="Caption"/>
        <w:spacing w:before="240"/>
      </w:pPr>
      <w:bookmarkStart w:id="16" w:name="_Ref70672939"/>
      <w:r>
        <w:t xml:space="preserve">Table </w:t>
      </w:r>
      <w:bookmarkEnd w:id="16"/>
      <w:r>
        <w:t>13</w:t>
      </w:r>
      <w:r w:rsidRPr="00183E4D">
        <w:tab/>
        <w:t xml:space="preserve">Total costs to the MBS associated with </w:t>
      </w:r>
      <w:r>
        <w:t>the proposed listing for abdominoplasty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tal costs to the MBS associated with the proposed listing for abdominoplasty"/>
        <w:tblDescription w:val="This table provides a summary of the financial impact of the proposed new medical service over the next five years."/>
      </w:tblPr>
      <w:tblGrid>
        <w:gridCol w:w="1555"/>
        <w:gridCol w:w="1065"/>
        <w:gridCol w:w="1066"/>
        <w:gridCol w:w="1066"/>
        <w:gridCol w:w="1066"/>
        <w:gridCol w:w="1066"/>
        <w:gridCol w:w="1066"/>
        <w:gridCol w:w="1066"/>
      </w:tblGrid>
      <w:tr w:rsidR="00180202" w:rsidRPr="00331137" w14:paraId="20BE219B" w14:textId="77777777" w:rsidTr="00ED782B">
        <w:trPr>
          <w:trHeight w:val="300"/>
          <w:tblHeader/>
        </w:trPr>
        <w:tc>
          <w:tcPr>
            <w:tcW w:w="1555" w:type="dxa"/>
            <w:tcBorders>
              <w:bottom w:val="single" w:sz="4" w:space="0" w:color="auto"/>
            </w:tcBorders>
            <w:shd w:val="clear" w:color="auto" w:fill="auto"/>
            <w:vAlign w:val="center"/>
          </w:tcPr>
          <w:p w14:paraId="780D2C82" w14:textId="77777777" w:rsidR="00180202" w:rsidRPr="00331137" w:rsidRDefault="00180202" w:rsidP="00ED782B">
            <w:pPr>
              <w:pStyle w:val="Tabletext"/>
              <w:rPr>
                <w:b/>
              </w:rPr>
            </w:pPr>
            <w:r w:rsidRPr="00331137">
              <w:rPr>
                <w:b/>
              </w:rPr>
              <w:t>-</w:t>
            </w:r>
          </w:p>
        </w:tc>
        <w:tc>
          <w:tcPr>
            <w:tcW w:w="1065" w:type="dxa"/>
            <w:tcBorders>
              <w:bottom w:val="single" w:sz="4" w:space="0" w:color="auto"/>
            </w:tcBorders>
          </w:tcPr>
          <w:p w14:paraId="2C7165BF" w14:textId="77777777" w:rsidR="00180202" w:rsidRPr="00331137" w:rsidRDefault="00180202" w:rsidP="00ED782B">
            <w:pPr>
              <w:pStyle w:val="Tabletext"/>
              <w:jc w:val="center"/>
              <w:rPr>
                <w:b/>
              </w:rPr>
            </w:pPr>
            <w:r w:rsidRPr="00331137">
              <w:rPr>
                <w:b/>
              </w:rPr>
              <w:t>2020</w:t>
            </w:r>
          </w:p>
        </w:tc>
        <w:tc>
          <w:tcPr>
            <w:tcW w:w="1066" w:type="dxa"/>
            <w:tcBorders>
              <w:bottom w:val="single" w:sz="4" w:space="0" w:color="auto"/>
            </w:tcBorders>
            <w:shd w:val="clear" w:color="auto" w:fill="auto"/>
          </w:tcPr>
          <w:p w14:paraId="1559273B" w14:textId="77777777" w:rsidR="00180202" w:rsidRPr="00331137" w:rsidRDefault="00180202" w:rsidP="00ED782B">
            <w:pPr>
              <w:pStyle w:val="Tabletext"/>
              <w:jc w:val="center"/>
              <w:rPr>
                <w:b/>
              </w:rPr>
            </w:pPr>
            <w:r w:rsidRPr="00331137">
              <w:rPr>
                <w:b/>
              </w:rPr>
              <w:t>2021</w:t>
            </w:r>
          </w:p>
        </w:tc>
        <w:tc>
          <w:tcPr>
            <w:tcW w:w="1066" w:type="dxa"/>
            <w:tcBorders>
              <w:bottom w:val="single" w:sz="4" w:space="0" w:color="auto"/>
            </w:tcBorders>
            <w:shd w:val="clear" w:color="auto" w:fill="auto"/>
          </w:tcPr>
          <w:p w14:paraId="1842C9EB" w14:textId="77777777" w:rsidR="00180202" w:rsidRPr="00331137" w:rsidRDefault="00180202" w:rsidP="00ED782B">
            <w:pPr>
              <w:pStyle w:val="Tabletext"/>
              <w:jc w:val="center"/>
              <w:rPr>
                <w:b/>
              </w:rPr>
            </w:pPr>
            <w:r w:rsidRPr="00331137">
              <w:rPr>
                <w:b/>
              </w:rPr>
              <w:t>2022</w:t>
            </w:r>
          </w:p>
        </w:tc>
        <w:tc>
          <w:tcPr>
            <w:tcW w:w="1066" w:type="dxa"/>
            <w:tcBorders>
              <w:bottom w:val="single" w:sz="4" w:space="0" w:color="auto"/>
            </w:tcBorders>
            <w:shd w:val="clear" w:color="auto" w:fill="auto"/>
          </w:tcPr>
          <w:p w14:paraId="5548FAC9" w14:textId="77777777" w:rsidR="00180202" w:rsidRPr="00331137" w:rsidRDefault="00180202" w:rsidP="00ED782B">
            <w:pPr>
              <w:pStyle w:val="Tabletext"/>
              <w:jc w:val="center"/>
              <w:rPr>
                <w:b/>
              </w:rPr>
            </w:pPr>
            <w:r w:rsidRPr="00331137">
              <w:rPr>
                <w:b/>
              </w:rPr>
              <w:t>2023</w:t>
            </w:r>
          </w:p>
        </w:tc>
        <w:tc>
          <w:tcPr>
            <w:tcW w:w="1066" w:type="dxa"/>
            <w:tcBorders>
              <w:bottom w:val="single" w:sz="4" w:space="0" w:color="auto"/>
            </w:tcBorders>
            <w:shd w:val="clear" w:color="auto" w:fill="auto"/>
          </w:tcPr>
          <w:p w14:paraId="6BC9D69F" w14:textId="77777777" w:rsidR="00180202" w:rsidRPr="00331137" w:rsidRDefault="00180202" w:rsidP="00ED782B">
            <w:pPr>
              <w:pStyle w:val="Tabletext"/>
              <w:jc w:val="center"/>
              <w:rPr>
                <w:b/>
              </w:rPr>
            </w:pPr>
            <w:r w:rsidRPr="00331137">
              <w:rPr>
                <w:b/>
              </w:rPr>
              <w:t>2024</w:t>
            </w:r>
          </w:p>
        </w:tc>
        <w:tc>
          <w:tcPr>
            <w:tcW w:w="1066" w:type="dxa"/>
            <w:tcBorders>
              <w:bottom w:val="single" w:sz="4" w:space="0" w:color="auto"/>
            </w:tcBorders>
          </w:tcPr>
          <w:p w14:paraId="393B774A" w14:textId="77777777" w:rsidR="00180202" w:rsidRPr="00331137" w:rsidRDefault="00180202" w:rsidP="00ED782B">
            <w:pPr>
              <w:pStyle w:val="Tabletext"/>
              <w:jc w:val="center"/>
              <w:rPr>
                <w:b/>
              </w:rPr>
            </w:pPr>
            <w:r>
              <w:rPr>
                <w:b/>
              </w:rPr>
              <w:t>2025</w:t>
            </w:r>
          </w:p>
        </w:tc>
        <w:tc>
          <w:tcPr>
            <w:tcW w:w="1066" w:type="dxa"/>
            <w:tcBorders>
              <w:bottom w:val="single" w:sz="4" w:space="0" w:color="auto"/>
            </w:tcBorders>
          </w:tcPr>
          <w:p w14:paraId="395C3085" w14:textId="77777777" w:rsidR="00180202" w:rsidRPr="00331137" w:rsidRDefault="00180202" w:rsidP="00ED782B">
            <w:pPr>
              <w:pStyle w:val="Tabletext"/>
              <w:jc w:val="center"/>
              <w:rPr>
                <w:b/>
              </w:rPr>
            </w:pPr>
            <w:r>
              <w:rPr>
                <w:b/>
              </w:rPr>
              <w:t>2026</w:t>
            </w:r>
          </w:p>
        </w:tc>
      </w:tr>
      <w:tr w:rsidR="00180202" w:rsidRPr="007C66FE" w14:paraId="319EF87F" w14:textId="77777777" w:rsidTr="00ED782B">
        <w:trPr>
          <w:trHeight w:val="300"/>
        </w:trPr>
        <w:tc>
          <w:tcPr>
            <w:tcW w:w="1555" w:type="dxa"/>
            <w:tcBorders>
              <w:right w:val="nil"/>
            </w:tcBorders>
            <w:shd w:val="clear" w:color="auto" w:fill="auto"/>
            <w:vAlign w:val="center"/>
          </w:tcPr>
          <w:p w14:paraId="391BEF22" w14:textId="77777777" w:rsidR="00180202" w:rsidRPr="00DC2509" w:rsidRDefault="00180202" w:rsidP="00ED782B">
            <w:pPr>
              <w:pStyle w:val="Tabletext"/>
              <w:rPr>
                <w:b/>
                <w:bCs/>
              </w:rPr>
            </w:pPr>
            <w:r w:rsidRPr="00DC2509">
              <w:rPr>
                <w:b/>
                <w:bCs/>
              </w:rPr>
              <w:t>Abdominoplasty</w:t>
            </w:r>
          </w:p>
        </w:tc>
        <w:tc>
          <w:tcPr>
            <w:tcW w:w="1065" w:type="dxa"/>
            <w:tcBorders>
              <w:left w:val="nil"/>
              <w:right w:val="nil"/>
            </w:tcBorders>
            <w:shd w:val="clear" w:color="auto" w:fill="auto"/>
            <w:vAlign w:val="center"/>
          </w:tcPr>
          <w:p w14:paraId="7FB1AB30" w14:textId="77777777" w:rsidR="00180202" w:rsidRPr="00DC2509" w:rsidRDefault="00180202" w:rsidP="00ED782B">
            <w:pPr>
              <w:pStyle w:val="Tabletext"/>
              <w:rPr>
                <w:b/>
                <w:bCs/>
              </w:rPr>
            </w:pPr>
            <w:r>
              <w:rPr>
                <w:b/>
                <w:bCs/>
              </w:rPr>
              <w:t>(DCAR)</w:t>
            </w:r>
          </w:p>
        </w:tc>
        <w:tc>
          <w:tcPr>
            <w:tcW w:w="1066" w:type="dxa"/>
            <w:tcBorders>
              <w:left w:val="nil"/>
              <w:right w:val="nil"/>
            </w:tcBorders>
            <w:shd w:val="clear" w:color="auto" w:fill="auto"/>
            <w:vAlign w:val="center"/>
          </w:tcPr>
          <w:p w14:paraId="5E014759" w14:textId="77777777" w:rsidR="00180202" w:rsidRPr="00DC2509" w:rsidRDefault="00180202" w:rsidP="00ED782B">
            <w:pPr>
              <w:pStyle w:val="Tabletext"/>
              <w:rPr>
                <w:b/>
                <w:bCs/>
              </w:rPr>
            </w:pPr>
          </w:p>
        </w:tc>
        <w:tc>
          <w:tcPr>
            <w:tcW w:w="1066" w:type="dxa"/>
            <w:tcBorders>
              <w:left w:val="nil"/>
              <w:right w:val="nil"/>
            </w:tcBorders>
            <w:shd w:val="clear" w:color="auto" w:fill="auto"/>
            <w:vAlign w:val="center"/>
          </w:tcPr>
          <w:p w14:paraId="721B055C" w14:textId="77777777" w:rsidR="00180202" w:rsidRPr="00DC2509" w:rsidRDefault="00180202" w:rsidP="00ED782B">
            <w:pPr>
              <w:pStyle w:val="Tabletext"/>
              <w:rPr>
                <w:b/>
                <w:bCs/>
              </w:rPr>
            </w:pPr>
          </w:p>
        </w:tc>
        <w:tc>
          <w:tcPr>
            <w:tcW w:w="1066" w:type="dxa"/>
            <w:tcBorders>
              <w:left w:val="nil"/>
              <w:right w:val="nil"/>
            </w:tcBorders>
            <w:shd w:val="clear" w:color="auto" w:fill="auto"/>
            <w:vAlign w:val="center"/>
          </w:tcPr>
          <w:p w14:paraId="11A98712" w14:textId="77777777" w:rsidR="00180202" w:rsidRPr="00DC2509" w:rsidRDefault="00180202" w:rsidP="00ED782B">
            <w:pPr>
              <w:pStyle w:val="Tabletext"/>
              <w:rPr>
                <w:b/>
                <w:bCs/>
              </w:rPr>
            </w:pPr>
          </w:p>
        </w:tc>
        <w:tc>
          <w:tcPr>
            <w:tcW w:w="1066" w:type="dxa"/>
            <w:tcBorders>
              <w:left w:val="nil"/>
              <w:right w:val="nil"/>
            </w:tcBorders>
            <w:shd w:val="clear" w:color="auto" w:fill="auto"/>
            <w:vAlign w:val="center"/>
          </w:tcPr>
          <w:p w14:paraId="2FAF7FB4" w14:textId="77777777" w:rsidR="00180202" w:rsidRPr="00DC2509" w:rsidRDefault="00180202" w:rsidP="00ED782B">
            <w:pPr>
              <w:pStyle w:val="Tabletext"/>
              <w:rPr>
                <w:b/>
                <w:bCs/>
              </w:rPr>
            </w:pPr>
          </w:p>
        </w:tc>
        <w:tc>
          <w:tcPr>
            <w:tcW w:w="1066" w:type="dxa"/>
            <w:tcBorders>
              <w:left w:val="nil"/>
              <w:right w:val="nil"/>
            </w:tcBorders>
            <w:shd w:val="clear" w:color="auto" w:fill="auto"/>
            <w:vAlign w:val="center"/>
          </w:tcPr>
          <w:p w14:paraId="7AC2DEC6" w14:textId="77777777" w:rsidR="00180202" w:rsidRPr="00DC2509" w:rsidRDefault="00180202" w:rsidP="00ED782B">
            <w:pPr>
              <w:pStyle w:val="Tabletext"/>
              <w:rPr>
                <w:b/>
                <w:bCs/>
              </w:rPr>
            </w:pPr>
          </w:p>
        </w:tc>
        <w:tc>
          <w:tcPr>
            <w:tcW w:w="1066" w:type="dxa"/>
            <w:tcBorders>
              <w:left w:val="nil"/>
              <w:right w:val="single" w:sz="4" w:space="0" w:color="auto"/>
            </w:tcBorders>
            <w:shd w:val="clear" w:color="auto" w:fill="auto"/>
            <w:vAlign w:val="center"/>
          </w:tcPr>
          <w:p w14:paraId="20E94F96" w14:textId="77777777" w:rsidR="00180202" w:rsidRPr="00DC2509" w:rsidRDefault="00180202" w:rsidP="00ED782B">
            <w:pPr>
              <w:pStyle w:val="Tabletext"/>
              <w:rPr>
                <w:b/>
                <w:bCs/>
              </w:rPr>
            </w:pPr>
          </w:p>
        </w:tc>
      </w:tr>
      <w:tr w:rsidR="00180202" w:rsidRPr="007C66FE" w14:paraId="56863B0C" w14:textId="77777777" w:rsidTr="00ED782B">
        <w:trPr>
          <w:trHeight w:val="300"/>
        </w:trPr>
        <w:tc>
          <w:tcPr>
            <w:tcW w:w="1555" w:type="dxa"/>
            <w:shd w:val="clear" w:color="auto" w:fill="auto"/>
            <w:vAlign w:val="center"/>
          </w:tcPr>
          <w:p w14:paraId="3AAFF328" w14:textId="77777777" w:rsidR="00180202" w:rsidRPr="007C66FE" w:rsidRDefault="00180202" w:rsidP="00ED782B">
            <w:pPr>
              <w:pStyle w:val="Tabletext"/>
            </w:pPr>
            <w:r w:rsidRPr="007C66FE">
              <w:t>Number of services</w:t>
            </w:r>
          </w:p>
        </w:tc>
        <w:tc>
          <w:tcPr>
            <w:tcW w:w="1065" w:type="dxa"/>
            <w:vAlign w:val="center"/>
          </w:tcPr>
          <w:p w14:paraId="0B102944" w14:textId="77777777" w:rsidR="00180202" w:rsidRPr="007C66FE" w:rsidRDefault="00180202" w:rsidP="00ED782B">
            <w:pPr>
              <w:pStyle w:val="Tabletext"/>
              <w:jc w:val="right"/>
            </w:pPr>
            <w:r w:rsidRPr="007C66FE">
              <w:t>1</w:t>
            </w:r>
            <w:r>
              <w:t>139</w:t>
            </w:r>
          </w:p>
        </w:tc>
        <w:tc>
          <w:tcPr>
            <w:tcW w:w="1066" w:type="dxa"/>
            <w:shd w:val="clear" w:color="auto" w:fill="auto"/>
            <w:vAlign w:val="center"/>
          </w:tcPr>
          <w:p w14:paraId="060BC01E" w14:textId="77777777" w:rsidR="00180202" w:rsidRPr="007C66FE" w:rsidRDefault="00180202" w:rsidP="00ED782B">
            <w:pPr>
              <w:pStyle w:val="Tabletext"/>
              <w:jc w:val="right"/>
            </w:pPr>
            <w:r w:rsidRPr="007C66FE">
              <w:t>1</w:t>
            </w:r>
            <w:r>
              <w:t>161</w:t>
            </w:r>
          </w:p>
        </w:tc>
        <w:tc>
          <w:tcPr>
            <w:tcW w:w="1066" w:type="dxa"/>
            <w:shd w:val="clear" w:color="auto" w:fill="auto"/>
            <w:vAlign w:val="center"/>
          </w:tcPr>
          <w:p w14:paraId="0BD5EB09" w14:textId="77777777" w:rsidR="00180202" w:rsidRPr="007C66FE" w:rsidRDefault="00180202" w:rsidP="00ED782B">
            <w:pPr>
              <w:pStyle w:val="Tabletext"/>
              <w:jc w:val="right"/>
            </w:pPr>
            <w:r w:rsidRPr="007C66FE">
              <w:t>1</w:t>
            </w:r>
            <w:r>
              <w:t>183</w:t>
            </w:r>
          </w:p>
        </w:tc>
        <w:tc>
          <w:tcPr>
            <w:tcW w:w="1066" w:type="dxa"/>
            <w:shd w:val="clear" w:color="auto" w:fill="auto"/>
            <w:vAlign w:val="center"/>
          </w:tcPr>
          <w:p w14:paraId="28A66B39" w14:textId="77777777" w:rsidR="00180202" w:rsidRPr="007C66FE" w:rsidRDefault="00180202" w:rsidP="00ED782B">
            <w:pPr>
              <w:pStyle w:val="Tabletext"/>
              <w:jc w:val="right"/>
            </w:pPr>
            <w:r w:rsidRPr="007C66FE">
              <w:t>1</w:t>
            </w:r>
            <w:r>
              <w:t>203</w:t>
            </w:r>
          </w:p>
        </w:tc>
        <w:tc>
          <w:tcPr>
            <w:tcW w:w="1066" w:type="dxa"/>
            <w:shd w:val="clear" w:color="auto" w:fill="auto"/>
            <w:vAlign w:val="center"/>
          </w:tcPr>
          <w:p w14:paraId="136C30F8" w14:textId="77777777" w:rsidR="00180202" w:rsidRPr="007C66FE" w:rsidRDefault="00180202" w:rsidP="00ED782B">
            <w:pPr>
              <w:pStyle w:val="Tabletext"/>
              <w:jc w:val="right"/>
            </w:pPr>
            <w:r w:rsidRPr="007C66FE">
              <w:t>1</w:t>
            </w:r>
            <w:r>
              <w:t>221</w:t>
            </w:r>
          </w:p>
        </w:tc>
        <w:tc>
          <w:tcPr>
            <w:tcW w:w="1066" w:type="dxa"/>
            <w:vAlign w:val="center"/>
          </w:tcPr>
          <w:p w14:paraId="389F439B" w14:textId="77777777" w:rsidR="00180202" w:rsidRPr="007C66FE" w:rsidRDefault="00180202" w:rsidP="00ED782B">
            <w:pPr>
              <w:pStyle w:val="Tabletext"/>
              <w:jc w:val="right"/>
            </w:pPr>
            <w:r w:rsidRPr="007C66FE">
              <w:t>1</w:t>
            </w:r>
            <w:r>
              <w:t>238</w:t>
            </w:r>
          </w:p>
        </w:tc>
        <w:tc>
          <w:tcPr>
            <w:tcW w:w="1066" w:type="dxa"/>
            <w:vAlign w:val="center"/>
          </w:tcPr>
          <w:p w14:paraId="50F15CE9" w14:textId="77777777" w:rsidR="00180202" w:rsidRPr="007C66FE" w:rsidRDefault="00180202" w:rsidP="00ED782B">
            <w:pPr>
              <w:pStyle w:val="Tabletext"/>
              <w:jc w:val="right"/>
            </w:pPr>
            <w:r w:rsidRPr="007C66FE">
              <w:t>1</w:t>
            </w:r>
            <w:r>
              <w:t>369</w:t>
            </w:r>
          </w:p>
        </w:tc>
      </w:tr>
      <w:tr w:rsidR="00180202" w:rsidRPr="007C66FE" w14:paraId="6C3F4F2C" w14:textId="77777777" w:rsidTr="00ED782B">
        <w:trPr>
          <w:trHeight w:val="315"/>
        </w:trPr>
        <w:tc>
          <w:tcPr>
            <w:tcW w:w="1555" w:type="dxa"/>
            <w:tcBorders>
              <w:bottom w:val="single" w:sz="4" w:space="0" w:color="auto"/>
            </w:tcBorders>
            <w:shd w:val="clear" w:color="auto" w:fill="auto"/>
            <w:vAlign w:val="center"/>
          </w:tcPr>
          <w:p w14:paraId="7694247B" w14:textId="77777777" w:rsidR="00180202" w:rsidRPr="007C66FE" w:rsidRDefault="00180202" w:rsidP="00ED782B">
            <w:pPr>
              <w:pStyle w:val="Tabletext"/>
            </w:pPr>
            <w:r w:rsidRPr="007C66FE">
              <w:t>Sub-total cost</w:t>
            </w:r>
          </w:p>
        </w:tc>
        <w:tc>
          <w:tcPr>
            <w:tcW w:w="1065" w:type="dxa"/>
            <w:tcBorders>
              <w:bottom w:val="single" w:sz="4" w:space="0" w:color="auto"/>
            </w:tcBorders>
            <w:vAlign w:val="center"/>
          </w:tcPr>
          <w:p w14:paraId="2C487CD1" w14:textId="77777777" w:rsidR="00180202" w:rsidRPr="007C66FE" w:rsidRDefault="00180202" w:rsidP="00ED782B">
            <w:pPr>
              <w:pStyle w:val="Tabletext"/>
              <w:jc w:val="right"/>
            </w:pPr>
            <w:r w:rsidRPr="007C66FE">
              <w:t>$867</w:t>
            </w:r>
            <w:r>
              <w:t> </w:t>
            </w:r>
            <w:r w:rsidRPr="007C66FE">
              <w:t>978</w:t>
            </w:r>
          </w:p>
        </w:tc>
        <w:tc>
          <w:tcPr>
            <w:tcW w:w="1066" w:type="dxa"/>
            <w:tcBorders>
              <w:bottom w:val="single" w:sz="4" w:space="0" w:color="auto"/>
            </w:tcBorders>
            <w:shd w:val="clear" w:color="auto" w:fill="auto"/>
            <w:vAlign w:val="center"/>
          </w:tcPr>
          <w:p w14:paraId="73E93AC2" w14:textId="77777777" w:rsidR="00180202" w:rsidRPr="007C66FE" w:rsidRDefault="00180202" w:rsidP="00ED782B">
            <w:pPr>
              <w:pStyle w:val="Tabletext"/>
              <w:jc w:val="right"/>
            </w:pPr>
            <w:r w:rsidRPr="007C66FE">
              <w:t>$885</w:t>
            </w:r>
            <w:r>
              <w:t> </w:t>
            </w:r>
            <w:r w:rsidRPr="007C66FE">
              <w:t>312</w:t>
            </w:r>
          </w:p>
        </w:tc>
        <w:tc>
          <w:tcPr>
            <w:tcW w:w="1066" w:type="dxa"/>
            <w:tcBorders>
              <w:bottom w:val="single" w:sz="4" w:space="0" w:color="auto"/>
            </w:tcBorders>
            <w:shd w:val="clear" w:color="auto" w:fill="auto"/>
            <w:vAlign w:val="center"/>
          </w:tcPr>
          <w:p w14:paraId="558026B3" w14:textId="77777777" w:rsidR="00180202" w:rsidRPr="007C66FE" w:rsidRDefault="00180202" w:rsidP="00ED782B">
            <w:pPr>
              <w:pStyle w:val="Tabletext"/>
              <w:jc w:val="right"/>
            </w:pPr>
            <w:r w:rsidRPr="007C66FE">
              <w:t>$901</w:t>
            </w:r>
            <w:r>
              <w:t> </w:t>
            </w:r>
            <w:r w:rsidRPr="007C66FE">
              <w:t>605</w:t>
            </w:r>
          </w:p>
        </w:tc>
        <w:tc>
          <w:tcPr>
            <w:tcW w:w="1066" w:type="dxa"/>
            <w:tcBorders>
              <w:bottom w:val="single" w:sz="4" w:space="0" w:color="auto"/>
            </w:tcBorders>
            <w:shd w:val="clear" w:color="auto" w:fill="auto"/>
            <w:vAlign w:val="center"/>
          </w:tcPr>
          <w:p w14:paraId="3059958B" w14:textId="77777777" w:rsidR="00180202" w:rsidRPr="007C66FE" w:rsidRDefault="00180202" w:rsidP="00ED782B">
            <w:pPr>
              <w:pStyle w:val="Tabletext"/>
              <w:jc w:val="right"/>
            </w:pPr>
            <w:r w:rsidRPr="007C66FE">
              <w:t>$916</w:t>
            </w:r>
            <w:r>
              <w:t> </w:t>
            </w:r>
            <w:r w:rsidRPr="007C66FE">
              <w:t>749</w:t>
            </w:r>
          </w:p>
        </w:tc>
        <w:tc>
          <w:tcPr>
            <w:tcW w:w="1066" w:type="dxa"/>
            <w:tcBorders>
              <w:bottom w:val="single" w:sz="4" w:space="0" w:color="auto"/>
            </w:tcBorders>
            <w:shd w:val="clear" w:color="auto" w:fill="auto"/>
            <w:vAlign w:val="center"/>
          </w:tcPr>
          <w:p w14:paraId="77CABA47" w14:textId="77777777" w:rsidR="00180202" w:rsidRPr="007C66FE" w:rsidRDefault="00180202" w:rsidP="00ED782B">
            <w:pPr>
              <w:pStyle w:val="Tabletext"/>
              <w:jc w:val="right"/>
            </w:pPr>
            <w:r w:rsidRPr="007C66FE">
              <w:t>$930</w:t>
            </w:r>
            <w:r>
              <w:t> </w:t>
            </w:r>
            <w:r w:rsidRPr="007C66FE">
              <w:t>694</w:t>
            </w:r>
          </w:p>
        </w:tc>
        <w:tc>
          <w:tcPr>
            <w:tcW w:w="1066" w:type="dxa"/>
            <w:tcBorders>
              <w:bottom w:val="single" w:sz="4" w:space="0" w:color="auto"/>
            </w:tcBorders>
            <w:vAlign w:val="center"/>
          </w:tcPr>
          <w:p w14:paraId="37592C41" w14:textId="77777777" w:rsidR="00180202" w:rsidRPr="007C66FE" w:rsidRDefault="00180202" w:rsidP="00ED782B">
            <w:pPr>
              <w:pStyle w:val="Tabletext"/>
              <w:jc w:val="right"/>
            </w:pPr>
            <w:r w:rsidRPr="007C66FE">
              <w:t>$943</w:t>
            </w:r>
            <w:r>
              <w:t> </w:t>
            </w:r>
            <w:r w:rsidRPr="007C66FE">
              <w:t>416</w:t>
            </w:r>
          </w:p>
        </w:tc>
        <w:tc>
          <w:tcPr>
            <w:tcW w:w="1066" w:type="dxa"/>
            <w:tcBorders>
              <w:bottom w:val="single" w:sz="4" w:space="0" w:color="auto"/>
            </w:tcBorders>
            <w:vAlign w:val="center"/>
          </w:tcPr>
          <w:p w14:paraId="73039A31" w14:textId="77777777" w:rsidR="00180202" w:rsidRPr="007C66FE" w:rsidRDefault="00180202" w:rsidP="00ED782B">
            <w:pPr>
              <w:pStyle w:val="Tabletext"/>
              <w:jc w:val="right"/>
            </w:pPr>
            <w:r w:rsidRPr="007C66FE">
              <w:t>$1</w:t>
            </w:r>
            <w:r>
              <w:t> </w:t>
            </w:r>
            <w:r w:rsidRPr="007C66FE">
              <w:t>043</w:t>
            </w:r>
            <w:r>
              <w:t> </w:t>
            </w:r>
            <w:r w:rsidRPr="007C66FE">
              <w:t>841</w:t>
            </w:r>
          </w:p>
        </w:tc>
      </w:tr>
      <w:tr w:rsidR="00180202" w:rsidRPr="007C66FE" w14:paraId="6CF11F2B" w14:textId="77777777" w:rsidTr="00ED782B">
        <w:trPr>
          <w:trHeight w:val="431"/>
        </w:trPr>
        <w:tc>
          <w:tcPr>
            <w:tcW w:w="1555" w:type="dxa"/>
            <w:tcBorders>
              <w:right w:val="nil"/>
            </w:tcBorders>
            <w:shd w:val="clear" w:color="auto" w:fill="auto"/>
            <w:vAlign w:val="center"/>
          </w:tcPr>
          <w:p w14:paraId="53CD311C" w14:textId="77777777" w:rsidR="00180202" w:rsidRPr="00DC2509" w:rsidRDefault="00180202" w:rsidP="00ED782B">
            <w:pPr>
              <w:pStyle w:val="Tabletext"/>
              <w:rPr>
                <w:b/>
                <w:bCs/>
              </w:rPr>
            </w:pPr>
            <w:r w:rsidRPr="00DC2509">
              <w:rPr>
                <w:b/>
                <w:bCs/>
              </w:rPr>
              <w:t>Co-administered services</w:t>
            </w:r>
          </w:p>
        </w:tc>
        <w:tc>
          <w:tcPr>
            <w:tcW w:w="1065" w:type="dxa"/>
            <w:tcBorders>
              <w:left w:val="nil"/>
              <w:right w:val="nil"/>
            </w:tcBorders>
            <w:shd w:val="clear" w:color="auto" w:fill="auto"/>
          </w:tcPr>
          <w:p w14:paraId="01E1EF32" w14:textId="77777777" w:rsidR="00180202" w:rsidRPr="00DC2509" w:rsidRDefault="00180202" w:rsidP="00ED782B">
            <w:pPr>
              <w:pStyle w:val="Tabletext"/>
              <w:jc w:val="center"/>
              <w:rPr>
                <w:b/>
                <w:bCs/>
              </w:rPr>
            </w:pPr>
            <w:r>
              <w:rPr>
                <w:b/>
                <w:bCs/>
              </w:rPr>
              <w:t>(ADAR)</w:t>
            </w:r>
          </w:p>
        </w:tc>
        <w:tc>
          <w:tcPr>
            <w:tcW w:w="1066" w:type="dxa"/>
            <w:tcBorders>
              <w:left w:val="nil"/>
              <w:right w:val="nil"/>
            </w:tcBorders>
            <w:shd w:val="clear" w:color="auto" w:fill="auto"/>
            <w:vAlign w:val="center"/>
          </w:tcPr>
          <w:p w14:paraId="53A1F37B" w14:textId="77777777" w:rsidR="00180202" w:rsidRPr="00DC2509" w:rsidRDefault="00180202" w:rsidP="00ED782B">
            <w:pPr>
              <w:pStyle w:val="Tabletext"/>
              <w:jc w:val="right"/>
              <w:rPr>
                <w:b/>
                <w:bCs/>
              </w:rPr>
            </w:pPr>
          </w:p>
        </w:tc>
        <w:tc>
          <w:tcPr>
            <w:tcW w:w="1066" w:type="dxa"/>
            <w:tcBorders>
              <w:left w:val="nil"/>
              <w:right w:val="nil"/>
            </w:tcBorders>
            <w:shd w:val="clear" w:color="auto" w:fill="auto"/>
            <w:vAlign w:val="center"/>
          </w:tcPr>
          <w:p w14:paraId="070696DF" w14:textId="77777777" w:rsidR="00180202" w:rsidRPr="00DC2509" w:rsidRDefault="00180202" w:rsidP="00ED782B">
            <w:pPr>
              <w:pStyle w:val="Tabletext"/>
              <w:jc w:val="right"/>
              <w:rPr>
                <w:b/>
                <w:bCs/>
              </w:rPr>
            </w:pPr>
          </w:p>
        </w:tc>
        <w:tc>
          <w:tcPr>
            <w:tcW w:w="1066" w:type="dxa"/>
            <w:tcBorders>
              <w:left w:val="nil"/>
              <w:right w:val="nil"/>
            </w:tcBorders>
            <w:shd w:val="clear" w:color="auto" w:fill="auto"/>
            <w:vAlign w:val="center"/>
          </w:tcPr>
          <w:p w14:paraId="22D6A3AF" w14:textId="77777777" w:rsidR="00180202" w:rsidRPr="00DC2509" w:rsidRDefault="00180202" w:rsidP="00ED782B">
            <w:pPr>
              <w:pStyle w:val="Tabletext"/>
              <w:jc w:val="right"/>
              <w:rPr>
                <w:b/>
                <w:bCs/>
              </w:rPr>
            </w:pPr>
          </w:p>
        </w:tc>
        <w:tc>
          <w:tcPr>
            <w:tcW w:w="1066" w:type="dxa"/>
            <w:tcBorders>
              <w:left w:val="nil"/>
              <w:right w:val="nil"/>
            </w:tcBorders>
            <w:shd w:val="clear" w:color="auto" w:fill="auto"/>
            <w:vAlign w:val="center"/>
          </w:tcPr>
          <w:p w14:paraId="1F522CAB" w14:textId="77777777" w:rsidR="00180202" w:rsidRPr="00DC2509" w:rsidRDefault="00180202" w:rsidP="00ED782B">
            <w:pPr>
              <w:pStyle w:val="Tabletext"/>
              <w:jc w:val="right"/>
              <w:rPr>
                <w:b/>
                <w:bCs/>
              </w:rPr>
            </w:pPr>
          </w:p>
        </w:tc>
        <w:tc>
          <w:tcPr>
            <w:tcW w:w="1066" w:type="dxa"/>
            <w:tcBorders>
              <w:left w:val="nil"/>
              <w:right w:val="nil"/>
            </w:tcBorders>
            <w:shd w:val="clear" w:color="auto" w:fill="auto"/>
            <w:vAlign w:val="center"/>
          </w:tcPr>
          <w:p w14:paraId="2E886986" w14:textId="77777777" w:rsidR="00180202" w:rsidRPr="00DC2509" w:rsidRDefault="00180202" w:rsidP="00ED782B">
            <w:pPr>
              <w:pStyle w:val="Tabletext"/>
              <w:jc w:val="right"/>
              <w:rPr>
                <w:b/>
                <w:bCs/>
              </w:rPr>
            </w:pPr>
          </w:p>
        </w:tc>
        <w:tc>
          <w:tcPr>
            <w:tcW w:w="1066" w:type="dxa"/>
            <w:tcBorders>
              <w:left w:val="nil"/>
              <w:right w:val="single" w:sz="4" w:space="0" w:color="auto"/>
            </w:tcBorders>
            <w:shd w:val="clear" w:color="auto" w:fill="auto"/>
            <w:vAlign w:val="center"/>
          </w:tcPr>
          <w:p w14:paraId="42450582" w14:textId="77777777" w:rsidR="00180202" w:rsidRPr="00DC2509" w:rsidRDefault="00180202" w:rsidP="00ED782B">
            <w:pPr>
              <w:pStyle w:val="Tabletext"/>
              <w:jc w:val="right"/>
              <w:rPr>
                <w:b/>
                <w:bCs/>
              </w:rPr>
            </w:pPr>
          </w:p>
        </w:tc>
      </w:tr>
      <w:tr w:rsidR="00180202" w:rsidRPr="007C66FE" w14:paraId="1652516A" w14:textId="77777777" w:rsidTr="00ED782B">
        <w:trPr>
          <w:trHeight w:val="300"/>
        </w:trPr>
        <w:tc>
          <w:tcPr>
            <w:tcW w:w="1555" w:type="dxa"/>
            <w:shd w:val="clear" w:color="auto" w:fill="auto"/>
            <w:vAlign w:val="center"/>
          </w:tcPr>
          <w:p w14:paraId="7945B7BE" w14:textId="77777777" w:rsidR="00180202" w:rsidRPr="007C66FE" w:rsidRDefault="00180202" w:rsidP="00ED782B">
            <w:pPr>
              <w:pStyle w:val="Tabletext"/>
            </w:pPr>
            <w:r w:rsidRPr="007C66FE">
              <w:t xml:space="preserve">Number of services </w:t>
            </w:r>
          </w:p>
        </w:tc>
        <w:tc>
          <w:tcPr>
            <w:tcW w:w="1065" w:type="dxa"/>
            <w:vAlign w:val="center"/>
          </w:tcPr>
          <w:p w14:paraId="02A6EF6F" w14:textId="77777777" w:rsidR="00180202" w:rsidRPr="007C66FE" w:rsidRDefault="00180202" w:rsidP="00ED782B">
            <w:pPr>
              <w:pStyle w:val="Tabletext"/>
              <w:jc w:val="right"/>
            </w:pPr>
            <w:r>
              <w:rPr>
                <w:rFonts w:cs="Calibri"/>
                <w:color w:val="000000"/>
              </w:rPr>
              <w:t>6376</w:t>
            </w:r>
          </w:p>
        </w:tc>
        <w:tc>
          <w:tcPr>
            <w:tcW w:w="1066" w:type="dxa"/>
            <w:shd w:val="clear" w:color="auto" w:fill="auto"/>
            <w:vAlign w:val="center"/>
          </w:tcPr>
          <w:p w14:paraId="593C2F18" w14:textId="77777777" w:rsidR="00180202" w:rsidRPr="007C66FE" w:rsidRDefault="00180202" w:rsidP="00ED782B">
            <w:pPr>
              <w:pStyle w:val="Tabletext"/>
              <w:jc w:val="right"/>
            </w:pPr>
            <w:r>
              <w:rPr>
                <w:rFonts w:cs="Calibri"/>
                <w:color w:val="000000"/>
              </w:rPr>
              <w:t>6503</w:t>
            </w:r>
          </w:p>
        </w:tc>
        <w:tc>
          <w:tcPr>
            <w:tcW w:w="1066" w:type="dxa"/>
            <w:shd w:val="clear" w:color="auto" w:fill="auto"/>
            <w:vAlign w:val="center"/>
          </w:tcPr>
          <w:p w14:paraId="74E78748" w14:textId="77777777" w:rsidR="00180202" w:rsidRPr="007C66FE" w:rsidRDefault="00180202" w:rsidP="00ED782B">
            <w:pPr>
              <w:pStyle w:val="Tabletext"/>
              <w:jc w:val="right"/>
            </w:pPr>
            <w:r>
              <w:rPr>
                <w:rFonts w:cs="Calibri"/>
                <w:color w:val="000000"/>
              </w:rPr>
              <w:t>6623</w:t>
            </w:r>
          </w:p>
        </w:tc>
        <w:tc>
          <w:tcPr>
            <w:tcW w:w="1066" w:type="dxa"/>
            <w:shd w:val="clear" w:color="auto" w:fill="auto"/>
            <w:vAlign w:val="center"/>
          </w:tcPr>
          <w:p w14:paraId="713DC4A6" w14:textId="77777777" w:rsidR="00180202" w:rsidRPr="007C66FE" w:rsidRDefault="00180202" w:rsidP="00ED782B">
            <w:pPr>
              <w:pStyle w:val="Tabletext"/>
              <w:jc w:val="right"/>
            </w:pPr>
            <w:r>
              <w:rPr>
                <w:rFonts w:cs="Calibri"/>
                <w:color w:val="000000"/>
              </w:rPr>
              <w:t>6734</w:t>
            </w:r>
          </w:p>
        </w:tc>
        <w:tc>
          <w:tcPr>
            <w:tcW w:w="1066" w:type="dxa"/>
            <w:shd w:val="clear" w:color="auto" w:fill="auto"/>
            <w:vAlign w:val="center"/>
          </w:tcPr>
          <w:p w14:paraId="69ADF8EE" w14:textId="77777777" w:rsidR="00180202" w:rsidRPr="007C66FE" w:rsidRDefault="00180202" w:rsidP="00ED782B">
            <w:pPr>
              <w:pStyle w:val="Tabletext"/>
              <w:jc w:val="right"/>
            </w:pPr>
            <w:r>
              <w:rPr>
                <w:rFonts w:cs="Calibri"/>
                <w:color w:val="000000"/>
              </w:rPr>
              <w:t>6837</w:t>
            </w:r>
          </w:p>
        </w:tc>
        <w:tc>
          <w:tcPr>
            <w:tcW w:w="1066" w:type="dxa"/>
            <w:vAlign w:val="center"/>
          </w:tcPr>
          <w:p w14:paraId="5233C091" w14:textId="77777777" w:rsidR="00180202" w:rsidRPr="007C66FE" w:rsidRDefault="00180202" w:rsidP="00ED782B">
            <w:pPr>
              <w:pStyle w:val="Tabletext"/>
              <w:jc w:val="right"/>
            </w:pPr>
            <w:r>
              <w:rPr>
                <w:rFonts w:cs="Calibri"/>
                <w:color w:val="000000"/>
              </w:rPr>
              <w:t>6930</w:t>
            </w:r>
          </w:p>
        </w:tc>
        <w:tc>
          <w:tcPr>
            <w:tcW w:w="1066" w:type="dxa"/>
            <w:vAlign w:val="center"/>
          </w:tcPr>
          <w:p w14:paraId="266F490D" w14:textId="77777777" w:rsidR="00180202" w:rsidRPr="007C66FE" w:rsidRDefault="00180202" w:rsidP="00ED782B">
            <w:pPr>
              <w:pStyle w:val="Tabletext"/>
              <w:jc w:val="right"/>
            </w:pPr>
            <w:r>
              <w:rPr>
                <w:rFonts w:cs="Calibri"/>
                <w:color w:val="000000"/>
              </w:rPr>
              <w:t>7668</w:t>
            </w:r>
          </w:p>
        </w:tc>
      </w:tr>
      <w:tr w:rsidR="00180202" w:rsidRPr="007C66FE" w14:paraId="2DB1121A" w14:textId="77777777" w:rsidTr="00ED782B">
        <w:trPr>
          <w:trHeight w:val="300"/>
        </w:trPr>
        <w:tc>
          <w:tcPr>
            <w:tcW w:w="1555" w:type="dxa"/>
            <w:tcBorders>
              <w:bottom w:val="single" w:sz="4" w:space="0" w:color="auto"/>
            </w:tcBorders>
            <w:shd w:val="clear" w:color="auto" w:fill="auto"/>
            <w:vAlign w:val="center"/>
          </w:tcPr>
          <w:p w14:paraId="6F0A133E" w14:textId="77777777" w:rsidR="00180202" w:rsidRPr="007C66FE" w:rsidRDefault="00180202" w:rsidP="00ED782B">
            <w:pPr>
              <w:pStyle w:val="Tabletext"/>
            </w:pPr>
            <w:r w:rsidRPr="007C66FE">
              <w:t>Sub-total cost</w:t>
            </w:r>
          </w:p>
        </w:tc>
        <w:tc>
          <w:tcPr>
            <w:tcW w:w="1065" w:type="dxa"/>
            <w:tcBorders>
              <w:bottom w:val="single" w:sz="4" w:space="0" w:color="auto"/>
            </w:tcBorders>
            <w:vAlign w:val="center"/>
          </w:tcPr>
          <w:p w14:paraId="70911327" w14:textId="77777777" w:rsidR="00180202" w:rsidRPr="007C66FE" w:rsidRDefault="00180202" w:rsidP="00ED782B">
            <w:pPr>
              <w:pStyle w:val="Tabletext"/>
              <w:jc w:val="right"/>
            </w:pPr>
            <w:r>
              <w:rPr>
                <w:rFonts w:cs="Calibri"/>
                <w:color w:val="000000"/>
              </w:rPr>
              <w:t>$408 969</w:t>
            </w:r>
          </w:p>
        </w:tc>
        <w:tc>
          <w:tcPr>
            <w:tcW w:w="1066" w:type="dxa"/>
            <w:tcBorders>
              <w:bottom w:val="single" w:sz="4" w:space="0" w:color="auto"/>
            </w:tcBorders>
            <w:shd w:val="clear" w:color="auto" w:fill="auto"/>
            <w:vAlign w:val="center"/>
          </w:tcPr>
          <w:p w14:paraId="0898B316" w14:textId="77777777" w:rsidR="00180202" w:rsidRPr="007C66FE" w:rsidRDefault="00180202" w:rsidP="00ED782B">
            <w:pPr>
              <w:pStyle w:val="Tabletext"/>
              <w:jc w:val="right"/>
            </w:pPr>
            <w:r>
              <w:rPr>
                <w:rFonts w:cs="Calibri"/>
                <w:color w:val="000000"/>
              </w:rPr>
              <w:t>$417 136</w:t>
            </w:r>
          </w:p>
        </w:tc>
        <w:tc>
          <w:tcPr>
            <w:tcW w:w="1066" w:type="dxa"/>
            <w:tcBorders>
              <w:bottom w:val="single" w:sz="4" w:space="0" w:color="auto"/>
            </w:tcBorders>
            <w:shd w:val="clear" w:color="auto" w:fill="auto"/>
            <w:vAlign w:val="center"/>
          </w:tcPr>
          <w:p w14:paraId="651B0677" w14:textId="77777777" w:rsidR="00180202" w:rsidRPr="007C66FE" w:rsidRDefault="00180202" w:rsidP="00ED782B">
            <w:pPr>
              <w:pStyle w:val="Tabletext"/>
              <w:jc w:val="right"/>
            </w:pPr>
            <w:r>
              <w:rPr>
                <w:rFonts w:cs="Calibri"/>
                <w:color w:val="000000"/>
              </w:rPr>
              <w:t>$424 814</w:t>
            </w:r>
          </w:p>
        </w:tc>
        <w:tc>
          <w:tcPr>
            <w:tcW w:w="1066" w:type="dxa"/>
            <w:tcBorders>
              <w:bottom w:val="single" w:sz="4" w:space="0" w:color="auto"/>
            </w:tcBorders>
            <w:shd w:val="clear" w:color="auto" w:fill="auto"/>
            <w:vAlign w:val="center"/>
          </w:tcPr>
          <w:p w14:paraId="58D3FB44" w14:textId="77777777" w:rsidR="00180202" w:rsidRPr="007C66FE" w:rsidRDefault="00180202" w:rsidP="00ED782B">
            <w:pPr>
              <w:pStyle w:val="Tabletext"/>
              <w:jc w:val="right"/>
            </w:pPr>
            <w:r>
              <w:rPr>
                <w:rFonts w:cs="Calibri"/>
                <w:color w:val="000000"/>
              </w:rPr>
              <w:t>$431 949</w:t>
            </w:r>
          </w:p>
        </w:tc>
        <w:tc>
          <w:tcPr>
            <w:tcW w:w="1066" w:type="dxa"/>
            <w:tcBorders>
              <w:bottom w:val="single" w:sz="4" w:space="0" w:color="auto"/>
            </w:tcBorders>
            <w:shd w:val="clear" w:color="auto" w:fill="auto"/>
            <w:vAlign w:val="center"/>
          </w:tcPr>
          <w:p w14:paraId="575B3917" w14:textId="77777777" w:rsidR="00180202" w:rsidRPr="007C66FE" w:rsidRDefault="00180202" w:rsidP="00ED782B">
            <w:pPr>
              <w:pStyle w:val="Tabletext"/>
              <w:jc w:val="right"/>
            </w:pPr>
            <w:r>
              <w:rPr>
                <w:rFonts w:cs="Calibri"/>
                <w:color w:val="000000"/>
              </w:rPr>
              <w:t>$438 519</w:t>
            </w:r>
          </w:p>
        </w:tc>
        <w:tc>
          <w:tcPr>
            <w:tcW w:w="1066" w:type="dxa"/>
            <w:tcBorders>
              <w:bottom w:val="single" w:sz="4" w:space="0" w:color="auto"/>
            </w:tcBorders>
            <w:vAlign w:val="center"/>
          </w:tcPr>
          <w:p w14:paraId="61AA1BF1" w14:textId="77777777" w:rsidR="00180202" w:rsidRPr="007C66FE" w:rsidRDefault="00180202" w:rsidP="00ED782B">
            <w:pPr>
              <w:pStyle w:val="Tabletext"/>
              <w:jc w:val="right"/>
            </w:pPr>
            <w:r>
              <w:rPr>
                <w:rFonts w:cs="Calibri"/>
                <w:color w:val="000000"/>
              </w:rPr>
              <w:t>$444 514</w:t>
            </w:r>
          </w:p>
        </w:tc>
        <w:tc>
          <w:tcPr>
            <w:tcW w:w="1066" w:type="dxa"/>
            <w:tcBorders>
              <w:bottom w:val="single" w:sz="4" w:space="0" w:color="auto"/>
            </w:tcBorders>
            <w:vAlign w:val="center"/>
          </w:tcPr>
          <w:p w14:paraId="55FEDEAA" w14:textId="77777777" w:rsidR="00180202" w:rsidRPr="007C66FE" w:rsidRDefault="00180202" w:rsidP="00ED782B">
            <w:pPr>
              <w:pStyle w:val="Tabletext"/>
              <w:jc w:val="right"/>
            </w:pPr>
            <w:r>
              <w:rPr>
                <w:rFonts w:cs="Calibri"/>
                <w:color w:val="000000"/>
              </w:rPr>
              <w:t>$491 831</w:t>
            </w:r>
          </w:p>
        </w:tc>
      </w:tr>
      <w:tr w:rsidR="00180202" w:rsidRPr="007C66FE" w14:paraId="2BCF1F28" w14:textId="77777777" w:rsidTr="00ED782B">
        <w:trPr>
          <w:trHeight w:val="315"/>
        </w:trPr>
        <w:tc>
          <w:tcPr>
            <w:tcW w:w="1555" w:type="dxa"/>
            <w:shd w:val="clear" w:color="auto" w:fill="auto"/>
            <w:vAlign w:val="center"/>
          </w:tcPr>
          <w:p w14:paraId="7D1029F6" w14:textId="77777777" w:rsidR="00180202" w:rsidRPr="007C66FE" w:rsidRDefault="00180202" w:rsidP="00ED782B">
            <w:pPr>
              <w:pStyle w:val="Tabletext"/>
            </w:pPr>
            <w:r w:rsidRPr="007C66FE">
              <w:t>Total services</w:t>
            </w:r>
          </w:p>
        </w:tc>
        <w:tc>
          <w:tcPr>
            <w:tcW w:w="1065" w:type="dxa"/>
            <w:vAlign w:val="center"/>
          </w:tcPr>
          <w:p w14:paraId="7026BD3F" w14:textId="77777777" w:rsidR="00180202" w:rsidRPr="007C66FE" w:rsidRDefault="00180202" w:rsidP="00ED782B">
            <w:pPr>
              <w:pStyle w:val="Tabletext"/>
              <w:jc w:val="right"/>
            </w:pPr>
            <w:r>
              <w:rPr>
                <w:rFonts w:cs="Calibri"/>
                <w:color w:val="000000"/>
              </w:rPr>
              <w:t>7514</w:t>
            </w:r>
          </w:p>
        </w:tc>
        <w:tc>
          <w:tcPr>
            <w:tcW w:w="1066" w:type="dxa"/>
            <w:shd w:val="clear" w:color="auto" w:fill="auto"/>
            <w:vAlign w:val="center"/>
          </w:tcPr>
          <w:p w14:paraId="193715E5" w14:textId="77777777" w:rsidR="00180202" w:rsidRPr="007C66FE" w:rsidRDefault="00180202" w:rsidP="00ED782B">
            <w:pPr>
              <w:pStyle w:val="Tabletext"/>
              <w:jc w:val="right"/>
            </w:pPr>
            <w:r>
              <w:rPr>
                <w:rFonts w:cs="Calibri"/>
                <w:color w:val="000000"/>
              </w:rPr>
              <w:t>7665</w:t>
            </w:r>
          </w:p>
        </w:tc>
        <w:tc>
          <w:tcPr>
            <w:tcW w:w="1066" w:type="dxa"/>
            <w:shd w:val="clear" w:color="auto" w:fill="auto"/>
            <w:vAlign w:val="center"/>
          </w:tcPr>
          <w:p w14:paraId="714FBD58" w14:textId="77777777" w:rsidR="00180202" w:rsidRPr="007C66FE" w:rsidRDefault="00180202" w:rsidP="00ED782B">
            <w:pPr>
              <w:pStyle w:val="Tabletext"/>
              <w:jc w:val="right"/>
            </w:pPr>
            <w:r>
              <w:rPr>
                <w:rFonts w:cs="Calibri"/>
                <w:color w:val="000000"/>
              </w:rPr>
              <w:t>7806</w:t>
            </w:r>
          </w:p>
        </w:tc>
        <w:tc>
          <w:tcPr>
            <w:tcW w:w="1066" w:type="dxa"/>
            <w:shd w:val="clear" w:color="auto" w:fill="auto"/>
            <w:vAlign w:val="center"/>
          </w:tcPr>
          <w:p w14:paraId="1B1FB9EE" w14:textId="77777777" w:rsidR="00180202" w:rsidRPr="007C66FE" w:rsidRDefault="00180202" w:rsidP="00ED782B">
            <w:pPr>
              <w:pStyle w:val="Tabletext"/>
              <w:jc w:val="right"/>
            </w:pPr>
            <w:r>
              <w:rPr>
                <w:rFonts w:cs="Calibri"/>
                <w:color w:val="000000"/>
              </w:rPr>
              <w:t>7937</w:t>
            </w:r>
          </w:p>
        </w:tc>
        <w:tc>
          <w:tcPr>
            <w:tcW w:w="1066" w:type="dxa"/>
            <w:shd w:val="clear" w:color="auto" w:fill="auto"/>
            <w:vAlign w:val="center"/>
          </w:tcPr>
          <w:p w14:paraId="2B2C94BD" w14:textId="77777777" w:rsidR="00180202" w:rsidRPr="007C66FE" w:rsidRDefault="00180202" w:rsidP="00ED782B">
            <w:pPr>
              <w:pStyle w:val="Tabletext"/>
              <w:jc w:val="right"/>
            </w:pPr>
            <w:r>
              <w:rPr>
                <w:rFonts w:cs="Calibri"/>
                <w:color w:val="000000"/>
              </w:rPr>
              <w:t>8057</w:t>
            </w:r>
          </w:p>
        </w:tc>
        <w:tc>
          <w:tcPr>
            <w:tcW w:w="1066" w:type="dxa"/>
            <w:vAlign w:val="center"/>
          </w:tcPr>
          <w:p w14:paraId="6852CFC1" w14:textId="77777777" w:rsidR="00180202" w:rsidRPr="007C66FE" w:rsidRDefault="00180202" w:rsidP="00ED782B">
            <w:pPr>
              <w:pStyle w:val="Tabletext"/>
              <w:jc w:val="right"/>
            </w:pPr>
            <w:r>
              <w:rPr>
                <w:rFonts w:cs="Calibri"/>
                <w:color w:val="000000"/>
              </w:rPr>
              <w:t>8168</w:t>
            </w:r>
          </w:p>
        </w:tc>
        <w:tc>
          <w:tcPr>
            <w:tcW w:w="1066" w:type="dxa"/>
            <w:vAlign w:val="center"/>
          </w:tcPr>
          <w:p w14:paraId="4BF908B0" w14:textId="77777777" w:rsidR="00180202" w:rsidRPr="007C66FE" w:rsidRDefault="00180202" w:rsidP="00ED782B">
            <w:pPr>
              <w:pStyle w:val="Tabletext"/>
              <w:jc w:val="right"/>
            </w:pPr>
            <w:r>
              <w:rPr>
                <w:rFonts w:cs="Calibri"/>
                <w:color w:val="000000"/>
              </w:rPr>
              <w:t>9037</w:t>
            </w:r>
          </w:p>
        </w:tc>
      </w:tr>
      <w:tr w:rsidR="00180202" w:rsidRPr="007C66FE" w14:paraId="3F100634" w14:textId="77777777" w:rsidTr="00ED782B">
        <w:trPr>
          <w:trHeight w:val="315"/>
        </w:trPr>
        <w:tc>
          <w:tcPr>
            <w:tcW w:w="1555" w:type="dxa"/>
            <w:shd w:val="clear" w:color="auto" w:fill="auto"/>
            <w:vAlign w:val="center"/>
          </w:tcPr>
          <w:p w14:paraId="43EB057E" w14:textId="77777777" w:rsidR="00180202" w:rsidRPr="00DC2509" w:rsidRDefault="00180202" w:rsidP="00ED782B">
            <w:pPr>
              <w:pStyle w:val="Tabletext"/>
              <w:rPr>
                <w:b/>
                <w:bCs/>
              </w:rPr>
            </w:pPr>
            <w:r w:rsidRPr="00DC2509">
              <w:rPr>
                <w:b/>
                <w:bCs/>
              </w:rPr>
              <w:t>Total cost</w:t>
            </w:r>
          </w:p>
        </w:tc>
        <w:tc>
          <w:tcPr>
            <w:tcW w:w="1065" w:type="dxa"/>
            <w:vAlign w:val="center"/>
          </w:tcPr>
          <w:p w14:paraId="2A3E82F3" w14:textId="77777777" w:rsidR="00180202" w:rsidRPr="007C66FE" w:rsidRDefault="00180202" w:rsidP="00ED782B">
            <w:pPr>
              <w:pStyle w:val="Tabletext"/>
              <w:jc w:val="right"/>
            </w:pPr>
            <w:r>
              <w:rPr>
                <w:rFonts w:cs="Calibri"/>
                <w:b/>
                <w:bCs/>
                <w:color w:val="000000"/>
              </w:rPr>
              <w:t>$1 276 948</w:t>
            </w:r>
          </w:p>
        </w:tc>
        <w:tc>
          <w:tcPr>
            <w:tcW w:w="1066" w:type="dxa"/>
            <w:shd w:val="clear" w:color="auto" w:fill="auto"/>
            <w:vAlign w:val="center"/>
          </w:tcPr>
          <w:p w14:paraId="3B326564" w14:textId="77777777" w:rsidR="00180202" w:rsidRPr="007C66FE" w:rsidRDefault="00180202" w:rsidP="00ED782B">
            <w:pPr>
              <w:pStyle w:val="Tabletext"/>
              <w:jc w:val="right"/>
            </w:pPr>
            <w:r>
              <w:rPr>
                <w:rFonts w:cs="Calibri"/>
                <w:b/>
                <w:bCs/>
                <w:color w:val="000000"/>
              </w:rPr>
              <w:t>$1 302 448</w:t>
            </w:r>
          </w:p>
        </w:tc>
        <w:tc>
          <w:tcPr>
            <w:tcW w:w="1066" w:type="dxa"/>
            <w:shd w:val="clear" w:color="auto" w:fill="auto"/>
            <w:vAlign w:val="center"/>
          </w:tcPr>
          <w:p w14:paraId="17688140" w14:textId="77777777" w:rsidR="00180202" w:rsidRPr="007C66FE" w:rsidRDefault="00180202" w:rsidP="00ED782B">
            <w:pPr>
              <w:pStyle w:val="Tabletext"/>
              <w:jc w:val="right"/>
            </w:pPr>
            <w:r>
              <w:rPr>
                <w:rFonts w:cs="Calibri"/>
                <w:b/>
                <w:bCs/>
                <w:color w:val="000000"/>
              </w:rPr>
              <w:t>$1 326 419</w:t>
            </w:r>
          </w:p>
        </w:tc>
        <w:tc>
          <w:tcPr>
            <w:tcW w:w="1066" w:type="dxa"/>
            <w:shd w:val="clear" w:color="auto" w:fill="auto"/>
            <w:vAlign w:val="center"/>
          </w:tcPr>
          <w:p w14:paraId="1F333883" w14:textId="77777777" w:rsidR="00180202" w:rsidRPr="007C66FE" w:rsidRDefault="00180202" w:rsidP="00ED782B">
            <w:pPr>
              <w:pStyle w:val="Tabletext"/>
              <w:jc w:val="right"/>
            </w:pPr>
            <w:r>
              <w:rPr>
                <w:rFonts w:cs="Calibri"/>
                <w:b/>
                <w:bCs/>
                <w:color w:val="000000"/>
              </w:rPr>
              <w:t>$1 348 698</w:t>
            </w:r>
          </w:p>
        </w:tc>
        <w:tc>
          <w:tcPr>
            <w:tcW w:w="1066" w:type="dxa"/>
            <w:shd w:val="clear" w:color="auto" w:fill="auto"/>
            <w:vAlign w:val="center"/>
          </w:tcPr>
          <w:p w14:paraId="0B0BBF47" w14:textId="77777777" w:rsidR="00180202" w:rsidRPr="007C66FE" w:rsidRDefault="00180202" w:rsidP="00ED782B">
            <w:pPr>
              <w:pStyle w:val="Tabletext"/>
              <w:jc w:val="right"/>
            </w:pPr>
            <w:r>
              <w:rPr>
                <w:rFonts w:cs="Calibri"/>
                <w:b/>
                <w:bCs/>
                <w:color w:val="000000"/>
              </w:rPr>
              <w:t>$1 369 214</w:t>
            </w:r>
          </w:p>
        </w:tc>
        <w:tc>
          <w:tcPr>
            <w:tcW w:w="1066" w:type="dxa"/>
            <w:vAlign w:val="center"/>
          </w:tcPr>
          <w:p w14:paraId="5CB5B76C" w14:textId="77777777" w:rsidR="00180202" w:rsidRPr="007C66FE" w:rsidRDefault="00180202" w:rsidP="00ED782B">
            <w:pPr>
              <w:pStyle w:val="Tabletext"/>
              <w:jc w:val="right"/>
            </w:pPr>
            <w:r>
              <w:rPr>
                <w:rFonts w:cs="Calibri"/>
                <w:b/>
                <w:bCs/>
                <w:color w:val="000000"/>
              </w:rPr>
              <w:t>$1 387 929</w:t>
            </w:r>
          </w:p>
        </w:tc>
        <w:tc>
          <w:tcPr>
            <w:tcW w:w="1066" w:type="dxa"/>
            <w:vAlign w:val="center"/>
          </w:tcPr>
          <w:p w14:paraId="424A7FA7" w14:textId="77777777" w:rsidR="00180202" w:rsidRPr="007C66FE" w:rsidRDefault="00180202" w:rsidP="00ED782B">
            <w:pPr>
              <w:pStyle w:val="Tabletext"/>
              <w:jc w:val="right"/>
            </w:pPr>
            <w:r>
              <w:rPr>
                <w:rFonts w:cs="Calibri"/>
                <w:b/>
                <w:bCs/>
                <w:color w:val="000000"/>
              </w:rPr>
              <w:t>$1 535 672</w:t>
            </w:r>
          </w:p>
        </w:tc>
      </w:tr>
    </w:tbl>
    <w:p w14:paraId="64CADF3E" w14:textId="575C3B72" w:rsidR="00180202" w:rsidRDefault="00180202" w:rsidP="009555C2">
      <w:pPr>
        <w:pStyle w:val="Tablenotes"/>
      </w:pPr>
      <w:r>
        <w:t xml:space="preserve">Source: ADAR Table 29 and ADAR spreadsheet, updated to reflect </w:t>
      </w:r>
      <w:r w:rsidR="00CC3E12">
        <w:t>c</w:t>
      </w:r>
      <w:r>
        <w:t>ommentary.</w:t>
      </w:r>
    </w:p>
    <w:p w14:paraId="532C3A88" w14:textId="15624F3F" w:rsidR="00180202" w:rsidRDefault="00180202" w:rsidP="009555C2">
      <w:pPr>
        <w:spacing w:after="240"/>
      </w:pPr>
      <w:r>
        <w:t>The commentary considered that t</w:t>
      </w:r>
      <w:r w:rsidRPr="00FD564E">
        <w:t xml:space="preserve">he estimated potential net cost/year to the MBS is likely to be greater than estimated in the </w:t>
      </w:r>
      <w:r>
        <w:t>resubmission</w:t>
      </w:r>
      <w:r w:rsidRPr="00FD564E">
        <w:t xml:space="preserve"> but similar to that estimated previously in the DCAR.</w:t>
      </w:r>
    </w:p>
    <w:p w14:paraId="37248DA0" w14:textId="4003FC44" w:rsidR="00180202" w:rsidRDefault="00180202" w:rsidP="00180202">
      <w:pPr>
        <w:pStyle w:val="Heading1"/>
        <w:spacing w:after="240"/>
        <w:rPr>
          <w:rFonts w:ascii="Arial" w:hAnsi="Arial" w:cs="Arial"/>
        </w:rPr>
      </w:pPr>
      <w:r>
        <w:rPr>
          <w:rFonts w:ascii="Arial" w:hAnsi="Arial" w:cs="Arial"/>
        </w:rPr>
        <w:t>Key issues from ESC for MSAC</w:t>
      </w:r>
    </w:p>
    <w:tbl>
      <w:tblPr>
        <w:tblStyle w:val="TableGrid"/>
        <w:tblW w:w="0" w:type="auto"/>
        <w:tblLook w:val="04A0" w:firstRow="1" w:lastRow="0" w:firstColumn="1" w:lastColumn="0" w:noHBand="0" w:noVBand="1"/>
      </w:tblPr>
      <w:tblGrid>
        <w:gridCol w:w="2235"/>
        <w:gridCol w:w="6781"/>
      </w:tblGrid>
      <w:tr w:rsidR="00180202" w:rsidRPr="008C1D47" w14:paraId="7B0B4523" w14:textId="77777777" w:rsidTr="00720D65">
        <w:trPr>
          <w:cantSplit/>
        </w:trPr>
        <w:tc>
          <w:tcPr>
            <w:tcW w:w="2235" w:type="dxa"/>
          </w:tcPr>
          <w:p w14:paraId="6A8777D1" w14:textId="77777777" w:rsidR="00180202" w:rsidRPr="00EE6D68" w:rsidRDefault="00180202" w:rsidP="00720D65">
            <w:pPr>
              <w:pStyle w:val="TableHeading"/>
              <w:rPr>
                <w:rFonts w:ascii="Times New Roman" w:hAnsi="Times New Roman" w:cs="Times New Roman"/>
                <w:sz w:val="22"/>
                <w:szCs w:val="22"/>
              </w:rPr>
            </w:pPr>
            <w:r w:rsidRPr="00EE6D68">
              <w:rPr>
                <w:rFonts w:ascii="Times New Roman" w:hAnsi="Times New Roman" w:cs="Times New Roman"/>
                <w:sz w:val="22"/>
                <w:szCs w:val="22"/>
              </w:rPr>
              <w:t>ESC key issue</w:t>
            </w:r>
          </w:p>
        </w:tc>
        <w:tc>
          <w:tcPr>
            <w:tcW w:w="6781" w:type="dxa"/>
          </w:tcPr>
          <w:p w14:paraId="6A0C75AC" w14:textId="77777777" w:rsidR="00180202" w:rsidRPr="00EE6D68" w:rsidRDefault="00180202" w:rsidP="00720D65">
            <w:pPr>
              <w:pStyle w:val="TableHeading"/>
              <w:rPr>
                <w:rFonts w:ascii="Times New Roman" w:hAnsi="Times New Roman" w:cs="Times New Roman"/>
                <w:sz w:val="22"/>
                <w:szCs w:val="22"/>
              </w:rPr>
            </w:pPr>
            <w:r w:rsidRPr="00EE6D68">
              <w:rPr>
                <w:rFonts w:ascii="Times New Roman" w:hAnsi="Times New Roman" w:cs="Times New Roman"/>
                <w:sz w:val="22"/>
                <w:szCs w:val="22"/>
              </w:rPr>
              <w:t>ESC advice to MSAC</w:t>
            </w:r>
          </w:p>
        </w:tc>
      </w:tr>
      <w:tr w:rsidR="00180202" w:rsidRPr="00D80E43" w14:paraId="0B07EAB7" w14:textId="77777777" w:rsidTr="00720D65">
        <w:trPr>
          <w:cantSplit/>
        </w:trPr>
        <w:tc>
          <w:tcPr>
            <w:tcW w:w="2235" w:type="dxa"/>
            <w:hideMark/>
          </w:tcPr>
          <w:p w14:paraId="7A684101" w14:textId="77777777" w:rsidR="00180202" w:rsidRPr="00EE6D68" w:rsidRDefault="00180202" w:rsidP="00720D65">
            <w:pPr>
              <w:rPr>
                <w:rFonts w:ascii="Times New Roman" w:hAnsi="Times New Roman"/>
                <w:szCs w:val="22"/>
              </w:rPr>
            </w:pPr>
            <w:r w:rsidRPr="00EE6D68">
              <w:rPr>
                <w:rFonts w:ascii="Times New Roman" w:hAnsi="Times New Roman"/>
                <w:szCs w:val="22"/>
              </w:rPr>
              <w:t>Efficacy of post-partum abdominoplasty</w:t>
            </w:r>
          </w:p>
        </w:tc>
        <w:tc>
          <w:tcPr>
            <w:tcW w:w="6781" w:type="dxa"/>
            <w:hideMark/>
          </w:tcPr>
          <w:p w14:paraId="0C92B5C8" w14:textId="77777777" w:rsidR="00180202" w:rsidRPr="00EE6D68" w:rsidRDefault="00180202" w:rsidP="00720D65">
            <w:pPr>
              <w:rPr>
                <w:rFonts w:ascii="Times New Roman" w:hAnsi="Times New Roman"/>
                <w:szCs w:val="22"/>
              </w:rPr>
            </w:pPr>
            <w:r w:rsidRPr="00EE6D68">
              <w:rPr>
                <w:rFonts w:ascii="Times New Roman" w:hAnsi="Times New Roman"/>
                <w:szCs w:val="22"/>
              </w:rPr>
              <w:t xml:space="preserve">Abdominoplasty is superior to “no treatment” in terms of clinical efficacy. The </w:t>
            </w:r>
            <w:r>
              <w:rPr>
                <w:rFonts w:ascii="Times New Roman" w:hAnsi="Times New Roman"/>
                <w:szCs w:val="22"/>
              </w:rPr>
              <w:t xml:space="preserve">new evidence </w:t>
            </w:r>
            <w:r w:rsidRPr="00EE6D68">
              <w:rPr>
                <w:rFonts w:ascii="Times New Roman" w:hAnsi="Times New Roman"/>
                <w:szCs w:val="22"/>
              </w:rPr>
              <w:t>presented in this resubmission report</w:t>
            </w:r>
            <w:r>
              <w:rPr>
                <w:rFonts w:ascii="Times New Roman" w:hAnsi="Times New Roman"/>
                <w:szCs w:val="22"/>
              </w:rPr>
              <w:t>ed</w:t>
            </w:r>
            <w:r w:rsidRPr="00EE6D68">
              <w:rPr>
                <w:rFonts w:ascii="Times New Roman" w:hAnsi="Times New Roman"/>
                <w:szCs w:val="22"/>
              </w:rPr>
              <w:t xml:space="preserve"> improvements in all efficacy endpoints after abdominoplasty including improved </w:t>
            </w:r>
            <w:r>
              <w:rPr>
                <w:rFonts w:ascii="Times New Roman" w:hAnsi="Times New Roman"/>
                <w:szCs w:val="22"/>
              </w:rPr>
              <w:t xml:space="preserve">health-related quality of life, </w:t>
            </w:r>
            <w:r w:rsidRPr="00EE6D68">
              <w:rPr>
                <w:rFonts w:ascii="Times New Roman" w:hAnsi="Times New Roman"/>
                <w:szCs w:val="22"/>
              </w:rPr>
              <w:t>abdominal strength, reduced back pain and urinary incontinence.</w:t>
            </w:r>
          </w:p>
          <w:p w14:paraId="73547B37" w14:textId="77777777" w:rsidR="00180202" w:rsidRPr="00EE6D68" w:rsidRDefault="00180202" w:rsidP="00720D65">
            <w:pPr>
              <w:rPr>
                <w:rFonts w:ascii="Times New Roman" w:hAnsi="Times New Roman"/>
                <w:szCs w:val="22"/>
              </w:rPr>
            </w:pPr>
            <w:r w:rsidRPr="00EE6D68">
              <w:rPr>
                <w:rFonts w:ascii="Times New Roman" w:hAnsi="Times New Roman"/>
                <w:szCs w:val="22"/>
              </w:rPr>
              <w:t>While the clinical claim of superior effectiveness is reasonable, the magnitude of the benefit remains uncertain, as the studies all have risk of bias in design with no control group. However, a control group is difficult to achieve for this condition.</w:t>
            </w:r>
          </w:p>
        </w:tc>
      </w:tr>
      <w:tr w:rsidR="00180202" w:rsidRPr="00D80E43" w14:paraId="6015129B" w14:textId="77777777" w:rsidTr="00720D65">
        <w:trPr>
          <w:cantSplit/>
        </w:trPr>
        <w:tc>
          <w:tcPr>
            <w:tcW w:w="2235" w:type="dxa"/>
            <w:hideMark/>
          </w:tcPr>
          <w:p w14:paraId="49C41A2A" w14:textId="77777777" w:rsidR="00180202" w:rsidRPr="00EE6D68" w:rsidRDefault="00180202" w:rsidP="00720D65">
            <w:pPr>
              <w:rPr>
                <w:rFonts w:ascii="Times New Roman" w:hAnsi="Times New Roman"/>
                <w:szCs w:val="22"/>
              </w:rPr>
            </w:pPr>
            <w:r w:rsidRPr="00EE6D68">
              <w:rPr>
                <w:rFonts w:ascii="Times New Roman" w:hAnsi="Times New Roman"/>
                <w:szCs w:val="22"/>
              </w:rPr>
              <w:t>Safety of post-partum abdominoplasty</w:t>
            </w:r>
          </w:p>
        </w:tc>
        <w:tc>
          <w:tcPr>
            <w:tcW w:w="6781" w:type="dxa"/>
            <w:hideMark/>
          </w:tcPr>
          <w:p w14:paraId="032C9321" w14:textId="77777777" w:rsidR="00180202" w:rsidRPr="00EE6D68" w:rsidRDefault="00180202" w:rsidP="00720D65">
            <w:pPr>
              <w:rPr>
                <w:rFonts w:ascii="Times New Roman" w:hAnsi="Times New Roman"/>
                <w:szCs w:val="22"/>
              </w:rPr>
            </w:pPr>
            <w:r w:rsidRPr="00EE6D68">
              <w:rPr>
                <w:rFonts w:ascii="Times New Roman" w:hAnsi="Times New Roman"/>
                <w:szCs w:val="22"/>
              </w:rPr>
              <w:t xml:space="preserve">The safety profile for abdominoplasty is considered acceptable in consideration of the clinical benefit provided, and no worse than the safety of </w:t>
            </w:r>
            <w:r>
              <w:rPr>
                <w:rFonts w:ascii="Times New Roman" w:hAnsi="Times New Roman"/>
                <w:szCs w:val="22"/>
              </w:rPr>
              <w:t xml:space="preserve">MBS-reimbursed </w:t>
            </w:r>
            <w:r w:rsidRPr="00EE6D68">
              <w:rPr>
                <w:rFonts w:ascii="Times New Roman" w:hAnsi="Times New Roman"/>
                <w:szCs w:val="22"/>
              </w:rPr>
              <w:t xml:space="preserve">abdominoplasty </w:t>
            </w:r>
            <w:r w:rsidRPr="00EE6D68">
              <w:rPr>
                <w:rFonts w:ascii="Times New Roman" w:hAnsi="Times New Roman"/>
                <w:szCs w:val="22"/>
                <w:lang w:val="en-US"/>
              </w:rPr>
              <w:t>after significant weight loss or removal of an intra-abdominal or pelvic tumour</w:t>
            </w:r>
            <w:r>
              <w:rPr>
                <w:rFonts w:ascii="Times New Roman" w:hAnsi="Times New Roman"/>
                <w:szCs w:val="22"/>
                <w:lang w:val="en-US"/>
              </w:rPr>
              <w:t>.</w:t>
            </w:r>
          </w:p>
        </w:tc>
      </w:tr>
      <w:tr w:rsidR="00180202" w:rsidRPr="00D80E43" w14:paraId="144C9ADA" w14:textId="77777777" w:rsidTr="00720D65">
        <w:trPr>
          <w:cantSplit/>
        </w:trPr>
        <w:tc>
          <w:tcPr>
            <w:tcW w:w="2235" w:type="dxa"/>
            <w:hideMark/>
          </w:tcPr>
          <w:p w14:paraId="2377B84D" w14:textId="77777777" w:rsidR="00180202" w:rsidRPr="00EE6D68" w:rsidRDefault="00180202" w:rsidP="00720D65">
            <w:pPr>
              <w:rPr>
                <w:rFonts w:ascii="Times New Roman" w:hAnsi="Times New Roman"/>
                <w:szCs w:val="22"/>
              </w:rPr>
            </w:pPr>
            <w:r w:rsidRPr="00EE6D68">
              <w:rPr>
                <w:rFonts w:ascii="Times New Roman" w:hAnsi="Times New Roman"/>
                <w:szCs w:val="22"/>
              </w:rPr>
              <w:lastRenderedPageBreak/>
              <w:t xml:space="preserve">MBS item descriptor </w:t>
            </w:r>
          </w:p>
        </w:tc>
        <w:tc>
          <w:tcPr>
            <w:tcW w:w="6781" w:type="dxa"/>
            <w:hideMark/>
          </w:tcPr>
          <w:p w14:paraId="42E63358" w14:textId="77777777" w:rsidR="00180202" w:rsidRPr="00EE6D68" w:rsidRDefault="00180202" w:rsidP="00720D65">
            <w:pPr>
              <w:rPr>
                <w:rFonts w:ascii="Times New Roman" w:hAnsi="Times New Roman"/>
                <w:szCs w:val="22"/>
              </w:rPr>
            </w:pPr>
            <w:r w:rsidRPr="00EE6D68">
              <w:rPr>
                <w:rFonts w:ascii="Times New Roman" w:hAnsi="Times New Roman"/>
                <w:szCs w:val="22"/>
                <w:lang w:val="en-US"/>
              </w:rPr>
              <w:t xml:space="preserve">MSAC may want to consider a separate, new, item descriptor (3017X) if this procedure was recommended for funding. </w:t>
            </w:r>
          </w:p>
        </w:tc>
      </w:tr>
      <w:tr w:rsidR="00180202" w:rsidRPr="00D80E43" w14:paraId="62AA8C23" w14:textId="77777777" w:rsidTr="00720D65">
        <w:trPr>
          <w:cantSplit/>
        </w:trPr>
        <w:tc>
          <w:tcPr>
            <w:tcW w:w="2235" w:type="dxa"/>
          </w:tcPr>
          <w:p w14:paraId="59DD558A" w14:textId="77777777" w:rsidR="00180202" w:rsidRPr="00EE6D68" w:rsidRDefault="00180202" w:rsidP="00720D65">
            <w:pPr>
              <w:rPr>
                <w:szCs w:val="22"/>
              </w:rPr>
            </w:pPr>
            <w:r w:rsidRPr="00EE6D68">
              <w:rPr>
                <w:rFonts w:ascii="Times New Roman" w:hAnsi="Times New Roman"/>
                <w:szCs w:val="22"/>
              </w:rPr>
              <w:t>Economic evaluation</w:t>
            </w:r>
          </w:p>
        </w:tc>
        <w:tc>
          <w:tcPr>
            <w:tcW w:w="6781" w:type="dxa"/>
          </w:tcPr>
          <w:p w14:paraId="1B277FC1" w14:textId="77777777" w:rsidR="00180202" w:rsidRPr="00EE6D68" w:rsidRDefault="00180202" w:rsidP="00720D65">
            <w:pPr>
              <w:rPr>
                <w:rFonts w:ascii="Times New Roman" w:hAnsi="Times New Roman"/>
                <w:szCs w:val="22"/>
              </w:rPr>
            </w:pPr>
            <w:r w:rsidRPr="00EE6D68">
              <w:rPr>
                <w:rFonts w:ascii="Times New Roman" w:hAnsi="Times New Roman"/>
                <w:szCs w:val="22"/>
              </w:rPr>
              <w:t xml:space="preserve">The economic evaluation is generally unchanged from the </w:t>
            </w:r>
            <w:r>
              <w:rPr>
                <w:rFonts w:ascii="Times New Roman" w:hAnsi="Times New Roman"/>
                <w:szCs w:val="22"/>
              </w:rPr>
              <w:t>previous submission</w:t>
            </w:r>
            <w:r w:rsidRPr="00EE6D68">
              <w:rPr>
                <w:rFonts w:ascii="Times New Roman" w:hAnsi="Times New Roman"/>
                <w:szCs w:val="22"/>
              </w:rPr>
              <w:t>, apart from updated costs and a longer timeframe. The model structure is sti</w:t>
            </w:r>
            <w:r>
              <w:rPr>
                <w:rFonts w:ascii="Times New Roman" w:hAnsi="Times New Roman"/>
                <w:szCs w:val="22"/>
              </w:rPr>
              <w:t>ll considered to be reasonable.</w:t>
            </w:r>
          </w:p>
          <w:p w14:paraId="555CC2D0" w14:textId="77777777" w:rsidR="00180202" w:rsidRPr="00EE6D68" w:rsidRDefault="00180202" w:rsidP="00720D65">
            <w:pPr>
              <w:rPr>
                <w:szCs w:val="22"/>
                <w:lang w:val="en-US"/>
              </w:rPr>
            </w:pPr>
            <w:r w:rsidRPr="00EE6D68">
              <w:rPr>
                <w:rFonts w:ascii="Times New Roman" w:hAnsi="Times New Roman"/>
                <w:szCs w:val="22"/>
              </w:rPr>
              <w:t>If the clinical data can be considered reliable, the intervention appears to be cost-effective.</w:t>
            </w:r>
          </w:p>
        </w:tc>
      </w:tr>
      <w:tr w:rsidR="00180202" w:rsidRPr="00D80E43" w14:paraId="7D9C7314" w14:textId="77777777" w:rsidTr="00720D65">
        <w:trPr>
          <w:cantSplit/>
        </w:trPr>
        <w:tc>
          <w:tcPr>
            <w:tcW w:w="2235" w:type="dxa"/>
            <w:hideMark/>
          </w:tcPr>
          <w:p w14:paraId="43CF0E1B" w14:textId="77777777" w:rsidR="00180202" w:rsidRPr="00EE6D68" w:rsidRDefault="00180202" w:rsidP="00720D65">
            <w:pPr>
              <w:rPr>
                <w:rFonts w:ascii="Times New Roman" w:hAnsi="Times New Roman"/>
                <w:szCs w:val="22"/>
              </w:rPr>
            </w:pPr>
            <w:r w:rsidRPr="00EE6D68">
              <w:rPr>
                <w:rFonts w:ascii="Times New Roman" w:hAnsi="Times New Roman"/>
                <w:szCs w:val="22"/>
              </w:rPr>
              <w:t>Cost implications and possible offsets</w:t>
            </w:r>
          </w:p>
        </w:tc>
        <w:tc>
          <w:tcPr>
            <w:tcW w:w="6781" w:type="dxa"/>
            <w:hideMark/>
          </w:tcPr>
          <w:p w14:paraId="795CF128" w14:textId="77777777" w:rsidR="00180202" w:rsidRPr="00EE6D68" w:rsidRDefault="00180202" w:rsidP="00720D65">
            <w:pPr>
              <w:rPr>
                <w:rFonts w:ascii="Times New Roman" w:hAnsi="Times New Roman"/>
                <w:szCs w:val="22"/>
              </w:rPr>
            </w:pPr>
            <w:r w:rsidRPr="00EE6D68">
              <w:rPr>
                <w:rFonts w:ascii="Times New Roman" w:hAnsi="Times New Roman"/>
                <w:szCs w:val="22"/>
                <w:lang w:val="en-US"/>
              </w:rPr>
              <w:t>The number of predicted services per year is small, so there will be modest additional costs to the MBS.</w:t>
            </w:r>
          </w:p>
        </w:tc>
      </w:tr>
      <w:tr w:rsidR="00180202" w:rsidRPr="00D80E43" w14:paraId="32D7774A" w14:textId="77777777" w:rsidTr="00720D65">
        <w:trPr>
          <w:cantSplit/>
        </w:trPr>
        <w:tc>
          <w:tcPr>
            <w:tcW w:w="2235" w:type="dxa"/>
            <w:hideMark/>
          </w:tcPr>
          <w:p w14:paraId="75F7C7AA" w14:textId="77777777" w:rsidR="00180202" w:rsidRPr="00EE6D68" w:rsidRDefault="00180202" w:rsidP="00720D65">
            <w:pPr>
              <w:rPr>
                <w:rFonts w:ascii="Times New Roman" w:hAnsi="Times New Roman"/>
                <w:szCs w:val="22"/>
              </w:rPr>
            </w:pPr>
            <w:r w:rsidRPr="00EE6D68">
              <w:rPr>
                <w:rFonts w:ascii="Times New Roman" w:hAnsi="Times New Roman"/>
                <w:szCs w:val="22"/>
              </w:rPr>
              <w:t>Uptake</w:t>
            </w:r>
          </w:p>
        </w:tc>
        <w:tc>
          <w:tcPr>
            <w:tcW w:w="6781" w:type="dxa"/>
            <w:hideMark/>
          </w:tcPr>
          <w:p w14:paraId="3DB3B946" w14:textId="77777777" w:rsidR="00180202" w:rsidRPr="00EE6D68" w:rsidRDefault="00180202" w:rsidP="00720D65">
            <w:pPr>
              <w:rPr>
                <w:rFonts w:ascii="Times New Roman" w:hAnsi="Times New Roman"/>
                <w:szCs w:val="22"/>
              </w:rPr>
            </w:pPr>
            <w:r w:rsidRPr="00EE6D68">
              <w:rPr>
                <w:rFonts w:ascii="Times New Roman" w:hAnsi="Times New Roman"/>
                <w:szCs w:val="22"/>
              </w:rPr>
              <w:t xml:space="preserve">The revised estimates provided may be lower than actual uptake; the number of procedures in the </w:t>
            </w:r>
            <w:r>
              <w:rPr>
                <w:rFonts w:ascii="Times New Roman" w:hAnsi="Times New Roman"/>
                <w:szCs w:val="22"/>
              </w:rPr>
              <w:t>previous</w:t>
            </w:r>
            <w:r w:rsidRPr="00EE6D68">
              <w:rPr>
                <w:rFonts w:ascii="Times New Roman" w:hAnsi="Times New Roman"/>
                <w:szCs w:val="22"/>
              </w:rPr>
              <w:t xml:space="preserve"> submission may be more appropriate.</w:t>
            </w:r>
          </w:p>
        </w:tc>
      </w:tr>
    </w:tbl>
    <w:p w14:paraId="4717CEAA" w14:textId="77777777" w:rsidR="00180202" w:rsidRPr="00B02E35" w:rsidRDefault="00180202" w:rsidP="009555C2">
      <w:pPr>
        <w:tabs>
          <w:tab w:val="left" w:pos="2265"/>
          <w:tab w:val="left" w:pos="3420"/>
          <w:tab w:val="left" w:pos="4320"/>
        </w:tabs>
        <w:spacing w:before="240"/>
        <w:rPr>
          <w:b/>
        </w:rPr>
      </w:pPr>
      <w:r>
        <w:rPr>
          <w:b/>
        </w:rPr>
        <w:t>ESC Discussion</w:t>
      </w:r>
    </w:p>
    <w:p w14:paraId="7760282C" w14:textId="77777777" w:rsidR="00180202" w:rsidRDefault="00180202" w:rsidP="00180202">
      <w:r>
        <w:t xml:space="preserve">ESC noted that this is a resubmission and that the purpose is to reinstate Medicare Benefits Schedule (MBS) funding of </w:t>
      </w:r>
      <w:r w:rsidRPr="0042030A">
        <w:t xml:space="preserve">abdominoplasty to treat rectus diastasis </w:t>
      </w:r>
      <w:r>
        <w:t>following pregnancy. ESC noted that this application was not supported by the MSAC in 2019 because of uncertainty on the magnitude of benefit as well as uncertainty regarding the incremental cost-effectiveness ratio (ICER).</w:t>
      </w:r>
    </w:p>
    <w:p w14:paraId="65F84F27" w14:textId="77777777" w:rsidR="00180202" w:rsidRDefault="00180202" w:rsidP="009555C2">
      <w:pPr>
        <w:spacing w:before="240"/>
      </w:pPr>
      <w:r>
        <w:t>ESC noted that there has been significant media attention and a petition to the House of Representatives because of the perceived unfairness</w:t>
      </w:r>
      <w:r w:rsidRPr="0042030A">
        <w:t xml:space="preserve"> in access to MBS rebates for post-partum women seeking public funding for abdominoplasty to treat rectus diastasis compared to those can access rebates for abdominoplasty following massive weight loss.</w:t>
      </w:r>
      <w:r>
        <w:t xml:space="preserve"> ESC also noted that the applicant has collected a large volume of consultation survey data, including &gt;1,000 responses from consumers, which it will submit to the July MSAC meeting for consideration.</w:t>
      </w:r>
    </w:p>
    <w:p w14:paraId="0E89417E" w14:textId="77777777" w:rsidR="00180202" w:rsidRDefault="00180202" w:rsidP="009555C2">
      <w:pPr>
        <w:spacing w:before="240"/>
      </w:pPr>
      <w:r w:rsidRPr="004E61A7">
        <w:rPr>
          <w:lang w:val="en-US"/>
        </w:rPr>
        <w:t xml:space="preserve">A true abdominal hernia is characterized by having a fascial defect with protrusion of the </w:t>
      </w:r>
      <w:r>
        <w:rPr>
          <w:lang w:val="en-US"/>
        </w:rPr>
        <w:t xml:space="preserve">abdominal viscera or omentum. ESC noted that divarication recti is not a true hernia as it is </w:t>
      </w:r>
      <w:r w:rsidRPr="004E61A7">
        <w:rPr>
          <w:lang w:val="en-US"/>
        </w:rPr>
        <w:t xml:space="preserve">not </w:t>
      </w:r>
      <w:r>
        <w:rPr>
          <w:lang w:val="en-US"/>
        </w:rPr>
        <w:t xml:space="preserve">associated with a fascial defect in the abdominal wall; it is not associated with bowel obstruction or strangulation. </w:t>
      </w:r>
      <w:r>
        <w:t>However, it is possible for a midline hernia (in the linea alba) to evolve following divarication of the recti. ESC noted that a midline open approach abdominoplasty (described by Pitanguy) to repair divarication would concomitantly repair a midline hernia if present.</w:t>
      </w:r>
    </w:p>
    <w:p w14:paraId="6297139F" w14:textId="77777777" w:rsidR="00180202" w:rsidRDefault="00180202" w:rsidP="009555C2">
      <w:pPr>
        <w:spacing w:before="240"/>
      </w:pPr>
      <w:r>
        <w:t>ESC noted that th</w:t>
      </w:r>
      <w:r w:rsidRPr="00DB360C">
        <w:t xml:space="preserve">e comparator proposed in the PICO </w:t>
      </w:r>
      <w:r>
        <w:t>c</w:t>
      </w:r>
      <w:r w:rsidRPr="00DB360C">
        <w:t>onfirmation was best supportive care, which may include symptomatic management with pain medication, lower back braces, lifestyle changes, physiotherapy and/or exercise.</w:t>
      </w:r>
      <w:r>
        <w:t xml:space="preserve"> </w:t>
      </w:r>
      <w:r w:rsidRPr="00DB360C">
        <w:t>Ph</w:t>
      </w:r>
      <w:r>
        <w:t xml:space="preserve">ysiotherapy and/or exercise are </w:t>
      </w:r>
      <w:r w:rsidRPr="00DB360C">
        <w:t xml:space="preserve">acknowledged by the </w:t>
      </w:r>
      <w:r>
        <w:t>applicant</w:t>
      </w:r>
      <w:r w:rsidRPr="00DB360C">
        <w:t xml:space="preserve"> as representing the preferred first-line treatment option for post</w:t>
      </w:r>
      <w:r>
        <w:t>-</w:t>
      </w:r>
      <w:r w:rsidRPr="00DB360C">
        <w:t>partum women with abdominal rectus diastasis</w:t>
      </w:r>
      <w:r>
        <w:t xml:space="preserve">. </w:t>
      </w:r>
      <w:r w:rsidRPr="00DB360C">
        <w:t>However, non-physiotherapy/exercise program interventions such</w:t>
      </w:r>
      <w:r>
        <w:t xml:space="preserve"> as</w:t>
      </w:r>
      <w:r w:rsidRPr="00DB360C">
        <w:t xml:space="preserve"> pain medic</w:t>
      </w:r>
      <w:r>
        <w:t>ines</w:t>
      </w:r>
      <w:r w:rsidRPr="00DB360C">
        <w:t>, lower back braces and lifestyle changes would be considered as part of the overall management of any patient with abdominal rectus diastasis and not as direct alternatives/comparators to physiotherapy/exercise programs or abdominoplasty</w:t>
      </w:r>
      <w:r>
        <w:t>,</w:t>
      </w:r>
      <w:r w:rsidRPr="00DB360C">
        <w:t xml:space="preserve"> which have an intent to resolve the abdominal diastasis rectus.</w:t>
      </w:r>
      <w:r>
        <w:t xml:space="preserve"> </w:t>
      </w:r>
      <w:r w:rsidRPr="00DB360C">
        <w:t xml:space="preserve">In consideration of the above, and the lack of recognised options to treat the underlying abdominal rectus diastasis in women whose symptoms are refractory to first-line physiotherapy/exercise program, the </w:t>
      </w:r>
      <w:r>
        <w:t>applicant</w:t>
      </w:r>
      <w:r w:rsidRPr="00DB360C">
        <w:t xml:space="preserve"> consider</w:t>
      </w:r>
      <w:r>
        <w:t>ed</w:t>
      </w:r>
      <w:r w:rsidRPr="00DB360C">
        <w:t xml:space="preserve"> </w:t>
      </w:r>
      <w:r>
        <w:t>“</w:t>
      </w:r>
      <w:r w:rsidRPr="00DB360C">
        <w:t>no treatment</w:t>
      </w:r>
      <w:r>
        <w:t>”</w:t>
      </w:r>
      <w:r w:rsidRPr="00DB360C">
        <w:t xml:space="preserve"> </w:t>
      </w:r>
      <w:r>
        <w:t xml:space="preserve">to be a </w:t>
      </w:r>
      <w:r w:rsidRPr="00DB360C">
        <w:t>more appropriate comparator.</w:t>
      </w:r>
      <w:r>
        <w:t xml:space="preserve"> ESC considered that this may be reasonable.</w:t>
      </w:r>
    </w:p>
    <w:p w14:paraId="0C6FB414" w14:textId="77777777" w:rsidR="00180202" w:rsidRDefault="00180202" w:rsidP="009555C2">
      <w:pPr>
        <w:spacing w:before="240"/>
      </w:pPr>
      <w:r>
        <w:t xml:space="preserve">ESC noted that the previous submission included two studies: one randomised controlled trial [RCT] – the </w:t>
      </w:r>
      <w:r w:rsidRPr="00457349">
        <w:t xml:space="preserve">Emanuelsson (2014) </w:t>
      </w:r>
      <w:r>
        <w:t xml:space="preserve">trial; and one prospective case series– Taylor (2018). This resubmission included three additional studies: two prospective case series (Olsson 2019; </w:t>
      </w:r>
      <w:r>
        <w:lastRenderedPageBreak/>
        <w:t xml:space="preserve">Carrara 2020) a retrospective case series (Fiori 2020); and the long-term follow-up of the surgical group from the </w:t>
      </w:r>
      <w:r w:rsidRPr="00457349">
        <w:t xml:space="preserve">Emanuelsson (2014) </w:t>
      </w:r>
      <w:r>
        <w:t>trial. ESC noted that of the three additional studies, Olsson (2019) study was the most applicable due to patient having were required to have failed conservative therapy.</w:t>
      </w:r>
    </w:p>
    <w:p w14:paraId="4ED8268D" w14:textId="77777777" w:rsidR="00180202" w:rsidRDefault="00180202" w:rsidP="009555C2">
      <w:pPr>
        <w:spacing w:before="240"/>
      </w:pPr>
      <w:r>
        <w:t>Regarding surgical approaches, ESC noted that the two studies in the previous submission used open approach abdominoplasty, whereas in the three additional studies, one used open approach abdominoplasty, one used e</w:t>
      </w:r>
      <w:r w:rsidRPr="00457349">
        <w:t>ndo-laparoscopic midline reconstruction</w:t>
      </w:r>
      <w:r>
        <w:t>, and one used m</w:t>
      </w:r>
      <w:r w:rsidRPr="00457349">
        <w:t xml:space="preserve">ixed open </w:t>
      </w:r>
      <w:r>
        <w:t>and</w:t>
      </w:r>
      <w:r w:rsidRPr="00457349">
        <w:t xml:space="preserve"> endoscopic techniques</w:t>
      </w:r>
      <w:r>
        <w:t>. The proposed item descriptor refers to ‘radical abdominoplasty (Pitanguy type or similar)”, which ESC considered does not include a laparascopic approach, or mixed approach. ESC also noted that the procedure may include the r</w:t>
      </w:r>
      <w:r w:rsidRPr="001D586D">
        <w:t>emoval of excess skin</w:t>
      </w:r>
      <w:r>
        <w:t>, but that this</w:t>
      </w:r>
      <w:r w:rsidRPr="001D586D">
        <w:t xml:space="preserve"> is not always necessary depending on the patient build.</w:t>
      </w:r>
    </w:p>
    <w:p w14:paraId="5B0AD2D7" w14:textId="77777777" w:rsidR="00180202" w:rsidRDefault="00180202" w:rsidP="009555C2">
      <w:pPr>
        <w:spacing w:before="240"/>
      </w:pPr>
      <w:r>
        <w:t>In terms of safety, the</w:t>
      </w:r>
      <w:r w:rsidRPr="00457349">
        <w:t xml:space="preserve"> additional two prospective </w:t>
      </w:r>
      <w:r>
        <w:t>case series</w:t>
      </w:r>
      <w:r w:rsidRPr="00457349">
        <w:t xml:space="preserve"> reported lower rates of infection and seroma than </w:t>
      </w:r>
      <w:r>
        <w:t xml:space="preserve">what </w:t>
      </w:r>
      <w:r w:rsidRPr="00457349">
        <w:t>was reported in the Emanuelsson (2014) trial</w:t>
      </w:r>
      <w:r>
        <w:t xml:space="preserve">. </w:t>
      </w:r>
      <w:r w:rsidRPr="00457349">
        <w:t>Long-term follow-up (5</w:t>
      </w:r>
      <w:r>
        <w:t> </w:t>
      </w:r>
      <w:r w:rsidRPr="00457349">
        <w:t>years) of the Emanuelsson (2014) trial did not identify any additional patients experiencing recurrence to the one patient previously reported, and no patients in the additional two studies were reported as experiencing recurrence.</w:t>
      </w:r>
      <w:r w:rsidRPr="00AD66F1">
        <w:t xml:space="preserve"> </w:t>
      </w:r>
      <w:r>
        <w:t>ESC also noted that t</w:t>
      </w:r>
      <w:r w:rsidRPr="00457349">
        <w:t xml:space="preserve">he magnitude of the surgical harms was variable across studies and may reflect the variability in the procedure; however, rates of complications in the Emanuelsson (2014) trial are high. Given the invasive nature of the procedure and requirement for general anaesthesia, </w:t>
      </w:r>
      <w:r>
        <w:t xml:space="preserve">the safety of </w:t>
      </w:r>
      <w:r w:rsidRPr="00457349">
        <w:t>abdominoplasty is</w:t>
      </w:r>
      <w:r>
        <w:t xml:space="preserve"> considered to be</w:t>
      </w:r>
      <w:r w:rsidRPr="00457349">
        <w:t xml:space="preserve"> inferior to </w:t>
      </w:r>
      <w:r>
        <w:t>“</w:t>
      </w:r>
      <w:r w:rsidRPr="00457349">
        <w:t>no treatment</w:t>
      </w:r>
      <w:r>
        <w:t>”</w:t>
      </w:r>
      <w:r w:rsidRPr="00457349">
        <w:t>.</w:t>
      </w:r>
    </w:p>
    <w:p w14:paraId="53E98A34" w14:textId="77777777" w:rsidR="00180202" w:rsidRPr="00457349" w:rsidRDefault="00180202" w:rsidP="009555C2">
      <w:pPr>
        <w:pStyle w:val="NormalBeforeBullet"/>
        <w:spacing w:before="240"/>
      </w:pPr>
      <w:r w:rsidRPr="00457349">
        <w:t xml:space="preserve">The prospective </w:t>
      </w:r>
      <w:r>
        <w:t>case series</w:t>
      </w:r>
      <w:r w:rsidRPr="00457349">
        <w:t xml:space="preserve"> presented in </w:t>
      </w:r>
      <w:r>
        <w:t>this resubmission</w:t>
      </w:r>
      <w:r w:rsidRPr="00457349">
        <w:t xml:space="preserve"> report</w:t>
      </w:r>
      <w:r>
        <w:t>ed</w:t>
      </w:r>
      <w:r w:rsidRPr="00457349">
        <w:t xml:space="preserve"> improvements in all efficacy endpoints after abdominoplasty:</w:t>
      </w:r>
    </w:p>
    <w:p w14:paraId="4167C994" w14:textId="77777777" w:rsidR="00180202" w:rsidRPr="00457349" w:rsidRDefault="00180202" w:rsidP="00180202">
      <w:pPr>
        <w:pStyle w:val="Bullet"/>
      </w:pPr>
      <w:r w:rsidRPr="00457349">
        <w:t>Health-related quality of life</w:t>
      </w:r>
      <w:r>
        <w:t xml:space="preserve"> (</w:t>
      </w:r>
      <w:r w:rsidRPr="00457349">
        <w:t>HRQoL</w:t>
      </w:r>
      <w:r>
        <w:t>)</w:t>
      </w:r>
      <w:r w:rsidRPr="00457349">
        <w:t xml:space="preserve">: </w:t>
      </w:r>
      <w:r>
        <w:t>statistically and clinically s</w:t>
      </w:r>
      <w:r w:rsidRPr="00457349">
        <w:t>ignificant improvement</w:t>
      </w:r>
      <w:r>
        <w:t>s</w:t>
      </w:r>
      <w:r w:rsidRPr="00457349">
        <w:t xml:space="preserve"> in</w:t>
      </w:r>
      <w:r>
        <w:t xml:space="preserve"> </w:t>
      </w:r>
      <w:r w:rsidRPr="00457349">
        <w:t>all domains</w:t>
      </w:r>
      <w:r>
        <w:t xml:space="preserve"> of the 36-item Short Form health survey</w:t>
      </w:r>
      <w:r w:rsidRPr="00457349">
        <w:t xml:space="preserve"> </w:t>
      </w:r>
      <w:r>
        <w:t>(</w:t>
      </w:r>
      <w:r w:rsidRPr="00457349">
        <w:t>SF-36</w:t>
      </w:r>
      <w:r>
        <w:t>) instrument</w:t>
      </w:r>
      <w:r w:rsidRPr="00457349">
        <w:t xml:space="preserve"> reasonably associated with morbidity resulting from unreso</w:t>
      </w:r>
      <w:r>
        <w:t xml:space="preserve">lved abdominal rectus diastasis (Olsson 2019) and the </w:t>
      </w:r>
      <w:r w:rsidRPr="00457349">
        <w:t xml:space="preserve">Emanuelsson (2014) </w:t>
      </w:r>
      <w:r>
        <w:t>trial from the previous submission</w:t>
      </w:r>
    </w:p>
    <w:p w14:paraId="45AD00B1" w14:textId="77777777" w:rsidR="00180202" w:rsidRPr="00457349" w:rsidRDefault="00180202" w:rsidP="00180202">
      <w:pPr>
        <w:pStyle w:val="Bullet"/>
      </w:pPr>
      <w:r w:rsidRPr="00457349">
        <w:t xml:space="preserve">Abdominal strength: </w:t>
      </w:r>
      <w:r>
        <w:t>statistically and clinically s</w:t>
      </w:r>
      <w:r w:rsidRPr="00457349">
        <w:t>ignificant improvement</w:t>
      </w:r>
      <w:r>
        <w:t>s</w:t>
      </w:r>
      <w:r w:rsidRPr="00457349">
        <w:t xml:space="preserve"> in self-reported abilities to perform daily activities in 98% of patients after receiving abdominoplasty </w:t>
      </w:r>
      <w:r>
        <w:t>(</w:t>
      </w:r>
      <w:r w:rsidRPr="00457349">
        <w:t>Olsson</w:t>
      </w:r>
      <w:r>
        <w:t xml:space="preserve"> 2019)</w:t>
      </w:r>
    </w:p>
    <w:p w14:paraId="19005C8C" w14:textId="77777777" w:rsidR="00180202" w:rsidRPr="00457349" w:rsidRDefault="00180202" w:rsidP="00180202">
      <w:pPr>
        <w:pStyle w:val="Bullet"/>
      </w:pPr>
      <w:r w:rsidRPr="00457349">
        <w:t xml:space="preserve">Back pain: </w:t>
      </w:r>
      <w:r>
        <w:t>statistically s</w:t>
      </w:r>
      <w:r w:rsidRPr="00457349">
        <w:t xml:space="preserve">ignificant reductions in back pain assessed using the </w:t>
      </w:r>
      <w:r w:rsidRPr="00DA2C86">
        <w:t xml:space="preserve">Oswestry Disability Index </w:t>
      </w:r>
      <w:r>
        <w:t xml:space="preserve">(ODI) at 6 months compared with baseline in Carrara (2020) and Taylor (2018) from the previous submission. </w:t>
      </w:r>
      <w:r w:rsidRPr="001C1163">
        <w:t xml:space="preserve">However, </w:t>
      </w:r>
      <w:r w:rsidRPr="0092412F">
        <w:t xml:space="preserve">the baseline value was very low </w:t>
      </w:r>
      <w:r w:rsidRPr="001C1163">
        <w:t>(&lt;20%, indicating minimal disability) and the change did not reach clinical significance</w:t>
      </w:r>
    </w:p>
    <w:p w14:paraId="3DEB1CF5" w14:textId="77777777" w:rsidR="00180202" w:rsidRDefault="00180202" w:rsidP="00180202">
      <w:pPr>
        <w:pStyle w:val="BulletLast"/>
      </w:pPr>
      <w:r w:rsidRPr="00457349">
        <w:t xml:space="preserve">Urinary incontinence: </w:t>
      </w:r>
      <w:r>
        <w:t>s</w:t>
      </w:r>
      <w:r w:rsidRPr="00617CAC">
        <w:t>tatistically significant reductions in urinary incontinence symptoms were reporte</w:t>
      </w:r>
      <w:r>
        <w:t xml:space="preserve">d postsurgery across all studies: the </w:t>
      </w:r>
      <w:r w:rsidRPr="00C04D91">
        <w:t xml:space="preserve">6-item short form of Urinary Distress Inventory </w:t>
      </w:r>
      <w:r>
        <w:t>(</w:t>
      </w:r>
      <w:r w:rsidRPr="00C04D91">
        <w:t>UDI-6</w:t>
      </w:r>
      <w:r>
        <w:t>)</w:t>
      </w:r>
      <w:r w:rsidRPr="00C04D91">
        <w:t xml:space="preserve"> and </w:t>
      </w:r>
      <w:r>
        <w:t xml:space="preserve">the </w:t>
      </w:r>
      <w:r w:rsidRPr="00C04D91">
        <w:t>Incontinence Impact Questionnaire</w:t>
      </w:r>
      <w:r>
        <w:t xml:space="preserve"> (</w:t>
      </w:r>
      <w:r w:rsidRPr="00C04D91">
        <w:t>IIQ-7</w:t>
      </w:r>
      <w:r>
        <w:t>)</w:t>
      </w:r>
      <w:r w:rsidRPr="00C04D91">
        <w:t xml:space="preserve"> </w:t>
      </w:r>
      <w:r>
        <w:t xml:space="preserve">in </w:t>
      </w:r>
      <w:r w:rsidRPr="00457349">
        <w:t>Olsson</w:t>
      </w:r>
      <w:r>
        <w:t xml:space="preserve"> (2019); the Incontinence Symptom Index (ISI) in Carrara (2020) and </w:t>
      </w:r>
      <w:r w:rsidRPr="00C04D91">
        <w:t xml:space="preserve">International Consultation on Incontinence Questionnaire – Urinary Incontinence Short Form </w:t>
      </w:r>
      <w:r>
        <w:t>(ICQI-UI-SF)</w:t>
      </w:r>
      <w:r w:rsidRPr="00C04D91">
        <w:t xml:space="preserve"> </w:t>
      </w:r>
      <w:r>
        <w:t>in Taylor (2018) from the previous submission. ESC noted the consistency in results using different instruments may support</w:t>
      </w:r>
      <w:r w:rsidRPr="0046163A">
        <w:t xml:space="preserve"> a conclusion that the reduction in urinary incontinence symptoms is reasonably attributable to surgical repair of the abdominal wall and not reporting errors of any given instrument or erroneous results from any given study.</w:t>
      </w:r>
    </w:p>
    <w:p w14:paraId="7FC2C262" w14:textId="77777777" w:rsidR="00180202" w:rsidRDefault="00180202" w:rsidP="00180202">
      <w:r>
        <w:lastRenderedPageBreak/>
        <w:t>ESC noted that, i</w:t>
      </w:r>
      <w:r w:rsidRPr="00457349">
        <w:t>n the absence of an alternative treatment option for women at least 12</w:t>
      </w:r>
      <w:r>
        <w:t> </w:t>
      </w:r>
      <w:r w:rsidRPr="00457349">
        <w:t>months post</w:t>
      </w:r>
      <w:r>
        <w:t>-</w:t>
      </w:r>
      <w:r w:rsidRPr="00457349">
        <w:t>partum with unresolved symptomatic abdominal rectus diastasis, abdominoplasty is superior to ‘no treatment’ in terms of clinical efficacy.</w:t>
      </w:r>
    </w:p>
    <w:p w14:paraId="68A8E660" w14:textId="77777777" w:rsidR="00180202" w:rsidRPr="00457349" w:rsidRDefault="00180202" w:rsidP="009555C2">
      <w:pPr>
        <w:pStyle w:val="NormalBeforeBullet"/>
        <w:spacing w:before="240"/>
      </w:pPr>
      <w:r>
        <w:t>ESC considered that the</w:t>
      </w:r>
      <w:r w:rsidRPr="00457349">
        <w:t xml:space="preserve"> clinical claim of superior effectiveness is reasonable; however, the magnitude of the benefit remains uncertain due to the same factors outlined in the </w:t>
      </w:r>
      <w:r>
        <w:t>previous submission</w:t>
      </w:r>
      <w:r w:rsidRPr="00457349">
        <w:t>:</w:t>
      </w:r>
    </w:p>
    <w:p w14:paraId="329ADAE6" w14:textId="77777777" w:rsidR="00180202" w:rsidRPr="00457349" w:rsidRDefault="00180202" w:rsidP="00180202">
      <w:pPr>
        <w:pStyle w:val="Bullet"/>
      </w:pPr>
      <w:r w:rsidRPr="00457349">
        <w:t>All studies have high to serious risk of bias</w:t>
      </w:r>
      <w:r>
        <w:t>,</w:t>
      </w:r>
      <w:r w:rsidRPr="00457349">
        <w:t xml:space="preserve"> and the outcomes reported in the </w:t>
      </w:r>
      <w:r>
        <w:t>resubmission</w:t>
      </w:r>
      <w:r w:rsidRPr="00457349">
        <w:t xml:space="preserve"> are bas</w:t>
      </w:r>
      <w:r>
        <w:t>ed on</w:t>
      </w:r>
      <w:r w:rsidRPr="00457349">
        <w:t xml:space="preserve"> a pre</w:t>
      </w:r>
      <w:r>
        <w:t>-</w:t>
      </w:r>
      <w:r w:rsidRPr="00457349">
        <w:t xml:space="preserve"> and post</w:t>
      </w:r>
      <w:r>
        <w:t>-</w:t>
      </w:r>
      <w:r w:rsidRPr="00457349">
        <w:t>research design without a valid external control group</w:t>
      </w:r>
    </w:p>
    <w:p w14:paraId="79CC8437" w14:textId="77777777" w:rsidR="00180202" w:rsidRPr="00457349" w:rsidRDefault="00180202" w:rsidP="00180202">
      <w:pPr>
        <w:pStyle w:val="Bullet"/>
      </w:pPr>
      <w:r w:rsidRPr="00457349">
        <w:t>The outcomes are almost exclusively patient-reported. While these are important for measuring the patient’s experience of the treatment, they would ideally be supplemented with some objectively measured outcomes</w:t>
      </w:r>
    </w:p>
    <w:p w14:paraId="35F929F1" w14:textId="77777777" w:rsidR="00180202" w:rsidRPr="00457349" w:rsidRDefault="00180202" w:rsidP="00180202">
      <w:pPr>
        <w:pStyle w:val="BulletLast"/>
        <w:spacing w:after="0"/>
        <w:ind w:left="714" w:hanging="357"/>
      </w:pPr>
      <w:r w:rsidRPr="00457349">
        <w:t>There is variability across the included studies with respect to the population</w:t>
      </w:r>
      <w:r>
        <w:t xml:space="preserve"> (e.g. </w:t>
      </w:r>
      <w:r w:rsidRPr="0046163A">
        <w:t>high proportion of patients with concurren</w:t>
      </w:r>
      <w:r>
        <w:t xml:space="preserve">t rectus diastasis and hernias) </w:t>
      </w:r>
      <w:r w:rsidRPr="00457349">
        <w:t>and the intervention.</w:t>
      </w:r>
    </w:p>
    <w:p w14:paraId="32CAD50C" w14:textId="77777777" w:rsidR="00180202" w:rsidRDefault="00180202" w:rsidP="009555C2">
      <w:pPr>
        <w:spacing w:before="240"/>
      </w:pPr>
      <w:r>
        <w:t>ESC also considered that the</w:t>
      </w:r>
      <w:r w:rsidRPr="00457349">
        <w:t xml:space="preserve"> safety profile for abdominoplasty </w:t>
      </w:r>
      <w:r>
        <w:t>may be</w:t>
      </w:r>
      <w:r w:rsidRPr="00457349">
        <w:t xml:space="preserve"> acceptable in consideration of the clinical benefit provided and no worse than the safety of MBS</w:t>
      </w:r>
      <w:r>
        <w:t>-</w:t>
      </w:r>
      <w:r w:rsidRPr="00457349">
        <w:t>funded abdominoplasty after significant weight loss or removal of an intra-abdominal or pelvic tumour.</w:t>
      </w:r>
    </w:p>
    <w:p w14:paraId="2778E21B" w14:textId="77777777" w:rsidR="00180202" w:rsidRDefault="00180202" w:rsidP="009555C2">
      <w:pPr>
        <w:spacing w:before="240"/>
      </w:pPr>
      <w:r>
        <w:t xml:space="preserve">ESC noted that in the pre-ESC response, the applicant </w:t>
      </w:r>
      <w:r w:rsidRPr="009A63A5">
        <w:t>consider</w:t>
      </w:r>
      <w:r>
        <w:t>ed</w:t>
      </w:r>
      <w:r w:rsidRPr="009A63A5">
        <w:t xml:space="preserve"> that the </w:t>
      </w:r>
      <w:r>
        <w:t>c</w:t>
      </w:r>
      <w:r w:rsidRPr="009A63A5">
        <w:t>ommentary overstate</w:t>
      </w:r>
      <w:r>
        <w:t>d</w:t>
      </w:r>
      <w:r w:rsidRPr="009A63A5">
        <w:t xml:space="preserve"> the risk of bias and that there is no evidence of systematic bias in the results presented in the </w:t>
      </w:r>
      <w:r>
        <w:t>resubmission</w:t>
      </w:r>
      <w:r w:rsidRPr="009A63A5">
        <w:t>.</w:t>
      </w:r>
    </w:p>
    <w:p w14:paraId="4B8C062D" w14:textId="77777777" w:rsidR="00180202" w:rsidRDefault="00180202" w:rsidP="009555C2">
      <w:pPr>
        <w:spacing w:before="240"/>
      </w:pPr>
      <w:r>
        <w:t xml:space="preserve">ESC considered it to be appropriate to have a </w:t>
      </w:r>
      <w:r w:rsidRPr="00F22D66">
        <w:t>separate and alternative item descriptor to 30117X</w:t>
      </w:r>
      <w:r>
        <w:t xml:space="preserve"> if the application is recommended for funding. ESC noted that the eligibility of the service is dependent on the rectus diastasis threshold ≥ 3cm and also that the patient is symptomatic (</w:t>
      </w:r>
      <w:r w:rsidRPr="001444C3">
        <w:t xml:space="preserve">i.e. have lower back pain and abdominal discomfort during functional use). </w:t>
      </w:r>
      <w:r>
        <w:t>ESC also noted that t</w:t>
      </w:r>
      <w:r w:rsidRPr="00F22D66">
        <w:t>he proposed MBS item descriptor does not include a criterion that a patient must have previously attempted conservative management. This additional condition could be written into the descriptor</w:t>
      </w:r>
      <w:r>
        <w:t>, which the applicant agreed to in the pre-ESC response. ESC considered that the duration of failure to conservative management should be specified, noting the related MBS item 30177 specifies a duration of 3 months for failed conventional (or non-surgical) treatment.</w:t>
      </w:r>
    </w:p>
    <w:p w14:paraId="06B63EE1" w14:textId="77777777" w:rsidR="00180202" w:rsidRDefault="00180202" w:rsidP="009555C2">
      <w:pPr>
        <w:spacing w:before="240"/>
      </w:pPr>
      <w:r>
        <w:t>ESC noted that clarity is needed on which procedure is being approved. The descriptor only describes the open procedure. ESC noted that, if the item is broadened to include other procedures, then it could lead to misuse.</w:t>
      </w:r>
    </w:p>
    <w:p w14:paraId="70C7C720" w14:textId="77777777" w:rsidR="00180202" w:rsidRDefault="00180202" w:rsidP="009555C2">
      <w:pPr>
        <w:spacing w:before="240"/>
      </w:pPr>
      <w:r>
        <w:t>ESC noted that the fee increase requested by the applicant from $985.70 to $1016.45 is in line with items 30176 and 30172. ESC also noted that the use of callipers might reduce the cost of imaging.</w:t>
      </w:r>
    </w:p>
    <w:p w14:paraId="401838B6" w14:textId="1B78C0C7" w:rsidR="00180202" w:rsidRDefault="00180202" w:rsidP="009555C2">
      <w:pPr>
        <w:spacing w:before="240"/>
      </w:pPr>
      <w:r>
        <w:t>ESC noted that there was very little difference between this item and the previous submission in terms of the economic analysis. The model is unchanged, but there was an increase in the timeframe, and the costs were updated. The utilities remained unchanged. However, ESC noted that the updated comparator is not reflected in the model.</w:t>
      </w:r>
    </w:p>
    <w:p w14:paraId="7C447D7F" w14:textId="77777777" w:rsidR="00180202" w:rsidRDefault="00180202" w:rsidP="00180202">
      <w:r>
        <w:lastRenderedPageBreak/>
        <w:t>ESC noted that t</w:t>
      </w:r>
      <w:r w:rsidRPr="00F22D66">
        <w:t>he time horizon has been extended in th</w:t>
      </w:r>
      <w:r>
        <w:t>is resubmission</w:t>
      </w:r>
      <w:r w:rsidRPr="00F22D66">
        <w:t>. This is appropriate from the perspective of the condition being a chronic condition with benefits to treatment accruing over a lifetime; however, there is considerable uncertainty regarding the clinical inputs and extrapolation of these over the longer time horizon.</w:t>
      </w:r>
    </w:p>
    <w:p w14:paraId="1D4C3926" w14:textId="77777777" w:rsidR="00180202" w:rsidRDefault="00180202" w:rsidP="009555C2">
      <w:pPr>
        <w:spacing w:before="240"/>
      </w:pPr>
      <w:r>
        <w:t>ESC noted that the updated costs of surgery and adverse events were reasonable. The c</w:t>
      </w:r>
      <w:r w:rsidRPr="00F22D66">
        <w:t>ost of best supportive care</w:t>
      </w:r>
      <w:r>
        <w:t xml:space="preserve"> increased</w:t>
      </w:r>
      <w:r w:rsidRPr="00F22D66">
        <w:t xml:space="preserve"> from $311 to $2,491</w:t>
      </w:r>
      <w:r>
        <w:t>, but ESC noted that this</w:t>
      </w:r>
      <w:r w:rsidRPr="00F22D66">
        <w:t xml:space="preserve"> cost should now be considered pre-surgery</w:t>
      </w:r>
      <w:r>
        <w:t>, not</w:t>
      </w:r>
      <w:r w:rsidRPr="00F22D66">
        <w:t xml:space="preserve"> </w:t>
      </w:r>
      <w:r>
        <w:t xml:space="preserve">the </w:t>
      </w:r>
      <w:r w:rsidRPr="00F22D66">
        <w:t>comparator.</w:t>
      </w:r>
      <w:r>
        <w:t xml:space="preserve"> Overall, ESC considered that the true ICER would be in between the $39,942 reported in the previous submission and the $6,951 reported in the resubmission.</w:t>
      </w:r>
    </w:p>
    <w:p w14:paraId="7C1C1205" w14:textId="77777777" w:rsidR="00180202" w:rsidRDefault="00180202" w:rsidP="009555C2">
      <w:pPr>
        <w:spacing w:before="240"/>
      </w:pPr>
      <w:r>
        <w:t>ESC noted that the p</w:t>
      </w:r>
      <w:r w:rsidRPr="00712133">
        <w:t>revious submission estimated the number of services to be 1,183</w:t>
      </w:r>
      <w:r>
        <w:t>–</w:t>
      </w:r>
      <w:r w:rsidRPr="00712133">
        <w:t>1,369</w:t>
      </w:r>
      <w:r>
        <w:t> </w:t>
      </w:r>
      <w:r w:rsidRPr="00712133">
        <w:t>per year</w:t>
      </w:r>
      <w:r>
        <w:t>, making the budget impact $</w:t>
      </w:r>
      <w:r w:rsidRPr="00712133">
        <w:t>1.46</w:t>
      </w:r>
      <w:r>
        <w:t>–</w:t>
      </w:r>
      <w:r w:rsidRPr="00712133">
        <w:t>1.69 million</w:t>
      </w:r>
      <w:r>
        <w:t xml:space="preserve"> per year. </w:t>
      </w:r>
      <w:r w:rsidRPr="00712133">
        <w:t xml:space="preserve">The </w:t>
      </w:r>
      <w:r>
        <w:t xml:space="preserve">new submission made some </w:t>
      </w:r>
      <w:r w:rsidRPr="00712133">
        <w:t xml:space="preserve">changes </w:t>
      </w:r>
      <w:r>
        <w:t xml:space="preserve">that </w:t>
      </w:r>
      <w:r w:rsidRPr="00712133">
        <w:t>result</w:t>
      </w:r>
      <w:r>
        <w:t>ed</w:t>
      </w:r>
      <w:r w:rsidRPr="00712133">
        <w:t xml:space="preserve"> in a reduction in number of surgeries to 567 to 656 over the </w:t>
      </w:r>
      <w:r>
        <w:t>5 </w:t>
      </w:r>
      <w:r w:rsidRPr="00712133">
        <w:t>years and cost of $635,937 to $736,261</w:t>
      </w:r>
      <w:r>
        <w:t>, which is</w:t>
      </w:r>
      <w:r w:rsidRPr="00712133">
        <w:t xml:space="preserve"> approximately half that of previous</w:t>
      </w:r>
      <w:r>
        <w:t xml:space="preserve"> submission. However, ESC noted that the </w:t>
      </w:r>
      <w:r w:rsidRPr="00712133">
        <w:t>commentary suggest</w:t>
      </w:r>
      <w:r>
        <w:t>ed</w:t>
      </w:r>
      <w:r w:rsidRPr="00712133">
        <w:t xml:space="preserve"> </w:t>
      </w:r>
      <w:r>
        <w:t xml:space="preserve">that the </w:t>
      </w:r>
      <w:r w:rsidRPr="00712133">
        <w:t xml:space="preserve">rate of surgery is uncertain and more likely to be closer to the </w:t>
      </w:r>
      <w:r>
        <w:t>previous</w:t>
      </w:r>
      <w:r w:rsidRPr="00712133">
        <w:t xml:space="preserve"> submission. Updated estimates in the commentary indicate 1.28 to 1.54 million over </w:t>
      </w:r>
      <w:r>
        <w:t>5 </w:t>
      </w:r>
      <w:r w:rsidRPr="00712133">
        <w:t>years</w:t>
      </w:r>
      <w:r>
        <w:t xml:space="preserve"> </w:t>
      </w:r>
      <w:r w:rsidRPr="00712133">
        <w:t>(</w:t>
      </w:r>
      <w:r>
        <w:t>see Table 12</w:t>
      </w:r>
      <w:r w:rsidRPr="00712133">
        <w:t>).</w:t>
      </w:r>
    </w:p>
    <w:p w14:paraId="12425A9B" w14:textId="77777777" w:rsidR="00180202" w:rsidRDefault="00180202" w:rsidP="009555C2">
      <w:pPr>
        <w:spacing w:before="240"/>
      </w:pPr>
      <w:r>
        <w:t>ESC noted there is minimal bulk billing for this procedure and that substantial out-of-pocket costs will remain. ESC also noted the consumer issues related to the potential ongoing costs resulting from a loss of work and the extra help needed. There is also an accessibility issue when considering access to physiotherapy in rural and regional areas.</w:t>
      </w:r>
    </w:p>
    <w:p w14:paraId="44585A8C" w14:textId="77777777" w:rsidR="00180202" w:rsidRDefault="00180202" w:rsidP="009555C2">
      <w:pPr>
        <w:spacing w:before="240"/>
      </w:pPr>
      <w:r>
        <w:t>ESC noted that s</w:t>
      </w:r>
      <w:r w:rsidRPr="00AD0580">
        <w:t>tudies cited by the applicant include a high proportion of patients with hernias</w:t>
      </w:r>
      <w:r>
        <w:t>, and that</w:t>
      </w:r>
      <w:r w:rsidRPr="00AD0580">
        <w:t xml:space="preserve"> </w:t>
      </w:r>
      <w:r>
        <w:t>t</w:t>
      </w:r>
      <w:r w:rsidRPr="00AD0580">
        <w:t>here are existing MBS items for the repair of ventral hernias (MBS items 30403 and 30405) and umbilical or linea alba hernias (MBS item 30621)</w:t>
      </w:r>
      <w:r>
        <w:t xml:space="preserve"> and questioned whether there should be </w:t>
      </w:r>
      <w:r w:rsidRPr="00AD0580">
        <w:t>additional co-claiming blocks with items 30403, 30405 and 30621 in the proposed item descriptor</w:t>
      </w:r>
      <w:r>
        <w:t xml:space="preserve">. ESC noted the pre-ESC response advising that hernias that are present in patients with postpartum abdominal rectus diastasis would be repaired at the same time as the abdominoplasty procedure. ESC considered that surgical repair of rectus </w:t>
      </w:r>
      <w:r w:rsidRPr="00D80E43">
        <w:t>diastasis</w:t>
      </w:r>
      <w:r>
        <w:t xml:space="preserve"> would repair the midline hernia and that a co-claiming block may need to apply. However, ESC noted that for repair of non-midline hernias such as inguinal and femoral hernias, then the multiple operation rule would apply. ESC asked the Department to seek clinical advice to amend the descriptor as required.</w:t>
      </w:r>
    </w:p>
    <w:p w14:paraId="03E5C7C9" w14:textId="77777777" w:rsidR="00180202" w:rsidRDefault="00180202" w:rsidP="009555C2">
      <w:pPr>
        <w:spacing w:before="240"/>
      </w:pPr>
      <w:r>
        <w:t>ESC discussed whether the procedure could be performed in the public hospital system, and claimed on the MBS if a private patient. ESC noted this may occur, but likely only in small numbers of patients.</w:t>
      </w:r>
    </w:p>
    <w:p w14:paraId="73F1A586" w14:textId="47D5F388" w:rsidR="00180202" w:rsidRPr="00180202" w:rsidRDefault="00180202" w:rsidP="009555C2">
      <w:pPr>
        <w:spacing w:before="240"/>
      </w:pPr>
      <w:r>
        <w:t xml:space="preserve">ESC recalled that at the previous MSAC meeting, it was stated that there is no physiological basis for </w:t>
      </w:r>
      <w:r w:rsidRPr="00D80E43">
        <w:t xml:space="preserve">rectus diastasis </w:t>
      </w:r>
      <w:r>
        <w:t>causing pain. However, ESC noted that intra-abdominal pressure reduces disc loads, as well as intradiscal pressure especially at large flexion angles (Liu et al. 2019</w:t>
      </w:r>
      <w:r>
        <w:rPr>
          <w:rStyle w:val="FootnoteReference"/>
        </w:rPr>
        <w:footnoteReference w:id="10"/>
      </w:r>
      <w:r>
        <w:t xml:space="preserve">). ESC discussed that in the absence of a rectus diastasis, the abdominal wall enables an increase in intra-abdominal pressure, and thus considered that a person with </w:t>
      </w:r>
      <w:r w:rsidRPr="00D80E43">
        <w:t xml:space="preserve">rectus diastasis </w:t>
      </w:r>
      <w:r>
        <w:t>may not be able to generate the adequate intra-abdominal pressure needed to support their back.</w:t>
      </w:r>
    </w:p>
    <w:p w14:paraId="427CC9C3" w14:textId="75EC7475" w:rsidR="00180202" w:rsidRDefault="00180202" w:rsidP="00BD6C4E">
      <w:pPr>
        <w:pStyle w:val="Heading1"/>
        <w:rPr>
          <w:rFonts w:ascii="Arial" w:hAnsi="Arial" w:cs="Arial"/>
        </w:rPr>
      </w:pPr>
      <w:r>
        <w:rPr>
          <w:rFonts w:ascii="Arial" w:hAnsi="Arial" w:cs="Arial"/>
        </w:rPr>
        <w:lastRenderedPageBreak/>
        <w:t>Other significant factors</w:t>
      </w:r>
    </w:p>
    <w:p w14:paraId="0B3C945C" w14:textId="5097979D" w:rsidR="00180202" w:rsidRPr="00180202" w:rsidRDefault="00180202" w:rsidP="00180202">
      <w:pPr>
        <w:pStyle w:val="Heading1"/>
        <w:numPr>
          <w:ilvl w:val="0"/>
          <w:numId w:val="0"/>
        </w:numPr>
        <w:spacing w:before="240" w:after="240"/>
        <w:rPr>
          <w:rFonts w:ascii="Arial" w:hAnsi="Arial" w:cs="Arial"/>
          <w:b w:val="0"/>
          <w:bCs w:val="0"/>
          <w:iCs/>
        </w:rPr>
      </w:pPr>
      <w:r w:rsidRPr="00180202">
        <w:rPr>
          <w:b w:val="0"/>
          <w:bCs w:val="0"/>
          <w:iCs/>
          <w:szCs w:val="24"/>
        </w:rPr>
        <w:t>Nil</w:t>
      </w:r>
      <w:r w:rsidR="008E3A07">
        <w:rPr>
          <w:b w:val="0"/>
          <w:bCs w:val="0"/>
          <w:iCs/>
          <w:szCs w:val="24"/>
        </w:rPr>
        <w:t>.</w:t>
      </w:r>
    </w:p>
    <w:p w14:paraId="0715CD79" w14:textId="6C357FAF" w:rsidR="00180202" w:rsidRDefault="00180202" w:rsidP="00BD6C4E">
      <w:pPr>
        <w:pStyle w:val="Heading1"/>
        <w:rPr>
          <w:rFonts w:ascii="Arial" w:hAnsi="Arial" w:cs="Arial"/>
        </w:rPr>
      </w:pPr>
      <w:r>
        <w:rPr>
          <w:rFonts w:ascii="Arial" w:hAnsi="Arial" w:cs="Arial"/>
        </w:rPr>
        <w:t>Applicant comments on MSAC’s Public Summary Document</w:t>
      </w:r>
    </w:p>
    <w:p w14:paraId="502B4870" w14:textId="65678736" w:rsidR="0079343A" w:rsidRPr="00CC3E12" w:rsidRDefault="0079343A" w:rsidP="0060721C">
      <w:pPr>
        <w:spacing w:before="240" w:after="240"/>
        <w:rPr>
          <w:szCs w:val="24"/>
        </w:rPr>
      </w:pPr>
      <w:r w:rsidRPr="00085755">
        <w:rPr>
          <w:szCs w:val="24"/>
        </w:rPr>
        <w:t>ASPS notes the deliberations of MSAC and is pleased that women who have symptoms related to rectus diastasis following pregnancy can once again access appropriate services.</w:t>
      </w:r>
    </w:p>
    <w:p w14:paraId="1C04E2D0" w14:textId="478409C8" w:rsidR="00180202" w:rsidRDefault="00180202" w:rsidP="00BD6C4E">
      <w:pPr>
        <w:pStyle w:val="Heading1"/>
        <w:rPr>
          <w:rFonts w:ascii="Arial" w:hAnsi="Arial" w:cs="Arial"/>
        </w:rPr>
      </w:pPr>
      <w:r>
        <w:rPr>
          <w:rFonts w:ascii="Arial" w:hAnsi="Arial" w:cs="Arial"/>
        </w:rPr>
        <w:t>Further information on MSAC</w:t>
      </w:r>
    </w:p>
    <w:p w14:paraId="3D3CC1A1" w14:textId="2BC221A2" w:rsidR="007D0728" w:rsidRPr="009555C2" w:rsidRDefault="00180202" w:rsidP="009555C2">
      <w:pPr>
        <w:spacing w:before="240" w:after="240"/>
        <w:rPr>
          <w:szCs w:val="24"/>
        </w:rPr>
      </w:pPr>
      <w:r w:rsidRPr="00F715D1">
        <w:rPr>
          <w:szCs w:val="24"/>
        </w:rPr>
        <w:t xml:space="preserve">MSAC Terms of Reference and other information are available on the MSAC Website: </w:t>
      </w:r>
      <w:r>
        <w:rPr>
          <w:szCs w:val="24"/>
        </w:rPr>
        <w:br/>
      </w:r>
      <w:hyperlink r:id="rId14" w:tooltip="Link to Medical Services Advisory Committee website" w:history="1">
        <w:r w:rsidRPr="00F715D1">
          <w:rPr>
            <w:rStyle w:val="Hyperlink"/>
            <w:szCs w:val="24"/>
          </w:rPr>
          <w:t>visit the MSAC website</w:t>
        </w:r>
      </w:hyperlink>
    </w:p>
    <w:sectPr w:rsidR="007D0728" w:rsidRPr="009555C2" w:rsidSect="00342FAC">
      <w:footerReference w:type="default" r:id="rId15"/>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D7AA8" w14:textId="77777777" w:rsidR="00067DFA" w:rsidRDefault="00067DFA" w:rsidP="00065623">
      <w:r>
        <w:separator/>
      </w:r>
    </w:p>
  </w:endnote>
  <w:endnote w:type="continuationSeparator" w:id="0">
    <w:p w14:paraId="69BE4675" w14:textId="77777777" w:rsidR="00067DFA" w:rsidRDefault="00067DFA"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773568"/>
      <w:docPartObj>
        <w:docPartGallery w:val="Page Numbers (Bottom of Page)"/>
        <w:docPartUnique/>
      </w:docPartObj>
    </w:sdtPr>
    <w:sdtEndPr>
      <w:rPr>
        <w:noProof/>
      </w:rPr>
    </w:sdtEndPr>
    <w:sdtContent>
      <w:p w14:paraId="57D6A905" w14:textId="2F713115" w:rsidR="0079343A" w:rsidRDefault="0079343A">
        <w:pPr>
          <w:pStyle w:val="Footer"/>
          <w:jc w:val="right"/>
        </w:pPr>
        <w:r>
          <w:fldChar w:fldCharType="begin"/>
        </w:r>
        <w:r>
          <w:instrText xml:space="preserve"> PAGE   \* MERGEFORMAT </w:instrText>
        </w:r>
        <w:r>
          <w:fldChar w:fldCharType="separate"/>
        </w:r>
        <w:r w:rsidR="00867ADF">
          <w:rPr>
            <w:noProof/>
          </w:rPr>
          <w:t>2</w:t>
        </w:r>
        <w:r>
          <w:rPr>
            <w:noProof/>
          </w:rPr>
          <w:fldChar w:fldCharType="end"/>
        </w:r>
      </w:p>
    </w:sdtContent>
  </w:sdt>
  <w:p w14:paraId="611F0B18" w14:textId="77777777" w:rsidR="0079343A" w:rsidRDefault="00793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4D894" w14:textId="77777777" w:rsidR="00067DFA" w:rsidRDefault="00067DFA" w:rsidP="00065623">
      <w:r>
        <w:separator/>
      </w:r>
    </w:p>
  </w:footnote>
  <w:footnote w:type="continuationSeparator" w:id="0">
    <w:p w14:paraId="5C1B3D77" w14:textId="77777777" w:rsidR="00067DFA" w:rsidRDefault="00067DFA" w:rsidP="00065623">
      <w:r>
        <w:continuationSeparator/>
      </w:r>
    </w:p>
  </w:footnote>
  <w:footnote w:id="1">
    <w:p w14:paraId="54A1C888" w14:textId="3997B70E" w:rsidR="0079343A" w:rsidRDefault="0079343A">
      <w:pPr>
        <w:pStyle w:val="FootnoteText"/>
      </w:pPr>
      <w:r>
        <w:rPr>
          <w:rStyle w:val="FootnoteReference"/>
        </w:rPr>
        <w:footnoteRef/>
      </w:r>
      <w:r>
        <w:t xml:space="preserve"> </w:t>
      </w:r>
      <w:r w:rsidRPr="00C17FE2">
        <w:t>Carlstedt, A., Bringman, S., Egberth, M., Emanuelsson, P., Olsson, A., Petersson, U., Pålstedt, J., Sandblom, G., Sjödahl, R., &amp; Stark, B. (2020). Management of Diastasis of the Rectus Abdominis Muscles: Recommendations for Swedish National Guidelines. Scandinavian Journal of Surgery, 1457496920961000.</w:t>
      </w:r>
    </w:p>
  </w:footnote>
  <w:footnote w:id="2">
    <w:p w14:paraId="59B0BEFC" w14:textId="77777777" w:rsidR="0079343A" w:rsidRDefault="0079343A" w:rsidP="007D0728">
      <w:pPr>
        <w:pStyle w:val="FootnoteText"/>
      </w:pPr>
      <w:r>
        <w:rPr>
          <w:rStyle w:val="FootnoteReference"/>
        </w:rPr>
        <w:footnoteRef/>
      </w:r>
      <w:r>
        <w:t xml:space="preserve"> </w:t>
      </w:r>
      <w:r w:rsidRPr="002F77E5">
        <w:t>Mommers, EH, Ponten, JE, et al. (2017). "The general surgeon’s perspective of rectus diastasis. A systematic review of treatment options." Surgical endoscopy 31(12): 4934-4949.</w:t>
      </w:r>
    </w:p>
  </w:footnote>
  <w:footnote w:id="3">
    <w:p w14:paraId="1C8A72FA" w14:textId="2FF87EF6" w:rsidR="0079343A" w:rsidRDefault="0079343A">
      <w:pPr>
        <w:pStyle w:val="FootnoteText"/>
      </w:pPr>
      <w:r>
        <w:rPr>
          <w:rStyle w:val="FootnoteReference"/>
        </w:rPr>
        <w:footnoteRef/>
      </w:r>
      <w:r>
        <w:t xml:space="preserve"> </w:t>
      </w:r>
      <w:r w:rsidRPr="00736B0C">
        <w:t>Emanuelsson, P, Gunnarsson, U, et al. (2016). "Operative correction of abdominal rectus diastasis (ARD) reduces pain and improves abdominal wall muscle strength: A randomized, prospective trial comparing retromuscular mesh repair to double-row, self-retaining sutures." Surgery 160(5): 1367-1375.</w:t>
      </w:r>
    </w:p>
    <w:p w14:paraId="377F526F" w14:textId="588D9874" w:rsidR="0079343A" w:rsidRDefault="0079343A">
      <w:pPr>
        <w:pStyle w:val="FootnoteText"/>
      </w:pPr>
      <w:r w:rsidRPr="00736B0C">
        <w:t>Emanuelsson, P, Gunnarsson, U, et al. (2014). "Early complications, pain, and quality of life after reconstructive surgery for abdominal rectus muscle diastasis: a 3-month follow-up." Journal of plastic, reconstructive &amp; aesthetic surgery 67(8): 1082-1088.</w:t>
      </w:r>
    </w:p>
    <w:p w14:paraId="4B1E6C7D" w14:textId="6BEC60BB" w:rsidR="0079343A" w:rsidRDefault="0079343A">
      <w:pPr>
        <w:pStyle w:val="FootnoteText"/>
      </w:pPr>
      <w:r w:rsidRPr="001D0D5C">
        <w:t>Swedenhammar, E, Strigard, K, et al. (2020). "Long-term follow-up after surgical repair of abdominal rectus diastasis: a prospective randomized study." Scandinavian journal of surgery : SJS : official organ for the Finnish Surgical Society and the Scandinavian Surgical Society: 1457496920913677.</w:t>
      </w:r>
    </w:p>
  </w:footnote>
  <w:footnote w:id="4">
    <w:p w14:paraId="5893908F" w14:textId="7F452277" w:rsidR="0079343A" w:rsidRDefault="0079343A">
      <w:pPr>
        <w:pStyle w:val="FootnoteText"/>
      </w:pPr>
      <w:r>
        <w:rPr>
          <w:rStyle w:val="FootnoteReference"/>
        </w:rPr>
        <w:footnoteRef/>
      </w:r>
      <w:r>
        <w:t xml:space="preserve"> </w:t>
      </w:r>
      <w:r w:rsidRPr="001D0D5C">
        <w:t>Taylor, DA, Merten, SL, et al. (2018). "Abdominoplasty improves low back pain and urinary incontinence." Plastic and reconstructive surgery 141(3): 637-645.</w:t>
      </w:r>
    </w:p>
  </w:footnote>
  <w:footnote w:id="5">
    <w:p w14:paraId="3CD53E78" w14:textId="18FE775B" w:rsidR="0079343A" w:rsidRDefault="0079343A">
      <w:pPr>
        <w:pStyle w:val="FootnoteText"/>
      </w:pPr>
      <w:r>
        <w:rPr>
          <w:rStyle w:val="FootnoteReference"/>
        </w:rPr>
        <w:footnoteRef/>
      </w:r>
      <w:r>
        <w:t xml:space="preserve"> </w:t>
      </w:r>
      <w:r w:rsidRPr="001D0D5C">
        <w:t>Olsson, A, Kiwanuka, O, et al. (2019). "Cohort study of the effect of surgical repair of symptomatic diastasis recti abdominis on abdominal trunk function and quality of life." BJS Open 3(6): 750-758.</w:t>
      </w:r>
    </w:p>
  </w:footnote>
  <w:footnote w:id="6">
    <w:p w14:paraId="762DC392" w14:textId="5D5B9D87" w:rsidR="0079343A" w:rsidRDefault="0079343A">
      <w:pPr>
        <w:pStyle w:val="FootnoteText"/>
      </w:pPr>
      <w:r>
        <w:rPr>
          <w:rStyle w:val="FootnoteReference"/>
        </w:rPr>
        <w:footnoteRef/>
      </w:r>
      <w:r>
        <w:t xml:space="preserve"> </w:t>
      </w:r>
      <w:r w:rsidRPr="001D0D5C">
        <w:t>Carrara, A, Catarci, M, et al. (2020). "Prospective observational study of abdominal wall reconstruction with THT technique in primary midline defects with diastasis recti: clinical and functional outcomes in 110 consecutive patients." Surgical Endoscopy.</w:t>
      </w:r>
    </w:p>
  </w:footnote>
  <w:footnote w:id="7">
    <w:p w14:paraId="180AF2C2" w14:textId="17CF7760" w:rsidR="0079343A" w:rsidRDefault="0079343A">
      <w:pPr>
        <w:pStyle w:val="FootnoteText"/>
      </w:pPr>
      <w:r>
        <w:rPr>
          <w:rStyle w:val="FootnoteReference"/>
        </w:rPr>
        <w:footnoteRef/>
      </w:r>
      <w:r>
        <w:t xml:space="preserve"> </w:t>
      </w:r>
      <w:r w:rsidRPr="001D0D5C">
        <w:t>Fiori, F, Ferrara, F, et al. (2020). "Surgical treatment of diastasis recti: the importance of an overall view of the problem." Hernia: 1-12.</w:t>
      </w:r>
    </w:p>
  </w:footnote>
  <w:footnote w:id="8">
    <w:p w14:paraId="6E7A9867" w14:textId="0410C460" w:rsidR="0079343A" w:rsidRDefault="0079343A">
      <w:pPr>
        <w:pStyle w:val="FootnoteText"/>
      </w:pPr>
      <w:r>
        <w:rPr>
          <w:rStyle w:val="FootnoteReference"/>
        </w:rPr>
        <w:footnoteRef/>
      </w:r>
      <w:r>
        <w:t xml:space="preserve"> </w:t>
      </w:r>
      <w:r w:rsidRPr="00EB621A">
        <w:t>Barber, M. D., Spino, C., Janz, N. K., Brubaker, L., Nygaard, I., Nager, C. W., Wheeler, T. L., &amp; Network, P. F. D. (2009). The minimum important differences for the urinary scales of the Pelvic Floor Distress Inventory and Pelvic Floor Impact Questionnaire. American journal of obstetrics and gynecology, 200(5), 580. e581-580. e587.</w:t>
      </w:r>
    </w:p>
  </w:footnote>
  <w:footnote w:id="9">
    <w:p w14:paraId="0B0C35A3" w14:textId="7F600C59" w:rsidR="0079343A" w:rsidRDefault="0079343A">
      <w:pPr>
        <w:pStyle w:val="FootnoteText"/>
      </w:pPr>
      <w:r>
        <w:rPr>
          <w:rStyle w:val="FootnoteReference"/>
        </w:rPr>
        <w:footnoteRef/>
      </w:r>
      <w:r>
        <w:t xml:space="preserve"> </w:t>
      </w:r>
      <w:r w:rsidRPr="00EB621A">
        <w:t>Skorupska, K., Grzybowska, M. E., Kubik-Komar, A., Rechberger, T., &amp; Miotla, P. (2021). Identification of the Urogenital Distress Inventory-6 and the Incontinence Impact Questionnaire-7 cutoff scores in urinary incontinent women. Health and quality of life outcomes, 19(1), 1-6.</w:t>
      </w:r>
    </w:p>
  </w:footnote>
  <w:footnote w:id="10">
    <w:p w14:paraId="36E12AB0" w14:textId="77777777" w:rsidR="0079343A" w:rsidRDefault="0079343A" w:rsidP="00180202">
      <w:pPr>
        <w:pStyle w:val="FootnoteText"/>
      </w:pPr>
      <w:r>
        <w:rPr>
          <w:rStyle w:val="FootnoteReference"/>
        </w:rPr>
        <w:footnoteRef/>
      </w:r>
      <w:r>
        <w:t xml:space="preserve"> </w:t>
      </w:r>
      <w:r w:rsidRPr="00D539E4">
        <w:t>Liu T, Khalaf K, Adeeb S, El-Rich M. Numerical Investigation of Intra-abdominal Pressure Effects on Spinal Loads and Load-Sharing in Forward Flexion. Front Bioeng Biotechnol. 2019 Dec 17;7:428. doi: 10.3389/fbioe.2019.00428. PMID: 31921829; PMCID: PMC6928040.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E3E47"/>
    <w:multiLevelType w:val="hybridMultilevel"/>
    <w:tmpl w:val="6DD26E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43733"/>
    <w:multiLevelType w:val="hybridMultilevel"/>
    <w:tmpl w:val="CEB6B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62D24"/>
    <w:multiLevelType w:val="hybridMultilevel"/>
    <w:tmpl w:val="E780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002F2E"/>
    <w:multiLevelType w:val="hybridMultilevel"/>
    <w:tmpl w:val="6790924E"/>
    <w:lvl w:ilvl="0" w:tplc="BF1AE7DE">
      <w:start w:val="1"/>
      <w:numFmt w:val="bullet"/>
      <w:lvlText w:val="-"/>
      <w:lvlJc w:val="left"/>
      <w:pPr>
        <w:ind w:left="1335" w:hanging="360"/>
      </w:pPr>
      <w:rPr>
        <w:rFonts w:ascii="Arial" w:eastAsia="Times New Roman" w:hAnsi="Arial" w:cs="Aria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5" w15:restartNumberingAfterBreak="0">
    <w:nsid w:val="154A75B5"/>
    <w:multiLevelType w:val="hybridMultilevel"/>
    <w:tmpl w:val="E3F02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AE421E"/>
    <w:multiLevelType w:val="hybridMultilevel"/>
    <w:tmpl w:val="6382EA38"/>
    <w:lvl w:ilvl="0" w:tplc="FB7A37EE">
      <w:start w:val="1"/>
      <w:numFmt w:val="bullet"/>
      <w:lvlText w:val=""/>
      <w:lvlJc w:val="left"/>
      <w:pPr>
        <w:tabs>
          <w:tab w:val="num" w:pos="360"/>
        </w:tabs>
        <w:ind w:left="360" w:hanging="360"/>
      </w:pPr>
      <w:rPr>
        <w:rFonts w:ascii="Symbol" w:hAnsi="Symbol" w:hint="default"/>
        <w:color w:val="3366FF"/>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21176A"/>
    <w:multiLevelType w:val="hybridMultilevel"/>
    <w:tmpl w:val="F70C1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4174B8"/>
    <w:multiLevelType w:val="hybridMultilevel"/>
    <w:tmpl w:val="EE7CCC98"/>
    <w:lvl w:ilvl="0" w:tplc="5B50A8D2">
      <w:start w:val="1"/>
      <w:numFmt w:val="bullet"/>
      <w:lvlText w:val="•"/>
      <w:lvlJc w:val="left"/>
      <w:pPr>
        <w:tabs>
          <w:tab w:val="num" w:pos="720"/>
        </w:tabs>
        <w:ind w:left="720" w:hanging="360"/>
      </w:pPr>
      <w:rPr>
        <w:rFonts w:ascii="Arial" w:hAnsi="Arial" w:hint="default"/>
      </w:rPr>
    </w:lvl>
    <w:lvl w:ilvl="1" w:tplc="F560F94A" w:tentative="1">
      <w:start w:val="1"/>
      <w:numFmt w:val="bullet"/>
      <w:lvlText w:val="•"/>
      <w:lvlJc w:val="left"/>
      <w:pPr>
        <w:tabs>
          <w:tab w:val="num" w:pos="1440"/>
        </w:tabs>
        <w:ind w:left="1440" w:hanging="360"/>
      </w:pPr>
      <w:rPr>
        <w:rFonts w:ascii="Arial" w:hAnsi="Arial" w:hint="default"/>
      </w:rPr>
    </w:lvl>
    <w:lvl w:ilvl="2" w:tplc="2174CABC" w:tentative="1">
      <w:start w:val="1"/>
      <w:numFmt w:val="bullet"/>
      <w:lvlText w:val="•"/>
      <w:lvlJc w:val="left"/>
      <w:pPr>
        <w:tabs>
          <w:tab w:val="num" w:pos="2160"/>
        </w:tabs>
        <w:ind w:left="2160" w:hanging="360"/>
      </w:pPr>
      <w:rPr>
        <w:rFonts w:ascii="Arial" w:hAnsi="Arial" w:hint="default"/>
      </w:rPr>
    </w:lvl>
    <w:lvl w:ilvl="3" w:tplc="2410DBB4" w:tentative="1">
      <w:start w:val="1"/>
      <w:numFmt w:val="bullet"/>
      <w:lvlText w:val="•"/>
      <w:lvlJc w:val="left"/>
      <w:pPr>
        <w:tabs>
          <w:tab w:val="num" w:pos="2880"/>
        </w:tabs>
        <w:ind w:left="2880" w:hanging="360"/>
      </w:pPr>
      <w:rPr>
        <w:rFonts w:ascii="Arial" w:hAnsi="Arial" w:hint="default"/>
      </w:rPr>
    </w:lvl>
    <w:lvl w:ilvl="4" w:tplc="2CF88FE2" w:tentative="1">
      <w:start w:val="1"/>
      <w:numFmt w:val="bullet"/>
      <w:lvlText w:val="•"/>
      <w:lvlJc w:val="left"/>
      <w:pPr>
        <w:tabs>
          <w:tab w:val="num" w:pos="3600"/>
        </w:tabs>
        <w:ind w:left="3600" w:hanging="360"/>
      </w:pPr>
      <w:rPr>
        <w:rFonts w:ascii="Arial" w:hAnsi="Arial" w:hint="default"/>
      </w:rPr>
    </w:lvl>
    <w:lvl w:ilvl="5" w:tplc="7C36BD1C" w:tentative="1">
      <w:start w:val="1"/>
      <w:numFmt w:val="bullet"/>
      <w:lvlText w:val="•"/>
      <w:lvlJc w:val="left"/>
      <w:pPr>
        <w:tabs>
          <w:tab w:val="num" w:pos="4320"/>
        </w:tabs>
        <w:ind w:left="4320" w:hanging="360"/>
      </w:pPr>
      <w:rPr>
        <w:rFonts w:ascii="Arial" w:hAnsi="Arial" w:hint="default"/>
      </w:rPr>
    </w:lvl>
    <w:lvl w:ilvl="6" w:tplc="72B61110" w:tentative="1">
      <w:start w:val="1"/>
      <w:numFmt w:val="bullet"/>
      <w:lvlText w:val="•"/>
      <w:lvlJc w:val="left"/>
      <w:pPr>
        <w:tabs>
          <w:tab w:val="num" w:pos="5040"/>
        </w:tabs>
        <w:ind w:left="5040" w:hanging="360"/>
      </w:pPr>
      <w:rPr>
        <w:rFonts w:ascii="Arial" w:hAnsi="Arial" w:hint="default"/>
      </w:rPr>
    </w:lvl>
    <w:lvl w:ilvl="7" w:tplc="0EC29300" w:tentative="1">
      <w:start w:val="1"/>
      <w:numFmt w:val="bullet"/>
      <w:lvlText w:val="•"/>
      <w:lvlJc w:val="left"/>
      <w:pPr>
        <w:tabs>
          <w:tab w:val="num" w:pos="5760"/>
        </w:tabs>
        <w:ind w:left="5760" w:hanging="360"/>
      </w:pPr>
      <w:rPr>
        <w:rFonts w:ascii="Arial" w:hAnsi="Arial" w:hint="default"/>
      </w:rPr>
    </w:lvl>
    <w:lvl w:ilvl="8" w:tplc="CFC2054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4" w15:restartNumberingAfterBreak="0">
    <w:nsid w:val="45F473A9"/>
    <w:multiLevelType w:val="hybridMultilevel"/>
    <w:tmpl w:val="C8FE2AF8"/>
    <w:lvl w:ilvl="0" w:tplc="57F61106">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123FED"/>
    <w:multiLevelType w:val="hybridMultilevel"/>
    <w:tmpl w:val="EA3818A2"/>
    <w:lvl w:ilvl="0" w:tplc="64BE4998">
      <w:start w:val="1"/>
      <w:numFmt w:val="bullet"/>
      <w:lvlText w:val=""/>
      <w:lvlJc w:val="left"/>
      <w:pPr>
        <w:tabs>
          <w:tab w:val="num" w:pos="1080"/>
        </w:tabs>
        <w:ind w:left="1080" w:hanging="360"/>
      </w:pPr>
      <w:rPr>
        <w:rFonts w:ascii="Symbol" w:hAnsi="Symbol" w:hint="default"/>
        <w:color w:val="3366FF"/>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F233FC5"/>
    <w:multiLevelType w:val="hybridMultilevel"/>
    <w:tmpl w:val="540EF4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387448"/>
    <w:multiLevelType w:val="multilevel"/>
    <w:tmpl w:val="B22A93B6"/>
    <w:numStyleLink w:val="Heading1a"/>
  </w:abstractNum>
  <w:abstractNum w:abstractNumId="18"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082CA2"/>
    <w:multiLevelType w:val="hybridMultilevel"/>
    <w:tmpl w:val="B5680558"/>
    <w:lvl w:ilvl="0" w:tplc="B0DA2C7E">
      <w:start w:val="1"/>
      <w:numFmt w:val="bullet"/>
      <w:lvlText w:val=""/>
      <w:lvlJc w:val="left"/>
      <w:pPr>
        <w:ind w:left="720" w:hanging="360"/>
      </w:pPr>
      <w:rPr>
        <w:rFonts w:ascii="Symbol" w:hAnsi="Symbol" w:hint="default"/>
      </w:rPr>
    </w:lvl>
    <w:lvl w:ilvl="1" w:tplc="3412F0B6">
      <w:start w:val="1"/>
      <w:numFmt w:val="bullet"/>
      <w:lvlText w:val="-"/>
      <w:lvlJc w:val="left"/>
      <w:pPr>
        <w:ind w:left="1440" w:hanging="360"/>
      </w:pPr>
      <w:rPr>
        <w:rFonts w:ascii="Arial" w:eastAsia="Times New Roman" w:hAnsi="Arial" w:cs="Arial" w:hint="default"/>
      </w:rPr>
    </w:lvl>
    <w:lvl w:ilvl="2" w:tplc="0A2C92E8" w:tentative="1">
      <w:start w:val="1"/>
      <w:numFmt w:val="bullet"/>
      <w:lvlText w:val=""/>
      <w:lvlJc w:val="left"/>
      <w:pPr>
        <w:ind w:left="2160" w:hanging="360"/>
      </w:pPr>
      <w:rPr>
        <w:rFonts w:ascii="Wingdings" w:hAnsi="Wingdings" w:hint="default"/>
      </w:rPr>
    </w:lvl>
    <w:lvl w:ilvl="3" w:tplc="51E06328" w:tentative="1">
      <w:start w:val="1"/>
      <w:numFmt w:val="bullet"/>
      <w:lvlText w:val=""/>
      <w:lvlJc w:val="left"/>
      <w:pPr>
        <w:ind w:left="2880" w:hanging="360"/>
      </w:pPr>
      <w:rPr>
        <w:rFonts w:ascii="Symbol" w:hAnsi="Symbol" w:hint="default"/>
      </w:rPr>
    </w:lvl>
    <w:lvl w:ilvl="4" w:tplc="55121EB0" w:tentative="1">
      <w:start w:val="1"/>
      <w:numFmt w:val="bullet"/>
      <w:lvlText w:val="o"/>
      <w:lvlJc w:val="left"/>
      <w:pPr>
        <w:ind w:left="3600" w:hanging="360"/>
      </w:pPr>
      <w:rPr>
        <w:rFonts w:ascii="Courier New" w:hAnsi="Courier New" w:cs="Courier New" w:hint="default"/>
      </w:rPr>
    </w:lvl>
    <w:lvl w:ilvl="5" w:tplc="C0BC6618" w:tentative="1">
      <w:start w:val="1"/>
      <w:numFmt w:val="bullet"/>
      <w:lvlText w:val=""/>
      <w:lvlJc w:val="left"/>
      <w:pPr>
        <w:ind w:left="4320" w:hanging="360"/>
      </w:pPr>
      <w:rPr>
        <w:rFonts w:ascii="Wingdings" w:hAnsi="Wingdings" w:hint="default"/>
      </w:rPr>
    </w:lvl>
    <w:lvl w:ilvl="6" w:tplc="2C762004" w:tentative="1">
      <w:start w:val="1"/>
      <w:numFmt w:val="bullet"/>
      <w:lvlText w:val=""/>
      <w:lvlJc w:val="left"/>
      <w:pPr>
        <w:ind w:left="5040" w:hanging="360"/>
      </w:pPr>
      <w:rPr>
        <w:rFonts w:ascii="Symbol" w:hAnsi="Symbol" w:hint="default"/>
      </w:rPr>
    </w:lvl>
    <w:lvl w:ilvl="7" w:tplc="AAE0D5E4" w:tentative="1">
      <w:start w:val="1"/>
      <w:numFmt w:val="bullet"/>
      <w:lvlText w:val="o"/>
      <w:lvlJc w:val="left"/>
      <w:pPr>
        <w:ind w:left="5760" w:hanging="360"/>
      </w:pPr>
      <w:rPr>
        <w:rFonts w:ascii="Courier New" w:hAnsi="Courier New" w:cs="Courier New" w:hint="default"/>
      </w:rPr>
    </w:lvl>
    <w:lvl w:ilvl="8" w:tplc="37CCD67A" w:tentative="1">
      <w:start w:val="1"/>
      <w:numFmt w:val="bullet"/>
      <w:lvlText w:val=""/>
      <w:lvlJc w:val="left"/>
      <w:pPr>
        <w:ind w:left="6480" w:hanging="360"/>
      </w:pPr>
      <w:rPr>
        <w:rFonts w:ascii="Wingdings" w:hAnsi="Wingdings" w:hint="default"/>
      </w:rPr>
    </w:lvl>
  </w:abstractNum>
  <w:abstractNum w:abstractNumId="21" w15:restartNumberingAfterBreak="0">
    <w:nsid w:val="6FBA0B51"/>
    <w:multiLevelType w:val="hybridMultilevel"/>
    <w:tmpl w:val="AE58EF74"/>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AF25D9"/>
    <w:multiLevelType w:val="hybridMultilevel"/>
    <w:tmpl w:val="7DB40016"/>
    <w:lvl w:ilvl="0" w:tplc="0C090001">
      <w:start w:val="1"/>
      <w:numFmt w:val="bullet"/>
      <w:lvlText w:val=""/>
      <w:lvlJc w:val="left"/>
      <w:pPr>
        <w:ind w:left="720" w:hanging="360"/>
      </w:pPr>
      <w:rPr>
        <w:rFonts w:ascii="Symbol" w:hAnsi="Symbol" w:hint="default"/>
      </w:rPr>
    </w:lvl>
    <w:lvl w:ilvl="1" w:tplc="B86EF8BA">
      <w:numFmt w:val="bullet"/>
      <w:lvlText w:val="•"/>
      <w:lvlJc w:val="left"/>
      <w:pPr>
        <w:ind w:left="1650" w:hanging="570"/>
      </w:pPr>
      <w:rPr>
        <w:rFonts w:ascii="Calibri" w:eastAsia="Times New Roman" w:hAnsi="Calibri"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5" w15:restartNumberingAfterBreak="0">
    <w:nsid w:val="7EBC358B"/>
    <w:multiLevelType w:val="hybridMultilevel"/>
    <w:tmpl w:val="DA7C6A16"/>
    <w:lvl w:ilvl="0" w:tplc="5C548CF8">
      <w:start w:val="1"/>
      <w:numFmt w:val="bullet"/>
      <w:lvlText w:val=""/>
      <w:lvlJc w:val="left"/>
      <w:pPr>
        <w:tabs>
          <w:tab w:val="num" w:pos="360"/>
        </w:tabs>
        <w:ind w:left="360" w:hanging="360"/>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02776"/>
    <w:multiLevelType w:val="hybridMultilevel"/>
    <w:tmpl w:val="4B8A3A36"/>
    <w:lvl w:ilvl="0" w:tplc="DBFA83DC">
      <w:start w:val="1"/>
      <w:numFmt w:val="bullet"/>
      <w:lvlText w:val=""/>
      <w:lvlJc w:val="left"/>
      <w:pPr>
        <w:tabs>
          <w:tab w:val="num" w:pos="360"/>
        </w:tabs>
        <w:ind w:left="360" w:hanging="360"/>
      </w:pPr>
      <w:rPr>
        <w:rFonts w:ascii="Symbol" w:hAnsi="Symbol" w:hint="default"/>
        <w:color w:val="auto"/>
        <w:sz w:val="22"/>
        <w:szCs w:val="22"/>
      </w:rPr>
    </w:lvl>
    <w:lvl w:ilvl="1" w:tplc="32EAB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5"/>
  </w:num>
  <w:num w:numId="4">
    <w:abstractNumId w:val="25"/>
  </w:num>
  <w:num w:numId="5">
    <w:abstractNumId w:val="19"/>
  </w:num>
  <w:num w:numId="6">
    <w:abstractNumId w:val="18"/>
  </w:num>
  <w:num w:numId="7">
    <w:abstractNumId w:val="13"/>
  </w:num>
  <w:num w:numId="8">
    <w:abstractNumId w:val="10"/>
  </w:num>
  <w:num w:numId="9">
    <w:abstractNumId w:val="21"/>
  </w:num>
  <w:num w:numId="10">
    <w:abstractNumId w:val="24"/>
  </w:num>
  <w:num w:numId="11">
    <w:abstractNumId w:val="9"/>
  </w:num>
  <w:num w:numId="12">
    <w:abstractNumId w:val="17"/>
  </w:num>
  <w:num w:numId="13">
    <w:abstractNumId w:val="14"/>
  </w:num>
  <w:num w:numId="14">
    <w:abstractNumId w:val="26"/>
  </w:num>
  <w:num w:numId="15">
    <w:abstractNumId w:val="8"/>
  </w:num>
  <w:num w:numId="16">
    <w:abstractNumId w:val="22"/>
  </w:num>
  <w:num w:numId="17">
    <w:abstractNumId w:val="1"/>
  </w:num>
  <w:num w:numId="18">
    <w:abstractNumId w:val="0"/>
  </w:num>
  <w:num w:numId="19">
    <w:abstractNumId w:val="5"/>
  </w:num>
  <w:num w:numId="20">
    <w:abstractNumId w:val="4"/>
  </w:num>
  <w:num w:numId="21">
    <w:abstractNumId w:val="20"/>
  </w:num>
  <w:num w:numId="22">
    <w:abstractNumId w:val="2"/>
  </w:num>
  <w:num w:numId="23">
    <w:abstractNumId w:val="23"/>
  </w:num>
  <w:num w:numId="24">
    <w:abstractNumId w:val="11"/>
  </w:num>
  <w:num w:numId="25">
    <w:abstractNumId w:val="6"/>
  </w:num>
  <w:num w:numId="26">
    <w:abstractNumId w:val="12"/>
  </w:num>
  <w:num w:numId="2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1884"/>
    <w:rsid w:val="000036AF"/>
    <w:rsid w:val="00014731"/>
    <w:rsid w:val="00014E6B"/>
    <w:rsid w:val="000171A6"/>
    <w:rsid w:val="000213E9"/>
    <w:rsid w:val="00021DA2"/>
    <w:rsid w:val="000229A1"/>
    <w:rsid w:val="000268A1"/>
    <w:rsid w:val="0004703B"/>
    <w:rsid w:val="00054151"/>
    <w:rsid w:val="0006073C"/>
    <w:rsid w:val="000632EF"/>
    <w:rsid w:val="00065623"/>
    <w:rsid w:val="00067DFA"/>
    <w:rsid w:val="00072353"/>
    <w:rsid w:val="0007321C"/>
    <w:rsid w:val="000805C2"/>
    <w:rsid w:val="000827F0"/>
    <w:rsid w:val="00085755"/>
    <w:rsid w:val="00085759"/>
    <w:rsid w:val="0008767E"/>
    <w:rsid w:val="000A63D3"/>
    <w:rsid w:val="000A738E"/>
    <w:rsid w:val="000E396B"/>
    <w:rsid w:val="000E3C10"/>
    <w:rsid w:val="000E6588"/>
    <w:rsid w:val="000E7C8F"/>
    <w:rsid w:val="000F21FE"/>
    <w:rsid w:val="000F5E0F"/>
    <w:rsid w:val="00104710"/>
    <w:rsid w:val="00112DE1"/>
    <w:rsid w:val="00122A23"/>
    <w:rsid w:val="00124458"/>
    <w:rsid w:val="0013032B"/>
    <w:rsid w:val="0013112F"/>
    <w:rsid w:val="001325FA"/>
    <w:rsid w:val="00132F18"/>
    <w:rsid w:val="00136257"/>
    <w:rsid w:val="00136969"/>
    <w:rsid w:val="00137A44"/>
    <w:rsid w:val="001444C3"/>
    <w:rsid w:val="0014545A"/>
    <w:rsid w:val="001538CF"/>
    <w:rsid w:val="00155BF4"/>
    <w:rsid w:val="00157D30"/>
    <w:rsid w:val="001604E1"/>
    <w:rsid w:val="00165395"/>
    <w:rsid w:val="00167C8A"/>
    <w:rsid w:val="00170014"/>
    <w:rsid w:val="00171759"/>
    <w:rsid w:val="001738E7"/>
    <w:rsid w:val="00180202"/>
    <w:rsid w:val="00182F07"/>
    <w:rsid w:val="00190EB5"/>
    <w:rsid w:val="001921DF"/>
    <w:rsid w:val="001951EC"/>
    <w:rsid w:val="00195FF5"/>
    <w:rsid w:val="001A669F"/>
    <w:rsid w:val="001B1DFA"/>
    <w:rsid w:val="001C1163"/>
    <w:rsid w:val="001C1FD6"/>
    <w:rsid w:val="001C7004"/>
    <w:rsid w:val="001C75D8"/>
    <w:rsid w:val="001D060C"/>
    <w:rsid w:val="001D0D5C"/>
    <w:rsid w:val="001D24A5"/>
    <w:rsid w:val="001D2A85"/>
    <w:rsid w:val="001D47FB"/>
    <w:rsid w:val="001D586D"/>
    <w:rsid w:val="001E07F7"/>
    <w:rsid w:val="001E457C"/>
    <w:rsid w:val="001E7FB2"/>
    <w:rsid w:val="001F11FA"/>
    <w:rsid w:val="001F3C4C"/>
    <w:rsid w:val="001F6B4C"/>
    <w:rsid w:val="00201DCD"/>
    <w:rsid w:val="00206760"/>
    <w:rsid w:val="0021159F"/>
    <w:rsid w:val="0021190A"/>
    <w:rsid w:val="0021337C"/>
    <w:rsid w:val="00215359"/>
    <w:rsid w:val="00223027"/>
    <w:rsid w:val="00225CE4"/>
    <w:rsid w:val="00236247"/>
    <w:rsid w:val="00242AD4"/>
    <w:rsid w:val="00252638"/>
    <w:rsid w:val="0026665D"/>
    <w:rsid w:val="00266FA1"/>
    <w:rsid w:val="00267F42"/>
    <w:rsid w:val="0027168E"/>
    <w:rsid w:val="00280998"/>
    <w:rsid w:val="00285107"/>
    <w:rsid w:val="00286676"/>
    <w:rsid w:val="00286BC8"/>
    <w:rsid w:val="0029348E"/>
    <w:rsid w:val="002A7743"/>
    <w:rsid w:val="002B34D5"/>
    <w:rsid w:val="002D0267"/>
    <w:rsid w:val="002D08AA"/>
    <w:rsid w:val="002D2973"/>
    <w:rsid w:val="002D43CE"/>
    <w:rsid w:val="002D57BB"/>
    <w:rsid w:val="002E4460"/>
    <w:rsid w:val="002F3D9D"/>
    <w:rsid w:val="002F54B1"/>
    <w:rsid w:val="002F693D"/>
    <w:rsid w:val="002F77E5"/>
    <w:rsid w:val="00301462"/>
    <w:rsid w:val="00303414"/>
    <w:rsid w:val="00324C19"/>
    <w:rsid w:val="00324FB5"/>
    <w:rsid w:val="0033398E"/>
    <w:rsid w:val="00337945"/>
    <w:rsid w:val="0034047C"/>
    <w:rsid w:val="003419BD"/>
    <w:rsid w:val="00342FAC"/>
    <w:rsid w:val="00344582"/>
    <w:rsid w:val="003515D1"/>
    <w:rsid w:val="0035535A"/>
    <w:rsid w:val="00355B86"/>
    <w:rsid w:val="0035718D"/>
    <w:rsid w:val="00361DD2"/>
    <w:rsid w:val="00362AB1"/>
    <w:rsid w:val="00362DD1"/>
    <w:rsid w:val="0036773E"/>
    <w:rsid w:val="003700A9"/>
    <w:rsid w:val="003806A7"/>
    <w:rsid w:val="003825CA"/>
    <w:rsid w:val="00385F5A"/>
    <w:rsid w:val="00386D67"/>
    <w:rsid w:val="0039183C"/>
    <w:rsid w:val="00396CCF"/>
    <w:rsid w:val="003A078D"/>
    <w:rsid w:val="003A218A"/>
    <w:rsid w:val="003A326F"/>
    <w:rsid w:val="003A4F78"/>
    <w:rsid w:val="003A6EAC"/>
    <w:rsid w:val="003B02B8"/>
    <w:rsid w:val="003B0A87"/>
    <w:rsid w:val="003B0CA4"/>
    <w:rsid w:val="003B1529"/>
    <w:rsid w:val="003B1A3E"/>
    <w:rsid w:val="003C457A"/>
    <w:rsid w:val="003C4759"/>
    <w:rsid w:val="003D2991"/>
    <w:rsid w:val="003D3D6C"/>
    <w:rsid w:val="003D4BFC"/>
    <w:rsid w:val="003D6A0F"/>
    <w:rsid w:val="003E014C"/>
    <w:rsid w:val="003E1045"/>
    <w:rsid w:val="003E3728"/>
    <w:rsid w:val="003E411C"/>
    <w:rsid w:val="003E44A3"/>
    <w:rsid w:val="003E63C9"/>
    <w:rsid w:val="003F0834"/>
    <w:rsid w:val="003F30AD"/>
    <w:rsid w:val="003F5EE6"/>
    <w:rsid w:val="004031F7"/>
    <w:rsid w:val="00410178"/>
    <w:rsid w:val="00420EF1"/>
    <w:rsid w:val="0042114B"/>
    <w:rsid w:val="00433060"/>
    <w:rsid w:val="00442295"/>
    <w:rsid w:val="00443F1D"/>
    <w:rsid w:val="00451310"/>
    <w:rsid w:val="00452D71"/>
    <w:rsid w:val="00452DFC"/>
    <w:rsid w:val="00460DB6"/>
    <w:rsid w:val="0046163A"/>
    <w:rsid w:val="0046745E"/>
    <w:rsid w:val="00471BF1"/>
    <w:rsid w:val="00477651"/>
    <w:rsid w:val="0048411E"/>
    <w:rsid w:val="004851AB"/>
    <w:rsid w:val="00495285"/>
    <w:rsid w:val="004A376D"/>
    <w:rsid w:val="004A4E41"/>
    <w:rsid w:val="004B01A4"/>
    <w:rsid w:val="004B2358"/>
    <w:rsid w:val="004C0219"/>
    <w:rsid w:val="004C09DA"/>
    <w:rsid w:val="004D1800"/>
    <w:rsid w:val="004E2F30"/>
    <w:rsid w:val="004E348D"/>
    <w:rsid w:val="004E432D"/>
    <w:rsid w:val="004E5C21"/>
    <w:rsid w:val="004E61A7"/>
    <w:rsid w:val="0050188B"/>
    <w:rsid w:val="00510DD7"/>
    <w:rsid w:val="00511EE0"/>
    <w:rsid w:val="00514BAF"/>
    <w:rsid w:val="005153EF"/>
    <w:rsid w:val="00516ACE"/>
    <w:rsid w:val="00522528"/>
    <w:rsid w:val="0053761B"/>
    <w:rsid w:val="00541E3E"/>
    <w:rsid w:val="005420D3"/>
    <w:rsid w:val="00544BA0"/>
    <w:rsid w:val="00552DFF"/>
    <w:rsid w:val="005565DC"/>
    <w:rsid w:val="0056195F"/>
    <w:rsid w:val="00565224"/>
    <w:rsid w:val="00566DC3"/>
    <w:rsid w:val="00567131"/>
    <w:rsid w:val="0056736C"/>
    <w:rsid w:val="00573F22"/>
    <w:rsid w:val="00575AED"/>
    <w:rsid w:val="00576ED3"/>
    <w:rsid w:val="00583377"/>
    <w:rsid w:val="00583D1B"/>
    <w:rsid w:val="005856E5"/>
    <w:rsid w:val="0058659C"/>
    <w:rsid w:val="0059035A"/>
    <w:rsid w:val="00590817"/>
    <w:rsid w:val="00590A73"/>
    <w:rsid w:val="005922DB"/>
    <w:rsid w:val="005938FD"/>
    <w:rsid w:val="00594478"/>
    <w:rsid w:val="00597092"/>
    <w:rsid w:val="005A14E4"/>
    <w:rsid w:val="005A19A3"/>
    <w:rsid w:val="005B23D7"/>
    <w:rsid w:val="005B59F4"/>
    <w:rsid w:val="005D0332"/>
    <w:rsid w:val="005D21F3"/>
    <w:rsid w:val="005D2E68"/>
    <w:rsid w:val="005D5523"/>
    <w:rsid w:val="005D637D"/>
    <w:rsid w:val="005E3645"/>
    <w:rsid w:val="005E42A8"/>
    <w:rsid w:val="005F004E"/>
    <w:rsid w:val="005F24DD"/>
    <w:rsid w:val="005F6B7E"/>
    <w:rsid w:val="00602874"/>
    <w:rsid w:val="006028F2"/>
    <w:rsid w:val="00603860"/>
    <w:rsid w:val="0060721C"/>
    <w:rsid w:val="006074D3"/>
    <w:rsid w:val="00607D37"/>
    <w:rsid w:val="00611744"/>
    <w:rsid w:val="00612A11"/>
    <w:rsid w:val="0061621F"/>
    <w:rsid w:val="0061684C"/>
    <w:rsid w:val="00617CAC"/>
    <w:rsid w:val="0063740F"/>
    <w:rsid w:val="00640A46"/>
    <w:rsid w:val="00646E2B"/>
    <w:rsid w:val="00652E31"/>
    <w:rsid w:val="0065529B"/>
    <w:rsid w:val="006607F7"/>
    <w:rsid w:val="00676A80"/>
    <w:rsid w:val="00676C49"/>
    <w:rsid w:val="006828B4"/>
    <w:rsid w:val="0068342A"/>
    <w:rsid w:val="00685001"/>
    <w:rsid w:val="00685F43"/>
    <w:rsid w:val="00687127"/>
    <w:rsid w:val="0069068D"/>
    <w:rsid w:val="00693716"/>
    <w:rsid w:val="00694211"/>
    <w:rsid w:val="006A27C7"/>
    <w:rsid w:val="006B241A"/>
    <w:rsid w:val="006B3BEC"/>
    <w:rsid w:val="006B5BE7"/>
    <w:rsid w:val="006B7F3E"/>
    <w:rsid w:val="006C1938"/>
    <w:rsid w:val="006C26E3"/>
    <w:rsid w:val="006C3324"/>
    <w:rsid w:val="006C5230"/>
    <w:rsid w:val="006D03C8"/>
    <w:rsid w:val="006D0AFD"/>
    <w:rsid w:val="006D5CF0"/>
    <w:rsid w:val="006D7D0C"/>
    <w:rsid w:val="006E2F06"/>
    <w:rsid w:val="006E7A8E"/>
    <w:rsid w:val="006F2A30"/>
    <w:rsid w:val="006F47F4"/>
    <w:rsid w:val="00701C0F"/>
    <w:rsid w:val="00702AF1"/>
    <w:rsid w:val="00703892"/>
    <w:rsid w:val="00704AA7"/>
    <w:rsid w:val="00707FED"/>
    <w:rsid w:val="00712DD7"/>
    <w:rsid w:val="00713D11"/>
    <w:rsid w:val="0071498A"/>
    <w:rsid w:val="00720D65"/>
    <w:rsid w:val="00722408"/>
    <w:rsid w:val="00722776"/>
    <w:rsid w:val="007229D6"/>
    <w:rsid w:val="00723375"/>
    <w:rsid w:val="00731492"/>
    <w:rsid w:val="00732C4E"/>
    <w:rsid w:val="00736B0C"/>
    <w:rsid w:val="00736B3B"/>
    <w:rsid w:val="00737EE8"/>
    <w:rsid w:val="00744C5D"/>
    <w:rsid w:val="00746223"/>
    <w:rsid w:val="007554DA"/>
    <w:rsid w:val="0076262D"/>
    <w:rsid w:val="00766E36"/>
    <w:rsid w:val="00775963"/>
    <w:rsid w:val="00776599"/>
    <w:rsid w:val="007849B8"/>
    <w:rsid w:val="0079343A"/>
    <w:rsid w:val="00794A81"/>
    <w:rsid w:val="00794D30"/>
    <w:rsid w:val="007964EB"/>
    <w:rsid w:val="00797D8D"/>
    <w:rsid w:val="007A0F08"/>
    <w:rsid w:val="007A6BE5"/>
    <w:rsid w:val="007A7B08"/>
    <w:rsid w:val="007B0FF0"/>
    <w:rsid w:val="007B3D51"/>
    <w:rsid w:val="007C20A7"/>
    <w:rsid w:val="007C2D6A"/>
    <w:rsid w:val="007C4959"/>
    <w:rsid w:val="007D0728"/>
    <w:rsid w:val="007D6C35"/>
    <w:rsid w:val="007D7ECB"/>
    <w:rsid w:val="007E0EAF"/>
    <w:rsid w:val="007E1DD3"/>
    <w:rsid w:val="007F4E20"/>
    <w:rsid w:val="007F5142"/>
    <w:rsid w:val="00806A9C"/>
    <w:rsid w:val="008227C1"/>
    <w:rsid w:val="008278BE"/>
    <w:rsid w:val="00827C06"/>
    <w:rsid w:val="0083013B"/>
    <w:rsid w:val="00834A9B"/>
    <w:rsid w:val="0084645A"/>
    <w:rsid w:val="00850724"/>
    <w:rsid w:val="0086104A"/>
    <w:rsid w:val="00867ADF"/>
    <w:rsid w:val="00873683"/>
    <w:rsid w:val="00873F46"/>
    <w:rsid w:val="0088197A"/>
    <w:rsid w:val="00896E79"/>
    <w:rsid w:val="008A0363"/>
    <w:rsid w:val="008A0D74"/>
    <w:rsid w:val="008A5C67"/>
    <w:rsid w:val="008A6C0C"/>
    <w:rsid w:val="008A7405"/>
    <w:rsid w:val="008C0345"/>
    <w:rsid w:val="008C6DE4"/>
    <w:rsid w:val="008E2DF5"/>
    <w:rsid w:val="008E3A07"/>
    <w:rsid w:val="008E7EF8"/>
    <w:rsid w:val="008F737D"/>
    <w:rsid w:val="009002AF"/>
    <w:rsid w:val="00901821"/>
    <w:rsid w:val="00902EF6"/>
    <w:rsid w:val="009110E5"/>
    <w:rsid w:val="00912736"/>
    <w:rsid w:val="00912AD8"/>
    <w:rsid w:val="009158F8"/>
    <w:rsid w:val="00920A83"/>
    <w:rsid w:val="0092412F"/>
    <w:rsid w:val="00933B33"/>
    <w:rsid w:val="009351F0"/>
    <w:rsid w:val="009400A1"/>
    <w:rsid w:val="00940F74"/>
    <w:rsid w:val="009418C0"/>
    <w:rsid w:val="00943312"/>
    <w:rsid w:val="00950C0C"/>
    <w:rsid w:val="009555C2"/>
    <w:rsid w:val="009606B7"/>
    <w:rsid w:val="00961296"/>
    <w:rsid w:val="00961A03"/>
    <w:rsid w:val="00961AD6"/>
    <w:rsid w:val="00964755"/>
    <w:rsid w:val="00972D5F"/>
    <w:rsid w:val="00976B13"/>
    <w:rsid w:val="009865A2"/>
    <w:rsid w:val="00990BF9"/>
    <w:rsid w:val="009A1417"/>
    <w:rsid w:val="009A6C26"/>
    <w:rsid w:val="009A702B"/>
    <w:rsid w:val="009B2DD5"/>
    <w:rsid w:val="009B7E2B"/>
    <w:rsid w:val="009C34E7"/>
    <w:rsid w:val="009C5E6A"/>
    <w:rsid w:val="009D1BAC"/>
    <w:rsid w:val="009D64AB"/>
    <w:rsid w:val="009E055F"/>
    <w:rsid w:val="009E0C8F"/>
    <w:rsid w:val="009E2FFB"/>
    <w:rsid w:val="009F5995"/>
    <w:rsid w:val="00A009C9"/>
    <w:rsid w:val="00A021B7"/>
    <w:rsid w:val="00A14490"/>
    <w:rsid w:val="00A23FFD"/>
    <w:rsid w:val="00A30752"/>
    <w:rsid w:val="00A30A85"/>
    <w:rsid w:val="00A317E6"/>
    <w:rsid w:val="00A35A4F"/>
    <w:rsid w:val="00A44C6E"/>
    <w:rsid w:val="00A459DB"/>
    <w:rsid w:val="00A52FEC"/>
    <w:rsid w:val="00A66515"/>
    <w:rsid w:val="00A8150D"/>
    <w:rsid w:val="00A8603E"/>
    <w:rsid w:val="00A94343"/>
    <w:rsid w:val="00A94695"/>
    <w:rsid w:val="00A96916"/>
    <w:rsid w:val="00AA3E4B"/>
    <w:rsid w:val="00AA502F"/>
    <w:rsid w:val="00AA689B"/>
    <w:rsid w:val="00AB37FD"/>
    <w:rsid w:val="00AB55CA"/>
    <w:rsid w:val="00AC0916"/>
    <w:rsid w:val="00AD026F"/>
    <w:rsid w:val="00AD66F1"/>
    <w:rsid w:val="00AE4C2D"/>
    <w:rsid w:val="00AE76A3"/>
    <w:rsid w:val="00AF64E7"/>
    <w:rsid w:val="00AF72BF"/>
    <w:rsid w:val="00B02E35"/>
    <w:rsid w:val="00B03576"/>
    <w:rsid w:val="00B0472C"/>
    <w:rsid w:val="00B102D9"/>
    <w:rsid w:val="00B1779B"/>
    <w:rsid w:val="00B27501"/>
    <w:rsid w:val="00B33D7B"/>
    <w:rsid w:val="00B355AE"/>
    <w:rsid w:val="00B360D5"/>
    <w:rsid w:val="00B37582"/>
    <w:rsid w:val="00B40410"/>
    <w:rsid w:val="00B411FE"/>
    <w:rsid w:val="00B46C7E"/>
    <w:rsid w:val="00B52FCF"/>
    <w:rsid w:val="00B53D90"/>
    <w:rsid w:val="00B6033B"/>
    <w:rsid w:val="00B6375E"/>
    <w:rsid w:val="00B6563A"/>
    <w:rsid w:val="00B73AB0"/>
    <w:rsid w:val="00B816CC"/>
    <w:rsid w:val="00B92F66"/>
    <w:rsid w:val="00B940A5"/>
    <w:rsid w:val="00BA5A83"/>
    <w:rsid w:val="00BA6799"/>
    <w:rsid w:val="00BA68DE"/>
    <w:rsid w:val="00BB0263"/>
    <w:rsid w:val="00BB18CD"/>
    <w:rsid w:val="00BB26AB"/>
    <w:rsid w:val="00BB515F"/>
    <w:rsid w:val="00BC04A2"/>
    <w:rsid w:val="00BC44F4"/>
    <w:rsid w:val="00BC47D3"/>
    <w:rsid w:val="00BD6C4E"/>
    <w:rsid w:val="00BE396E"/>
    <w:rsid w:val="00BE69AC"/>
    <w:rsid w:val="00BE7CF3"/>
    <w:rsid w:val="00BF0479"/>
    <w:rsid w:val="00BF0DFE"/>
    <w:rsid w:val="00BF3109"/>
    <w:rsid w:val="00BF4914"/>
    <w:rsid w:val="00C0013C"/>
    <w:rsid w:val="00C00C60"/>
    <w:rsid w:val="00C04D91"/>
    <w:rsid w:val="00C05EDF"/>
    <w:rsid w:val="00C06745"/>
    <w:rsid w:val="00C13B47"/>
    <w:rsid w:val="00C13C97"/>
    <w:rsid w:val="00C1782D"/>
    <w:rsid w:val="00C17FE2"/>
    <w:rsid w:val="00C20B8A"/>
    <w:rsid w:val="00C20BEE"/>
    <w:rsid w:val="00C24CAA"/>
    <w:rsid w:val="00C263F7"/>
    <w:rsid w:val="00C34180"/>
    <w:rsid w:val="00C45D90"/>
    <w:rsid w:val="00C46973"/>
    <w:rsid w:val="00C50B10"/>
    <w:rsid w:val="00C614AF"/>
    <w:rsid w:val="00C67123"/>
    <w:rsid w:val="00C703C1"/>
    <w:rsid w:val="00C7384C"/>
    <w:rsid w:val="00C808E5"/>
    <w:rsid w:val="00C84EFB"/>
    <w:rsid w:val="00C87247"/>
    <w:rsid w:val="00C90108"/>
    <w:rsid w:val="00C9079E"/>
    <w:rsid w:val="00C90EB4"/>
    <w:rsid w:val="00CB1778"/>
    <w:rsid w:val="00CB6D6B"/>
    <w:rsid w:val="00CB7E7D"/>
    <w:rsid w:val="00CC038A"/>
    <w:rsid w:val="00CC0AC7"/>
    <w:rsid w:val="00CC23B0"/>
    <w:rsid w:val="00CC3E12"/>
    <w:rsid w:val="00CC4AB2"/>
    <w:rsid w:val="00CC687D"/>
    <w:rsid w:val="00CD13BA"/>
    <w:rsid w:val="00CD14C9"/>
    <w:rsid w:val="00CD5843"/>
    <w:rsid w:val="00CD712E"/>
    <w:rsid w:val="00CD7AAF"/>
    <w:rsid w:val="00CE57FF"/>
    <w:rsid w:val="00CF305A"/>
    <w:rsid w:val="00CF735B"/>
    <w:rsid w:val="00D03292"/>
    <w:rsid w:val="00D05CD1"/>
    <w:rsid w:val="00D10820"/>
    <w:rsid w:val="00D118AD"/>
    <w:rsid w:val="00D15284"/>
    <w:rsid w:val="00D233DA"/>
    <w:rsid w:val="00D27B27"/>
    <w:rsid w:val="00D4755A"/>
    <w:rsid w:val="00D47A2C"/>
    <w:rsid w:val="00D50174"/>
    <w:rsid w:val="00D539E4"/>
    <w:rsid w:val="00D55D87"/>
    <w:rsid w:val="00D55F83"/>
    <w:rsid w:val="00D61417"/>
    <w:rsid w:val="00D6531D"/>
    <w:rsid w:val="00D67519"/>
    <w:rsid w:val="00D701CC"/>
    <w:rsid w:val="00D70C50"/>
    <w:rsid w:val="00D7558B"/>
    <w:rsid w:val="00D769FB"/>
    <w:rsid w:val="00D82B6D"/>
    <w:rsid w:val="00D864A1"/>
    <w:rsid w:val="00D91CCD"/>
    <w:rsid w:val="00D93418"/>
    <w:rsid w:val="00DA2F53"/>
    <w:rsid w:val="00DB1E71"/>
    <w:rsid w:val="00DB4A4B"/>
    <w:rsid w:val="00DC0E3C"/>
    <w:rsid w:val="00DC3FFD"/>
    <w:rsid w:val="00DC71DF"/>
    <w:rsid w:val="00DD0ADC"/>
    <w:rsid w:val="00DD0AF1"/>
    <w:rsid w:val="00DD311A"/>
    <w:rsid w:val="00DD5BD3"/>
    <w:rsid w:val="00DE1748"/>
    <w:rsid w:val="00DE552A"/>
    <w:rsid w:val="00DF65CC"/>
    <w:rsid w:val="00E02561"/>
    <w:rsid w:val="00E031DE"/>
    <w:rsid w:val="00E06462"/>
    <w:rsid w:val="00E16CCC"/>
    <w:rsid w:val="00E22548"/>
    <w:rsid w:val="00E31F56"/>
    <w:rsid w:val="00E521B1"/>
    <w:rsid w:val="00E558F1"/>
    <w:rsid w:val="00E57B85"/>
    <w:rsid w:val="00E62F27"/>
    <w:rsid w:val="00E713BF"/>
    <w:rsid w:val="00E7422C"/>
    <w:rsid w:val="00E74504"/>
    <w:rsid w:val="00E7560F"/>
    <w:rsid w:val="00E846B1"/>
    <w:rsid w:val="00E90717"/>
    <w:rsid w:val="00E924FD"/>
    <w:rsid w:val="00E936DA"/>
    <w:rsid w:val="00E97375"/>
    <w:rsid w:val="00EA3CBC"/>
    <w:rsid w:val="00EB621A"/>
    <w:rsid w:val="00EC15F6"/>
    <w:rsid w:val="00ED0063"/>
    <w:rsid w:val="00ED4E80"/>
    <w:rsid w:val="00ED782B"/>
    <w:rsid w:val="00EE2D09"/>
    <w:rsid w:val="00EE52E1"/>
    <w:rsid w:val="00EE6D68"/>
    <w:rsid w:val="00EF3110"/>
    <w:rsid w:val="00F003AB"/>
    <w:rsid w:val="00F04F02"/>
    <w:rsid w:val="00F16E5D"/>
    <w:rsid w:val="00F2152F"/>
    <w:rsid w:val="00F2353D"/>
    <w:rsid w:val="00F326F1"/>
    <w:rsid w:val="00F34B05"/>
    <w:rsid w:val="00F35C34"/>
    <w:rsid w:val="00F364BA"/>
    <w:rsid w:val="00F4460D"/>
    <w:rsid w:val="00F45943"/>
    <w:rsid w:val="00F51E0F"/>
    <w:rsid w:val="00F530A0"/>
    <w:rsid w:val="00F53378"/>
    <w:rsid w:val="00F53F1A"/>
    <w:rsid w:val="00F546A1"/>
    <w:rsid w:val="00F57877"/>
    <w:rsid w:val="00F60AAE"/>
    <w:rsid w:val="00F64B99"/>
    <w:rsid w:val="00F7360A"/>
    <w:rsid w:val="00F7484F"/>
    <w:rsid w:val="00F8174C"/>
    <w:rsid w:val="00F81E8C"/>
    <w:rsid w:val="00F84E93"/>
    <w:rsid w:val="00F91D36"/>
    <w:rsid w:val="00F972E7"/>
    <w:rsid w:val="00FA36DD"/>
    <w:rsid w:val="00FA6737"/>
    <w:rsid w:val="00FB7083"/>
    <w:rsid w:val="00FB7622"/>
    <w:rsid w:val="00FC13AA"/>
    <w:rsid w:val="00FC2897"/>
    <w:rsid w:val="00FC36E5"/>
    <w:rsid w:val="00FD4ED9"/>
    <w:rsid w:val="00FD564E"/>
    <w:rsid w:val="00FD60FF"/>
    <w:rsid w:val="00FD765F"/>
    <w:rsid w:val="00FE13D7"/>
    <w:rsid w:val="00FE1A4B"/>
    <w:rsid w:val="00FE5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66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pPr>
      <w:spacing w:after="0" w:line="240" w:lineRule="auto"/>
    </w:pPr>
    <w:rPr>
      <w:rFonts w:eastAsia="Times New Roman" w:cs="Times New Roman"/>
      <w:szCs w:val="20"/>
      <w:lang w:eastAsia="en-AU"/>
    </w:rPr>
  </w:style>
  <w:style w:type="paragraph" w:styleId="Heading1">
    <w:name w:val="heading 1"/>
    <w:basedOn w:val="Normal"/>
    <w:link w:val="Heading1Char"/>
    <w:uiPriority w:val="9"/>
    <w:qFormat/>
    <w:rsid w:val="00AF64E7"/>
    <w:pPr>
      <w:keepNext/>
      <w:keepLines/>
      <w:numPr>
        <w:numId w:val="13"/>
      </w:numPr>
      <w:ind w:hanging="720"/>
      <w:outlineLvl w:val="0"/>
    </w:pPr>
    <w:rPr>
      <w:rFonts w:eastAsiaTheme="majorEastAsia" w:cstheme="majorBidi"/>
      <w:b/>
      <w:bCs/>
      <w:szCs w:val="28"/>
    </w:rPr>
  </w:style>
  <w:style w:type="paragraph" w:styleId="Heading2">
    <w:name w:val="heading 2"/>
    <w:basedOn w:val="Normal"/>
    <w:link w:val="Heading2Char"/>
    <w:uiPriority w:val="9"/>
    <w:unhideWhenUsed/>
    <w:qFormat/>
    <w:rsid w:val="00451310"/>
    <w:pPr>
      <w:keepNext/>
      <w:keepLines/>
      <w:outlineLvl w:val="1"/>
    </w:pPr>
    <w:rPr>
      <w:rFonts w:eastAsiaTheme="majorEastAsia" w:cstheme="majorBidi"/>
      <w:bCs/>
      <w:i/>
      <w:szCs w:val="26"/>
    </w:rPr>
  </w:style>
  <w:style w:type="paragraph" w:styleId="Heading3">
    <w:name w:val="heading 3"/>
    <w:basedOn w:val="Normal"/>
    <w:next w:val="Normal"/>
    <w:link w:val="Heading3Char"/>
    <w:uiPriority w:val="9"/>
    <w:semiHidden/>
    <w:unhideWhenUsed/>
    <w:qFormat/>
    <w:rsid w:val="00301462"/>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semiHidden/>
    <w:unhideWhenUsed/>
    <w:qFormat/>
    <w:rsid w:val="007C2D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5623"/>
    <w:rPr>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unhideWhenUsed/>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rsid w:val="00065623"/>
    <w:rPr>
      <w:rFonts w:ascii="Tahoma" w:eastAsia="Times New Roman" w:hAnsi="Tahoma" w:cs="Tahoma"/>
      <w:sz w:val="16"/>
      <w:szCs w:val="16"/>
      <w:lang w:eastAsia="en-AU"/>
    </w:rPr>
  </w:style>
  <w:style w:type="paragraph" w:styleId="Header">
    <w:name w:val="header"/>
    <w:basedOn w:val="Normal"/>
    <w:link w:val="HeaderChar"/>
    <w:uiPriority w:val="99"/>
    <w:unhideWhenUsed/>
    <w:rsid w:val="008227C1"/>
    <w:pPr>
      <w:tabs>
        <w:tab w:val="center" w:pos="4513"/>
        <w:tab w:val="right" w:pos="9026"/>
      </w:tabs>
    </w:pPr>
  </w:style>
  <w:style w:type="character" w:customStyle="1" w:styleId="HeaderChar">
    <w:name w:val="Header Char"/>
    <w:basedOn w:val="DefaultParagraphFont"/>
    <w:link w:val="Header"/>
    <w:uiPriority w:val="99"/>
    <w:rsid w:val="008227C1"/>
    <w:rPr>
      <w:rFonts w:eastAsia="Times New Roman" w:cs="Times New Roman"/>
      <w:szCs w:val="20"/>
      <w:lang w:eastAsia="en-AU"/>
    </w:rPr>
  </w:style>
  <w:style w:type="paragraph" w:styleId="Footer">
    <w:name w:val="footer"/>
    <w:basedOn w:val="Normal"/>
    <w:link w:val="FooterChar"/>
    <w:uiPriority w:val="99"/>
    <w:unhideWhenUsed/>
    <w:rsid w:val="008227C1"/>
    <w:pPr>
      <w:tabs>
        <w:tab w:val="center" w:pos="4513"/>
        <w:tab w:val="right" w:pos="9026"/>
      </w:tabs>
    </w:pPr>
  </w:style>
  <w:style w:type="character" w:customStyle="1" w:styleId="FooterChar">
    <w:name w:val="Footer Char"/>
    <w:basedOn w:val="DefaultParagraphFont"/>
    <w:link w:val="Footer"/>
    <w:uiPriority w:val="99"/>
    <w:rsid w:val="008227C1"/>
    <w:rPr>
      <w:rFonts w:eastAsia="Times New Roman" w:cs="Times New Roman"/>
      <w:szCs w:val="20"/>
      <w:lang w:eastAsia="en-AU"/>
    </w:rPr>
  </w:style>
  <w:style w:type="paragraph" w:customStyle="1" w:styleId="Table">
    <w:name w:val="Table"/>
    <w:basedOn w:val="Normal"/>
    <w:link w:val="TableChar"/>
    <w:qFormat/>
    <w:rsid w:val="00C20B8A"/>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C20B8A"/>
    <w:rPr>
      <w:rFonts w:ascii="Candara" w:eastAsiaTheme="majorEastAsia" w:hAnsi="Candara" w:cstheme="majorBidi"/>
      <w:sz w:val="20"/>
      <w:lang w:bidi="en-US"/>
    </w:rPr>
  </w:style>
  <w:style w:type="paragraph" w:customStyle="1" w:styleId="TableCentre">
    <w:name w:val="Table Centre"/>
    <w:basedOn w:val="Table"/>
    <w:uiPriority w:val="99"/>
    <w:qFormat/>
    <w:rsid w:val="00C20B8A"/>
    <w:pPr>
      <w:jc w:val="center"/>
    </w:pPr>
  </w:style>
  <w:style w:type="table" w:styleId="TableGrid">
    <w:name w:val="Table Grid"/>
    <w:aliases w:val="Summary box,Table Gridbeth"/>
    <w:basedOn w:val="TableNormal"/>
    <w:rsid w:val="00C20B8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36969"/>
    <w:pPr>
      <w:spacing w:before="40" w:after="40"/>
    </w:pPr>
    <w:rPr>
      <w:rFonts w:ascii="Arial Narrow" w:hAnsi="Arial Narrow"/>
      <w:sz w:val="20"/>
      <w:szCs w:val="24"/>
      <w:lang w:eastAsia="en-US"/>
    </w:rPr>
  </w:style>
  <w:style w:type="paragraph" w:customStyle="1" w:styleId="Tabletextbold">
    <w:name w:val="Table text bold"/>
    <w:basedOn w:val="Normal"/>
    <w:link w:val="TabletextboldChar"/>
    <w:rsid w:val="00C20B8A"/>
    <w:pPr>
      <w:keepNext/>
      <w:jc w:val="center"/>
    </w:pPr>
    <w:rPr>
      <w:rFonts w:ascii="Arial Narrow" w:hAnsi="Arial Narrow" w:cs="Arial"/>
      <w:b/>
      <w:sz w:val="20"/>
      <w:lang w:eastAsia="en-US"/>
    </w:rPr>
  </w:style>
  <w:style w:type="character" w:customStyle="1" w:styleId="TabletextChar">
    <w:name w:val="Table text Char"/>
    <w:basedOn w:val="DefaultParagraphFont"/>
    <w:link w:val="Tabletext"/>
    <w:rsid w:val="00136969"/>
    <w:rPr>
      <w:rFonts w:ascii="Arial Narrow" w:eastAsia="Times New Roman" w:hAnsi="Arial Narrow" w:cs="Times New Roman"/>
      <w:sz w:val="20"/>
      <w:szCs w:val="24"/>
    </w:rPr>
  </w:style>
  <w:style w:type="character" w:customStyle="1" w:styleId="TabletextboldChar">
    <w:name w:val="Table text bold Char"/>
    <w:basedOn w:val="DefaultParagraphFont"/>
    <w:link w:val="Tabletextbold"/>
    <w:rsid w:val="00C20B8A"/>
    <w:rPr>
      <w:rFonts w:ascii="Arial Narrow" w:eastAsia="Times New Roman" w:hAnsi="Arial Narrow" w:cs="Arial"/>
      <w:b/>
      <w:sz w:val="20"/>
      <w:szCs w:val="20"/>
    </w:rPr>
  </w:style>
  <w:style w:type="paragraph" w:customStyle="1" w:styleId="ESHeading2">
    <w:name w:val="ES Heading 2"/>
    <w:basedOn w:val="Heading2"/>
    <w:link w:val="ESHeading2Char"/>
    <w:rsid w:val="00C20B8A"/>
    <w:pPr>
      <w:keepLines w:val="0"/>
      <w:ind w:left="576" w:hanging="576"/>
      <w:jc w:val="both"/>
    </w:pPr>
    <w:rPr>
      <w:rFonts w:ascii="Garamond" w:eastAsia="Times New Roman" w:hAnsi="Garamond" w:cs="Times New Roman"/>
      <w:iCs/>
      <w:szCs w:val="28"/>
    </w:rPr>
  </w:style>
  <w:style w:type="character" w:customStyle="1" w:styleId="ESHeading2Char">
    <w:name w:val="ES Heading 2 Char"/>
    <w:basedOn w:val="Heading2Char"/>
    <w:link w:val="ESHeading2"/>
    <w:rsid w:val="00C20B8A"/>
    <w:rPr>
      <w:rFonts w:ascii="Garamond" w:eastAsia="Times New Roman" w:hAnsi="Garamond" w:cs="Times New Roman"/>
      <w:b w:val="0"/>
      <w:bCs/>
      <w:i/>
      <w:iCs/>
      <w:color w:val="4F81BD" w:themeColor="accent1"/>
      <w:sz w:val="26"/>
      <w:szCs w:val="28"/>
      <w:lang w:eastAsia="en-AU"/>
    </w:rPr>
  </w:style>
  <w:style w:type="table" w:customStyle="1" w:styleId="Submissiontemplate2">
    <w:name w:val="Submission template2"/>
    <w:basedOn w:val="TableNormal"/>
    <w:uiPriority w:val="99"/>
    <w:rsid w:val="00C20B8A"/>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451310"/>
    <w:rPr>
      <w:rFonts w:eastAsiaTheme="majorEastAsia" w:cstheme="majorBidi"/>
      <w:bCs/>
      <w:i/>
      <w:szCs w:val="26"/>
      <w:lang w:eastAsia="en-AU"/>
    </w:rPr>
  </w:style>
  <w:style w:type="character" w:styleId="Emphasis">
    <w:name w:val="Emphasis"/>
    <w:uiPriority w:val="20"/>
    <w:qFormat/>
    <w:rsid w:val="00C84EFB"/>
    <w:rPr>
      <w:rFonts w:ascii="Garamond" w:eastAsia="Times New Roman" w:hAnsi="Garamond" w:cs="Times New Roman"/>
      <w:i/>
      <w:sz w:val="24"/>
      <w:szCs w:val="24"/>
    </w:rPr>
  </w:style>
  <w:style w:type="paragraph" w:customStyle="1" w:styleId="Tabletextboldleft">
    <w:name w:val="Table text bold left"/>
    <w:basedOn w:val="Tabletextbold"/>
    <w:link w:val="TabletextboldleftChar"/>
    <w:qFormat/>
    <w:rsid w:val="00C84EFB"/>
    <w:pPr>
      <w:jc w:val="left"/>
    </w:pPr>
  </w:style>
  <w:style w:type="character" w:customStyle="1" w:styleId="TabletextboldleftChar">
    <w:name w:val="Table text bold left Char"/>
    <w:basedOn w:val="TabletextboldChar"/>
    <w:link w:val="Tabletextboldleft"/>
    <w:rsid w:val="00C84EFB"/>
    <w:rPr>
      <w:rFonts w:ascii="Arial Narrow" w:eastAsia="Times New Roman" w:hAnsi="Arial Narrow" w:cs="Arial"/>
      <w:b/>
      <w:sz w:val="20"/>
      <w:szCs w:val="20"/>
    </w:rPr>
  </w:style>
  <w:style w:type="table" w:customStyle="1" w:styleId="Submissiontemplate7">
    <w:name w:val="Submission template7"/>
    <w:basedOn w:val="TableNormal"/>
    <w:uiPriority w:val="99"/>
    <w:rsid w:val="00C84EFB"/>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0E396B"/>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0E396B"/>
    <w:rPr>
      <w:rFonts w:ascii="Arial Narrow" w:eastAsia="Times New Roman" w:hAnsi="Arial Narrow" w:cs="Arial"/>
      <w:sz w:val="20"/>
      <w:szCs w:val="20"/>
    </w:rPr>
  </w:style>
  <w:style w:type="paragraph" w:customStyle="1" w:styleId="Tabletextcentred">
    <w:name w:val="Table text centred"/>
    <w:basedOn w:val="Tabletext"/>
    <w:link w:val="TabletextcentredChar"/>
    <w:qFormat/>
    <w:rsid w:val="000E396B"/>
    <w:pPr>
      <w:jc w:val="center"/>
    </w:pPr>
  </w:style>
  <w:style w:type="character" w:customStyle="1" w:styleId="TabletextcentredChar">
    <w:name w:val="Table text centred Char"/>
    <w:basedOn w:val="TabletextChar"/>
    <w:link w:val="Tabletextcentred"/>
    <w:rsid w:val="000E396B"/>
    <w:rPr>
      <w:rFonts w:ascii="Arial Narrow" w:eastAsia="Times New Roman" w:hAnsi="Arial Narrow" w:cs="Times New Roman"/>
      <w:sz w:val="20"/>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rsid w:val="00C67123"/>
    <w:pPr>
      <w:keepNext/>
      <w:spacing w:after="40"/>
      <w:jc w:val="both"/>
      <w:outlineLvl w:val="4"/>
    </w:pPr>
    <w:rPr>
      <w:rFonts w:ascii="Arial Narrow" w:hAnsi="Arial Narrow" w:cs="Arial"/>
      <w:b/>
      <w:bCs/>
      <w:iCs/>
      <w:sz w:val="20"/>
      <w:lang w:eastAsia="en-US"/>
    </w:rPr>
  </w:style>
  <w:style w:type="character" w:customStyle="1" w:styleId="TableBold">
    <w:name w:val="Table Bold"/>
    <w:uiPriority w:val="4"/>
    <w:qFormat/>
    <w:rsid w:val="005856E5"/>
    <w:rPr>
      <w:rFonts w:ascii="Calibri" w:hAnsi="Calibri" w:hint="default"/>
      <w:b/>
      <w:bCs w:val="0"/>
      <w:sz w:val="20"/>
      <w:lang w:val="en-AU"/>
    </w:rPr>
  </w:style>
  <w:style w:type="table" w:customStyle="1" w:styleId="TableGrid12">
    <w:name w:val="Table Grid12"/>
    <w:basedOn w:val="TableNormal"/>
    <w:next w:val="TableGrid"/>
    <w:uiPriority w:val="59"/>
    <w:rsid w:val="005856E5"/>
    <w:pPr>
      <w:spacing w:after="0" w:line="240" w:lineRule="auto"/>
    </w:pPr>
    <w:rPr>
      <w:rFonts w:ascii="Candara" w:eastAsia="Times New Roman" w:hAnsi="Candara"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qFormat/>
    <w:rsid w:val="00303414"/>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303414"/>
    <w:rPr>
      <w:rFonts w:ascii="Arial" w:eastAsia="Times New Roman" w:hAnsi="Arial" w:cs="Arial"/>
      <w:color w:val="3366FF"/>
      <w:szCs w:val="24"/>
      <w:lang w:eastAsia="en-AU"/>
    </w:rPr>
  </w:style>
  <w:style w:type="paragraph" w:styleId="NoSpacing">
    <w:name w:val="No Spacing"/>
    <w:uiPriority w:val="1"/>
    <w:qFormat/>
    <w:rsid w:val="00303414"/>
    <w:pPr>
      <w:spacing w:after="0" w:line="240" w:lineRule="auto"/>
    </w:pPr>
    <w:rPr>
      <w:rFonts w:asciiTheme="minorHAnsi" w:hAnsiTheme="minorHAnsi"/>
      <w:sz w:val="22"/>
    </w:rPr>
  </w:style>
  <w:style w:type="paragraph" w:customStyle="1" w:styleId="NormalBulletList">
    <w:name w:val="Normal Bullet List"/>
    <w:basedOn w:val="Normal"/>
    <w:uiPriority w:val="3"/>
    <w:qFormat/>
    <w:rsid w:val="00950C0C"/>
    <w:pPr>
      <w:numPr>
        <w:numId w:val="7"/>
      </w:numPr>
      <w:spacing w:after="240" w:line="276" w:lineRule="auto"/>
      <w:contextualSpacing/>
      <w:jc w:val="both"/>
    </w:pPr>
    <w:rPr>
      <w:rFonts w:ascii="Candara" w:eastAsiaTheme="majorEastAsia" w:hAnsi="Candara" w:cstheme="majorBidi"/>
      <w:szCs w:val="22"/>
      <w:lang w:eastAsia="en-US" w:bidi="en-US"/>
    </w:rPr>
  </w:style>
  <w:style w:type="paragraph" w:styleId="EndnoteText">
    <w:name w:val="endnote text"/>
    <w:basedOn w:val="Normal"/>
    <w:link w:val="EndnoteTextChar"/>
    <w:uiPriority w:val="99"/>
    <w:rsid w:val="00CD7AAF"/>
    <w:pPr>
      <w:widowControl w:val="0"/>
    </w:pPr>
    <w:rPr>
      <w:snapToGrid w:val="0"/>
      <w:sz w:val="20"/>
      <w:lang w:val="en-US" w:eastAsia="en-US"/>
    </w:rPr>
  </w:style>
  <w:style w:type="character" w:customStyle="1" w:styleId="EndnoteTextChar">
    <w:name w:val="Endnote Text Char"/>
    <w:basedOn w:val="DefaultParagraphFont"/>
    <w:link w:val="EndnoteText"/>
    <w:uiPriority w:val="99"/>
    <w:rsid w:val="00CD7AAF"/>
    <w:rPr>
      <w:rFonts w:eastAsia="Times New Roman" w:cs="Times New Roman"/>
      <w:snapToGrid w:val="0"/>
      <w:sz w:val="20"/>
      <w:szCs w:val="20"/>
      <w:lang w:val="en-US"/>
    </w:rPr>
  </w:style>
  <w:style w:type="character" w:styleId="EndnoteReference">
    <w:name w:val="endnote reference"/>
    <w:basedOn w:val="DefaultParagraphFont"/>
    <w:rsid w:val="00CD7AAF"/>
    <w:rPr>
      <w:vertAlign w:val="superscript"/>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C67123"/>
    <w:rPr>
      <w:rFonts w:ascii="Arial Narrow" w:eastAsia="Times New Roman" w:hAnsi="Arial Narrow" w:cs="Arial"/>
      <w:b/>
      <w:bCs/>
      <w:iCs/>
      <w:sz w:val="20"/>
      <w:szCs w:val="20"/>
    </w:rPr>
  </w:style>
  <w:style w:type="character" w:customStyle="1" w:styleId="SmallBold">
    <w:name w:val="Small Bold"/>
    <w:basedOn w:val="DefaultParagraphFont"/>
    <w:uiPriority w:val="4"/>
    <w:qFormat/>
    <w:rsid w:val="00FB7083"/>
    <w:rPr>
      <w:rFonts w:ascii="Candara" w:hAnsi="Candara"/>
      <w:b/>
      <w:sz w:val="20"/>
      <w:lang w:val="en-AU"/>
    </w:rPr>
  </w:style>
  <w:style w:type="table" w:customStyle="1" w:styleId="Submissiontemplate">
    <w:name w:val="Submission template"/>
    <w:basedOn w:val="TableNormal"/>
    <w:uiPriority w:val="99"/>
    <w:rsid w:val="00FB7083"/>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CommentReference">
    <w:name w:val="annotation reference"/>
    <w:basedOn w:val="DefaultParagraphFont"/>
    <w:uiPriority w:val="99"/>
    <w:semiHidden/>
    <w:unhideWhenUsed/>
    <w:rsid w:val="00C90EB4"/>
    <w:rPr>
      <w:sz w:val="16"/>
      <w:szCs w:val="16"/>
    </w:rPr>
  </w:style>
  <w:style w:type="paragraph" w:styleId="CommentText">
    <w:name w:val="annotation text"/>
    <w:basedOn w:val="Normal"/>
    <w:link w:val="CommentTextChar"/>
    <w:uiPriority w:val="99"/>
    <w:unhideWhenUsed/>
    <w:rsid w:val="00C90EB4"/>
    <w:rPr>
      <w:sz w:val="20"/>
    </w:rPr>
  </w:style>
  <w:style w:type="character" w:customStyle="1" w:styleId="CommentTextChar">
    <w:name w:val="Comment Text Char"/>
    <w:basedOn w:val="DefaultParagraphFont"/>
    <w:link w:val="CommentText"/>
    <w:uiPriority w:val="99"/>
    <w:rsid w:val="00C90EB4"/>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90EB4"/>
    <w:rPr>
      <w:b/>
      <w:bCs/>
    </w:rPr>
  </w:style>
  <w:style w:type="character" w:customStyle="1" w:styleId="CommentSubjectChar">
    <w:name w:val="Comment Subject Char"/>
    <w:basedOn w:val="CommentTextChar"/>
    <w:link w:val="CommentSubject"/>
    <w:uiPriority w:val="99"/>
    <w:semiHidden/>
    <w:rsid w:val="00C90EB4"/>
    <w:rPr>
      <w:rFonts w:eastAsia="Times New Roman" w:cs="Times New Roman"/>
      <w:b/>
      <w:bCs/>
      <w:sz w:val="20"/>
      <w:szCs w:val="20"/>
      <w:lang w:eastAsia="en-AU"/>
    </w:rPr>
  </w:style>
  <w:style w:type="paragraph" w:customStyle="1" w:styleId="TableHeading">
    <w:name w:val="TableHeading"/>
    <w:basedOn w:val="Normal"/>
    <w:link w:val="TableHeadingChar"/>
    <w:qFormat/>
    <w:rsid w:val="00054151"/>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054151"/>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9555C2"/>
    <w:pPr>
      <w:widowControl w:val="0"/>
      <w:spacing w:before="60" w:after="24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9555C2"/>
    <w:rPr>
      <w:rFonts w:ascii="Arial Narrow" w:eastAsia="Times New Roman" w:hAnsi="Arial Narrow" w:cs="Arial"/>
      <w:snapToGrid w:val="0"/>
      <w:sz w:val="18"/>
      <w:szCs w:val="20"/>
    </w:rPr>
  </w:style>
  <w:style w:type="character" w:customStyle="1" w:styleId="Heading4Char">
    <w:name w:val="Heading 4 Char"/>
    <w:basedOn w:val="DefaultParagraphFont"/>
    <w:link w:val="Heading4"/>
    <w:uiPriority w:val="9"/>
    <w:semiHidden/>
    <w:rsid w:val="007C2D6A"/>
    <w:rPr>
      <w:rFonts w:asciiTheme="majorHAnsi" w:eastAsiaTheme="majorEastAsia" w:hAnsiTheme="majorHAnsi" w:cstheme="majorBidi"/>
      <w:b/>
      <w:bCs/>
      <w:i/>
      <w:iCs/>
      <w:color w:val="4F81BD" w:themeColor="accent1"/>
      <w:szCs w:val="20"/>
      <w:lang w:eastAsia="en-AU"/>
    </w:rPr>
  </w:style>
  <w:style w:type="table" w:customStyle="1" w:styleId="TableGrid2">
    <w:name w:val="Table Grid2"/>
    <w:basedOn w:val="TableNormal"/>
    <w:next w:val="TableGrid"/>
    <w:rsid w:val="000E6588"/>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character" w:customStyle="1" w:styleId="Heading1Char">
    <w:name w:val="Heading 1 Char"/>
    <w:basedOn w:val="DefaultParagraphFont"/>
    <w:link w:val="Heading1"/>
    <w:uiPriority w:val="9"/>
    <w:rsid w:val="00AF64E7"/>
    <w:rPr>
      <w:rFonts w:eastAsiaTheme="majorEastAsia" w:cstheme="majorBidi"/>
      <w:b/>
      <w:bCs/>
      <w:szCs w:val="28"/>
      <w:lang w:eastAsia="en-AU"/>
    </w:rPr>
  </w:style>
  <w:style w:type="character" w:customStyle="1" w:styleId="Heading3Char">
    <w:name w:val="Heading 3 Char"/>
    <w:basedOn w:val="DefaultParagraphFont"/>
    <w:link w:val="Heading3"/>
    <w:uiPriority w:val="9"/>
    <w:semiHidden/>
    <w:rsid w:val="00301462"/>
    <w:rPr>
      <w:rFonts w:eastAsiaTheme="majorEastAsia" w:cstheme="majorBidi"/>
      <w:szCs w:val="24"/>
      <w:u w:val="single"/>
      <w:lang w:eastAsia="en-AU"/>
    </w:rPr>
  </w:style>
  <w:style w:type="character" w:customStyle="1" w:styleId="ListParagraphChar">
    <w:name w:val="List Paragraph Char"/>
    <w:aliases w:val="Styl moj Char,Akapit z listą1 Char,Akapit z listą11 Char"/>
    <w:link w:val="ListParagraph"/>
    <w:uiPriority w:val="34"/>
    <w:rsid w:val="00F51E0F"/>
    <w:rPr>
      <w:rFonts w:eastAsia="Times New Roman" w:cs="Times New Roman"/>
      <w:szCs w:val="20"/>
      <w:lang w:eastAsia="en-AU"/>
    </w:rPr>
  </w:style>
  <w:style w:type="paragraph" w:customStyle="1" w:styleId="Tablenotes1">
    <w:name w:val="Tablenotes 1"/>
    <w:basedOn w:val="Normal"/>
    <w:link w:val="Tablenotes1Char"/>
    <w:qFormat/>
    <w:rsid w:val="00206760"/>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206760"/>
    <w:rPr>
      <w:rFonts w:ascii="Arial Narrow" w:eastAsia="Times New Roman" w:hAnsi="Arial Narrow" w:cs="Arial"/>
      <w:snapToGrid w:val="0"/>
      <w:sz w:val="18"/>
      <w:szCs w:val="20"/>
    </w:rPr>
  </w:style>
  <w:style w:type="numbering" w:customStyle="1" w:styleId="Heading1a">
    <w:name w:val="Heading 1a"/>
    <w:basedOn w:val="NoList"/>
    <w:uiPriority w:val="99"/>
    <w:rsid w:val="00B0472C"/>
    <w:pPr>
      <w:numPr>
        <w:numId w:val="11"/>
      </w:numPr>
    </w:pPr>
  </w:style>
  <w:style w:type="paragraph" w:customStyle="1" w:styleId="Tabletext-left">
    <w:name w:val="Table text - left"/>
    <w:basedOn w:val="Normal"/>
    <w:link w:val="Tabletext-leftChar"/>
    <w:rsid w:val="00CB1778"/>
    <w:pPr>
      <w:keepNext/>
      <w:tabs>
        <w:tab w:val="left" w:pos="2835"/>
      </w:tabs>
      <w:spacing w:before="120" w:after="120" w:line="312" w:lineRule="auto"/>
      <w:jc w:val="both"/>
    </w:pPr>
    <w:rPr>
      <w:rFonts w:asciiTheme="minorHAnsi" w:hAnsiTheme="minorHAnsi" w:cs="Arial"/>
      <w:sz w:val="20"/>
      <w:lang w:eastAsia="en-US"/>
    </w:rPr>
  </w:style>
  <w:style w:type="character" w:customStyle="1" w:styleId="Tabletext-leftChar">
    <w:name w:val="Table text - left Char"/>
    <w:basedOn w:val="DefaultParagraphFont"/>
    <w:link w:val="Tabletext-left"/>
    <w:rsid w:val="00CB1778"/>
    <w:rPr>
      <w:rFonts w:asciiTheme="minorHAnsi" w:eastAsia="Times New Roman" w:hAnsiTheme="minorHAnsi" w:cs="Arial"/>
      <w:sz w:val="20"/>
      <w:szCs w:val="20"/>
    </w:rPr>
  </w:style>
  <w:style w:type="table" w:customStyle="1" w:styleId="TableGrid9">
    <w:name w:val="Table Grid9"/>
    <w:basedOn w:val="TableNormal"/>
    <w:next w:val="TableGrid"/>
    <w:uiPriority w:val="39"/>
    <w:rsid w:val="0013696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Bodytext">
    <w:name w:val="5. Body text"/>
    <w:basedOn w:val="ListParagraph"/>
    <w:link w:val="5BodytextChar"/>
    <w:qFormat/>
    <w:rsid w:val="00972D5F"/>
    <w:pPr>
      <w:autoSpaceDE w:val="0"/>
      <w:autoSpaceDN w:val="0"/>
      <w:adjustRightInd w:val="0"/>
      <w:spacing w:after="240"/>
      <w:ind w:left="0"/>
      <w:contextualSpacing w:val="0"/>
    </w:pPr>
    <w:rPr>
      <w:rFonts w:ascii="Tms Rmn" w:hAnsi="Tms Rmn"/>
      <w:szCs w:val="24"/>
    </w:rPr>
  </w:style>
  <w:style w:type="character" w:customStyle="1" w:styleId="5BodytextChar">
    <w:name w:val="5. Body text Char"/>
    <w:basedOn w:val="DefaultParagraphFont"/>
    <w:link w:val="5Bodytext"/>
    <w:rsid w:val="00972D5F"/>
    <w:rPr>
      <w:rFonts w:ascii="Tms Rmn" w:eastAsia="Times New Roman" w:hAnsi="Tms Rmn" w:cs="Times New Roman"/>
      <w:szCs w:val="24"/>
      <w:lang w:eastAsia="en-AU"/>
    </w:rPr>
  </w:style>
  <w:style w:type="paragraph" w:customStyle="1" w:styleId="Tabletextright">
    <w:name w:val="Table text right"/>
    <w:basedOn w:val="Normal"/>
    <w:link w:val="TabletextrightChar"/>
    <w:qFormat/>
    <w:rsid w:val="00972D5F"/>
    <w:pPr>
      <w:keepNext/>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972D5F"/>
    <w:rPr>
      <w:rFonts w:ascii="Arial Narrow" w:eastAsia="Times New Roman" w:hAnsi="Arial Narrow" w:cs="Arial"/>
      <w:sz w:val="20"/>
      <w:szCs w:val="20"/>
    </w:rPr>
  </w:style>
  <w:style w:type="paragraph" w:customStyle="1" w:styleId="TableText0">
    <w:name w:val="Table Text"/>
    <w:basedOn w:val="Normal"/>
    <w:link w:val="TableTextChar0"/>
    <w:rsid w:val="00575AED"/>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575AED"/>
    <w:rPr>
      <w:rFonts w:ascii="Arial Narrow" w:eastAsia="Times New Roman" w:hAnsi="Arial Narrow" w:cs="Tahoma"/>
      <w:sz w:val="20"/>
    </w:rPr>
  </w:style>
  <w:style w:type="paragraph" w:customStyle="1" w:styleId="CommentTabletext">
    <w:name w:val="Comment Table text"/>
    <w:basedOn w:val="Normal"/>
    <w:qFormat/>
    <w:rsid w:val="00575AED"/>
    <w:pPr>
      <w:tabs>
        <w:tab w:val="num" w:pos="720"/>
      </w:tabs>
      <w:spacing w:before="40" w:after="40"/>
      <w:ind w:left="720"/>
    </w:pPr>
    <w:rPr>
      <w:rFonts w:ascii="Arial Narrow" w:hAnsi="Arial Narrow" w:cs="Tahoma"/>
      <w:i/>
      <w:color w:val="1F497D" w:themeColor="text2"/>
      <w:sz w:val="20"/>
    </w:rPr>
  </w:style>
  <w:style w:type="paragraph" w:customStyle="1" w:styleId="Comment">
    <w:name w:val="Comment"/>
    <w:basedOn w:val="Normal"/>
    <w:link w:val="CommentChar"/>
    <w:qFormat/>
    <w:rsid w:val="00C263F7"/>
    <w:pPr>
      <w:tabs>
        <w:tab w:val="num" w:pos="720"/>
      </w:tabs>
      <w:spacing w:after="240" w:line="312" w:lineRule="auto"/>
      <w:jc w:val="both"/>
    </w:pPr>
    <w:rPr>
      <w:rFonts w:ascii="Calibri" w:hAnsi="Calibri" w:cs="Tahoma"/>
      <w:i/>
      <w:color w:val="1F497D" w:themeColor="text2"/>
      <w:sz w:val="22"/>
      <w:szCs w:val="22"/>
    </w:rPr>
  </w:style>
  <w:style w:type="character" w:customStyle="1" w:styleId="CommentChar">
    <w:name w:val="Comment Char"/>
    <w:basedOn w:val="DefaultParagraphFont"/>
    <w:link w:val="Comment"/>
    <w:rsid w:val="00C263F7"/>
    <w:rPr>
      <w:rFonts w:ascii="Calibri" w:eastAsia="Times New Roman" w:hAnsi="Calibri" w:cs="Tahoma"/>
      <w:i/>
      <w:color w:val="1F497D" w:themeColor="text2"/>
      <w:sz w:val="22"/>
      <w:lang w:eastAsia="en-AU"/>
    </w:rPr>
  </w:style>
  <w:style w:type="paragraph" w:customStyle="1" w:styleId="TableFooter">
    <w:name w:val="Table Footer"/>
    <w:basedOn w:val="Normal"/>
    <w:link w:val="TableFooterChar"/>
    <w:qFormat/>
    <w:rsid w:val="00EE52E1"/>
    <w:pPr>
      <w:widowControl w:val="0"/>
      <w:jc w:val="both"/>
    </w:pPr>
    <w:rPr>
      <w:rFonts w:ascii="Arial Narrow" w:hAnsi="Arial Narrow" w:cs="Arial"/>
      <w:snapToGrid w:val="0"/>
      <w:sz w:val="18"/>
      <w:szCs w:val="24"/>
      <w:lang w:eastAsia="en-US"/>
    </w:rPr>
  </w:style>
  <w:style w:type="character" w:customStyle="1" w:styleId="TableFooterChar">
    <w:name w:val="Table Footer Char"/>
    <w:link w:val="TableFooter"/>
    <w:rsid w:val="00EE52E1"/>
    <w:rPr>
      <w:rFonts w:ascii="Arial Narrow" w:eastAsia="Times New Roman" w:hAnsi="Arial Narrow" w:cs="Arial"/>
      <w:snapToGrid w:val="0"/>
      <w:sz w:val="18"/>
      <w:szCs w:val="24"/>
    </w:rPr>
  </w:style>
  <w:style w:type="table" w:customStyle="1" w:styleId="Summarybox1">
    <w:name w:val="Summary box1"/>
    <w:basedOn w:val="TableNormal"/>
    <w:next w:val="TableGrid"/>
    <w:rsid w:val="00EE52E1"/>
    <w:pPr>
      <w:spacing w:after="0" w:line="240" w:lineRule="auto"/>
      <w:jc w:val="both"/>
    </w:pPr>
    <w:rPr>
      <w:rFonts w:ascii="Calibri" w:eastAsia="MS Mincho"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Abbrevs0">
    <w:name w:val="TFAbbrevs+0"/>
    <w:basedOn w:val="Normal"/>
    <w:qFormat/>
    <w:rsid w:val="003A218A"/>
    <w:pPr>
      <w:keepNext/>
      <w:keepLines/>
    </w:pPr>
    <w:rPr>
      <w:rFonts w:ascii="Arial Narrow" w:hAnsi="Arial Narrow"/>
      <w:color w:val="000000"/>
      <w:sz w:val="18"/>
      <w:szCs w:val="18"/>
    </w:rPr>
  </w:style>
  <w:style w:type="character" w:styleId="FollowedHyperlink">
    <w:name w:val="FollowedHyperlink"/>
    <w:basedOn w:val="DefaultParagraphFont"/>
    <w:unhideWhenUsed/>
    <w:rsid w:val="0036773E"/>
    <w:rPr>
      <w:color w:val="800080" w:themeColor="followedHyperlink"/>
      <w:u w:val="single"/>
    </w:rPr>
  </w:style>
  <w:style w:type="paragraph" w:customStyle="1" w:styleId="References">
    <w:name w:val="References"/>
    <w:basedOn w:val="Normal"/>
    <w:uiPriority w:val="99"/>
    <w:rsid w:val="003419BD"/>
    <w:pPr>
      <w:keepLines/>
      <w:spacing w:after="240" w:line="312" w:lineRule="auto"/>
      <w:ind w:left="1440" w:hanging="720"/>
      <w:jc w:val="both"/>
    </w:pPr>
    <w:rPr>
      <w:rFonts w:ascii="Calibri" w:hAnsi="Calibri" w:cs="Tahoma"/>
      <w:szCs w:val="24"/>
    </w:rPr>
  </w:style>
  <w:style w:type="paragraph" w:customStyle="1" w:styleId="Sub-title">
    <w:name w:val="Sub-title"/>
    <w:basedOn w:val="Normal"/>
    <w:uiPriority w:val="99"/>
    <w:rsid w:val="003419BD"/>
    <w:pPr>
      <w:spacing w:after="240" w:line="312" w:lineRule="auto"/>
      <w:ind w:right="113"/>
      <w:jc w:val="right"/>
    </w:pPr>
    <w:rPr>
      <w:rFonts w:ascii="Arial" w:hAnsi="Arial" w:cs="Tahoma"/>
      <w:b/>
      <w:sz w:val="32"/>
      <w:szCs w:val="24"/>
    </w:rPr>
  </w:style>
  <w:style w:type="paragraph" w:styleId="DocumentMap">
    <w:name w:val="Document Map"/>
    <w:basedOn w:val="Normal"/>
    <w:link w:val="DocumentMapChar"/>
    <w:uiPriority w:val="99"/>
    <w:rsid w:val="003419BD"/>
    <w:pPr>
      <w:spacing w:after="240" w:line="312" w:lineRule="auto"/>
      <w:jc w:val="both"/>
    </w:pPr>
    <w:rPr>
      <w:rFonts w:ascii="Calibri" w:hAnsi="Calibri" w:cs="Tahoma"/>
      <w:sz w:val="16"/>
      <w:szCs w:val="16"/>
    </w:rPr>
  </w:style>
  <w:style w:type="character" w:customStyle="1" w:styleId="DocumentMapChar">
    <w:name w:val="Document Map Char"/>
    <w:basedOn w:val="DefaultParagraphFont"/>
    <w:link w:val="DocumentMap"/>
    <w:uiPriority w:val="99"/>
    <w:rsid w:val="003419BD"/>
    <w:rPr>
      <w:rFonts w:ascii="Calibri" w:eastAsia="Times New Roman" w:hAnsi="Calibri" w:cs="Tahoma"/>
      <w:sz w:val="16"/>
      <w:szCs w:val="16"/>
      <w:lang w:eastAsia="en-AU"/>
    </w:rPr>
  </w:style>
  <w:style w:type="paragraph" w:customStyle="1" w:styleId="Bullet12">
    <w:name w:val="Bullet+12"/>
    <w:basedOn w:val="Normal"/>
    <w:uiPriority w:val="99"/>
    <w:rsid w:val="003419BD"/>
    <w:pPr>
      <w:tabs>
        <w:tab w:val="num" w:pos="357"/>
      </w:tabs>
      <w:spacing w:after="240" w:line="312" w:lineRule="auto"/>
      <w:ind w:left="357" w:hanging="357"/>
      <w:jc w:val="both"/>
    </w:pPr>
    <w:rPr>
      <w:rFonts w:cs="Tahoma"/>
      <w:szCs w:val="24"/>
      <w:lang w:eastAsia="en-US"/>
    </w:rPr>
  </w:style>
  <w:style w:type="table" w:styleId="TableClassic1">
    <w:name w:val="Table Classic 1"/>
    <w:basedOn w:val="TableNormal"/>
    <w:rsid w:val="003419BD"/>
    <w:pPr>
      <w:spacing w:after="240" w:line="312" w:lineRule="auto"/>
    </w:pPr>
    <w:rPr>
      <w:rFonts w:eastAsia="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BeforeDash">
    <w:name w:val="BulletBeforeDash"/>
    <w:basedOn w:val="Normal"/>
    <w:rsid w:val="00EE6D68"/>
    <w:pPr>
      <w:numPr>
        <w:numId w:val="23"/>
      </w:numPr>
      <w:ind w:left="720"/>
    </w:pPr>
    <w:rPr>
      <w:color w:val="000000"/>
    </w:rPr>
  </w:style>
  <w:style w:type="paragraph" w:customStyle="1" w:styleId="Bullet">
    <w:name w:val="Bullet"/>
    <w:basedOn w:val="BulletBeforeDash"/>
    <w:qFormat/>
    <w:rsid w:val="00EE6D68"/>
    <w:pPr>
      <w:spacing w:after="120"/>
    </w:pPr>
  </w:style>
  <w:style w:type="paragraph" w:customStyle="1" w:styleId="BulletLast">
    <w:name w:val="BulletLast"/>
    <w:basedOn w:val="Bullet"/>
    <w:qFormat/>
    <w:rsid w:val="00EE6D68"/>
    <w:pPr>
      <w:spacing w:after="240"/>
    </w:pPr>
  </w:style>
  <w:style w:type="paragraph" w:customStyle="1" w:styleId="NormalBeforeBullet">
    <w:name w:val="NormalBeforeBullet"/>
    <w:basedOn w:val="Normal"/>
    <w:qFormat/>
    <w:rsid w:val="00EE6D68"/>
    <w:pPr>
      <w:keepNext/>
      <w:spacing w:after="120"/>
    </w:pPr>
    <w:rPr>
      <w:color w:val="000000"/>
    </w:rPr>
  </w:style>
  <w:style w:type="paragraph" w:styleId="Title">
    <w:name w:val="Title"/>
    <w:basedOn w:val="Normal"/>
    <w:next w:val="Normal"/>
    <w:link w:val="TitleChar"/>
    <w:qFormat/>
    <w:rsid w:val="007D0728"/>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7D0728"/>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D0728"/>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7D0728"/>
    <w:rPr>
      <w:rFonts w:ascii="Arial" w:eastAsia="Times New Roman" w:hAnsi="Arial" w:cs="Arial"/>
      <w:b/>
      <w:bCs/>
      <w:i/>
      <w:color w:val="000080"/>
      <w:sz w:val="28"/>
      <w:szCs w:val="28"/>
      <w:lang w:eastAsia="en-AU"/>
    </w:rPr>
  </w:style>
  <w:style w:type="paragraph" w:customStyle="1" w:styleId="Default">
    <w:name w:val="Default"/>
    <w:rsid w:val="007D0728"/>
    <w:pPr>
      <w:autoSpaceDE w:val="0"/>
      <w:autoSpaceDN w:val="0"/>
      <w:adjustRightInd w:val="0"/>
      <w:spacing w:after="0" w:line="240" w:lineRule="auto"/>
    </w:pPr>
    <w:rPr>
      <w:rFonts w:eastAsia="Calibri" w:cs="Times New Roman"/>
      <w:color w:val="000000"/>
      <w:szCs w:val="24"/>
    </w:rPr>
  </w:style>
  <w:style w:type="character" w:styleId="IntenseReference">
    <w:name w:val="Intense Reference"/>
    <w:basedOn w:val="DefaultParagraphFont"/>
    <w:uiPriority w:val="32"/>
    <w:qFormat/>
    <w:rsid w:val="005F24DD"/>
    <w:rPr>
      <w:b/>
      <w:bCs/>
      <w:i/>
      <w:smallCaps/>
      <w:color w:val="C0504D" w:themeColor="accent2"/>
      <w:spacing w:val="5"/>
      <w:u w:val="none"/>
    </w:rPr>
  </w:style>
  <w:style w:type="paragraph" w:customStyle="1" w:styleId="BoxText">
    <w:name w:val="BoxText"/>
    <w:basedOn w:val="Normal"/>
    <w:qFormat/>
    <w:rsid w:val="00583377"/>
    <w:pPr>
      <w:pBdr>
        <w:top w:val="single" w:sz="4" w:space="4" w:color="000000"/>
        <w:left w:val="single" w:sz="4" w:space="4" w:color="000000"/>
        <w:bottom w:val="single" w:sz="4" w:space="4" w:color="000000"/>
        <w:right w:val="single" w:sz="4" w:space="4" w:color="000000"/>
      </w:pBdr>
      <w:spacing w:after="120"/>
    </w:pPr>
    <w:rPr>
      <w:color w:val="000000"/>
    </w:rPr>
  </w:style>
  <w:style w:type="paragraph" w:styleId="Revision">
    <w:name w:val="Revision"/>
    <w:hidden/>
    <w:uiPriority w:val="99"/>
    <w:semiHidden/>
    <w:rsid w:val="00583377"/>
    <w:pPr>
      <w:spacing w:after="0" w:line="240" w:lineRule="auto"/>
    </w:pPr>
    <w:rPr>
      <w:rFonts w:eastAsia="Times New Roman" w:cs="Times New Roman"/>
      <w:szCs w:val="20"/>
      <w:lang w:eastAsia="en-AU"/>
    </w:rPr>
  </w:style>
  <w:style w:type="character" w:customStyle="1" w:styleId="normaltextrun">
    <w:name w:val="normaltextrun"/>
    <w:basedOn w:val="DefaultParagraphFont"/>
    <w:rsid w:val="00583377"/>
  </w:style>
  <w:style w:type="character" w:customStyle="1" w:styleId="findhit">
    <w:name w:val="findhit"/>
    <w:basedOn w:val="DefaultParagraphFont"/>
    <w:rsid w:val="00583377"/>
  </w:style>
  <w:style w:type="character" w:customStyle="1" w:styleId="eop">
    <w:name w:val="eop"/>
    <w:basedOn w:val="DefaultParagraphFont"/>
    <w:rsid w:val="00583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4886">
      <w:bodyDiv w:val="1"/>
      <w:marLeft w:val="0"/>
      <w:marRight w:val="0"/>
      <w:marTop w:val="0"/>
      <w:marBottom w:val="0"/>
      <w:divBdr>
        <w:top w:val="none" w:sz="0" w:space="0" w:color="auto"/>
        <w:left w:val="none" w:sz="0" w:space="0" w:color="auto"/>
        <w:bottom w:val="none" w:sz="0" w:space="0" w:color="auto"/>
        <w:right w:val="none" w:sz="0" w:space="0" w:color="auto"/>
      </w:divBdr>
      <w:divsChild>
        <w:div w:id="971981108">
          <w:marLeft w:val="288"/>
          <w:marRight w:val="0"/>
          <w:marTop w:val="72"/>
          <w:marBottom w:val="0"/>
          <w:divBdr>
            <w:top w:val="none" w:sz="0" w:space="0" w:color="auto"/>
            <w:left w:val="none" w:sz="0" w:space="0" w:color="auto"/>
            <w:bottom w:val="none" w:sz="0" w:space="0" w:color="auto"/>
            <w:right w:val="none" w:sz="0" w:space="0" w:color="auto"/>
          </w:divBdr>
        </w:div>
      </w:divsChild>
    </w:div>
    <w:div w:id="727845796">
      <w:bodyDiv w:val="1"/>
      <w:marLeft w:val="0"/>
      <w:marRight w:val="0"/>
      <w:marTop w:val="0"/>
      <w:marBottom w:val="0"/>
      <w:divBdr>
        <w:top w:val="none" w:sz="0" w:space="0" w:color="auto"/>
        <w:left w:val="none" w:sz="0" w:space="0" w:color="auto"/>
        <w:bottom w:val="none" w:sz="0" w:space="0" w:color="auto"/>
        <w:right w:val="none" w:sz="0" w:space="0" w:color="auto"/>
      </w:divBdr>
      <w:divsChild>
        <w:div w:id="93476624">
          <w:marLeft w:val="288"/>
          <w:marRight w:val="0"/>
          <w:marTop w:val="72"/>
          <w:marBottom w:val="0"/>
          <w:divBdr>
            <w:top w:val="none" w:sz="0" w:space="0" w:color="auto"/>
            <w:left w:val="none" w:sz="0" w:space="0" w:color="auto"/>
            <w:bottom w:val="none" w:sz="0" w:space="0" w:color="auto"/>
            <w:right w:val="none" w:sz="0" w:space="0" w:color="auto"/>
          </w:divBdr>
        </w:div>
      </w:divsChild>
    </w:div>
    <w:div w:id="1034232757">
      <w:bodyDiv w:val="1"/>
      <w:marLeft w:val="0"/>
      <w:marRight w:val="0"/>
      <w:marTop w:val="0"/>
      <w:marBottom w:val="0"/>
      <w:divBdr>
        <w:top w:val="none" w:sz="0" w:space="0" w:color="auto"/>
        <w:left w:val="none" w:sz="0" w:space="0" w:color="auto"/>
        <w:bottom w:val="none" w:sz="0" w:space="0" w:color="auto"/>
        <w:right w:val="none" w:sz="0" w:space="0" w:color="auto"/>
      </w:divBdr>
      <w:divsChild>
        <w:div w:id="1306818436">
          <w:marLeft w:val="288"/>
          <w:marRight w:val="0"/>
          <w:marTop w:val="72"/>
          <w:marBottom w:val="0"/>
          <w:divBdr>
            <w:top w:val="none" w:sz="0" w:space="0" w:color="auto"/>
            <w:left w:val="none" w:sz="0" w:space="0" w:color="auto"/>
            <w:bottom w:val="none" w:sz="0" w:space="0" w:color="auto"/>
            <w:right w:val="none" w:sz="0" w:space="0" w:color="auto"/>
          </w:divBdr>
        </w:div>
      </w:divsChild>
    </w:div>
    <w:div w:id="1209880183">
      <w:bodyDiv w:val="1"/>
      <w:marLeft w:val="0"/>
      <w:marRight w:val="0"/>
      <w:marTop w:val="0"/>
      <w:marBottom w:val="0"/>
      <w:divBdr>
        <w:top w:val="none" w:sz="0" w:space="0" w:color="auto"/>
        <w:left w:val="none" w:sz="0" w:space="0" w:color="auto"/>
        <w:bottom w:val="none" w:sz="0" w:space="0" w:color="auto"/>
        <w:right w:val="none" w:sz="0" w:space="0" w:color="auto"/>
      </w:divBdr>
      <w:divsChild>
        <w:div w:id="2018075833">
          <w:marLeft w:val="288"/>
          <w:marRight w:val="0"/>
          <w:marTop w:val="115"/>
          <w:marBottom w:val="0"/>
          <w:divBdr>
            <w:top w:val="none" w:sz="0" w:space="0" w:color="auto"/>
            <w:left w:val="none" w:sz="0" w:space="0" w:color="auto"/>
            <w:bottom w:val="none" w:sz="0" w:space="0" w:color="auto"/>
            <w:right w:val="none" w:sz="0" w:space="0" w:color="auto"/>
          </w:divBdr>
        </w:div>
        <w:div w:id="1025593109">
          <w:marLeft w:val="288"/>
          <w:marRight w:val="0"/>
          <w:marTop w:val="115"/>
          <w:marBottom w:val="0"/>
          <w:divBdr>
            <w:top w:val="none" w:sz="0" w:space="0" w:color="auto"/>
            <w:left w:val="none" w:sz="0" w:space="0" w:color="auto"/>
            <w:bottom w:val="none" w:sz="0" w:space="0" w:color="auto"/>
            <w:right w:val="none" w:sz="0" w:space="0" w:color="auto"/>
          </w:divBdr>
        </w:div>
        <w:div w:id="849488156">
          <w:marLeft w:val="720"/>
          <w:marRight w:val="0"/>
          <w:marTop w:val="96"/>
          <w:marBottom w:val="0"/>
          <w:divBdr>
            <w:top w:val="none" w:sz="0" w:space="0" w:color="auto"/>
            <w:left w:val="none" w:sz="0" w:space="0" w:color="auto"/>
            <w:bottom w:val="none" w:sz="0" w:space="0" w:color="auto"/>
            <w:right w:val="none" w:sz="0" w:space="0" w:color="auto"/>
          </w:divBdr>
        </w:div>
        <w:div w:id="602231550">
          <w:marLeft w:val="720"/>
          <w:marRight w:val="0"/>
          <w:marTop w:val="96"/>
          <w:marBottom w:val="0"/>
          <w:divBdr>
            <w:top w:val="none" w:sz="0" w:space="0" w:color="auto"/>
            <w:left w:val="none" w:sz="0" w:space="0" w:color="auto"/>
            <w:bottom w:val="none" w:sz="0" w:space="0" w:color="auto"/>
            <w:right w:val="none" w:sz="0" w:space="0" w:color="auto"/>
          </w:divBdr>
        </w:div>
        <w:div w:id="1425762532">
          <w:marLeft w:val="720"/>
          <w:marRight w:val="0"/>
          <w:marTop w:val="96"/>
          <w:marBottom w:val="0"/>
          <w:divBdr>
            <w:top w:val="none" w:sz="0" w:space="0" w:color="auto"/>
            <w:left w:val="none" w:sz="0" w:space="0" w:color="auto"/>
            <w:bottom w:val="none" w:sz="0" w:space="0" w:color="auto"/>
            <w:right w:val="none" w:sz="0" w:space="0" w:color="auto"/>
          </w:divBdr>
        </w:div>
        <w:div w:id="2022856094">
          <w:marLeft w:val="720"/>
          <w:marRight w:val="0"/>
          <w:marTop w:val="96"/>
          <w:marBottom w:val="0"/>
          <w:divBdr>
            <w:top w:val="none" w:sz="0" w:space="0" w:color="auto"/>
            <w:left w:val="none" w:sz="0" w:space="0" w:color="auto"/>
            <w:bottom w:val="none" w:sz="0" w:space="0" w:color="auto"/>
            <w:right w:val="none" w:sz="0" w:space="0" w:color="auto"/>
          </w:divBdr>
        </w:div>
        <w:div w:id="1212351607">
          <w:marLeft w:val="720"/>
          <w:marRight w:val="0"/>
          <w:marTop w:val="96"/>
          <w:marBottom w:val="0"/>
          <w:divBdr>
            <w:top w:val="none" w:sz="0" w:space="0" w:color="auto"/>
            <w:left w:val="none" w:sz="0" w:space="0" w:color="auto"/>
            <w:bottom w:val="none" w:sz="0" w:space="0" w:color="auto"/>
            <w:right w:val="none" w:sz="0" w:space="0" w:color="auto"/>
          </w:divBdr>
        </w:div>
        <w:div w:id="1886022654">
          <w:marLeft w:val="288"/>
          <w:marRight w:val="0"/>
          <w:marTop w:val="115"/>
          <w:marBottom w:val="0"/>
          <w:divBdr>
            <w:top w:val="none" w:sz="0" w:space="0" w:color="auto"/>
            <w:left w:val="none" w:sz="0" w:space="0" w:color="auto"/>
            <w:bottom w:val="none" w:sz="0" w:space="0" w:color="auto"/>
            <w:right w:val="none" w:sz="0" w:space="0" w:color="auto"/>
          </w:divBdr>
        </w:div>
        <w:div w:id="767233440">
          <w:marLeft w:val="720"/>
          <w:marRight w:val="0"/>
          <w:marTop w:val="96"/>
          <w:marBottom w:val="0"/>
          <w:divBdr>
            <w:top w:val="none" w:sz="0" w:space="0" w:color="auto"/>
            <w:left w:val="none" w:sz="0" w:space="0" w:color="auto"/>
            <w:bottom w:val="none" w:sz="0" w:space="0" w:color="auto"/>
            <w:right w:val="none" w:sz="0" w:space="0" w:color="auto"/>
          </w:divBdr>
        </w:div>
        <w:div w:id="1368337606">
          <w:marLeft w:val="288"/>
          <w:marRight w:val="0"/>
          <w:marTop w:val="115"/>
          <w:marBottom w:val="0"/>
          <w:divBdr>
            <w:top w:val="none" w:sz="0" w:space="0" w:color="auto"/>
            <w:left w:val="none" w:sz="0" w:space="0" w:color="auto"/>
            <w:bottom w:val="none" w:sz="0" w:space="0" w:color="auto"/>
            <w:right w:val="none" w:sz="0" w:space="0" w:color="auto"/>
          </w:divBdr>
        </w:div>
        <w:div w:id="1661419370">
          <w:marLeft w:val="720"/>
          <w:marRight w:val="0"/>
          <w:marTop w:val="96"/>
          <w:marBottom w:val="0"/>
          <w:divBdr>
            <w:top w:val="none" w:sz="0" w:space="0" w:color="auto"/>
            <w:left w:val="none" w:sz="0" w:space="0" w:color="auto"/>
            <w:bottom w:val="none" w:sz="0" w:space="0" w:color="auto"/>
            <w:right w:val="none" w:sz="0" w:space="0" w:color="auto"/>
          </w:divBdr>
        </w:div>
        <w:div w:id="874275967">
          <w:marLeft w:val="720"/>
          <w:marRight w:val="0"/>
          <w:marTop w:val="96"/>
          <w:marBottom w:val="0"/>
          <w:divBdr>
            <w:top w:val="none" w:sz="0" w:space="0" w:color="auto"/>
            <w:left w:val="none" w:sz="0" w:space="0" w:color="auto"/>
            <w:bottom w:val="none" w:sz="0" w:space="0" w:color="auto"/>
            <w:right w:val="none" w:sz="0" w:space="0" w:color="auto"/>
          </w:divBdr>
        </w:div>
        <w:div w:id="629744127">
          <w:marLeft w:val="288"/>
          <w:marRight w:val="0"/>
          <w:marTop w:val="115"/>
          <w:marBottom w:val="0"/>
          <w:divBdr>
            <w:top w:val="none" w:sz="0" w:space="0" w:color="auto"/>
            <w:left w:val="none" w:sz="0" w:space="0" w:color="auto"/>
            <w:bottom w:val="none" w:sz="0" w:space="0" w:color="auto"/>
            <w:right w:val="none" w:sz="0" w:space="0" w:color="auto"/>
          </w:divBdr>
        </w:div>
        <w:div w:id="747309560">
          <w:marLeft w:val="720"/>
          <w:marRight w:val="0"/>
          <w:marTop w:val="96"/>
          <w:marBottom w:val="0"/>
          <w:divBdr>
            <w:top w:val="none" w:sz="0" w:space="0" w:color="auto"/>
            <w:left w:val="none" w:sz="0" w:space="0" w:color="auto"/>
            <w:bottom w:val="none" w:sz="0" w:space="0" w:color="auto"/>
            <w:right w:val="none" w:sz="0" w:space="0" w:color="auto"/>
          </w:divBdr>
        </w:div>
        <w:div w:id="1658532416">
          <w:marLeft w:val="720"/>
          <w:marRight w:val="0"/>
          <w:marTop w:val="96"/>
          <w:marBottom w:val="0"/>
          <w:divBdr>
            <w:top w:val="none" w:sz="0" w:space="0" w:color="auto"/>
            <w:left w:val="none" w:sz="0" w:space="0" w:color="auto"/>
            <w:bottom w:val="none" w:sz="0" w:space="0" w:color="auto"/>
            <w:right w:val="none" w:sz="0" w:space="0" w:color="auto"/>
          </w:divBdr>
        </w:div>
      </w:divsChild>
    </w:div>
    <w:div w:id="1647589096">
      <w:bodyDiv w:val="1"/>
      <w:marLeft w:val="0"/>
      <w:marRight w:val="0"/>
      <w:marTop w:val="0"/>
      <w:marBottom w:val="0"/>
      <w:divBdr>
        <w:top w:val="none" w:sz="0" w:space="0" w:color="auto"/>
        <w:left w:val="none" w:sz="0" w:space="0" w:color="auto"/>
        <w:bottom w:val="none" w:sz="0" w:space="0" w:color="auto"/>
        <w:right w:val="none" w:sz="0" w:space="0" w:color="auto"/>
      </w:divBdr>
      <w:divsChild>
        <w:div w:id="1111163887">
          <w:marLeft w:val="720"/>
          <w:marRight w:val="0"/>
          <w:marTop w:val="77"/>
          <w:marBottom w:val="0"/>
          <w:divBdr>
            <w:top w:val="none" w:sz="0" w:space="0" w:color="auto"/>
            <w:left w:val="none" w:sz="0" w:space="0" w:color="auto"/>
            <w:bottom w:val="none" w:sz="0" w:space="0" w:color="auto"/>
            <w:right w:val="none" w:sz="0" w:space="0" w:color="auto"/>
          </w:divBdr>
        </w:div>
      </w:divsChild>
    </w:div>
    <w:div w:id="2082940088">
      <w:bodyDiv w:val="1"/>
      <w:marLeft w:val="0"/>
      <w:marRight w:val="0"/>
      <w:marTop w:val="0"/>
      <w:marBottom w:val="0"/>
      <w:divBdr>
        <w:top w:val="none" w:sz="0" w:space="0" w:color="auto"/>
        <w:left w:val="none" w:sz="0" w:space="0" w:color="auto"/>
        <w:bottom w:val="none" w:sz="0" w:space="0" w:color="auto"/>
        <w:right w:val="none" w:sz="0" w:space="0" w:color="auto"/>
      </w:divBdr>
    </w:div>
    <w:div w:id="20862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internet/msac/publishing.nsf/Content/E10F20CB0BA06525CA2582FD001EF1D0/$File/1546_RATIFIED_PICO.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E10F20CB0BA06525CA2582FD001EF1D0/$File/1546%20-Final%20PSD.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ac.gov.au/internet/msac/publishing.nsf/Content/E10F20CB0BA06525CA2582FD001EF1D0/$File/1546%20-Final%20PSD.docx"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1BE93-F867-4D89-A880-CF160EB5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11465</Words>
  <Characters>65353</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2021-09-24T05:35:00Z</dcterms:created>
  <dcterms:modified xsi:type="dcterms:W3CDTF">2021-09-26T23:49:00Z</dcterms:modified>
</cp:coreProperties>
</file>