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BC8AE" w14:textId="77777777" w:rsidR="000B638D" w:rsidRPr="00707064" w:rsidRDefault="000B638D" w:rsidP="000B638D">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A93F364" wp14:editId="68ECF12F">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32E7A01" w14:textId="77777777" w:rsidR="000B638D" w:rsidRPr="00F715D1" w:rsidRDefault="000B638D" w:rsidP="000B638D">
      <w:pPr>
        <w:pStyle w:val="Title"/>
        <w:tabs>
          <w:tab w:val="left" w:pos="1926"/>
          <w:tab w:val="center" w:pos="4513"/>
        </w:tabs>
        <w:jc w:val="left"/>
      </w:pPr>
      <w:r>
        <w:tab/>
      </w:r>
      <w:r>
        <w:tab/>
      </w:r>
      <w:r w:rsidRPr="00F715D1">
        <w:t>Public Summary Document</w:t>
      </w:r>
    </w:p>
    <w:p w14:paraId="790B3414" w14:textId="01B57677" w:rsidR="000B638D" w:rsidRPr="00F715D1" w:rsidRDefault="000B638D" w:rsidP="000B638D">
      <w:pPr>
        <w:pStyle w:val="Subtitle"/>
      </w:pPr>
      <w:r w:rsidRPr="00F715D1">
        <w:t xml:space="preserve">Application No. </w:t>
      </w:r>
      <w:r>
        <w:t>1560</w:t>
      </w:r>
      <w:r w:rsidRPr="00F715D1">
        <w:t xml:space="preserve"> – </w:t>
      </w:r>
      <w:r w:rsidRPr="000B638D">
        <w:t>17p</w:t>
      </w:r>
      <w:r w:rsidR="00887F58" w:rsidRPr="000B638D">
        <w:t xml:space="preserve"> deletion testing by </w:t>
      </w:r>
      <w:r w:rsidR="00887F58" w:rsidRPr="00BD4D5F">
        <w:t>flu</w:t>
      </w:r>
      <w:r w:rsidR="00887F58">
        <w:t>orescence in</w:t>
      </w:r>
      <w:r w:rsidR="00F93DA9">
        <w:t> </w:t>
      </w:r>
      <w:r w:rsidR="00887F58">
        <w:t>situ hybridization</w:t>
      </w:r>
      <w:r w:rsidR="00887F58" w:rsidRPr="000B638D">
        <w:t xml:space="preserve"> for access to ibrutinib in patients with previously untreated chronic lymphoid leukaemia or small lymphocytic ly</w:t>
      </w:r>
      <w:r w:rsidRPr="000B638D">
        <w:t>mphoma</w:t>
      </w:r>
    </w:p>
    <w:p w14:paraId="3DD9DA8D" w14:textId="4D514618" w:rsidR="000B638D" w:rsidRPr="00F715D1" w:rsidRDefault="000B638D" w:rsidP="000B638D">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055389">
        <w:rPr>
          <w:rFonts w:ascii="Arial" w:hAnsi="Arial" w:cs="Arial"/>
          <w:b/>
          <w:szCs w:val="24"/>
        </w:rPr>
        <w:tab/>
      </w:r>
      <w:r w:rsidR="00887F58">
        <w:rPr>
          <w:rFonts w:ascii="Arial" w:hAnsi="Arial" w:cs="Arial"/>
          <w:b/>
          <w:szCs w:val="24"/>
        </w:rPr>
        <w:t>Janssen-</w:t>
      </w:r>
      <w:proofErr w:type="spellStart"/>
      <w:r w:rsidR="00887F58">
        <w:rPr>
          <w:rFonts w:ascii="Arial" w:hAnsi="Arial" w:cs="Arial"/>
          <w:b/>
          <w:szCs w:val="24"/>
        </w:rPr>
        <w:t>Cilag</w:t>
      </w:r>
      <w:proofErr w:type="spellEnd"/>
      <w:r w:rsidR="00E72424">
        <w:rPr>
          <w:rFonts w:ascii="Arial" w:hAnsi="Arial" w:cs="Arial"/>
          <w:b/>
          <w:szCs w:val="24"/>
        </w:rPr>
        <w:t xml:space="preserve"> Pty Ltd</w:t>
      </w:r>
    </w:p>
    <w:p w14:paraId="69A233A7" w14:textId="77777777" w:rsidR="000B638D" w:rsidRPr="00F715D1" w:rsidRDefault="000B638D" w:rsidP="000B638D">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0EA4851B" w14:textId="77777777" w:rsidR="000B638D" w:rsidRPr="00B03EAB" w:rsidRDefault="000B638D" w:rsidP="000B638D">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589324D0" w14:textId="4F270F5D" w:rsidR="000B638D" w:rsidRPr="00F715D1" w:rsidRDefault="00B51C75" w:rsidP="000B638D">
      <w:pPr>
        <w:pStyle w:val="Heading1"/>
      </w:pPr>
      <w:r>
        <w:t>Purpose of application</w:t>
      </w:r>
    </w:p>
    <w:p w14:paraId="1FF82EC2" w14:textId="2520C049" w:rsidR="00347F49" w:rsidRDefault="00347F49" w:rsidP="00347F49">
      <w:pPr>
        <w:spacing w:after="240"/>
        <w:rPr>
          <w:i/>
        </w:rPr>
      </w:pPr>
      <w:r>
        <w:rPr>
          <w:rFonts w:cs="Arial"/>
          <w:noProof/>
        </w:rPr>
        <w:t>An application requesting</w:t>
      </w:r>
      <w:r w:rsidRPr="00BE1D60">
        <w:rPr>
          <w:rFonts w:cs="Arial"/>
          <w:noProof/>
        </w:rPr>
        <w:t xml:space="preserve"> an amendment to the Medicare Benefits Schedule (MBS) item 73343 to broaden the reimbursement of the </w:t>
      </w:r>
      <w:r w:rsidRPr="00BE1D60">
        <w:rPr>
          <w:rFonts w:cs="Arial"/>
        </w:rPr>
        <w:t xml:space="preserve">fluorescence </w:t>
      </w:r>
      <w:r w:rsidRPr="00887F58">
        <w:rPr>
          <w:rFonts w:cs="Arial"/>
          <w:i/>
        </w:rPr>
        <w:t>in</w:t>
      </w:r>
      <w:r w:rsidR="00F93DA9">
        <w:rPr>
          <w:rFonts w:cs="Arial"/>
          <w:i/>
        </w:rPr>
        <w:t> </w:t>
      </w:r>
      <w:r w:rsidRPr="00887F58">
        <w:rPr>
          <w:rFonts w:cs="Arial"/>
          <w:i/>
        </w:rPr>
        <w:t>situ</w:t>
      </w:r>
      <w:r w:rsidRPr="00BE1D60">
        <w:rPr>
          <w:rFonts w:cs="Arial"/>
        </w:rPr>
        <w:t xml:space="preserve"> hybridization </w:t>
      </w:r>
      <w:r>
        <w:rPr>
          <w:rFonts w:cs="Arial"/>
        </w:rPr>
        <w:t>(</w:t>
      </w:r>
      <w:r w:rsidRPr="00BE1D60">
        <w:rPr>
          <w:rFonts w:cs="Arial"/>
        </w:rPr>
        <w:t>FISH</w:t>
      </w:r>
      <w:r>
        <w:rPr>
          <w:rFonts w:cs="Arial"/>
        </w:rPr>
        <w:t>)</w:t>
      </w:r>
      <w:r w:rsidRPr="00BE1D60">
        <w:rPr>
          <w:rFonts w:cs="Arial"/>
        </w:rPr>
        <w:t xml:space="preserve"> test for the detection of </w:t>
      </w:r>
      <w:r w:rsidRPr="00B51C75">
        <w:rPr>
          <w:rFonts w:cs="Arial"/>
        </w:rPr>
        <w:t xml:space="preserve">17p </w:t>
      </w:r>
      <w:r w:rsidR="00B51C75">
        <w:rPr>
          <w:rFonts w:cs="Arial"/>
        </w:rPr>
        <w:t>deletion (</w:t>
      </w:r>
      <w:r w:rsidR="00B51C75" w:rsidRPr="00B51C75">
        <w:rPr>
          <w:rFonts w:cs="Arial"/>
          <w:i/>
        </w:rPr>
        <w:t>del(17p)</w:t>
      </w:r>
      <w:r w:rsidR="00B51C75">
        <w:rPr>
          <w:rFonts w:cs="Arial"/>
        </w:rPr>
        <w:t xml:space="preserve">) </w:t>
      </w:r>
      <w:r w:rsidRPr="00BE1D60">
        <w:rPr>
          <w:rFonts w:cs="Arial"/>
        </w:rPr>
        <w:t xml:space="preserve">for </w:t>
      </w:r>
      <w:r w:rsidRPr="00FD6FDF">
        <w:rPr>
          <w:rFonts w:cs="Arial"/>
        </w:rPr>
        <w:t xml:space="preserve">all </w:t>
      </w:r>
      <w:r w:rsidR="00887F58">
        <w:rPr>
          <w:rFonts w:cs="Arial"/>
        </w:rPr>
        <w:t xml:space="preserve">patients with </w:t>
      </w:r>
      <w:r>
        <w:rPr>
          <w:rFonts w:cs="Arial"/>
        </w:rPr>
        <w:t>chronic lymphocytic leukaemia (</w:t>
      </w:r>
      <w:r w:rsidRPr="00BE1D60">
        <w:rPr>
          <w:rFonts w:cs="Arial"/>
        </w:rPr>
        <w:t>CLL</w:t>
      </w:r>
      <w:r>
        <w:rPr>
          <w:rFonts w:cs="Arial"/>
        </w:rPr>
        <w:t>)</w:t>
      </w:r>
      <w:r w:rsidR="00887F58">
        <w:rPr>
          <w:rFonts w:cs="Arial"/>
        </w:rPr>
        <w:t xml:space="preserve"> or </w:t>
      </w:r>
      <w:r>
        <w:rPr>
          <w:rFonts w:cs="Arial"/>
        </w:rPr>
        <w:t>small lymphocytic lymphoma (</w:t>
      </w:r>
      <w:r w:rsidRPr="00BE1D60">
        <w:rPr>
          <w:rFonts w:cs="Arial"/>
        </w:rPr>
        <w:t>SLL</w:t>
      </w:r>
      <w:r>
        <w:rPr>
          <w:rFonts w:cs="Arial"/>
        </w:rPr>
        <w:t>)</w:t>
      </w:r>
      <w:r w:rsidRPr="00BE1D60">
        <w:rPr>
          <w:rFonts w:cs="Arial"/>
        </w:rPr>
        <w:t xml:space="preserve"> requiring treatment, agnostic of line of therapy.</w:t>
      </w:r>
    </w:p>
    <w:p w14:paraId="0F26913C" w14:textId="77777777" w:rsidR="000B638D" w:rsidRPr="00F715D1" w:rsidRDefault="000B638D" w:rsidP="00347F49">
      <w:pPr>
        <w:pStyle w:val="Heading1"/>
      </w:pPr>
      <w:r w:rsidRPr="00F715D1">
        <w:t>MSAC’s advice to the Minister</w:t>
      </w:r>
    </w:p>
    <w:p w14:paraId="6D9F6553" w14:textId="5DDA9A51" w:rsidR="001D44D1" w:rsidRPr="00480B0B" w:rsidRDefault="001D44D1" w:rsidP="00480B0B">
      <w:r w:rsidRPr="00480B0B">
        <w:t xml:space="preserve">After considering the strength of the available evidence in relation to comparative safety, clinical effectiveness and cost-effectiveness, </w:t>
      </w:r>
      <w:bookmarkStart w:id="1" w:name="_Hlk31805358"/>
      <w:r w:rsidRPr="00480B0B">
        <w:t>MSAC supported the modification of existing MBS item 73343, to expand the eligible population for this test to include previously untreated patients and to limit the testing to no more frequent</w:t>
      </w:r>
      <w:r w:rsidR="00283426" w:rsidRPr="00480B0B">
        <w:t>ly</w:t>
      </w:r>
      <w:r w:rsidRPr="00480B0B">
        <w:t xml:space="preserve"> than one test per year</w:t>
      </w:r>
      <w:bookmarkEnd w:id="1"/>
      <w:r w:rsidRPr="00480B0B">
        <w:t>.</w:t>
      </w:r>
    </w:p>
    <w:p w14:paraId="572BA17A" w14:textId="355C5F16" w:rsidR="00E73132" w:rsidRPr="00480B0B" w:rsidRDefault="001D44D1" w:rsidP="00480B0B">
      <w:pPr>
        <w:spacing w:before="240" w:after="240"/>
      </w:pPr>
      <w:r w:rsidRPr="00480B0B">
        <w:t xml:space="preserve">MSAC advised that implementation of this advice should not necessarily be impeded by the </w:t>
      </w:r>
      <w:proofErr w:type="gramStart"/>
      <w:r w:rsidRPr="00480B0B">
        <w:t>implementation</w:t>
      </w:r>
      <w:proofErr w:type="gramEnd"/>
      <w:r w:rsidRPr="00480B0B">
        <w:t xml:space="preserve"> of its related advice from </w:t>
      </w:r>
      <w:r w:rsidR="00E73132" w:rsidRPr="00480B0B">
        <w:t>Application 1544.</w:t>
      </w:r>
    </w:p>
    <w:tbl>
      <w:tblPr>
        <w:tblStyle w:val="TableGrid"/>
        <w:tblW w:w="0" w:type="auto"/>
        <w:tblLook w:val="04A0" w:firstRow="1" w:lastRow="0" w:firstColumn="1" w:lastColumn="0" w:noHBand="0" w:noVBand="1"/>
        <w:tblDescription w:val="Consumer summary of MSAC consideration"/>
      </w:tblPr>
      <w:tblGrid>
        <w:gridCol w:w="9016"/>
      </w:tblGrid>
      <w:tr w:rsidR="00E73132" w14:paraId="3E2377C3" w14:textId="77777777" w:rsidTr="00480B0B">
        <w:trPr>
          <w:tblHeader/>
        </w:trPr>
        <w:tc>
          <w:tcPr>
            <w:tcW w:w="9016" w:type="dxa"/>
          </w:tcPr>
          <w:p w14:paraId="170F39A7" w14:textId="42DD1A2A" w:rsidR="00E73132" w:rsidRPr="00E73132" w:rsidRDefault="00E73132" w:rsidP="00E73132">
            <w:pPr>
              <w:spacing w:before="120" w:after="120"/>
              <w:rPr>
                <w:rFonts w:ascii="Times New Roman" w:hAnsi="Times New Roman" w:cs="Times New Roman"/>
                <w:b/>
                <w:sz w:val="24"/>
                <w:szCs w:val="24"/>
              </w:rPr>
            </w:pPr>
            <w:r w:rsidRPr="00E73132">
              <w:rPr>
                <w:rFonts w:ascii="Times New Roman" w:hAnsi="Times New Roman" w:cs="Times New Roman"/>
                <w:b/>
                <w:sz w:val="24"/>
                <w:szCs w:val="24"/>
              </w:rPr>
              <w:t>Consumer summary</w:t>
            </w:r>
          </w:p>
        </w:tc>
      </w:tr>
      <w:tr w:rsidR="00E73132" w14:paraId="77F1B359" w14:textId="77777777" w:rsidTr="00E73132">
        <w:tc>
          <w:tcPr>
            <w:tcW w:w="9016" w:type="dxa"/>
          </w:tcPr>
          <w:p w14:paraId="19B1196A" w14:textId="46F1A590" w:rsidR="00DA255F" w:rsidRPr="00E73132" w:rsidRDefault="00E73132" w:rsidP="00E73132">
            <w:pPr>
              <w:rPr>
                <w:rFonts w:ascii="Times New Roman" w:hAnsi="Times New Roman" w:cs="Times New Roman"/>
                <w:sz w:val="24"/>
                <w:szCs w:val="24"/>
              </w:rPr>
            </w:pPr>
            <w:r w:rsidRPr="00E73132">
              <w:rPr>
                <w:rFonts w:ascii="Times New Roman" w:hAnsi="Times New Roman" w:cs="Times New Roman"/>
                <w:sz w:val="24"/>
                <w:szCs w:val="24"/>
              </w:rPr>
              <w:t>Janssen-</w:t>
            </w:r>
            <w:proofErr w:type="spellStart"/>
            <w:r w:rsidRPr="00E73132">
              <w:rPr>
                <w:rFonts w:ascii="Times New Roman" w:hAnsi="Times New Roman" w:cs="Times New Roman"/>
                <w:sz w:val="24"/>
                <w:szCs w:val="24"/>
              </w:rPr>
              <w:t>Cilag</w:t>
            </w:r>
            <w:proofErr w:type="spellEnd"/>
            <w:r w:rsidRPr="00E73132">
              <w:rPr>
                <w:rFonts w:ascii="Times New Roman" w:hAnsi="Times New Roman" w:cs="Times New Roman"/>
                <w:sz w:val="24"/>
                <w:szCs w:val="24"/>
              </w:rPr>
              <w:t xml:space="preserve"> </w:t>
            </w:r>
            <w:r w:rsidR="00806BC7">
              <w:rPr>
                <w:rFonts w:ascii="Times New Roman" w:hAnsi="Times New Roman" w:cs="Times New Roman"/>
                <w:sz w:val="24"/>
                <w:szCs w:val="24"/>
              </w:rPr>
              <w:t xml:space="preserve">Pty Ltd </w:t>
            </w:r>
            <w:r w:rsidRPr="00E73132">
              <w:rPr>
                <w:rFonts w:ascii="Times New Roman" w:hAnsi="Times New Roman" w:cs="Times New Roman"/>
                <w:sz w:val="24"/>
                <w:szCs w:val="24"/>
              </w:rPr>
              <w:t xml:space="preserve">applied for public funding through the Medicare Benefits Schedule (MBS) for a genetic test in people with chronic lymphoid leukaemia </w:t>
            </w:r>
            <w:r w:rsidR="00794B2F">
              <w:rPr>
                <w:rFonts w:ascii="Times New Roman" w:hAnsi="Times New Roman" w:cs="Times New Roman"/>
                <w:sz w:val="24"/>
                <w:szCs w:val="24"/>
              </w:rPr>
              <w:t xml:space="preserve">(CLL) </w:t>
            </w:r>
            <w:r w:rsidRPr="00E73132">
              <w:rPr>
                <w:rFonts w:ascii="Times New Roman" w:hAnsi="Times New Roman" w:cs="Times New Roman"/>
                <w:sz w:val="24"/>
                <w:szCs w:val="24"/>
              </w:rPr>
              <w:t>or small lymphocytic lymphoma (SLL)</w:t>
            </w:r>
            <w:r w:rsidR="002C5DA7">
              <w:rPr>
                <w:rFonts w:ascii="Times New Roman" w:hAnsi="Times New Roman" w:cs="Times New Roman"/>
                <w:sz w:val="24"/>
                <w:szCs w:val="24"/>
              </w:rPr>
              <w:t>, which are two closely related blood cancers</w:t>
            </w:r>
            <w:r w:rsidRPr="00E73132">
              <w:rPr>
                <w:rFonts w:ascii="Times New Roman" w:hAnsi="Times New Roman" w:cs="Times New Roman"/>
                <w:sz w:val="24"/>
                <w:szCs w:val="24"/>
              </w:rPr>
              <w:t xml:space="preserve">. The test is called fluorescence </w:t>
            </w:r>
            <w:r w:rsidRPr="00F93DA9">
              <w:rPr>
                <w:rFonts w:ascii="Times New Roman" w:hAnsi="Times New Roman" w:cs="Times New Roman"/>
                <w:i/>
                <w:sz w:val="24"/>
                <w:szCs w:val="24"/>
              </w:rPr>
              <w:t>in</w:t>
            </w:r>
            <w:r w:rsidR="00F93DA9">
              <w:rPr>
                <w:rFonts w:ascii="Times New Roman" w:hAnsi="Times New Roman" w:cs="Times New Roman"/>
                <w:i/>
                <w:sz w:val="24"/>
                <w:szCs w:val="24"/>
              </w:rPr>
              <w:t> </w:t>
            </w:r>
            <w:r w:rsidRPr="00F93DA9">
              <w:rPr>
                <w:rFonts w:ascii="Times New Roman" w:hAnsi="Times New Roman" w:cs="Times New Roman"/>
                <w:i/>
                <w:sz w:val="24"/>
                <w:szCs w:val="24"/>
              </w:rPr>
              <w:t>situ</w:t>
            </w:r>
            <w:r w:rsidRPr="00E73132">
              <w:rPr>
                <w:rFonts w:ascii="Times New Roman" w:hAnsi="Times New Roman" w:cs="Times New Roman"/>
                <w:sz w:val="24"/>
                <w:szCs w:val="24"/>
              </w:rPr>
              <w:t xml:space="preserve"> hybridisation (FISH). It is done to see if a person with CLL</w:t>
            </w:r>
            <w:r w:rsidR="00794B2F">
              <w:rPr>
                <w:rFonts w:ascii="Times New Roman" w:hAnsi="Times New Roman" w:cs="Times New Roman"/>
                <w:sz w:val="24"/>
                <w:szCs w:val="24"/>
              </w:rPr>
              <w:t xml:space="preserve"> or </w:t>
            </w:r>
            <w:r w:rsidRPr="00E73132">
              <w:rPr>
                <w:rFonts w:ascii="Times New Roman" w:hAnsi="Times New Roman" w:cs="Times New Roman"/>
                <w:sz w:val="24"/>
                <w:szCs w:val="24"/>
              </w:rPr>
              <w:t xml:space="preserve">SLL has a deletion </w:t>
            </w:r>
            <w:r w:rsidR="00806BC7">
              <w:rPr>
                <w:rFonts w:ascii="Times New Roman" w:hAnsi="Times New Roman" w:cs="Times New Roman"/>
                <w:sz w:val="24"/>
                <w:szCs w:val="24"/>
              </w:rPr>
              <w:t xml:space="preserve">of a short amount of genetic material in their </w:t>
            </w:r>
            <w:r w:rsidR="00B921D3" w:rsidRPr="00982B14">
              <w:rPr>
                <w:rFonts w:ascii="Times New Roman" w:hAnsi="Times New Roman" w:cs="Times New Roman"/>
                <w:sz w:val="24"/>
                <w:szCs w:val="24"/>
              </w:rPr>
              <w:t xml:space="preserve">chromosome </w:t>
            </w:r>
            <w:r w:rsidR="00B921D3">
              <w:rPr>
                <w:rFonts w:ascii="Times New Roman" w:hAnsi="Times New Roman" w:cs="Times New Roman"/>
                <w:sz w:val="24"/>
                <w:szCs w:val="24"/>
              </w:rPr>
              <w:t xml:space="preserve">17 </w:t>
            </w:r>
            <w:r w:rsidRPr="00E73132">
              <w:rPr>
                <w:rFonts w:ascii="Times New Roman" w:hAnsi="Times New Roman" w:cs="Times New Roman"/>
                <w:sz w:val="24"/>
                <w:szCs w:val="24"/>
              </w:rPr>
              <w:t>(</w:t>
            </w:r>
            <w:proofErr w:type="gramStart"/>
            <w:r w:rsidRPr="00DA255F">
              <w:rPr>
                <w:rFonts w:ascii="Times New Roman" w:hAnsi="Times New Roman" w:cs="Times New Roman"/>
                <w:i/>
                <w:sz w:val="24"/>
                <w:szCs w:val="24"/>
              </w:rPr>
              <w:t>del(</w:t>
            </w:r>
            <w:proofErr w:type="gramEnd"/>
            <w:r w:rsidRPr="00DA255F">
              <w:rPr>
                <w:rFonts w:ascii="Times New Roman" w:hAnsi="Times New Roman" w:cs="Times New Roman"/>
                <w:i/>
                <w:sz w:val="24"/>
                <w:szCs w:val="24"/>
              </w:rPr>
              <w:t>17p)</w:t>
            </w:r>
            <w:r w:rsidRPr="00E73132">
              <w:rPr>
                <w:rFonts w:ascii="Times New Roman" w:hAnsi="Times New Roman" w:cs="Times New Roman"/>
                <w:sz w:val="24"/>
                <w:szCs w:val="24"/>
              </w:rPr>
              <w:t xml:space="preserve">). If </w:t>
            </w:r>
            <w:r w:rsidR="00806BC7">
              <w:rPr>
                <w:rFonts w:ascii="Times New Roman" w:hAnsi="Times New Roman" w:cs="Times New Roman"/>
                <w:sz w:val="24"/>
                <w:szCs w:val="24"/>
              </w:rPr>
              <w:t>such a person has such a deletion</w:t>
            </w:r>
            <w:r w:rsidRPr="00E73132">
              <w:rPr>
                <w:rFonts w:ascii="Times New Roman" w:hAnsi="Times New Roman" w:cs="Times New Roman"/>
                <w:sz w:val="24"/>
                <w:szCs w:val="24"/>
              </w:rPr>
              <w:t xml:space="preserve">, </w:t>
            </w:r>
            <w:r w:rsidR="00806BC7">
              <w:rPr>
                <w:rFonts w:ascii="Times New Roman" w:hAnsi="Times New Roman" w:cs="Times New Roman"/>
                <w:sz w:val="24"/>
                <w:szCs w:val="24"/>
              </w:rPr>
              <w:t xml:space="preserve">then </w:t>
            </w:r>
            <w:r w:rsidRPr="00E73132">
              <w:rPr>
                <w:rFonts w:ascii="Times New Roman" w:hAnsi="Times New Roman" w:cs="Times New Roman"/>
                <w:sz w:val="24"/>
                <w:szCs w:val="24"/>
              </w:rPr>
              <w:t xml:space="preserve">it means they may be able to </w:t>
            </w:r>
            <w:r w:rsidR="00DA255F">
              <w:rPr>
                <w:rFonts w:ascii="Times New Roman" w:hAnsi="Times New Roman" w:cs="Times New Roman"/>
                <w:sz w:val="24"/>
                <w:szCs w:val="24"/>
              </w:rPr>
              <w:t xml:space="preserve">safely and effectively </w:t>
            </w:r>
            <w:r w:rsidRPr="00E73132">
              <w:rPr>
                <w:rFonts w:ascii="Times New Roman" w:hAnsi="Times New Roman" w:cs="Times New Roman"/>
                <w:sz w:val="24"/>
                <w:szCs w:val="24"/>
              </w:rPr>
              <w:t xml:space="preserve">use certain medicines that are listed on the Pharmaceutical Benefits Scheme (PBS). These medicines (idelalisib, ibrutinib and venetoclax) work better than alternative medicines in people with </w:t>
            </w:r>
            <w:proofErr w:type="gramStart"/>
            <w:r w:rsidRPr="00DA255F">
              <w:rPr>
                <w:rFonts w:ascii="Times New Roman" w:hAnsi="Times New Roman" w:cs="Times New Roman"/>
                <w:i/>
                <w:sz w:val="24"/>
                <w:szCs w:val="24"/>
              </w:rPr>
              <w:t>del(</w:t>
            </w:r>
            <w:proofErr w:type="gramEnd"/>
            <w:r w:rsidRPr="00DA255F">
              <w:rPr>
                <w:rFonts w:ascii="Times New Roman" w:hAnsi="Times New Roman" w:cs="Times New Roman"/>
                <w:i/>
                <w:sz w:val="24"/>
                <w:szCs w:val="24"/>
              </w:rPr>
              <w:t>17p)</w:t>
            </w:r>
            <w:r w:rsidRPr="00E73132">
              <w:rPr>
                <w:rFonts w:ascii="Times New Roman" w:hAnsi="Times New Roman" w:cs="Times New Roman"/>
                <w:sz w:val="24"/>
                <w:szCs w:val="24"/>
              </w:rPr>
              <w:t>.</w:t>
            </w:r>
          </w:p>
          <w:p w14:paraId="29C14ABD" w14:textId="05C59150" w:rsidR="00E73132" w:rsidRPr="00E73132" w:rsidRDefault="00E73132" w:rsidP="00E73132">
            <w:pPr>
              <w:rPr>
                <w:rFonts w:ascii="Times New Roman" w:hAnsi="Times New Roman" w:cs="Times New Roman"/>
                <w:sz w:val="24"/>
                <w:szCs w:val="24"/>
              </w:rPr>
            </w:pPr>
            <w:r w:rsidRPr="00E73132">
              <w:rPr>
                <w:rFonts w:ascii="Times New Roman" w:hAnsi="Times New Roman" w:cs="Times New Roman"/>
                <w:sz w:val="24"/>
                <w:szCs w:val="24"/>
              </w:rPr>
              <w:lastRenderedPageBreak/>
              <w:t>People with CLL</w:t>
            </w:r>
            <w:r w:rsidR="00794B2F">
              <w:rPr>
                <w:rFonts w:ascii="Times New Roman" w:hAnsi="Times New Roman" w:cs="Times New Roman"/>
                <w:sz w:val="24"/>
                <w:szCs w:val="24"/>
              </w:rPr>
              <w:t xml:space="preserve"> or </w:t>
            </w:r>
            <w:r w:rsidRPr="00E73132">
              <w:rPr>
                <w:rFonts w:ascii="Times New Roman" w:hAnsi="Times New Roman" w:cs="Times New Roman"/>
                <w:sz w:val="24"/>
                <w:szCs w:val="24"/>
              </w:rPr>
              <w:t xml:space="preserve">SLL who have </w:t>
            </w:r>
            <w:proofErr w:type="gramStart"/>
            <w:r w:rsidRPr="00DA255F">
              <w:rPr>
                <w:rFonts w:ascii="Times New Roman" w:hAnsi="Times New Roman" w:cs="Times New Roman"/>
                <w:i/>
                <w:sz w:val="24"/>
                <w:szCs w:val="24"/>
              </w:rPr>
              <w:t>del(</w:t>
            </w:r>
            <w:proofErr w:type="gramEnd"/>
            <w:r w:rsidRPr="00DA255F">
              <w:rPr>
                <w:rFonts w:ascii="Times New Roman" w:hAnsi="Times New Roman" w:cs="Times New Roman"/>
                <w:i/>
                <w:sz w:val="24"/>
                <w:szCs w:val="24"/>
              </w:rPr>
              <w:t>17p)</w:t>
            </w:r>
            <w:r w:rsidRPr="00E73132">
              <w:rPr>
                <w:rFonts w:ascii="Times New Roman" w:hAnsi="Times New Roman" w:cs="Times New Roman"/>
                <w:sz w:val="24"/>
                <w:szCs w:val="24"/>
              </w:rPr>
              <w:t xml:space="preserve"> and who did not respond to or no longer respond to one or more other cancer treatments before can already get idelalisib, ibrutinib and venetoclax through the PBS. This is called second-line treatment.</w:t>
            </w:r>
          </w:p>
          <w:p w14:paraId="3826E671" w14:textId="149DBF26" w:rsidR="00DA255F" w:rsidRPr="00E73132" w:rsidRDefault="00DA255F" w:rsidP="00DA255F">
            <w:pPr>
              <w:spacing w:before="240"/>
              <w:rPr>
                <w:rFonts w:ascii="Times New Roman" w:hAnsi="Times New Roman" w:cs="Times New Roman"/>
                <w:sz w:val="24"/>
                <w:szCs w:val="24"/>
              </w:rPr>
            </w:pPr>
            <w:r w:rsidRPr="00E73132">
              <w:rPr>
                <w:rFonts w:ascii="Times New Roman" w:hAnsi="Times New Roman" w:cs="Times New Roman"/>
                <w:sz w:val="24"/>
                <w:szCs w:val="24"/>
              </w:rPr>
              <w:t xml:space="preserve">This application was for FISH testing in people who have never been treated </w:t>
            </w:r>
            <w:r>
              <w:rPr>
                <w:rFonts w:ascii="Times New Roman" w:hAnsi="Times New Roman" w:cs="Times New Roman"/>
                <w:sz w:val="24"/>
                <w:szCs w:val="24"/>
              </w:rPr>
              <w:t xml:space="preserve">before </w:t>
            </w:r>
            <w:r w:rsidRPr="00E73132">
              <w:rPr>
                <w:rFonts w:ascii="Times New Roman" w:hAnsi="Times New Roman" w:cs="Times New Roman"/>
                <w:sz w:val="24"/>
                <w:szCs w:val="24"/>
              </w:rPr>
              <w:t>for CLL</w:t>
            </w:r>
            <w:r>
              <w:rPr>
                <w:rFonts w:ascii="Times New Roman" w:hAnsi="Times New Roman" w:cs="Times New Roman"/>
                <w:sz w:val="24"/>
                <w:szCs w:val="24"/>
              </w:rPr>
              <w:t xml:space="preserve"> or </w:t>
            </w:r>
            <w:r w:rsidRPr="00E73132">
              <w:rPr>
                <w:rFonts w:ascii="Times New Roman" w:hAnsi="Times New Roman" w:cs="Times New Roman"/>
                <w:sz w:val="24"/>
                <w:szCs w:val="24"/>
              </w:rPr>
              <w:t>SLL. Ibrutinib would be the first treatment they have (called first-line treatment).</w:t>
            </w:r>
            <w:r w:rsidR="00034E55">
              <w:rPr>
                <w:rFonts w:ascii="Times New Roman" w:hAnsi="Times New Roman" w:cs="Times New Roman"/>
                <w:sz w:val="24"/>
                <w:szCs w:val="24"/>
              </w:rPr>
              <w:t xml:space="preserve"> </w:t>
            </w:r>
            <w:r w:rsidR="00034E55" w:rsidRPr="00E73132">
              <w:rPr>
                <w:rFonts w:ascii="Times New Roman" w:hAnsi="Times New Roman" w:cs="Times New Roman"/>
                <w:sz w:val="24"/>
                <w:szCs w:val="24"/>
              </w:rPr>
              <w:t xml:space="preserve">MSAC </w:t>
            </w:r>
            <w:r w:rsidR="00034E55">
              <w:rPr>
                <w:rFonts w:ascii="Times New Roman" w:hAnsi="Times New Roman" w:cs="Times New Roman"/>
                <w:sz w:val="24"/>
                <w:szCs w:val="24"/>
              </w:rPr>
              <w:t xml:space="preserve">considered the evidence and advised </w:t>
            </w:r>
            <w:r w:rsidR="00034E55" w:rsidRPr="00E73132">
              <w:rPr>
                <w:rFonts w:ascii="Times New Roman" w:hAnsi="Times New Roman" w:cs="Times New Roman"/>
                <w:sz w:val="24"/>
                <w:szCs w:val="24"/>
              </w:rPr>
              <w:t xml:space="preserve">that </w:t>
            </w:r>
            <w:r w:rsidR="00034E55">
              <w:rPr>
                <w:rFonts w:ascii="Times New Roman" w:hAnsi="Times New Roman" w:cs="Times New Roman"/>
                <w:sz w:val="24"/>
                <w:szCs w:val="24"/>
              </w:rPr>
              <w:t xml:space="preserve">FISH </w:t>
            </w:r>
            <w:r w:rsidR="00034E55" w:rsidRPr="00E73132">
              <w:rPr>
                <w:rFonts w:ascii="Times New Roman" w:hAnsi="Times New Roman" w:cs="Times New Roman"/>
                <w:sz w:val="24"/>
                <w:szCs w:val="24"/>
              </w:rPr>
              <w:t xml:space="preserve">testing at the time that </w:t>
            </w:r>
            <w:r w:rsidR="00034E55">
              <w:rPr>
                <w:rFonts w:ascii="Times New Roman" w:hAnsi="Times New Roman" w:cs="Times New Roman"/>
                <w:sz w:val="24"/>
                <w:szCs w:val="24"/>
              </w:rPr>
              <w:t xml:space="preserve">a patient’s CLL or SLL </w:t>
            </w:r>
            <w:r w:rsidR="00034E55" w:rsidRPr="00E73132">
              <w:rPr>
                <w:rFonts w:ascii="Times New Roman" w:hAnsi="Times New Roman" w:cs="Times New Roman"/>
                <w:sz w:val="24"/>
                <w:szCs w:val="24"/>
              </w:rPr>
              <w:t>is diagnosed is sufficiently accurate</w:t>
            </w:r>
            <w:r w:rsidR="00034E55">
              <w:rPr>
                <w:rFonts w:ascii="Times New Roman" w:hAnsi="Times New Roman" w:cs="Times New Roman"/>
                <w:sz w:val="24"/>
                <w:szCs w:val="24"/>
              </w:rPr>
              <w:t xml:space="preserve"> to help determine eligibility for first-line ibrutinib</w:t>
            </w:r>
            <w:r w:rsidR="00034E55" w:rsidRPr="00E73132">
              <w:rPr>
                <w:rFonts w:ascii="Times New Roman" w:hAnsi="Times New Roman" w:cs="Times New Roman"/>
                <w:sz w:val="24"/>
                <w:szCs w:val="24"/>
              </w:rPr>
              <w:t>.</w:t>
            </w:r>
          </w:p>
          <w:p w14:paraId="467B27C3" w14:textId="64E727B2" w:rsidR="00E73132" w:rsidRPr="00E73132" w:rsidRDefault="00E73132" w:rsidP="00E73132">
            <w:pPr>
              <w:spacing w:before="240"/>
              <w:rPr>
                <w:rFonts w:ascii="Times New Roman" w:hAnsi="Times New Roman" w:cs="Times New Roman"/>
                <w:sz w:val="24"/>
                <w:szCs w:val="24"/>
              </w:rPr>
            </w:pPr>
            <w:r w:rsidRPr="00E73132">
              <w:rPr>
                <w:rFonts w:ascii="Times New Roman" w:hAnsi="Times New Roman" w:cs="Times New Roman"/>
                <w:sz w:val="24"/>
                <w:szCs w:val="24"/>
              </w:rPr>
              <w:t>Th</w:t>
            </w:r>
            <w:r w:rsidR="00034E55">
              <w:rPr>
                <w:rFonts w:ascii="Times New Roman" w:hAnsi="Times New Roman" w:cs="Times New Roman"/>
                <w:sz w:val="24"/>
                <w:szCs w:val="24"/>
              </w:rPr>
              <w:t>e</w:t>
            </w:r>
            <w:r w:rsidRPr="00E73132">
              <w:rPr>
                <w:rFonts w:ascii="Times New Roman" w:hAnsi="Times New Roman" w:cs="Times New Roman"/>
                <w:sz w:val="24"/>
                <w:szCs w:val="24"/>
              </w:rPr>
              <w:t xml:space="preserve"> application depended on whether the Pharmaceutical Benefits Advisory Committee (PBAC) decided to fund ibrutinib on the PBS as first-line treatment.</w:t>
            </w:r>
            <w:r w:rsidR="00034E55">
              <w:rPr>
                <w:rFonts w:ascii="Times New Roman" w:hAnsi="Times New Roman" w:cs="Times New Roman"/>
                <w:sz w:val="24"/>
                <w:szCs w:val="24"/>
              </w:rPr>
              <w:t xml:space="preserve"> </w:t>
            </w:r>
            <w:r w:rsidRPr="00E73132">
              <w:rPr>
                <w:rFonts w:ascii="Times New Roman" w:hAnsi="Times New Roman" w:cs="Times New Roman"/>
                <w:sz w:val="24"/>
                <w:szCs w:val="24"/>
              </w:rPr>
              <w:t>In November 2019, PBAC recommended ibrutinib be listed as a first-line treatment.</w:t>
            </w:r>
          </w:p>
          <w:p w14:paraId="7DB12E64" w14:textId="77777777" w:rsidR="00E73132" w:rsidRPr="00E73132" w:rsidRDefault="00E73132" w:rsidP="00E73132">
            <w:pPr>
              <w:spacing w:before="240" w:after="120"/>
              <w:rPr>
                <w:rFonts w:ascii="Times New Roman" w:hAnsi="Times New Roman" w:cs="Times New Roman"/>
                <w:b/>
                <w:sz w:val="24"/>
                <w:szCs w:val="24"/>
              </w:rPr>
            </w:pPr>
            <w:r w:rsidRPr="00E73132">
              <w:rPr>
                <w:rFonts w:ascii="Times New Roman" w:hAnsi="Times New Roman" w:cs="Times New Roman"/>
                <w:b/>
                <w:sz w:val="24"/>
                <w:szCs w:val="24"/>
              </w:rPr>
              <w:t>MSAC’s advice to the Commonwealth Minister for Health</w:t>
            </w:r>
          </w:p>
          <w:p w14:paraId="71B6413D" w14:textId="1421C66F" w:rsidR="00E73132" w:rsidRDefault="00E73132" w:rsidP="00034E55">
            <w:r w:rsidRPr="00E73132">
              <w:rPr>
                <w:rFonts w:ascii="Times New Roman" w:hAnsi="Times New Roman" w:cs="Times New Roman"/>
                <w:sz w:val="24"/>
                <w:szCs w:val="24"/>
              </w:rPr>
              <w:t xml:space="preserve">MSAC </w:t>
            </w:r>
            <w:r w:rsidR="00034E55">
              <w:rPr>
                <w:rFonts w:ascii="Times New Roman" w:hAnsi="Times New Roman" w:cs="Times New Roman"/>
                <w:sz w:val="24"/>
                <w:szCs w:val="24"/>
              </w:rPr>
              <w:t xml:space="preserve">supported public funding of </w:t>
            </w:r>
            <w:r w:rsidRPr="00E73132">
              <w:rPr>
                <w:rFonts w:ascii="Times New Roman" w:hAnsi="Times New Roman" w:cs="Times New Roman"/>
                <w:sz w:val="24"/>
                <w:szCs w:val="24"/>
              </w:rPr>
              <w:t xml:space="preserve">FISH testing for </w:t>
            </w:r>
            <w:proofErr w:type="gramStart"/>
            <w:r w:rsidRPr="00DA255F">
              <w:rPr>
                <w:rFonts w:ascii="Times New Roman" w:hAnsi="Times New Roman" w:cs="Times New Roman"/>
                <w:i/>
                <w:sz w:val="24"/>
                <w:szCs w:val="24"/>
              </w:rPr>
              <w:t>del(</w:t>
            </w:r>
            <w:proofErr w:type="gramEnd"/>
            <w:r w:rsidRPr="00DA255F">
              <w:rPr>
                <w:rFonts w:ascii="Times New Roman" w:hAnsi="Times New Roman" w:cs="Times New Roman"/>
                <w:i/>
                <w:sz w:val="24"/>
                <w:szCs w:val="24"/>
              </w:rPr>
              <w:t>17p)</w:t>
            </w:r>
            <w:r w:rsidRPr="00E73132">
              <w:rPr>
                <w:rFonts w:ascii="Times New Roman" w:hAnsi="Times New Roman" w:cs="Times New Roman"/>
                <w:sz w:val="24"/>
                <w:szCs w:val="24"/>
              </w:rPr>
              <w:t xml:space="preserve"> for people who have just been diagnosed with CLL or SLL, so they can access first-line ibrutinib on the PBS.</w:t>
            </w:r>
          </w:p>
        </w:tc>
      </w:tr>
    </w:tbl>
    <w:p w14:paraId="3F845DFD" w14:textId="79E5099E" w:rsidR="000B638D" w:rsidRPr="00F715D1" w:rsidRDefault="000B638D" w:rsidP="000B638D">
      <w:pPr>
        <w:pStyle w:val="Heading1"/>
      </w:pPr>
      <w:r w:rsidRPr="00F715D1">
        <w:lastRenderedPageBreak/>
        <w:t xml:space="preserve">Summary of consideration </w:t>
      </w:r>
      <w:r w:rsidR="005771AA">
        <w:t>and rationale for MSAC’s advice</w:t>
      </w:r>
    </w:p>
    <w:p w14:paraId="517DB5A7" w14:textId="75BE1A4C" w:rsidR="005771AA" w:rsidRDefault="001D44D1" w:rsidP="00021A0E">
      <w:pPr>
        <w:spacing w:after="240"/>
      </w:pPr>
      <w:r>
        <w:t xml:space="preserve">This application was to extend </w:t>
      </w:r>
      <w:bookmarkStart w:id="2" w:name="_Hlk31805625"/>
      <w:proofErr w:type="gramStart"/>
      <w:r w:rsidRPr="0098770B">
        <w:rPr>
          <w:i/>
        </w:rPr>
        <w:t>del</w:t>
      </w:r>
      <w:r w:rsidR="0098770B" w:rsidRPr="0098770B">
        <w:rPr>
          <w:i/>
        </w:rPr>
        <w:t>(</w:t>
      </w:r>
      <w:proofErr w:type="gramEnd"/>
      <w:r w:rsidRPr="0098770B">
        <w:rPr>
          <w:i/>
        </w:rPr>
        <w:t>17p)</w:t>
      </w:r>
      <w:r>
        <w:t xml:space="preserve"> testing by fluorescence </w:t>
      </w:r>
      <w:r w:rsidRPr="00887F58">
        <w:rPr>
          <w:i/>
        </w:rPr>
        <w:t>in situ</w:t>
      </w:r>
      <w:r>
        <w:t xml:space="preserve"> hybridisation (FISH) to patients with a new diagnosis of </w:t>
      </w:r>
      <w:r w:rsidRPr="00935DE1">
        <w:t xml:space="preserve">chronic lymphoid leukaemia </w:t>
      </w:r>
      <w:r w:rsidR="00794B2F">
        <w:t xml:space="preserve">(CLL) </w:t>
      </w:r>
      <w:r w:rsidRPr="00935DE1">
        <w:t>or small lymphocytic lymphoma</w:t>
      </w:r>
      <w:r>
        <w:t xml:space="preserve"> (SLL) for access to ibrutinib</w:t>
      </w:r>
      <w:r w:rsidRPr="00935DE1">
        <w:t xml:space="preserve">. </w:t>
      </w:r>
      <w:bookmarkEnd w:id="2"/>
      <w:r>
        <w:t>Testing is currently available for patients with relapsed or recurrent CLL</w:t>
      </w:r>
      <w:r w:rsidR="00794B2F">
        <w:t xml:space="preserve"> or relapsed or recurrent </w:t>
      </w:r>
      <w:r>
        <w:t xml:space="preserve">SLL to access idelalisib, ibrutinib </w:t>
      </w:r>
      <w:r w:rsidR="005771AA">
        <w:t>or venetoclax (MBS item 73343).</w:t>
      </w:r>
    </w:p>
    <w:p w14:paraId="07E45D4F" w14:textId="521BCE37" w:rsidR="005771AA" w:rsidRDefault="001D44D1" w:rsidP="00021A0E">
      <w:pPr>
        <w:spacing w:after="240"/>
      </w:pPr>
      <w:r>
        <w:t>MSAC noted that, in November 2019, the Pharmaceutical Benefits Advisory Committee (PBAC) made a positive recommendation for extending the listing for ibrutinib to previously untreated patients with CLL</w:t>
      </w:r>
      <w:r w:rsidR="00794B2F">
        <w:t xml:space="preserve"> or </w:t>
      </w:r>
      <w:r w:rsidR="005771AA">
        <w:t>SLL</w:t>
      </w:r>
      <w:r>
        <w:t xml:space="preserve"> with </w:t>
      </w:r>
      <w:proofErr w:type="gramStart"/>
      <w:r w:rsidRPr="0098770B">
        <w:rPr>
          <w:i/>
        </w:rPr>
        <w:t>del</w:t>
      </w:r>
      <w:r w:rsidR="0098770B">
        <w:rPr>
          <w:i/>
        </w:rPr>
        <w:t>(</w:t>
      </w:r>
      <w:proofErr w:type="gramEnd"/>
      <w:r w:rsidRPr="0098770B">
        <w:rPr>
          <w:i/>
        </w:rPr>
        <w:t>17p</w:t>
      </w:r>
      <w:r w:rsidR="0098770B">
        <w:rPr>
          <w:i/>
        </w:rPr>
        <w:t>)</w:t>
      </w:r>
      <w:r>
        <w:t>.</w:t>
      </w:r>
    </w:p>
    <w:p w14:paraId="25A72D49" w14:textId="4C3B47B3" w:rsidR="005771AA" w:rsidRDefault="001D44D1" w:rsidP="00021A0E">
      <w:pPr>
        <w:spacing w:after="240"/>
      </w:pPr>
      <w:r>
        <w:t xml:space="preserve">MSAC noted that this was a minor application that </w:t>
      </w:r>
      <w:r w:rsidR="005771AA">
        <w:t xml:space="preserve">had </w:t>
      </w:r>
      <w:r>
        <w:t xml:space="preserve">bypassed </w:t>
      </w:r>
      <w:r w:rsidR="005771AA">
        <w:t xml:space="preserve">its Evaluation </w:t>
      </w:r>
      <w:r w:rsidR="00221EB4">
        <w:t>S</w:t>
      </w:r>
      <w:r w:rsidR="005771AA">
        <w:t>ub-Committee (</w:t>
      </w:r>
      <w:r>
        <w:t>ESC</w:t>
      </w:r>
      <w:r w:rsidR="005771AA">
        <w:t>)</w:t>
      </w:r>
      <w:r>
        <w:t>. Th</w:t>
      </w:r>
      <w:r w:rsidR="005771AA">
        <w:t>is is because</w:t>
      </w:r>
      <w:r>
        <w:t xml:space="preserve"> MSAC has already accepted the </w:t>
      </w:r>
      <w:r w:rsidRPr="001342D1">
        <w:t xml:space="preserve">comparative safety, </w:t>
      </w:r>
      <w:r>
        <w:t>clinical effectiveness and cost-</w:t>
      </w:r>
      <w:r w:rsidRPr="001342D1">
        <w:t>effectiveness</w:t>
      </w:r>
      <w:r>
        <w:t xml:space="preserve"> for this type of genetic testing</w:t>
      </w:r>
      <w:r w:rsidR="005771AA">
        <w:t xml:space="preserve"> at a later time point of CLL</w:t>
      </w:r>
      <w:r w:rsidR="00794B2F">
        <w:t xml:space="preserve"> or </w:t>
      </w:r>
      <w:r w:rsidR="005771AA">
        <w:t>SLL</w:t>
      </w:r>
      <w:r>
        <w:t xml:space="preserve"> (MBS item 73343).</w:t>
      </w:r>
      <w:r w:rsidR="00225989">
        <w:t xml:space="preserve"> MSAC confirmed that FISH testing using a threshold level of </w:t>
      </w:r>
      <w:r w:rsidR="00F86EBF" w:rsidRPr="00F86EBF">
        <w:rPr>
          <w:b/>
        </w:rPr>
        <w:t>redacted</w:t>
      </w:r>
      <w:r w:rsidR="00225989" w:rsidRPr="00E51A08">
        <w:t xml:space="preserve">% </w:t>
      </w:r>
      <w:r w:rsidR="00225989">
        <w:t xml:space="preserve">of nuclei in the sample harbouring the deletion was the “evidentiary standard” for this application (that is, the test methodology used to determine </w:t>
      </w:r>
      <w:proofErr w:type="gramStart"/>
      <w:r w:rsidR="00225989" w:rsidRPr="00225989">
        <w:rPr>
          <w:i/>
        </w:rPr>
        <w:t>del(</w:t>
      </w:r>
      <w:proofErr w:type="gramEnd"/>
      <w:r w:rsidR="00225989" w:rsidRPr="00225989">
        <w:rPr>
          <w:i/>
        </w:rPr>
        <w:t>17p)</w:t>
      </w:r>
      <w:r w:rsidR="00225989">
        <w:t xml:space="preserve"> status as part of the eligibility criteria into the clinical study supporting the clinical effectiveness of ibrutinib in first-line CLL</w:t>
      </w:r>
      <w:r w:rsidR="00794B2F">
        <w:t xml:space="preserve"> or </w:t>
      </w:r>
      <w:r w:rsidR="00225989">
        <w:t xml:space="preserve">SLL) and also </w:t>
      </w:r>
      <w:r w:rsidR="00F2496E">
        <w:t>the approach most widely used currently in Australian pathology laboratories</w:t>
      </w:r>
      <w:r w:rsidR="00225989">
        <w:t>.</w:t>
      </w:r>
    </w:p>
    <w:p w14:paraId="65CDFB5D" w14:textId="2E1E57F1" w:rsidR="005771AA" w:rsidRDefault="001D44D1" w:rsidP="00021A0E">
      <w:pPr>
        <w:spacing w:after="240"/>
      </w:pPr>
      <w:r>
        <w:t xml:space="preserve">MSAC noted there is a concurrent application (Application 1544) for using genome-wide microarray (GWMA) technology </w:t>
      </w:r>
      <w:r w:rsidR="001C5A46">
        <w:t xml:space="preserve">which can </w:t>
      </w:r>
      <w:r>
        <w:t xml:space="preserve">detect </w:t>
      </w:r>
      <w:proofErr w:type="gramStart"/>
      <w:r w:rsidRPr="0098770B">
        <w:rPr>
          <w:i/>
        </w:rPr>
        <w:t>del</w:t>
      </w:r>
      <w:r w:rsidR="0098770B" w:rsidRPr="0098770B">
        <w:rPr>
          <w:i/>
        </w:rPr>
        <w:t>(</w:t>
      </w:r>
      <w:proofErr w:type="gramEnd"/>
      <w:r w:rsidRPr="0098770B">
        <w:rPr>
          <w:i/>
        </w:rPr>
        <w:t>17p</w:t>
      </w:r>
      <w:r w:rsidR="0098770B" w:rsidRPr="0098770B">
        <w:rPr>
          <w:i/>
        </w:rPr>
        <w:t>)</w:t>
      </w:r>
      <w:r w:rsidR="001C5A46">
        <w:t xml:space="preserve"> amongst many other </w:t>
      </w:r>
      <w:r w:rsidR="00B921D3">
        <w:t>pathogenic variants</w:t>
      </w:r>
      <w:r>
        <w:t xml:space="preserve">. MSAC accepted that microarray testing may eventually supersede FISH, but noted that FISH is still suitable for detecting </w:t>
      </w:r>
      <w:proofErr w:type="gramStart"/>
      <w:r w:rsidRPr="0098770B">
        <w:rPr>
          <w:i/>
        </w:rPr>
        <w:t>del</w:t>
      </w:r>
      <w:r w:rsidR="0098770B">
        <w:rPr>
          <w:i/>
        </w:rPr>
        <w:t>(</w:t>
      </w:r>
      <w:proofErr w:type="gramEnd"/>
      <w:r w:rsidRPr="0098770B">
        <w:rPr>
          <w:i/>
        </w:rPr>
        <w:t>17p</w:t>
      </w:r>
      <w:r w:rsidR="0098770B">
        <w:rPr>
          <w:i/>
        </w:rPr>
        <w:t>)</w:t>
      </w:r>
      <w:r>
        <w:t xml:space="preserve"> as per this application.</w:t>
      </w:r>
    </w:p>
    <w:p w14:paraId="3D5F2D1B" w14:textId="0A0F1A13" w:rsidR="001D44D1" w:rsidRDefault="001D44D1" w:rsidP="001D44D1">
      <w:r>
        <w:t>MSAC considered the current fee of $230.95 to be too low to cover the true cost of the test</w:t>
      </w:r>
      <w:r w:rsidR="00B921D3">
        <w:t xml:space="preserve"> as is it currently performed as part of a CLL panel</w:t>
      </w:r>
      <w:r>
        <w:t>. However, since FISH may eventually be superseded by microarray testing, MSAC considered it suitable to leave the fee as is</w:t>
      </w:r>
      <w:r w:rsidR="005771AA">
        <w:t xml:space="preserve"> until such time as its </w:t>
      </w:r>
      <w:r w:rsidR="00F2496E">
        <w:t xml:space="preserve">related </w:t>
      </w:r>
      <w:r w:rsidR="005771AA">
        <w:t xml:space="preserve">advice </w:t>
      </w:r>
      <w:r w:rsidR="00F2496E">
        <w:t>from</w:t>
      </w:r>
      <w:r w:rsidR="005771AA">
        <w:t xml:space="preserve"> Application 1544 is implemented</w:t>
      </w:r>
      <w:r>
        <w:t>.</w:t>
      </w:r>
    </w:p>
    <w:p w14:paraId="5ACE937D" w14:textId="06A40829" w:rsidR="005771AA" w:rsidRDefault="001D44D1" w:rsidP="00021A0E">
      <w:pPr>
        <w:spacing w:before="240" w:after="240"/>
      </w:pPr>
      <w:r>
        <w:lastRenderedPageBreak/>
        <w:t xml:space="preserve">MSAC considered that retesting is not necessary after a positive test result, but that there </w:t>
      </w:r>
      <w:r w:rsidR="00BD4D5F">
        <w:t>is</w:t>
      </w:r>
      <w:r>
        <w:t xml:space="preserve"> a need to retest after </w:t>
      </w:r>
      <w:r w:rsidR="00BD4D5F">
        <w:t xml:space="preserve">a </w:t>
      </w:r>
      <w:r>
        <w:t xml:space="preserve">negative result </w:t>
      </w:r>
      <w:r w:rsidR="00BD4D5F">
        <w:t>at each relapse, as per the International Working Group on CLL guideline</w:t>
      </w:r>
      <w:r w:rsidR="007F6A49">
        <w:t>.</w:t>
      </w:r>
      <w:r w:rsidR="00DD28E1">
        <w:t xml:space="preserve"> </w:t>
      </w:r>
      <w:r w:rsidR="007F6A49">
        <w:t xml:space="preserve">MSAC therefore advised that </w:t>
      </w:r>
      <w:r w:rsidR="00DD28E1">
        <w:t>such testing be limited to no more frequently than one test per year</w:t>
      </w:r>
      <w:r>
        <w:t>.</w:t>
      </w:r>
      <w:r w:rsidR="005C7608">
        <w:t xml:space="preserve"> MSAC advised that, as a result of supporting more than one test per patient, the </w:t>
      </w:r>
      <w:r w:rsidR="00F93DA9">
        <w:t xml:space="preserve">net </w:t>
      </w:r>
      <w:r w:rsidR="00D245BF">
        <w:t xml:space="preserve">financial estimates in the application </w:t>
      </w:r>
      <w:r w:rsidR="00F93DA9">
        <w:t xml:space="preserve">need not be further adjusted for any decreases in the current low MBS billing rates for </w:t>
      </w:r>
      <w:proofErr w:type="gramStart"/>
      <w:r w:rsidR="00F93DA9" w:rsidRPr="0098770B">
        <w:rPr>
          <w:i/>
        </w:rPr>
        <w:t>del</w:t>
      </w:r>
      <w:r w:rsidR="00F93DA9">
        <w:rPr>
          <w:i/>
        </w:rPr>
        <w:t>(</w:t>
      </w:r>
      <w:proofErr w:type="gramEnd"/>
      <w:r w:rsidR="00F93DA9" w:rsidRPr="0098770B">
        <w:rPr>
          <w:i/>
        </w:rPr>
        <w:t>17p</w:t>
      </w:r>
      <w:r w:rsidR="00F93DA9">
        <w:rPr>
          <w:i/>
        </w:rPr>
        <w:t>)</w:t>
      </w:r>
      <w:r w:rsidR="00F93DA9">
        <w:t xml:space="preserve"> testing after relapse</w:t>
      </w:r>
      <w:r w:rsidR="00D245BF">
        <w:t>.</w:t>
      </w:r>
    </w:p>
    <w:p w14:paraId="10D205DF" w14:textId="6A43E08A" w:rsidR="0025638C" w:rsidRDefault="001D44D1" w:rsidP="00021A0E">
      <w:pPr>
        <w:spacing w:after="240"/>
      </w:pPr>
      <w:bookmarkStart w:id="3" w:name="_Hlk31805734"/>
      <w:r>
        <w:t xml:space="preserve">MSAC </w:t>
      </w:r>
      <w:r w:rsidR="00225989">
        <w:t>supported</w:t>
      </w:r>
      <w:r>
        <w:t xml:space="preserve"> the following wording changes (in red)</w:t>
      </w:r>
      <w:r w:rsidRPr="00326996">
        <w:t xml:space="preserve"> </w:t>
      </w:r>
      <w:r>
        <w:t xml:space="preserve">to the descriptor for </w:t>
      </w:r>
      <w:r w:rsidR="00DD28E1">
        <w:t xml:space="preserve">MBS </w:t>
      </w:r>
      <w:r>
        <w:t>item 73343.</w:t>
      </w:r>
      <w:r w:rsidRPr="008648BE">
        <w:t xml:space="preserve"> </w:t>
      </w:r>
      <w:r>
        <w:t xml:space="preserve">MSAC </w:t>
      </w:r>
      <w:r w:rsidR="00225989">
        <w:t>supported</w:t>
      </w:r>
      <w:r>
        <w:t xml:space="preserve"> including lymph node tissue, in line with the type of samples likely taken during initial diagnosis.</w:t>
      </w:r>
    </w:p>
    <w:tbl>
      <w:tblPr>
        <w:tblStyle w:val="TableGrid"/>
        <w:tblW w:w="0" w:type="auto"/>
        <w:tblBorders>
          <w:insideH w:val="none" w:sz="0" w:space="0" w:color="auto"/>
          <w:insideV w:val="none" w:sz="0" w:space="0" w:color="auto"/>
        </w:tblBorders>
        <w:tblLook w:val="04A0" w:firstRow="1" w:lastRow="0" w:firstColumn="1" w:lastColumn="0" w:noHBand="0" w:noVBand="1"/>
        <w:tblDescription w:val="MSAC supported proposed MBS descriptor"/>
      </w:tblPr>
      <w:tblGrid>
        <w:gridCol w:w="4499"/>
        <w:gridCol w:w="4517"/>
      </w:tblGrid>
      <w:tr w:rsidR="001D44D1" w14:paraId="2D0BE9FD" w14:textId="77777777" w:rsidTr="00480B0B">
        <w:trPr>
          <w:tblHeader/>
        </w:trPr>
        <w:tc>
          <w:tcPr>
            <w:tcW w:w="4621" w:type="dxa"/>
          </w:tcPr>
          <w:p w14:paraId="0C1E6718" w14:textId="77777777" w:rsidR="001D44D1" w:rsidRDefault="001D44D1" w:rsidP="0094261C">
            <w:pPr>
              <w:pStyle w:val="TableText"/>
            </w:pPr>
            <w:r>
              <w:t>MBS item 73343</w:t>
            </w:r>
          </w:p>
        </w:tc>
        <w:tc>
          <w:tcPr>
            <w:tcW w:w="4621" w:type="dxa"/>
          </w:tcPr>
          <w:p w14:paraId="0565CA3B" w14:textId="77777777" w:rsidR="001D44D1" w:rsidRDefault="001D44D1" w:rsidP="0094261C">
            <w:pPr>
              <w:pStyle w:val="TableText"/>
              <w:jc w:val="right"/>
            </w:pPr>
            <w:r>
              <w:t>Category 6 – PATHOLOGY SERVICES</w:t>
            </w:r>
          </w:p>
        </w:tc>
      </w:tr>
      <w:tr w:rsidR="001D44D1" w14:paraId="1A81A888" w14:textId="77777777" w:rsidTr="0094261C">
        <w:tc>
          <w:tcPr>
            <w:tcW w:w="9242" w:type="dxa"/>
            <w:gridSpan w:val="2"/>
          </w:tcPr>
          <w:p w14:paraId="3D1C5D5C" w14:textId="77777777" w:rsidR="001D44D1" w:rsidRDefault="001D44D1" w:rsidP="0094261C">
            <w:pPr>
              <w:pStyle w:val="TableText"/>
            </w:pPr>
            <w:r>
              <w:t xml:space="preserve">Detection of 17p chromosomal deletions by fluorescence in situ hybridisation, in a patient with </w:t>
            </w:r>
            <w:r w:rsidRPr="00A5382B">
              <w:rPr>
                <w:strike/>
                <w:color w:val="FF0000"/>
              </w:rPr>
              <w:t>relapsed or refractory</w:t>
            </w:r>
            <w:r w:rsidRPr="00A5382B">
              <w:rPr>
                <w:color w:val="FF0000"/>
              </w:rPr>
              <w:t xml:space="preserve"> </w:t>
            </w:r>
            <w:r>
              <w:t>chronic lymphocytic leukaemia or small lymphocytic lymphoma, on a peripheral blood</w:t>
            </w:r>
            <w:r>
              <w:rPr>
                <w:color w:val="FF0000"/>
              </w:rPr>
              <w:t>,</w:t>
            </w:r>
            <w:r>
              <w:t xml:space="preserve"> </w:t>
            </w:r>
            <w:r w:rsidRPr="00A5382B">
              <w:rPr>
                <w:strike/>
                <w:color w:val="FF0000"/>
              </w:rPr>
              <w:t>or</w:t>
            </w:r>
            <w:r w:rsidRPr="00A5382B">
              <w:rPr>
                <w:color w:val="FF0000"/>
              </w:rPr>
              <w:t xml:space="preserve"> </w:t>
            </w:r>
            <w:r>
              <w:t xml:space="preserve">bone marrow sample </w:t>
            </w:r>
            <w:r>
              <w:rPr>
                <w:color w:val="FF0000"/>
              </w:rPr>
              <w:t>or lymph node tissue sample</w:t>
            </w:r>
            <w:r>
              <w:t>, requested by a specialist or consultant physician, to determine if the requirements for access to idelalisib, ibrutinib or venetoclax on the Pharmaceutical Benefits Scheme are fulfilled.</w:t>
            </w:r>
          </w:p>
          <w:p w14:paraId="37E9AC3E" w14:textId="77777777" w:rsidR="001D44D1" w:rsidRDefault="001D44D1" w:rsidP="00021A0E">
            <w:pPr>
              <w:pStyle w:val="TableText"/>
              <w:spacing w:after="240"/>
            </w:pPr>
            <w:r>
              <w:t>Fee: $230.95 Benefit: 75% = $173.25 85% = $196.35</w:t>
            </w:r>
          </w:p>
        </w:tc>
      </w:tr>
    </w:tbl>
    <w:bookmarkEnd w:id="3"/>
    <w:p w14:paraId="435E34FA" w14:textId="77777777" w:rsidR="001D44D1" w:rsidRPr="001D44D1" w:rsidRDefault="001D44D1" w:rsidP="001D44D1">
      <w:pPr>
        <w:pStyle w:val="Heading2"/>
        <w:rPr>
          <w:b/>
          <w:sz w:val="28"/>
          <w:szCs w:val="28"/>
        </w:rPr>
      </w:pPr>
      <w:r w:rsidRPr="001D44D1">
        <w:rPr>
          <w:b/>
          <w:sz w:val="28"/>
          <w:szCs w:val="28"/>
        </w:rPr>
        <w:t>Other issues</w:t>
      </w:r>
    </w:p>
    <w:p w14:paraId="10232BAC" w14:textId="29B6CE3A" w:rsidR="001D44D1" w:rsidRDefault="001D44D1" w:rsidP="001D44D1">
      <w:bookmarkStart w:id="4" w:name="_Hlk31805062"/>
      <w:r>
        <w:t xml:space="preserve">MSAC noted the PBAC’s request to consider </w:t>
      </w:r>
      <w:r w:rsidR="006B0651" w:rsidRPr="002033E7">
        <w:t>tumour protein 53</w:t>
      </w:r>
      <w:r w:rsidR="006B0651">
        <w:t xml:space="preserve"> (</w:t>
      </w:r>
      <w:r w:rsidR="00BD4D5F">
        <w:rPr>
          <w:i/>
          <w:iCs/>
        </w:rPr>
        <w:t>TP</w:t>
      </w:r>
      <w:r w:rsidRPr="00A77A60">
        <w:rPr>
          <w:i/>
          <w:iCs/>
        </w:rPr>
        <w:t>53</w:t>
      </w:r>
      <w:r w:rsidR="006B0651">
        <w:rPr>
          <w:iCs/>
        </w:rPr>
        <w:t>)</w:t>
      </w:r>
      <w:r>
        <w:t xml:space="preserve"> testing in this context, as </w:t>
      </w:r>
      <w:r w:rsidR="006B0651">
        <w:t xml:space="preserve">patients with </w:t>
      </w:r>
      <w:r>
        <w:t>CLL</w:t>
      </w:r>
      <w:r w:rsidR="00794B2F">
        <w:t xml:space="preserve"> or </w:t>
      </w:r>
      <w:r>
        <w:t xml:space="preserve">SLL with a </w:t>
      </w:r>
      <w:r w:rsidR="00BD4D5F">
        <w:rPr>
          <w:i/>
          <w:iCs/>
        </w:rPr>
        <w:t>TP</w:t>
      </w:r>
      <w:r w:rsidRPr="00544E24">
        <w:rPr>
          <w:i/>
          <w:iCs/>
        </w:rPr>
        <w:t>53</w:t>
      </w:r>
      <w:r>
        <w:t xml:space="preserve"> mutation carry a similar poor prognosis as patients with </w:t>
      </w:r>
      <w:proofErr w:type="gramStart"/>
      <w:r w:rsidRPr="0098770B">
        <w:rPr>
          <w:i/>
        </w:rPr>
        <w:t>del</w:t>
      </w:r>
      <w:r w:rsidR="0098770B" w:rsidRPr="0098770B">
        <w:rPr>
          <w:i/>
        </w:rPr>
        <w:t>(</w:t>
      </w:r>
      <w:proofErr w:type="gramEnd"/>
      <w:r w:rsidRPr="0098770B">
        <w:rPr>
          <w:i/>
        </w:rPr>
        <w:t>17p</w:t>
      </w:r>
      <w:r w:rsidR="0098770B" w:rsidRPr="0098770B">
        <w:rPr>
          <w:i/>
        </w:rPr>
        <w:t>)</w:t>
      </w:r>
      <w:r>
        <w:t xml:space="preserve">. </w:t>
      </w:r>
      <w:bookmarkEnd w:id="4"/>
      <w:r>
        <w:t xml:space="preserve">The </w:t>
      </w:r>
      <w:r w:rsidR="00BD4D5F">
        <w:rPr>
          <w:i/>
          <w:iCs/>
        </w:rPr>
        <w:t>TP</w:t>
      </w:r>
      <w:r w:rsidRPr="00A77A60">
        <w:rPr>
          <w:i/>
          <w:iCs/>
        </w:rPr>
        <w:t>53</w:t>
      </w:r>
      <w:r>
        <w:rPr>
          <w:i/>
          <w:iCs/>
        </w:rPr>
        <w:t xml:space="preserve"> </w:t>
      </w:r>
      <w:r>
        <w:t xml:space="preserve">gene is located on </w:t>
      </w:r>
      <w:r w:rsidR="00BA5960">
        <w:t>chromosome</w:t>
      </w:r>
      <w:r>
        <w:t xml:space="preserve"> 17p. Thus, </w:t>
      </w:r>
      <w:r w:rsidR="00BD4D5F">
        <w:rPr>
          <w:i/>
          <w:iCs/>
        </w:rPr>
        <w:t>TP</w:t>
      </w:r>
      <w:r w:rsidRPr="00A77A60">
        <w:rPr>
          <w:i/>
          <w:iCs/>
        </w:rPr>
        <w:t>53</w:t>
      </w:r>
      <w:r>
        <w:rPr>
          <w:i/>
          <w:iCs/>
        </w:rPr>
        <w:t xml:space="preserve"> </w:t>
      </w:r>
      <w:r>
        <w:t xml:space="preserve">function is lost in patients with </w:t>
      </w:r>
      <w:proofErr w:type="gramStart"/>
      <w:r w:rsidRPr="0098770B">
        <w:rPr>
          <w:i/>
        </w:rPr>
        <w:t>del</w:t>
      </w:r>
      <w:r w:rsidR="0098770B">
        <w:rPr>
          <w:i/>
        </w:rPr>
        <w:t>(</w:t>
      </w:r>
      <w:proofErr w:type="gramEnd"/>
      <w:r w:rsidRPr="0098770B">
        <w:rPr>
          <w:i/>
        </w:rPr>
        <w:t>17p</w:t>
      </w:r>
      <w:r w:rsidR="0098770B">
        <w:rPr>
          <w:i/>
        </w:rPr>
        <w:t>)</w:t>
      </w:r>
      <w:r>
        <w:t xml:space="preserve">, but patients may lose </w:t>
      </w:r>
      <w:r w:rsidR="00BD4D5F">
        <w:rPr>
          <w:i/>
          <w:iCs/>
        </w:rPr>
        <w:t>TP</w:t>
      </w:r>
      <w:r w:rsidRPr="00A77A60">
        <w:rPr>
          <w:i/>
          <w:iCs/>
        </w:rPr>
        <w:t>53</w:t>
      </w:r>
      <w:r>
        <w:rPr>
          <w:i/>
          <w:iCs/>
        </w:rPr>
        <w:t xml:space="preserve"> </w:t>
      </w:r>
      <w:r>
        <w:t xml:space="preserve">function even with an intact </w:t>
      </w:r>
      <w:r w:rsidR="00BD4D5F">
        <w:t xml:space="preserve">chromosome </w:t>
      </w:r>
      <w:r>
        <w:t xml:space="preserve">17p due to other types of mutations. FISH can detect translocations and insertions/deletions, but is unable to detect other types of genetic variations. </w:t>
      </w:r>
      <w:r w:rsidR="00982B14">
        <w:t xml:space="preserve">In this context, </w:t>
      </w:r>
      <w:r w:rsidRPr="001A23D3">
        <w:t xml:space="preserve">MSAC </w:t>
      </w:r>
      <w:r w:rsidRPr="00982B14">
        <w:t xml:space="preserve">also </w:t>
      </w:r>
      <w:r w:rsidRPr="001A23D3">
        <w:t>consider</w:t>
      </w:r>
      <w:r w:rsidR="00982B14">
        <w:t>ed including</w:t>
      </w:r>
      <w:r w:rsidRPr="001A23D3">
        <w:t xml:space="preserve"> </w:t>
      </w:r>
      <w:r>
        <w:t>immunoglobulin heavy chain (</w:t>
      </w:r>
      <w:r w:rsidRPr="00A77A60">
        <w:rPr>
          <w:i/>
          <w:iCs/>
        </w:rPr>
        <w:t>I</w:t>
      </w:r>
      <w:r w:rsidR="00BD4D5F">
        <w:rPr>
          <w:i/>
          <w:iCs/>
        </w:rPr>
        <w:t>G</w:t>
      </w:r>
      <w:r w:rsidRPr="00A77A60">
        <w:rPr>
          <w:i/>
          <w:iCs/>
        </w:rPr>
        <w:t>HV</w:t>
      </w:r>
      <w:r>
        <w:t>)</w:t>
      </w:r>
      <w:r w:rsidRPr="001A23D3">
        <w:t xml:space="preserve"> </w:t>
      </w:r>
      <w:proofErr w:type="spellStart"/>
      <w:r w:rsidR="006B0651">
        <w:t>hyper</w:t>
      </w:r>
      <w:r w:rsidRPr="001A23D3">
        <w:t>mutation</w:t>
      </w:r>
      <w:proofErr w:type="spellEnd"/>
      <w:r w:rsidRPr="001A23D3">
        <w:t xml:space="preserve"> </w:t>
      </w:r>
      <w:r>
        <w:t>status</w:t>
      </w:r>
      <w:r w:rsidRPr="001A23D3">
        <w:t xml:space="preserve">, as </w:t>
      </w:r>
      <w:bookmarkStart w:id="5" w:name="Editing"/>
      <w:bookmarkEnd w:id="5"/>
      <w:r w:rsidRPr="001A23D3">
        <w:t xml:space="preserve">this </w:t>
      </w:r>
      <w:r w:rsidR="006B0651">
        <w:t xml:space="preserve">has </w:t>
      </w:r>
      <w:r w:rsidR="00F2496E">
        <w:t xml:space="preserve">favourable </w:t>
      </w:r>
      <w:r w:rsidRPr="001A23D3">
        <w:t>prognos</w:t>
      </w:r>
      <w:r w:rsidR="006B0651">
        <w:t>tic value</w:t>
      </w:r>
      <w:r w:rsidRPr="001A23D3">
        <w:t xml:space="preserve"> for </w:t>
      </w:r>
      <w:r w:rsidR="007137EF">
        <w:t xml:space="preserve">patients with </w:t>
      </w:r>
      <w:r w:rsidRPr="001A23D3">
        <w:t>CLL</w:t>
      </w:r>
      <w:r w:rsidR="00794B2F">
        <w:t xml:space="preserve"> or </w:t>
      </w:r>
      <w:r w:rsidRPr="001A23D3">
        <w:t>SLL.</w:t>
      </w:r>
      <w:r>
        <w:t xml:space="preserve"> However, MSAC </w:t>
      </w:r>
      <w:r w:rsidR="00AC6C97">
        <w:t>advised</w:t>
      </w:r>
      <w:r>
        <w:t xml:space="preserve"> that a separate application for </w:t>
      </w:r>
      <w:r w:rsidR="00BD4D5F">
        <w:rPr>
          <w:i/>
          <w:iCs/>
        </w:rPr>
        <w:t>TP</w:t>
      </w:r>
      <w:r w:rsidRPr="00A77A60">
        <w:rPr>
          <w:i/>
          <w:iCs/>
        </w:rPr>
        <w:t>53</w:t>
      </w:r>
      <w:r>
        <w:rPr>
          <w:i/>
          <w:iCs/>
        </w:rPr>
        <w:t xml:space="preserve"> </w:t>
      </w:r>
      <w:r>
        <w:t xml:space="preserve">and </w:t>
      </w:r>
      <w:r w:rsidRPr="00A77A60">
        <w:rPr>
          <w:i/>
          <w:iCs/>
        </w:rPr>
        <w:t>I</w:t>
      </w:r>
      <w:r w:rsidR="00BD4D5F">
        <w:rPr>
          <w:i/>
          <w:iCs/>
        </w:rPr>
        <w:t>G</w:t>
      </w:r>
      <w:r w:rsidRPr="00A77A60">
        <w:rPr>
          <w:i/>
          <w:iCs/>
        </w:rPr>
        <w:t>HV</w:t>
      </w:r>
      <w:r>
        <w:t xml:space="preserve"> genetic testing be prepared to cover </w:t>
      </w:r>
      <w:r w:rsidR="00794B2F">
        <w:t xml:space="preserve">patients with </w:t>
      </w:r>
      <w:r w:rsidR="006B0651">
        <w:t>CLL</w:t>
      </w:r>
      <w:r w:rsidR="00794B2F">
        <w:t xml:space="preserve"> or </w:t>
      </w:r>
      <w:r w:rsidR="006B0651">
        <w:t>SLL</w:t>
      </w:r>
      <w:r>
        <w:t xml:space="preserve">, as </w:t>
      </w:r>
      <w:r w:rsidR="006B0651">
        <w:t xml:space="preserve">genetic sequencing is required to detect </w:t>
      </w:r>
      <w:r>
        <w:t xml:space="preserve">these mutations and </w:t>
      </w:r>
      <w:r w:rsidR="006B0651">
        <w:t xml:space="preserve">so </w:t>
      </w:r>
      <w:r>
        <w:t>cannot be considered under the current appli</w:t>
      </w:r>
      <w:r w:rsidR="006B0651">
        <w:t>cation, which is for FISH.</w:t>
      </w:r>
      <w:r w:rsidR="005C7608">
        <w:t xml:space="preserve"> </w:t>
      </w:r>
      <w:bookmarkStart w:id="6" w:name="_Hlk31805211"/>
      <w:r w:rsidR="005C7608">
        <w:t>There is also a need to consider the optimal timing of these test alternatives</w:t>
      </w:r>
      <w:r w:rsidR="00D245BF">
        <w:t>, noting the small incremental yield of the proposed additional testing</w:t>
      </w:r>
      <w:r w:rsidR="005C7608">
        <w:t>.</w:t>
      </w:r>
    </w:p>
    <w:bookmarkEnd w:id="6"/>
    <w:p w14:paraId="0746D4B5" w14:textId="77777777" w:rsidR="000B638D" w:rsidRPr="00F715D1" w:rsidRDefault="000B638D" w:rsidP="000B638D">
      <w:pPr>
        <w:pStyle w:val="Heading1"/>
      </w:pPr>
      <w:r w:rsidRPr="00F715D1">
        <w:t>Background</w:t>
      </w:r>
    </w:p>
    <w:p w14:paraId="1168585E" w14:textId="613ACC7B" w:rsidR="00347F49" w:rsidRPr="00BE1D60" w:rsidRDefault="00347F49" w:rsidP="00021A0E">
      <w:pPr>
        <w:spacing w:after="240"/>
        <w:rPr>
          <w:rFonts w:cs="Arial"/>
        </w:rPr>
      </w:pPr>
      <w:r w:rsidRPr="00BE1D60">
        <w:rPr>
          <w:rFonts w:cs="Arial"/>
        </w:rPr>
        <w:t xml:space="preserve">In April 2017, MSAC </w:t>
      </w:r>
      <w:r w:rsidR="00AC6C97">
        <w:rPr>
          <w:rFonts w:cs="Arial"/>
        </w:rPr>
        <w:t>supported</w:t>
      </w:r>
      <w:r w:rsidRPr="00BE1D60">
        <w:rPr>
          <w:rFonts w:cs="Arial"/>
        </w:rPr>
        <w:t xml:space="preserve"> the listing of </w:t>
      </w:r>
      <w:proofErr w:type="gramStart"/>
      <w:r w:rsidRPr="00347F49">
        <w:rPr>
          <w:rFonts w:cs="Arial"/>
          <w:i/>
        </w:rPr>
        <w:t>del</w:t>
      </w:r>
      <w:r w:rsidR="0098770B">
        <w:rPr>
          <w:rFonts w:cs="Arial"/>
          <w:i/>
        </w:rPr>
        <w:t>(</w:t>
      </w:r>
      <w:proofErr w:type="gramEnd"/>
      <w:r w:rsidRPr="00347F49">
        <w:rPr>
          <w:rFonts w:cs="Arial"/>
          <w:i/>
        </w:rPr>
        <w:t>17p</w:t>
      </w:r>
      <w:r w:rsidR="0098770B">
        <w:rPr>
          <w:rFonts w:cs="Arial"/>
          <w:i/>
        </w:rPr>
        <w:t>)</w:t>
      </w:r>
      <w:r w:rsidRPr="00BE1D60">
        <w:rPr>
          <w:rFonts w:cs="Arial"/>
        </w:rPr>
        <w:t xml:space="preserve"> testing as a codependent test to support access to the kinase inhibitors idelalisib and ibrutinib, which were both earlier recommended by PBAC for listing on the PBS for the treatment of patients with relapsed or refractory CLL</w:t>
      </w:r>
      <w:r w:rsidR="00794B2F">
        <w:rPr>
          <w:rFonts w:cs="Arial"/>
        </w:rPr>
        <w:t xml:space="preserve"> or </w:t>
      </w:r>
      <w:r w:rsidR="00794B2F" w:rsidRPr="00BE1D60">
        <w:rPr>
          <w:rFonts w:cs="Arial"/>
        </w:rPr>
        <w:t xml:space="preserve">relapsed or refractory </w:t>
      </w:r>
      <w:r w:rsidRPr="00BE1D60">
        <w:rPr>
          <w:rFonts w:cs="Arial"/>
        </w:rPr>
        <w:t xml:space="preserve">SLL whose disease is characterised by a </w:t>
      </w:r>
      <w:r w:rsidR="00BD4D5F">
        <w:rPr>
          <w:rFonts w:cs="Arial"/>
        </w:rPr>
        <w:t xml:space="preserve">chromosome </w:t>
      </w:r>
      <w:r w:rsidRPr="00BE1D60">
        <w:rPr>
          <w:rFonts w:cs="Arial"/>
        </w:rPr>
        <w:t>17p deletion (see PSD for Application 1456, MSAC 69th Meeting, 6-7 April 2017).</w:t>
      </w:r>
    </w:p>
    <w:p w14:paraId="6B12D2C8" w14:textId="3BE2156B" w:rsidR="00FD720B" w:rsidRPr="00FD720B" w:rsidRDefault="00347F49" w:rsidP="00FD720B">
      <w:pPr>
        <w:rPr>
          <w:rFonts w:cs="Arial"/>
        </w:rPr>
      </w:pPr>
      <w:r w:rsidRPr="00BE1D60">
        <w:rPr>
          <w:rFonts w:cs="Arial"/>
        </w:rPr>
        <w:t xml:space="preserve">In November 2018, MSAC supported amending MBS item 73343 to include </w:t>
      </w:r>
      <w:proofErr w:type="gramStart"/>
      <w:r w:rsidR="0098770B" w:rsidRPr="0098770B">
        <w:rPr>
          <w:rFonts w:cs="Arial"/>
          <w:i/>
        </w:rPr>
        <w:t>del(</w:t>
      </w:r>
      <w:proofErr w:type="gramEnd"/>
      <w:r w:rsidRPr="0098770B">
        <w:rPr>
          <w:rFonts w:cs="Arial"/>
          <w:i/>
        </w:rPr>
        <w:t>17p</w:t>
      </w:r>
      <w:r w:rsidR="0098770B">
        <w:rPr>
          <w:rFonts w:cs="Arial"/>
          <w:i/>
        </w:rPr>
        <w:t>)</w:t>
      </w:r>
      <w:r w:rsidRPr="00BE1D60">
        <w:rPr>
          <w:rFonts w:cs="Arial"/>
        </w:rPr>
        <w:t xml:space="preserve"> deletion testing in patients with relapsed</w:t>
      </w:r>
      <w:r w:rsidR="00DA255F">
        <w:rPr>
          <w:rFonts w:cs="Arial"/>
        </w:rPr>
        <w:t xml:space="preserve"> or </w:t>
      </w:r>
      <w:r w:rsidRPr="00BE1D60">
        <w:rPr>
          <w:rFonts w:cs="Arial"/>
        </w:rPr>
        <w:t>refractory CLL to determine access to venetoclax under the PBS (see PSD for Application 1456, MSAC 74th Meeting, 22-23 November 2018</w:t>
      </w:r>
      <w:r w:rsidR="00BB36BA">
        <w:rPr>
          <w:rFonts w:cs="Arial"/>
        </w:rPr>
        <w:t>).</w:t>
      </w:r>
    </w:p>
    <w:p w14:paraId="4C2D2B2E" w14:textId="77777777" w:rsidR="000B638D" w:rsidRPr="00F715D1" w:rsidRDefault="000B638D" w:rsidP="00347F49">
      <w:pPr>
        <w:pStyle w:val="Heading1"/>
      </w:pPr>
      <w:r w:rsidRPr="00F715D1">
        <w:t>Prerequisites to implementation of any funding advice</w:t>
      </w:r>
    </w:p>
    <w:p w14:paraId="1EF6A208" w14:textId="05F43CFC" w:rsidR="00347F49" w:rsidRPr="00BE1D60" w:rsidRDefault="00347F49" w:rsidP="00021A0E">
      <w:pPr>
        <w:spacing w:after="240"/>
        <w:rPr>
          <w:rFonts w:cs="Arial"/>
        </w:rPr>
      </w:pPr>
      <w:r>
        <w:rPr>
          <w:rFonts w:cs="Arial"/>
        </w:rPr>
        <w:t>The Applicant stated that</w:t>
      </w:r>
      <w:r w:rsidRPr="00BE1D60">
        <w:rPr>
          <w:rFonts w:cs="Arial"/>
        </w:rPr>
        <w:t xml:space="preserve"> the FISH test is widely accessible</w:t>
      </w:r>
      <w:r>
        <w:rPr>
          <w:rFonts w:cs="Arial"/>
        </w:rPr>
        <w:t xml:space="preserve"> in Australia</w:t>
      </w:r>
      <w:r w:rsidRPr="00BE1D60">
        <w:rPr>
          <w:rFonts w:cs="Arial"/>
        </w:rPr>
        <w:t xml:space="preserve">, and in clinical practice the test would be requested by specialists or consultant physicians (haematologist/oncologist), and qualified pathologists in </w:t>
      </w:r>
      <w:r>
        <w:rPr>
          <w:rFonts w:cs="Arial"/>
        </w:rPr>
        <w:t>National Association of Testing Authorities (</w:t>
      </w:r>
      <w:r w:rsidRPr="00BE1D60">
        <w:rPr>
          <w:rFonts w:cs="Arial"/>
        </w:rPr>
        <w:t>NATA</w:t>
      </w:r>
      <w:r>
        <w:rPr>
          <w:rFonts w:cs="Arial"/>
        </w:rPr>
        <w:t>)</w:t>
      </w:r>
      <w:r w:rsidRPr="00BE1D60">
        <w:rPr>
          <w:rFonts w:cs="Arial"/>
        </w:rPr>
        <w:t xml:space="preserve"> accredited pathology testing laboratories would deliver the service. The </w:t>
      </w:r>
      <w:r w:rsidRPr="00BE1D60">
        <w:rPr>
          <w:rFonts w:cs="Arial"/>
        </w:rPr>
        <w:lastRenderedPageBreak/>
        <w:t>Royal College of Pathologists of Australasia (RCPA) accredits laboratories for pathology training, approves supervised training undertaken in an accredited laboratory and conducts examinations leading to certification as a qualified pathologist and Fellow of the College (FRCPA).</w:t>
      </w:r>
    </w:p>
    <w:p w14:paraId="45769FA6" w14:textId="5F15DDFF" w:rsidR="00347F49" w:rsidRPr="00BE1D60" w:rsidRDefault="007D0C1E" w:rsidP="00021A0E">
      <w:pPr>
        <w:spacing w:after="240"/>
        <w:rPr>
          <w:rFonts w:cs="Arial"/>
        </w:rPr>
      </w:pPr>
      <w:r>
        <w:rPr>
          <w:rFonts w:cs="Arial"/>
        </w:rPr>
        <w:t>The Applicant</w:t>
      </w:r>
      <w:r w:rsidR="00347F49" w:rsidRPr="00BE1D60">
        <w:rPr>
          <w:rFonts w:cs="Arial"/>
        </w:rPr>
        <w:t xml:space="preserve"> confirmed with the RCPA and the Australasian Society of Diagnostic Genomics (ASDG) that a quality assurance program, run by these pathology groups is already in place for FISH testing in NATA accredited laboratories. The QAP module qualitatively assesses laboratory performance in the detection of </w:t>
      </w:r>
      <w:r w:rsidR="00347F49" w:rsidRPr="00FD6FDF">
        <w:rPr>
          <w:rFonts w:cs="Arial"/>
          <w:i/>
        </w:rPr>
        <w:t>TP53</w:t>
      </w:r>
      <w:r w:rsidR="00347F49" w:rsidRPr="00BE1D60">
        <w:rPr>
          <w:rFonts w:cs="Arial"/>
        </w:rPr>
        <w:t xml:space="preserve"> deletions at </w:t>
      </w:r>
      <w:r w:rsidR="00347F49" w:rsidRPr="00FD6FDF">
        <w:rPr>
          <w:rFonts w:cs="Arial"/>
          <w:i/>
        </w:rPr>
        <w:t>17p13.</w:t>
      </w:r>
      <w:r w:rsidR="00347F49" w:rsidRPr="00F2496E">
        <w:rPr>
          <w:rFonts w:cs="Arial"/>
          <w:i/>
        </w:rPr>
        <w:t>1</w:t>
      </w:r>
      <w:r w:rsidR="00347F49" w:rsidRPr="00BE1D60">
        <w:rPr>
          <w:rFonts w:cs="Arial"/>
        </w:rPr>
        <w:t xml:space="preserve"> in CLL using FISH (</w:t>
      </w:r>
      <w:hyperlink r:id="rId10" w:tooltip="Link to RCPAQAP webpage for TP53 deletions in CLL" w:history="1">
        <w:r w:rsidR="00F2496E" w:rsidRPr="00F23623">
          <w:rPr>
            <w:rStyle w:val="Hyperlink"/>
            <w:rFonts w:cs="Arial"/>
          </w:rPr>
          <w:t>https://rcpaqap.com.au/product/molecular-haematology-module-12/</w:t>
        </w:r>
      </w:hyperlink>
      <w:r w:rsidR="00347F49" w:rsidRPr="00BE1D60">
        <w:rPr>
          <w:rFonts w:cs="Arial"/>
        </w:rPr>
        <w:t>).</w:t>
      </w:r>
    </w:p>
    <w:p w14:paraId="72D77F8A" w14:textId="682A3974" w:rsidR="00347F49" w:rsidRPr="00BE1D60" w:rsidRDefault="00347F49" w:rsidP="00347F49">
      <w:pPr>
        <w:rPr>
          <w:rFonts w:cs="Arial"/>
        </w:rPr>
      </w:pPr>
      <w:r w:rsidRPr="00BE1D60">
        <w:rPr>
          <w:rFonts w:cs="Arial"/>
        </w:rPr>
        <w:t>Based on this information provided by RCPA</w:t>
      </w:r>
      <w:r>
        <w:rPr>
          <w:rFonts w:cs="Arial"/>
        </w:rPr>
        <w:t xml:space="preserve"> and ASDG</w:t>
      </w:r>
      <w:r w:rsidRPr="00BE1D60">
        <w:rPr>
          <w:rFonts w:cs="Arial"/>
        </w:rPr>
        <w:t xml:space="preserve">, </w:t>
      </w:r>
      <w:r w:rsidR="007D0C1E">
        <w:rPr>
          <w:rFonts w:cs="Arial"/>
        </w:rPr>
        <w:t>the Applicant advised</w:t>
      </w:r>
      <w:r w:rsidRPr="00BE1D60">
        <w:rPr>
          <w:rFonts w:cs="Arial"/>
        </w:rPr>
        <w:t xml:space="preserve"> that FISH testing for </w:t>
      </w:r>
      <w:proofErr w:type="gramStart"/>
      <w:r w:rsidRPr="0098770B">
        <w:rPr>
          <w:rFonts w:cs="Arial"/>
          <w:i/>
        </w:rPr>
        <w:t>del</w:t>
      </w:r>
      <w:r w:rsidR="0098770B" w:rsidRPr="0098770B">
        <w:rPr>
          <w:rFonts w:cs="Arial"/>
          <w:i/>
        </w:rPr>
        <w:t>(</w:t>
      </w:r>
      <w:proofErr w:type="gramEnd"/>
      <w:r w:rsidRPr="0098770B">
        <w:rPr>
          <w:rFonts w:cs="Arial"/>
          <w:i/>
        </w:rPr>
        <w:t>17p</w:t>
      </w:r>
      <w:r w:rsidR="0098770B" w:rsidRPr="0098770B">
        <w:rPr>
          <w:rFonts w:cs="Arial"/>
          <w:i/>
        </w:rPr>
        <w:t>)</w:t>
      </w:r>
      <w:r w:rsidRPr="00BE1D60">
        <w:rPr>
          <w:rFonts w:cs="Arial"/>
        </w:rPr>
        <w:t xml:space="preserve"> in previously untreated patients with CLL</w:t>
      </w:r>
      <w:r w:rsidR="00794B2F">
        <w:rPr>
          <w:rFonts w:cs="Arial"/>
        </w:rPr>
        <w:t xml:space="preserve"> or </w:t>
      </w:r>
      <w:r w:rsidRPr="00BE1D60">
        <w:rPr>
          <w:rFonts w:cs="Arial"/>
        </w:rPr>
        <w:t xml:space="preserve">SLL would be covered by the existing QAP as it will be conducted in the same NATA accredited laboratories, by the same pathologists, and according to the same standards as </w:t>
      </w:r>
      <w:r w:rsidR="00B921D3">
        <w:rPr>
          <w:rFonts w:cs="Arial"/>
        </w:rPr>
        <w:t xml:space="preserve">per current practice </w:t>
      </w:r>
      <w:r w:rsidRPr="00BE1D60">
        <w:rPr>
          <w:rFonts w:cs="Arial"/>
        </w:rPr>
        <w:t xml:space="preserve">for </w:t>
      </w:r>
      <w:r w:rsidR="00475B8C">
        <w:rPr>
          <w:rFonts w:cs="Arial"/>
        </w:rPr>
        <w:t xml:space="preserve">patients with </w:t>
      </w:r>
      <w:r w:rsidRPr="00BE1D60">
        <w:rPr>
          <w:rFonts w:cs="Arial"/>
        </w:rPr>
        <w:t>relapsed</w:t>
      </w:r>
      <w:r w:rsidR="00794B2F">
        <w:rPr>
          <w:rFonts w:cs="Arial"/>
        </w:rPr>
        <w:t xml:space="preserve"> or </w:t>
      </w:r>
      <w:r w:rsidRPr="00BE1D60">
        <w:rPr>
          <w:rFonts w:cs="Arial"/>
        </w:rPr>
        <w:t>refractory CLL</w:t>
      </w:r>
      <w:r w:rsidR="00794B2F">
        <w:rPr>
          <w:rFonts w:cs="Arial"/>
        </w:rPr>
        <w:t xml:space="preserve"> or </w:t>
      </w:r>
      <w:r w:rsidR="00794B2F" w:rsidRPr="00BE1D60">
        <w:rPr>
          <w:rFonts w:cs="Arial"/>
        </w:rPr>
        <w:t xml:space="preserve">relapsed or refractory </w:t>
      </w:r>
      <w:r w:rsidRPr="00BE1D60">
        <w:rPr>
          <w:rFonts w:cs="Arial"/>
        </w:rPr>
        <w:t>SLL.</w:t>
      </w:r>
    </w:p>
    <w:p w14:paraId="5044C1F9" w14:textId="77777777" w:rsidR="000B638D" w:rsidRPr="00F715D1" w:rsidRDefault="000B638D" w:rsidP="000B638D">
      <w:pPr>
        <w:pStyle w:val="Heading1"/>
      </w:pPr>
      <w:r w:rsidRPr="00F715D1">
        <w:t>Proposal for public funding</w:t>
      </w:r>
    </w:p>
    <w:p w14:paraId="39365B8E" w14:textId="595012FD" w:rsidR="0020357B" w:rsidRDefault="00FD720B" w:rsidP="00021A0E">
      <w:pPr>
        <w:spacing w:after="240"/>
      </w:pPr>
      <w:r>
        <w:t>The proposed amendment to MBS item 73342 is summarised in Table</w:t>
      </w:r>
      <w:r w:rsidR="00BB36BA">
        <w:t xml:space="preserve"> 1.</w:t>
      </w:r>
    </w:p>
    <w:p w14:paraId="764EB969" w14:textId="2E7EAB1D" w:rsidR="00FD720B" w:rsidRPr="00021A0E" w:rsidRDefault="0020357B" w:rsidP="00021A0E">
      <w:pPr>
        <w:spacing w:after="240"/>
        <w:rPr>
          <w:rFonts w:eastAsiaTheme="minorHAnsi"/>
          <w:lang w:eastAsia="en-US"/>
        </w:rPr>
      </w:pPr>
      <w:r>
        <w:rPr>
          <w:rFonts w:eastAsiaTheme="minorHAnsi"/>
          <w:lang w:eastAsia="en-US"/>
        </w:rPr>
        <w:t>The Applicant’s proposed amendment w</w:t>
      </w:r>
      <w:r w:rsidR="007D0C1E">
        <w:rPr>
          <w:rFonts w:eastAsiaTheme="minorHAnsi"/>
          <w:lang w:eastAsia="en-US"/>
        </w:rPr>
        <w:t>ould</w:t>
      </w:r>
      <w:r>
        <w:rPr>
          <w:rFonts w:eastAsiaTheme="minorHAnsi"/>
          <w:lang w:eastAsia="en-US"/>
        </w:rPr>
        <w:t xml:space="preserve"> </w:t>
      </w:r>
      <w:r w:rsidRPr="00BE1D60">
        <w:rPr>
          <w:rFonts w:cs="Arial"/>
          <w:noProof/>
        </w:rPr>
        <w:t xml:space="preserve">broaden the reimbursement of the </w:t>
      </w:r>
      <w:r w:rsidRPr="00BE1D60">
        <w:rPr>
          <w:rFonts w:cs="Arial"/>
        </w:rPr>
        <w:t xml:space="preserve">FISH test for the detection of </w:t>
      </w:r>
      <w:proofErr w:type="gramStart"/>
      <w:r w:rsidRPr="00FD720B">
        <w:rPr>
          <w:rFonts w:cs="Arial"/>
          <w:i/>
        </w:rPr>
        <w:t>del</w:t>
      </w:r>
      <w:r w:rsidR="0098770B">
        <w:rPr>
          <w:rFonts w:cs="Arial"/>
          <w:i/>
        </w:rPr>
        <w:t>(</w:t>
      </w:r>
      <w:proofErr w:type="gramEnd"/>
      <w:r w:rsidRPr="00FD720B">
        <w:rPr>
          <w:rFonts w:cs="Arial"/>
          <w:i/>
        </w:rPr>
        <w:t>17p</w:t>
      </w:r>
      <w:r w:rsidR="0098770B">
        <w:rPr>
          <w:rFonts w:cs="Arial"/>
          <w:i/>
        </w:rPr>
        <w:t>)</w:t>
      </w:r>
      <w:r w:rsidRPr="00BE1D60">
        <w:rPr>
          <w:rFonts w:cs="Arial"/>
        </w:rPr>
        <w:t xml:space="preserve"> for </w:t>
      </w:r>
      <w:r w:rsidRPr="00FD6FDF">
        <w:rPr>
          <w:rFonts w:cs="Arial"/>
        </w:rPr>
        <w:t xml:space="preserve">all </w:t>
      </w:r>
      <w:r w:rsidR="00475B8C">
        <w:rPr>
          <w:rFonts w:cs="Arial"/>
        </w:rPr>
        <w:t xml:space="preserve">patients with </w:t>
      </w:r>
      <w:r w:rsidRPr="00BE1D60">
        <w:rPr>
          <w:rFonts w:cs="Arial"/>
        </w:rPr>
        <w:t>CLL</w:t>
      </w:r>
      <w:r w:rsidR="00794B2F">
        <w:rPr>
          <w:rFonts w:cs="Arial"/>
        </w:rPr>
        <w:t xml:space="preserve"> or </w:t>
      </w:r>
      <w:r w:rsidRPr="00BE1D60">
        <w:rPr>
          <w:rFonts w:cs="Arial"/>
        </w:rPr>
        <w:t>SLL requiring treatment, agnostic of line of therapy</w:t>
      </w:r>
      <w:r>
        <w:rPr>
          <w:rFonts w:cs="Arial"/>
        </w:rPr>
        <w:t>.</w:t>
      </w:r>
      <w:r w:rsidR="00FD6FDF">
        <w:rPr>
          <w:rFonts w:cs="Arial"/>
        </w:rPr>
        <w:t xml:space="preserve"> </w:t>
      </w:r>
      <w:r w:rsidR="00FD720B">
        <w:t>Note the fee and benefit remain unchanged to the current MBS item 73343.</w:t>
      </w:r>
    </w:p>
    <w:p w14:paraId="452BD878" w14:textId="77777777" w:rsidR="00FD720B" w:rsidRPr="00FD720B" w:rsidRDefault="00FD720B" w:rsidP="00FD720B">
      <w:pPr>
        <w:pStyle w:val="Caption"/>
        <w:keepNext/>
        <w:rPr>
          <w:rFonts w:ascii="Arial Narrow" w:hAnsi="Arial Narrow" w:cs="Arial"/>
        </w:rPr>
      </w:pPr>
      <w:bookmarkStart w:id="7" w:name="_Ref10191914"/>
      <w:r w:rsidRPr="00FD720B">
        <w:rPr>
          <w:rFonts w:ascii="Arial Narrow" w:hAnsi="Arial Narrow" w:cs="Arial"/>
        </w:rPr>
        <w:t xml:space="preserve">Table </w:t>
      </w:r>
      <w:bookmarkEnd w:id="7"/>
      <w:r>
        <w:rPr>
          <w:rFonts w:ascii="Arial Narrow" w:hAnsi="Arial Narrow" w:cs="Arial"/>
        </w:rPr>
        <w:t>1</w:t>
      </w:r>
      <w:r w:rsidRPr="00FD720B">
        <w:rPr>
          <w:rFonts w:ascii="Arial Narrow" w:hAnsi="Arial Narrow" w:cs="Arial"/>
        </w:rPr>
        <w:tab/>
      </w:r>
      <w:bookmarkStart w:id="8" w:name="_Ref532476902"/>
      <w:r w:rsidRPr="00FD720B">
        <w:rPr>
          <w:rFonts w:ascii="Arial Narrow" w:hAnsi="Arial Narrow" w:cs="Arial"/>
        </w:rPr>
        <w:t xml:space="preserve">Proposed amendment to MBS item </w:t>
      </w:r>
      <w:bookmarkEnd w:id="8"/>
      <w:r w:rsidRPr="00FD720B">
        <w:rPr>
          <w:rFonts w:ascii="Arial Narrow" w:hAnsi="Arial Narrow" w:cs="Arial"/>
        </w:rPr>
        <w:t>73343</w:t>
      </w:r>
    </w:p>
    <w:tbl>
      <w:tblPr>
        <w:tblStyle w:val="TableGrid"/>
        <w:tblW w:w="5000" w:type="pct"/>
        <w:tblLook w:val="04A0" w:firstRow="1" w:lastRow="0" w:firstColumn="1" w:lastColumn="0" w:noHBand="0" w:noVBand="1"/>
        <w:tblCaption w:val="Proposed amendment to MBS item 73343"/>
        <w:tblDescription w:val="Proposed descriptor"/>
      </w:tblPr>
      <w:tblGrid>
        <w:gridCol w:w="9016"/>
      </w:tblGrid>
      <w:tr w:rsidR="00FD720B" w:rsidRPr="00BE1D60" w14:paraId="619C4CEC" w14:textId="77777777" w:rsidTr="00480B0B">
        <w:trPr>
          <w:tblHeader/>
        </w:trPr>
        <w:tc>
          <w:tcPr>
            <w:tcW w:w="5000" w:type="pct"/>
          </w:tcPr>
          <w:p w14:paraId="3E1C6004" w14:textId="77777777" w:rsidR="00FD720B" w:rsidRPr="00FD720B" w:rsidRDefault="00FD720B" w:rsidP="0094261C">
            <w:pPr>
              <w:spacing w:before="40" w:after="40"/>
              <w:rPr>
                <w:rFonts w:ascii="Arial Narrow" w:eastAsia="Calibri" w:hAnsi="Arial Narrow" w:cs="Arial"/>
                <w:b/>
                <w:sz w:val="20"/>
              </w:rPr>
            </w:pPr>
            <w:r w:rsidRPr="00FD720B">
              <w:rPr>
                <w:rFonts w:ascii="Arial Narrow" w:eastAsia="Calibri" w:hAnsi="Arial Narrow" w:cs="Arial"/>
                <w:b/>
                <w:sz w:val="20"/>
              </w:rPr>
              <w:t>Category 6 – PATHOLOGY SERVICES</w:t>
            </w:r>
          </w:p>
        </w:tc>
      </w:tr>
      <w:tr w:rsidR="00FD720B" w:rsidRPr="00BE1D60" w14:paraId="0DA752A1" w14:textId="77777777" w:rsidTr="00480B0B">
        <w:tc>
          <w:tcPr>
            <w:tcW w:w="5000" w:type="pct"/>
          </w:tcPr>
          <w:p w14:paraId="61A4290D" w14:textId="47014A3E" w:rsidR="00FD720B" w:rsidRPr="00FD720B" w:rsidRDefault="00FD720B" w:rsidP="00021A0E">
            <w:pPr>
              <w:spacing w:before="40" w:after="240"/>
              <w:rPr>
                <w:rFonts w:ascii="Arial Narrow" w:eastAsia="Calibri" w:hAnsi="Arial Narrow" w:cs="Arial"/>
                <w:sz w:val="20"/>
              </w:rPr>
            </w:pPr>
            <w:r w:rsidRPr="00FD720B">
              <w:rPr>
                <w:rFonts w:ascii="Arial Narrow" w:eastAsia="Calibri" w:hAnsi="Arial Narrow" w:cs="Arial"/>
                <w:sz w:val="20"/>
              </w:rPr>
              <w:t xml:space="preserve">Proposed item descriptor: </w:t>
            </w:r>
          </w:p>
          <w:p w14:paraId="19EFF991" w14:textId="49D51D0D" w:rsidR="00FD720B" w:rsidRPr="00FD720B" w:rsidRDefault="00FD720B" w:rsidP="00021A0E">
            <w:pPr>
              <w:spacing w:before="240" w:after="240"/>
              <w:rPr>
                <w:rFonts w:ascii="Arial Narrow" w:eastAsia="Calibri" w:hAnsi="Arial Narrow" w:cs="Arial"/>
                <w:sz w:val="20"/>
              </w:rPr>
            </w:pPr>
            <w:r w:rsidRPr="00FD720B">
              <w:rPr>
                <w:rFonts w:ascii="Arial Narrow" w:eastAsia="Calibri" w:hAnsi="Arial Narrow" w:cs="Arial"/>
                <w:sz w:val="20"/>
              </w:rPr>
              <w:t>Detection of 17p chromosomal deletions by fluorescence in situ hybridisation, in a patient with chronic lymphocytic leukaemia or small lymphocytic lymphoma, and testing is via a peripheral blood, or bone marrow or lymph node tissue sample, requested by a specialist or consultant physician, to determine if the requirements for access to ibrutinib, idelalisib or venetoclax on the Pharmaceutical Benefits Scheme are fulfilled.</w:t>
            </w:r>
          </w:p>
          <w:p w14:paraId="2645EE8B" w14:textId="77777777" w:rsidR="00FD720B" w:rsidRPr="00FD720B" w:rsidRDefault="00FD720B" w:rsidP="0094261C">
            <w:pPr>
              <w:spacing w:before="40" w:after="40"/>
              <w:rPr>
                <w:rFonts w:ascii="Arial Narrow" w:eastAsia="Calibri" w:hAnsi="Arial Narrow" w:cs="Arial"/>
                <w:sz w:val="20"/>
              </w:rPr>
            </w:pPr>
            <w:r w:rsidRPr="00FD720B">
              <w:rPr>
                <w:rFonts w:ascii="Arial Narrow" w:eastAsia="Calibri" w:hAnsi="Arial Narrow" w:cs="Arial"/>
                <w:sz w:val="20"/>
              </w:rPr>
              <w:t xml:space="preserve">Explanatory notes: This test is not intended for monitoring purposes. </w:t>
            </w:r>
          </w:p>
          <w:p w14:paraId="324F90E0" w14:textId="7F30EF69" w:rsidR="00FD720B" w:rsidRPr="00FD720B" w:rsidRDefault="00FD720B" w:rsidP="00021A0E">
            <w:pPr>
              <w:spacing w:before="40" w:after="240"/>
              <w:rPr>
                <w:rFonts w:ascii="Arial Narrow" w:eastAsia="Calibri" w:hAnsi="Arial Narrow" w:cs="Arial"/>
                <w:sz w:val="20"/>
              </w:rPr>
            </w:pPr>
            <w:r w:rsidRPr="00FD720B">
              <w:rPr>
                <w:rFonts w:ascii="Arial Narrow" w:eastAsia="Calibri" w:hAnsi="Arial Narrow" w:cs="Arial"/>
                <w:sz w:val="20"/>
              </w:rPr>
              <w:t xml:space="preserve">This item number should not be used more than once per year per patient. </w:t>
            </w:r>
          </w:p>
          <w:p w14:paraId="3175C22F" w14:textId="77777777" w:rsidR="00FD720B" w:rsidRPr="00FD720B" w:rsidRDefault="00FD720B" w:rsidP="0094261C">
            <w:pPr>
              <w:spacing w:before="40" w:after="40"/>
              <w:rPr>
                <w:rFonts w:ascii="Arial Narrow" w:eastAsia="Calibri" w:hAnsi="Arial Narrow" w:cs="Arial"/>
                <w:sz w:val="20"/>
              </w:rPr>
            </w:pPr>
            <w:r w:rsidRPr="00FD720B">
              <w:rPr>
                <w:rFonts w:ascii="Arial Narrow" w:eastAsia="Calibri" w:hAnsi="Arial Narrow" w:cs="Arial"/>
                <w:sz w:val="20"/>
              </w:rPr>
              <w:t>Fee:  $230.95 Benefit: 75% = $173.25 85% = $196.35</w:t>
            </w:r>
          </w:p>
        </w:tc>
      </w:tr>
    </w:tbl>
    <w:p w14:paraId="67199DE3" w14:textId="77777777" w:rsidR="00FD720B" w:rsidRDefault="00FD720B" w:rsidP="00FD720B">
      <w:pPr>
        <w:rPr>
          <w:rFonts w:ascii="Arial Narrow" w:hAnsi="Arial Narrow"/>
          <w:sz w:val="18"/>
        </w:rPr>
      </w:pPr>
      <w:r>
        <w:rPr>
          <w:rFonts w:ascii="Arial Narrow" w:hAnsi="Arial Narrow"/>
          <w:sz w:val="18"/>
        </w:rPr>
        <w:t>Source: Table 3.1, p7 of the Minor Submission</w:t>
      </w:r>
    </w:p>
    <w:p w14:paraId="5CCAFE88" w14:textId="77777777" w:rsidR="00317059" w:rsidRDefault="00317059" w:rsidP="00317059">
      <w:pPr>
        <w:pStyle w:val="Heading2"/>
      </w:pPr>
      <w:r>
        <w:t>Pre-MSAC response</w:t>
      </w:r>
    </w:p>
    <w:p w14:paraId="729384EA" w14:textId="2BCE25FC" w:rsidR="00317059" w:rsidRDefault="00317059" w:rsidP="00317059">
      <w:r>
        <w:t xml:space="preserve">The Applicant responded to the PBAC request </w:t>
      </w:r>
      <w:r w:rsidR="006B0651">
        <w:t>for</w:t>
      </w:r>
      <w:r>
        <w:t xml:space="preserve"> advice from MSAC </w:t>
      </w:r>
      <w:r w:rsidR="006B0651">
        <w:t>on</w:t>
      </w:r>
      <w:r>
        <w:t xml:space="preserve"> the following questions:</w:t>
      </w:r>
    </w:p>
    <w:p w14:paraId="205EF939" w14:textId="61530DA6" w:rsidR="00317059" w:rsidRPr="00480B0B" w:rsidRDefault="00317059" w:rsidP="00480B0B">
      <w:pPr>
        <w:spacing w:before="240"/>
        <w:rPr>
          <w:i/>
        </w:rPr>
      </w:pPr>
      <w:r w:rsidRPr="00480B0B">
        <w:rPr>
          <w:i/>
        </w:rPr>
        <w:t xml:space="preserve">Whether to extend the proposed PBS restriction to include TP53 mutations as an alternative to </w:t>
      </w:r>
      <w:proofErr w:type="gramStart"/>
      <w:r w:rsidRPr="00480B0B">
        <w:rPr>
          <w:i/>
        </w:rPr>
        <w:t>del</w:t>
      </w:r>
      <w:r w:rsidR="007D0C1E" w:rsidRPr="00480B0B">
        <w:rPr>
          <w:i/>
        </w:rPr>
        <w:t>(</w:t>
      </w:r>
      <w:proofErr w:type="gramEnd"/>
      <w:r w:rsidRPr="00480B0B">
        <w:rPr>
          <w:i/>
        </w:rPr>
        <w:t>17p</w:t>
      </w:r>
      <w:r w:rsidR="007D0C1E" w:rsidRPr="00480B0B">
        <w:rPr>
          <w:i/>
        </w:rPr>
        <w:t>)</w:t>
      </w:r>
      <w:r w:rsidRPr="00480B0B">
        <w:rPr>
          <w:i/>
        </w:rPr>
        <w:t>?</w:t>
      </w:r>
    </w:p>
    <w:p w14:paraId="768BCF0E" w14:textId="6370E141" w:rsidR="00317059" w:rsidRPr="00317059" w:rsidRDefault="00317059" w:rsidP="00317059">
      <w:r>
        <w:t xml:space="preserve">The Applicant </w:t>
      </w:r>
      <w:r w:rsidR="007D0C1E">
        <w:t>supported the inclusion of this test outcome</w:t>
      </w:r>
      <w:r w:rsidRPr="0048183B">
        <w:t xml:space="preserve"> in the </w:t>
      </w:r>
      <w:r>
        <w:t xml:space="preserve">proposed PBS </w:t>
      </w:r>
      <w:r w:rsidRPr="0048183B">
        <w:t xml:space="preserve">restriction wording </w:t>
      </w:r>
      <w:r>
        <w:t>provided</w:t>
      </w:r>
      <w:r w:rsidRPr="0048183B">
        <w:t xml:space="preserve"> that broadening the restriction to include the </w:t>
      </w:r>
      <w:r w:rsidRPr="00317059">
        <w:rPr>
          <w:i/>
        </w:rPr>
        <w:t>TP53</w:t>
      </w:r>
      <w:r w:rsidRPr="0048183B">
        <w:t xml:space="preserve"> </w:t>
      </w:r>
      <w:r w:rsidR="007D0C1E">
        <w:t xml:space="preserve">mutation positive </w:t>
      </w:r>
      <w:r w:rsidRPr="0048183B">
        <w:t xml:space="preserve">population </w:t>
      </w:r>
      <w:r w:rsidR="0098770B">
        <w:t>would</w:t>
      </w:r>
      <w:r w:rsidRPr="0048183B">
        <w:t xml:space="preserve"> not </w:t>
      </w:r>
      <w:r>
        <w:t xml:space="preserve">negatively </w:t>
      </w:r>
      <w:r w:rsidRPr="0048183B">
        <w:t xml:space="preserve">impact the </w:t>
      </w:r>
      <w:r>
        <w:t xml:space="preserve">timing of the PBS listing of ibrutinib in the requested </w:t>
      </w:r>
      <w:r w:rsidRPr="00317059">
        <w:rPr>
          <w:i/>
        </w:rPr>
        <w:t>del17p</w:t>
      </w:r>
      <w:r>
        <w:t xml:space="preserve"> population and the MBS listing of the FISH test for </w:t>
      </w:r>
      <w:proofErr w:type="gramStart"/>
      <w:r w:rsidRPr="00317059">
        <w:rPr>
          <w:i/>
        </w:rPr>
        <w:t>del</w:t>
      </w:r>
      <w:r w:rsidR="007D0C1E">
        <w:rPr>
          <w:i/>
        </w:rPr>
        <w:t>(</w:t>
      </w:r>
      <w:proofErr w:type="gramEnd"/>
      <w:r w:rsidRPr="00317059">
        <w:rPr>
          <w:i/>
        </w:rPr>
        <w:t>17p</w:t>
      </w:r>
      <w:r w:rsidR="007D0C1E">
        <w:rPr>
          <w:i/>
        </w:rPr>
        <w:t>)</w:t>
      </w:r>
      <w:r w:rsidRPr="00317059">
        <w:rPr>
          <w:i/>
        </w:rPr>
        <w:t>.</w:t>
      </w:r>
    </w:p>
    <w:p w14:paraId="6C9333A2" w14:textId="77777777" w:rsidR="00317059" w:rsidRPr="00480B0B" w:rsidRDefault="00317059" w:rsidP="00480B0B">
      <w:pPr>
        <w:keepNext/>
        <w:keepLines/>
        <w:spacing w:before="240"/>
        <w:rPr>
          <w:i/>
        </w:rPr>
      </w:pPr>
      <w:r w:rsidRPr="00480B0B">
        <w:rPr>
          <w:i/>
        </w:rPr>
        <w:lastRenderedPageBreak/>
        <w:t>Whether to limit the proposed extension to the restriction to those TP53 mutations detected by this method or to be method agnostic?</w:t>
      </w:r>
    </w:p>
    <w:p w14:paraId="6630CF40" w14:textId="7C7E7258" w:rsidR="00317059" w:rsidRDefault="00317059" w:rsidP="00480B0B">
      <w:pPr>
        <w:keepNext/>
        <w:keepLines/>
        <w:rPr>
          <w:lang w:eastAsia="zh-CN"/>
        </w:rPr>
      </w:pPr>
      <w:r>
        <w:rPr>
          <w:lang w:eastAsia="zh-CN"/>
        </w:rPr>
        <w:t xml:space="preserve">The Applicant stated it would support the PBS restriction criteria wording for ibrutinib to be method agnostic. Below are </w:t>
      </w:r>
      <w:r w:rsidR="007D0C1E">
        <w:rPr>
          <w:lang w:eastAsia="zh-CN"/>
        </w:rPr>
        <w:t>its</w:t>
      </w:r>
      <w:r w:rsidR="0098770B">
        <w:rPr>
          <w:lang w:eastAsia="zh-CN"/>
        </w:rPr>
        <w:t xml:space="preserve"> </w:t>
      </w:r>
      <w:r>
        <w:rPr>
          <w:lang w:eastAsia="zh-CN"/>
        </w:rPr>
        <w:t xml:space="preserve">two options </w:t>
      </w:r>
      <w:r w:rsidR="0098770B">
        <w:rPr>
          <w:lang w:eastAsia="zh-CN"/>
        </w:rPr>
        <w:t>of</w:t>
      </w:r>
      <w:r>
        <w:rPr>
          <w:lang w:eastAsia="zh-CN"/>
        </w:rPr>
        <w:t xml:space="preserve"> suggested wording under </w:t>
      </w:r>
      <w:r w:rsidR="006B0651">
        <w:rPr>
          <w:lang w:eastAsia="zh-CN"/>
        </w:rPr>
        <w:t>the clinical cr</w:t>
      </w:r>
      <w:r>
        <w:rPr>
          <w:lang w:eastAsia="zh-CN"/>
        </w:rPr>
        <w:t>iteria for this scenario:</w:t>
      </w:r>
    </w:p>
    <w:p w14:paraId="798BBEC3" w14:textId="5EF1D2A9" w:rsidR="00317059" w:rsidRPr="00317059" w:rsidRDefault="00317059" w:rsidP="00317059">
      <w:pPr>
        <w:pStyle w:val="ListParagraph"/>
        <w:numPr>
          <w:ilvl w:val="0"/>
          <w:numId w:val="6"/>
        </w:numPr>
      </w:pPr>
      <w:r w:rsidRPr="00317059">
        <w:t xml:space="preserve">The patient must show evidence of one or more 17p chromosomal deletions and/or </w:t>
      </w:r>
      <w:r w:rsidRPr="00B51C75">
        <w:rPr>
          <w:i/>
        </w:rPr>
        <w:t>TP53</w:t>
      </w:r>
      <w:r w:rsidRPr="00317059">
        <w:t xml:space="preserve"> mutations as demonstrated by an appropriate test. The presence of 17p deletion and/or </w:t>
      </w:r>
      <w:r w:rsidRPr="00B51C75">
        <w:rPr>
          <w:i/>
        </w:rPr>
        <w:t>TP53</w:t>
      </w:r>
      <w:r w:rsidRPr="00317059">
        <w:t xml:space="preserve"> mutation without any signs of active disease is not an indication for treatment.</w:t>
      </w:r>
    </w:p>
    <w:p w14:paraId="012229FE" w14:textId="77777777" w:rsidR="00317059" w:rsidRPr="00317059" w:rsidRDefault="00317059" w:rsidP="00317059">
      <w:pPr>
        <w:pStyle w:val="ListParagraph"/>
        <w:rPr>
          <w:i/>
        </w:rPr>
      </w:pPr>
      <w:r w:rsidRPr="00317059">
        <w:rPr>
          <w:i/>
        </w:rPr>
        <w:t>OR</w:t>
      </w:r>
    </w:p>
    <w:p w14:paraId="16B19F29" w14:textId="77777777" w:rsidR="00317059" w:rsidRDefault="00317059" w:rsidP="00317059">
      <w:pPr>
        <w:pStyle w:val="ListParagraph"/>
        <w:numPr>
          <w:ilvl w:val="0"/>
          <w:numId w:val="6"/>
        </w:numPr>
      </w:pPr>
      <w:r w:rsidRPr="00317059">
        <w:t xml:space="preserve">The patient must show evidence of one or more </w:t>
      </w:r>
      <w:r w:rsidRPr="00B51C75">
        <w:rPr>
          <w:i/>
        </w:rPr>
        <w:t>TP53</w:t>
      </w:r>
      <w:r w:rsidRPr="00317059">
        <w:t xml:space="preserve"> aberrations as demonstrated by an appropriate test. The presence of </w:t>
      </w:r>
      <w:r w:rsidRPr="00B51C75">
        <w:rPr>
          <w:i/>
        </w:rPr>
        <w:t>TP53</w:t>
      </w:r>
      <w:r w:rsidRPr="00317059">
        <w:t xml:space="preserve"> aberrations without any signs of active disease is not an indication for treatment.</w:t>
      </w:r>
    </w:p>
    <w:p w14:paraId="54F2E51F" w14:textId="41076D5A" w:rsidR="00317059" w:rsidRPr="00480B0B" w:rsidRDefault="00317059" w:rsidP="00480B0B">
      <w:pPr>
        <w:spacing w:before="240"/>
        <w:rPr>
          <w:i/>
        </w:rPr>
      </w:pPr>
      <w:r w:rsidRPr="00480B0B">
        <w:rPr>
          <w:i/>
        </w:rPr>
        <w:t xml:space="preserve">… </w:t>
      </w:r>
      <w:proofErr w:type="gramStart"/>
      <w:r w:rsidRPr="00480B0B">
        <w:rPr>
          <w:i/>
        </w:rPr>
        <w:t>the</w:t>
      </w:r>
      <w:proofErr w:type="gramEnd"/>
      <w:r w:rsidRPr="00480B0B">
        <w:rPr>
          <w:i/>
        </w:rPr>
        <w:t xml:space="preserve"> likely increase in the proportion of patients eligible for ibrutinib via the proposed restriction beyond relying on del</w:t>
      </w:r>
      <w:r w:rsidR="007D0C1E" w:rsidRPr="00480B0B">
        <w:rPr>
          <w:i/>
        </w:rPr>
        <w:t>(</w:t>
      </w:r>
      <w:r w:rsidRPr="00480B0B">
        <w:rPr>
          <w:i/>
        </w:rPr>
        <w:t>17p</w:t>
      </w:r>
      <w:r w:rsidR="007D0C1E" w:rsidRPr="00480B0B">
        <w:rPr>
          <w:i/>
        </w:rPr>
        <w:t>)</w:t>
      </w:r>
      <w:r w:rsidRPr="00480B0B">
        <w:rPr>
          <w:i/>
        </w:rPr>
        <w:t xml:space="preserve"> alone?</w:t>
      </w:r>
    </w:p>
    <w:p w14:paraId="6912925E" w14:textId="6CA9D734" w:rsidR="00317059" w:rsidRDefault="00317059" w:rsidP="00317059">
      <w:pPr>
        <w:rPr>
          <w:lang w:eastAsia="zh-CN"/>
        </w:rPr>
      </w:pPr>
      <w:r>
        <w:rPr>
          <w:lang w:eastAsia="zh-CN"/>
        </w:rPr>
        <w:t>Consistent with the pre-PBAC response, the Applicant propose</w:t>
      </w:r>
      <w:r w:rsidR="007D0C1E">
        <w:rPr>
          <w:lang w:eastAsia="zh-CN"/>
        </w:rPr>
        <w:t>d</w:t>
      </w:r>
      <w:r>
        <w:rPr>
          <w:lang w:eastAsia="zh-CN"/>
        </w:rPr>
        <w:t xml:space="preserve"> that</w:t>
      </w:r>
      <w:r w:rsidR="007D0C1E">
        <w:rPr>
          <w:lang w:eastAsia="zh-CN"/>
        </w:rPr>
        <w:t>,</w:t>
      </w:r>
      <w:r>
        <w:rPr>
          <w:lang w:eastAsia="zh-CN"/>
        </w:rPr>
        <w:t xml:space="preserve"> should the PBS listing for ibrutinib include both </w:t>
      </w:r>
      <w:r w:rsidRPr="00317059">
        <w:rPr>
          <w:i/>
          <w:lang w:eastAsia="zh-CN"/>
        </w:rPr>
        <w:t>TP53</w:t>
      </w:r>
      <w:r>
        <w:rPr>
          <w:lang w:eastAsia="zh-CN"/>
        </w:rPr>
        <w:t xml:space="preserve"> mutations and</w:t>
      </w:r>
      <w:r w:rsidRPr="00317059">
        <w:rPr>
          <w:i/>
          <w:lang w:eastAsia="zh-CN"/>
        </w:rPr>
        <w:t xml:space="preserve"> del</w:t>
      </w:r>
      <w:r w:rsidR="007D0C1E">
        <w:rPr>
          <w:i/>
          <w:lang w:eastAsia="zh-CN"/>
        </w:rPr>
        <w:t>(</w:t>
      </w:r>
      <w:r w:rsidRPr="00317059">
        <w:rPr>
          <w:i/>
          <w:lang w:eastAsia="zh-CN"/>
        </w:rPr>
        <w:t>17p</w:t>
      </w:r>
      <w:r w:rsidR="007D0C1E">
        <w:rPr>
          <w:i/>
          <w:lang w:eastAsia="zh-CN"/>
        </w:rPr>
        <w:t>)</w:t>
      </w:r>
      <w:r>
        <w:rPr>
          <w:lang w:eastAsia="zh-CN"/>
        </w:rPr>
        <w:t xml:space="preserve">, the prevalence be adjusted to </w:t>
      </w:r>
      <w:r w:rsidR="00F86EBF" w:rsidRPr="00F86EBF">
        <w:rPr>
          <w:b/>
          <w:lang w:eastAsia="zh-CN"/>
        </w:rPr>
        <w:t>redacted</w:t>
      </w:r>
      <w:r w:rsidRPr="007222C4">
        <w:rPr>
          <w:lang w:eastAsia="zh-CN"/>
        </w:rPr>
        <w:t>%.</w:t>
      </w:r>
    </w:p>
    <w:p w14:paraId="088606CE" w14:textId="1F9008BA" w:rsidR="00317059" w:rsidRPr="00480B0B" w:rsidRDefault="00317059" w:rsidP="00480B0B">
      <w:pPr>
        <w:spacing w:before="240"/>
        <w:rPr>
          <w:i/>
        </w:rPr>
      </w:pPr>
      <w:r w:rsidRPr="00480B0B">
        <w:rPr>
          <w:i/>
        </w:rPr>
        <w:t>Whether consideration should be given to modifying the existing PBS restrictions which mention “Evidence of one or more 17p chromosomal deletions demonstrated by fluorescence in</w:t>
      </w:r>
      <w:r w:rsidR="00F93DA9" w:rsidRPr="00480B0B">
        <w:rPr>
          <w:i/>
        </w:rPr>
        <w:t> </w:t>
      </w:r>
      <w:r w:rsidRPr="00480B0B">
        <w:rPr>
          <w:i/>
        </w:rPr>
        <w:t>situ hybridisation (FISH)” for medicines in CLL</w:t>
      </w:r>
      <w:r w:rsidR="00DA255F" w:rsidRPr="00480B0B">
        <w:rPr>
          <w:i/>
        </w:rPr>
        <w:t xml:space="preserve"> or </w:t>
      </w:r>
      <w:r w:rsidRPr="00480B0B">
        <w:rPr>
          <w:i/>
        </w:rPr>
        <w:t>SLL?</w:t>
      </w:r>
    </w:p>
    <w:p w14:paraId="18BFBA78" w14:textId="7FA98A66" w:rsidR="00317059" w:rsidRPr="00BA5960" w:rsidRDefault="00317059" w:rsidP="00FD720B">
      <w:r>
        <w:t xml:space="preserve">The Applicant stated </w:t>
      </w:r>
      <w:r w:rsidR="007D0C1E">
        <w:t xml:space="preserve">that, </w:t>
      </w:r>
      <w:r>
        <w:t xml:space="preserve">should the MSAC and the PBAC agree that the PBS restriction wording for IBR be agnostic to testing methodology, it </w:t>
      </w:r>
      <w:r w:rsidR="007D0C1E">
        <w:t xml:space="preserve">would </w:t>
      </w:r>
      <w:r>
        <w:t xml:space="preserve">seem appropriate that other existing PBS listed restriction wording for other medicines which specify </w:t>
      </w:r>
      <w:r w:rsidRPr="00317059">
        <w:rPr>
          <w:i/>
        </w:rPr>
        <w:t>del</w:t>
      </w:r>
      <w:r w:rsidR="007D0C1E">
        <w:rPr>
          <w:i/>
        </w:rPr>
        <w:t>(</w:t>
      </w:r>
      <w:r w:rsidRPr="00317059">
        <w:rPr>
          <w:i/>
        </w:rPr>
        <w:t>17p</w:t>
      </w:r>
      <w:r w:rsidR="007D0C1E">
        <w:rPr>
          <w:i/>
        </w:rPr>
        <w:t>)</w:t>
      </w:r>
      <w:r>
        <w:t xml:space="preserve"> and/or </w:t>
      </w:r>
      <w:r w:rsidRPr="00317059">
        <w:rPr>
          <w:i/>
        </w:rPr>
        <w:t>TP53</w:t>
      </w:r>
      <w:r>
        <w:t xml:space="preserve"> mutations be </w:t>
      </w:r>
      <w:r w:rsidR="00255D80">
        <w:t>modified.</w:t>
      </w:r>
    </w:p>
    <w:p w14:paraId="0E6158D3" w14:textId="77777777" w:rsidR="000B638D" w:rsidRPr="00F715D1" w:rsidRDefault="000B638D" w:rsidP="000B638D">
      <w:pPr>
        <w:pStyle w:val="Heading1"/>
      </w:pPr>
      <w:r w:rsidRPr="00F715D1">
        <w:t>Proposed intervention’s place in clinical management</w:t>
      </w:r>
    </w:p>
    <w:p w14:paraId="47995837" w14:textId="7F55A492" w:rsidR="0020357B" w:rsidRDefault="0020357B" w:rsidP="0020357B">
      <w:pPr>
        <w:rPr>
          <w:rFonts w:cs="Arial"/>
        </w:rPr>
      </w:pPr>
      <w:r w:rsidRPr="00BE1D60">
        <w:rPr>
          <w:rFonts w:cs="Arial"/>
          <w:noProof/>
        </w:rPr>
        <w:t>The modifcation of existing MBS item 73343 to allow FISH testing</w:t>
      </w:r>
      <w:r>
        <w:rPr>
          <w:rFonts w:cs="Arial"/>
          <w:noProof/>
        </w:rPr>
        <w:t xml:space="preserve"> for the </w:t>
      </w:r>
      <w:r w:rsidRPr="00BE1D60">
        <w:rPr>
          <w:rFonts w:cs="Arial"/>
        </w:rPr>
        <w:t xml:space="preserve">detection of </w:t>
      </w:r>
      <w:proofErr w:type="gramStart"/>
      <w:r w:rsidRPr="00FD720B">
        <w:rPr>
          <w:rFonts w:cs="Arial"/>
          <w:i/>
        </w:rPr>
        <w:t>del</w:t>
      </w:r>
      <w:r w:rsidR="007D0C1E">
        <w:rPr>
          <w:rFonts w:cs="Arial"/>
          <w:i/>
        </w:rPr>
        <w:t>(</w:t>
      </w:r>
      <w:proofErr w:type="gramEnd"/>
      <w:r w:rsidRPr="00FD720B">
        <w:rPr>
          <w:rFonts w:cs="Arial"/>
          <w:i/>
        </w:rPr>
        <w:t>17p</w:t>
      </w:r>
      <w:r w:rsidR="007D0C1E">
        <w:rPr>
          <w:rFonts w:cs="Arial"/>
          <w:i/>
        </w:rPr>
        <w:t>)</w:t>
      </w:r>
      <w:r w:rsidRPr="00BE1D60">
        <w:rPr>
          <w:rFonts w:cs="Arial"/>
        </w:rPr>
        <w:t xml:space="preserve"> </w:t>
      </w:r>
      <w:r w:rsidRPr="00BE1D60">
        <w:rPr>
          <w:rFonts w:cs="Arial"/>
          <w:noProof/>
        </w:rPr>
        <w:t xml:space="preserve">for </w:t>
      </w:r>
      <w:r w:rsidRPr="0095320F">
        <w:rPr>
          <w:rFonts w:cs="Arial"/>
          <w:noProof/>
        </w:rPr>
        <w:t>all</w:t>
      </w:r>
      <w:r w:rsidRPr="00BE1D60">
        <w:rPr>
          <w:rFonts w:cs="Arial"/>
          <w:noProof/>
        </w:rPr>
        <w:t xml:space="preserve"> </w:t>
      </w:r>
      <w:r w:rsidR="00DA255F">
        <w:rPr>
          <w:rFonts w:cs="Arial"/>
          <w:noProof/>
        </w:rPr>
        <w:t xml:space="preserve">patients with </w:t>
      </w:r>
      <w:r w:rsidRPr="00BE1D60">
        <w:rPr>
          <w:rFonts w:cs="Arial"/>
          <w:noProof/>
        </w:rPr>
        <w:t>CLL</w:t>
      </w:r>
      <w:r w:rsidR="00DA255F">
        <w:rPr>
          <w:rFonts w:cs="Arial"/>
          <w:noProof/>
        </w:rPr>
        <w:t xml:space="preserve"> or </w:t>
      </w:r>
      <w:r w:rsidRPr="00BE1D60">
        <w:rPr>
          <w:rFonts w:cs="Arial"/>
          <w:noProof/>
        </w:rPr>
        <w:t>SLL requiring treatment</w:t>
      </w:r>
      <w:r>
        <w:rPr>
          <w:rFonts w:cs="Arial"/>
          <w:noProof/>
        </w:rPr>
        <w:t>, regardless of treatment line,</w:t>
      </w:r>
      <w:r w:rsidRPr="00BE1D60">
        <w:rPr>
          <w:rFonts w:cs="Arial"/>
          <w:noProof/>
        </w:rPr>
        <w:t xml:space="preserve"> </w:t>
      </w:r>
      <w:r w:rsidRPr="00BE1D60">
        <w:rPr>
          <w:rFonts w:cs="Arial"/>
        </w:rPr>
        <w:t>w</w:t>
      </w:r>
      <w:r w:rsidR="007D0C1E">
        <w:rPr>
          <w:rFonts w:cs="Arial"/>
        </w:rPr>
        <w:t>ould</w:t>
      </w:r>
      <w:r w:rsidRPr="00BE1D60">
        <w:rPr>
          <w:rFonts w:cs="Arial"/>
        </w:rPr>
        <w:t xml:space="preserve"> enable the identification of patients with a high clinical need who would benefit from first-line treatment with ibrutinib instead of chemoimmunotherapy, whilst also identifying patients with a normal karyotype who may otherwise be managed with chemoimmunotherapy.</w:t>
      </w:r>
    </w:p>
    <w:p w14:paraId="3667F24B" w14:textId="77777777" w:rsidR="00E5141A" w:rsidRPr="00F715D1" w:rsidRDefault="00E5141A" w:rsidP="00E5141A">
      <w:pPr>
        <w:pStyle w:val="Heading1"/>
      </w:pPr>
      <w:r w:rsidRPr="00F715D1">
        <w:t>Comparative effectiveness</w:t>
      </w:r>
    </w:p>
    <w:p w14:paraId="4CC70847" w14:textId="77777777" w:rsidR="00E5141A" w:rsidRDefault="00E5141A" w:rsidP="00E5141A">
      <w:pPr>
        <w:pStyle w:val="Heading2"/>
      </w:pPr>
      <w:r w:rsidRPr="006935B6">
        <w:t>Evidentiary standard</w:t>
      </w:r>
    </w:p>
    <w:p w14:paraId="678EB893" w14:textId="1254F430" w:rsidR="00824F3C" w:rsidRDefault="00E5141A" w:rsidP="00021A0E">
      <w:pPr>
        <w:spacing w:after="240"/>
      </w:pPr>
      <w:r>
        <w:t xml:space="preserve">The application stated </w:t>
      </w:r>
      <w:r w:rsidR="00824F3C">
        <w:t xml:space="preserve">that </w:t>
      </w:r>
      <w:r>
        <w:t>patients enrolled in the pivotal trial of first-line ibrutinib (</w:t>
      </w:r>
      <w:proofErr w:type="spellStart"/>
      <w:r>
        <w:t>iLLUMINATE</w:t>
      </w:r>
      <w:proofErr w:type="spellEnd"/>
      <w:r>
        <w:t xml:space="preserve">) must have documented </w:t>
      </w:r>
      <w:proofErr w:type="gramStart"/>
      <w:r w:rsidRPr="00317059">
        <w:rPr>
          <w:i/>
          <w:lang w:eastAsia="zh-CN"/>
        </w:rPr>
        <w:t>del</w:t>
      </w:r>
      <w:r>
        <w:rPr>
          <w:i/>
          <w:lang w:eastAsia="zh-CN"/>
        </w:rPr>
        <w:t>(</w:t>
      </w:r>
      <w:proofErr w:type="gramEnd"/>
      <w:r w:rsidRPr="00317059">
        <w:rPr>
          <w:i/>
          <w:lang w:eastAsia="zh-CN"/>
        </w:rPr>
        <w:t>17p</w:t>
      </w:r>
      <w:r>
        <w:rPr>
          <w:i/>
          <w:lang w:eastAsia="zh-CN"/>
        </w:rPr>
        <w:t>)</w:t>
      </w:r>
      <w:r>
        <w:t xml:space="preserve"> by </w:t>
      </w:r>
      <w:proofErr w:type="spellStart"/>
      <w:r>
        <w:t>Vysis</w:t>
      </w:r>
      <w:proofErr w:type="spellEnd"/>
      <w:r>
        <w:t xml:space="preserve"> CLL FISH Probe Kit (Abbott Molecular </w:t>
      </w:r>
      <w:proofErr w:type="spellStart"/>
      <w:r>
        <w:t>Inc</w:t>
      </w:r>
      <w:proofErr w:type="spellEnd"/>
      <w:r>
        <w:t xml:space="preserve">). A threshold level of </w:t>
      </w:r>
      <w:r w:rsidR="00F86EBF" w:rsidRPr="00881F03">
        <w:rPr>
          <w:b/>
          <w:lang w:eastAsia="zh-CN"/>
        </w:rPr>
        <w:t>redacted</w:t>
      </w:r>
      <w:r w:rsidRPr="002658C4">
        <w:t xml:space="preserve">% </w:t>
      </w:r>
      <w:r>
        <w:t xml:space="preserve">to determine </w:t>
      </w:r>
      <w:proofErr w:type="gramStart"/>
      <w:r w:rsidRPr="00317059">
        <w:rPr>
          <w:i/>
          <w:lang w:eastAsia="zh-CN"/>
        </w:rPr>
        <w:t>del</w:t>
      </w:r>
      <w:r>
        <w:rPr>
          <w:i/>
          <w:lang w:eastAsia="zh-CN"/>
        </w:rPr>
        <w:t>(</w:t>
      </w:r>
      <w:proofErr w:type="gramEnd"/>
      <w:r w:rsidRPr="00317059">
        <w:rPr>
          <w:i/>
          <w:lang w:eastAsia="zh-CN"/>
        </w:rPr>
        <w:t>17p</w:t>
      </w:r>
      <w:r>
        <w:rPr>
          <w:i/>
          <w:lang w:eastAsia="zh-CN"/>
        </w:rPr>
        <w:t>)</w:t>
      </w:r>
      <w:r>
        <w:t xml:space="preserve"> was used at the screening stage into the trial. This means that the patient tested positive for </w:t>
      </w:r>
      <w:proofErr w:type="gramStart"/>
      <w:r w:rsidRPr="00317059">
        <w:rPr>
          <w:i/>
          <w:lang w:eastAsia="zh-CN"/>
        </w:rPr>
        <w:t>del</w:t>
      </w:r>
      <w:r>
        <w:rPr>
          <w:i/>
          <w:lang w:eastAsia="zh-CN"/>
        </w:rPr>
        <w:t>(</w:t>
      </w:r>
      <w:proofErr w:type="gramEnd"/>
      <w:r w:rsidRPr="00317059">
        <w:rPr>
          <w:i/>
          <w:lang w:eastAsia="zh-CN"/>
        </w:rPr>
        <w:t>17p</w:t>
      </w:r>
      <w:r>
        <w:rPr>
          <w:i/>
          <w:lang w:eastAsia="zh-CN"/>
        </w:rPr>
        <w:t>)</w:t>
      </w:r>
      <w:r>
        <w:t xml:space="preserve"> if more than </w:t>
      </w:r>
      <w:r w:rsidR="00F86EBF" w:rsidRPr="00881F03">
        <w:rPr>
          <w:b/>
          <w:lang w:eastAsia="zh-CN"/>
        </w:rPr>
        <w:t>redacted</w:t>
      </w:r>
      <w:r w:rsidRPr="00E51A08">
        <w:t>%</w:t>
      </w:r>
      <w:r>
        <w:t xml:space="preserve"> of nuclei in the sample harboured the </w:t>
      </w:r>
      <w:r w:rsidRPr="00317059">
        <w:rPr>
          <w:i/>
          <w:lang w:eastAsia="zh-CN"/>
        </w:rPr>
        <w:t>del</w:t>
      </w:r>
      <w:r>
        <w:rPr>
          <w:i/>
          <w:lang w:eastAsia="zh-CN"/>
        </w:rPr>
        <w:t>(</w:t>
      </w:r>
      <w:r w:rsidRPr="00317059">
        <w:rPr>
          <w:i/>
          <w:lang w:eastAsia="zh-CN"/>
        </w:rPr>
        <w:t>17p</w:t>
      </w:r>
      <w:r>
        <w:rPr>
          <w:i/>
          <w:lang w:eastAsia="zh-CN"/>
        </w:rPr>
        <w:t>)</w:t>
      </w:r>
      <w:r>
        <w:t>.</w:t>
      </w:r>
    </w:p>
    <w:p w14:paraId="79D76259" w14:textId="02D5D813" w:rsidR="00824F3C" w:rsidRPr="00BE1D60" w:rsidRDefault="00824F3C" w:rsidP="00E5141A">
      <w:pPr>
        <w:rPr>
          <w:rFonts w:cs="Arial"/>
        </w:rPr>
      </w:pPr>
      <w:r>
        <w:t>This FISH test and threshold is the same as that used to support the existing MBS item.</w:t>
      </w:r>
    </w:p>
    <w:p w14:paraId="60DA0D58" w14:textId="77777777" w:rsidR="000B638D" w:rsidRPr="00F715D1" w:rsidRDefault="000B638D" w:rsidP="000B638D">
      <w:pPr>
        <w:pStyle w:val="Heading1"/>
      </w:pPr>
      <w:r w:rsidRPr="00F715D1">
        <w:t>Financial/budgetary impacts</w:t>
      </w:r>
    </w:p>
    <w:p w14:paraId="1194E701" w14:textId="7AAAA844" w:rsidR="00021A0E" w:rsidRPr="00021A0E" w:rsidRDefault="00A40662" w:rsidP="00021A0E">
      <w:pPr>
        <w:rPr>
          <w:rFonts w:cs="Arial"/>
          <w:lang w:val="en-GB"/>
        </w:rPr>
      </w:pPr>
      <w:r>
        <w:t xml:space="preserve">An epidemiological </w:t>
      </w:r>
      <w:r w:rsidRPr="00BE1D60">
        <w:rPr>
          <w:rFonts w:cs="Arial"/>
          <w:lang w:val="en-GB"/>
        </w:rPr>
        <w:t xml:space="preserve">approach was utilised to estimate the utilisation of the FISH test if it was reimbursed for the detection of </w:t>
      </w:r>
      <w:proofErr w:type="gramStart"/>
      <w:r w:rsidRPr="00A40662">
        <w:rPr>
          <w:rFonts w:cs="Arial"/>
          <w:i/>
          <w:lang w:val="en-GB"/>
        </w:rPr>
        <w:t>del</w:t>
      </w:r>
      <w:r w:rsidR="007D0C1E">
        <w:rPr>
          <w:rFonts w:cs="Arial"/>
          <w:i/>
          <w:lang w:val="en-GB"/>
        </w:rPr>
        <w:t>(</w:t>
      </w:r>
      <w:proofErr w:type="gramEnd"/>
      <w:r w:rsidRPr="00A40662">
        <w:rPr>
          <w:rFonts w:cs="Arial"/>
          <w:i/>
          <w:lang w:val="en-GB"/>
        </w:rPr>
        <w:t>17p</w:t>
      </w:r>
      <w:r w:rsidR="007D0C1E">
        <w:rPr>
          <w:rFonts w:cs="Arial"/>
          <w:i/>
          <w:lang w:val="en-GB"/>
        </w:rPr>
        <w:t>)</w:t>
      </w:r>
      <w:r w:rsidRPr="00BE1D60">
        <w:rPr>
          <w:rFonts w:cs="Arial"/>
          <w:lang w:val="en-GB"/>
        </w:rPr>
        <w:t xml:space="preserve"> in</w:t>
      </w:r>
      <w:r w:rsidR="00BD4D5F">
        <w:rPr>
          <w:rFonts w:cs="Arial"/>
          <w:lang w:val="en-GB"/>
        </w:rPr>
        <w:t xml:space="preserve"> patients with</w:t>
      </w:r>
      <w:r w:rsidRPr="00BE1D60">
        <w:rPr>
          <w:rFonts w:cs="Arial"/>
          <w:lang w:val="en-GB"/>
        </w:rPr>
        <w:t xml:space="preserve"> previous</w:t>
      </w:r>
      <w:r>
        <w:rPr>
          <w:rFonts w:cs="Arial"/>
          <w:lang w:val="en-GB"/>
        </w:rPr>
        <w:t>ly untreated CLL</w:t>
      </w:r>
      <w:r w:rsidR="00DA255F">
        <w:rPr>
          <w:rFonts w:cs="Arial"/>
          <w:lang w:val="en-GB"/>
        </w:rPr>
        <w:t xml:space="preserve"> or previously untreated </w:t>
      </w:r>
      <w:r>
        <w:rPr>
          <w:rFonts w:cs="Arial"/>
          <w:lang w:val="en-GB"/>
        </w:rPr>
        <w:t>SLL (Table 2).</w:t>
      </w:r>
      <w:bookmarkStart w:id="9" w:name="_Ref12029561"/>
      <w:r w:rsidR="00021A0E">
        <w:rPr>
          <w:rFonts w:ascii="Arial Narrow" w:hAnsi="Arial Narrow" w:cs="Arial"/>
        </w:rPr>
        <w:br w:type="page"/>
      </w:r>
    </w:p>
    <w:p w14:paraId="0C0B4404" w14:textId="00247479" w:rsidR="00A40662" w:rsidRPr="00A40662" w:rsidRDefault="00A40662" w:rsidP="00021A0E">
      <w:pPr>
        <w:pStyle w:val="Caption"/>
        <w:spacing w:before="240" w:after="120" w:line="240" w:lineRule="auto"/>
        <w:rPr>
          <w:rFonts w:ascii="Arial Narrow" w:hAnsi="Arial Narrow" w:cs="Arial"/>
        </w:rPr>
      </w:pPr>
      <w:r w:rsidRPr="00A40662">
        <w:rPr>
          <w:rFonts w:ascii="Arial Narrow" w:hAnsi="Arial Narrow" w:cs="Arial"/>
        </w:rPr>
        <w:lastRenderedPageBreak/>
        <w:t xml:space="preserve">Table </w:t>
      </w:r>
      <w:bookmarkEnd w:id="9"/>
      <w:r>
        <w:rPr>
          <w:rFonts w:ascii="Arial Narrow" w:hAnsi="Arial Narrow" w:cs="Arial"/>
        </w:rPr>
        <w:t>2</w:t>
      </w:r>
      <w:r>
        <w:rPr>
          <w:rFonts w:ascii="Arial Narrow" w:hAnsi="Arial Narrow" w:cs="Arial"/>
        </w:rPr>
        <w:tab/>
      </w:r>
      <w:r w:rsidRPr="00A40662">
        <w:rPr>
          <w:rFonts w:ascii="Arial Narrow" w:hAnsi="Arial Narrow" w:cs="Arial"/>
        </w:rPr>
        <w:t xml:space="preserve">Utilisation estimates of the FISH test (MBS item 73343) in </w:t>
      </w:r>
      <w:r w:rsidR="00475B8C">
        <w:rPr>
          <w:rFonts w:ascii="Arial Narrow" w:hAnsi="Arial Narrow" w:cs="Arial"/>
        </w:rPr>
        <w:t>patients with</w:t>
      </w:r>
      <w:r w:rsidRPr="00A40662">
        <w:rPr>
          <w:rFonts w:ascii="Arial Narrow" w:hAnsi="Arial Narrow" w:cs="Arial"/>
        </w:rPr>
        <w:t xml:space="preserve"> </w:t>
      </w:r>
      <w:r w:rsidR="00DA255F" w:rsidRPr="00A40662">
        <w:rPr>
          <w:rFonts w:ascii="Arial Narrow" w:hAnsi="Arial Narrow" w:cs="Arial"/>
        </w:rPr>
        <w:t>previously untreated</w:t>
      </w:r>
      <w:r w:rsidR="00DA255F">
        <w:rPr>
          <w:rFonts w:ascii="Arial Narrow" w:hAnsi="Arial Narrow" w:cs="Arial"/>
        </w:rPr>
        <w:t xml:space="preserve"> </w:t>
      </w:r>
      <w:r w:rsidRPr="00A40662">
        <w:rPr>
          <w:rFonts w:ascii="Arial Narrow" w:hAnsi="Arial Narrow" w:cs="Arial"/>
        </w:rPr>
        <w:t>CLL</w:t>
      </w:r>
      <w:r w:rsidR="00DA255F">
        <w:rPr>
          <w:rFonts w:ascii="Arial Narrow" w:hAnsi="Arial Narrow" w:cs="Arial"/>
        </w:rPr>
        <w:t xml:space="preserve"> or </w:t>
      </w:r>
      <w:r w:rsidR="00DA255F" w:rsidRPr="00A40662">
        <w:rPr>
          <w:rFonts w:ascii="Arial Narrow" w:hAnsi="Arial Narrow" w:cs="Arial"/>
        </w:rPr>
        <w:t>previously untreated</w:t>
      </w:r>
      <w:r w:rsidR="00DA255F">
        <w:rPr>
          <w:rFonts w:ascii="Arial Narrow" w:hAnsi="Arial Narrow" w:cs="Arial"/>
        </w:rPr>
        <w:t xml:space="preserve"> </w:t>
      </w:r>
      <w:r w:rsidRPr="00A40662">
        <w:rPr>
          <w:rFonts w:ascii="Arial Narrow" w:hAnsi="Arial Narrow" w:cs="Arial"/>
        </w:rPr>
        <w:t>SLL who require treatment</w:t>
      </w:r>
    </w:p>
    <w:tbl>
      <w:tblPr>
        <w:tblStyle w:val="TableGrid"/>
        <w:tblW w:w="4900" w:type="pct"/>
        <w:tblLook w:val="04A0" w:firstRow="1" w:lastRow="0" w:firstColumn="1" w:lastColumn="0" w:noHBand="0" w:noVBand="1"/>
        <w:tblDescription w:val="Utilisation estimates of the FISH test (MBS item 73343) in patients with previously untreated CLL or previously untreated SLL who require treatment"/>
      </w:tblPr>
      <w:tblGrid>
        <w:gridCol w:w="2544"/>
        <w:gridCol w:w="1048"/>
        <w:gridCol w:w="1050"/>
        <w:gridCol w:w="1050"/>
        <w:gridCol w:w="1048"/>
        <w:gridCol w:w="1050"/>
        <w:gridCol w:w="1046"/>
      </w:tblGrid>
      <w:tr w:rsidR="00A40662" w:rsidRPr="008F3B5A" w14:paraId="42FD1B3F" w14:textId="77777777" w:rsidTr="00480B0B">
        <w:trPr>
          <w:trHeight w:val="57"/>
          <w:tblHeader/>
        </w:trPr>
        <w:tc>
          <w:tcPr>
            <w:tcW w:w="1440" w:type="pct"/>
            <w:hideMark/>
          </w:tcPr>
          <w:p w14:paraId="273CF3F8" w14:textId="77777777" w:rsidR="00A40662" w:rsidRPr="008F3B5A" w:rsidRDefault="00A40662" w:rsidP="0094261C">
            <w:pPr>
              <w:rPr>
                <w:rFonts w:ascii="Arial Narrow" w:hAnsi="Arial Narrow" w:cs="Arial"/>
                <w:sz w:val="20"/>
              </w:rPr>
            </w:pPr>
            <w:r w:rsidRPr="008F3B5A">
              <w:rPr>
                <w:rFonts w:ascii="Arial Narrow" w:hAnsi="Arial Narrow" w:cs="Arial"/>
                <w:b/>
                <w:sz w:val="20"/>
              </w:rPr>
              <w:t>Data</w:t>
            </w:r>
          </w:p>
        </w:tc>
        <w:tc>
          <w:tcPr>
            <w:tcW w:w="593" w:type="pct"/>
          </w:tcPr>
          <w:p w14:paraId="68683281"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Year 1</w:t>
            </w:r>
          </w:p>
          <w:p w14:paraId="00666EA9"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2020</w:t>
            </w:r>
          </w:p>
        </w:tc>
        <w:tc>
          <w:tcPr>
            <w:tcW w:w="594" w:type="pct"/>
            <w:hideMark/>
          </w:tcPr>
          <w:p w14:paraId="74AFFD2B"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Year 2</w:t>
            </w:r>
          </w:p>
          <w:p w14:paraId="1E90482C"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2021</w:t>
            </w:r>
          </w:p>
        </w:tc>
        <w:tc>
          <w:tcPr>
            <w:tcW w:w="594" w:type="pct"/>
            <w:hideMark/>
          </w:tcPr>
          <w:p w14:paraId="202D70EA"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Year 3</w:t>
            </w:r>
          </w:p>
          <w:p w14:paraId="0A518BF1"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2022</w:t>
            </w:r>
          </w:p>
        </w:tc>
        <w:tc>
          <w:tcPr>
            <w:tcW w:w="593" w:type="pct"/>
            <w:hideMark/>
          </w:tcPr>
          <w:p w14:paraId="7572423D"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Year 4</w:t>
            </w:r>
          </w:p>
          <w:p w14:paraId="3B640603"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2023</w:t>
            </w:r>
          </w:p>
        </w:tc>
        <w:tc>
          <w:tcPr>
            <w:tcW w:w="594" w:type="pct"/>
            <w:hideMark/>
          </w:tcPr>
          <w:p w14:paraId="074771A4"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Year 5</w:t>
            </w:r>
          </w:p>
          <w:p w14:paraId="5ADF5E2B" w14:textId="77777777" w:rsidR="00A40662" w:rsidRPr="008F3B5A" w:rsidRDefault="00A40662" w:rsidP="0094261C">
            <w:pPr>
              <w:keepNext/>
              <w:ind w:right="-79"/>
              <w:jc w:val="center"/>
              <w:rPr>
                <w:rFonts w:ascii="Arial Narrow" w:hAnsi="Arial Narrow" w:cs="Arial"/>
                <w:b/>
                <w:sz w:val="20"/>
              </w:rPr>
            </w:pPr>
            <w:r w:rsidRPr="008F3B5A">
              <w:rPr>
                <w:rFonts w:ascii="Arial Narrow" w:hAnsi="Arial Narrow" w:cs="Arial"/>
                <w:b/>
                <w:sz w:val="20"/>
              </w:rPr>
              <w:t>2024</w:t>
            </w:r>
          </w:p>
        </w:tc>
        <w:tc>
          <w:tcPr>
            <w:tcW w:w="592" w:type="pct"/>
            <w:hideMark/>
          </w:tcPr>
          <w:p w14:paraId="462C7D4C"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Year 6</w:t>
            </w:r>
          </w:p>
          <w:p w14:paraId="33CFB91B" w14:textId="77777777" w:rsidR="00A40662" w:rsidRPr="008F3B5A" w:rsidRDefault="00A40662" w:rsidP="0094261C">
            <w:pPr>
              <w:keepNext/>
              <w:jc w:val="center"/>
              <w:rPr>
                <w:rFonts w:ascii="Arial Narrow" w:hAnsi="Arial Narrow" w:cs="Arial"/>
                <w:b/>
                <w:sz w:val="20"/>
              </w:rPr>
            </w:pPr>
            <w:r w:rsidRPr="008F3B5A">
              <w:rPr>
                <w:rFonts w:ascii="Arial Narrow" w:hAnsi="Arial Narrow" w:cs="Arial"/>
                <w:b/>
                <w:sz w:val="20"/>
              </w:rPr>
              <w:t>2025</w:t>
            </w:r>
          </w:p>
        </w:tc>
      </w:tr>
      <w:tr w:rsidR="00A40662" w:rsidRPr="008F3B5A" w14:paraId="31340B7D" w14:textId="77777777" w:rsidTr="00480B0B">
        <w:trPr>
          <w:trHeight w:val="57"/>
        </w:trPr>
        <w:tc>
          <w:tcPr>
            <w:tcW w:w="1440" w:type="pct"/>
            <w:hideMark/>
          </w:tcPr>
          <w:p w14:paraId="030B22F2" w14:textId="77777777" w:rsidR="00A40662" w:rsidRPr="008F3B5A" w:rsidRDefault="00A40662" w:rsidP="0094261C">
            <w:pPr>
              <w:rPr>
                <w:rFonts w:ascii="Arial Narrow" w:hAnsi="Arial Narrow" w:cs="Arial"/>
                <w:sz w:val="20"/>
              </w:rPr>
            </w:pPr>
            <w:r w:rsidRPr="008F3B5A">
              <w:rPr>
                <w:rFonts w:ascii="Arial Narrow" w:hAnsi="Arial Narrow" w:cs="Arial"/>
                <w:sz w:val="20"/>
              </w:rPr>
              <w:t>Australian population</w:t>
            </w:r>
          </w:p>
        </w:tc>
        <w:tc>
          <w:tcPr>
            <w:tcW w:w="593" w:type="pct"/>
          </w:tcPr>
          <w:p w14:paraId="5D485655" w14:textId="77777777" w:rsidR="00A40662" w:rsidRPr="008F3B5A" w:rsidRDefault="00A40662" w:rsidP="0094261C">
            <w:pPr>
              <w:keepNext/>
              <w:jc w:val="right"/>
              <w:rPr>
                <w:rFonts w:ascii="Arial Narrow" w:hAnsi="Arial Narrow" w:cs="Arial"/>
                <w:sz w:val="20"/>
              </w:rPr>
            </w:pPr>
            <w:r w:rsidRPr="008F3B5A">
              <w:rPr>
                <w:rFonts w:ascii="Arial Narrow" w:hAnsi="Arial Narrow" w:cs="Arial"/>
                <w:color w:val="000000"/>
                <w:sz w:val="20"/>
              </w:rPr>
              <w:t xml:space="preserve">26,037,356 </w:t>
            </w:r>
          </w:p>
        </w:tc>
        <w:tc>
          <w:tcPr>
            <w:tcW w:w="594" w:type="pct"/>
            <w:hideMark/>
          </w:tcPr>
          <w:p w14:paraId="3B24F278" w14:textId="77777777" w:rsidR="00A40662" w:rsidRPr="008F3B5A" w:rsidRDefault="00A40662" w:rsidP="0094261C">
            <w:pPr>
              <w:keepNext/>
              <w:jc w:val="right"/>
              <w:rPr>
                <w:rFonts w:ascii="Arial Narrow" w:hAnsi="Arial Narrow" w:cs="Arial"/>
                <w:sz w:val="20"/>
              </w:rPr>
            </w:pPr>
            <w:r w:rsidRPr="008F3B5A">
              <w:rPr>
                <w:rFonts w:ascii="Arial Narrow" w:hAnsi="Arial Narrow" w:cs="Arial"/>
                <w:color w:val="000000"/>
                <w:sz w:val="20"/>
              </w:rPr>
              <w:t xml:space="preserve">26,452,147 </w:t>
            </w:r>
          </w:p>
        </w:tc>
        <w:tc>
          <w:tcPr>
            <w:tcW w:w="594" w:type="pct"/>
            <w:hideMark/>
          </w:tcPr>
          <w:p w14:paraId="1376AC2E" w14:textId="77777777" w:rsidR="00A40662" w:rsidRPr="008F3B5A" w:rsidRDefault="00A40662" w:rsidP="0094261C">
            <w:pPr>
              <w:keepNext/>
              <w:jc w:val="right"/>
              <w:rPr>
                <w:rFonts w:ascii="Arial Narrow" w:hAnsi="Arial Narrow" w:cs="Arial"/>
                <w:sz w:val="20"/>
              </w:rPr>
            </w:pPr>
            <w:r w:rsidRPr="008F3B5A">
              <w:rPr>
                <w:rFonts w:ascii="Arial Narrow" w:hAnsi="Arial Narrow" w:cs="Arial"/>
                <w:color w:val="000000"/>
                <w:sz w:val="20"/>
              </w:rPr>
              <w:t xml:space="preserve">26,866,209 </w:t>
            </w:r>
          </w:p>
        </w:tc>
        <w:tc>
          <w:tcPr>
            <w:tcW w:w="593" w:type="pct"/>
            <w:hideMark/>
          </w:tcPr>
          <w:p w14:paraId="4AB8183C" w14:textId="77777777" w:rsidR="00A40662" w:rsidRPr="008F3B5A" w:rsidRDefault="00A40662" w:rsidP="0094261C">
            <w:pPr>
              <w:keepNext/>
              <w:jc w:val="right"/>
              <w:rPr>
                <w:rFonts w:ascii="Arial Narrow" w:hAnsi="Arial Narrow" w:cs="Arial"/>
                <w:sz w:val="20"/>
              </w:rPr>
            </w:pPr>
            <w:r w:rsidRPr="008F3B5A">
              <w:rPr>
                <w:rFonts w:ascii="Arial Narrow" w:hAnsi="Arial Narrow" w:cs="Arial"/>
                <w:color w:val="000000"/>
                <w:sz w:val="20"/>
              </w:rPr>
              <w:t xml:space="preserve">27,279,046 </w:t>
            </w:r>
          </w:p>
        </w:tc>
        <w:tc>
          <w:tcPr>
            <w:tcW w:w="594" w:type="pct"/>
            <w:hideMark/>
          </w:tcPr>
          <w:p w14:paraId="13868021" w14:textId="77777777" w:rsidR="00A40662" w:rsidRPr="008F3B5A" w:rsidRDefault="00A40662" w:rsidP="0094261C">
            <w:pPr>
              <w:keepNext/>
              <w:jc w:val="right"/>
              <w:rPr>
                <w:rFonts w:ascii="Arial Narrow" w:hAnsi="Arial Narrow" w:cs="Arial"/>
                <w:sz w:val="20"/>
              </w:rPr>
            </w:pPr>
            <w:r w:rsidRPr="008F3B5A">
              <w:rPr>
                <w:rFonts w:ascii="Arial Narrow" w:hAnsi="Arial Narrow" w:cs="Arial"/>
                <w:color w:val="000000"/>
                <w:sz w:val="20"/>
              </w:rPr>
              <w:t xml:space="preserve">27,690,209 </w:t>
            </w:r>
          </w:p>
        </w:tc>
        <w:tc>
          <w:tcPr>
            <w:tcW w:w="592" w:type="pct"/>
            <w:hideMark/>
          </w:tcPr>
          <w:p w14:paraId="29EE2CA9" w14:textId="77777777" w:rsidR="00A40662" w:rsidRPr="008F3B5A" w:rsidRDefault="00A40662" w:rsidP="0094261C">
            <w:pPr>
              <w:keepNext/>
              <w:jc w:val="right"/>
              <w:rPr>
                <w:rFonts w:ascii="Arial Narrow" w:hAnsi="Arial Narrow" w:cs="Arial"/>
                <w:sz w:val="20"/>
              </w:rPr>
            </w:pPr>
            <w:r w:rsidRPr="008F3B5A">
              <w:rPr>
                <w:rFonts w:ascii="Arial Narrow" w:hAnsi="Arial Narrow" w:cs="Arial"/>
                <w:color w:val="000000"/>
                <w:sz w:val="20"/>
              </w:rPr>
              <w:t xml:space="preserve">28,099,273 </w:t>
            </w:r>
          </w:p>
        </w:tc>
      </w:tr>
      <w:tr w:rsidR="00076DC6" w:rsidRPr="008F3B5A" w14:paraId="66CC0263" w14:textId="77777777" w:rsidTr="00480B0B">
        <w:trPr>
          <w:trHeight w:val="57"/>
        </w:trPr>
        <w:tc>
          <w:tcPr>
            <w:tcW w:w="5000" w:type="pct"/>
            <w:gridSpan w:val="7"/>
          </w:tcPr>
          <w:p w14:paraId="34A987D0" w14:textId="105DCC02" w:rsidR="00076DC6" w:rsidRPr="008F3B5A" w:rsidRDefault="00076DC6" w:rsidP="00DA255F">
            <w:pPr>
              <w:keepNext/>
              <w:rPr>
                <w:rFonts w:ascii="Arial Narrow" w:hAnsi="Arial Narrow" w:cs="Arial"/>
                <w:b/>
                <w:color w:val="000000"/>
                <w:sz w:val="20"/>
              </w:rPr>
            </w:pPr>
            <w:r w:rsidRPr="008F3B5A">
              <w:rPr>
                <w:rFonts w:ascii="Arial Narrow" w:hAnsi="Arial Narrow" w:cs="Arial"/>
                <w:b/>
                <w:sz w:val="20"/>
              </w:rPr>
              <w:t xml:space="preserve">Incident </w:t>
            </w:r>
            <w:r w:rsidR="00DA255F" w:rsidRPr="008F3B5A">
              <w:rPr>
                <w:rFonts w:ascii="Arial Narrow" w:hAnsi="Arial Narrow" w:cs="Arial"/>
                <w:b/>
                <w:sz w:val="20"/>
              </w:rPr>
              <w:t xml:space="preserve">population with </w:t>
            </w:r>
            <w:r w:rsidR="00DB29CD" w:rsidRPr="008F3B5A">
              <w:rPr>
                <w:rFonts w:ascii="Arial Narrow" w:hAnsi="Arial Narrow" w:cs="Arial"/>
                <w:b/>
                <w:sz w:val="20"/>
              </w:rPr>
              <w:t xml:space="preserve">previously untreated </w:t>
            </w:r>
            <w:r w:rsidRPr="008F3B5A">
              <w:rPr>
                <w:rFonts w:ascii="Arial Narrow" w:hAnsi="Arial Narrow" w:cs="Arial"/>
                <w:b/>
                <w:sz w:val="20"/>
              </w:rPr>
              <w:t>CLL</w:t>
            </w:r>
            <w:r w:rsidR="00DA255F" w:rsidRPr="008F3B5A">
              <w:rPr>
                <w:rFonts w:ascii="Arial Narrow" w:hAnsi="Arial Narrow" w:cs="Arial"/>
                <w:b/>
                <w:sz w:val="20"/>
              </w:rPr>
              <w:t xml:space="preserve"> or previously untreated </w:t>
            </w:r>
            <w:r w:rsidRPr="008F3B5A">
              <w:rPr>
                <w:rFonts w:ascii="Arial Narrow" w:hAnsi="Arial Narrow" w:cs="Arial"/>
                <w:b/>
                <w:sz w:val="20"/>
              </w:rPr>
              <w:t>SLL</w:t>
            </w:r>
          </w:p>
        </w:tc>
      </w:tr>
      <w:tr w:rsidR="00076DC6" w:rsidRPr="008F3B5A" w14:paraId="232B2102" w14:textId="77777777" w:rsidTr="00480B0B">
        <w:trPr>
          <w:trHeight w:val="57"/>
        </w:trPr>
        <w:tc>
          <w:tcPr>
            <w:tcW w:w="1440" w:type="pct"/>
            <w:hideMark/>
          </w:tcPr>
          <w:p w14:paraId="3B848946" w14:textId="77777777" w:rsidR="00076DC6" w:rsidRPr="008F3B5A" w:rsidRDefault="00076DC6" w:rsidP="00076DC6">
            <w:pPr>
              <w:rPr>
                <w:rFonts w:ascii="Arial Narrow" w:hAnsi="Arial Narrow" w:cs="Arial"/>
                <w:sz w:val="20"/>
              </w:rPr>
            </w:pPr>
            <w:r w:rsidRPr="008F3B5A">
              <w:rPr>
                <w:rFonts w:ascii="Arial Narrow" w:hAnsi="Arial Narrow" w:cs="Arial"/>
                <w:sz w:val="20"/>
              </w:rPr>
              <w:t xml:space="preserve">Incidence of </w:t>
            </w:r>
            <w:proofErr w:type="spellStart"/>
            <w:r w:rsidRPr="008F3B5A">
              <w:rPr>
                <w:rFonts w:ascii="Arial Narrow" w:hAnsi="Arial Narrow" w:cs="Arial"/>
                <w:sz w:val="20"/>
              </w:rPr>
              <w:t>CLL</w:t>
            </w:r>
            <w:r w:rsidRPr="008F3B5A">
              <w:rPr>
                <w:rFonts w:ascii="Arial Narrow" w:hAnsi="Arial Narrow" w:cs="Arial"/>
                <w:sz w:val="20"/>
                <w:vertAlign w:val="superscript"/>
              </w:rPr>
              <w:t>a</w:t>
            </w:r>
            <w:proofErr w:type="spellEnd"/>
          </w:p>
        </w:tc>
        <w:tc>
          <w:tcPr>
            <w:tcW w:w="593" w:type="pct"/>
          </w:tcPr>
          <w:p w14:paraId="66931F30"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1,652 </w:t>
            </w:r>
          </w:p>
        </w:tc>
        <w:tc>
          <w:tcPr>
            <w:tcW w:w="594" w:type="pct"/>
            <w:hideMark/>
          </w:tcPr>
          <w:p w14:paraId="35206FB2"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1,697 </w:t>
            </w:r>
          </w:p>
        </w:tc>
        <w:tc>
          <w:tcPr>
            <w:tcW w:w="594" w:type="pct"/>
            <w:hideMark/>
          </w:tcPr>
          <w:p w14:paraId="3869D1C9"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1,745 </w:t>
            </w:r>
          </w:p>
        </w:tc>
        <w:tc>
          <w:tcPr>
            <w:tcW w:w="593" w:type="pct"/>
            <w:hideMark/>
          </w:tcPr>
          <w:p w14:paraId="4EA1E8DB"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1,792 </w:t>
            </w:r>
          </w:p>
        </w:tc>
        <w:tc>
          <w:tcPr>
            <w:tcW w:w="594" w:type="pct"/>
            <w:hideMark/>
          </w:tcPr>
          <w:p w14:paraId="346EF56C"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1,839 </w:t>
            </w:r>
          </w:p>
        </w:tc>
        <w:tc>
          <w:tcPr>
            <w:tcW w:w="592" w:type="pct"/>
            <w:hideMark/>
          </w:tcPr>
          <w:p w14:paraId="1FC9FE3D"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1,887 </w:t>
            </w:r>
          </w:p>
        </w:tc>
      </w:tr>
      <w:tr w:rsidR="00076DC6" w:rsidRPr="008F3B5A" w14:paraId="46CA2C5B" w14:textId="77777777" w:rsidTr="00480B0B">
        <w:trPr>
          <w:trHeight w:val="57"/>
        </w:trPr>
        <w:tc>
          <w:tcPr>
            <w:tcW w:w="1440" w:type="pct"/>
            <w:hideMark/>
          </w:tcPr>
          <w:p w14:paraId="489E2211" w14:textId="77777777" w:rsidR="00076DC6" w:rsidRPr="008F3B5A" w:rsidRDefault="00076DC6" w:rsidP="00076DC6">
            <w:pPr>
              <w:rPr>
                <w:rFonts w:ascii="Arial Narrow" w:hAnsi="Arial Narrow" w:cs="Arial"/>
                <w:sz w:val="20"/>
              </w:rPr>
            </w:pPr>
            <w:r w:rsidRPr="008F3B5A">
              <w:rPr>
                <w:rFonts w:ascii="Arial Narrow" w:hAnsi="Arial Narrow" w:cs="Arial"/>
                <w:sz w:val="20"/>
              </w:rPr>
              <w:t xml:space="preserve">Incidence of </w:t>
            </w:r>
            <w:proofErr w:type="spellStart"/>
            <w:r w:rsidRPr="008F3B5A">
              <w:rPr>
                <w:rFonts w:ascii="Arial Narrow" w:hAnsi="Arial Narrow" w:cs="Arial"/>
                <w:sz w:val="20"/>
              </w:rPr>
              <w:t>SLL</w:t>
            </w:r>
            <w:r w:rsidRPr="008F3B5A">
              <w:rPr>
                <w:rFonts w:ascii="Arial Narrow" w:hAnsi="Arial Narrow" w:cs="Arial"/>
                <w:sz w:val="20"/>
                <w:vertAlign w:val="superscript"/>
              </w:rPr>
              <w:t>b</w:t>
            </w:r>
            <w:proofErr w:type="spellEnd"/>
          </w:p>
        </w:tc>
        <w:tc>
          <w:tcPr>
            <w:tcW w:w="593" w:type="pct"/>
          </w:tcPr>
          <w:p w14:paraId="758DC5EE"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xml:space="preserve">306 </w:t>
            </w:r>
          </w:p>
        </w:tc>
        <w:tc>
          <w:tcPr>
            <w:tcW w:w="594" w:type="pct"/>
            <w:hideMark/>
          </w:tcPr>
          <w:p w14:paraId="5AEF40E8"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xml:space="preserve">313 </w:t>
            </w:r>
          </w:p>
        </w:tc>
        <w:tc>
          <w:tcPr>
            <w:tcW w:w="594" w:type="pct"/>
            <w:hideMark/>
          </w:tcPr>
          <w:p w14:paraId="2799F174"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xml:space="preserve">320 </w:t>
            </w:r>
          </w:p>
        </w:tc>
        <w:tc>
          <w:tcPr>
            <w:tcW w:w="593" w:type="pct"/>
            <w:hideMark/>
          </w:tcPr>
          <w:p w14:paraId="57D0BB91"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xml:space="preserve">326 </w:t>
            </w:r>
          </w:p>
        </w:tc>
        <w:tc>
          <w:tcPr>
            <w:tcW w:w="594" w:type="pct"/>
            <w:hideMark/>
          </w:tcPr>
          <w:p w14:paraId="7DB88E00"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xml:space="preserve">333 </w:t>
            </w:r>
          </w:p>
        </w:tc>
        <w:tc>
          <w:tcPr>
            <w:tcW w:w="592" w:type="pct"/>
            <w:hideMark/>
          </w:tcPr>
          <w:p w14:paraId="2C2C9E85"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xml:space="preserve">339 </w:t>
            </w:r>
          </w:p>
        </w:tc>
      </w:tr>
      <w:tr w:rsidR="00076DC6" w:rsidRPr="008F3B5A" w14:paraId="2556006F" w14:textId="77777777" w:rsidTr="00480B0B">
        <w:trPr>
          <w:trHeight w:val="57"/>
        </w:trPr>
        <w:tc>
          <w:tcPr>
            <w:tcW w:w="1440" w:type="pct"/>
            <w:hideMark/>
          </w:tcPr>
          <w:p w14:paraId="5514894E" w14:textId="7ACC908F" w:rsidR="00076DC6" w:rsidRPr="008F3B5A" w:rsidRDefault="00076DC6" w:rsidP="00DA255F">
            <w:pPr>
              <w:rPr>
                <w:rFonts w:ascii="Arial Narrow" w:hAnsi="Arial Narrow" w:cs="Arial"/>
                <w:sz w:val="20"/>
              </w:rPr>
            </w:pPr>
            <w:r w:rsidRPr="008F3B5A">
              <w:rPr>
                <w:rFonts w:ascii="Arial Narrow" w:hAnsi="Arial Narrow" w:cs="Arial"/>
                <w:sz w:val="20"/>
              </w:rPr>
              <w:t>Total incidence of CLL</w:t>
            </w:r>
            <w:r w:rsidR="00DA255F" w:rsidRPr="008F3B5A">
              <w:rPr>
                <w:rFonts w:ascii="Arial Narrow" w:hAnsi="Arial Narrow" w:cs="Arial"/>
                <w:sz w:val="20"/>
              </w:rPr>
              <w:t xml:space="preserve"> or </w:t>
            </w:r>
            <w:r w:rsidRPr="008F3B5A">
              <w:rPr>
                <w:rFonts w:ascii="Arial Narrow" w:hAnsi="Arial Narrow" w:cs="Arial"/>
                <w:sz w:val="20"/>
              </w:rPr>
              <w:t>SLL</w:t>
            </w:r>
          </w:p>
        </w:tc>
        <w:tc>
          <w:tcPr>
            <w:tcW w:w="593" w:type="pct"/>
          </w:tcPr>
          <w:p w14:paraId="0FE464E8"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1,958 </w:t>
            </w:r>
          </w:p>
        </w:tc>
        <w:tc>
          <w:tcPr>
            <w:tcW w:w="594" w:type="pct"/>
            <w:hideMark/>
          </w:tcPr>
          <w:p w14:paraId="47FFDD84"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2,010 </w:t>
            </w:r>
          </w:p>
        </w:tc>
        <w:tc>
          <w:tcPr>
            <w:tcW w:w="594" w:type="pct"/>
            <w:hideMark/>
          </w:tcPr>
          <w:p w14:paraId="3DE1E480"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2,065 </w:t>
            </w:r>
          </w:p>
        </w:tc>
        <w:tc>
          <w:tcPr>
            <w:tcW w:w="593" w:type="pct"/>
            <w:hideMark/>
          </w:tcPr>
          <w:p w14:paraId="1E07CA49"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2,118 </w:t>
            </w:r>
          </w:p>
        </w:tc>
        <w:tc>
          <w:tcPr>
            <w:tcW w:w="594" w:type="pct"/>
            <w:hideMark/>
          </w:tcPr>
          <w:p w14:paraId="2BE80672"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2,172 </w:t>
            </w:r>
          </w:p>
        </w:tc>
        <w:tc>
          <w:tcPr>
            <w:tcW w:w="592" w:type="pct"/>
            <w:hideMark/>
          </w:tcPr>
          <w:p w14:paraId="7F4C1887" w14:textId="77777777" w:rsidR="00076DC6" w:rsidRPr="008F3B5A" w:rsidRDefault="00076DC6" w:rsidP="00076DC6">
            <w:pPr>
              <w:keepNext/>
              <w:jc w:val="right"/>
              <w:rPr>
                <w:rFonts w:ascii="Arial Narrow" w:hAnsi="Arial Narrow" w:cs="Arial"/>
                <w:sz w:val="20"/>
              </w:rPr>
            </w:pPr>
            <w:r w:rsidRPr="008F3B5A">
              <w:rPr>
                <w:rFonts w:ascii="Arial Narrow" w:hAnsi="Arial Narrow" w:cs="Arial"/>
                <w:color w:val="000000"/>
                <w:sz w:val="20"/>
              </w:rPr>
              <w:t xml:space="preserve">2,226 </w:t>
            </w:r>
          </w:p>
        </w:tc>
      </w:tr>
      <w:tr w:rsidR="004310C5" w:rsidRPr="008F3B5A" w14:paraId="3BF71633" w14:textId="77777777" w:rsidTr="00480B0B">
        <w:trPr>
          <w:trHeight w:val="57"/>
        </w:trPr>
        <w:tc>
          <w:tcPr>
            <w:tcW w:w="1440" w:type="pct"/>
            <w:hideMark/>
          </w:tcPr>
          <w:p w14:paraId="6F5B72DF" w14:textId="5B935DC6" w:rsidR="004310C5" w:rsidRPr="008F3B5A" w:rsidRDefault="004310C5" w:rsidP="004310C5">
            <w:pPr>
              <w:spacing w:line="276" w:lineRule="auto"/>
              <w:rPr>
                <w:rFonts w:ascii="Arial Narrow" w:hAnsi="Arial Narrow" w:cs="Arial"/>
                <w:sz w:val="20"/>
              </w:rPr>
            </w:pPr>
            <w:r w:rsidRPr="008F3B5A">
              <w:rPr>
                <w:rFonts w:ascii="Arial Narrow" w:hAnsi="Arial Narrow" w:cs="Arial"/>
                <w:sz w:val="20"/>
              </w:rPr>
              <w:t>Proportion of patients to be tested using MBS 73343, %</w:t>
            </w:r>
          </w:p>
        </w:tc>
        <w:tc>
          <w:tcPr>
            <w:tcW w:w="593" w:type="pct"/>
          </w:tcPr>
          <w:p w14:paraId="2252B8F8" w14:textId="67F107B9"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c>
          <w:tcPr>
            <w:tcW w:w="594" w:type="pct"/>
            <w:hideMark/>
          </w:tcPr>
          <w:p w14:paraId="5A8EC18F" w14:textId="3397F128"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c>
          <w:tcPr>
            <w:tcW w:w="594" w:type="pct"/>
            <w:hideMark/>
          </w:tcPr>
          <w:p w14:paraId="31A45F05" w14:textId="39B5D0C6"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c>
          <w:tcPr>
            <w:tcW w:w="593" w:type="pct"/>
            <w:hideMark/>
          </w:tcPr>
          <w:p w14:paraId="09DE1504" w14:textId="015AD2E2"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c>
          <w:tcPr>
            <w:tcW w:w="594" w:type="pct"/>
            <w:hideMark/>
          </w:tcPr>
          <w:p w14:paraId="27D8F7E5" w14:textId="309906AE"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c>
          <w:tcPr>
            <w:tcW w:w="592" w:type="pct"/>
            <w:hideMark/>
          </w:tcPr>
          <w:p w14:paraId="49AAE3EF" w14:textId="5A0D2DCE"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r>
      <w:tr w:rsidR="004310C5" w:rsidRPr="008F3B5A" w14:paraId="63730945" w14:textId="77777777" w:rsidTr="00480B0B">
        <w:trPr>
          <w:trHeight w:val="57"/>
        </w:trPr>
        <w:tc>
          <w:tcPr>
            <w:tcW w:w="1440" w:type="pct"/>
            <w:hideMark/>
          </w:tcPr>
          <w:p w14:paraId="111B7C38" w14:textId="614D17B2" w:rsidR="004310C5" w:rsidRPr="008F3B5A" w:rsidRDefault="004310C5" w:rsidP="004310C5">
            <w:pPr>
              <w:spacing w:line="276" w:lineRule="auto"/>
              <w:rPr>
                <w:rFonts w:ascii="Arial Narrow" w:hAnsi="Arial Narrow" w:cs="Arial"/>
                <w:sz w:val="20"/>
              </w:rPr>
            </w:pPr>
            <w:r w:rsidRPr="008F3B5A">
              <w:rPr>
                <w:rFonts w:ascii="Arial Narrow" w:hAnsi="Arial Narrow" w:cs="Arial"/>
                <w:b/>
                <w:bCs/>
                <w:sz w:val="20"/>
              </w:rPr>
              <w:t>Patients to be tested using MBS 73343, n</w:t>
            </w:r>
          </w:p>
        </w:tc>
        <w:tc>
          <w:tcPr>
            <w:tcW w:w="593" w:type="pct"/>
          </w:tcPr>
          <w:p w14:paraId="66793414" w14:textId="683704FB"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 xml:space="preserve">redacted </w:t>
            </w:r>
          </w:p>
        </w:tc>
        <w:tc>
          <w:tcPr>
            <w:tcW w:w="594" w:type="pct"/>
            <w:hideMark/>
          </w:tcPr>
          <w:p w14:paraId="52CFC4E5" w14:textId="757FFAD7"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c>
          <w:tcPr>
            <w:tcW w:w="594" w:type="pct"/>
            <w:hideMark/>
          </w:tcPr>
          <w:p w14:paraId="07C17909" w14:textId="735950A7"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c>
          <w:tcPr>
            <w:tcW w:w="593" w:type="pct"/>
            <w:hideMark/>
          </w:tcPr>
          <w:p w14:paraId="244CFAB4" w14:textId="4A328773"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c>
          <w:tcPr>
            <w:tcW w:w="594" w:type="pct"/>
            <w:hideMark/>
          </w:tcPr>
          <w:p w14:paraId="383A9A37" w14:textId="36E5A3C9"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c>
          <w:tcPr>
            <w:tcW w:w="592" w:type="pct"/>
            <w:hideMark/>
          </w:tcPr>
          <w:p w14:paraId="3B3B0D1E" w14:textId="17586979"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r>
      <w:tr w:rsidR="00076DC6" w:rsidRPr="008F3B5A" w14:paraId="1F3445A0" w14:textId="77777777" w:rsidTr="00480B0B">
        <w:trPr>
          <w:trHeight w:val="57"/>
        </w:trPr>
        <w:tc>
          <w:tcPr>
            <w:tcW w:w="5000" w:type="pct"/>
            <w:gridSpan w:val="7"/>
            <w:hideMark/>
          </w:tcPr>
          <w:p w14:paraId="4F377FF2" w14:textId="285DAD33" w:rsidR="00076DC6" w:rsidRPr="008F3B5A" w:rsidRDefault="00076DC6" w:rsidP="00DA255F">
            <w:pPr>
              <w:keepNext/>
              <w:rPr>
                <w:rFonts w:ascii="Arial Narrow" w:hAnsi="Arial Narrow" w:cs="Arial"/>
                <w:b/>
                <w:color w:val="000000"/>
                <w:sz w:val="20"/>
              </w:rPr>
            </w:pPr>
            <w:r w:rsidRPr="008F3B5A">
              <w:rPr>
                <w:rFonts w:ascii="Arial Narrow" w:hAnsi="Arial Narrow" w:cs="Arial"/>
                <w:b/>
                <w:sz w:val="20"/>
              </w:rPr>
              <w:t xml:space="preserve">Prevalent </w:t>
            </w:r>
            <w:r w:rsidR="00DA255F" w:rsidRPr="008F3B5A">
              <w:rPr>
                <w:rFonts w:ascii="Arial Narrow" w:hAnsi="Arial Narrow" w:cs="Arial"/>
                <w:b/>
                <w:sz w:val="20"/>
              </w:rPr>
              <w:t xml:space="preserve">population with </w:t>
            </w:r>
            <w:r w:rsidR="00DB29CD" w:rsidRPr="008F3B5A">
              <w:rPr>
                <w:rFonts w:ascii="Arial Narrow" w:hAnsi="Arial Narrow" w:cs="Arial"/>
                <w:b/>
                <w:sz w:val="20"/>
              </w:rPr>
              <w:t xml:space="preserve">previously untreated </w:t>
            </w:r>
            <w:r w:rsidRPr="008F3B5A">
              <w:rPr>
                <w:rFonts w:ascii="Arial Narrow" w:hAnsi="Arial Narrow" w:cs="Arial"/>
                <w:b/>
                <w:sz w:val="20"/>
              </w:rPr>
              <w:t>CLL</w:t>
            </w:r>
            <w:r w:rsidR="00DA255F" w:rsidRPr="008F3B5A">
              <w:rPr>
                <w:rFonts w:ascii="Arial Narrow" w:hAnsi="Arial Narrow" w:cs="Arial"/>
                <w:b/>
                <w:sz w:val="20"/>
              </w:rPr>
              <w:t xml:space="preserve"> or previously untreated </w:t>
            </w:r>
            <w:r w:rsidRPr="008F3B5A">
              <w:rPr>
                <w:rFonts w:ascii="Arial Narrow" w:hAnsi="Arial Narrow" w:cs="Arial"/>
                <w:b/>
                <w:sz w:val="20"/>
              </w:rPr>
              <w:t>SLL</w:t>
            </w:r>
          </w:p>
        </w:tc>
      </w:tr>
      <w:tr w:rsidR="00076DC6" w:rsidRPr="008F3B5A" w14:paraId="3CDA8608" w14:textId="77777777" w:rsidTr="00480B0B">
        <w:trPr>
          <w:trHeight w:val="57"/>
        </w:trPr>
        <w:tc>
          <w:tcPr>
            <w:tcW w:w="1440" w:type="pct"/>
            <w:hideMark/>
          </w:tcPr>
          <w:p w14:paraId="335FD561" w14:textId="233C6954" w:rsidR="00076DC6" w:rsidRPr="008F3B5A" w:rsidRDefault="00076DC6" w:rsidP="00DA255F">
            <w:pPr>
              <w:rPr>
                <w:rFonts w:ascii="Arial Narrow" w:hAnsi="Arial Narrow" w:cs="Arial"/>
                <w:sz w:val="20"/>
              </w:rPr>
            </w:pPr>
            <w:r w:rsidRPr="008F3B5A">
              <w:rPr>
                <w:rFonts w:ascii="Arial Narrow" w:hAnsi="Arial Narrow" w:cs="Arial"/>
                <w:bCs/>
                <w:color w:val="000000"/>
                <w:sz w:val="20"/>
              </w:rPr>
              <w:t xml:space="preserve">Prevalent </w:t>
            </w:r>
            <w:r w:rsidR="00DA255F" w:rsidRPr="008F3B5A">
              <w:rPr>
                <w:rFonts w:ascii="Arial Narrow" w:hAnsi="Arial Narrow" w:cs="Arial"/>
                <w:bCs/>
                <w:color w:val="000000"/>
                <w:sz w:val="20"/>
              </w:rPr>
              <w:t xml:space="preserve">population with </w:t>
            </w:r>
            <w:r w:rsidRPr="008F3B5A">
              <w:rPr>
                <w:rFonts w:ascii="Arial Narrow" w:hAnsi="Arial Narrow" w:cs="Arial"/>
                <w:bCs/>
                <w:color w:val="000000"/>
                <w:sz w:val="20"/>
              </w:rPr>
              <w:t>CLL</w:t>
            </w:r>
            <w:r w:rsidR="00DA255F" w:rsidRPr="008F3B5A">
              <w:rPr>
                <w:rFonts w:ascii="Arial Narrow" w:hAnsi="Arial Narrow" w:cs="Arial"/>
                <w:bCs/>
                <w:color w:val="000000"/>
                <w:sz w:val="20"/>
              </w:rPr>
              <w:t xml:space="preserve"> or </w:t>
            </w:r>
            <w:r w:rsidRPr="008F3B5A">
              <w:rPr>
                <w:rFonts w:ascii="Arial Narrow" w:hAnsi="Arial Narrow" w:cs="Arial"/>
                <w:bCs/>
                <w:color w:val="000000"/>
                <w:sz w:val="20"/>
              </w:rPr>
              <w:t>SLL</w:t>
            </w:r>
          </w:p>
        </w:tc>
        <w:tc>
          <w:tcPr>
            <w:tcW w:w="593" w:type="pct"/>
          </w:tcPr>
          <w:p w14:paraId="7E89C44C"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xml:space="preserve">10,337 </w:t>
            </w:r>
          </w:p>
        </w:tc>
        <w:tc>
          <w:tcPr>
            <w:tcW w:w="594" w:type="pct"/>
            <w:hideMark/>
          </w:tcPr>
          <w:p w14:paraId="063CA48E"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4" w:type="pct"/>
            <w:hideMark/>
          </w:tcPr>
          <w:p w14:paraId="5F818253"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3" w:type="pct"/>
            <w:hideMark/>
          </w:tcPr>
          <w:p w14:paraId="06718079"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4" w:type="pct"/>
            <w:hideMark/>
          </w:tcPr>
          <w:p w14:paraId="4B5A5F06"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2" w:type="pct"/>
            <w:hideMark/>
          </w:tcPr>
          <w:p w14:paraId="64FC4471"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r>
      <w:tr w:rsidR="00076DC6" w:rsidRPr="008F3B5A" w14:paraId="30601306" w14:textId="77777777" w:rsidTr="00480B0B">
        <w:trPr>
          <w:trHeight w:val="57"/>
        </w:trPr>
        <w:tc>
          <w:tcPr>
            <w:tcW w:w="1440" w:type="pct"/>
            <w:hideMark/>
          </w:tcPr>
          <w:p w14:paraId="2654B8B9" w14:textId="5A93A35C" w:rsidR="00076DC6" w:rsidRPr="008F3B5A" w:rsidRDefault="00076DC6" w:rsidP="00076DC6">
            <w:pPr>
              <w:rPr>
                <w:rFonts w:ascii="Arial Narrow" w:hAnsi="Arial Narrow" w:cs="Arial"/>
                <w:sz w:val="20"/>
              </w:rPr>
            </w:pPr>
            <w:r w:rsidRPr="008F3B5A">
              <w:rPr>
                <w:rFonts w:ascii="Arial Narrow" w:hAnsi="Arial Narrow" w:cs="Arial"/>
                <w:color w:val="000000"/>
                <w:sz w:val="20"/>
              </w:rPr>
              <w:t xml:space="preserve">Proportion of </w:t>
            </w:r>
            <w:r w:rsidRPr="008F3B5A">
              <w:rPr>
                <w:rFonts w:ascii="Arial Narrow" w:hAnsi="Arial Narrow" w:cs="Arial"/>
                <w:sz w:val="20"/>
              </w:rPr>
              <w:t>patients to be tested using MBS 73343, %</w:t>
            </w:r>
          </w:p>
        </w:tc>
        <w:tc>
          <w:tcPr>
            <w:tcW w:w="593" w:type="pct"/>
          </w:tcPr>
          <w:p w14:paraId="1B3F668E" w14:textId="2261DC7F" w:rsidR="00076DC6" w:rsidRPr="008F3B5A" w:rsidRDefault="004310C5" w:rsidP="00076DC6">
            <w:pPr>
              <w:keepNext/>
              <w:jc w:val="right"/>
              <w:rPr>
                <w:rFonts w:ascii="Arial Narrow" w:hAnsi="Arial Narrow" w:cs="Arial"/>
                <w:color w:val="000000"/>
                <w:sz w:val="20"/>
              </w:rPr>
            </w:pPr>
            <w:r w:rsidRPr="008F3B5A">
              <w:rPr>
                <w:rFonts w:ascii="Arial Narrow" w:hAnsi="Arial Narrow" w:cs="Arial"/>
                <w:color w:val="000000"/>
                <w:sz w:val="20"/>
              </w:rPr>
              <w:t>redacted</w:t>
            </w:r>
            <w:r w:rsidR="00076DC6" w:rsidRPr="008F3B5A">
              <w:rPr>
                <w:rFonts w:ascii="Arial Narrow" w:hAnsi="Arial Narrow" w:cs="Arial"/>
                <w:color w:val="000000"/>
                <w:sz w:val="20"/>
              </w:rPr>
              <w:t>%</w:t>
            </w:r>
          </w:p>
        </w:tc>
        <w:tc>
          <w:tcPr>
            <w:tcW w:w="594" w:type="pct"/>
            <w:hideMark/>
          </w:tcPr>
          <w:p w14:paraId="6A4E04CA"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4" w:type="pct"/>
            <w:hideMark/>
          </w:tcPr>
          <w:p w14:paraId="4E1AA3DB"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3" w:type="pct"/>
            <w:hideMark/>
          </w:tcPr>
          <w:p w14:paraId="6F0CE6AA"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4" w:type="pct"/>
            <w:hideMark/>
          </w:tcPr>
          <w:p w14:paraId="5CFA0D5B"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2" w:type="pct"/>
            <w:hideMark/>
          </w:tcPr>
          <w:p w14:paraId="7FDF30CD"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r>
      <w:tr w:rsidR="00076DC6" w:rsidRPr="008F3B5A" w14:paraId="284E2F34" w14:textId="77777777" w:rsidTr="00480B0B">
        <w:trPr>
          <w:trHeight w:val="57"/>
        </w:trPr>
        <w:tc>
          <w:tcPr>
            <w:tcW w:w="1440" w:type="pct"/>
            <w:hideMark/>
          </w:tcPr>
          <w:p w14:paraId="70C68C0B" w14:textId="65C3B087" w:rsidR="00076DC6" w:rsidRPr="008F3B5A" w:rsidRDefault="00076DC6" w:rsidP="00076DC6">
            <w:pPr>
              <w:rPr>
                <w:rFonts w:ascii="Arial Narrow" w:hAnsi="Arial Narrow" w:cs="Arial"/>
                <w:sz w:val="20"/>
              </w:rPr>
            </w:pPr>
            <w:r w:rsidRPr="008F3B5A">
              <w:rPr>
                <w:rFonts w:ascii="Arial Narrow" w:hAnsi="Arial Narrow" w:cs="Arial"/>
                <w:color w:val="000000"/>
                <w:sz w:val="20"/>
              </w:rPr>
              <w:t xml:space="preserve">Patients </w:t>
            </w:r>
            <w:r w:rsidRPr="008F3B5A">
              <w:rPr>
                <w:rFonts w:ascii="Arial Narrow" w:hAnsi="Arial Narrow" w:cs="Arial"/>
                <w:sz w:val="20"/>
              </w:rPr>
              <w:t>to be tested using MBS 73343, n</w:t>
            </w:r>
          </w:p>
        </w:tc>
        <w:tc>
          <w:tcPr>
            <w:tcW w:w="593" w:type="pct"/>
          </w:tcPr>
          <w:p w14:paraId="0BF76B0D" w14:textId="6ADA05CF" w:rsidR="00076DC6" w:rsidRPr="008F3B5A" w:rsidRDefault="004310C5" w:rsidP="00076DC6">
            <w:pPr>
              <w:keepNext/>
              <w:jc w:val="right"/>
              <w:rPr>
                <w:rFonts w:ascii="Arial Narrow" w:hAnsi="Arial Narrow" w:cs="Arial"/>
                <w:sz w:val="20"/>
              </w:rPr>
            </w:pPr>
            <w:r w:rsidRPr="008F3B5A">
              <w:rPr>
                <w:rFonts w:ascii="Arial Narrow" w:hAnsi="Arial Narrow" w:cs="Arial"/>
                <w:color w:val="000000"/>
                <w:sz w:val="20"/>
              </w:rPr>
              <w:t>redacted</w:t>
            </w:r>
            <w:r w:rsidR="00076DC6" w:rsidRPr="008F3B5A">
              <w:rPr>
                <w:rFonts w:ascii="Arial Narrow" w:hAnsi="Arial Narrow" w:cs="Arial"/>
                <w:color w:val="000000"/>
                <w:sz w:val="20"/>
              </w:rPr>
              <w:t xml:space="preserve"> </w:t>
            </w:r>
          </w:p>
        </w:tc>
        <w:tc>
          <w:tcPr>
            <w:tcW w:w="594" w:type="pct"/>
            <w:hideMark/>
          </w:tcPr>
          <w:p w14:paraId="2DD27850"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4" w:type="pct"/>
            <w:hideMark/>
          </w:tcPr>
          <w:p w14:paraId="7E5E5D71"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3" w:type="pct"/>
            <w:hideMark/>
          </w:tcPr>
          <w:p w14:paraId="0533A3BA"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4" w:type="pct"/>
            <w:hideMark/>
          </w:tcPr>
          <w:p w14:paraId="291CCACC"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c>
          <w:tcPr>
            <w:tcW w:w="592" w:type="pct"/>
            <w:hideMark/>
          </w:tcPr>
          <w:p w14:paraId="509CBEBD" w14:textId="77777777" w:rsidR="00076DC6" w:rsidRPr="008F3B5A" w:rsidRDefault="00076DC6" w:rsidP="00076DC6">
            <w:pPr>
              <w:keepNext/>
              <w:jc w:val="right"/>
              <w:rPr>
                <w:rFonts w:ascii="Arial Narrow" w:hAnsi="Arial Narrow" w:cs="Arial"/>
                <w:color w:val="000000"/>
                <w:sz w:val="20"/>
              </w:rPr>
            </w:pPr>
            <w:r w:rsidRPr="008F3B5A">
              <w:rPr>
                <w:rFonts w:ascii="Arial Narrow" w:hAnsi="Arial Narrow" w:cs="Arial"/>
                <w:color w:val="000000"/>
                <w:sz w:val="20"/>
              </w:rPr>
              <w:t> </w:t>
            </w:r>
          </w:p>
        </w:tc>
      </w:tr>
      <w:tr w:rsidR="004310C5" w:rsidRPr="008F3B5A" w14:paraId="7CECBB78" w14:textId="77777777" w:rsidTr="00480B0B">
        <w:trPr>
          <w:trHeight w:val="57"/>
        </w:trPr>
        <w:tc>
          <w:tcPr>
            <w:tcW w:w="1440" w:type="pct"/>
            <w:hideMark/>
          </w:tcPr>
          <w:p w14:paraId="5A75AFDC" w14:textId="1A60AC02" w:rsidR="004310C5" w:rsidRPr="008F3B5A" w:rsidRDefault="004310C5" w:rsidP="004310C5">
            <w:pPr>
              <w:spacing w:line="276" w:lineRule="auto"/>
              <w:rPr>
                <w:rFonts w:ascii="Arial Narrow" w:hAnsi="Arial Narrow" w:cs="Arial"/>
                <w:sz w:val="20"/>
              </w:rPr>
            </w:pPr>
            <w:r w:rsidRPr="008F3B5A">
              <w:rPr>
                <w:rFonts w:ascii="Arial Narrow" w:hAnsi="Arial Narrow" w:cs="Arial"/>
                <w:bCs/>
                <w:color w:val="000000"/>
                <w:sz w:val="20"/>
              </w:rPr>
              <w:t xml:space="preserve">Proportion of </w:t>
            </w:r>
            <w:r w:rsidRPr="008F3B5A">
              <w:rPr>
                <w:rFonts w:ascii="Arial Narrow" w:hAnsi="Arial Narrow" w:cs="Arial"/>
                <w:sz w:val="20"/>
              </w:rPr>
              <w:t>patients to be tested using MBS 73343 over time, %</w:t>
            </w:r>
          </w:p>
        </w:tc>
        <w:tc>
          <w:tcPr>
            <w:tcW w:w="593" w:type="pct"/>
          </w:tcPr>
          <w:p w14:paraId="6FE8802F" w14:textId="093335DA" w:rsidR="004310C5" w:rsidRPr="008F3B5A" w:rsidRDefault="004310C5" w:rsidP="004310C5">
            <w:pPr>
              <w:keepNext/>
              <w:jc w:val="right"/>
              <w:rPr>
                <w:rFonts w:ascii="Arial Narrow" w:hAnsi="Arial Narrow" w:cs="Arial"/>
                <w:sz w:val="20"/>
              </w:rPr>
            </w:pPr>
            <w:r w:rsidRPr="008F3B5A">
              <w:rPr>
                <w:rFonts w:ascii="Arial Narrow" w:hAnsi="Arial Narrow" w:cs="Arial"/>
                <w:color w:val="000000"/>
                <w:sz w:val="20"/>
              </w:rPr>
              <w:t>redacted%</w:t>
            </w:r>
          </w:p>
        </w:tc>
        <w:tc>
          <w:tcPr>
            <w:tcW w:w="594" w:type="pct"/>
            <w:hideMark/>
          </w:tcPr>
          <w:p w14:paraId="458A6F2E" w14:textId="07579D82"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c>
          <w:tcPr>
            <w:tcW w:w="594" w:type="pct"/>
            <w:hideMark/>
          </w:tcPr>
          <w:p w14:paraId="6AD804F6" w14:textId="5245F2BA"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c>
          <w:tcPr>
            <w:tcW w:w="593" w:type="pct"/>
            <w:hideMark/>
          </w:tcPr>
          <w:p w14:paraId="7C43359E" w14:textId="50E40E71"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c>
          <w:tcPr>
            <w:tcW w:w="594" w:type="pct"/>
            <w:hideMark/>
          </w:tcPr>
          <w:p w14:paraId="396CF01A" w14:textId="3668A7BB"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c>
          <w:tcPr>
            <w:tcW w:w="592" w:type="pct"/>
            <w:hideMark/>
          </w:tcPr>
          <w:p w14:paraId="2343D91C" w14:textId="1D269007" w:rsidR="004310C5" w:rsidRPr="008F3B5A" w:rsidRDefault="004310C5" w:rsidP="004310C5">
            <w:pPr>
              <w:keepNext/>
              <w:jc w:val="right"/>
              <w:rPr>
                <w:rFonts w:ascii="Arial Narrow" w:hAnsi="Arial Narrow" w:cs="Arial"/>
                <w:color w:val="000000"/>
                <w:sz w:val="20"/>
              </w:rPr>
            </w:pPr>
            <w:r w:rsidRPr="008F3B5A">
              <w:rPr>
                <w:rFonts w:ascii="Arial Narrow" w:hAnsi="Arial Narrow" w:cs="Arial"/>
                <w:color w:val="000000"/>
                <w:sz w:val="20"/>
              </w:rPr>
              <w:t>redacted%</w:t>
            </w:r>
          </w:p>
        </w:tc>
      </w:tr>
      <w:tr w:rsidR="004310C5" w:rsidRPr="008F3B5A" w14:paraId="447D3558" w14:textId="77777777" w:rsidTr="00480B0B">
        <w:trPr>
          <w:trHeight w:val="57"/>
        </w:trPr>
        <w:tc>
          <w:tcPr>
            <w:tcW w:w="1440" w:type="pct"/>
            <w:hideMark/>
          </w:tcPr>
          <w:p w14:paraId="20E0E28E" w14:textId="3064203E" w:rsidR="004310C5" w:rsidRPr="008F3B5A" w:rsidRDefault="004310C5" w:rsidP="004310C5">
            <w:pPr>
              <w:spacing w:line="276" w:lineRule="auto"/>
              <w:rPr>
                <w:rFonts w:ascii="Arial Narrow" w:hAnsi="Arial Narrow" w:cs="Arial"/>
                <w:b/>
                <w:bCs/>
                <w:sz w:val="20"/>
              </w:rPr>
            </w:pPr>
            <w:r w:rsidRPr="008F3B5A">
              <w:rPr>
                <w:rFonts w:ascii="Arial Narrow" w:hAnsi="Arial Narrow" w:cs="Arial"/>
                <w:b/>
                <w:bCs/>
                <w:sz w:val="20"/>
              </w:rPr>
              <w:t>Patients to be tested using MBS 73343, n</w:t>
            </w:r>
          </w:p>
        </w:tc>
        <w:tc>
          <w:tcPr>
            <w:tcW w:w="593" w:type="pct"/>
          </w:tcPr>
          <w:p w14:paraId="6E603414" w14:textId="39C543C0" w:rsidR="004310C5" w:rsidRPr="008F3B5A" w:rsidRDefault="004310C5" w:rsidP="004310C5">
            <w:pPr>
              <w:keepNext/>
              <w:jc w:val="right"/>
              <w:rPr>
                <w:rFonts w:ascii="Arial Narrow" w:hAnsi="Arial Narrow" w:cs="Arial"/>
                <w:sz w:val="20"/>
              </w:rPr>
            </w:pPr>
            <w:r w:rsidRPr="008F3B5A">
              <w:rPr>
                <w:rFonts w:ascii="Arial Narrow" w:hAnsi="Arial Narrow" w:cs="Arial"/>
                <w:b/>
                <w:bCs/>
                <w:color w:val="000000"/>
                <w:sz w:val="20"/>
              </w:rPr>
              <w:t>redacted</w:t>
            </w:r>
          </w:p>
        </w:tc>
        <w:tc>
          <w:tcPr>
            <w:tcW w:w="594" w:type="pct"/>
            <w:hideMark/>
          </w:tcPr>
          <w:p w14:paraId="7BBAE2F1" w14:textId="7A27E6ED"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c>
          <w:tcPr>
            <w:tcW w:w="594" w:type="pct"/>
            <w:hideMark/>
          </w:tcPr>
          <w:p w14:paraId="4BA1252C" w14:textId="259A7AEE"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c>
          <w:tcPr>
            <w:tcW w:w="593" w:type="pct"/>
            <w:hideMark/>
          </w:tcPr>
          <w:p w14:paraId="001BD8F0" w14:textId="4672C7BE"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c>
          <w:tcPr>
            <w:tcW w:w="594" w:type="pct"/>
            <w:hideMark/>
          </w:tcPr>
          <w:p w14:paraId="475E1B65" w14:textId="1FA86D01"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c>
          <w:tcPr>
            <w:tcW w:w="592" w:type="pct"/>
            <w:hideMark/>
          </w:tcPr>
          <w:p w14:paraId="004DD1FB" w14:textId="6170697C" w:rsidR="004310C5" w:rsidRPr="008F3B5A" w:rsidRDefault="004310C5" w:rsidP="004310C5">
            <w:pPr>
              <w:keepNext/>
              <w:jc w:val="right"/>
              <w:rPr>
                <w:rFonts w:ascii="Arial Narrow" w:hAnsi="Arial Narrow" w:cs="Arial"/>
                <w:color w:val="000000"/>
                <w:sz w:val="20"/>
              </w:rPr>
            </w:pPr>
            <w:r w:rsidRPr="008F3B5A">
              <w:rPr>
                <w:rFonts w:ascii="Arial Narrow" w:hAnsi="Arial Narrow" w:cs="Arial"/>
                <w:b/>
                <w:bCs/>
                <w:color w:val="000000"/>
                <w:sz w:val="20"/>
              </w:rPr>
              <w:t>redacted</w:t>
            </w:r>
          </w:p>
        </w:tc>
      </w:tr>
      <w:tr w:rsidR="00076DC6" w:rsidRPr="008F3B5A" w14:paraId="103EE017" w14:textId="77777777" w:rsidTr="00480B0B">
        <w:trPr>
          <w:trHeight w:val="57"/>
        </w:trPr>
        <w:tc>
          <w:tcPr>
            <w:tcW w:w="5000" w:type="pct"/>
            <w:gridSpan w:val="7"/>
            <w:hideMark/>
          </w:tcPr>
          <w:p w14:paraId="12743C6D" w14:textId="2D5FAEAF" w:rsidR="00076DC6" w:rsidRPr="008F3B5A" w:rsidRDefault="00076DC6" w:rsidP="00DA255F">
            <w:pPr>
              <w:keepNext/>
              <w:rPr>
                <w:rFonts w:ascii="Arial Narrow" w:hAnsi="Arial Narrow" w:cs="Arial"/>
                <w:b/>
                <w:color w:val="000000"/>
                <w:sz w:val="20"/>
              </w:rPr>
            </w:pPr>
            <w:r w:rsidRPr="008F3B5A">
              <w:rPr>
                <w:rFonts w:ascii="Arial Narrow" w:hAnsi="Arial Narrow" w:cs="Arial"/>
                <w:b/>
                <w:sz w:val="20"/>
              </w:rPr>
              <w:t xml:space="preserve">Total </w:t>
            </w:r>
            <w:r w:rsidR="00DA255F" w:rsidRPr="008F3B5A">
              <w:rPr>
                <w:rFonts w:ascii="Arial Narrow" w:hAnsi="Arial Narrow" w:cs="Arial"/>
                <w:b/>
                <w:sz w:val="20"/>
              </w:rPr>
              <w:t xml:space="preserve">population with </w:t>
            </w:r>
            <w:r w:rsidR="00DB29CD" w:rsidRPr="008F3B5A">
              <w:rPr>
                <w:rFonts w:ascii="Arial Narrow" w:hAnsi="Arial Narrow" w:cs="Arial"/>
                <w:b/>
                <w:sz w:val="20"/>
              </w:rPr>
              <w:t xml:space="preserve">previously untreated </w:t>
            </w:r>
            <w:r w:rsidRPr="008F3B5A">
              <w:rPr>
                <w:rFonts w:ascii="Arial Narrow" w:hAnsi="Arial Narrow" w:cs="Arial"/>
                <w:b/>
                <w:sz w:val="20"/>
              </w:rPr>
              <w:t>CLL</w:t>
            </w:r>
            <w:r w:rsidR="00DA255F" w:rsidRPr="008F3B5A">
              <w:rPr>
                <w:rFonts w:ascii="Arial Narrow" w:hAnsi="Arial Narrow" w:cs="Arial"/>
                <w:b/>
                <w:sz w:val="20"/>
              </w:rPr>
              <w:t xml:space="preserve"> or previously untreated </w:t>
            </w:r>
            <w:r w:rsidRPr="008F3B5A">
              <w:rPr>
                <w:rFonts w:ascii="Arial Narrow" w:hAnsi="Arial Narrow" w:cs="Arial"/>
                <w:b/>
                <w:sz w:val="20"/>
              </w:rPr>
              <w:t xml:space="preserve">SLL tested for </w:t>
            </w:r>
            <w:r w:rsidRPr="008F3B5A">
              <w:rPr>
                <w:rFonts w:ascii="Arial Narrow" w:hAnsi="Arial Narrow" w:cs="Arial"/>
                <w:b/>
                <w:i/>
                <w:sz w:val="20"/>
              </w:rPr>
              <w:t>del(17p)</w:t>
            </w:r>
            <w:r w:rsidRPr="008F3B5A">
              <w:rPr>
                <w:rFonts w:ascii="Arial Narrow" w:hAnsi="Arial Narrow" w:cs="Arial"/>
                <w:b/>
                <w:sz w:val="20"/>
              </w:rPr>
              <w:t xml:space="preserve"> by FISH (MBS Item 73343)</w:t>
            </w:r>
          </w:p>
        </w:tc>
      </w:tr>
      <w:tr w:rsidR="004310C5" w:rsidRPr="008F3B5A" w14:paraId="75902B8B" w14:textId="77777777" w:rsidTr="00480B0B">
        <w:trPr>
          <w:trHeight w:val="57"/>
        </w:trPr>
        <w:tc>
          <w:tcPr>
            <w:tcW w:w="1440" w:type="pct"/>
            <w:hideMark/>
          </w:tcPr>
          <w:p w14:paraId="57279890" w14:textId="77777777" w:rsidR="004310C5" w:rsidRPr="008F3B5A" w:rsidRDefault="004310C5" w:rsidP="004310C5">
            <w:pPr>
              <w:rPr>
                <w:rFonts w:ascii="Arial Narrow" w:hAnsi="Arial Narrow" w:cs="Arial"/>
                <w:bCs/>
                <w:color w:val="000000"/>
                <w:sz w:val="20"/>
              </w:rPr>
            </w:pPr>
            <w:r w:rsidRPr="008F3B5A">
              <w:rPr>
                <w:rFonts w:ascii="Arial Narrow" w:hAnsi="Arial Narrow" w:cs="Arial"/>
                <w:bCs/>
                <w:color w:val="000000"/>
                <w:sz w:val="20"/>
              </w:rPr>
              <w:t>Incident (n)</w:t>
            </w:r>
          </w:p>
        </w:tc>
        <w:tc>
          <w:tcPr>
            <w:tcW w:w="593" w:type="pct"/>
          </w:tcPr>
          <w:p w14:paraId="2514ADB9" w14:textId="6ACF6EC0"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4" w:type="pct"/>
            <w:hideMark/>
          </w:tcPr>
          <w:p w14:paraId="25594AC8" w14:textId="0FC97F18"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4" w:type="pct"/>
            <w:hideMark/>
          </w:tcPr>
          <w:p w14:paraId="6D969373" w14:textId="43A749B1"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3" w:type="pct"/>
            <w:hideMark/>
          </w:tcPr>
          <w:p w14:paraId="44A396D7" w14:textId="6508DCD4"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4" w:type="pct"/>
            <w:hideMark/>
          </w:tcPr>
          <w:p w14:paraId="52DE9DE1" w14:textId="1F14C441"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2" w:type="pct"/>
            <w:hideMark/>
          </w:tcPr>
          <w:p w14:paraId="415BB088" w14:textId="426BED95"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r>
      <w:tr w:rsidR="004310C5" w:rsidRPr="008F3B5A" w14:paraId="0729AEEC" w14:textId="77777777" w:rsidTr="00480B0B">
        <w:trPr>
          <w:trHeight w:val="57"/>
        </w:trPr>
        <w:tc>
          <w:tcPr>
            <w:tcW w:w="1440" w:type="pct"/>
            <w:hideMark/>
          </w:tcPr>
          <w:p w14:paraId="36E3610B" w14:textId="77777777" w:rsidR="004310C5" w:rsidRPr="008F3B5A" w:rsidRDefault="004310C5" w:rsidP="004310C5">
            <w:pPr>
              <w:rPr>
                <w:rFonts w:ascii="Arial Narrow" w:hAnsi="Arial Narrow" w:cs="Arial"/>
                <w:bCs/>
                <w:color w:val="000000"/>
                <w:sz w:val="20"/>
              </w:rPr>
            </w:pPr>
            <w:r w:rsidRPr="008F3B5A">
              <w:rPr>
                <w:rFonts w:ascii="Arial Narrow" w:hAnsi="Arial Narrow" w:cs="Arial"/>
                <w:bCs/>
                <w:color w:val="000000"/>
                <w:sz w:val="20"/>
              </w:rPr>
              <w:t>Prevalent (n)</w:t>
            </w:r>
          </w:p>
        </w:tc>
        <w:tc>
          <w:tcPr>
            <w:tcW w:w="593" w:type="pct"/>
          </w:tcPr>
          <w:p w14:paraId="4C0EAC0D" w14:textId="070C3A89"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4" w:type="pct"/>
            <w:hideMark/>
          </w:tcPr>
          <w:p w14:paraId="69EB4C61" w14:textId="38F1CB99"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4" w:type="pct"/>
            <w:hideMark/>
          </w:tcPr>
          <w:p w14:paraId="02DE2765" w14:textId="7069DC6D"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3" w:type="pct"/>
            <w:hideMark/>
          </w:tcPr>
          <w:p w14:paraId="1F99EE5D" w14:textId="5CD5F469"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4" w:type="pct"/>
            <w:hideMark/>
          </w:tcPr>
          <w:p w14:paraId="6F5A20C1" w14:textId="188E21D1"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c>
          <w:tcPr>
            <w:tcW w:w="592" w:type="pct"/>
            <w:hideMark/>
          </w:tcPr>
          <w:p w14:paraId="6FA77B14" w14:textId="57D59AB3" w:rsidR="004310C5" w:rsidRPr="008F3B5A" w:rsidRDefault="004310C5" w:rsidP="004310C5">
            <w:pPr>
              <w:keepNext/>
              <w:jc w:val="right"/>
              <w:rPr>
                <w:rFonts w:ascii="Arial Narrow" w:hAnsi="Arial Narrow" w:cs="Arial"/>
                <w:bCs/>
                <w:color w:val="000000"/>
                <w:sz w:val="20"/>
              </w:rPr>
            </w:pPr>
            <w:r w:rsidRPr="008F3B5A">
              <w:rPr>
                <w:rFonts w:ascii="Arial Narrow" w:hAnsi="Arial Narrow" w:cs="Arial"/>
                <w:bCs/>
                <w:color w:val="000000"/>
                <w:sz w:val="20"/>
              </w:rPr>
              <w:t xml:space="preserve">redacted </w:t>
            </w:r>
          </w:p>
        </w:tc>
      </w:tr>
      <w:tr w:rsidR="004310C5" w:rsidRPr="00A40662" w14:paraId="2E046E03" w14:textId="77777777" w:rsidTr="00480B0B">
        <w:trPr>
          <w:trHeight w:val="57"/>
        </w:trPr>
        <w:tc>
          <w:tcPr>
            <w:tcW w:w="1440" w:type="pct"/>
            <w:hideMark/>
          </w:tcPr>
          <w:p w14:paraId="65284290" w14:textId="77777777" w:rsidR="004310C5" w:rsidRPr="008F3B5A" w:rsidRDefault="004310C5" w:rsidP="004310C5">
            <w:pPr>
              <w:rPr>
                <w:rFonts w:ascii="Arial Narrow" w:hAnsi="Arial Narrow" w:cs="Arial"/>
                <w:b/>
                <w:bCs/>
                <w:color w:val="000000"/>
                <w:sz w:val="20"/>
                <w:u w:val="single"/>
              </w:rPr>
            </w:pPr>
            <w:r w:rsidRPr="008F3B5A">
              <w:rPr>
                <w:rFonts w:ascii="Arial Narrow" w:hAnsi="Arial Narrow" w:cs="Arial"/>
                <w:b/>
                <w:bCs/>
                <w:color w:val="000000"/>
                <w:sz w:val="20"/>
                <w:u w:val="single"/>
              </w:rPr>
              <w:t>Total (n)</w:t>
            </w:r>
          </w:p>
        </w:tc>
        <w:tc>
          <w:tcPr>
            <w:tcW w:w="593" w:type="pct"/>
          </w:tcPr>
          <w:p w14:paraId="548E7C4E" w14:textId="2F304E4C" w:rsidR="004310C5" w:rsidRPr="008F3B5A" w:rsidRDefault="004310C5" w:rsidP="004310C5">
            <w:pPr>
              <w:keepNext/>
              <w:jc w:val="right"/>
              <w:rPr>
                <w:rFonts w:ascii="Arial Narrow" w:hAnsi="Arial Narrow" w:cs="Arial"/>
                <w:b/>
                <w:bCs/>
                <w:color w:val="000000"/>
                <w:sz w:val="20"/>
                <w:u w:val="single"/>
              </w:rPr>
            </w:pPr>
            <w:r w:rsidRPr="008F3B5A">
              <w:rPr>
                <w:rFonts w:ascii="Arial Narrow" w:hAnsi="Arial Narrow" w:cs="Arial"/>
                <w:b/>
                <w:color w:val="000000"/>
                <w:sz w:val="20"/>
                <w:u w:val="single"/>
              </w:rPr>
              <w:t xml:space="preserve">redacted </w:t>
            </w:r>
          </w:p>
        </w:tc>
        <w:tc>
          <w:tcPr>
            <w:tcW w:w="594" w:type="pct"/>
            <w:hideMark/>
          </w:tcPr>
          <w:p w14:paraId="7943AF0C" w14:textId="2A9BB4AA" w:rsidR="004310C5" w:rsidRPr="008F3B5A" w:rsidRDefault="004310C5" w:rsidP="004310C5">
            <w:pPr>
              <w:keepNext/>
              <w:jc w:val="right"/>
              <w:rPr>
                <w:rFonts w:ascii="Arial Narrow" w:hAnsi="Arial Narrow" w:cs="Arial"/>
                <w:b/>
                <w:bCs/>
                <w:color w:val="000000"/>
                <w:sz w:val="20"/>
                <w:u w:val="single"/>
              </w:rPr>
            </w:pPr>
            <w:r w:rsidRPr="008F3B5A">
              <w:rPr>
                <w:rFonts w:ascii="Arial Narrow" w:hAnsi="Arial Narrow" w:cs="Arial"/>
                <w:b/>
                <w:color w:val="000000"/>
                <w:sz w:val="20"/>
                <w:u w:val="single"/>
              </w:rPr>
              <w:t xml:space="preserve">redacted </w:t>
            </w:r>
          </w:p>
        </w:tc>
        <w:tc>
          <w:tcPr>
            <w:tcW w:w="594" w:type="pct"/>
            <w:hideMark/>
          </w:tcPr>
          <w:p w14:paraId="349F6316" w14:textId="58E00449" w:rsidR="004310C5" w:rsidRPr="008F3B5A" w:rsidRDefault="004310C5" w:rsidP="004310C5">
            <w:pPr>
              <w:keepNext/>
              <w:jc w:val="right"/>
              <w:rPr>
                <w:rFonts w:ascii="Arial Narrow" w:hAnsi="Arial Narrow" w:cs="Arial"/>
                <w:b/>
                <w:bCs/>
                <w:color w:val="000000"/>
                <w:sz w:val="20"/>
                <w:u w:val="single"/>
              </w:rPr>
            </w:pPr>
            <w:r w:rsidRPr="008F3B5A">
              <w:rPr>
                <w:rFonts w:ascii="Arial Narrow" w:hAnsi="Arial Narrow" w:cs="Arial"/>
                <w:b/>
                <w:color w:val="000000"/>
                <w:sz w:val="20"/>
                <w:u w:val="single"/>
              </w:rPr>
              <w:t xml:space="preserve">redacted </w:t>
            </w:r>
          </w:p>
        </w:tc>
        <w:tc>
          <w:tcPr>
            <w:tcW w:w="593" w:type="pct"/>
            <w:hideMark/>
          </w:tcPr>
          <w:p w14:paraId="61A9030E" w14:textId="20FF87B1" w:rsidR="004310C5" w:rsidRPr="008F3B5A" w:rsidRDefault="004310C5" w:rsidP="004310C5">
            <w:pPr>
              <w:keepNext/>
              <w:jc w:val="right"/>
              <w:rPr>
                <w:rFonts w:ascii="Arial Narrow" w:hAnsi="Arial Narrow" w:cs="Arial"/>
                <w:b/>
                <w:bCs/>
                <w:color w:val="000000"/>
                <w:sz w:val="20"/>
                <w:u w:val="single"/>
              </w:rPr>
            </w:pPr>
            <w:r w:rsidRPr="008F3B5A">
              <w:rPr>
                <w:rFonts w:ascii="Arial Narrow" w:hAnsi="Arial Narrow" w:cs="Arial"/>
                <w:b/>
                <w:color w:val="000000"/>
                <w:sz w:val="20"/>
                <w:u w:val="single"/>
              </w:rPr>
              <w:t xml:space="preserve">redacted </w:t>
            </w:r>
          </w:p>
        </w:tc>
        <w:tc>
          <w:tcPr>
            <w:tcW w:w="594" w:type="pct"/>
            <w:hideMark/>
          </w:tcPr>
          <w:p w14:paraId="2BE7158A" w14:textId="15DB590F" w:rsidR="004310C5" w:rsidRPr="008F3B5A" w:rsidRDefault="004310C5" w:rsidP="004310C5">
            <w:pPr>
              <w:keepNext/>
              <w:jc w:val="right"/>
              <w:rPr>
                <w:rFonts w:ascii="Arial Narrow" w:hAnsi="Arial Narrow" w:cs="Arial"/>
                <w:b/>
                <w:bCs/>
                <w:color w:val="000000"/>
                <w:sz w:val="20"/>
                <w:u w:val="single"/>
              </w:rPr>
            </w:pPr>
            <w:r w:rsidRPr="008F3B5A">
              <w:rPr>
                <w:rFonts w:ascii="Arial Narrow" w:hAnsi="Arial Narrow" w:cs="Arial"/>
                <w:b/>
                <w:color w:val="000000"/>
                <w:sz w:val="20"/>
                <w:u w:val="single"/>
              </w:rPr>
              <w:t xml:space="preserve">redacted </w:t>
            </w:r>
          </w:p>
        </w:tc>
        <w:tc>
          <w:tcPr>
            <w:tcW w:w="592" w:type="pct"/>
            <w:hideMark/>
          </w:tcPr>
          <w:p w14:paraId="5B3226B9" w14:textId="2A46EBF3" w:rsidR="004310C5" w:rsidRPr="008F3B5A" w:rsidRDefault="004310C5" w:rsidP="004310C5">
            <w:pPr>
              <w:keepNext/>
              <w:jc w:val="right"/>
              <w:rPr>
                <w:rFonts w:ascii="Arial Narrow" w:hAnsi="Arial Narrow" w:cs="Arial"/>
                <w:b/>
                <w:bCs/>
                <w:color w:val="000000"/>
                <w:sz w:val="20"/>
                <w:u w:val="single"/>
              </w:rPr>
            </w:pPr>
            <w:r w:rsidRPr="008F3B5A">
              <w:rPr>
                <w:rFonts w:ascii="Arial Narrow" w:hAnsi="Arial Narrow" w:cs="Arial"/>
                <w:b/>
                <w:color w:val="000000"/>
                <w:sz w:val="20"/>
                <w:u w:val="single"/>
              </w:rPr>
              <w:t xml:space="preserve">redacted </w:t>
            </w:r>
          </w:p>
        </w:tc>
      </w:tr>
    </w:tbl>
    <w:p w14:paraId="7AFD24A8" w14:textId="77777777" w:rsidR="00A40662" w:rsidRPr="00A40662" w:rsidRDefault="00A40662" w:rsidP="00A40662">
      <w:pPr>
        <w:tabs>
          <w:tab w:val="left" w:pos="709"/>
        </w:tabs>
        <w:ind w:left="709" w:hanging="709"/>
        <w:rPr>
          <w:rFonts w:ascii="Arial Narrow" w:hAnsi="Arial Narrow" w:cs="Arial"/>
          <w:iCs/>
          <w:sz w:val="18"/>
          <w:szCs w:val="22"/>
        </w:rPr>
      </w:pPr>
      <w:r w:rsidRPr="00A40662">
        <w:rPr>
          <w:rFonts w:ascii="Arial Narrow" w:hAnsi="Arial Narrow" w:cs="Arial"/>
          <w:iCs/>
          <w:sz w:val="18"/>
        </w:rPr>
        <w:t xml:space="preserve">Source: </w:t>
      </w:r>
      <w:r w:rsidRPr="00A40662">
        <w:rPr>
          <w:rFonts w:ascii="Arial Narrow" w:hAnsi="Arial Narrow" w:cs="Arial"/>
          <w:iCs/>
          <w:sz w:val="18"/>
        </w:rPr>
        <w:tab/>
      </w:r>
      <w:r>
        <w:rPr>
          <w:rFonts w:ascii="Arial Narrow" w:hAnsi="Arial Narrow" w:cs="Arial"/>
          <w:iCs/>
          <w:sz w:val="18"/>
        </w:rPr>
        <w:t>Table 4.2, p12 of the pre-MSAC response</w:t>
      </w:r>
    </w:p>
    <w:p w14:paraId="5C742A61" w14:textId="77777777" w:rsidR="00A40662" w:rsidRPr="00A40662" w:rsidRDefault="00A40662" w:rsidP="00A40662">
      <w:pPr>
        <w:tabs>
          <w:tab w:val="left" w:pos="142"/>
        </w:tabs>
        <w:rPr>
          <w:rFonts w:ascii="Arial Narrow" w:hAnsi="Arial Narrow" w:cs="Arial"/>
          <w:sz w:val="18"/>
          <w:szCs w:val="16"/>
        </w:rPr>
      </w:pPr>
      <w:proofErr w:type="gramStart"/>
      <w:r w:rsidRPr="00A40662">
        <w:rPr>
          <w:rFonts w:ascii="Arial Narrow" w:hAnsi="Arial Narrow" w:cs="Arial"/>
          <w:sz w:val="18"/>
          <w:szCs w:val="16"/>
          <w:vertAlign w:val="superscript"/>
        </w:rPr>
        <w:t>a</w:t>
      </w:r>
      <w:proofErr w:type="gramEnd"/>
      <w:r w:rsidRPr="00A40662">
        <w:rPr>
          <w:rFonts w:ascii="Arial Narrow" w:hAnsi="Arial Narrow" w:cs="Arial"/>
          <w:sz w:val="18"/>
          <w:szCs w:val="16"/>
          <w:vertAlign w:val="superscript"/>
        </w:rPr>
        <w:tab/>
      </w:r>
      <w:r w:rsidRPr="00A40662">
        <w:rPr>
          <w:rFonts w:ascii="Arial Narrow" w:hAnsi="Arial Narrow" w:cs="Arial"/>
          <w:noProof/>
          <w:sz w:val="18"/>
          <w:szCs w:val="16"/>
        </w:rPr>
        <w:t>(AIHW, Australian Cancer Incidence and Mortality (ACIM) books, 2017)</w:t>
      </w:r>
    </w:p>
    <w:p w14:paraId="6F8AB40F" w14:textId="77777777" w:rsidR="00A40662" w:rsidRDefault="00A40662" w:rsidP="00A40662">
      <w:pPr>
        <w:tabs>
          <w:tab w:val="left" w:pos="142"/>
        </w:tabs>
        <w:spacing w:after="240"/>
        <w:rPr>
          <w:rFonts w:ascii="Arial Narrow" w:hAnsi="Arial Narrow" w:cs="Arial"/>
          <w:sz w:val="18"/>
          <w:szCs w:val="16"/>
        </w:rPr>
      </w:pPr>
      <w:proofErr w:type="gramStart"/>
      <w:r w:rsidRPr="00A40662">
        <w:rPr>
          <w:rFonts w:ascii="Arial Narrow" w:hAnsi="Arial Narrow" w:cs="Arial"/>
          <w:sz w:val="18"/>
          <w:szCs w:val="16"/>
          <w:vertAlign w:val="superscript"/>
        </w:rPr>
        <w:t>b</w:t>
      </w:r>
      <w:proofErr w:type="gramEnd"/>
      <w:r w:rsidRPr="00A40662">
        <w:rPr>
          <w:rFonts w:ascii="Arial Narrow" w:hAnsi="Arial Narrow" w:cs="Arial"/>
          <w:sz w:val="18"/>
          <w:szCs w:val="16"/>
        </w:rPr>
        <w:tab/>
        <w:t xml:space="preserve">Data Request to AIHW </w:t>
      </w:r>
    </w:p>
    <w:p w14:paraId="7A7EA7DB" w14:textId="5F788E2C" w:rsidR="00A40662" w:rsidRPr="00021A0E" w:rsidRDefault="00623237" w:rsidP="00021A0E">
      <w:pPr>
        <w:spacing w:after="240"/>
        <w:rPr>
          <w:rFonts w:cs="Arial"/>
        </w:rPr>
      </w:pPr>
      <w:r w:rsidRPr="008F3B5A">
        <w:t>The a</w:t>
      </w:r>
      <w:r w:rsidR="00A40662" w:rsidRPr="008F3B5A">
        <w:t xml:space="preserve">pplicant estimated </w:t>
      </w:r>
      <w:r w:rsidR="00A40662" w:rsidRPr="008F3B5A">
        <w:rPr>
          <w:rFonts w:cs="Arial"/>
        </w:rPr>
        <w:t xml:space="preserve">that the yearly cost </w:t>
      </w:r>
      <w:r w:rsidR="00A40662" w:rsidRPr="008F3B5A">
        <w:rPr>
          <w:rFonts w:cs="Arial"/>
          <w:lang w:val="en-GB"/>
        </w:rPr>
        <w:t xml:space="preserve">of amending MBS item 73343 to </w:t>
      </w:r>
      <w:r w:rsidR="00A40662" w:rsidRPr="008F3B5A">
        <w:rPr>
          <w:rFonts w:cs="Arial"/>
          <w:noProof/>
        </w:rPr>
        <w:t xml:space="preserve">broaden the reimbursement of the </w:t>
      </w:r>
      <w:r w:rsidR="00A40662" w:rsidRPr="008F3B5A">
        <w:rPr>
          <w:rFonts w:cs="Arial"/>
        </w:rPr>
        <w:t>FISH test for</w:t>
      </w:r>
      <w:r w:rsidR="00FD6FDF" w:rsidRPr="008F3B5A">
        <w:rPr>
          <w:rFonts w:cs="Arial"/>
          <w:lang w:val="en-GB"/>
        </w:rPr>
        <w:t xml:space="preserve"> detection of </w:t>
      </w:r>
      <w:proofErr w:type="gramStart"/>
      <w:r w:rsidR="00FD6FDF" w:rsidRPr="008F3B5A">
        <w:rPr>
          <w:rFonts w:cs="Arial"/>
          <w:i/>
          <w:lang w:val="en-GB"/>
        </w:rPr>
        <w:t>del</w:t>
      </w:r>
      <w:r w:rsidR="0098770B" w:rsidRPr="008F3B5A">
        <w:rPr>
          <w:rFonts w:cs="Arial"/>
          <w:i/>
          <w:lang w:val="en-GB"/>
        </w:rPr>
        <w:t>(</w:t>
      </w:r>
      <w:proofErr w:type="gramEnd"/>
      <w:r w:rsidR="00FD6FDF" w:rsidRPr="008F3B5A">
        <w:rPr>
          <w:rFonts w:cs="Arial"/>
          <w:i/>
          <w:lang w:val="en-GB"/>
        </w:rPr>
        <w:t>17p</w:t>
      </w:r>
      <w:r w:rsidR="0098770B" w:rsidRPr="008F3B5A">
        <w:rPr>
          <w:rFonts w:cs="Arial"/>
          <w:i/>
          <w:lang w:val="en-GB"/>
        </w:rPr>
        <w:t>)</w:t>
      </w:r>
      <w:r w:rsidR="00FD6FDF" w:rsidRPr="008F3B5A">
        <w:rPr>
          <w:rFonts w:cs="Arial"/>
          <w:lang w:val="en-GB"/>
        </w:rPr>
        <w:t xml:space="preserve"> </w:t>
      </w:r>
      <w:r w:rsidR="00FD6FDF" w:rsidRPr="008F3B5A">
        <w:rPr>
          <w:rFonts w:cs="Arial"/>
        </w:rPr>
        <w:t xml:space="preserve">for </w:t>
      </w:r>
      <w:r w:rsidR="00A40662" w:rsidRPr="008F3B5A">
        <w:rPr>
          <w:rFonts w:cs="Arial"/>
        </w:rPr>
        <w:t xml:space="preserve">all </w:t>
      </w:r>
      <w:r w:rsidR="00DA255F" w:rsidRPr="008F3B5A">
        <w:rPr>
          <w:rFonts w:cs="Arial"/>
        </w:rPr>
        <w:t xml:space="preserve">patients with </w:t>
      </w:r>
      <w:r w:rsidR="00A40662" w:rsidRPr="008F3B5A">
        <w:rPr>
          <w:rFonts w:cs="Arial"/>
        </w:rPr>
        <w:t>CLL</w:t>
      </w:r>
      <w:r w:rsidR="00DA255F" w:rsidRPr="008F3B5A">
        <w:rPr>
          <w:rFonts w:cs="Arial"/>
        </w:rPr>
        <w:t xml:space="preserve"> or </w:t>
      </w:r>
      <w:r w:rsidR="00A40662" w:rsidRPr="008F3B5A">
        <w:rPr>
          <w:rFonts w:cs="Arial"/>
        </w:rPr>
        <w:t>SLL patients will range from a high of $</w:t>
      </w:r>
      <w:r w:rsidR="004310C5" w:rsidRPr="008F3B5A">
        <w:rPr>
          <w:rFonts w:cs="Arial"/>
          <w:b/>
        </w:rPr>
        <w:t>redacted</w:t>
      </w:r>
      <w:r w:rsidR="004310C5" w:rsidRPr="008F3B5A">
        <w:rPr>
          <w:rFonts w:cs="Arial"/>
        </w:rPr>
        <w:t xml:space="preserve"> </w:t>
      </w:r>
      <w:r w:rsidR="00A40662" w:rsidRPr="008F3B5A">
        <w:rPr>
          <w:rFonts w:cs="Arial"/>
        </w:rPr>
        <w:t>in Year 1 (year 2020) to a low of $</w:t>
      </w:r>
      <w:r w:rsidR="004310C5" w:rsidRPr="008F3B5A">
        <w:rPr>
          <w:rFonts w:cs="Arial"/>
          <w:b/>
        </w:rPr>
        <w:t>redacted</w:t>
      </w:r>
      <w:r w:rsidR="00A40662" w:rsidRPr="008F3B5A">
        <w:rPr>
          <w:rFonts w:cs="Arial"/>
        </w:rPr>
        <w:t xml:space="preserve"> in Year 6 (Year 2025) for a cumulative cost of $</w:t>
      </w:r>
      <w:r w:rsidR="004310C5" w:rsidRPr="008F3B5A">
        <w:rPr>
          <w:rFonts w:cs="Arial"/>
          <w:b/>
        </w:rPr>
        <w:t>redacted</w:t>
      </w:r>
      <w:r w:rsidR="00A40662" w:rsidRPr="008F3B5A">
        <w:rPr>
          <w:rFonts w:cs="Arial"/>
        </w:rPr>
        <w:t xml:space="preserve"> over the first 6 years (Table 3).</w:t>
      </w:r>
    </w:p>
    <w:p w14:paraId="67FA7D49" w14:textId="77777777" w:rsidR="00A40662" w:rsidRPr="008F3B5A" w:rsidRDefault="00A40662" w:rsidP="00A40662">
      <w:pPr>
        <w:pStyle w:val="Caption"/>
        <w:rPr>
          <w:rFonts w:ascii="Arial Narrow" w:hAnsi="Arial Narrow" w:cs="Arial"/>
        </w:rPr>
      </w:pPr>
      <w:bookmarkStart w:id="10" w:name="_Ref12465928"/>
      <w:r w:rsidRPr="008F3B5A">
        <w:rPr>
          <w:rFonts w:ascii="Arial Narrow" w:hAnsi="Arial Narrow" w:cs="Arial"/>
        </w:rPr>
        <w:t xml:space="preserve">Table </w:t>
      </w:r>
      <w:bookmarkEnd w:id="10"/>
      <w:r w:rsidRPr="008F3B5A">
        <w:rPr>
          <w:rFonts w:ascii="Arial Narrow" w:hAnsi="Arial Narrow" w:cs="Arial"/>
        </w:rPr>
        <w:t>3</w:t>
      </w:r>
      <w:r w:rsidRPr="008F3B5A">
        <w:rPr>
          <w:rFonts w:ascii="Arial Narrow" w:hAnsi="Arial Narrow" w:cs="Arial"/>
        </w:rPr>
        <w:tab/>
        <w:t>Estimated cost to the MBS of the proposed amendment to MBS item 73343</w:t>
      </w:r>
    </w:p>
    <w:tbl>
      <w:tblPr>
        <w:tblStyle w:val="TableGrid"/>
        <w:tblW w:w="5000" w:type="pct"/>
        <w:tblLook w:val="04A0" w:firstRow="1" w:lastRow="0" w:firstColumn="1" w:lastColumn="0" w:noHBand="0" w:noVBand="1"/>
        <w:tblCaption w:val="Table 3 Estimated cost to the MBS of the proposed amendment to MBS item 73343"/>
        <w:tblDescription w:val="Applicants budget impact"/>
      </w:tblPr>
      <w:tblGrid>
        <w:gridCol w:w="3070"/>
        <w:gridCol w:w="991"/>
        <w:gridCol w:w="991"/>
        <w:gridCol w:w="991"/>
        <w:gridCol w:w="991"/>
        <w:gridCol w:w="991"/>
        <w:gridCol w:w="991"/>
      </w:tblGrid>
      <w:tr w:rsidR="00A40662" w:rsidRPr="008F3B5A" w14:paraId="445DA299" w14:textId="77777777" w:rsidTr="00480B0B">
        <w:trPr>
          <w:trHeight w:val="57"/>
          <w:tblHeader/>
        </w:trPr>
        <w:tc>
          <w:tcPr>
            <w:tcW w:w="1703" w:type="pct"/>
            <w:hideMark/>
          </w:tcPr>
          <w:p w14:paraId="0FA535C2" w14:textId="77777777" w:rsidR="00A40662" w:rsidRPr="008F3B5A" w:rsidRDefault="00A40662" w:rsidP="0094261C">
            <w:pPr>
              <w:rPr>
                <w:rFonts w:ascii="Arial Narrow" w:hAnsi="Arial Narrow" w:cs="Arial"/>
                <w:sz w:val="20"/>
                <w:szCs w:val="18"/>
              </w:rPr>
            </w:pPr>
            <w:r w:rsidRPr="008F3B5A">
              <w:rPr>
                <w:rFonts w:ascii="Arial Narrow" w:hAnsi="Arial Narrow" w:cs="Arial"/>
                <w:b/>
                <w:sz w:val="20"/>
                <w:szCs w:val="18"/>
              </w:rPr>
              <w:t>Data</w:t>
            </w:r>
          </w:p>
        </w:tc>
        <w:tc>
          <w:tcPr>
            <w:tcW w:w="550" w:type="pct"/>
            <w:hideMark/>
          </w:tcPr>
          <w:p w14:paraId="500C1DF4"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Year 1</w:t>
            </w:r>
          </w:p>
          <w:p w14:paraId="7BE6089B"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2020</w:t>
            </w:r>
          </w:p>
        </w:tc>
        <w:tc>
          <w:tcPr>
            <w:tcW w:w="550" w:type="pct"/>
            <w:hideMark/>
          </w:tcPr>
          <w:p w14:paraId="42E522E3"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Year 2</w:t>
            </w:r>
          </w:p>
          <w:p w14:paraId="6B782C9D"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2021</w:t>
            </w:r>
          </w:p>
        </w:tc>
        <w:tc>
          <w:tcPr>
            <w:tcW w:w="550" w:type="pct"/>
            <w:hideMark/>
          </w:tcPr>
          <w:p w14:paraId="7C546E2E"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Year 3</w:t>
            </w:r>
          </w:p>
          <w:p w14:paraId="4E13D152"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2022</w:t>
            </w:r>
          </w:p>
        </w:tc>
        <w:tc>
          <w:tcPr>
            <w:tcW w:w="550" w:type="pct"/>
            <w:hideMark/>
          </w:tcPr>
          <w:p w14:paraId="6952254E"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Year 4</w:t>
            </w:r>
          </w:p>
          <w:p w14:paraId="0F6E1E78"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2023</w:t>
            </w:r>
          </w:p>
        </w:tc>
        <w:tc>
          <w:tcPr>
            <w:tcW w:w="550" w:type="pct"/>
            <w:hideMark/>
          </w:tcPr>
          <w:p w14:paraId="0E93A21C"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Year 5</w:t>
            </w:r>
          </w:p>
          <w:p w14:paraId="50BECEB5" w14:textId="77777777" w:rsidR="00A40662" w:rsidRPr="008F3B5A" w:rsidRDefault="00A40662" w:rsidP="0094261C">
            <w:pPr>
              <w:keepNext/>
              <w:ind w:right="-79"/>
              <w:jc w:val="center"/>
              <w:rPr>
                <w:rFonts w:ascii="Arial Narrow" w:hAnsi="Arial Narrow" w:cs="Arial"/>
                <w:b/>
                <w:sz w:val="20"/>
                <w:szCs w:val="18"/>
              </w:rPr>
            </w:pPr>
            <w:r w:rsidRPr="008F3B5A">
              <w:rPr>
                <w:rFonts w:ascii="Arial Narrow" w:hAnsi="Arial Narrow" w:cs="Arial"/>
                <w:b/>
                <w:sz w:val="20"/>
                <w:szCs w:val="18"/>
              </w:rPr>
              <w:t>2024</w:t>
            </w:r>
          </w:p>
        </w:tc>
        <w:tc>
          <w:tcPr>
            <w:tcW w:w="550" w:type="pct"/>
            <w:hideMark/>
          </w:tcPr>
          <w:p w14:paraId="430CDAFB"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Year 6</w:t>
            </w:r>
          </w:p>
          <w:p w14:paraId="5F39B83B" w14:textId="77777777" w:rsidR="00A40662" w:rsidRPr="008F3B5A" w:rsidRDefault="00A40662" w:rsidP="0094261C">
            <w:pPr>
              <w:keepNext/>
              <w:jc w:val="center"/>
              <w:rPr>
                <w:rFonts w:ascii="Arial Narrow" w:hAnsi="Arial Narrow" w:cs="Arial"/>
                <w:b/>
                <w:sz w:val="20"/>
                <w:szCs w:val="18"/>
              </w:rPr>
            </w:pPr>
            <w:r w:rsidRPr="008F3B5A">
              <w:rPr>
                <w:rFonts w:ascii="Arial Narrow" w:hAnsi="Arial Narrow" w:cs="Arial"/>
                <w:b/>
                <w:sz w:val="20"/>
                <w:szCs w:val="18"/>
              </w:rPr>
              <w:t>2025</w:t>
            </w:r>
          </w:p>
        </w:tc>
      </w:tr>
      <w:tr w:rsidR="004310C5" w:rsidRPr="008F3B5A" w14:paraId="43F03FDA" w14:textId="77777777" w:rsidTr="00480B0B">
        <w:trPr>
          <w:trHeight w:val="57"/>
        </w:trPr>
        <w:tc>
          <w:tcPr>
            <w:tcW w:w="1703" w:type="pct"/>
            <w:hideMark/>
          </w:tcPr>
          <w:p w14:paraId="5733A863" w14:textId="77777777" w:rsidR="004310C5" w:rsidRPr="008F3B5A" w:rsidRDefault="004310C5" w:rsidP="004310C5">
            <w:pPr>
              <w:spacing w:line="276" w:lineRule="auto"/>
              <w:rPr>
                <w:rFonts w:ascii="Arial Narrow" w:hAnsi="Arial Narrow" w:cs="Arial"/>
                <w:bCs/>
                <w:color w:val="000000"/>
                <w:sz w:val="20"/>
                <w:szCs w:val="18"/>
              </w:rPr>
            </w:pPr>
            <w:r w:rsidRPr="008F3B5A">
              <w:rPr>
                <w:rFonts w:ascii="Arial Narrow" w:hAnsi="Arial Narrow" w:cs="Arial"/>
                <w:bCs/>
                <w:color w:val="000000"/>
                <w:sz w:val="20"/>
                <w:szCs w:val="18"/>
              </w:rPr>
              <w:t>Patients who will utilise the test (n)</w:t>
            </w:r>
          </w:p>
        </w:tc>
        <w:tc>
          <w:tcPr>
            <w:tcW w:w="550" w:type="pct"/>
          </w:tcPr>
          <w:p w14:paraId="73CFD1E0" w14:textId="7841ED31" w:rsidR="004310C5" w:rsidRPr="008F3B5A" w:rsidRDefault="004310C5" w:rsidP="004310C5">
            <w:pPr>
              <w:keepNext/>
              <w:spacing w:line="276" w:lineRule="auto"/>
              <w:jc w:val="right"/>
              <w:rPr>
                <w:rFonts w:ascii="Arial Narrow" w:hAnsi="Arial Narrow" w:cs="Arial"/>
                <w:bCs/>
                <w:color w:val="000000"/>
                <w:sz w:val="20"/>
                <w:szCs w:val="18"/>
              </w:rPr>
            </w:pPr>
            <w:r w:rsidRPr="008F3B5A">
              <w:rPr>
                <w:rFonts w:ascii="Arial Narrow" w:hAnsi="Arial Narrow" w:cs="Arial"/>
                <w:color w:val="000000"/>
                <w:sz w:val="20"/>
                <w:szCs w:val="18"/>
              </w:rPr>
              <w:t xml:space="preserve">redacted </w:t>
            </w:r>
          </w:p>
        </w:tc>
        <w:tc>
          <w:tcPr>
            <w:tcW w:w="550" w:type="pct"/>
            <w:hideMark/>
          </w:tcPr>
          <w:p w14:paraId="06B37E82" w14:textId="7B323C9A" w:rsidR="004310C5" w:rsidRPr="008F3B5A" w:rsidRDefault="004310C5" w:rsidP="004310C5">
            <w:pPr>
              <w:keepNext/>
              <w:spacing w:line="276" w:lineRule="auto"/>
              <w:jc w:val="right"/>
              <w:rPr>
                <w:rFonts w:ascii="Arial Narrow" w:hAnsi="Arial Narrow" w:cs="Arial"/>
                <w:bCs/>
                <w:color w:val="000000"/>
                <w:sz w:val="20"/>
                <w:szCs w:val="18"/>
              </w:rPr>
            </w:pPr>
            <w:r w:rsidRPr="008F3B5A">
              <w:rPr>
                <w:rFonts w:ascii="Arial Narrow" w:hAnsi="Arial Narrow" w:cs="Arial"/>
                <w:color w:val="000000"/>
                <w:sz w:val="20"/>
                <w:szCs w:val="18"/>
              </w:rPr>
              <w:t xml:space="preserve">redacted </w:t>
            </w:r>
          </w:p>
        </w:tc>
        <w:tc>
          <w:tcPr>
            <w:tcW w:w="550" w:type="pct"/>
            <w:hideMark/>
          </w:tcPr>
          <w:p w14:paraId="2F08E5B8" w14:textId="63EC05B1" w:rsidR="004310C5" w:rsidRPr="008F3B5A" w:rsidRDefault="004310C5" w:rsidP="004310C5">
            <w:pPr>
              <w:keepNext/>
              <w:spacing w:line="276" w:lineRule="auto"/>
              <w:jc w:val="right"/>
              <w:rPr>
                <w:rFonts w:ascii="Arial Narrow" w:hAnsi="Arial Narrow" w:cs="Arial"/>
                <w:bCs/>
                <w:color w:val="000000"/>
                <w:sz w:val="20"/>
                <w:szCs w:val="18"/>
              </w:rPr>
            </w:pPr>
            <w:r w:rsidRPr="008F3B5A">
              <w:rPr>
                <w:rFonts w:ascii="Arial Narrow" w:hAnsi="Arial Narrow" w:cs="Arial"/>
                <w:color w:val="000000"/>
                <w:sz w:val="20"/>
                <w:szCs w:val="18"/>
              </w:rPr>
              <w:t xml:space="preserve">redacted </w:t>
            </w:r>
          </w:p>
        </w:tc>
        <w:tc>
          <w:tcPr>
            <w:tcW w:w="550" w:type="pct"/>
            <w:hideMark/>
          </w:tcPr>
          <w:p w14:paraId="036188EF" w14:textId="42AC00B4" w:rsidR="004310C5" w:rsidRPr="008F3B5A" w:rsidRDefault="004310C5" w:rsidP="004310C5">
            <w:pPr>
              <w:keepNext/>
              <w:spacing w:line="276" w:lineRule="auto"/>
              <w:jc w:val="right"/>
              <w:rPr>
                <w:rFonts w:ascii="Arial Narrow" w:hAnsi="Arial Narrow" w:cs="Arial"/>
                <w:bCs/>
                <w:color w:val="000000"/>
                <w:sz w:val="20"/>
                <w:szCs w:val="18"/>
              </w:rPr>
            </w:pPr>
            <w:r w:rsidRPr="008F3B5A">
              <w:rPr>
                <w:rFonts w:ascii="Arial Narrow" w:hAnsi="Arial Narrow" w:cs="Arial"/>
                <w:color w:val="000000"/>
                <w:sz w:val="20"/>
                <w:szCs w:val="18"/>
              </w:rPr>
              <w:t xml:space="preserve">redacted </w:t>
            </w:r>
          </w:p>
        </w:tc>
        <w:tc>
          <w:tcPr>
            <w:tcW w:w="550" w:type="pct"/>
            <w:hideMark/>
          </w:tcPr>
          <w:p w14:paraId="4FCED812" w14:textId="36391820" w:rsidR="004310C5" w:rsidRPr="008F3B5A" w:rsidRDefault="004310C5" w:rsidP="004310C5">
            <w:pPr>
              <w:keepNext/>
              <w:spacing w:line="276" w:lineRule="auto"/>
              <w:jc w:val="right"/>
              <w:rPr>
                <w:rFonts w:ascii="Arial Narrow" w:hAnsi="Arial Narrow" w:cs="Arial"/>
                <w:bCs/>
                <w:color w:val="000000"/>
                <w:sz w:val="20"/>
                <w:szCs w:val="18"/>
              </w:rPr>
            </w:pPr>
            <w:r w:rsidRPr="008F3B5A">
              <w:rPr>
                <w:rFonts w:ascii="Arial Narrow" w:hAnsi="Arial Narrow" w:cs="Arial"/>
                <w:color w:val="000000"/>
                <w:sz w:val="20"/>
                <w:szCs w:val="18"/>
              </w:rPr>
              <w:t xml:space="preserve">redacted </w:t>
            </w:r>
          </w:p>
        </w:tc>
        <w:tc>
          <w:tcPr>
            <w:tcW w:w="550" w:type="pct"/>
            <w:hideMark/>
          </w:tcPr>
          <w:p w14:paraId="4D43FA90" w14:textId="2E8C072F" w:rsidR="004310C5" w:rsidRPr="008F3B5A" w:rsidRDefault="004310C5" w:rsidP="004310C5">
            <w:pPr>
              <w:keepNext/>
              <w:spacing w:line="276" w:lineRule="auto"/>
              <w:jc w:val="right"/>
              <w:rPr>
                <w:rFonts w:ascii="Arial Narrow" w:hAnsi="Arial Narrow" w:cs="Arial"/>
                <w:bCs/>
                <w:color w:val="000000"/>
                <w:sz w:val="20"/>
                <w:szCs w:val="18"/>
              </w:rPr>
            </w:pPr>
            <w:r w:rsidRPr="008F3B5A">
              <w:rPr>
                <w:rFonts w:ascii="Arial Narrow" w:hAnsi="Arial Narrow" w:cs="Arial"/>
                <w:color w:val="000000"/>
                <w:sz w:val="20"/>
                <w:szCs w:val="18"/>
              </w:rPr>
              <w:t xml:space="preserve">redacted </w:t>
            </w:r>
          </w:p>
        </w:tc>
      </w:tr>
      <w:tr w:rsidR="004310C5" w:rsidRPr="008F3B5A" w14:paraId="10D7922F" w14:textId="77777777" w:rsidTr="00480B0B">
        <w:trPr>
          <w:trHeight w:val="57"/>
        </w:trPr>
        <w:tc>
          <w:tcPr>
            <w:tcW w:w="1703" w:type="pct"/>
            <w:hideMark/>
          </w:tcPr>
          <w:p w14:paraId="72CE6A5B" w14:textId="0611DB0A" w:rsidR="004310C5" w:rsidRPr="008F3B5A" w:rsidRDefault="004310C5" w:rsidP="004310C5">
            <w:pPr>
              <w:spacing w:line="276" w:lineRule="auto"/>
              <w:rPr>
                <w:rFonts w:ascii="Arial Narrow" w:hAnsi="Arial Narrow" w:cs="Arial"/>
                <w:sz w:val="20"/>
                <w:szCs w:val="18"/>
              </w:rPr>
            </w:pPr>
            <w:r w:rsidRPr="008F3B5A">
              <w:rPr>
                <w:rFonts w:ascii="Arial Narrow" w:hAnsi="Arial Narrow" w:cs="Arial"/>
                <w:sz w:val="20"/>
                <w:szCs w:val="18"/>
              </w:rPr>
              <w:t>Fee for MBS 73343 with 85% benefit ($)</w:t>
            </w:r>
          </w:p>
        </w:tc>
        <w:tc>
          <w:tcPr>
            <w:tcW w:w="550" w:type="pct"/>
          </w:tcPr>
          <w:p w14:paraId="73D30EEE" w14:textId="038BEA29" w:rsidR="004310C5" w:rsidRPr="008F3B5A" w:rsidRDefault="004310C5" w:rsidP="004310C5">
            <w:pPr>
              <w:keepNext/>
              <w:spacing w:line="276" w:lineRule="auto"/>
              <w:jc w:val="right"/>
              <w:rPr>
                <w:rFonts w:ascii="Arial Narrow" w:hAnsi="Arial Narrow" w:cs="Arial"/>
                <w:sz w:val="20"/>
                <w:szCs w:val="18"/>
              </w:rPr>
            </w:pPr>
            <w:r w:rsidRPr="008F3B5A">
              <w:rPr>
                <w:rFonts w:ascii="Arial Narrow" w:hAnsi="Arial Narrow" w:cs="Arial"/>
                <w:color w:val="000000"/>
                <w:sz w:val="20"/>
                <w:szCs w:val="18"/>
              </w:rPr>
              <w:t>$redacted</w:t>
            </w:r>
          </w:p>
        </w:tc>
        <w:tc>
          <w:tcPr>
            <w:tcW w:w="550" w:type="pct"/>
            <w:hideMark/>
          </w:tcPr>
          <w:p w14:paraId="02F0B3A1" w14:textId="12B5BA4B" w:rsidR="004310C5" w:rsidRPr="008F3B5A" w:rsidRDefault="004310C5" w:rsidP="004310C5">
            <w:pPr>
              <w:keepNext/>
              <w:spacing w:line="276" w:lineRule="auto"/>
              <w:jc w:val="right"/>
              <w:rPr>
                <w:rFonts w:ascii="Arial Narrow" w:hAnsi="Arial Narrow" w:cs="Arial"/>
                <w:sz w:val="20"/>
                <w:szCs w:val="18"/>
              </w:rPr>
            </w:pPr>
            <w:r w:rsidRPr="008F3B5A">
              <w:rPr>
                <w:rFonts w:ascii="Arial Narrow" w:hAnsi="Arial Narrow" w:cs="Arial"/>
                <w:color w:val="000000"/>
                <w:sz w:val="20"/>
                <w:szCs w:val="18"/>
              </w:rPr>
              <w:t>$redacted</w:t>
            </w:r>
          </w:p>
        </w:tc>
        <w:tc>
          <w:tcPr>
            <w:tcW w:w="550" w:type="pct"/>
            <w:hideMark/>
          </w:tcPr>
          <w:p w14:paraId="6727E201" w14:textId="211CE926" w:rsidR="004310C5" w:rsidRPr="008F3B5A" w:rsidRDefault="004310C5" w:rsidP="004310C5">
            <w:pPr>
              <w:keepNext/>
              <w:spacing w:line="276" w:lineRule="auto"/>
              <w:jc w:val="right"/>
              <w:rPr>
                <w:rFonts w:ascii="Arial Narrow" w:hAnsi="Arial Narrow" w:cs="Arial"/>
                <w:sz w:val="20"/>
                <w:szCs w:val="18"/>
              </w:rPr>
            </w:pPr>
            <w:r w:rsidRPr="008F3B5A">
              <w:rPr>
                <w:rFonts w:ascii="Arial Narrow" w:hAnsi="Arial Narrow" w:cs="Arial"/>
                <w:color w:val="000000"/>
                <w:sz w:val="20"/>
                <w:szCs w:val="18"/>
              </w:rPr>
              <w:t>$redacted</w:t>
            </w:r>
          </w:p>
        </w:tc>
        <w:tc>
          <w:tcPr>
            <w:tcW w:w="550" w:type="pct"/>
            <w:hideMark/>
          </w:tcPr>
          <w:p w14:paraId="00163B41" w14:textId="5D8CFA85" w:rsidR="004310C5" w:rsidRPr="008F3B5A" w:rsidRDefault="004310C5" w:rsidP="004310C5">
            <w:pPr>
              <w:keepNext/>
              <w:spacing w:line="276" w:lineRule="auto"/>
              <w:jc w:val="right"/>
              <w:rPr>
                <w:rFonts w:ascii="Arial Narrow" w:hAnsi="Arial Narrow" w:cs="Arial"/>
                <w:sz w:val="20"/>
                <w:szCs w:val="18"/>
              </w:rPr>
            </w:pPr>
            <w:r w:rsidRPr="008F3B5A">
              <w:rPr>
                <w:rFonts w:ascii="Arial Narrow" w:hAnsi="Arial Narrow" w:cs="Arial"/>
                <w:color w:val="000000"/>
                <w:sz w:val="20"/>
                <w:szCs w:val="18"/>
              </w:rPr>
              <w:t>$redacted</w:t>
            </w:r>
          </w:p>
        </w:tc>
        <w:tc>
          <w:tcPr>
            <w:tcW w:w="550" w:type="pct"/>
            <w:hideMark/>
          </w:tcPr>
          <w:p w14:paraId="6FEBCC88" w14:textId="65BF163B" w:rsidR="004310C5" w:rsidRPr="008F3B5A" w:rsidRDefault="004310C5" w:rsidP="004310C5">
            <w:pPr>
              <w:keepNext/>
              <w:spacing w:line="276" w:lineRule="auto"/>
              <w:jc w:val="right"/>
              <w:rPr>
                <w:rFonts w:ascii="Arial Narrow" w:hAnsi="Arial Narrow" w:cs="Arial"/>
                <w:sz w:val="20"/>
                <w:szCs w:val="18"/>
              </w:rPr>
            </w:pPr>
            <w:r w:rsidRPr="008F3B5A">
              <w:rPr>
                <w:rFonts w:ascii="Arial Narrow" w:hAnsi="Arial Narrow" w:cs="Arial"/>
                <w:color w:val="000000"/>
                <w:sz w:val="20"/>
                <w:szCs w:val="18"/>
              </w:rPr>
              <w:t>$redacted</w:t>
            </w:r>
          </w:p>
        </w:tc>
        <w:tc>
          <w:tcPr>
            <w:tcW w:w="550" w:type="pct"/>
            <w:hideMark/>
          </w:tcPr>
          <w:p w14:paraId="441265C8" w14:textId="0D310353" w:rsidR="004310C5" w:rsidRPr="008F3B5A" w:rsidRDefault="004310C5" w:rsidP="004310C5">
            <w:pPr>
              <w:keepNext/>
              <w:spacing w:line="276" w:lineRule="auto"/>
              <w:jc w:val="right"/>
              <w:rPr>
                <w:rFonts w:ascii="Arial Narrow" w:hAnsi="Arial Narrow" w:cs="Arial"/>
                <w:sz w:val="20"/>
                <w:szCs w:val="18"/>
              </w:rPr>
            </w:pPr>
            <w:r w:rsidRPr="008F3B5A">
              <w:rPr>
                <w:rFonts w:ascii="Arial Narrow" w:hAnsi="Arial Narrow" w:cs="Arial"/>
                <w:color w:val="000000"/>
                <w:sz w:val="20"/>
                <w:szCs w:val="18"/>
              </w:rPr>
              <w:t>$redacted</w:t>
            </w:r>
          </w:p>
        </w:tc>
      </w:tr>
      <w:tr w:rsidR="004310C5" w:rsidRPr="008F3B5A" w14:paraId="1BCE8FAC" w14:textId="77777777" w:rsidTr="00480B0B">
        <w:trPr>
          <w:trHeight w:val="57"/>
        </w:trPr>
        <w:tc>
          <w:tcPr>
            <w:tcW w:w="1703" w:type="pct"/>
            <w:hideMark/>
          </w:tcPr>
          <w:p w14:paraId="390FD776" w14:textId="77777777" w:rsidR="004310C5" w:rsidRPr="008F3B5A" w:rsidRDefault="004310C5" w:rsidP="004310C5">
            <w:pPr>
              <w:spacing w:line="276" w:lineRule="auto"/>
              <w:rPr>
                <w:rFonts w:ascii="Arial Narrow" w:hAnsi="Arial Narrow" w:cs="Arial"/>
                <w:b/>
                <w:sz w:val="20"/>
                <w:szCs w:val="18"/>
              </w:rPr>
            </w:pPr>
            <w:r w:rsidRPr="008F3B5A">
              <w:rPr>
                <w:rFonts w:ascii="Arial Narrow" w:hAnsi="Arial Narrow" w:cs="Arial"/>
                <w:b/>
                <w:sz w:val="20"/>
                <w:szCs w:val="18"/>
              </w:rPr>
              <w:t>Total ($)</w:t>
            </w:r>
          </w:p>
        </w:tc>
        <w:tc>
          <w:tcPr>
            <w:tcW w:w="550" w:type="pct"/>
          </w:tcPr>
          <w:p w14:paraId="2FC9A129" w14:textId="683C3839" w:rsidR="004310C5" w:rsidRPr="008F3B5A" w:rsidRDefault="004310C5" w:rsidP="004310C5">
            <w:pPr>
              <w:keepNext/>
              <w:spacing w:line="276" w:lineRule="auto"/>
              <w:jc w:val="right"/>
              <w:rPr>
                <w:rFonts w:ascii="Arial Narrow" w:hAnsi="Arial Narrow" w:cs="Arial"/>
                <w:b/>
                <w:color w:val="000000"/>
                <w:sz w:val="20"/>
                <w:szCs w:val="18"/>
              </w:rPr>
            </w:pPr>
            <w:r w:rsidRPr="008F3B5A">
              <w:rPr>
                <w:rFonts w:ascii="Arial Narrow" w:hAnsi="Arial Narrow" w:cs="Arial"/>
                <w:b/>
                <w:color w:val="000000"/>
                <w:sz w:val="20"/>
                <w:szCs w:val="18"/>
              </w:rPr>
              <w:t>$redacted</w:t>
            </w:r>
          </w:p>
        </w:tc>
        <w:tc>
          <w:tcPr>
            <w:tcW w:w="550" w:type="pct"/>
            <w:hideMark/>
          </w:tcPr>
          <w:p w14:paraId="65386CD2" w14:textId="019A4933" w:rsidR="004310C5" w:rsidRPr="008F3B5A" w:rsidRDefault="004310C5" w:rsidP="004310C5">
            <w:pPr>
              <w:keepNext/>
              <w:spacing w:line="276" w:lineRule="auto"/>
              <w:jc w:val="right"/>
              <w:rPr>
                <w:rFonts w:ascii="Arial Narrow" w:hAnsi="Arial Narrow" w:cs="Arial"/>
                <w:b/>
                <w:color w:val="000000"/>
                <w:sz w:val="20"/>
                <w:szCs w:val="18"/>
              </w:rPr>
            </w:pPr>
            <w:r w:rsidRPr="008F3B5A">
              <w:rPr>
                <w:rFonts w:ascii="Arial Narrow" w:hAnsi="Arial Narrow" w:cs="Arial"/>
                <w:b/>
                <w:color w:val="000000"/>
                <w:sz w:val="20"/>
                <w:szCs w:val="18"/>
              </w:rPr>
              <w:t>$redacted</w:t>
            </w:r>
          </w:p>
        </w:tc>
        <w:tc>
          <w:tcPr>
            <w:tcW w:w="550" w:type="pct"/>
            <w:hideMark/>
          </w:tcPr>
          <w:p w14:paraId="40B3A6B4" w14:textId="19946980" w:rsidR="004310C5" w:rsidRPr="008F3B5A" w:rsidRDefault="004310C5" w:rsidP="004310C5">
            <w:pPr>
              <w:keepNext/>
              <w:spacing w:line="276" w:lineRule="auto"/>
              <w:jc w:val="right"/>
              <w:rPr>
                <w:rFonts w:ascii="Arial Narrow" w:hAnsi="Arial Narrow" w:cs="Arial"/>
                <w:b/>
                <w:color w:val="000000"/>
                <w:sz w:val="20"/>
                <w:szCs w:val="18"/>
              </w:rPr>
            </w:pPr>
            <w:r w:rsidRPr="008F3B5A">
              <w:rPr>
                <w:rFonts w:ascii="Arial Narrow" w:hAnsi="Arial Narrow" w:cs="Arial"/>
                <w:b/>
                <w:color w:val="000000"/>
                <w:sz w:val="20"/>
                <w:szCs w:val="18"/>
              </w:rPr>
              <w:t>$redacted</w:t>
            </w:r>
          </w:p>
        </w:tc>
        <w:tc>
          <w:tcPr>
            <w:tcW w:w="550" w:type="pct"/>
            <w:hideMark/>
          </w:tcPr>
          <w:p w14:paraId="470F2F3E" w14:textId="337595AC" w:rsidR="004310C5" w:rsidRPr="008F3B5A" w:rsidRDefault="004310C5" w:rsidP="004310C5">
            <w:pPr>
              <w:keepNext/>
              <w:spacing w:line="276" w:lineRule="auto"/>
              <w:jc w:val="right"/>
              <w:rPr>
                <w:rFonts w:ascii="Arial Narrow" w:hAnsi="Arial Narrow" w:cs="Arial"/>
                <w:b/>
                <w:color w:val="000000"/>
                <w:sz w:val="20"/>
                <w:szCs w:val="18"/>
              </w:rPr>
            </w:pPr>
            <w:r w:rsidRPr="008F3B5A">
              <w:rPr>
                <w:rFonts w:ascii="Arial Narrow" w:hAnsi="Arial Narrow" w:cs="Arial"/>
                <w:b/>
                <w:color w:val="000000"/>
                <w:sz w:val="20"/>
                <w:szCs w:val="18"/>
              </w:rPr>
              <w:t>$redacted</w:t>
            </w:r>
          </w:p>
        </w:tc>
        <w:tc>
          <w:tcPr>
            <w:tcW w:w="550" w:type="pct"/>
            <w:hideMark/>
          </w:tcPr>
          <w:p w14:paraId="2C942DEC" w14:textId="14D862F7" w:rsidR="004310C5" w:rsidRPr="008F3B5A" w:rsidRDefault="004310C5" w:rsidP="004310C5">
            <w:pPr>
              <w:keepNext/>
              <w:spacing w:line="276" w:lineRule="auto"/>
              <w:jc w:val="right"/>
              <w:rPr>
                <w:rFonts w:ascii="Arial Narrow" w:hAnsi="Arial Narrow" w:cs="Arial"/>
                <w:b/>
                <w:color w:val="000000"/>
                <w:sz w:val="20"/>
                <w:szCs w:val="18"/>
              </w:rPr>
            </w:pPr>
            <w:r w:rsidRPr="008F3B5A">
              <w:rPr>
                <w:rFonts w:ascii="Arial Narrow" w:hAnsi="Arial Narrow" w:cs="Arial"/>
                <w:b/>
                <w:color w:val="000000"/>
                <w:sz w:val="20"/>
                <w:szCs w:val="18"/>
              </w:rPr>
              <w:t>$redacted</w:t>
            </w:r>
          </w:p>
        </w:tc>
        <w:tc>
          <w:tcPr>
            <w:tcW w:w="550" w:type="pct"/>
            <w:hideMark/>
          </w:tcPr>
          <w:p w14:paraId="4BB28CC0" w14:textId="1BFFD3BC" w:rsidR="004310C5" w:rsidRPr="008F3B5A" w:rsidRDefault="004310C5" w:rsidP="004310C5">
            <w:pPr>
              <w:keepNext/>
              <w:spacing w:line="276" w:lineRule="auto"/>
              <w:jc w:val="right"/>
              <w:rPr>
                <w:rFonts w:ascii="Arial Narrow" w:hAnsi="Arial Narrow" w:cs="Arial"/>
                <w:b/>
                <w:color w:val="000000"/>
                <w:sz w:val="20"/>
                <w:szCs w:val="18"/>
              </w:rPr>
            </w:pPr>
            <w:r w:rsidRPr="008F3B5A">
              <w:rPr>
                <w:rFonts w:ascii="Arial Narrow" w:hAnsi="Arial Narrow" w:cs="Arial"/>
                <w:b/>
                <w:color w:val="000000"/>
                <w:sz w:val="20"/>
                <w:szCs w:val="18"/>
              </w:rPr>
              <w:t>$redacted</w:t>
            </w:r>
          </w:p>
        </w:tc>
      </w:tr>
    </w:tbl>
    <w:p w14:paraId="5E6A7EDE" w14:textId="77777777" w:rsidR="00A40662" w:rsidRPr="00BB36BA" w:rsidRDefault="00A40662" w:rsidP="00BB36BA">
      <w:pPr>
        <w:tabs>
          <w:tab w:val="left" w:pos="709"/>
        </w:tabs>
        <w:ind w:left="709" w:hanging="709"/>
        <w:rPr>
          <w:rFonts w:ascii="Arial Narrow" w:hAnsi="Arial Narrow" w:cs="Arial"/>
          <w:iCs/>
          <w:sz w:val="18"/>
          <w:szCs w:val="22"/>
        </w:rPr>
      </w:pPr>
      <w:r w:rsidRPr="008F3B5A">
        <w:rPr>
          <w:rFonts w:ascii="Arial Narrow" w:hAnsi="Arial Narrow" w:cs="Arial"/>
          <w:iCs/>
          <w:sz w:val="18"/>
        </w:rPr>
        <w:t xml:space="preserve">Source: </w:t>
      </w:r>
      <w:r w:rsidRPr="008F3B5A">
        <w:rPr>
          <w:rFonts w:ascii="Arial Narrow" w:hAnsi="Arial Narrow" w:cs="Arial"/>
          <w:iCs/>
          <w:sz w:val="18"/>
        </w:rPr>
        <w:tab/>
        <w:t>Table 5.1, p13 of the pre-MSAC response</w:t>
      </w:r>
    </w:p>
    <w:p w14:paraId="3691EC22" w14:textId="77777777" w:rsidR="000B638D" w:rsidRPr="00F715D1" w:rsidRDefault="000B638D" w:rsidP="00A40662">
      <w:pPr>
        <w:pStyle w:val="Heading1"/>
      </w:pPr>
      <w:r w:rsidRPr="00F715D1">
        <w:t>Applicant’s comments on MSAC’s Public Summary Document</w:t>
      </w:r>
    </w:p>
    <w:p w14:paraId="171C93E5" w14:textId="7D6FA22B" w:rsidR="000B638D" w:rsidRPr="008F3B5A" w:rsidRDefault="000B638D" w:rsidP="000B638D">
      <w:pPr>
        <w:spacing w:after="240"/>
        <w:rPr>
          <w:szCs w:val="24"/>
        </w:rPr>
      </w:pPr>
      <w:r w:rsidRPr="008F3B5A">
        <w:rPr>
          <w:szCs w:val="24"/>
        </w:rPr>
        <w:t xml:space="preserve">The </w:t>
      </w:r>
      <w:r w:rsidR="00440FB8" w:rsidRPr="008F3B5A">
        <w:rPr>
          <w:szCs w:val="24"/>
        </w:rPr>
        <w:t>applicant had no comment.</w:t>
      </w:r>
    </w:p>
    <w:p w14:paraId="3E626CDE" w14:textId="77777777" w:rsidR="000B638D" w:rsidRPr="00F715D1" w:rsidRDefault="000B638D" w:rsidP="000B638D">
      <w:pPr>
        <w:pStyle w:val="Heading1"/>
      </w:pPr>
      <w:r w:rsidRPr="00F715D1">
        <w:t>Further information on MSAC</w:t>
      </w:r>
    </w:p>
    <w:p w14:paraId="60F74EB9" w14:textId="77777777" w:rsidR="00280050" w:rsidRPr="00BB36BA" w:rsidRDefault="000B638D" w:rsidP="00BB36BA">
      <w:pPr>
        <w:spacing w:after="240"/>
        <w:rPr>
          <w:szCs w:val="24"/>
        </w:rPr>
      </w:pPr>
      <w:r w:rsidRPr="00F715D1">
        <w:rPr>
          <w:szCs w:val="24"/>
        </w:rPr>
        <w:t xml:space="preserve">MSAC Terms of Reference and other information are available on the MSAC Website: </w:t>
      </w:r>
      <w:r>
        <w:rPr>
          <w:szCs w:val="24"/>
        </w:rPr>
        <w:br/>
      </w:r>
      <w:hyperlink r:id="rId11" w:tooltip="Link to Medical Services Advisory Committee website" w:history="1">
        <w:r w:rsidRPr="00F715D1">
          <w:rPr>
            <w:rStyle w:val="Hyperlink"/>
            <w:szCs w:val="24"/>
          </w:rPr>
          <w:t>visit the MSAC website</w:t>
        </w:r>
      </w:hyperlink>
    </w:p>
    <w:sectPr w:rsidR="00280050" w:rsidRPr="00BB36BA" w:rsidSect="0094261C">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D642A" w16cid:durableId="21E79B2D"/>
  <w16cid:commentId w16cid:paraId="323FACA8" w16cid:durableId="21E69FFD"/>
  <w16cid:commentId w16cid:paraId="43813571" w16cid:durableId="21E555D5"/>
  <w16cid:commentId w16cid:paraId="78DE92BB" w16cid:durableId="21E79BE9"/>
  <w16cid:commentId w16cid:paraId="4676B4B0" w16cid:durableId="21E5186A"/>
  <w16cid:commentId w16cid:paraId="7D05C9AF" w16cid:durableId="21E5192F"/>
  <w16cid:commentId w16cid:paraId="34BDD4E9" w16cid:durableId="21E51A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28C39" w14:textId="77777777" w:rsidR="0094261C" w:rsidRDefault="0094261C">
      <w:r>
        <w:separator/>
      </w:r>
    </w:p>
  </w:endnote>
  <w:endnote w:type="continuationSeparator" w:id="0">
    <w:p w14:paraId="16B87F6F" w14:textId="77777777" w:rsidR="0094261C" w:rsidRDefault="0094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5AB0" w14:textId="77777777" w:rsidR="00B43AE1" w:rsidRDefault="00B43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05CB9026" w14:textId="7B9B68D1" w:rsidR="0094261C" w:rsidRDefault="0094261C">
        <w:pPr>
          <w:pStyle w:val="Footer"/>
          <w:jc w:val="right"/>
        </w:pPr>
        <w:r>
          <w:fldChar w:fldCharType="begin"/>
        </w:r>
        <w:r>
          <w:instrText xml:space="preserve"> PAGE   \* MERGEFORMAT </w:instrText>
        </w:r>
        <w:r>
          <w:fldChar w:fldCharType="separate"/>
        </w:r>
        <w:r w:rsidR="004470CA">
          <w:rPr>
            <w:noProof/>
          </w:rPr>
          <w:t>6</w:t>
        </w:r>
        <w:r>
          <w:rPr>
            <w:noProof/>
          </w:rPr>
          <w:fldChar w:fldCharType="end"/>
        </w:r>
      </w:p>
    </w:sdtContent>
  </w:sdt>
  <w:p w14:paraId="6D65C35D" w14:textId="77777777" w:rsidR="0094261C" w:rsidRDefault="00942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6133" w14:textId="77777777" w:rsidR="00B43AE1" w:rsidRDefault="00B43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C3857" w14:textId="77777777" w:rsidR="0094261C" w:rsidRDefault="0094261C">
      <w:r>
        <w:separator/>
      </w:r>
    </w:p>
  </w:footnote>
  <w:footnote w:type="continuationSeparator" w:id="0">
    <w:p w14:paraId="16FF2E9B" w14:textId="77777777" w:rsidR="0094261C" w:rsidRDefault="0094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CB10" w14:textId="77777777" w:rsidR="00B43AE1" w:rsidRDefault="00B43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7ADA" w14:textId="77777777" w:rsidR="00B43AE1" w:rsidRDefault="00B43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B86A" w14:textId="77777777" w:rsidR="00B43AE1" w:rsidRDefault="00B4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A45A4D"/>
    <w:multiLevelType w:val="hybridMultilevel"/>
    <w:tmpl w:val="E5B04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201590"/>
    <w:multiLevelType w:val="hybridMultilevel"/>
    <w:tmpl w:val="F8522C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C22E25"/>
    <w:multiLevelType w:val="hybridMultilevel"/>
    <w:tmpl w:val="0010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8D"/>
    <w:rsid w:val="00021A0E"/>
    <w:rsid w:val="00034E55"/>
    <w:rsid w:val="000471AF"/>
    <w:rsid w:val="00055389"/>
    <w:rsid w:val="00076DC6"/>
    <w:rsid w:val="000A544F"/>
    <w:rsid w:val="000A7D35"/>
    <w:rsid w:val="000B638D"/>
    <w:rsid w:val="000F61A3"/>
    <w:rsid w:val="001C4B17"/>
    <w:rsid w:val="001C5A46"/>
    <w:rsid w:val="001D44D1"/>
    <w:rsid w:val="0020357B"/>
    <w:rsid w:val="00221EB4"/>
    <w:rsid w:val="00225989"/>
    <w:rsid w:val="00255D80"/>
    <w:rsid w:val="0025638C"/>
    <w:rsid w:val="00256794"/>
    <w:rsid w:val="002658C4"/>
    <w:rsid w:val="00280050"/>
    <w:rsid w:val="00283426"/>
    <w:rsid w:val="002C5DA7"/>
    <w:rsid w:val="0031665C"/>
    <w:rsid w:val="00317059"/>
    <w:rsid w:val="00331A9A"/>
    <w:rsid w:val="00347F49"/>
    <w:rsid w:val="003A1C70"/>
    <w:rsid w:val="004310C5"/>
    <w:rsid w:val="00440FB8"/>
    <w:rsid w:val="004470CA"/>
    <w:rsid w:val="0045109F"/>
    <w:rsid w:val="00475B8C"/>
    <w:rsid w:val="00480B0B"/>
    <w:rsid w:val="004D3C03"/>
    <w:rsid w:val="005334E6"/>
    <w:rsid w:val="0057282A"/>
    <w:rsid w:val="005771AA"/>
    <w:rsid w:val="005C7608"/>
    <w:rsid w:val="00623237"/>
    <w:rsid w:val="006B0651"/>
    <w:rsid w:val="006F3227"/>
    <w:rsid w:val="007137EF"/>
    <w:rsid w:val="0071504B"/>
    <w:rsid w:val="00725097"/>
    <w:rsid w:val="00732A99"/>
    <w:rsid w:val="007611B4"/>
    <w:rsid w:val="00794B2F"/>
    <w:rsid w:val="00797357"/>
    <w:rsid w:val="007B625C"/>
    <w:rsid w:val="007D0C1E"/>
    <w:rsid w:val="007F6A49"/>
    <w:rsid w:val="00804EAE"/>
    <w:rsid w:val="00806BC7"/>
    <w:rsid w:val="00824F3C"/>
    <w:rsid w:val="0084086B"/>
    <w:rsid w:val="008820E5"/>
    <w:rsid w:val="00887F58"/>
    <w:rsid w:val="008C72FC"/>
    <w:rsid w:val="008D1C7D"/>
    <w:rsid w:val="008F3B5A"/>
    <w:rsid w:val="00922B96"/>
    <w:rsid w:val="0094261C"/>
    <w:rsid w:val="009646CE"/>
    <w:rsid w:val="00982B14"/>
    <w:rsid w:val="0098770B"/>
    <w:rsid w:val="009B07B7"/>
    <w:rsid w:val="009C295A"/>
    <w:rsid w:val="00A31D3E"/>
    <w:rsid w:val="00A40662"/>
    <w:rsid w:val="00AA2A54"/>
    <w:rsid w:val="00AB4A47"/>
    <w:rsid w:val="00AC6C97"/>
    <w:rsid w:val="00AE25EE"/>
    <w:rsid w:val="00B43AE1"/>
    <w:rsid w:val="00B51C75"/>
    <w:rsid w:val="00B73B2F"/>
    <w:rsid w:val="00B921D3"/>
    <w:rsid w:val="00BA5960"/>
    <w:rsid w:val="00BB36BA"/>
    <w:rsid w:val="00BD4D5F"/>
    <w:rsid w:val="00BD7990"/>
    <w:rsid w:val="00BF5F58"/>
    <w:rsid w:val="00C67360"/>
    <w:rsid w:val="00C81580"/>
    <w:rsid w:val="00CC5909"/>
    <w:rsid w:val="00CE34F3"/>
    <w:rsid w:val="00D245BF"/>
    <w:rsid w:val="00D73807"/>
    <w:rsid w:val="00DA255F"/>
    <w:rsid w:val="00DB29CD"/>
    <w:rsid w:val="00DC1C49"/>
    <w:rsid w:val="00DD28E1"/>
    <w:rsid w:val="00DE4585"/>
    <w:rsid w:val="00DE48C1"/>
    <w:rsid w:val="00E5141A"/>
    <w:rsid w:val="00E51A08"/>
    <w:rsid w:val="00E72424"/>
    <w:rsid w:val="00E73132"/>
    <w:rsid w:val="00EB77BF"/>
    <w:rsid w:val="00F14D6C"/>
    <w:rsid w:val="00F17C45"/>
    <w:rsid w:val="00F2496E"/>
    <w:rsid w:val="00F86EBF"/>
    <w:rsid w:val="00F93DA9"/>
    <w:rsid w:val="00FD6FDF"/>
    <w:rsid w:val="00FD7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FB2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38D"/>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0B638D"/>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FD720B"/>
    <w:pPr>
      <w:keepNext/>
      <w:keepLines/>
      <w:spacing w:before="20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638D"/>
    <w:rPr>
      <w:rFonts w:ascii="Arial" w:eastAsia="Times New Roman" w:hAnsi="Arial"/>
      <w:b/>
      <w:bCs/>
      <w:szCs w:val="28"/>
      <w:lang w:eastAsia="en-AU"/>
    </w:rPr>
  </w:style>
  <w:style w:type="character" w:styleId="Hyperlink">
    <w:name w:val="Hyperlink"/>
    <w:basedOn w:val="DefaultParagraphFont"/>
    <w:uiPriority w:val="99"/>
    <w:rsid w:val="000B638D"/>
    <w:rPr>
      <w:rFonts w:cs="Times New Roman"/>
      <w:color w:val="0000FF"/>
      <w:u w:val="single"/>
    </w:rPr>
  </w:style>
  <w:style w:type="paragraph" w:styleId="ListParagraph">
    <w:name w:val="List Paragraph"/>
    <w:basedOn w:val="Normal"/>
    <w:uiPriority w:val="99"/>
    <w:qFormat/>
    <w:rsid w:val="000B638D"/>
    <w:pPr>
      <w:ind w:left="720"/>
      <w:contextualSpacing/>
    </w:pPr>
  </w:style>
  <w:style w:type="paragraph" w:styleId="Footer">
    <w:name w:val="footer"/>
    <w:basedOn w:val="Normal"/>
    <w:link w:val="FooterChar"/>
    <w:uiPriority w:val="99"/>
    <w:rsid w:val="000B638D"/>
    <w:pPr>
      <w:tabs>
        <w:tab w:val="center" w:pos="4513"/>
        <w:tab w:val="right" w:pos="9026"/>
      </w:tabs>
    </w:pPr>
  </w:style>
  <w:style w:type="character" w:customStyle="1" w:styleId="FooterChar">
    <w:name w:val="Footer Char"/>
    <w:basedOn w:val="DefaultParagraphFont"/>
    <w:link w:val="Footer"/>
    <w:uiPriority w:val="99"/>
    <w:rsid w:val="000B638D"/>
    <w:rPr>
      <w:rFonts w:eastAsia="Times New Roman"/>
      <w:szCs w:val="20"/>
      <w:lang w:eastAsia="en-AU"/>
    </w:rPr>
  </w:style>
  <w:style w:type="paragraph" w:customStyle="1" w:styleId="Default">
    <w:name w:val="Default"/>
    <w:rsid w:val="000B638D"/>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0B638D"/>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0B638D"/>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0B638D"/>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0B638D"/>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FD720B"/>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57282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rsid w:val="00FD720B"/>
    <w:pPr>
      <w:spacing w:line="360" w:lineRule="auto"/>
      <w:jc w:val="both"/>
    </w:pPr>
    <w:rPr>
      <w:rFonts w:ascii="Arial" w:hAnsi="Arial"/>
      <w:b/>
      <w:bCs/>
      <w:sz w:val="20"/>
      <w:lang w:eastAsia="en-US"/>
    </w:rPr>
  </w:style>
  <w:style w:type="character" w:styleId="CommentReference">
    <w:name w:val="annotation reference"/>
    <w:basedOn w:val="DefaultParagraphFont"/>
    <w:uiPriority w:val="99"/>
    <w:semiHidden/>
    <w:unhideWhenUsed/>
    <w:rsid w:val="001C4B17"/>
    <w:rPr>
      <w:sz w:val="16"/>
      <w:szCs w:val="16"/>
    </w:rPr>
  </w:style>
  <w:style w:type="paragraph" w:styleId="CommentText">
    <w:name w:val="annotation text"/>
    <w:basedOn w:val="Normal"/>
    <w:link w:val="CommentTextChar"/>
    <w:uiPriority w:val="99"/>
    <w:semiHidden/>
    <w:unhideWhenUsed/>
    <w:rsid w:val="001C4B17"/>
    <w:rPr>
      <w:sz w:val="20"/>
    </w:rPr>
  </w:style>
  <w:style w:type="character" w:customStyle="1" w:styleId="CommentTextChar">
    <w:name w:val="Comment Text Char"/>
    <w:basedOn w:val="DefaultParagraphFont"/>
    <w:link w:val="CommentText"/>
    <w:uiPriority w:val="99"/>
    <w:semiHidden/>
    <w:rsid w:val="001C4B17"/>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C4B17"/>
    <w:rPr>
      <w:b/>
      <w:bCs/>
    </w:rPr>
  </w:style>
  <w:style w:type="character" w:customStyle="1" w:styleId="CommentSubjectChar">
    <w:name w:val="Comment Subject Char"/>
    <w:basedOn w:val="CommentTextChar"/>
    <w:link w:val="CommentSubject"/>
    <w:uiPriority w:val="99"/>
    <w:semiHidden/>
    <w:rsid w:val="001C4B17"/>
    <w:rPr>
      <w:rFonts w:eastAsia="Times New Roman"/>
      <w:b/>
      <w:bCs/>
      <w:sz w:val="20"/>
      <w:szCs w:val="20"/>
      <w:lang w:eastAsia="en-AU"/>
    </w:rPr>
  </w:style>
  <w:style w:type="paragraph" w:styleId="BalloonText">
    <w:name w:val="Balloon Text"/>
    <w:basedOn w:val="Normal"/>
    <w:link w:val="BalloonTextChar"/>
    <w:uiPriority w:val="99"/>
    <w:semiHidden/>
    <w:unhideWhenUsed/>
    <w:rsid w:val="001C4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B17"/>
    <w:rPr>
      <w:rFonts w:ascii="Segoe UI" w:eastAsia="Times New Roman" w:hAnsi="Segoe UI" w:cs="Segoe UI"/>
      <w:sz w:val="18"/>
      <w:szCs w:val="18"/>
      <w:lang w:eastAsia="en-AU"/>
    </w:rPr>
  </w:style>
  <w:style w:type="paragraph" w:customStyle="1" w:styleId="BoxText">
    <w:name w:val="BoxText"/>
    <w:basedOn w:val="Normal"/>
    <w:qFormat/>
    <w:rsid w:val="001D44D1"/>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Heading">
    <w:name w:val="BoxHeading"/>
    <w:basedOn w:val="BoxText"/>
    <w:rsid w:val="001D44D1"/>
    <w:pPr>
      <w:keepNext/>
      <w:spacing w:before="120" w:after="60"/>
    </w:pPr>
    <w:rPr>
      <w:b/>
      <w:bCs/>
    </w:rPr>
  </w:style>
  <w:style w:type="paragraph" w:customStyle="1" w:styleId="TableText">
    <w:name w:val="TableText"/>
    <w:basedOn w:val="Normal"/>
    <w:rsid w:val="001D44D1"/>
    <w:pPr>
      <w:keepNext/>
      <w:spacing w:before="60" w:after="60"/>
    </w:pPr>
    <w:rPr>
      <w:rFonts w:ascii="Arial Narrow" w:hAnsi="Arial Narrow"/>
      <w:color w:val="000000"/>
      <w:sz w:val="20"/>
      <w:szCs w:val="21"/>
    </w:rPr>
  </w:style>
  <w:style w:type="paragraph" w:styleId="Header">
    <w:name w:val="header"/>
    <w:basedOn w:val="Normal"/>
    <w:link w:val="HeaderChar"/>
    <w:uiPriority w:val="99"/>
    <w:unhideWhenUsed/>
    <w:rsid w:val="00C81580"/>
    <w:pPr>
      <w:tabs>
        <w:tab w:val="center" w:pos="4513"/>
        <w:tab w:val="right" w:pos="9026"/>
      </w:tabs>
    </w:pPr>
  </w:style>
  <w:style w:type="character" w:customStyle="1" w:styleId="HeaderChar">
    <w:name w:val="Header Char"/>
    <w:basedOn w:val="DefaultParagraphFont"/>
    <w:link w:val="Header"/>
    <w:uiPriority w:val="99"/>
    <w:rsid w:val="00C81580"/>
    <w:rPr>
      <w:rFonts w:eastAsia="Times New Roman"/>
      <w:szCs w:val="20"/>
      <w:lang w:eastAsia="en-AU"/>
    </w:rPr>
  </w:style>
  <w:style w:type="paragraph" w:styleId="Revision">
    <w:name w:val="Revision"/>
    <w:hidden/>
    <w:uiPriority w:val="99"/>
    <w:semiHidden/>
    <w:rsid w:val="005334E6"/>
    <w:pPr>
      <w:spacing w:after="0" w:line="240" w:lineRule="auto"/>
    </w:pPr>
    <w:rPr>
      <w:rFonts w:eastAsia="Times New Roman"/>
      <w:szCs w:val="20"/>
      <w:lang w:eastAsia="en-AU"/>
    </w:rPr>
  </w:style>
  <w:style w:type="character" w:styleId="FollowedHyperlink">
    <w:name w:val="FollowedHyperlink"/>
    <w:basedOn w:val="DefaultParagraphFont"/>
    <w:uiPriority w:val="99"/>
    <w:semiHidden/>
    <w:unhideWhenUsed/>
    <w:rsid w:val="00480B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56441">
      <w:bodyDiv w:val="1"/>
      <w:marLeft w:val="0"/>
      <w:marRight w:val="0"/>
      <w:marTop w:val="0"/>
      <w:marBottom w:val="0"/>
      <w:divBdr>
        <w:top w:val="none" w:sz="0" w:space="0" w:color="auto"/>
        <w:left w:val="none" w:sz="0" w:space="0" w:color="auto"/>
        <w:bottom w:val="none" w:sz="0" w:space="0" w:color="auto"/>
        <w:right w:val="none" w:sz="0" w:space="0" w:color="auto"/>
      </w:divBdr>
    </w:div>
    <w:div w:id="18520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cpaqap.com.au/product/molecular-haematology-module-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803A-CFD9-4F85-BAEF-A6E22E98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1560 Final PSD</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1560 Final PSD</dc:title>
  <dc:subject/>
  <dc:creator/>
  <cp:keywords/>
  <dc:description/>
  <cp:lastModifiedBy/>
  <cp:revision>1</cp:revision>
  <dcterms:created xsi:type="dcterms:W3CDTF">2020-02-28T04:56:00Z</dcterms:created>
  <dcterms:modified xsi:type="dcterms:W3CDTF">2020-03-02T03:47:00Z</dcterms:modified>
</cp:coreProperties>
</file>