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25" w:rsidRPr="00323092" w:rsidRDefault="003B5425" w:rsidP="00A806C0">
      <w:pPr>
        <w:spacing w:before="120" w:after="120" w:line="312" w:lineRule="auto"/>
        <w:jc w:val="center"/>
      </w:pPr>
      <w:bookmarkStart w:id="0" w:name="_Toc403747457"/>
      <w:bookmarkStart w:id="1" w:name="_Toc412039297"/>
      <w:r w:rsidRPr="008D5584">
        <w:rPr>
          <w:b/>
          <w:noProof/>
          <w:lang w:eastAsia="en-AU"/>
        </w:rPr>
        <w:drawing>
          <wp:inline distT="0" distB="0" distL="0" distR="0" wp14:anchorId="667D876B" wp14:editId="78C10C4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3B5425" w:rsidRPr="00F4622B" w:rsidRDefault="003B5425" w:rsidP="00A806C0">
      <w:pPr>
        <w:pStyle w:val="Heading10"/>
        <w:jc w:val="center"/>
        <w:rPr>
          <w:sz w:val="120"/>
          <w:szCs w:val="120"/>
        </w:rPr>
      </w:pPr>
    </w:p>
    <w:p w:rsidR="003B5425" w:rsidRDefault="003B5425" w:rsidP="00A806C0">
      <w:pPr>
        <w:pStyle w:val="Heading10"/>
        <w:jc w:val="center"/>
        <w:rPr>
          <w:sz w:val="48"/>
          <w:szCs w:val="48"/>
        </w:rPr>
      </w:pPr>
      <w:r>
        <w:rPr>
          <w:sz w:val="48"/>
          <w:szCs w:val="48"/>
        </w:rPr>
        <w:t>Application 1564:</w:t>
      </w:r>
    </w:p>
    <w:p w:rsidR="003B5425" w:rsidRPr="00303C94" w:rsidRDefault="003B5425" w:rsidP="00A806C0">
      <w:pPr>
        <w:pStyle w:val="Heading10"/>
        <w:jc w:val="center"/>
        <w:rPr>
          <w:sz w:val="48"/>
          <w:szCs w:val="48"/>
        </w:rPr>
      </w:pPr>
      <w:r>
        <w:rPr>
          <w:color w:val="548DD4"/>
          <w:sz w:val="48"/>
          <w:szCs w:val="48"/>
        </w:rPr>
        <w:t>Chronic Inflammatory Demyelinating Polyneuropathy (CIDP)</w:t>
      </w:r>
    </w:p>
    <w:p w:rsidR="003B5425" w:rsidRPr="00335590" w:rsidRDefault="003B5425" w:rsidP="00A806C0">
      <w:pPr>
        <w:pStyle w:val="Heading10"/>
        <w:tabs>
          <w:tab w:val="left" w:pos="5613"/>
        </w:tabs>
        <w:jc w:val="center"/>
        <w:rPr>
          <w:sz w:val="60"/>
          <w:szCs w:val="60"/>
        </w:rPr>
      </w:pPr>
    </w:p>
    <w:p w:rsidR="003B5425" w:rsidRPr="00D90977" w:rsidRDefault="003B5425" w:rsidP="00A806C0">
      <w:pPr>
        <w:pStyle w:val="Heading10"/>
        <w:jc w:val="center"/>
        <w:rPr>
          <w:noProof/>
          <w:sz w:val="72"/>
          <w:szCs w:val="72"/>
        </w:rPr>
      </w:pPr>
      <w:r w:rsidRPr="00D90977">
        <w:rPr>
          <w:noProof/>
          <w:sz w:val="72"/>
          <w:szCs w:val="72"/>
        </w:rPr>
        <w:t>PICO Confirmation</w:t>
      </w:r>
    </w:p>
    <w:p w:rsidR="003B5425" w:rsidRPr="00D90977" w:rsidRDefault="003B5425" w:rsidP="00A806C0">
      <w:pPr>
        <w:spacing w:before="180"/>
        <w:jc w:val="center"/>
        <w:rPr>
          <w:rFonts w:ascii="Arial" w:hAnsi="Arial" w:cs="Arial"/>
          <w:b/>
          <w:noProof/>
          <w:sz w:val="32"/>
          <w:szCs w:val="32"/>
        </w:rPr>
      </w:pPr>
      <w:r w:rsidRPr="00D90977">
        <w:rPr>
          <w:rFonts w:ascii="Arial" w:hAnsi="Arial" w:cs="Arial"/>
          <w:b/>
          <w:noProof/>
          <w:sz w:val="32"/>
          <w:szCs w:val="32"/>
        </w:rPr>
        <w:t xml:space="preserve">(to guide a new </w:t>
      </w:r>
      <w:r w:rsidR="00A66A1E">
        <w:rPr>
          <w:rFonts w:ascii="Arial" w:hAnsi="Arial" w:cs="Arial"/>
          <w:b/>
          <w:noProof/>
          <w:sz w:val="32"/>
          <w:szCs w:val="32"/>
        </w:rPr>
        <w:t>referral</w:t>
      </w:r>
      <w:r w:rsidRPr="00D90977">
        <w:rPr>
          <w:rFonts w:ascii="Arial" w:hAnsi="Arial" w:cs="Arial"/>
          <w:b/>
          <w:noProof/>
          <w:sz w:val="32"/>
          <w:szCs w:val="32"/>
        </w:rPr>
        <w:t xml:space="preserve"> to MSAC)</w:t>
      </w:r>
    </w:p>
    <w:p w:rsidR="00A6690D" w:rsidRPr="00A6690D" w:rsidRDefault="00A6690D" w:rsidP="00A6690D">
      <w:pPr>
        <w:spacing w:after="0"/>
        <w:jc w:val="both"/>
        <w:rPr>
          <w:sz w:val="20"/>
          <w:szCs w:val="20"/>
        </w:rPr>
      </w:pPr>
      <w:bookmarkStart w:id="2" w:name="_GoBack"/>
      <w:bookmarkEnd w:id="2"/>
      <w:r>
        <w:rPr>
          <w:noProof/>
        </w:rPr>
        <w:br w:type="page"/>
      </w:r>
    </w:p>
    <w:p w:rsidR="003B5425" w:rsidRPr="00121471" w:rsidRDefault="003B5425" w:rsidP="00A806C0">
      <w:pPr>
        <w:pStyle w:val="Heading1"/>
        <w:rPr>
          <w:b w:val="0"/>
          <w:i w:val="0"/>
          <w:noProof/>
        </w:rPr>
      </w:pPr>
      <w:r w:rsidRPr="00121471">
        <w:rPr>
          <w:noProof/>
        </w:rPr>
        <w:lastRenderedPageBreak/>
        <w:t>Summary of PICO criteria</w:t>
      </w:r>
      <w:bookmarkEnd w:id="0"/>
      <w:bookmarkEnd w:id="1"/>
      <w:r w:rsidRPr="00121471">
        <w:rPr>
          <w:noProof/>
        </w:rPr>
        <w:t xml:space="preserve"> to define the </w:t>
      </w:r>
      <w:r w:rsidRPr="00121471">
        <w:t>question</w:t>
      </w:r>
      <w:r w:rsidRPr="00121471">
        <w:rPr>
          <w:noProof/>
        </w:rPr>
        <w:t>(s) to be addressed in an Assessment Report to the Medical Services Advisory Committee (MSAC)</w:t>
      </w:r>
    </w:p>
    <w:tbl>
      <w:tblPr>
        <w:tblW w:w="55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 criteria to define the question(s) to be addressed in an Assessment Report to the Medical Services Advisory Committee (MSAC)"/>
      </w:tblPr>
      <w:tblGrid>
        <w:gridCol w:w="1408"/>
        <w:gridCol w:w="8504"/>
      </w:tblGrid>
      <w:tr w:rsidR="003B5425" w:rsidRPr="004F31B6" w:rsidTr="004F31B6">
        <w:trPr>
          <w:tblHeader/>
        </w:trPr>
        <w:tc>
          <w:tcPr>
            <w:tcW w:w="710" w:type="pct"/>
            <w:tcBorders>
              <w:top w:val="single" w:sz="8" w:space="0" w:color="auto"/>
              <w:bottom w:val="single" w:sz="8" w:space="0" w:color="auto"/>
              <w:right w:val="single" w:sz="4" w:space="0" w:color="auto"/>
            </w:tcBorders>
            <w:shd w:val="clear" w:color="auto" w:fill="D9D9D9"/>
          </w:tcPr>
          <w:p w:rsidR="003B5425" w:rsidRPr="004F31B6" w:rsidRDefault="003B5425" w:rsidP="00A806C0">
            <w:pPr>
              <w:pStyle w:val="Tableheading0"/>
              <w:rPr>
                <w:rFonts w:asciiTheme="minorHAnsi" w:hAnsiTheme="minorHAnsi" w:cstheme="minorHAnsi"/>
                <w:noProof/>
              </w:rPr>
            </w:pPr>
            <w:r w:rsidRPr="004F31B6">
              <w:rPr>
                <w:rFonts w:asciiTheme="minorHAnsi" w:hAnsiTheme="minorHAnsi" w:cstheme="minorHAnsi"/>
                <w:noProof/>
              </w:rPr>
              <w:t>Component</w:t>
            </w:r>
          </w:p>
        </w:tc>
        <w:tc>
          <w:tcPr>
            <w:tcW w:w="4290" w:type="pct"/>
            <w:tcBorders>
              <w:top w:val="single" w:sz="4" w:space="0" w:color="auto"/>
              <w:left w:val="single" w:sz="4" w:space="0" w:color="auto"/>
              <w:bottom w:val="single" w:sz="4" w:space="0" w:color="auto"/>
              <w:right w:val="single" w:sz="4" w:space="0" w:color="auto"/>
            </w:tcBorders>
            <w:shd w:val="clear" w:color="auto" w:fill="D9D9D9"/>
          </w:tcPr>
          <w:p w:rsidR="003B5425" w:rsidRPr="004F31B6" w:rsidRDefault="003B5425" w:rsidP="00A806C0">
            <w:pPr>
              <w:pStyle w:val="Tableheading0"/>
              <w:rPr>
                <w:rFonts w:asciiTheme="minorHAnsi" w:hAnsiTheme="minorHAnsi" w:cstheme="minorHAnsi"/>
                <w:noProof/>
              </w:rPr>
            </w:pPr>
            <w:r w:rsidRPr="004F31B6">
              <w:rPr>
                <w:rFonts w:asciiTheme="minorHAnsi" w:hAnsiTheme="minorHAnsi" w:cstheme="minorHAnsi"/>
                <w:noProof/>
              </w:rPr>
              <w:t>Description</w:t>
            </w:r>
          </w:p>
        </w:tc>
      </w:tr>
      <w:tr w:rsidR="003B5425" w:rsidRPr="004F31B6" w:rsidTr="004F31B6">
        <w:tc>
          <w:tcPr>
            <w:tcW w:w="710" w:type="pct"/>
            <w:tcBorders>
              <w:top w:val="single" w:sz="8" w:space="0" w:color="auto"/>
              <w:right w:val="single" w:sz="4" w:space="0" w:color="auto"/>
            </w:tcBorders>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Patients</w:t>
            </w:r>
          </w:p>
        </w:tc>
        <w:tc>
          <w:tcPr>
            <w:tcW w:w="4290" w:type="pct"/>
            <w:tcBorders>
              <w:top w:val="single" w:sz="4" w:space="0" w:color="auto"/>
              <w:left w:val="single" w:sz="4" w:space="0" w:color="auto"/>
              <w:bottom w:val="single" w:sz="4" w:space="0" w:color="auto"/>
              <w:right w:val="single" w:sz="4" w:space="0" w:color="auto"/>
            </w:tcBorders>
          </w:tcPr>
          <w:p w:rsidR="003B5425" w:rsidRPr="004F31B6" w:rsidRDefault="003B5425" w:rsidP="00993ABE">
            <w:pPr>
              <w:pStyle w:val="Tablecontents"/>
              <w:ind w:left="314"/>
              <w:rPr>
                <w:rFonts w:asciiTheme="minorHAnsi" w:hAnsiTheme="minorHAnsi" w:cstheme="minorHAnsi"/>
                <w:i/>
              </w:rPr>
            </w:pPr>
            <w:r w:rsidRPr="004F31B6">
              <w:rPr>
                <w:rFonts w:asciiTheme="minorHAnsi" w:hAnsiTheme="minorHAnsi" w:cstheme="minorHAnsi"/>
                <w:noProof/>
              </w:rPr>
              <w:t>Patients with chronic inflammatory demyelinating polyneuropathy (CIDP) who</w:t>
            </w:r>
            <w:r w:rsidRPr="004F31B6">
              <w:rPr>
                <w:rFonts w:asciiTheme="minorHAnsi" w:hAnsiTheme="minorHAnsi" w:cstheme="minorHAnsi"/>
              </w:rPr>
              <w:t xml:space="preserve"> are currently eligible for immunoglobulin (Ig) treatment in Australia according to version 3 of the </w:t>
            </w:r>
            <w:r w:rsidRPr="004F31B6">
              <w:rPr>
                <w:rFonts w:asciiTheme="minorHAnsi" w:hAnsiTheme="minorHAnsi" w:cstheme="minorHAnsi"/>
                <w:i/>
              </w:rPr>
              <w:t>Criteria for the clinical use of immunoglobulin in Australia.</w:t>
            </w:r>
          </w:p>
          <w:p w:rsidR="003B5425" w:rsidRPr="004F31B6" w:rsidRDefault="003B5425" w:rsidP="00993ABE">
            <w:pPr>
              <w:pStyle w:val="Tablecontents"/>
              <w:ind w:left="314"/>
              <w:rPr>
                <w:rFonts w:asciiTheme="minorHAnsi" w:hAnsiTheme="minorHAnsi" w:cstheme="minorHAnsi"/>
              </w:rPr>
            </w:pPr>
            <w:r w:rsidRPr="004F31B6">
              <w:rPr>
                <w:rFonts w:asciiTheme="minorHAnsi" w:hAnsiTheme="minorHAnsi" w:cstheme="minorHAnsi"/>
              </w:rPr>
              <w:t>Note:</w:t>
            </w:r>
          </w:p>
          <w:p w:rsidR="003B5425" w:rsidRPr="004F31B6" w:rsidRDefault="003B5425" w:rsidP="00993ABE">
            <w:pPr>
              <w:pStyle w:val="Tablecontents"/>
              <w:ind w:left="314"/>
              <w:rPr>
                <w:rFonts w:asciiTheme="minorHAnsi" w:hAnsiTheme="minorHAnsi" w:cstheme="minorHAnsi"/>
              </w:rPr>
            </w:pPr>
            <w:r w:rsidRPr="004F31B6">
              <w:rPr>
                <w:rFonts w:asciiTheme="minorHAnsi" w:hAnsiTheme="minorHAnsi" w:cstheme="minorHAnsi"/>
              </w:rPr>
              <w:t xml:space="preserve">The Reference Group notes that </w:t>
            </w:r>
            <w:r w:rsidRPr="004F31B6">
              <w:rPr>
                <w:rFonts w:asciiTheme="minorHAnsi" w:hAnsiTheme="minorHAnsi" w:cstheme="minorHAnsi"/>
                <w:noProof/>
              </w:rPr>
              <w:t>while</w:t>
            </w:r>
            <w:r w:rsidRPr="004F31B6">
              <w:rPr>
                <w:rFonts w:asciiTheme="minorHAnsi" w:hAnsiTheme="minorHAnsi" w:cstheme="minorHAnsi"/>
              </w:rPr>
              <w:t xml:space="preserve"> the above population is appropriate, a broader evidence base should </w:t>
            </w:r>
            <w:r w:rsidRPr="004F31B6">
              <w:rPr>
                <w:rFonts w:asciiTheme="minorHAnsi" w:hAnsiTheme="minorHAnsi" w:cstheme="minorHAnsi"/>
                <w:noProof/>
              </w:rPr>
              <w:t>be considered</w:t>
            </w:r>
            <w:r w:rsidRPr="004F31B6">
              <w:rPr>
                <w:rFonts w:asciiTheme="minorHAnsi" w:hAnsiTheme="minorHAnsi" w:cstheme="minorHAnsi"/>
              </w:rPr>
              <w:t xml:space="preserve"> (</w:t>
            </w:r>
            <w:r w:rsidRPr="004F31B6">
              <w:rPr>
                <w:rFonts w:asciiTheme="minorHAnsi" w:hAnsiTheme="minorHAnsi" w:cstheme="minorHAnsi"/>
                <w:noProof/>
              </w:rPr>
              <w:t>i.e.,</w:t>
            </w:r>
            <w:r w:rsidRPr="004F31B6">
              <w:rPr>
                <w:rFonts w:asciiTheme="minorHAnsi" w:hAnsiTheme="minorHAnsi" w:cstheme="minorHAnsi"/>
              </w:rPr>
              <w:t xml:space="preserve"> entire CIDP population) and evidence of treatment variation then explored. </w:t>
            </w:r>
          </w:p>
        </w:tc>
      </w:tr>
      <w:tr w:rsidR="003B5425" w:rsidRPr="004F31B6" w:rsidTr="004F31B6">
        <w:tc>
          <w:tcPr>
            <w:tcW w:w="710" w:type="pct"/>
            <w:tcBorders>
              <w:right w:val="single" w:sz="4" w:space="0" w:color="auto"/>
            </w:tcBorders>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Intervention</w:t>
            </w:r>
          </w:p>
        </w:tc>
        <w:tc>
          <w:tcPr>
            <w:tcW w:w="4290" w:type="pct"/>
            <w:tcBorders>
              <w:top w:val="single" w:sz="4" w:space="0" w:color="auto"/>
              <w:left w:val="single" w:sz="4" w:space="0" w:color="auto"/>
              <w:bottom w:val="single" w:sz="4" w:space="0" w:color="auto"/>
              <w:right w:val="single" w:sz="4" w:space="0" w:color="auto"/>
            </w:tcBorders>
          </w:tcPr>
          <w:p w:rsidR="003B5425" w:rsidRPr="004F31B6" w:rsidRDefault="003B5425" w:rsidP="00993ABE">
            <w:pPr>
              <w:pStyle w:val="Tablecontents"/>
              <w:ind w:hanging="111"/>
              <w:rPr>
                <w:rFonts w:asciiTheme="minorHAnsi" w:hAnsiTheme="minorHAnsi" w:cstheme="minorHAnsi"/>
              </w:rPr>
            </w:pPr>
            <w:r w:rsidRPr="004F31B6">
              <w:rPr>
                <w:rFonts w:asciiTheme="minorHAnsi" w:hAnsiTheme="minorHAnsi" w:cstheme="minorHAnsi"/>
              </w:rPr>
              <w:t>The intervention to be investigated is immunoglobulin (Ig)</w:t>
            </w:r>
            <w:r w:rsidRPr="004F31B6">
              <w:rPr>
                <w:rFonts w:asciiTheme="minorHAnsi" w:hAnsiTheme="minorHAnsi" w:cstheme="minorHAnsi"/>
                <w:noProof/>
              </w:rPr>
              <w:t>. This</w:t>
            </w:r>
            <w:r w:rsidRPr="004F31B6">
              <w:rPr>
                <w:rFonts w:asciiTheme="minorHAnsi" w:hAnsiTheme="minorHAnsi" w:cstheme="minorHAnsi"/>
              </w:rPr>
              <w:t xml:space="preserve"> may </w:t>
            </w:r>
            <w:r w:rsidRPr="004F31B6">
              <w:rPr>
                <w:rFonts w:asciiTheme="minorHAnsi" w:hAnsiTheme="minorHAnsi" w:cstheme="minorHAnsi"/>
                <w:noProof/>
              </w:rPr>
              <w:t>be delivered</w:t>
            </w:r>
            <w:r w:rsidRPr="004F31B6">
              <w:rPr>
                <w:rFonts w:asciiTheme="minorHAnsi" w:hAnsiTheme="minorHAnsi" w:cstheme="minorHAnsi"/>
              </w:rPr>
              <w:t xml:space="preserve"> in one of two forms:</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Intravenous Ig (IVIg)</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Subcutaneous Ig (SCIg)</w:t>
            </w:r>
          </w:p>
        </w:tc>
      </w:tr>
      <w:tr w:rsidR="003B5425" w:rsidRPr="004F31B6" w:rsidTr="004F31B6">
        <w:tc>
          <w:tcPr>
            <w:tcW w:w="710" w:type="pct"/>
            <w:tcBorders>
              <w:right w:val="single" w:sz="4" w:space="0" w:color="auto"/>
            </w:tcBorders>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Comparator</w:t>
            </w:r>
          </w:p>
        </w:tc>
        <w:tc>
          <w:tcPr>
            <w:tcW w:w="4290" w:type="pct"/>
            <w:tcBorders>
              <w:top w:val="single" w:sz="4" w:space="0" w:color="auto"/>
              <w:left w:val="single" w:sz="4" w:space="0" w:color="auto"/>
              <w:bottom w:val="single" w:sz="4" w:space="0" w:color="auto"/>
              <w:right w:val="single" w:sz="4" w:space="0" w:color="auto"/>
            </w:tcBorders>
          </w:tcPr>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Steroids (oral and IV),</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Plasma exchange,</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Immunosuppressant and</w:t>
            </w:r>
            <w:r w:rsidR="00C93AAE">
              <w:rPr>
                <w:rFonts w:asciiTheme="minorHAnsi" w:hAnsiTheme="minorHAnsi" w:cstheme="minorHAnsi"/>
              </w:rPr>
              <w:t>/or</w:t>
            </w:r>
            <w:r w:rsidRPr="004F31B6">
              <w:rPr>
                <w:rFonts w:asciiTheme="minorHAnsi" w:hAnsiTheme="minorHAnsi" w:cstheme="minorHAnsi"/>
              </w:rPr>
              <w:t xml:space="preserve"> immunomodulatory drugs and therapies (not including steroids)</w:t>
            </w:r>
            <w:r w:rsidRPr="00921255">
              <w:footnoteReference w:id="1"/>
            </w:r>
            <w:r w:rsidRPr="004F31B6">
              <w:rPr>
                <w:rFonts w:asciiTheme="minorHAnsi" w:hAnsiTheme="minorHAnsi" w:cstheme="minorHAnsi"/>
              </w:rPr>
              <w:t>,</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 xml:space="preserve">A combination of </w:t>
            </w:r>
            <w:r w:rsidR="006D0E97">
              <w:rPr>
                <w:rFonts w:asciiTheme="minorHAnsi" w:hAnsiTheme="minorHAnsi" w:cstheme="minorHAnsi"/>
              </w:rPr>
              <w:t xml:space="preserve">two or more of </w:t>
            </w:r>
            <w:r w:rsidRPr="004F31B6">
              <w:rPr>
                <w:rFonts w:asciiTheme="minorHAnsi" w:hAnsiTheme="minorHAnsi" w:cstheme="minorHAnsi"/>
              </w:rPr>
              <w:t>the above therapies, or</w:t>
            </w:r>
          </w:p>
          <w:p w:rsidR="003B5425" w:rsidRPr="004F31B6" w:rsidRDefault="003B5425" w:rsidP="00921255">
            <w:pPr>
              <w:pStyle w:val="Tablecontents"/>
              <w:numPr>
                <w:ilvl w:val="0"/>
                <w:numId w:val="20"/>
              </w:numPr>
              <w:rPr>
                <w:rFonts w:asciiTheme="minorHAnsi" w:hAnsiTheme="minorHAnsi" w:cstheme="minorHAnsi"/>
              </w:rPr>
            </w:pPr>
            <w:r w:rsidRPr="004F31B6">
              <w:rPr>
                <w:rFonts w:asciiTheme="minorHAnsi" w:hAnsiTheme="minorHAnsi" w:cstheme="minorHAnsi"/>
              </w:rPr>
              <w:t>No active treatment</w:t>
            </w:r>
            <w:r w:rsidR="00BF52E1" w:rsidRPr="004F31B6">
              <w:rPr>
                <w:rFonts w:asciiTheme="minorHAnsi" w:hAnsiTheme="minorHAnsi" w:cstheme="minorHAnsi"/>
              </w:rPr>
              <w:t>, No Ig</w:t>
            </w:r>
            <w:r w:rsidR="00AF5D93">
              <w:rPr>
                <w:rFonts w:asciiTheme="minorHAnsi" w:hAnsiTheme="minorHAnsi" w:cstheme="minorHAnsi"/>
              </w:rPr>
              <w:t>.</w:t>
            </w:r>
            <w:r w:rsidRPr="004F31B6">
              <w:rPr>
                <w:rFonts w:asciiTheme="minorHAnsi" w:hAnsiTheme="minorHAnsi" w:cstheme="minorHAnsi"/>
              </w:rPr>
              <w:t xml:space="preserve"> </w:t>
            </w:r>
          </w:p>
        </w:tc>
      </w:tr>
      <w:tr w:rsidR="00BF008A" w:rsidRPr="004F31B6" w:rsidTr="004F31B6">
        <w:tc>
          <w:tcPr>
            <w:tcW w:w="710" w:type="pct"/>
            <w:tcBorders>
              <w:right w:val="single" w:sz="4" w:space="0" w:color="auto"/>
            </w:tcBorders>
          </w:tcPr>
          <w:p w:rsidR="00BF008A" w:rsidRPr="004F31B6" w:rsidRDefault="00BF008A" w:rsidP="00BF008A">
            <w:pPr>
              <w:pStyle w:val="Tablecontents"/>
              <w:rPr>
                <w:rFonts w:asciiTheme="minorHAnsi" w:hAnsiTheme="minorHAnsi" w:cstheme="minorHAnsi"/>
              </w:rPr>
            </w:pPr>
            <w:r w:rsidRPr="004F31B6">
              <w:rPr>
                <w:rFonts w:asciiTheme="minorHAnsi" w:hAnsiTheme="minorHAnsi" w:cstheme="minorHAnsi"/>
              </w:rPr>
              <w:t>Outcomes</w:t>
            </w:r>
          </w:p>
        </w:tc>
        <w:tc>
          <w:tcPr>
            <w:tcW w:w="4290" w:type="pct"/>
            <w:tcBorders>
              <w:top w:val="single" w:sz="4" w:space="0" w:color="auto"/>
              <w:left w:val="single" w:sz="4" w:space="0" w:color="auto"/>
              <w:bottom w:val="single" w:sz="4" w:space="0" w:color="auto"/>
              <w:right w:val="single" w:sz="4" w:space="0" w:color="auto"/>
            </w:tcBorders>
          </w:tcPr>
          <w:p w:rsidR="00BF008A" w:rsidRPr="004F31B6" w:rsidRDefault="00BF008A" w:rsidP="00993ABE">
            <w:pPr>
              <w:pStyle w:val="Tablecontents"/>
              <w:spacing w:line="276" w:lineRule="auto"/>
              <w:ind w:left="314"/>
              <w:rPr>
                <w:rFonts w:asciiTheme="minorHAnsi" w:hAnsiTheme="minorHAnsi" w:cstheme="minorHAnsi"/>
                <w:b/>
                <w:bCs/>
                <w:i/>
                <w:iCs/>
              </w:rPr>
            </w:pPr>
            <w:r w:rsidRPr="004F31B6">
              <w:rPr>
                <w:rFonts w:asciiTheme="minorHAnsi" w:hAnsiTheme="minorHAnsi" w:cstheme="minorHAnsi"/>
                <w:b/>
                <w:bCs/>
                <w:i/>
                <w:iCs/>
              </w:rPr>
              <w:t>The outcomes listed are those identified in the development of the PICO. Additional or more specific outcomes identified during the evaluation process that are considered relevant to the intervention or comparator treatment may be addressed in the evaluation report (Contracted Assessment). Broadly the outcomes identified pre assessment and considered in scope are:</w:t>
            </w:r>
          </w:p>
          <w:p w:rsidR="00BF008A" w:rsidRPr="004F31B6" w:rsidRDefault="00BF008A" w:rsidP="00993ABE">
            <w:pPr>
              <w:pStyle w:val="Tablecontents"/>
              <w:spacing w:line="276" w:lineRule="auto"/>
              <w:ind w:hanging="111"/>
              <w:rPr>
                <w:rFonts w:asciiTheme="minorHAnsi" w:hAnsiTheme="minorHAnsi" w:cstheme="minorHAnsi"/>
                <w:i/>
                <w:iCs/>
              </w:rPr>
            </w:pPr>
            <w:r w:rsidRPr="004F31B6">
              <w:rPr>
                <w:rFonts w:asciiTheme="minorHAnsi" w:hAnsiTheme="minorHAnsi" w:cstheme="minorHAnsi"/>
                <w:i/>
                <w:iCs/>
              </w:rPr>
              <w:t>Safety Outcomes:</w:t>
            </w:r>
          </w:p>
          <w:p w:rsidR="00BF008A" w:rsidRPr="004F31B6" w:rsidRDefault="00BF008A" w:rsidP="00921255">
            <w:pPr>
              <w:pStyle w:val="Tablecontents"/>
              <w:numPr>
                <w:ilvl w:val="0"/>
                <w:numId w:val="20"/>
              </w:numPr>
              <w:rPr>
                <w:rFonts w:asciiTheme="minorHAnsi" w:hAnsiTheme="minorHAnsi" w:cstheme="minorHAnsi"/>
                <w:i/>
                <w:iCs/>
              </w:rPr>
            </w:pPr>
            <w:r w:rsidRPr="004F31B6">
              <w:rPr>
                <w:rFonts w:asciiTheme="minorHAnsi" w:hAnsiTheme="minorHAnsi" w:cstheme="minorHAnsi"/>
              </w:rPr>
              <w:t>Adverse events including development of disease or side effects (e.g. infections, diabetes, hypertension, cardiovascular disease</w:t>
            </w:r>
            <w:r w:rsidR="00C93AAE">
              <w:rPr>
                <w:rFonts w:asciiTheme="minorHAnsi" w:hAnsiTheme="minorHAnsi" w:cstheme="minorHAnsi"/>
              </w:rPr>
              <w:t>, prolonged ventilation in ICU</w:t>
            </w:r>
            <w:r w:rsidRPr="004F31B6">
              <w:rPr>
                <w:rFonts w:asciiTheme="minorHAnsi" w:hAnsiTheme="minorHAnsi" w:cstheme="minorHAnsi"/>
              </w:rPr>
              <w:t>)</w:t>
            </w:r>
          </w:p>
          <w:p w:rsidR="00BF008A" w:rsidRPr="004F31B6" w:rsidRDefault="00BF008A" w:rsidP="00993ABE">
            <w:pPr>
              <w:pStyle w:val="Tablecontents"/>
              <w:spacing w:line="276" w:lineRule="auto"/>
              <w:ind w:hanging="111"/>
              <w:rPr>
                <w:rFonts w:asciiTheme="minorHAnsi" w:hAnsiTheme="minorHAnsi" w:cstheme="minorHAnsi"/>
                <w:i/>
                <w:iCs/>
              </w:rPr>
            </w:pPr>
            <w:r w:rsidRPr="004F31B6">
              <w:rPr>
                <w:rFonts w:asciiTheme="minorHAnsi" w:hAnsiTheme="minorHAnsi" w:cstheme="minorHAnsi"/>
                <w:i/>
                <w:iCs/>
              </w:rPr>
              <w:t>Clinical effectiveness outcomes:</w:t>
            </w:r>
          </w:p>
          <w:p w:rsidR="00BF008A" w:rsidRPr="00921255"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Change in disability: (e.g. Overall Neuropathy Limitations Scale (ONLS) score, Six-Minute Walk Test (6MWT) in children only)</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 xml:space="preserve">Change in muscle strength (e.g. Medical Research Council (MRC) Sum (12) in adults, Modified Rankin Scale (MRS) in children) </w:t>
            </w:r>
          </w:p>
          <w:p w:rsidR="00BF008A" w:rsidRPr="00921255"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Change in quality of life</w:t>
            </w:r>
          </w:p>
          <w:p w:rsidR="00BF008A" w:rsidRPr="004F31B6" w:rsidRDefault="00BF008A" w:rsidP="00921255">
            <w:pPr>
              <w:pStyle w:val="Tablecontents"/>
              <w:numPr>
                <w:ilvl w:val="0"/>
                <w:numId w:val="20"/>
              </w:numPr>
              <w:rPr>
                <w:rFonts w:asciiTheme="minorHAnsi" w:hAnsiTheme="minorHAnsi" w:cstheme="minorHAnsi"/>
                <w:i/>
                <w:iCs/>
              </w:rPr>
            </w:pPr>
            <w:r w:rsidRPr="004F31B6">
              <w:rPr>
                <w:rFonts w:asciiTheme="minorHAnsi" w:hAnsiTheme="minorHAnsi" w:cstheme="minorHAnsi"/>
              </w:rPr>
              <w:t xml:space="preserve">Mortality </w:t>
            </w:r>
          </w:p>
          <w:p w:rsidR="00BF008A" w:rsidRPr="004F31B6" w:rsidRDefault="00BF008A" w:rsidP="00993ABE">
            <w:pPr>
              <w:pStyle w:val="Tablecontents"/>
              <w:spacing w:line="276" w:lineRule="auto"/>
              <w:ind w:hanging="111"/>
              <w:rPr>
                <w:rFonts w:asciiTheme="minorHAnsi" w:hAnsiTheme="minorHAnsi" w:cstheme="minorHAnsi"/>
                <w:i/>
                <w:iCs/>
              </w:rPr>
            </w:pPr>
            <w:r w:rsidRPr="004F31B6">
              <w:rPr>
                <w:rFonts w:asciiTheme="minorHAnsi" w:hAnsiTheme="minorHAnsi" w:cstheme="minorHAnsi"/>
                <w:i/>
                <w:iCs/>
              </w:rPr>
              <w:t>Healthcare system resources utilisation</w:t>
            </w:r>
          </w:p>
          <w:p w:rsidR="00BF008A" w:rsidRPr="004F31B6" w:rsidRDefault="00BF008A" w:rsidP="002865BA">
            <w:pPr>
              <w:pStyle w:val="Tablecontents"/>
              <w:numPr>
                <w:ilvl w:val="0"/>
                <w:numId w:val="17"/>
              </w:numPr>
              <w:spacing w:line="276" w:lineRule="auto"/>
              <w:ind w:left="314" w:hanging="314"/>
              <w:rPr>
                <w:rFonts w:asciiTheme="minorHAnsi" w:hAnsiTheme="minorHAnsi" w:cstheme="minorHAnsi"/>
              </w:rPr>
            </w:pPr>
            <w:r w:rsidRPr="004F31B6">
              <w:rPr>
                <w:rFonts w:asciiTheme="minorHAnsi" w:hAnsiTheme="minorHAnsi" w:cstheme="minorHAnsi"/>
              </w:rPr>
              <w:t xml:space="preserve">Changes in health system resource utilisation associated with the intervention </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 xml:space="preserve">Ig products </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Infusion equipment</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Administrative and clinician time (e.g. resources associated with requesting, and authorising, access to Ig</w:t>
            </w:r>
            <w:r w:rsidR="00AF5D93">
              <w:rPr>
                <w:rFonts w:asciiTheme="minorHAnsi" w:hAnsiTheme="minorHAnsi" w:cstheme="minorHAnsi"/>
              </w:rPr>
              <w:t>)</w:t>
            </w:r>
            <w:r w:rsidRPr="004F31B6">
              <w:rPr>
                <w:rFonts w:asciiTheme="minorHAnsi" w:hAnsiTheme="minorHAnsi" w:cstheme="minorHAnsi"/>
              </w:rPr>
              <w:t xml:space="preserve"> </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Nursing time (for initiation and monitoring if IVIg)</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Hospitalisation (including use of hospital resources)</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Medication to treat adverse events (e.g. analgesia or antihistamines) </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Training of patient or carer to provide infusions (SCIg only</w:t>
            </w:r>
            <w:r w:rsidR="00AF5D93">
              <w:rPr>
                <w:rFonts w:asciiTheme="minorHAnsi" w:hAnsiTheme="minorHAnsi" w:cstheme="minorHAnsi"/>
              </w:rPr>
              <w:t>)</w:t>
            </w:r>
            <w:r w:rsidRPr="004F31B6">
              <w:rPr>
                <w:rFonts w:asciiTheme="minorHAnsi" w:hAnsiTheme="minorHAnsi" w:cstheme="minorHAnsi"/>
              </w:rPr>
              <w:t xml:space="preserve"> </w:t>
            </w:r>
          </w:p>
          <w:p w:rsidR="00BF008A" w:rsidRPr="004F31B6"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Product dispensing and disposal of any unused product</w:t>
            </w:r>
          </w:p>
          <w:p w:rsidR="002D48F0" w:rsidRDefault="00BF008A" w:rsidP="00921255">
            <w:pPr>
              <w:pStyle w:val="Tablecontents"/>
              <w:numPr>
                <w:ilvl w:val="0"/>
                <w:numId w:val="20"/>
              </w:numPr>
              <w:rPr>
                <w:rFonts w:asciiTheme="minorHAnsi" w:hAnsiTheme="minorHAnsi" w:cstheme="minorHAnsi"/>
              </w:rPr>
            </w:pPr>
            <w:r w:rsidRPr="004F31B6">
              <w:rPr>
                <w:rFonts w:asciiTheme="minorHAnsi" w:hAnsiTheme="minorHAnsi" w:cstheme="minorHAnsi"/>
              </w:rPr>
              <w:t>Follow-up and/or monitoring visits, including regular neurology visits</w:t>
            </w:r>
          </w:p>
          <w:p w:rsidR="002865BA" w:rsidRPr="004F31B6" w:rsidRDefault="002865BA" w:rsidP="002865BA">
            <w:pPr>
              <w:pStyle w:val="Tablecontents"/>
              <w:ind w:left="720"/>
              <w:rPr>
                <w:rFonts w:asciiTheme="minorHAnsi" w:hAnsiTheme="minorHAnsi" w:cstheme="minorHAnsi"/>
              </w:rPr>
            </w:pPr>
          </w:p>
        </w:tc>
      </w:tr>
      <w:tr w:rsidR="002D48F0" w:rsidRPr="004F31B6" w:rsidTr="004F31B6">
        <w:tc>
          <w:tcPr>
            <w:tcW w:w="710" w:type="pct"/>
            <w:tcBorders>
              <w:right w:val="single" w:sz="4" w:space="0" w:color="auto"/>
            </w:tcBorders>
          </w:tcPr>
          <w:p w:rsidR="002D48F0" w:rsidRPr="004F31B6" w:rsidRDefault="002D48F0" w:rsidP="00BF008A">
            <w:pPr>
              <w:pStyle w:val="Tablecontents"/>
              <w:rPr>
                <w:rFonts w:asciiTheme="minorHAnsi" w:hAnsiTheme="minorHAnsi" w:cstheme="minorHAnsi"/>
              </w:rPr>
            </w:pPr>
          </w:p>
        </w:tc>
        <w:tc>
          <w:tcPr>
            <w:tcW w:w="4290" w:type="pct"/>
            <w:tcBorders>
              <w:top w:val="single" w:sz="4" w:space="0" w:color="auto"/>
              <w:left w:val="single" w:sz="4" w:space="0" w:color="auto"/>
              <w:bottom w:val="single" w:sz="4" w:space="0" w:color="auto"/>
              <w:right w:val="single" w:sz="4" w:space="0" w:color="auto"/>
            </w:tcBorders>
          </w:tcPr>
          <w:p w:rsidR="002D48F0" w:rsidRPr="004F31B6" w:rsidRDefault="002D48F0" w:rsidP="002865BA">
            <w:pPr>
              <w:pStyle w:val="Tablecontents"/>
              <w:numPr>
                <w:ilvl w:val="0"/>
                <w:numId w:val="22"/>
              </w:numPr>
              <w:rPr>
                <w:rFonts w:asciiTheme="minorHAnsi" w:hAnsiTheme="minorHAnsi" w:cstheme="minorHAnsi"/>
              </w:rPr>
            </w:pPr>
            <w:r w:rsidRPr="004F31B6">
              <w:rPr>
                <w:rFonts w:asciiTheme="minorHAnsi" w:hAnsiTheme="minorHAnsi" w:cstheme="minorHAnsi"/>
              </w:rPr>
              <w:t>Change in health system resource utilisation associated with the comparators</w:t>
            </w:r>
          </w:p>
          <w:p w:rsidR="002D48F0" w:rsidRPr="004F31B6" w:rsidRDefault="002D48F0" w:rsidP="00921255">
            <w:pPr>
              <w:pStyle w:val="Tablecontents"/>
              <w:numPr>
                <w:ilvl w:val="0"/>
                <w:numId w:val="20"/>
              </w:numPr>
              <w:rPr>
                <w:rFonts w:asciiTheme="minorHAnsi" w:hAnsiTheme="minorHAnsi" w:cstheme="minorHAnsi"/>
              </w:rPr>
            </w:pPr>
            <w:r w:rsidRPr="004F31B6">
              <w:rPr>
                <w:rFonts w:asciiTheme="minorHAnsi" w:hAnsiTheme="minorHAnsi" w:cstheme="minorHAnsi"/>
              </w:rPr>
              <w:t>Comparator products</w:t>
            </w:r>
          </w:p>
          <w:p w:rsidR="002D48F0" w:rsidRPr="004F31B6" w:rsidRDefault="002D48F0" w:rsidP="00921255">
            <w:pPr>
              <w:pStyle w:val="Tablecontents"/>
              <w:numPr>
                <w:ilvl w:val="0"/>
                <w:numId w:val="20"/>
              </w:numPr>
              <w:rPr>
                <w:rFonts w:asciiTheme="minorHAnsi" w:hAnsiTheme="minorHAnsi" w:cstheme="minorHAnsi"/>
              </w:rPr>
            </w:pPr>
            <w:r w:rsidRPr="004F31B6">
              <w:rPr>
                <w:rFonts w:asciiTheme="minorHAnsi" w:hAnsiTheme="minorHAnsi" w:cstheme="minorHAnsi"/>
              </w:rPr>
              <w:t>Resources to deliver the comparator (eg hospital and staff time for IV steroids and plasma exchange, dispensing for oral treatments)</w:t>
            </w:r>
          </w:p>
          <w:p w:rsidR="002D48F0" w:rsidRPr="004F31B6" w:rsidRDefault="002D48F0" w:rsidP="00921255">
            <w:pPr>
              <w:pStyle w:val="Tablecontents"/>
              <w:numPr>
                <w:ilvl w:val="0"/>
                <w:numId w:val="20"/>
              </w:numPr>
              <w:rPr>
                <w:rFonts w:asciiTheme="minorHAnsi" w:hAnsiTheme="minorHAnsi" w:cstheme="minorHAnsi"/>
              </w:rPr>
            </w:pPr>
            <w:r w:rsidRPr="004F31B6">
              <w:rPr>
                <w:rFonts w:asciiTheme="minorHAnsi" w:hAnsiTheme="minorHAnsi" w:cstheme="minorHAnsi"/>
              </w:rPr>
              <w:t>Hospitalisation</w:t>
            </w:r>
          </w:p>
          <w:p w:rsidR="002D48F0" w:rsidRPr="004F31B6" w:rsidRDefault="00C93AAE" w:rsidP="00921255">
            <w:pPr>
              <w:pStyle w:val="Tablecontents"/>
              <w:numPr>
                <w:ilvl w:val="0"/>
                <w:numId w:val="20"/>
              </w:numPr>
              <w:rPr>
                <w:rFonts w:asciiTheme="minorHAnsi" w:hAnsiTheme="minorHAnsi" w:cstheme="minorHAnsi"/>
              </w:rPr>
            </w:pPr>
            <w:r>
              <w:rPr>
                <w:rFonts w:asciiTheme="minorHAnsi" w:hAnsiTheme="minorHAnsi" w:cstheme="minorHAnsi"/>
              </w:rPr>
              <w:t>Management</w:t>
            </w:r>
            <w:r w:rsidRPr="004F31B6">
              <w:rPr>
                <w:rFonts w:asciiTheme="minorHAnsi" w:hAnsiTheme="minorHAnsi" w:cstheme="minorHAnsi"/>
              </w:rPr>
              <w:t xml:space="preserve"> </w:t>
            </w:r>
            <w:r w:rsidR="002D48F0" w:rsidRPr="004F31B6">
              <w:rPr>
                <w:rFonts w:asciiTheme="minorHAnsi" w:hAnsiTheme="minorHAnsi" w:cstheme="minorHAnsi"/>
              </w:rPr>
              <w:t>of adverse events</w:t>
            </w:r>
          </w:p>
          <w:p w:rsidR="002D48F0" w:rsidRPr="004F31B6" w:rsidRDefault="002D48F0" w:rsidP="00921255">
            <w:pPr>
              <w:pStyle w:val="Tablecontents"/>
              <w:numPr>
                <w:ilvl w:val="0"/>
                <w:numId w:val="20"/>
              </w:numPr>
              <w:rPr>
                <w:rFonts w:asciiTheme="minorHAnsi" w:hAnsiTheme="minorHAnsi" w:cstheme="minorHAnsi"/>
              </w:rPr>
            </w:pPr>
            <w:r w:rsidRPr="004F31B6">
              <w:rPr>
                <w:rFonts w:asciiTheme="minorHAnsi" w:hAnsiTheme="minorHAnsi" w:cstheme="minorHAnsi"/>
              </w:rPr>
              <w:t>Follow-up and/or monitoring visits, including regular neurology visits</w:t>
            </w:r>
          </w:p>
        </w:tc>
      </w:tr>
    </w:tbl>
    <w:p w:rsidR="003B5425" w:rsidRPr="00BF008A" w:rsidRDefault="003B5425">
      <w:pPr>
        <w:rPr>
          <w:rFonts w:eastAsia="MS Gothic"/>
          <w:b/>
          <w:bCs/>
          <w:i/>
          <w:sz w:val="26"/>
          <w:szCs w:val="26"/>
          <w:u w:val="single"/>
        </w:rPr>
      </w:pPr>
    </w:p>
    <w:p w:rsidR="003B5425" w:rsidRPr="00335590" w:rsidRDefault="003B5425">
      <w:pPr>
        <w:rPr>
          <w:rFonts w:eastAsia="MS Gothic"/>
          <w:bCs/>
          <w:color w:val="548DD4"/>
          <w:sz w:val="26"/>
          <w:szCs w:val="26"/>
        </w:rPr>
      </w:pPr>
      <w:r w:rsidRPr="00335590">
        <w:rPr>
          <w:rFonts w:eastAsia="MS Gothic"/>
          <w:b/>
          <w:bCs/>
          <w:i/>
          <w:color w:val="548DD4"/>
          <w:sz w:val="26"/>
          <w:szCs w:val="26"/>
          <w:u w:val="single"/>
        </w:rPr>
        <w:t>PICO rationale for therapeutic medical services</w:t>
      </w:r>
    </w:p>
    <w:p w:rsidR="003B5425" w:rsidRPr="00E364F7" w:rsidRDefault="003B5425" w:rsidP="00EE4E9C">
      <w:pPr>
        <w:pStyle w:val="Heading1"/>
      </w:pPr>
      <w:r w:rsidRPr="00E47CF8">
        <w:t>Population</w:t>
      </w:r>
    </w:p>
    <w:p w:rsidR="003B5425" w:rsidRPr="002B7E0D" w:rsidRDefault="003B5425" w:rsidP="00A806C0">
      <w:r w:rsidRPr="00D90977">
        <w:rPr>
          <w:noProof/>
        </w:rPr>
        <w:t>Patients with chronic inflammatory demyelinating polyneuropathy (CIDP) who</w:t>
      </w:r>
      <w:r w:rsidR="005103E4">
        <w:t xml:space="preserve"> are currently eligible for </w:t>
      </w:r>
      <w:r w:rsidR="00C02DD9">
        <w:t>IV</w:t>
      </w:r>
      <w:r w:rsidRPr="002B7E0D">
        <w:t xml:space="preserve">Ig treatment in Australia make up the proposed population in this PICO Confirmation. </w:t>
      </w:r>
    </w:p>
    <w:p w:rsidR="003B5425" w:rsidRDefault="003B5425" w:rsidP="00A806C0">
      <w:r>
        <w:t xml:space="preserve">The Reference Group advised that </w:t>
      </w:r>
      <w:r w:rsidRPr="00167555">
        <w:rPr>
          <w:noProof/>
        </w:rPr>
        <w:t>whil</w:t>
      </w:r>
      <w:r>
        <w:rPr>
          <w:noProof/>
        </w:rPr>
        <w:t>e</w:t>
      </w:r>
      <w:r>
        <w:t xml:space="preserve"> the above population is appropriate, a broader evidence base should </w:t>
      </w:r>
      <w:r w:rsidRPr="00167555">
        <w:rPr>
          <w:noProof/>
        </w:rPr>
        <w:t>be considered</w:t>
      </w:r>
      <w:r>
        <w:t xml:space="preserve"> (</w:t>
      </w:r>
      <w:r w:rsidRPr="00167555">
        <w:rPr>
          <w:noProof/>
        </w:rPr>
        <w:t>i.e.</w:t>
      </w:r>
      <w:r>
        <w:rPr>
          <w:noProof/>
        </w:rPr>
        <w:t>,</w:t>
      </w:r>
      <w:r>
        <w:t xml:space="preserve"> entire CIDP population) and evidence of treatment variation then explored. Patients with a CIDP-like neuropathy and an IgG or IgA paraprotein who meet version 3 of the Criteria fall within the scope of the review. </w:t>
      </w:r>
    </w:p>
    <w:p w:rsidR="003B5425" w:rsidRDefault="003B5425" w:rsidP="00A806C0">
      <w:r>
        <w:t>In 2002,</w:t>
      </w:r>
      <w:r w:rsidRPr="003B4A1B">
        <w:t xml:space="preserve"> </w:t>
      </w:r>
      <w:r>
        <w:t>a</w:t>
      </w:r>
      <w:r w:rsidRPr="003B4A1B">
        <w:t xml:space="preserve"> National Blood Agreement</w:t>
      </w:r>
      <w:r>
        <w:t xml:space="preserve"> </w:t>
      </w:r>
      <w:r w:rsidRPr="00167555">
        <w:rPr>
          <w:noProof/>
        </w:rPr>
        <w:t>was signed</w:t>
      </w:r>
      <w:r>
        <w:t xml:space="preserve"> by the Federal, state and territory governments.</w:t>
      </w:r>
      <w:r w:rsidRPr="008D52B0">
        <w:rPr>
          <w:noProof/>
          <w:vertAlign w:val="superscript"/>
        </w:rPr>
        <w:t>2</w:t>
      </w:r>
      <w:r w:rsidRPr="004B47D9">
        <w:t xml:space="preserve"> </w:t>
      </w:r>
      <w:r>
        <w:t xml:space="preserve">It </w:t>
      </w:r>
      <w:r w:rsidRPr="00167555">
        <w:rPr>
          <w:noProof/>
        </w:rPr>
        <w:t>was agreed</w:t>
      </w:r>
      <w:r>
        <w:t xml:space="preserve"> that public funding would be available for patients with a clinical need for a blood product. </w:t>
      </w:r>
      <w:r w:rsidRPr="00D90977">
        <w:rPr>
          <w:noProof/>
        </w:rPr>
        <w:t xml:space="preserve">The </w:t>
      </w:r>
      <w:r w:rsidRPr="00167555">
        <w:rPr>
          <w:i/>
          <w:noProof/>
        </w:rPr>
        <w:t>Criteria</w:t>
      </w:r>
      <w:r w:rsidRPr="00D90977">
        <w:rPr>
          <w:i/>
          <w:noProof/>
        </w:rPr>
        <w:t xml:space="preserve"> for the clinical use of immunoglobulin in Australia</w:t>
      </w:r>
      <w:r w:rsidRPr="003B4A1B">
        <w:rPr>
          <w:i/>
        </w:rPr>
        <w:t xml:space="preserve"> </w:t>
      </w:r>
      <w:r w:rsidRPr="003B4A1B">
        <w:t xml:space="preserve">(hereon known as </w:t>
      </w:r>
      <w:r w:rsidRPr="00335590">
        <w:rPr>
          <w:i/>
        </w:rPr>
        <w:t>the</w:t>
      </w:r>
      <w:r w:rsidRPr="003B4A1B">
        <w:t xml:space="preserve"> </w:t>
      </w:r>
      <w:r w:rsidRPr="003B4A1B">
        <w:rPr>
          <w:i/>
        </w:rPr>
        <w:t>Criteria</w:t>
      </w:r>
      <w:r w:rsidRPr="003B4A1B">
        <w:t>)</w:t>
      </w:r>
      <w:r>
        <w:t xml:space="preserve"> is a framework describing the medical conditions and specific circumstances for which the use of immunoglobulin (Ig) is considered clinically appropriate and for which public funding is available.</w:t>
      </w:r>
      <w:r w:rsidRPr="008D52B0">
        <w:rPr>
          <w:noProof/>
          <w:vertAlign w:val="superscript"/>
        </w:rPr>
        <w:t>3</w:t>
      </w:r>
      <w:r>
        <w:t xml:space="preserve"> It was first established in 2007 but has since </w:t>
      </w:r>
      <w:r w:rsidRPr="00167555">
        <w:rPr>
          <w:noProof/>
        </w:rPr>
        <w:t>been updated</w:t>
      </w:r>
      <w:r>
        <w:t xml:space="preserve"> on two occasions. </w:t>
      </w:r>
      <w:r w:rsidRPr="003B4A1B">
        <w:t xml:space="preserve">Version 3 of </w:t>
      </w:r>
      <w:r w:rsidRPr="00335590">
        <w:rPr>
          <w:i/>
        </w:rPr>
        <w:t>the</w:t>
      </w:r>
      <w:r w:rsidRPr="003B4A1B">
        <w:t xml:space="preserve"> </w:t>
      </w:r>
      <w:r w:rsidRPr="003B4A1B">
        <w:rPr>
          <w:i/>
        </w:rPr>
        <w:t xml:space="preserve">Criteria </w:t>
      </w:r>
      <w:r w:rsidRPr="003B4A1B">
        <w:t>came into effect on 22 October 2018</w:t>
      </w:r>
      <w:r>
        <w:t xml:space="preserve"> and is accessible online.</w:t>
      </w:r>
      <w:r w:rsidRPr="008D52B0">
        <w:rPr>
          <w:noProof/>
          <w:vertAlign w:val="superscript"/>
        </w:rPr>
        <w:t>4</w:t>
      </w:r>
      <w:r>
        <w:t xml:space="preserve"> </w:t>
      </w:r>
    </w:p>
    <w:p w:rsidR="003B5425" w:rsidRDefault="003B5425" w:rsidP="00A806C0">
      <w:r>
        <w:t xml:space="preserve">Version 3 of </w:t>
      </w:r>
      <w:r w:rsidRPr="00FA3A4C">
        <w:rPr>
          <w:i/>
        </w:rPr>
        <w:t>the</w:t>
      </w:r>
      <w:r>
        <w:t xml:space="preserve"> </w:t>
      </w:r>
      <w:r>
        <w:rPr>
          <w:i/>
        </w:rPr>
        <w:t xml:space="preserve">Criteria </w:t>
      </w:r>
      <w:r>
        <w:t xml:space="preserve">considers the use of Ig to be appropriate for patients diagnosed with CIDP by a neurologist and in whom compromised walking </w:t>
      </w:r>
      <w:r w:rsidRPr="00167555">
        <w:rPr>
          <w:noProof/>
        </w:rPr>
        <w:t>and/or</w:t>
      </w:r>
      <w:r>
        <w:t xml:space="preserve"> significant disability can be objectively demonstrated (as outlined in </w:t>
      </w:r>
      <w:r>
        <w:fldChar w:fldCharType="begin"/>
      </w:r>
      <w:r>
        <w:instrText xml:space="preserve"> REF _Ref535245853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1</w:t>
      </w:r>
      <w:r>
        <w:fldChar w:fldCharType="end"/>
      </w:r>
      <w:r>
        <w:t xml:space="preserve">). To be eligible for ongoing maintenance therapy additional review criteria must be met at regular intervals. These </w:t>
      </w:r>
      <w:r w:rsidRPr="00167555">
        <w:rPr>
          <w:noProof/>
        </w:rPr>
        <w:t>are discussed</w:t>
      </w:r>
      <w:r>
        <w:t xml:space="preserve"> in the Intervention section of this document. </w:t>
      </w:r>
    </w:p>
    <w:p w:rsidR="003B5425" w:rsidRPr="003B4A1B" w:rsidRDefault="003B5425" w:rsidP="00A806C0">
      <w:pPr>
        <w:spacing w:after="0"/>
      </w:pPr>
      <w:r>
        <w:t xml:space="preserve">Version 3 of </w:t>
      </w:r>
      <w:r w:rsidRPr="00FA3A4C">
        <w:rPr>
          <w:i/>
        </w:rPr>
        <w:t>the</w:t>
      </w:r>
      <w:r w:rsidRPr="003B4A1B">
        <w:t xml:space="preserve"> </w:t>
      </w:r>
      <w:r>
        <w:rPr>
          <w:i/>
        </w:rPr>
        <w:t>Criteria</w:t>
      </w:r>
      <w:r w:rsidRPr="003B4A1B">
        <w:t xml:space="preserve"> considers the use of </w:t>
      </w:r>
      <w:r>
        <w:t>Ig</w:t>
      </w:r>
      <w:r w:rsidRPr="003B4A1B">
        <w:t xml:space="preserve"> for the following indication</w:t>
      </w:r>
      <w:r>
        <w:t>s:</w:t>
      </w:r>
    </w:p>
    <w:p w:rsidR="003B5425" w:rsidRDefault="003B5425" w:rsidP="009764F3">
      <w:pPr>
        <w:pStyle w:val="ListParagraph"/>
        <w:numPr>
          <w:ilvl w:val="0"/>
          <w:numId w:val="1"/>
        </w:numPr>
        <w:spacing w:after="0"/>
        <w:contextualSpacing w:val="0"/>
      </w:pPr>
      <w:r w:rsidRPr="003B4A1B">
        <w:t xml:space="preserve">CIDP for patients in whom walking </w:t>
      </w:r>
      <w:r w:rsidRPr="00167555">
        <w:rPr>
          <w:noProof/>
        </w:rPr>
        <w:t>is compromised</w:t>
      </w:r>
      <w:r w:rsidRPr="003B4A1B">
        <w:t xml:space="preserve"> </w:t>
      </w:r>
      <w:r w:rsidRPr="00167555">
        <w:rPr>
          <w:noProof/>
        </w:rPr>
        <w:t>or</w:t>
      </w:r>
      <w:r w:rsidRPr="003B4A1B">
        <w:t xml:space="preserve"> there is </w:t>
      </w:r>
      <w:r w:rsidRPr="00167555">
        <w:rPr>
          <w:noProof/>
        </w:rPr>
        <w:t>significant</w:t>
      </w:r>
      <w:r w:rsidRPr="003B4A1B">
        <w:t xml:space="preserve"> disability</w:t>
      </w:r>
      <w:r>
        <w:t xml:space="preserve"> (treatment-naïve patients).</w:t>
      </w:r>
    </w:p>
    <w:p w:rsidR="003B5425" w:rsidRDefault="003B5425" w:rsidP="009764F3">
      <w:pPr>
        <w:pStyle w:val="ListParagraph"/>
        <w:numPr>
          <w:ilvl w:val="0"/>
          <w:numId w:val="1"/>
        </w:numPr>
        <w:spacing w:after="0"/>
        <w:contextualSpacing w:val="0"/>
      </w:pPr>
      <w:r>
        <w:t>CIDP patients who relapse within six months of commencing a trial of Ig therapy.</w:t>
      </w:r>
    </w:p>
    <w:p w:rsidR="003B5425" w:rsidRDefault="003B5425" w:rsidP="00A806C0">
      <w:pPr>
        <w:spacing w:after="120"/>
      </w:pPr>
      <w:r>
        <w:t xml:space="preserve">Expert advice received during the review phase confirmed that version 3 of </w:t>
      </w:r>
      <w:r w:rsidRPr="008D52B0">
        <w:rPr>
          <w:i/>
        </w:rPr>
        <w:t>the Criteria</w:t>
      </w:r>
      <w:r>
        <w:t xml:space="preserve"> intends to restrict </w:t>
      </w:r>
      <w:r w:rsidR="00453F68">
        <w:t>Ig</w:t>
      </w:r>
      <w:r>
        <w:t xml:space="preserve"> access to cases of moderate to severe CIDP via the use of clinically meaningful scales to assess disability. Reserving treatment for moderate to severe cases </w:t>
      </w:r>
      <w:r w:rsidRPr="00167555">
        <w:rPr>
          <w:noProof/>
        </w:rPr>
        <w:t>aligns</w:t>
      </w:r>
      <w:r>
        <w:t xml:space="preserve"> with established guidelines which recommend that if symptoms are mild, a patient should </w:t>
      </w:r>
      <w:r w:rsidRPr="00167555">
        <w:rPr>
          <w:noProof/>
        </w:rPr>
        <w:t>be monitored</w:t>
      </w:r>
      <w:r>
        <w:t xml:space="preserve"> without treatment.</w:t>
      </w:r>
      <w:r w:rsidRPr="008D52B0">
        <w:rPr>
          <w:noProof/>
          <w:vertAlign w:val="superscript"/>
        </w:rPr>
        <w:t>1, 5, 6</w:t>
      </w:r>
      <w:r>
        <w:t xml:space="preserve"> </w:t>
      </w:r>
    </w:p>
    <w:p w:rsidR="003B5425" w:rsidRDefault="003B5425" w:rsidP="00A806C0">
      <w:pPr>
        <w:spacing w:after="240"/>
      </w:pPr>
    </w:p>
    <w:p w:rsidR="003B5425" w:rsidRPr="004F31B6" w:rsidRDefault="003B5425" w:rsidP="00A806C0">
      <w:pPr>
        <w:pStyle w:val="Caption"/>
        <w:rPr>
          <w:rFonts w:asciiTheme="minorHAnsi" w:hAnsiTheme="minorHAnsi" w:cstheme="minorHAnsi"/>
        </w:rPr>
      </w:pPr>
      <w:bookmarkStart w:id="3" w:name="_Ref535245853"/>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1</w:t>
      </w:r>
      <w:r w:rsidRPr="004F31B6">
        <w:rPr>
          <w:rFonts w:asciiTheme="minorHAnsi" w:hAnsiTheme="minorHAnsi" w:cstheme="minorHAnsi"/>
        </w:rPr>
        <w:fldChar w:fldCharType="end"/>
      </w:r>
      <w:bookmarkEnd w:id="3"/>
      <w:r w:rsidRPr="004F31B6">
        <w:rPr>
          <w:rFonts w:asciiTheme="minorHAnsi" w:hAnsiTheme="minorHAnsi" w:cstheme="minorHAnsi"/>
        </w:rPr>
        <w:tab/>
        <w:t>Current initial qualifying criteria for the use of Ig in CIDP in Australia</w:t>
      </w:r>
    </w:p>
    <w:tbl>
      <w:tblPr>
        <w:tblStyle w:val="TableGrid"/>
        <w:tblW w:w="0" w:type="auto"/>
        <w:tblLook w:val="04A0" w:firstRow="1" w:lastRow="0" w:firstColumn="1" w:lastColumn="0" w:noHBand="0" w:noVBand="1"/>
        <w:tblCaption w:val="Table 1 Current initial qualifying criteria for the use of Ig in CIDP in Australia"/>
        <w:tblDescription w:val="table decribes, indication of CIDP patients in whom walking is compromised or there is significant disability and CIDP patients who relapse within six months of commencinga trial off Ig therapy."/>
      </w:tblPr>
      <w:tblGrid>
        <w:gridCol w:w="8784"/>
      </w:tblGrid>
      <w:tr w:rsidR="003B5425" w:rsidRPr="004F31B6" w:rsidTr="00384907">
        <w:trPr>
          <w:tblHeader/>
        </w:trPr>
        <w:tc>
          <w:tcPr>
            <w:tcW w:w="8784" w:type="dxa"/>
            <w:shd w:val="clear" w:color="auto" w:fill="D9D9D9" w:themeFill="background1" w:themeFillShade="D9"/>
            <w:vAlign w:val="center"/>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 xml:space="preserve">Indication: CIDP patients in whom walking </w:t>
            </w:r>
            <w:r w:rsidRPr="004F31B6">
              <w:rPr>
                <w:rFonts w:asciiTheme="minorHAnsi" w:hAnsiTheme="minorHAnsi" w:cstheme="minorHAnsi"/>
                <w:noProof/>
              </w:rPr>
              <w:t>is compromised</w:t>
            </w:r>
            <w:r w:rsidRPr="004F31B6">
              <w:rPr>
                <w:rFonts w:asciiTheme="minorHAnsi" w:hAnsiTheme="minorHAnsi" w:cstheme="minorHAnsi"/>
              </w:rPr>
              <w:t xml:space="preserve"> </w:t>
            </w:r>
            <w:r w:rsidRPr="004F31B6">
              <w:rPr>
                <w:rFonts w:asciiTheme="minorHAnsi" w:hAnsiTheme="minorHAnsi" w:cstheme="minorHAnsi"/>
                <w:noProof/>
              </w:rPr>
              <w:t>or</w:t>
            </w:r>
            <w:r w:rsidRPr="004F31B6">
              <w:rPr>
                <w:rFonts w:asciiTheme="minorHAnsi" w:hAnsiTheme="minorHAnsi" w:cstheme="minorHAnsi"/>
              </w:rPr>
              <w:t xml:space="preserve"> there is </w:t>
            </w:r>
            <w:r w:rsidRPr="004F31B6">
              <w:rPr>
                <w:rFonts w:asciiTheme="minorHAnsi" w:hAnsiTheme="minorHAnsi" w:cstheme="minorHAnsi"/>
                <w:noProof/>
              </w:rPr>
              <w:t>significant</w:t>
            </w:r>
            <w:r w:rsidRPr="004F31B6">
              <w:rPr>
                <w:rFonts w:asciiTheme="minorHAnsi" w:hAnsiTheme="minorHAnsi" w:cstheme="minorHAnsi"/>
              </w:rPr>
              <w:t xml:space="preserve"> disability</w:t>
            </w:r>
          </w:p>
        </w:tc>
      </w:tr>
      <w:tr w:rsidR="003B5425" w:rsidRPr="004F31B6" w:rsidTr="00A806C0">
        <w:tc>
          <w:tcPr>
            <w:tcW w:w="8784" w:type="dxa"/>
          </w:tcPr>
          <w:p w:rsidR="003B5425" w:rsidRPr="004F31B6" w:rsidRDefault="003B5425" w:rsidP="00993ABE">
            <w:pPr>
              <w:pStyle w:val="Tablecontents"/>
              <w:keepNext/>
              <w:ind w:left="-120"/>
              <w:rPr>
                <w:rFonts w:asciiTheme="minorHAnsi" w:hAnsiTheme="minorHAnsi" w:cstheme="minorHAnsi"/>
              </w:rPr>
            </w:pPr>
            <w:r w:rsidRPr="004F31B6">
              <w:rPr>
                <w:rFonts w:asciiTheme="minorHAnsi" w:hAnsiTheme="minorHAnsi" w:cstheme="minorHAnsi"/>
              </w:rPr>
              <w:t xml:space="preserve">In adults or children </w:t>
            </w:r>
            <w:r w:rsidRPr="004F31B6">
              <w:rPr>
                <w:rFonts w:asciiTheme="minorHAnsi" w:hAnsiTheme="minorHAnsi" w:cstheme="minorHAnsi"/>
                <w:noProof/>
              </w:rPr>
              <w:t>10</w:t>
            </w:r>
            <w:r w:rsidRPr="004F31B6">
              <w:rPr>
                <w:rFonts w:asciiTheme="minorHAnsi" w:hAnsiTheme="minorHAnsi" w:cstheme="minorHAnsi"/>
              </w:rPr>
              <w:t xml:space="preserve"> years or older</w:t>
            </w:r>
          </w:p>
          <w:p w:rsidR="003B5425" w:rsidRPr="004F31B6" w:rsidRDefault="003B5425" w:rsidP="009764F3">
            <w:pPr>
              <w:pStyle w:val="Tablecontents"/>
              <w:keepNext/>
              <w:numPr>
                <w:ilvl w:val="0"/>
                <w:numId w:val="12"/>
              </w:numPr>
              <w:rPr>
                <w:rFonts w:asciiTheme="minorHAnsi" w:hAnsiTheme="minorHAnsi" w:cstheme="minorHAnsi"/>
              </w:rPr>
            </w:pPr>
            <w:r w:rsidRPr="004F31B6">
              <w:rPr>
                <w:rFonts w:asciiTheme="minorHAnsi" w:hAnsiTheme="minorHAnsi" w:cstheme="minorHAnsi"/>
              </w:rPr>
              <w:t xml:space="preserve">Significant disability or compromised walking objectively measured by an ONLS score of at least two points, </w:t>
            </w:r>
            <w:r w:rsidRPr="004F31B6">
              <w:rPr>
                <w:rFonts w:asciiTheme="minorHAnsi" w:hAnsiTheme="minorHAnsi" w:cstheme="minorHAnsi"/>
                <w:b/>
              </w:rPr>
              <w:t xml:space="preserve">and </w:t>
            </w:r>
            <w:r w:rsidRPr="004F31B6">
              <w:rPr>
                <w:rFonts w:asciiTheme="minorHAnsi" w:hAnsiTheme="minorHAnsi" w:cstheme="minorHAnsi"/>
              </w:rPr>
              <w:t>the MRC sum score</w:t>
            </w:r>
          </w:p>
          <w:p w:rsidR="003B5425" w:rsidRPr="004F31B6" w:rsidRDefault="003B5425" w:rsidP="00A806C0">
            <w:pPr>
              <w:pStyle w:val="Tablecontents"/>
              <w:keepNext/>
              <w:rPr>
                <w:rFonts w:asciiTheme="minorHAnsi" w:hAnsiTheme="minorHAnsi" w:cstheme="minorHAnsi"/>
                <w:b/>
              </w:rPr>
            </w:pPr>
            <w:r w:rsidRPr="004F31B6">
              <w:rPr>
                <w:rFonts w:asciiTheme="minorHAnsi" w:hAnsiTheme="minorHAnsi" w:cstheme="minorHAnsi"/>
                <w:b/>
              </w:rPr>
              <w:t>OR</w:t>
            </w:r>
          </w:p>
          <w:p w:rsidR="003B5425" w:rsidRPr="004F31B6" w:rsidRDefault="003B5425" w:rsidP="00993ABE">
            <w:pPr>
              <w:pStyle w:val="Tablecontents"/>
              <w:keepNext/>
              <w:ind w:left="-120"/>
              <w:rPr>
                <w:rFonts w:asciiTheme="minorHAnsi" w:hAnsiTheme="minorHAnsi" w:cstheme="minorHAnsi"/>
              </w:rPr>
            </w:pPr>
            <w:r w:rsidRPr="004F31B6">
              <w:rPr>
                <w:rFonts w:asciiTheme="minorHAnsi" w:hAnsiTheme="minorHAnsi" w:cstheme="minorHAnsi"/>
              </w:rPr>
              <w:t xml:space="preserve">In children less than </w:t>
            </w:r>
            <w:r w:rsidRPr="004F31B6">
              <w:rPr>
                <w:rFonts w:asciiTheme="minorHAnsi" w:hAnsiTheme="minorHAnsi" w:cstheme="minorHAnsi"/>
                <w:noProof/>
              </w:rPr>
              <w:t>10</w:t>
            </w:r>
            <w:r w:rsidRPr="004F31B6">
              <w:rPr>
                <w:rFonts w:asciiTheme="minorHAnsi" w:hAnsiTheme="minorHAnsi" w:cstheme="minorHAnsi"/>
              </w:rPr>
              <w:t xml:space="preserve"> years</w:t>
            </w:r>
          </w:p>
          <w:p w:rsidR="003B5425" w:rsidRPr="004F31B6" w:rsidRDefault="003B5425" w:rsidP="009764F3">
            <w:pPr>
              <w:pStyle w:val="Tablecontents"/>
              <w:keepNext/>
              <w:numPr>
                <w:ilvl w:val="0"/>
                <w:numId w:val="12"/>
              </w:numPr>
              <w:rPr>
                <w:rFonts w:asciiTheme="minorHAnsi" w:hAnsiTheme="minorHAnsi" w:cstheme="minorHAnsi"/>
              </w:rPr>
            </w:pPr>
            <w:r w:rsidRPr="004F31B6">
              <w:rPr>
                <w:rFonts w:asciiTheme="minorHAnsi" w:hAnsiTheme="minorHAnsi" w:cstheme="minorHAnsi"/>
              </w:rPr>
              <w:t xml:space="preserve">Significant disability or compromised walking measured by the 6MWT, </w:t>
            </w:r>
            <w:r w:rsidRPr="004F31B6">
              <w:rPr>
                <w:rFonts w:asciiTheme="minorHAnsi" w:hAnsiTheme="minorHAnsi" w:cstheme="minorHAnsi"/>
                <w:b/>
                <w:noProof/>
              </w:rPr>
              <w:t>and/or</w:t>
            </w:r>
            <w:r w:rsidRPr="004F31B6">
              <w:rPr>
                <w:rFonts w:asciiTheme="minorHAnsi" w:hAnsiTheme="minorHAnsi" w:cstheme="minorHAnsi"/>
                <w:b/>
              </w:rPr>
              <w:t xml:space="preserve"> </w:t>
            </w:r>
            <w:r w:rsidRPr="004F31B6">
              <w:rPr>
                <w:rFonts w:asciiTheme="minorHAnsi" w:hAnsiTheme="minorHAnsi" w:cstheme="minorHAnsi"/>
              </w:rPr>
              <w:t>an MRS score of at least 2 points</w:t>
            </w:r>
          </w:p>
          <w:p w:rsidR="003B5425" w:rsidRPr="004F31B6" w:rsidRDefault="003B5425" w:rsidP="00474677">
            <w:pPr>
              <w:pStyle w:val="Tablecontents"/>
              <w:keepNext/>
              <w:ind w:left="-120"/>
              <w:rPr>
                <w:rFonts w:asciiTheme="minorHAnsi" w:hAnsiTheme="minorHAnsi" w:cstheme="minorHAnsi"/>
              </w:rPr>
            </w:pPr>
            <w:r w:rsidRPr="004F31B6">
              <w:rPr>
                <w:rFonts w:asciiTheme="minorHAnsi" w:hAnsiTheme="minorHAnsi" w:cstheme="minorHAnsi"/>
              </w:rPr>
              <w:t xml:space="preserve">Review by a neurologist is required after four months of Ig therapy to determine whether the patient has responded. If there is no benefit after this period of treatment, </w:t>
            </w:r>
            <w:r w:rsidR="00453F68">
              <w:rPr>
                <w:rFonts w:asciiTheme="minorHAnsi" w:hAnsiTheme="minorHAnsi" w:cstheme="minorHAnsi"/>
              </w:rPr>
              <w:t>Ig</w:t>
            </w:r>
            <w:r w:rsidRPr="004F31B6">
              <w:rPr>
                <w:rFonts w:asciiTheme="minorHAnsi" w:hAnsiTheme="minorHAnsi" w:cstheme="minorHAnsi"/>
              </w:rPr>
              <w:t xml:space="preserve"> therapy should </w:t>
            </w:r>
            <w:r w:rsidRPr="004F31B6">
              <w:rPr>
                <w:rFonts w:asciiTheme="minorHAnsi" w:hAnsiTheme="minorHAnsi" w:cstheme="minorHAnsi"/>
                <w:noProof/>
              </w:rPr>
              <w:t>be abandoned</w:t>
            </w:r>
            <w:r w:rsidRPr="004F31B6">
              <w:rPr>
                <w:rFonts w:asciiTheme="minorHAnsi" w:hAnsiTheme="minorHAnsi" w:cstheme="minorHAnsi"/>
              </w:rPr>
              <w:t xml:space="preserve">. </w:t>
            </w:r>
          </w:p>
        </w:tc>
      </w:tr>
      <w:tr w:rsidR="003B5425" w:rsidRPr="004F31B6" w:rsidTr="00A806C0">
        <w:tc>
          <w:tcPr>
            <w:tcW w:w="8784" w:type="dxa"/>
            <w:shd w:val="clear" w:color="auto" w:fill="D9D9D9" w:themeFill="background1" w:themeFillShade="D9"/>
            <w:vAlign w:val="center"/>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Indication: CIDP patients who relapse within six months of commencing a trial off Ig therapy</w:t>
            </w:r>
          </w:p>
        </w:tc>
      </w:tr>
      <w:tr w:rsidR="003B5425" w:rsidRPr="004F31B6" w:rsidTr="00A806C0">
        <w:tc>
          <w:tcPr>
            <w:tcW w:w="8784" w:type="dxa"/>
          </w:tcPr>
          <w:p w:rsidR="003B5425" w:rsidRPr="004F31B6" w:rsidRDefault="003B5425" w:rsidP="00474677">
            <w:pPr>
              <w:pStyle w:val="Tablecontents"/>
              <w:keepNext/>
              <w:ind w:left="-120"/>
              <w:rPr>
                <w:rFonts w:asciiTheme="minorHAnsi" w:hAnsiTheme="minorHAnsi" w:cstheme="minorHAnsi"/>
              </w:rPr>
            </w:pPr>
            <w:r w:rsidRPr="004F31B6">
              <w:rPr>
                <w:rFonts w:asciiTheme="minorHAnsi" w:hAnsiTheme="minorHAnsi" w:cstheme="minorHAnsi"/>
              </w:rPr>
              <w:t xml:space="preserve">In a previously stable adult or child of at least </w:t>
            </w:r>
            <w:r w:rsidRPr="004F31B6">
              <w:rPr>
                <w:rFonts w:asciiTheme="minorHAnsi" w:hAnsiTheme="minorHAnsi" w:cstheme="minorHAnsi"/>
                <w:noProof/>
              </w:rPr>
              <w:t>10</w:t>
            </w:r>
            <w:r w:rsidRPr="004F31B6">
              <w:rPr>
                <w:rFonts w:asciiTheme="minorHAnsi" w:hAnsiTheme="minorHAnsi" w:cstheme="minorHAnsi"/>
              </w:rPr>
              <w:t xml:space="preserve"> years of age, </w:t>
            </w:r>
          </w:p>
          <w:p w:rsidR="003B5425" w:rsidRPr="004F31B6" w:rsidRDefault="003B5425" w:rsidP="009764F3">
            <w:pPr>
              <w:pStyle w:val="Tablecontents"/>
              <w:keepNext/>
              <w:numPr>
                <w:ilvl w:val="0"/>
                <w:numId w:val="12"/>
              </w:numPr>
              <w:rPr>
                <w:rFonts w:asciiTheme="minorHAnsi" w:hAnsiTheme="minorHAnsi" w:cstheme="minorHAnsi"/>
              </w:rPr>
            </w:pPr>
            <w:r w:rsidRPr="004F31B6">
              <w:rPr>
                <w:rFonts w:asciiTheme="minorHAnsi" w:hAnsiTheme="minorHAnsi" w:cstheme="minorHAnsi"/>
              </w:rPr>
              <w:t xml:space="preserve">Deterioration in disability as measured by an increase of at least one point in the Adjusted ONLS, </w:t>
            </w:r>
            <w:r w:rsidRPr="004F31B6">
              <w:rPr>
                <w:rFonts w:asciiTheme="minorHAnsi" w:hAnsiTheme="minorHAnsi" w:cstheme="minorHAnsi"/>
                <w:b/>
              </w:rPr>
              <w:t xml:space="preserve">or </w:t>
            </w:r>
            <w:r w:rsidRPr="004F31B6">
              <w:rPr>
                <w:rFonts w:asciiTheme="minorHAnsi" w:hAnsiTheme="minorHAnsi" w:cstheme="minorHAnsi"/>
              </w:rPr>
              <w:t>a reduction in the MRC sum score of at least three points, when compared to the review score before stopping previous treatment</w:t>
            </w:r>
          </w:p>
          <w:p w:rsidR="003B5425" w:rsidRPr="004F31B6" w:rsidRDefault="003B5425" w:rsidP="00A806C0">
            <w:pPr>
              <w:pStyle w:val="Tablecontents"/>
              <w:keepNext/>
              <w:rPr>
                <w:rFonts w:asciiTheme="minorHAnsi" w:hAnsiTheme="minorHAnsi" w:cstheme="minorHAnsi"/>
                <w:b/>
              </w:rPr>
            </w:pPr>
            <w:r w:rsidRPr="004F31B6">
              <w:rPr>
                <w:rFonts w:asciiTheme="minorHAnsi" w:hAnsiTheme="minorHAnsi" w:cstheme="minorHAnsi"/>
                <w:b/>
              </w:rPr>
              <w:t>OR</w:t>
            </w:r>
          </w:p>
          <w:p w:rsidR="003B5425" w:rsidRPr="004F31B6" w:rsidRDefault="003B5425" w:rsidP="00474677">
            <w:pPr>
              <w:pStyle w:val="Tablecontents"/>
              <w:keepNext/>
              <w:ind w:left="-120"/>
              <w:rPr>
                <w:rFonts w:asciiTheme="minorHAnsi" w:hAnsiTheme="minorHAnsi" w:cstheme="minorHAnsi"/>
              </w:rPr>
            </w:pPr>
            <w:r w:rsidRPr="004F31B6">
              <w:rPr>
                <w:rFonts w:asciiTheme="minorHAnsi" w:hAnsiTheme="minorHAnsi" w:cstheme="minorHAnsi"/>
              </w:rPr>
              <w:t xml:space="preserve">In a previously stable child less than </w:t>
            </w:r>
            <w:r w:rsidRPr="004F31B6">
              <w:rPr>
                <w:rFonts w:asciiTheme="minorHAnsi" w:hAnsiTheme="minorHAnsi" w:cstheme="minorHAnsi"/>
                <w:noProof/>
              </w:rPr>
              <w:t>10</w:t>
            </w:r>
            <w:r w:rsidRPr="004F31B6">
              <w:rPr>
                <w:rFonts w:asciiTheme="minorHAnsi" w:hAnsiTheme="minorHAnsi" w:cstheme="minorHAnsi"/>
              </w:rPr>
              <w:t xml:space="preserve"> years of age,</w:t>
            </w:r>
          </w:p>
          <w:p w:rsidR="003B5425" w:rsidRPr="004F31B6" w:rsidRDefault="003B5425" w:rsidP="009764F3">
            <w:pPr>
              <w:pStyle w:val="Tablecontents"/>
              <w:keepNext/>
              <w:numPr>
                <w:ilvl w:val="0"/>
                <w:numId w:val="12"/>
              </w:numPr>
              <w:spacing w:after="0"/>
              <w:rPr>
                <w:rFonts w:asciiTheme="minorHAnsi" w:hAnsiTheme="minorHAnsi" w:cstheme="minorHAnsi"/>
              </w:rPr>
            </w:pPr>
            <w:r w:rsidRPr="004F31B6">
              <w:rPr>
                <w:rFonts w:asciiTheme="minorHAnsi" w:hAnsiTheme="minorHAnsi" w:cstheme="minorHAnsi"/>
              </w:rPr>
              <w:t xml:space="preserve">Deterioration in disability as measured by a reduction in the 6MWT </w:t>
            </w:r>
            <w:r w:rsidRPr="004F31B6">
              <w:rPr>
                <w:rFonts w:asciiTheme="minorHAnsi" w:hAnsiTheme="minorHAnsi" w:cstheme="minorHAnsi"/>
                <w:b/>
              </w:rPr>
              <w:t xml:space="preserve">or </w:t>
            </w:r>
            <w:r w:rsidRPr="004F31B6">
              <w:rPr>
                <w:rFonts w:asciiTheme="minorHAnsi" w:hAnsiTheme="minorHAnsi" w:cstheme="minorHAnsi"/>
              </w:rPr>
              <w:t>an increase of at least one point in the MRS compared to the review score before stopping previous treatment</w:t>
            </w:r>
          </w:p>
          <w:p w:rsidR="003B5425" w:rsidRPr="004F31B6" w:rsidRDefault="003B5425" w:rsidP="00A806C0">
            <w:pPr>
              <w:pStyle w:val="Tablecontents"/>
              <w:keepNext/>
              <w:rPr>
                <w:rFonts w:asciiTheme="minorHAnsi" w:hAnsiTheme="minorHAnsi" w:cstheme="minorHAnsi"/>
                <w:b/>
              </w:rPr>
            </w:pPr>
            <w:r w:rsidRPr="004F31B6">
              <w:rPr>
                <w:rFonts w:asciiTheme="minorHAnsi" w:hAnsiTheme="minorHAnsi" w:cstheme="minorHAnsi"/>
                <w:b/>
              </w:rPr>
              <w:t xml:space="preserve">AND </w:t>
            </w:r>
          </w:p>
          <w:p w:rsidR="003B5425" w:rsidRPr="004F31B6" w:rsidRDefault="003B5425" w:rsidP="00474677">
            <w:pPr>
              <w:pStyle w:val="Tablecontents"/>
              <w:keepNext/>
              <w:numPr>
                <w:ilvl w:val="0"/>
                <w:numId w:val="12"/>
              </w:numPr>
              <w:rPr>
                <w:rFonts w:asciiTheme="minorHAnsi" w:hAnsiTheme="minorHAnsi" w:cstheme="minorHAnsi"/>
              </w:rPr>
            </w:pPr>
            <w:r w:rsidRPr="004F31B6">
              <w:rPr>
                <w:rFonts w:asciiTheme="minorHAnsi" w:hAnsiTheme="minorHAnsi" w:cstheme="minorHAnsi"/>
              </w:rPr>
              <w:t>Relapse has occurred within six months of the last Ig dose</w:t>
            </w:r>
          </w:p>
          <w:p w:rsidR="003B5425" w:rsidRPr="004F31B6" w:rsidRDefault="00453F68" w:rsidP="00B1580E">
            <w:pPr>
              <w:pStyle w:val="Tablecontents"/>
              <w:keepNext/>
              <w:ind w:left="720"/>
              <w:rPr>
                <w:rFonts w:asciiTheme="minorHAnsi" w:hAnsiTheme="minorHAnsi" w:cstheme="minorHAnsi"/>
                <w:i/>
              </w:rPr>
            </w:pPr>
            <w:r>
              <w:rPr>
                <w:rFonts w:asciiTheme="minorHAnsi" w:hAnsiTheme="minorHAnsi" w:cstheme="minorHAnsi"/>
                <w:i/>
              </w:rPr>
              <w:t>Ig</w:t>
            </w:r>
            <w:r w:rsidR="003B5425" w:rsidRPr="004F31B6">
              <w:rPr>
                <w:rFonts w:asciiTheme="minorHAnsi" w:hAnsiTheme="minorHAnsi" w:cstheme="minorHAnsi"/>
                <w:i/>
              </w:rPr>
              <w:t xml:space="preserve"> should </w:t>
            </w:r>
            <w:r w:rsidR="003B5425" w:rsidRPr="004F31B6">
              <w:rPr>
                <w:rFonts w:asciiTheme="minorHAnsi" w:hAnsiTheme="minorHAnsi" w:cstheme="minorHAnsi"/>
                <w:i/>
                <w:noProof/>
              </w:rPr>
              <w:t>be used</w:t>
            </w:r>
            <w:r w:rsidR="003B5425" w:rsidRPr="004F31B6">
              <w:rPr>
                <w:rFonts w:asciiTheme="minorHAnsi" w:hAnsiTheme="minorHAnsi" w:cstheme="minorHAnsi"/>
                <w:i/>
              </w:rPr>
              <w:t xml:space="preserve"> for a maximum period of four months (induction plus three maintenance cycles) before determining whether the patient has responded. If there is no benefit after this treatment, </w:t>
            </w:r>
            <w:r>
              <w:rPr>
                <w:rFonts w:asciiTheme="minorHAnsi" w:hAnsiTheme="minorHAnsi" w:cstheme="minorHAnsi"/>
                <w:i/>
              </w:rPr>
              <w:t>Ig</w:t>
            </w:r>
            <w:r w:rsidR="003B5425" w:rsidRPr="004F31B6">
              <w:rPr>
                <w:rFonts w:asciiTheme="minorHAnsi" w:hAnsiTheme="minorHAnsi" w:cstheme="minorHAnsi"/>
                <w:i/>
              </w:rPr>
              <w:t xml:space="preserve"> should </w:t>
            </w:r>
            <w:r w:rsidR="003B5425" w:rsidRPr="004F31B6">
              <w:rPr>
                <w:rFonts w:asciiTheme="minorHAnsi" w:hAnsiTheme="minorHAnsi" w:cstheme="minorHAnsi"/>
                <w:i/>
                <w:noProof/>
              </w:rPr>
              <w:t>be abandoned</w:t>
            </w:r>
            <w:r w:rsidR="003B5425" w:rsidRPr="004F31B6">
              <w:rPr>
                <w:rFonts w:asciiTheme="minorHAnsi" w:hAnsiTheme="minorHAnsi" w:cstheme="minorHAnsi"/>
                <w:i/>
              </w:rPr>
              <w:t>.</w:t>
            </w:r>
          </w:p>
        </w:tc>
      </w:tr>
    </w:tbl>
    <w:p w:rsidR="003B5425" w:rsidRPr="00FA2F09" w:rsidRDefault="003B5425" w:rsidP="00A806C0">
      <w:pPr>
        <w:pStyle w:val="Tablenotes"/>
      </w:pPr>
      <w:r w:rsidRPr="00167555">
        <w:rPr>
          <w:b/>
          <w:noProof/>
        </w:rPr>
        <w:t>Source</w:t>
      </w:r>
      <w:r w:rsidRPr="00167555">
        <w:rPr>
          <w:noProof/>
        </w:rPr>
        <w:t>: Adapted from Box 1 of the Referral Form, page 27.</w:t>
      </w:r>
      <w:r w:rsidRPr="00FA2F09">
        <w:t xml:space="preserve"> Originally sourced from the Criteria for the Clinical Use of Immunoglobulin in Australia</w:t>
      </w:r>
      <w:r>
        <w:t xml:space="preserve"> (version 3)</w:t>
      </w:r>
      <w:r w:rsidRPr="00FA2F09">
        <w:t>, available online.</w:t>
      </w:r>
      <w:r w:rsidRPr="008D52B0">
        <w:rPr>
          <w:noProof/>
          <w:vertAlign w:val="superscript"/>
        </w:rPr>
        <w:t>4</w:t>
      </w:r>
      <w:r w:rsidRPr="00FA2F09">
        <w:t xml:space="preserve"> Additional information has </w:t>
      </w:r>
      <w:r w:rsidRPr="00167555">
        <w:rPr>
          <w:noProof/>
        </w:rPr>
        <w:t>been sourced</w:t>
      </w:r>
      <w:r w:rsidRPr="00FA2F09">
        <w:t xml:space="preserve"> from </w:t>
      </w:r>
      <w:r w:rsidRPr="00167555">
        <w:rPr>
          <w:noProof/>
        </w:rPr>
        <w:t>th</w:t>
      </w:r>
      <w:r>
        <w:rPr>
          <w:noProof/>
        </w:rPr>
        <w:t>ese</w:t>
      </w:r>
      <w:r w:rsidRPr="00167555">
        <w:rPr>
          <w:noProof/>
        </w:rPr>
        <w:t xml:space="preserve"> Criteria</w:t>
      </w:r>
      <w:r w:rsidRPr="00FA2F09">
        <w:t xml:space="preserve">. </w:t>
      </w:r>
    </w:p>
    <w:p w:rsidR="003B5425" w:rsidRPr="00FA2F09" w:rsidRDefault="003B5425" w:rsidP="00A806C0">
      <w:pPr>
        <w:pStyle w:val="Tablenotes"/>
      </w:pPr>
      <w:r w:rsidRPr="00FA2F09">
        <w:rPr>
          <w:b/>
        </w:rPr>
        <w:t>Abbreviations</w:t>
      </w:r>
      <w:r w:rsidRPr="00FA2F09">
        <w:t xml:space="preserve">: </w:t>
      </w:r>
      <w:r w:rsidRPr="00FA2F09">
        <w:rPr>
          <w:b/>
        </w:rPr>
        <w:t>ONLS</w:t>
      </w:r>
      <w:r w:rsidRPr="00FA2F09">
        <w:t xml:space="preserve"> = Overall Neuropathy Limitations Scale, </w:t>
      </w:r>
      <w:r w:rsidRPr="00FA2F09">
        <w:rPr>
          <w:b/>
        </w:rPr>
        <w:t>MRC</w:t>
      </w:r>
      <w:r w:rsidRPr="00FA2F09">
        <w:t xml:space="preserve"> = Medical Research Council, </w:t>
      </w:r>
      <w:r w:rsidRPr="00FA2F09">
        <w:rPr>
          <w:b/>
        </w:rPr>
        <w:t>6MWT</w:t>
      </w:r>
      <w:r w:rsidRPr="00FA2F09">
        <w:t xml:space="preserve"> = Six-minute walk test; </w:t>
      </w:r>
      <w:r w:rsidRPr="00FA2F09">
        <w:rPr>
          <w:b/>
        </w:rPr>
        <w:t>MRS</w:t>
      </w:r>
      <w:r w:rsidRPr="00FA2F09">
        <w:t xml:space="preserve">= Modified Rankin Scale, </w:t>
      </w:r>
      <w:r w:rsidRPr="00FA2F09">
        <w:rPr>
          <w:b/>
        </w:rPr>
        <w:t>CIDP</w:t>
      </w:r>
      <w:r w:rsidRPr="00FA2F09">
        <w:t>= Chronic inflammatory demyelinating polyneuropathy.</w:t>
      </w:r>
    </w:p>
    <w:p w:rsidR="003B5425" w:rsidRPr="002A2856" w:rsidRDefault="003B5425" w:rsidP="00A806C0">
      <w:pPr>
        <w:pStyle w:val="Heading3"/>
      </w:pPr>
      <w:r w:rsidRPr="002A2856">
        <w:t>Background</w:t>
      </w:r>
    </w:p>
    <w:p w:rsidR="003B5425" w:rsidRDefault="003B5425" w:rsidP="00A806C0">
      <w:r>
        <w:t>CIDP</w:t>
      </w:r>
      <w:r w:rsidRPr="0099387B">
        <w:t xml:space="preserve"> is an acquired </w:t>
      </w:r>
      <w:r>
        <w:t>autoimmune neuropathy affecting the peripheral nervous system. The condition typically impairs motor and sensory nerves, with patients experiencing</w:t>
      </w:r>
      <w:r w:rsidRPr="0099387B">
        <w:t xml:space="preserve"> weakness and </w:t>
      </w:r>
      <w:r>
        <w:t>sensory loss in their limbs, commonly in the legs first.</w:t>
      </w:r>
      <w:r w:rsidRPr="008D52B0">
        <w:rPr>
          <w:noProof/>
          <w:vertAlign w:val="superscript"/>
        </w:rPr>
        <w:t>6-8</w:t>
      </w:r>
      <w:r>
        <w:t xml:space="preserve"> This weakness is often so severe that a patient is unable to walk unaided.</w:t>
      </w:r>
      <w:r w:rsidRPr="008D52B0">
        <w:rPr>
          <w:noProof/>
          <w:vertAlign w:val="superscript"/>
        </w:rPr>
        <w:t>6</w:t>
      </w:r>
      <w:r>
        <w:t xml:space="preserve"> CIDP is a treatable </w:t>
      </w:r>
      <w:r w:rsidRPr="00167555">
        <w:rPr>
          <w:noProof/>
        </w:rPr>
        <w:t>condition</w:t>
      </w:r>
      <w:r>
        <w:rPr>
          <w:noProof/>
        </w:rPr>
        <w:t>;</w:t>
      </w:r>
      <w:r>
        <w:t xml:space="preserve"> however, repeated or prolonged treatment is often required.</w:t>
      </w:r>
      <w:r w:rsidRPr="008D52B0">
        <w:rPr>
          <w:noProof/>
          <w:vertAlign w:val="superscript"/>
        </w:rPr>
        <w:t>7</w:t>
      </w:r>
      <w:r>
        <w:t xml:space="preserve"> </w:t>
      </w:r>
    </w:p>
    <w:p w:rsidR="003B5425" w:rsidRDefault="003B5425" w:rsidP="00A806C0">
      <w:r w:rsidRPr="00167555">
        <w:rPr>
          <w:noProof/>
        </w:rPr>
        <w:t>CIDP is believed to occur when the immune system inappropriately attacks peripheral nerve antigens.</w:t>
      </w:r>
      <w:r w:rsidRPr="00167555">
        <w:rPr>
          <w:noProof/>
          <w:vertAlign w:val="superscript"/>
        </w:rPr>
        <w:t>9</w:t>
      </w:r>
      <w:r w:rsidRPr="00167555">
        <w:rPr>
          <w:noProof/>
        </w:rPr>
        <w:t xml:space="preserve"> Inflammation of the peripheral nerves can damage the insulating myelin sheaths, causing demyelination and interfering with signal conductivity.</w:t>
      </w:r>
      <w:r w:rsidRPr="00167555">
        <w:rPr>
          <w:noProof/>
          <w:vertAlign w:val="superscript"/>
        </w:rPr>
        <w:t>7</w:t>
      </w:r>
      <w:r w:rsidRPr="00167555">
        <w:rPr>
          <w:noProof/>
        </w:rPr>
        <w:t xml:space="preserve"> CIDP typically develops slowly, over a period of at least 8 weeks, although there are acute presentations.</w:t>
      </w:r>
      <w:r w:rsidRPr="00167555">
        <w:rPr>
          <w:noProof/>
          <w:vertAlign w:val="superscript"/>
        </w:rPr>
        <w:t>1, 10</w:t>
      </w:r>
      <w:r w:rsidRPr="00167555">
        <w:rPr>
          <w:noProof/>
        </w:rPr>
        <w:t xml:space="preserve"> This slow onset helps distinguishes it from Guillain- Barré Syndrome which develops acutely and starts to improve within 2-4 weeks.</w:t>
      </w:r>
      <w:r w:rsidRPr="00167555">
        <w:rPr>
          <w:noProof/>
          <w:vertAlign w:val="superscript"/>
        </w:rPr>
        <w:t>1, 10</w:t>
      </w:r>
      <w:r w:rsidRPr="0099387B">
        <w:t xml:space="preserve"> </w:t>
      </w:r>
    </w:p>
    <w:p w:rsidR="003B5425" w:rsidRPr="000A50D9" w:rsidRDefault="003B5425" w:rsidP="004F31B6">
      <w:pPr>
        <w:spacing w:after="0" w:line="240" w:lineRule="auto"/>
      </w:pPr>
      <w:r>
        <w:t xml:space="preserve">CIDP is a medical condition which may follow one of </w:t>
      </w:r>
      <w:r w:rsidRPr="00167555">
        <w:rPr>
          <w:noProof/>
        </w:rPr>
        <w:t>multiple</w:t>
      </w:r>
      <w:r>
        <w:t xml:space="preserve"> courses:</w:t>
      </w:r>
      <w:r w:rsidRPr="00C45A8F">
        <w:rPr>
          <w:noProof/>
          <w:vertAlign w:val="superscript"/>
        </w:rPr>
        <w:t>10</w:t>
      </w:r>
    </w:p>
    <w:p w:rsidR="003B5425" w:rsidRPr="003B4A1B" w:rsidRDefault="003B5425" w:rsidP="004F31B6">
      <w:pPr>
        <w:pStyle w:val="ListParagraph"/>
        <w:numPr>
          <w:ilvl w:val="0"/>
          <w:numId w:val="2"/>
        </w:numPr>
        <w:spacing w:after="0" w:line="240" w:lineRule="auto"/>
      </w:pPr>
      <w:r>
        <w:t>Relapsing and remitting,</w:t>
      </w:r>
    </w:p>
    <w:p w:rsidR="003B5425" w:rsidRDefault="003B5425" w:rsidP="004F31B6">
      <w:pPr>
        <w:pStyle w:val="ListParagraph"/>
        <w:numPr>
          <w:ilvl w:val="0"/>
          <w:numId w:val="2"/>
        </w:numPr>
        <w:spacing w:after="0" w:line="240" w:lineRule="auto"/>
      </w:pPr>
      <w:r>
        <w:t>Chronic progressive, or</w:t>
      </w:r>
    </w:p>
    <w:p w:rsidR="003B5425" w:rsidRDefault="003B5425" w:rsidP="009764F3">
      <w:pPr>
        <w:pStyle w:val="ListParagraph"/>
        <w:numPr>
          <w:ilvl w:val="0"/>
          <w:numId w:val="2"/>
        </w:numPr>
      </w:pPr>
      <w:r>
        <w:t>Monophasic.</w:t>
      </w:r>
    </w:p>
    <w:p w:rsidR="003B5425" w:rsidRPr="00D1612F" w:rsidRDefault="003B5425" w:rsidP="00A806C0">
      <w:r>
        <w:lastRenderedPageBreak/>
        <w:t xml:space="preserve">Expert opinion sought during the review process confirmed that treatment for CIDP, whether it be of a relapsing and remitting or </w:t>
      </w:r>
      <w:r w:rsidRPr="00167555">
        <w:rPr>
          <w:noProof/>
        </w:rPr>
        <w:t>progressive</w:t>
      </w:r>
      <w:r>
        <w:t xml:space="preserve"> nature, would not differ.</w:t>
      </w:r>
      <w:r w:rsidRPr="00D1612F">
        <w:rPr>
          <w:noProof/>
          <w:vertAlign w:val="superscript"/>
        </w:rPr>
        <w:t>11</w:t>
      </w:r>
      <w:r>
        <w:t xml:space="preserve"> Moreover, it </w:t>
      </w:r>
      <w:r w:rsidRPr="00167555">
        <w:rPr>
          <w:noProof/>
        </w:rPr>
        <w:t>was suggested</w:t>
      </w:r>
      <w:r>
        <w:t xml:space="preserve"> that given improvements </w:t>
      </w:r>
      <w:r w:rsidRPr="00167555">
        <w:rPr>
          <w:noProof/>
        </w:rPr>
        <w:t>in the recognition of</w:t>
      </w:r>
      <w:r>
        <w:t xml:space="preserve"> this disease, CIDP of a relapsing and remitting course </w:t>
      </w:r>
      <w:r w:rsidRPr="00167555">
        <w:rPr>
          <w:noProof/>
        </w:rPr>
        <w:t>may</w:t>
      </w:r>
      <w:r>
        <w:t xml:space="preserve"> not have the opportunity to express itself as such.</w:t>
      </w:r>
      <w:r w:rsidRPr="00D1612F">
        <w:rPr>
          <w:noProof/>
          <w:vertAlign w:val="superscript"/>
        </w:rPr>
        <w:t>11</w:t>
      </w:r>
      <w:r>
        <w:t xml:space="preserve"> </w:t>
      </w:r>
    </w:p>
    <w:p w:rsidR="003B5425" w:rsidRPr="00997F58" w:rsidRDefault="003B5425" w:rsidP="00A806C0">
      <w:pPr>
        <w:pStyle w:val="Heading3"/>
      </w:pPr>
      <w:r>
        <w:t>Diagnosis</w:t>
      </w:r>
    </w:p>
    <w:p w:rsidR="003B5425" w:rsidRDefault="003B5425" w:rsidP="00A806C0">
      <w:r>
        <w:t>One of the major challenges of this condition is the difficulty in diagnosing CIDP, and as such patients often receive a diagnosis when the condition has become severe (</w:t>
      </w:r>
      <w:r w:rsidRPr="00167555">
        <w:rPr>
          <w:noProof/>
        </w:rPr>
        <w:t>e.g.</w:t>
      </w:r>
      <w:r>
        <w:rPr>
          <w:noProof/>
        </w:rPr>
        <w:t>,</w:t>
      </w:r>
      <w:r>
        <w:t xml:space="preserve"> patients are unable to walk unaided).</w:t>
      </w:r>
      <w:r w:rsidRPr="00C45A8F">
        <w:rPr>
          <w:noProof/>
          <w:vertAlign w:val="superscript"/>
        </w:rPr>
        <w:t>11</w:t>
      </w:r>
      <w:r w:rsidRPr="002541A0">
        <w:t xml:space="preserve"> </w:t>
      </w:r>
      <w:r>
        <w:t xml:space="preserve">CIDP is </w:t>
      </w:r>
      <w:r w:rsidRPr="002B1F87">
        <w:t>treat</w:t>
      </w:r>
      <w:r>
        <w:t>able once diagnosed</w:t>
      </w:r>
      <w:r w:rsidRPr="00C83C59">
        <w:rPr>
          <w:noProof/>
        </w:rPr>
        <w:t>;</w:t>
      </w:r>
      <w:r w:rsidRPr="00167555">
        <w:rPr>
          <w:noProof/>
        </w:rPr>
        <w:t xml:space="preserve"> thus</w:t>
      </w:r>
      <w:r>
        <w:t xml:space="preserve"> a timely and accurate diagnosis is imperative to ensure the best possible wellbeing for this population.</w:t>
      </w:r>
      <w:r w:rsidRPr="00C45A8F">
        <w:rPr>
          <w:noProof/>
          <w:vertAlign w:val="superscript"/>
        </w:rPr>
        <w:t>10</w:t>
      </w:r>
    </w:p>
    <w:p w:rsidR="003B5425" w:rsidRPr="00C10379" w:rsidRDefault="003B5425" w:rsidP="00A806C0">
      <w:r w:rsidRPr="00167555">
        <w:rPr>
          <w:noProof/>
        </w:rPr>
        <w:t>There is no specific diagnostic test for CIDP; to reach a diagnosis, a physician would typically consider c</w:t>
      </w:r>
      <w:r w:rsidRPr="005759EB">
        <w:rPr>
          <w:noProof/>
        </w:rPr>
        <w:t>linical signs and symptoms, evidence of demyel</w:t>
      </w:r>
      <w:r w:rsidRPr="00FA0901">
        <w:rPr>
          <w:noProof/>
        </w:rPr>
        <w:t>inatio</w:t>
      </w:r>
      <w:r w:rsidRPr="004132A9">
        <w:rPr>
          <w:noProof/>
        </w:rPr>
        <w:t>n on electrophysiological or pathological studies and the exclusion of other causes.</w:t>
      </w:r>
      <w:r w:rsidRPr="00167555">
        <w:rPr>
          <w:noProof/>
          <w:vertAlign w:val="superscript"/>
        </w:rPr>
        <w:t>7</w:t>
      </w:r>
      <w:r w:rsidRPr="00167555">
        <w:rPr>
          <w:noProof/>
        </w:rPr>
        <w:t xml:space="preserve"> Response to immunomodulating treatment may further support a diagnosis of CIDP</w:t>
      </w:r>
      <w:r w:rsidRPr="005759EB">
        <w:rPr>
          <w:noProof/>
        </w:rPr>
        <w:t xml:space="preserve"> (</w:t>
      </w:r>
      <w:r w:rsidRPr="00FA0901">
        <w:rPr>
          <w:noProof/>
        </w:rPr>
        <w:t>Referral Form, p</w:t>
      </w:r>
      <w:r w:rsidRPr="004132A9">
        <w:rPr>
          <w:noProof/>
        </w:rPr>
        <w:t>age 26</w:t>
      </w:r>
      <w:r w:rsidRPr="00167555">
        <w:rPr>
          <w:noProof/>
        </w:rPr>
        <w:t>); as may other tests including cerebrospinal fluid analysis, magnetic resonance imaging (MRI) of spinal nerve roots and nerve trunks, and nerve biopsies.</w:t>
      </w:r>
      <w:r w:rsidRPr="00167555">
        <w:rPr>
          <w:noProof/>
          <w:vertAlign w:val="superscript"/>
        </w:rPr>
        <w:t>7</w:t>
      </w:r>
    </w:p>
    <w:p w:rsidR="003B5425" w:rsidRDefault="003B5425" w:rsidP="00A806C0">
      <w:r>
        <w:t xml:space="preserve">Multiple diagnostic criteria have </w:t>
      </w:r>
      <w:r w:rsidRPr="00167555">
        <w:rPr>
          <w:noProof/>
        </w:rPr>
        <w:t>been proposed</w:t>
      </w:r>
      <w:r>
        <w:t xml:space="preserve">; however, expert opinion sought during the drafting of this PICO Confirmation confirmed that the European Federation of Neurological Societies/Peripheral Nerve Society (EFNS/PNS) </w:t>
      </w:r>
      <w:r w:rsidR="00AF5D93">
        <w:t xml:space="preserve">guidelines </w:t>
      </w:r>
      <w:r>
        <w:t>are at present, the most relevant and align with current clinical practice.</w:t>
      </w:r>
      <w:r w:rsidRPr="00C45A8F">
        <w:rPr>
          <w:noProof/>
          <w:vertAlign w:val="superscript"/>
        </w:rPr>
        <w:t>11</w:t>
      </w:r>
      <w:r>
        <w:t xml:space="preserve"> These </w:t>
      </w:r>
      <w:r w:rsidR="00AF5D93">
        <w:t>g</w:t>
      </w:r>
      <w:r>
        <w:t xml:space="preserve">uidelines were first compiled in 2006 and have since </w:t>
      </w:r>
      <w:r w:rsidRPr="00167555">
        <w:rPr>
          <w:noProof/>
        </w:rPr>
        <w:t xml:space="preserve">been </w:t>
      </w:r>
      <w:r w:rsidRPr="005759EB">
        <w:rPr>
          <w:noProof/>
        </w:rPr>
        <w:t>updated</w:t>
      </w:r>
      <w:r>
        <w:t xml:space="preserve"> in 2010.</w:t>
      </w:r>
      <w:r w:rsidRPr="008D52B0">
        <w:rPr>
          <w:noProof/>
          <w:vertAlign w:val="superscript"/>
        </w:rPr>
        <w:t>5, 12</w:t>
      </w:r>
      <w:r>
        <w:t xml:space="preserve"> </w:t>
      </w:r>
    </w:p>
    <w:p w:rsidR="003B5425" w:rsidRDefault="003B5425" w:rsidP="00A806C0">
      <w:r>
        <w:t>For the diagnosis of CIDP, the EFNS/PNS guidelines suggest the following investigations (as noted in the Referral Form, page</w:t>
      </w:r>
      <w:r w:rsidR="00377B8D">
        <w:t>s</w:t>
      </w:r>
      <w:r>
        <w:t xml:space="preserve"> 2</w:t>
      </w:r>
      <w:r w:rsidR="00377B8D">
        <w:t>5-26</w:t>
      </w:r>
      <w:r>
        <w:t>):</w:t>
      </w:r>
      <w:r w:rsidRPr="008D52B0">
        <w:rPr>
          <w:noProof/>
          <w:vertAlign w:val="superscript"/>
        </w:rPr>
        <w:t>5</w:t>
      </w:r>
    </w:p>
    <w:p w:rsidR="003B5425" w:rsidRDefault="003B5425" w:rsidP="009764F3">
      <w:pPr>
        <w:pStyle w:val="ListParagraph"/>
        <w:numPr>
          <w:ilvl w:val="0"/>
          <w:numId w:val="7"/>
        </w:numPr>
      </w:pPr>
      <w:r>
        <w:t>Nerve conduction studies</w:t>
      </w:r>
    </w:p>
    <w:p w:rsidR="003B5425" w:rsidRDefault="003B5425" w:rsidP="009764F3">
      <w:pPr>
        <w:pStyle w:val="ListParagraph"/>
        <w:numPr>
          <w:ilvl w:val="0"/>
          <w:numId w:val="7"/>
        </w:numPr>
      </w:pPr>
      <w:r>
        <w:t>Cerebrospinal fluid cells and protein</w:t>
      </w:r>
    </w:p>
    <w:p w:rsidR="003B5425" w:rsidRDefault="003B5425" w:rsidP="009764F3">
      <w:pPr>
        <w:pStyle w:val="ListParagraph"/>
        <w:numPr>
          <w:ilvl w:val="0"/>
          <w:numId w:val="7"/>
        </w:numPr>
      </w:pPr>
      <w:r>
        <w:t xml:space="preserve">MRI spinal roots, brachial plexus </w:t>
      </w:r>
      <w:r w:rsidRPr="00167555">
        <w:rPr>
          <w:noProof/>
        </w:rPr>
        <w:t>and</w:t>
      </w:r>
      <w:r>
        <w:t xml:space="preserve"> lumbosacral plexus</w:t>
      </w:r>
    </w:p>
    <w:p w:rsidR="003B5425" w:rsidRDefault="003B5425" w:rsidP="009764F3">
      <w:pPr>
        <w:pStyle w:val="ListParagraph"/>
        <w:numPr>
          <w:ilvl w:val="0"/>
          <w:numId w:val="7"/>
        </w:numPr>
      </w:pPr>
      <w:r>
        <w:t>Nerve biopsy studies</w:t>
      </w:r>
    </w:p>
    <w:p w:rsidR="00E94A85" w:rsidRPr="00377B8D" w:rsidRDefault="00E94A85" w:rsidP="009764F3">
      <w:pPr>
        <w:pStyle w:val="ListParagraph"/>
        <w:numPr>
          <w:ilvl w:val="0"/>
          <w:numId w:val="7"/>
        </w:numPr>
      </w:pPr>
      <w:r w:rsidRPr="00377B8D">
        <w:t xml:space="preserve">A supportive criterion is: Objective clinical improvement following immunomodulatory treatment </w:t>
      </w:r>
      <w:r w:rsidR="00C46928">
        <w:t>(</w:t>
      </w:r>
      <w:r w:rsidRPr="00377B8D">
        <w:t>such as IVIg)</w:t>
      </w:r>
    </w:p>
    <w:p w:rsidR="003B5425" w:rsidRDefault="003B5425" w:rsidP="00A806C0">
      <w:r>
        <w:t xml:space="preserve">The guidelines also recommend tests to detect concomitant disease </w:t>
      </w:r>
      <w:r w:rsidRPr="00167555">
        <w:rPr>
          <w:noProof/>
        </w:rPr>
        <w:t>and/or</w:t>
      </w:r>
      <w:r>
        <w:t xml:space="preserve"> hereditary neuropathy.</w:t>
      </w:r>
      <w:r w:rsidRPr="008D52B0">
        <w:rPr>
          <w:noProof/>
          <w:vertAlign w:val="superscript"/>
        </w:rPr>
        <w:t>5</w:t>
      </w:r>
      <w:r>
        <w:t xml:space="preserve"> </w:t>
      </w:r>
    </w:p>
    <w:p w:rsidR="003B5425" w:rsidRDefault="003B5425" w:rsidP="00A806C0">
      <w:r>
        <w:t xml:space="preserve">Under the EFNS/PNS criteria, patients may </w:t>
      </w:r>
      <w:r w:rsidRPr="00167555">
        <w:rPr>
          <w:noProof/>
        </w:rPr>
        <w:t>be classified</w:t>
      </w:r>
      <w:r>
        <w:t xml:space="preserve"> as having definite, probable or possible CIDP based upon specified clinical, electrodiagnostic and supportive criteria.</w:t>
      </w:r>
      <w:r w:rsidRPr="008D52B0">
        <w:rPr>
          <w:noProof/>
          <w:vertAlign w:val="superscript"/>
        </w:rPr>
        <w:t>5</w:t>
      </w:r>
      <w:r>
        <w:t xml:space="preserve"> </w:t>
      </w:r>
      <w:r w:rsidRPr="0026544F">
        <w:t xml:space="preserve">The </w:t>
      </w:r>
      <w:r>
        <w:t>Referrer</w:t>
      </w:r>
      <w:r w:rsidRPr="0026544F">
        <w:t xml:space="preserve"> notes a risk that patients may receive </w:t>
      </w:r>
      <w:r w:rsidR="00453F68">
        <w:t>Ig</w:t>
      </w:r>
      <w:r w:rsidRPr="0026544F">
        <w:t xml:space="preserve"> for an incorrect diagnosis of CIDP as no specific diagnostic tests are required for a patient to qualify for intravenous Ig in Australia (Referral Form, p</w:t>
      </w:r>
      <w:r>
        <w:t>age</w:t>
      </w:r>
      <w:r w:rsidR="00377B8D">
        <w:t>s 25- 26</w:t>
      </w:r>
      <w:r w:rsidRPr="0026544F">
        <w:t xml:space="preserve">). </w:t>
      </w:r>
      <w:r w:rsidR="00A806C0" w:rsidRPr="00377B8D">
        <w:t xml:space="preserve">However, the EFNS supportive criterion of improvement following immunomodulatory treatment such as </w:t>
      </w:r>
      <w:r w:rsidR="00453F68">
        <w:t>Ig</w:t>
      </w:r>
      <w:r w:rsidR="00A806C0" w:rsidRPr="00377B8D">
        <w:t xml:space="preserve"> suggests both that this should be done and is normal practice.</w:t>
      </w:r>
      <w:r w:rsidR="00A806C0">
        <w:t xml:space="preserve"> </w:t>
      </w:r>
    </w:p>
    <w:p w:rsidR="003B5425" w:rsidRDefault="003B5425" w:rsidP="00A806C0">
      <w:r>
        <w:t xml:space="preserve">Expert advice received during the review phase </w:t>
      </w:r>
      <w:r w:rsidRPr="00167555">
        <w:rPr>
          <w:noProof/>
        </w:rPr>
        <w:t>emphasised</w:t>
      </w:r>
      <w:r>
        <w:t xml:space="preserve"> the significance of the risk of misdiagnosis; noting that as many as a </w:t>
      </w:r>
      <w:r w:rsidRPr="00B0325A">
        <w:rPr>
          <w:noProof/>
        </w:rPr>
        <w:t>third</w:t>
      </w:r>
      <w:r>
        <w:t xml:space="preserve"> of CIDP patients may </w:t>
      </w:r>
      <w:r w:rsidRPr="00B0325A">
        <w:rPr>
          <w:noProof/>
        </w:rPr>
        <w:t>be misdiagnosed</w:t>
      </w:r>
      <w:r>
        <w:t xml:space="preserve">. </w:t>
      </w:r>
    </w:p>
    <w:p w:rsidR="003B5425" w:rsidRDefault="003B5425" w:rsidP="00A806C0">
      <w:pPr>
        <w:pStyle w:val="Heading3"/>
      </w:pPr>
      <w:r>
        <w:lastRenderedPageBreak/>
        <w:t>Prevalence of CIDP</w:t>
      </w:r>
    </w:p>
    <w:p w:rsidR="003B5425" w:rsidRDefault="003B5425" w:rsidP="00A806C0">
      <w:r>
        <w:t>Prevalence estimates for CIDP vary considerably, from approximately 1 to 9 per 100,000 (</w:t>
      </w:r>
      <w:r>
        <w:fldChar w:fldCharType="begin"/>
      </w:r>
      <w:r>
        <w:instrText xml:space="preserve"> REF _Ref535245868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2</w:t>
      </w:r>
      <w:r>
        <w:fldChar w:fldCharType="end"/>
      </w:r>
      <w:r>
        <w:t>). Population-based studies have repeatedly demonstrated that men are more commonly affected by this condition and that CIDP becomes increasingly prevalent with age.</w:t>
      </w:r>
      <w:r w:rsidRPr="008D52B0">
        <w:rPr>
          <w:noProof/>
          <w:vertAlign w:val="superscript"/>
        </w:rPr>
        <w:t>7, 13, 14</w:t>
      </w:r>
    </w:p>
    <w:p w:rsidR="003B5425" w:rsidRPr="004F31B6" w:rsidRDefault="003B5425" w:rsidP="00A806C0">
      <w:pPr>
        <w:pStyle w:val="Caption"/>
        <w:rPr>
          <w:rFonts w:asciiTheme="minorHAnsi" w:hAnsiTheme="minorHAnsi" w:cstheme="minorHAnsi"/>
        </w:rPr>
      </w:pPr>
      <w:bookmarkStart w:id="4" w:name="_Ref535245868"/>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2</w:t>
      </w:r>
      <w:r w:rsidRPr="004F31B6">
        <w:rPr>
          <w:rFonts w:asciiTheme="minorHAnsi" w:hAnsiTheme="minorHAnsi" w:cstheme="minorHAnsi"/>
        </w:rPr>
        <w:fldChar w:fldCharType="end"/>
      </w:r>
      <w:bookmarkEnd w:id="4"/>
      <w:r w:rsidRPr="004F31B6">
        <w:rPr>
          <w:rFonts w:asciiTheme="minorHAnsi" w:hAnsiTheme="minorHAnsi" w:cstheme="minorHAnsi"/>
        </w:rPr>
        <w:tab/>
        <w:t>Overview of prevalence estimates for CIDP</w:t>
      </w:r>
    </w:p>
    <w:tbl>
      <w:tblPr>
        <w:tblStyle w:val="TableGrid"/>
        <w:tblW w:w="0" w:type="auto"/>
        <w:tblLook w:val="04A0" w:firstRow="1" w:lastRow="0" w:firstColumn="1" w:lastColumn="0" w:noHBand="0" w:noVBand="1"/>
        <w:tblCaption w:val="Table 2 Overview of prevalence estimates for CIDP"/>
      </w:tblPr>
      <w:tblGrid>
        <w:gridCol w:w="2254"/>
        <w:gridCol w:w="2254"/>
        <w:gridCol w:w="2254"/>
        <w:gridCol w:w="2254"/>
      </w:tblGrid>
      <w:tr w:rsidR="003B5425" w:rsidRPr="004F31B6" w:rsidTr="00384907">
        <w:trPr>
          <w:tblHeader/>
        </w:trPr>
        <w:tc>
          <w:tcPr>
            <w:tcW w:w="2254" w:type="dxa"/>
            <w:shd w:val="clear" w:color="auto" w:fill="D9D9D9" w:themeFill="background1" w:themeFillShade="D9"/>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Study (author, year)</w:t>
            </w:r>
          </w:p>
        </w:tc>
        <w:tc>
          <w:tcPr>
            <w:tcW w:w="2254" w:type="dxa"/>
            <w:shd w:val="clear" w:color="auto" w:fill="D9D9D9" w:themeFill="background1" w:themeFillShade="D9"/>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Country (region)</w:t>
            </w:r>
          </w:p>
        </w:tc>
        <w:tc>
          <w:tcPr>
            <w:tcW w:w="2254" w:type="dxa"/>
            <w:shd w:val="clear" w:color="auto" w:fill="D9D9D9" w:themeFill="background1" w:themeFillShade="D9"/>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 xml:space="preserve">Estimated </w:t>
            </w:r>
            <w:r w:rsidR="00DA2F29">
              <w:rPr>
                <w:rFonts w:asciiTheme="minorHAnsi" w:hAnsiTheme="minorHAnsi" w:cstheme="minorHAnsi"/>
              </w:rPr>
              <w:t>p</w:t>
            </w:r>
            <w:r w:rsidRPr="004F31B6">
              <w:rPr>
                <w:rFonts w:asciiTheme="minorHAnsi" w:hAnsiTheme="minorHAnsi" w:cstheme="minorHAnsi"/>
              </w:rPr>
              <w:t>revalence</w:t>
            </w:r>
          </w:p>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(per 100,000)</w:t>
            </w:r>
          </w:p>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[95% CI]</w:t>
            </w:r>
          </w:p>
        </w:tc>
        <w:tc>
          <w:tcPr>
            <w:tcW w:w="2254" w:type="dxa"/>
            <w:shd w:val="clear" w:color="auto" w:fill="D9D9D9" w:themeFill="background1" w:themeFillShade="D9"/>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Criteria used to classify CIDP patients</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Lunn et al. (1999)</w:t>
            </w:r>
            <w:r w:rsidRPr="004F31B6">
              <w:rPr>
                <w:rFonts w:asciiTheme="minorHAnsi" w:hAnsiTheme="minorHAnsi" w:cstheme="minorHAnsi"/>
                <w:noProof/>
                <w:vertAlign w:val="superscript"/>
              </w:rPr>
              <w:t>15</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England (South East Thames Region)</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1.00</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AAN*</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McLeod et al. (1999)</w:t>
            </w:r>
            <w:r w:rsidRPr="004F31B6">
              <w:rPr>
                <w:rFonts w:asciiTheme="minorHAnsi" w:hAnsiTheme="minorHAnsi" w:cstheme="minorHAnsi"/>
                <w:noProof/>
                <w:vertAlign w:val="superscript"/>
              </w:rPr>
              <w:t>16</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Australia (New South Wales)</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1.9 [1.5-2.2]</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AAN</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Mygland and Monstad (2001)</w:t>
            </w:r>
            <w:r w:rsidRPr="004F31B6">
              <w:rPr>
                <w:rFonts w:asciiTheme="minorHAnsi" w:hAnsiTheme="minorHAnsi" w:cstheme="minorHAnsi"/>
                <w:noProof/>
                <w:vertAlign w:val="superscript"/>
              </w:rPr>
              <w:t>17</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Norway (Vest-Agder)</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7.7 [3.2-12.2]</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 xml:space="preserve">Albers and Kelly, 1989 </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Chio et al. (2007)</w:t>
            </w:r>
            <w:r w:rsidRPr="004F31B6">
              <w:rPr>
                <w:rFonts w:asciiTheme="minorHAnsi" w:hAnsiTheme="minorHAnsi" w:cstheme="minorHAnsi"/>
                <w:noProof/>
                <w:vertAlign w:val="superscript"/>
              </w:rPr>
              <w:t>18</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Italy (Piemonte and Valle d’Aosta)</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3.58 [3.02, 4.20]</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AAN</w:t>
            </w:r>
          </w:p>
        </w:tc>
      </w:tr>
      <w:tr w:rsidR="003B5425" w:rsidRPr="004F31B6" w:rsidTr="00A806C0">
        <w:trPr>
          <w:trHeight w:val="604"/>
        </w:trPr>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Iijima et al. 2008</w:t>
            </w:r>
            <w:r w:rsidRPr="004F31B6">
              <w:rPr>
                <w:rFonts w:asciiTheme="minorHAnsi" w:hAnsiTheme="minorHAnsi" w:cstheme="minorHAnsi"/>
                <w:noProof/>
                <w:vertAlign w:val="superscript"/>
              </w:rPr>
              <w:t>19</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Japan</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1.61</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AAN, Saperstein’s modified criteria and INCAT criteria.</w:t>
            </w:r>
          </w:p>
        </w:tc>
      </w:tr>
      <w:tr w:rsidR="003B5425" w:rsidRPr="004F31B6" w:rsidTr="00A806C0">
        <w:trPr>
          <w:trHeight w:val="604"/>
        </w:trPr>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Rajabally et al. (2009)</w:t>
            </w:r>
            <w:r w:rsidRPr="004F31B6">
              <w:rPr>
                <w:rFonts w:asciiTheme="minorHAnsi" w:hAnsiTheme="minorHAnsi" w:cstheme="minorHAnsi"/>
                <w:noProof/>
                <w:vertAlign w:val="superscript"/>
              </w:rPr>
              <w:t>14</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UK</w:t>
            </w:r>
          </w:p>
          <w:p w:rsidR="003B5425" w:rsidRPr="004F31B6" w:rsidRDefault="003B5425" w:rsidP="00A806C0">
            <w:pPr>
              <w:pStyle w:val="Tablecontents"/>
              <w:keepNext/>
              <w:rPr>
                <w:rFonts w:asciiTheme="minorHAnsi" w:hAnsiTheme="minorHAnsi" w:cstheme="minorHAnsi"/>
              </w:rPr>
            </w:pPr>
            <w:r w:rsidRPr="004F31B6">
              <w:rPr>
                <w:rFonts w:asciiTheme="minorHAnsi" w:eastAsiaTheme="minorHAnsi" w:hAnsiTheme="minorHAnsi" w:cstheme="minorHAnsi"/>
                <w:color w:val="231F20"/>
              </w:rPr>
              <w:t>(Leicestershire and Rutland)</w:t>
            </w:r>
          </w:p>
        </w:tc>
        <w:tc>
          <w:tcPr>
            <w:tcW w:w="2254" w:type="dxa"/>
          </w:tcPr>
          <w:p w:rsidR="003B5425" w:rsidRPr="004F31B6" w:rsidRDefault="003B5425" w:rsidP="009764F3">
            <w:pPr>
              <w:pStyle w:val="Tablecontents"/>
              <w:keepNext/>
              <w:numPr>
                <w:ilvl w:val="0"/>
                <w:numId w:val="16"/>
              </w:numPr>
              <w:rPr>
                <w:rFonts w:asciiTheme="minorHAnsi" w:hAnsiTheme="minorHAnsi" w:cstheme="minorHAnsi"/>
              </w:rPr>
            </w:pPr>
            <w:r w:rsidRPr="004F31B6">
              <w:rPr>
                <w:rFonts w:asciiTheme="minorHAnsi" w:hAnsiTheme="minorHAnsi" w:cstheme="minorHAnsi"/>
              </w:rPr>
              <w:t>4.77 [3.49-6.37] using the 2006 EFNS/PNS criteria</w:t>
            </w:r>
          </w:p>
          <w:p w:rsidR="003B5425" w:rsidRPr="004F31B6" w:rsidRDefault="003B5425" w:rsidP="009764F3">
            <w:pPr>
              <w:pStyle w:val="Tablecontents"/>
              <w:keepNext/>
              <w:numPr>
                <w:ilvl w:val="0"/>
                <w:numId w:val="16"/>
              </w:numPr>
              <w:rPr>
                <w:rFonts w:asciiTheme="minorHAnsi" w:hAnsiTheme="minorHAnsi" w:cstheme="minorHAnsi"/>
              </w:rPr>
            </w:pPr>
            <w:r w:rsidRPr="004F31B6">
              <w:rPr>
                <w:rFonts w:asciiTheme="minorHAnsi" w:hAnsiTheme="minorHAnsi" w:cstheme="minorHAnsi"/>
              </w:rPr>
              <w:t>1.97 [1.19-3.08] using the 1991 AAN criteria</w:t>
            </w:r>
          </w:p>
          <w:p w:rsidR="003B5425" w:rsidRPr="004F31B6" w:rsidRDefault="003B5425" w:rsidP="00A806C0">
            <w:pPr>
              <w:pStyle w:val="Tablecontents"/>
              <w:keepNext/>
              <w:rPr>
                <w:rFonts w:asciiTheme="minorHAnsi" w:hAnsiTheme="minorHAnsi" w:cstheme="minorHAnsi"/>
              </w:rPr>
            </w:pP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EFNS/PNS 2006</w:t>
            </w:r>
          </w:p>
          <w:p w:rsidR="003B5425" w:rsidRPr="004F31B6" w:rsidRDefault="003B5425" w:rsidP="00A806C0">
            <w:pPr>
              <w:pStyle w:val="Tablecontents"/>
              <w:keepNext/>
              <w:rPr>
                <w:rFonts w:asciiTheme="minorHAnsi" w:hAnsiTheme="minorHAnsi" w:cstheme="minorHAnsi"/>
                <w:b/>
              </w:rPr>
            </w:pPr>
            <w:r w:rsidRPr="004F31B6">
              <w:rPr>
                <w:rFonts w:asciiTheme="minorHAnsi" w:hAnsiTheme="minorHAnsi" w:cstheme="minorHAnsi"/>
              </w:rPr>
              <w:t xml:space="preserve">(definite, probable or possible), </w:t>
            </w:r>
            <w:r w:rsidRPr="004F31B6">
              <w:rPr>
                <w:rFonts w:asciiTheme="minorHAnsi" w:hAnsiTheme="minorHAnsi" w:cstheme="minorHAnsi"/>
                <w:b/>
              </w:rPr>
              <w:t>and</w:t>
            </w:r>
          </w:p>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AAN</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Lauglin et al. (2009)</w:t>
            </w:r>
            <w:r w:rsidRPr="004F31B6">
              <w:rPr>
                <w:rFonts w:asciiTheme="minorHAnsi" w:hAnsiTheme="minorHAnsi" w:cstheme="minorHAnsi"/>
                <w:noProof/>
                <w:vertAlign w:val="superscript"/>
              </w:rPr>
              <w:t>20</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US (Olmsted County, Minnesota)</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8.9</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Dyck et al. 1975 and Mayo EMG laboratory</w:t>
            </w:r>
          </w:p>
        </w:tc>
      </w:tr>
      <w:tr w:rsidR="003B5425" w:rsidRPr="004F31B6" w:rsidTr="00A806C0">
        <w:trPr>
          <w:trHeight w:val="503"/>
        </w:trPr>
        <w:tc>
          <w:tcPr>
            <w:tcW w:w="2254" w:type="dxa"/>
          </w:tcPr>
          <w:p w:rsidR="003B5425" w:rsidRPr="004F31B6" w:rsidRDefault="003B5425" w:rsidP="00A806C0">
            <w:pPr>
              <w:pStyle w:val="Tablecontents"/>
              <w:keepNext/>
              <w:rPr>
                <w:rFonts w:asciiTheme="minorHAnsi" w:hAnsiTheme="minorHAnsi" w:cstheme="minorHAnsi"/>
                <w:highlight w:val="yellow"/>
              </w:rPr>
            </w:pPr>
            <w:r w:rsidRPr="004F31B6">
              <w:rPr>
                <w:rFonts w:asciiTheme="minorHAnsi" w:hAnsiTheme="minorHAnsi" w:cstheme="minorHAnsi"/>
              </w:rPr>
              <w:t>Mahdi-Rogers et al. (2014)</w:t>
            </w:r>
            <w:r w:rsidRPr="004F31B6">
              <w:rPr>
                <w:rFonts w:asciiTheme="minorHAnsi" w:hAnsiTheme="minorHAnsi" w:cstheme="minorHAnsi"/>
                <w:noProof/>
                <w:vertAlign w:val="superscript"/>
              </w:rPr>
              <w:t>13</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UK (former southeast Thames region)</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2.84 [2.31-3.45]</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EFNS/PNS 2006 (definite, probable or possible)</w:t>
            </w:r>
          </w:p>
        </w:tc>
      </w:tr>
      <w:tr w:rsidR="003B5425" w:rsidRPr="004F31B6" w:rsidTr="00A806C0">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Lefter et al. (2017)</w:t>
            </w:r>
            <w:r w:rsidRPr="004F31B6">
              <w:rPr>
                <w:rFonts w:asciiTheme="minorHAnsi" w:hAnsiTheme="minorHAnsi" w:cstheme="minorHAnsi"/>
                <w:noProof/>
                <w:vertAlign w:val="superscript"/>
              </w:rPr>
              <w:t>21</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Ireland</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5.87 [5.06-6.68]</w:t>
            </w:r>
          </w:p>
        </w:tc>
        <w:tc>
          <w:tcPr>
            <w:tcW w:w="2254"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EFNS/PNS 2010</w:t>
            </w:r>
          </w:p>
        </w:tc>
      </w:tr>
    </w:tbl>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Source</w:t>
      </w:r>
      <w:r w:rsidRPr="004F31B6">
        <w:rPr>
          <w:rFonts w:asciiTheme="minorHAnsi" w:hAnsiTheme="minorHAnsi" w:cstheme="minorHAnsi"/>
        </w:rPr>
        <w:t>: adapted from Referral Form Tables 2 and 3, Rajabally et al. (2009),</w:t>
      </w:r>
      <w:r w:rsidRPr="004F31B6">
        <w:rPr>
          <w:rFonts w:asciiTheme="minorHAnsi" w:hAnsiTheme="minorHAnsi" w:cstheme="minorHAnsi"/>
          <w:noProof/>
          <w:vertAlign w:val="superscript"/>
        </w:rPr>
        <w:t>14</w:t>
      </w:r>
      <w:r w:rsidRPr="004F31B6">
        <w:rPr>
          <w:rFonts w:asciiTheme="minorHAnsi" w:hAnsiTheme="minorHAnsi" w:cstheme="minorHAnsi"/>
        </w:rPr>
        <w:t xml:space="preserve"> Mahdi-Rogers et al. (2014)</w:t>
      </w:r>
      <w:r w:rsidRPr="004F31B6">
        <w:rPr>
          <w:rFonts w:asciiTheme="minorHAnsi" w:hAnsiTheme="minorHAnsi" w:cstheme="minorHAnsi"/>
          <w:noProof/>
          <w:vertAlign w:val="superscript"/>
        </w:rPr>
        <w:t>13</w:t>
      </w:r>
      <w:r w:rsidRPr="004F31B6">
        <w:rPr>
          <w:rFonts w:asciiTheme="minorHAnsi" w:hAnsiTheme="minorHAnsi" w:cstheme="minorHAnsi"/>
        </w:rPr>
        <w:t xml:space="preserve"> </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AAN</w:t>
      </w:r>
      <w:r w:rsidRPr="004F31B6">
        <w:rPr>
          <w:rFonts w:asciiTheme="minorHAnsi" w:hAnsiTheme="minorHAnsi" w:cstheme="minorHAnsi"/>
        </w:rPr>
        <w:t xml:space="preserve"> = American Academy of Neurology, </w:t>
      </w:r>
      <w:r w:rsidRPr="004F31B6">
        <w:rPr>
          <w:rFonts w:asciiTheme="minorHAnsi" w:hAnsiTheme="minorHAnsi" w:cstheme="minorHAnsi"/>
          <w:b/>
        </w:rPr>
        <w:t>CIDP</w:t>
      </w:r>
      <w:r w:rsidRPr="004F31B6">
        <w:rPr>
          <w:rFonts w:asciiTheme="minorHAnsi" w:hAnsiTheme="minorHAnsi" w:cstheme="minorHAnsi"/>
        </w:rPr>
        <w:t xml:space="preserve"> = chronic inflammatory demyelinating polyneuropathy, </w:t>
      </w:r>
      <w:r w:rsidRPr="004F31B6">
        <w:rPr>
          <w:rFonts w:asciiTheme="minorHAnsi" w:hAnsiTheme="minorHAnsi" w:cstheme="minorHAnsi"/>
          <w:b/>
        </w:rPr>
        <w:t>EFNS/PNS</w:t>
      </w:r>
      <w:r w:rsidRPr="004F31B6">
        <w:rPr>
          <w:rFonts w:asciiTheme="minorHAnsi" w:hAnsiTheme="minorHAnsi" w:cstheme="minorHAnsi"/>
        </w:rPr>
        <w:t xml:space="preserve"> = European Federation of Neurological Societies/Peripheral Nerve Society, </w:t>
      </w:r>
      <w:r w:rsidRPr="004F31B6">
        <w:rPr>
          <w:rFonts w:asciiTheme="minorHAnsi" w:hAnsiTheme="minorHAnsi" w:cstheme="minorHAnsi"/>
          <w:b/>
        </w:rPr>
        <w:t>INCAT</w:t>
      </w:r>
      <w:r w:rsidRPr="004F31B6">
        <w:rPr>
          <w:rFonts w:asciiTheme="minorHAnsi" w:hAnsiTheme="minorHAnsi" w:cstheme="minorHAnsi"/>
        </w:rPr>
        <w:t xml:space="preserve"> = inflammatory neuropathy cause and treatment.</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rPr>
        <w:t xml:space="preserve">Notes: *in addition to formal AAN criteria </w:t>
      </w:r>
      <w:r w:rsidRPr="004F31B6">
        <w:rPr>
          <w:rFonts w:asciiTheme="minorHAnsi" w:hAnsiTheme="minorHAnsi" w:cstheme="minorHAnsi"/>
          <w:noProof/>
        </w:rPr>
        <w:t>fulfillment</w:t>
      </w:r>
      <w:r w:rsidRPr="004F31B6">
        <w:rPr>
          <w:rFonts w:asciiTheme="minorHAnsi" w:hAnsiTheme="minorHAnsi" w:cstheme="minorHAnsi"/>
        </w:rPr>
        <w:t xml:space="preserve">, “opinion from a consultant neurophysiologist of the </w:t>
      </w:r>
      <w:r w:rsidRPr="004F31B6">
        <w:rPr>
          <w:rFonts w:asciiTheme="minorHAnsi" w:hAnsiTheme="minorHAnsi" w:cstheme="minorHAnsi"/>
          <w:noProof/>
        </w:rPr>
        <w:t>presence</w:t>
      </w:r>
      <w:r w:rsidRPr="004F31B6">
        <w:rPr>
          <w:rFonts w:asciiTheme="minorHAnsi" w:hAnsiTheme="minorHAnsi" w:cstheme="minorHAnsi"/>
        </w:rPr>
        <w:t xml:space="preserve"> of a demyelinating neuropathy” was considered sufficient for electrodiagnostic confirmation by these investigators. </w:t>
      </w:r>
    </w:p>
    <w:p w:rsidR="003B5425" w:rsidRPr="00E4320D" w:rsidRDefault="003B5425" w:rsidP="00A806C0">
      <w:r>
        <w:t>Australian data by McLeod et al. (1999) was identified to estimate CIDP prevalence; however, this study used the AAN criteria to classify patients.</w:t>
      </w:r>
      <w:r w:rsidRPr="008D52B0">
        <w:rPr>
          <w:noProof/>
          <w:vertAlign w:val="superscript"/>
        </w:rPr>
        <w:t>16</w:t>
      </w:r>
      <w:r>
        <w:t xml:space="preserve"> Rajabally et al. (2009) undertook an epidemiological study using two different criteria: the EFNS/PNS criteria (2006 version), which estimated prevalence as 4.77 per 100,000 (95% confidence interval (CI) [3.49, 6.37]), and the AAN criteria which estimated prevalence as 1.97 per 100,000 (95% CI [1.19, 3.08]).</w:t>
      </w:r>
      <w:r w:rsidRPr="008D52B0">
        <w:rPr>
          <w:noProof/>
          <w:vertAlign w:val="superscript"/>
        </w:rPr>
        <w:t>14</w:t>
      </w:r>
      <w:r>
        <w:t xml:space="preserve"> The authors concluded the EFNS/PNS criteria provided a more accurate estimate of CIDP prevalence; studies reporting prevalence figures based on alternate criteria may underestimate the true prevalence of CIDP, by failing to </w:t>
      </w:r>
      <w:r w:rsidRPr="00B0325A">
        <w:rPr>
          <w:noProof/>
        </w:rPr>
        <w:t>recognise</w:t>
      </w:r>
      <w:r>
        <w:t xml:space="preserve"> possible or probable cases of CIDP.</w:t>
      </w:r>
      <w:r w:rsidRPr="008D52B0">
        <w:rPr>
          <w:noProof/>
          <w:vertAlign w:val="superscript"/>
        </w:rPr>
        <w:t>10, 14</w:t>
      </w:r>
    </w:p>
    <w:p w:rsidR="003B5425" w:rsidRPr="00005E5D" w:rsidRDefault="003B5425" w:rsidP="00A806C0">
      <w:pPr>
        <w:pStyle w:val="Heading3"/>
      </w:pPr>
      <w:r w:rsidRPr="00005E5D">
        <w:lastRenderedPageBreak/>
        <w:t>Current usage figures</w:t>
      </w:r>
      <w:r>
        <w:t xml:space="preserve"> in Australia</w:t>
      </w:r>
    </w:p>
    <w:p w:rsidR="003B5425" w:rsidRDefault="003B5425" w:rsidP="00A806C0">
      <w:r w:rsidRPr="005B0DCA">
        <w:t xml:space="preserve">As </w:t>
      </w:r>
      <w:r w:rsidR="00453F68">
        <w:t>Ig</w:t>
      </w:r>
      <w:r w:rsidRPr="005B0DCA">
        <w:t xml:space="preserve"> </w:t>
      </w:r>
      <w:r w:rsidRPr="00B0325A">
        <w:rPr>
          <w:noProof/>
        </w:rPr>
        <w:t>is already funded</w:t>
      </w:r>
      <w:r w:rsidRPr="005B0DCA">
        <w:t xml:space="preserve"> in Australia, robust</w:t>
      </w:r>
      <w:r>
        <w:t xml:space="preserve"> usage</w:t>
      </w:r>
      <w:r w:rsidRPr="005B0DCA">
        <w:t xml:space="preserve"> figures </w:t>
      </w:r>
      <w:r>
        <w:rPr>
          <w:noProof/>
        </w:rPr>
        <w:t>about</w:t>
      </w:r>
      <w:r>
        <w:t xml:space="preserve"> the use of Ig to treat CIDP are</w:t>
      </w:r>
      <w:r w:rsidRPr="005B0DCA">
        <w:t xml:space="preserve"> readily available</w:t>
      </w:r>
      <w:r>
        <w:t xml:space="preserve">. Information relevant to this PICO Confirmation </w:t>
      </w:r>
      <w:r w:rsidRPr="00B0325A">
        <w:rPr>
          <w:noProof/>
        </w:rPr>
        <w:t xml:space="preserve">was </w:t>
      </w:r>
      <w:r w:rsidRPr="00432870">
        <w:rPr>
          <w:noProof/>
        </w:rPr>
        <w:t>recently</w:t>
      </w:r>
      <w:r w:rsidRPr="005759EB">
        <w:rPr>
          <w:noProof/>
        </w:rPr>
        <w:t xml:space="preserve"> published</w:t>
      </w:r>
      <w:r w:rsidRPr="005B0DCA">
        <w:t xml:space="preserve"> in </w:t>
      </w:r>
      <w:r>
        <w:t xml:space="preserve">the </w:t>
      </w:r>
      <w:r w:rsidRPr="00335590">
        <w:rPr>
          <w:i/>
        </w:rPr>
        <w:t xml:space="preserve">National Report on the Issue </w:t>
      </w:r>
      <w:r w:rsidRPr="00B0325A">
        <w:rPr>
          <w:i/>
          <w:noProof/>
        </w:rPr>
        <w:t>and</w:t>
      </w:r>
      <w:r w:rsidRPr="00335590">
        <w:rPr>
          <w:i/>
        </w:rPr>
        <w:t xml:space="preserve"> Use of Immunoglobulin (Ig) Annual Report 2015-16</w:t>
      </w:r>
      <w:r w:rsidRPr="005B0DCA">
        <w:t xml:space="preserve"> release by the National Blood Authority.</w:t>
      </w:r>
      <w:r w:rsidRPr="008D52B0">
        <w:rPr>
          <w:noProof/>
          <w:vertAlign w:val="superscript"/>
        </w:rPr>
        <w:t>22</w:t>
      </w:r>
      <w:r w:rsidRPr="005B0DCA">
        <w:t xml:space="preserve"> </w:t>
      </w:r>
      <w:r>
        <w:t xml:space="preserve">This Report provides a comprehensive overview of the number of CIDP patients receiving IVIg therapy in Australia. </w:t>
      </w:r>
    </w:p>
    <w:p w:rsidR="003B5425" w:rsidRPr="00AD6A1A" w:rsidRDefault="003B5425" w:rsidP="00A806C0">
      <w:r>
        <w:t xml:space="preserve">Nationwide figures for the years 2011-12 through to 2015-16 and state/territory specific figures for the year 2015-16 are presented in </w:t>
      </w:r>
      <w:r>
        <w:rPr>
          <w:highlight w:val="yellow"/>
        </w:rPr>
        <w:fldChar w:fldCharType="begin"/>
      </w:r>
      <w:r>
        <w:instrText xml:space="preserve"> REF _Ref535245894 \h </w:instrText>
      </w:r>
      <w:r>
        <w:rPr>
          <w:highlight w:val="yellow"/>
        </w:rPr>
      </w:r>
      <w:r>
        <w:rPr>
          <w:highlight w:val="yellow"/>
        </w:rP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3</w:t>
      </w:r>
      <w:r>
        <w:rPr>
          <w:highlight w:val="yellow"/>
        </w:rPr>
        <w:fldChar w:fldCharType="end"/>
      </w:r>
      <w:r w:rsidRPr="00200BB5">
        <w:t xml:space="preserve"> and</w:t>
      </w:r>
      <w:r>
        <w:t xml:space="preserve"> </w:t>
      </w:r>
      <w:r>
        <w:fldChar w:fldCharType="begin"/>
      </w:r>
      <w:r>
        <w:instrText xml:space="preserve"> REF _Ref535245914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4</w:t>
      </w:r>
      <w:r>
        <w:fldChar w:fldCharType="end"/>
      </w:r>
      <w:r>
        <w:t>.</w:t>
      </w:r>
    </w:p>
    <w:p w:rsidR="003B5425" w:rsidRPr="004F31B6" w:rsidRDefault="003B5425" w:rsidP="00A806C0">
      <w:pPr>
        <w:pStyle w:val="Caption"/>
        <w:rPr>
          <w:rFonts w:asciiTheme="minorHAnsi" w:hAnsiTheme="minorHAnsi" w:cstheme="minorHAnsi"/>
        </w:rPr>
      </w:pPr>
      <w:bookmarkStart w:id="5" w:name="_Ref535245894"/>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3</w:t>
      </w:r>
      <w:r w:rsidRPr="004F31B6">
        <w:rPr>
          <w:rFonts w:asciiTheme="minorHAnsi" w:hAnsiTheme="minorHAnsi" w:cstheme="minorHAnsi"/>
        </w:rPr>
        <w:fldChar w:fldCharType="end"/>
      </w:r>
      <w:bookmarkEnd w:id="5"/>
      <w:r w:rsidRPr="004F31B6">
        <w:rPr>
          <w:rFonts w:asciiTheme="minorHAnsi" w:hAnsiTheme="minorHAnsi" w:cstheme="minorHAnsi"/>
        </w:rPr>
        <w:tab/>
        <w:t>Historical patient numbers using IVIg for CIDP in Australia (total) by year</w:t>
      </w:r>
    </w:p>
    <w:tbl>
      <w:tblPr>
        <w:tblStyle w:val="TableGrid"/>
        <w:tblW w:w="9010" w:type="dxa"/>
        <w:tblLook w:val="04A0" w:firstRow="1" w:lastRow="0" w:firstColumn="1" w:lastColumn="0" w:noHBand="0" w:noVBand="1"/>
        <w:tblCaption w:val="Table 3 Historical patient numbers using IVIg for CIDP in Australia (total) by year"/>
      </w:tblPr>
      <w:tblGrid>
        <w:gridCol w:w="1980"/>
        <w:gridCol w:w="1406"/>
        <w:gridCol w:w="1406"/>
        <w:gridCol w:w="1406"/>
        <w:gridCol w:w="1406"/>
        <w:gridCol w:w="1406"/>
      </w:tblGrid>
      <w:tr w:rsidR="003B5425" w:rsidTr="00384907">
        <w:trPr>
          <w:tblHeader/>
        </w:trPr>
        <w:tc>
          <w:tcPr>
            <w:tcW w:w="1980" w:type="dxa"/>
            <w:tcBorders>
              <w:bottom w:val="single" w:sz="4" w:space="0" w:color="auto"/>
            </w:tcBorders>
            <w:shd w:val="clear" w:color="auto" w:fill="D9D9D9" w:themeFill="background1" w:themeFillShade="D9"/>
            <w:vAlign w:val="center"/>
          </w:tcPr>
          <w:p w:rsidR="003B5425" w:rsidRPr="00885C81" w:rsidRDefault="003B5425" w:rsidP="004F31B6">
            <w:pPr>
              <w:pStyle w:val="Tableheading0"/>
              <w:spacing w:before="60" w:after="60"/>
              <w:jc w:val="center"/>
            </w:pPr>
            <w:r w:rsidRPr="00885C81">
              <w:t>Financial Year</w:t>
            </w:r>
          </w:p>
        </w:tc>
        <w:tc>
          <w:tcPr>
            <w:tcW w:w="1406" w:type="dxa"/>
            <w:tcBorders>
              <w:bottom w:val="single" w:sz="4" w:space="0" w:color="auto"/>
            </w:tcBorders>
            <w:shd w:val="clear" w:color="auto" w:fill="D9D9D9" w:themeFill="background1" w:themeFillShade="D9"/>
            <w:vAlign w:val="center"/>
          </w:tcPr>
          <w:p w:rsidR="003B5425" w:rsidRPr="00885C81" w:rsidRDefault="003B5425" w:rsidP="004F31B6">
            <w:pPr>
              <w:pStyle w:val="Tableheading0"/>
              <w:spacing w:before="60" w:after="60"/>
              <w:jc w:val="center"/>
            </w:pPr>
            <w:r w:rsidRPr="00885C81">
              <w:t>2011-12</w:t>
            </w:r>
          </w:p>
        </w:tc>
        <w:tc>
          <w:tcPr>
            <w:tcW w:w="1406" w:type="dxa"/>
            <w:tcBorders>
              <w:bottom w:val="single" w:sz="4" w:space="0" w:color="auto"/>
            </w:tcBorders>
            <w:shd w:val="clear" w:color="auto" w:fill="D9D9D9" w:themeFill="background1" w:themeFillShade="D9"/>
            <w:vAlign w:val="center"/>
          </w:tcPr>
          <w:p w:rsidR="003B5425" w:rsidRPr="00885C81" w:rsidRDefault="003B5425" w:rsidP="004F31B6">
            <w:pPr>
              <w:pStyle w:val="Tableheading0"/>
              <w:spacing w:before="60" w:after="60"/>
              <w:jc w:val="center"/>
            </w:pPr>
            <w:r w:rsidRPr="00885C81">
              <w:t>2012-13</w:t>
            </w:r>
          </w:p>
        </w:tc>
        <w:tc>
          <w:tcPr>
            <w:tcW w:w="1406" w:type="dxa"/>
            <w:tcBorders>
              <w:bottom w:val="single" w:sz="4" w:space="0" w:color="auto"/>
            </w:tcBorders>
            <w:shd w:val="clear" w:color="auto" w:fill="D9D9D9" w:themeFill="background1" w:themeFillShade="D9"/>
            <w:vAlign w:val="center"/>
          </w:tcPr>
          <w:p w:rsidR="003B5425" w:rsidRPr="00885C81" w:rsidRDefault="003B5425" w:rsidP="004F31B6">
            <w:pPr>
              <w:pStyle w:val="Tableheading0"/>
              <w:spacing w:before="60" w:after="60"/>
              <w:jc w:val="center"/>
            </w:pPr>
            <w:r w:rsidRPr="00885C81">
              <w:t>2013-14</w:t>
            </w:r>
          </w:p>
        </w:tc>
        <w:tc>
          <w:tcPr>
            <w:tcW w:w="1406" w:type="dxa"/>
            <w:tcBorders>
              <w:bottom w:val="single" w:sz="4" w:space="0" w:color="auto"/>
            </w:tcBorders>
            <w:shd w:val="clear" w:color="auto" w:fill="D9D9D9" w:themeFill="background1" w:themeFillShade="D9"/>
            <w:vAlign w:val="center"/>
          </w:tcPr>
          <w:p w:rsidR="003B5425" w:rsidRPr="00885C81" w:rsidRDefault="003B5425" w:rsidP="004F31B6">
            <w:pPr>
              <w:pStyle w:val="Tableheading0"/>
              <w:spacing w:before="60" w:after="60"/>
              <w:jc w:val="center"/>
            </w:pPr>
            <w:r w:rsidRPr="00885C81">
              <w:t>2014-15</w:t>
            </w:r>
          </w:p>
        </w:tc>
        <w:tc>
          <w:tcPr>
            <w:tcW w:w="1406" w:type="dxa"/>
            <w:tcBorders>
              <w:bottom w:val="single" w:sz="4" w:space="0" w:color="auto"/>
            </w:tcBorders>
            <w:shd w:val="clear" w:color="auto" w:fill="D9D9D9" w:themeFill="background1" w:themeFillShade="D9"/>
            <w:vAlign w:val="center"/>
          </w:tcPr>
          <w:p w:rsidR="003B5425" w:rsidRDefault="003B5425" w:rsidP="004F31B6">
            <w:pPr>
              <w:pStyle w:val="Tableheading0"/>
              <w:spacing w:before="60" w:after="60"/>
              <w:jc w:val="center"/>
            </w:pPr>
            <w:r w:rsidRPr="00885C81">
              <w:t>201</w:t>
            </w:r>
            <w:r>
              <w:t>5</w:t>
            </w:r>
            <w:r w:rsidRPr="00885C81">
              <w:t>-1</w:t>
            </w:r>
            <w:r>
              <w:t>6</w:t>
            </w:r>
          </w:p>
        </w:tc>
      </w:tr>
      <w:tr w:rsidR="003B5425" w:rsidTr="00A806C0">
        <w:tc>
          <w:tcPr>
            <w:tcW w:w="1980" w:type="dxa"/>
            <w:tcBorders>
              <w:bottom w:val="single" w:sz="4" w:space="0" w:color="auto"/>
            </w:tcBorders>
            <w:vAlign w:val="center"/>
          </w:tcPr>
          <w:p w:rsidR="003B5425" w:rsidRPr="00885C81" w:rsidRDefault="003B5425" w:rsidP="00A806C0">
            <w:pPr>
              <w:pStyle w:val="Tablecontents"/>
            </w:pPr>
            <w:r w:rsidRPr="00885C81">
              <w:t>Patient no.</w:t>
            </w:r>
          </w:p>
        </w:tc>
        <w:tc>
          <w:tcPr>
            <w:tcW w:w="1406" w:type="dxa"/>
            <w:tcBorders>
              <w:bottom w:val="single" w:sz="4" w:space="0" w:color="auto"/>
            </w:tcBorders>
            <w:vAlign w:val="center"/>
          </w:tcPr>
          <w:p w:rsidR="003B5425" w:rsidRPr="00885C81" w:rsidRDefault="003B5425" w:rsidP="00A806C0">
            <w:pPr>
              <w:pStyle w:val="Tablecontents"/>
            </w:pPr>
            <w:r w:rsidRPr="00885C81">
              <w:t>1,551</w:t>
            </w:r>
          </w:p>
        </w:tc>
        <w:tc>
          <w:tcPr>
            <w:tcW w:w="1406" w:type="dxa"/>
            <w:tcBorders>
              <w:bottom w:val="single" w:sz="4" w:space="0" w:color="auto"/>
            </w:tcBorders>
            <w:vAlign w:val="center"/>
          </w:tcPr>
          <w:p w:rsidR="003B5425" w:rsidRPr="00885C81" w:rsidRDefault="003B5425" w:rsidP="00A806C0">
            <w:pPr>
              <w:pStyle w:val="Tablecontents"/>
            </w:pPr>
            <w:r w:rsidRPr="00885C81">
              <w:t>1,753</w:t>
            </w:r>
          </w:p>
        </w:tc>
        <w:tc>
          <w:tcPr>
            <w:tcW w:w="1406" w:type="dxa"/>
            <w:tcBorders>
              <w:bottom w:val="single" w:sz="4" w:space="0" w:color="auto"/>
            </w:tcBorders>
            <w:vAlign w:val="center"/>
          </w:tcPr>
          <w:p w:rsidR="003B5425" w:rsidRPr="00885C81" w:rsidRDefault="003B5425" w:rsidP="00A806C0">
            <w:pPr>
              <w:pStyle w:val="Tablecontents"/>
            </w:pPr>
            <w:r w:rsidRPr="00885C81">
              <w:t>1,903</w:t>
            </w:r>
          </w:p>
        </w:tc>
        <w:tc>
          <w:tcPr>
            <w:tcW w:w="1406" w:type="dxa"/>
            <w:tcBorders>
              <w:bottom w:val="single" w:sz="4" w:space="0" w:color="auto"/>
            </w:tcBorders>
            <w:vAlign w:val="center"/>
          </w:tcPr>
          <w:p w:rsidR="003B5425" w:rsidRPr="00885C81" w:rsidRDefault="003B5425" w:rsidP="00A806C0">
            <w:pPr>
              <w:pStyle w:val="Tablecontents"/>
            </w:pPr>
            <w:r w:rsidRPr="00885C81">
              <w:t>2,054</w:t>
            </w:r>
          </w:p>
        </w:tc>
        <w:tc>
          <w:tcPr>
            <w:tcW w:w="1406" w:type="dxa"/>
            <w:tcBorders>
              <w:bottom w:val="single" w:sz="4" w:space="0" w:color="auto"/>
            </w:tcBorders>
            <w:vAlign w:val="center"/>
          </w:tcPr>
          <w:p w:rsidR="003B5425" w:rsidRDefault="003B5425" w:rsidP="00A806C0">
            <w:pPr>
              <w:pStyle w:val="Tablecontents"/>
            </w:pPr>
            <w:r w:rsidRPr="00885C81">
              <w:t>2,</w:t>
            </w:r>
            <w:r>
              <w:t>250</w:t>
            </w:r>
          </w:p>
        </w:tc>
      </w:tr>
    </w:tbl>
    <w:p w:rsidR="003B5425" w:rsidRPr="004F31B6" w:rsidRDefault="003B5425" w:rsidP="00A806C0">
      <w:pPr>
        <w:pStyle w:val="Tablenotes"/>
        <w:spacing w:before="60" w:after="240"/>
        <w:rPr>
          <w:rFonts w:asciiTheme="minorHAnsi" w:hAnsiTheme="minorHAnsi" w:cstheme="minorHAnsi"/>
        </w:rPr>
      </w:pPr>
      <w:r w:rsidRPr="004F31B6">
        <w:rPr>
          <w:rFonts w:asciiTheme="minorHAnsi" w:hAnsiTheme="minorHAnsi" w:cstheme="minorHAnsi"/>
          <w:b/>
        </w:rPr>
        <w:t xml:space="preserve">Source: </w:t>
      </w:r>
      <w:r w:rsidRPr="004F31B6">
        <w:rPr>
          <w:rFonts w:asciiTheme="minorHAnsi" w:hAnsiTheme="minorHAnsi" w:cstheme="minorHAnsi"/>
        </w:rPr>
        <w:t xml:space="preserve">Adapted from Table provided by the Referrer, pages 44-45 of the Referral Form. Information </w:t>
      </w:r>
      <w:r w:rsidRPr="004F31B6">
        <w:rPr>
          <w:rFonts w:asciiTheme="minorHAnsi" w:hAnsiTheme="minorHAnsi" w:cstheme="minorHAnsi"/>
          <w:noProof/>
        </w:rPr>
        <w:t>was originally sourced</w:t>
      </w:r>
      <w:r w:rsidRPr="004F31B6">
        <w:rPr>
          <w:rFonts w:asciiTheme="minorHAnsi" w:hAnsiTheme="minorHAnsi" w:cstheme="minorHAnsi"/>
        </w:rPr>
        <w:t xml:space="preserve"> from the National Report on the Issue and Use of Immunoglobulin (Ig) Annual Report 2015-16 published by the National Blood Authority.</w:t>
      </w:r>
      <w:r w:rsidRPr="004F31B6">
        <w:rPr>
          <w:rFonts w:asciiTheme="minorHAnsi" w:hAnsiTheme="minorHAnsi" w:cstheme="minorHAnsi"/>
          <w:noProof/>
          <w:vertAlign w:val="superscript"/>
        </w:rPr>
        <w:t>22</w:t>
      </w:r>
    </w:p>
    <w:p w:rsidR="003B5425" w:rsidRPr="004F31B6" w:rsidRDefault="003B5425" w:rsidP="00A806C0">
      <w:pPr>
        <w:pStyle w:val="Caption"/>
        <w:rPr>
          <w:rFonts w:asciiTheme="minorHAnsi" w:hAnsiTheme="minorHAnsi" w:cstheme="minorHAnsi"/>
        </w:rPr>
      </w:pPr>
      <w:bookmarkStart w:id="6" w:name="_Ref535245914"/>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4</w:t>
      </w:r>
      <w:r w:rsidRPr="004F31B6">
        <w:rPr>
          <w:rFonts w:asciiTheme="minorHAnsi" w:hAnsiTheme="minorHAnsi" w:cstheme="minorHAnsi"/>
        </w:rPr>
        <w:fldChar w:fldCharType="end"/>
      </w:r>
      <w:bookmarkEnd w:id="6"/>
      <w:r w:rsidRPr="004F31B6">
        <w:rPr>
          <w:rFonts w:asciiTheme="minorHAnsi" w:hAnsiTheme="minorHAnsi" w:cstheme="minorHAnsi"/>
        </w:rPr>
        <w:tab/>
        <w:t>Patient numbers by state/territory using IVIg for CIDP, 2015-16</w:t>
      </w:r>
    </w:p>
    <w:tbl>
      <w:tblPr>
        <w:tblStyle w:val="TableGrid"/>
        <w:tblW w:w="0" w:type="auto"/>
        <w:tblLook w:val="04A0" w:firstRow="1" w:lastRow="0" w:firstColumn="1" w:lastColumn="0" w:noHBand="0" w:noVBand="1"/>
        <w:tblCaption w:val="Table 4 Patient numbers by state/territory using IVIg for CIDP, 2015-16"/>
      </w:tblPr>
      <w:tblGrid>
        <w:gridCol w:w="901"/>
        <w:gridCol w:w="900"/>
        <w:gridCol w:w="897"/>
        <w:gridCol w:w="898"/>
        <w:gridCol w:w="898"/>
        <w:gridCol w:w="898"/>
        <w:gridCol w:w="899"/>
        <w:gridCol w:w="899"/>
        <w:gridCol w:w="898"/>
        <w:gridCol w:w="928"/>
      </w:tblGrid>
      <w:tr w:rsidR="003B5425" w:rsidRPr="004F31B6" w:rsidTr="00384907">
        <w:trPr>
          <w:tblHeader/>
        </w:trPr>
        <w:tc>
          <w:tcPr>
            <w:tcW w:w="902"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State</w:t>
            </w:r>
          </w:p>
        </w:tc>
        <w:tc>
          <w:tcPr>
            <w:tcW w:w="902"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NSW</w:t>
            </w:r>
          </w:p>
        </w:tc>
        <w:tc>
          <w:tcPr>
            <w:tcW w:w="900"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VIC</w:t>
            </w:r>
          </w:p>
        </w:tc>
        <w:tc>
          <w:tcPr>
            <w:tcW w:w="900"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QLD</w:t>
            </w:r>
          </w:p>
        </w:tc>
        <w:tc>
          <w:tcPr>
            <w:tcW w:w="901"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WA</w:t>
            </w:r>
          </w:p>
        </w:tc>
        <w:tc>
          <w:tcPr>
            <w:tcW w:w="901"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SA</w:t>
            </w:r>
          </w:p>
        </w:tc>
        <w:tc>
          <w:tcPr>
            <w:tcW w:w="901"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TAS</w:t>
            </w:r>
          </w:p>
        </w:tc>
        <w:tc>
          <w:tcPr>
            <w:tcW w:w="901"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ACT</w:t>
            </w:r>
          </w:p>
        </w:tc>
        <w:tc>
          <w:tcPr>
            <w:tcW w:w="901"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NT</w:t>
            </w:r>
          </w:p>
        </w:tc>
        <w:tc>
          <w:tcPr>
            <w:tcW w:w="907" w:type="dxa"/>
            <w:shd w:val="clear" w:color="auto" w:fill="D9D9D9" w:themeFill="background1" w:themeFillShade="D9"/>
            <w:vAlign w:val="bottom"/>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National</w:t>
            </w:r>
          </w:p>
        </w:tc>
      </w:tr>
      <w:tr w:rsidR="003B5425" w:rsidRPr="004F31B6" w:rsidTr="00A806C0">
        <w:tc>
          <w:tcPr>
            <w:tcW w:w="902"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Patient no. </w:t>
            </w:r>
          </w:p>
        </w:tc>
        <w:tc>
          <w:tcPr>
            <w:tcW w:w="902"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834</w:t>
            </w:r>
          </w:p>
        </w:tc>
        <w:tc>
          <w:tcPr>
            <w:tcW w:w="900"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507</w:t>
            </w:r>
          </w:p>
        </w:tc>
        <w:tc>
          <w:tcPr>
            <w:tcW w:w="900"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648</w:t>
            </w:r>
          </w:p>
        </w:tc>
        <w:tc>
          <w:tcPr>
            <w:tcW w:w="90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130</w:t>
            </w:r>
          </w:p>
        </w:tc>
        <w:tc>
          <w:tcPr>
            <w:tcW w:w="90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93</w:t>
            </w:r>
          </w:p>
        </w:tc>
        <w:tc>
          <w:tcPr>
            <w:tcW w:w="90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36</w:t>
            </w:r>
          </w:p>
        </w:tc>
        <w:tc>
          <w:tcPr>
            <w:tcW w:w="90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32</w:t>
            </w:r>
          </w:p>
        </w:tc>
        <w:tc>
          <w:tcPr>
            <w:tcW w:w="90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15</w:t>
            </w:r>
          </w:p>
        </w:tc>
        <w:tc>
          <w:tcPr>
            <w:tcW w:w="90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2,250</w:t>
            </w:r>
          </w:p>
        </w:tc>
      </w:tr>
    </w:tbl>
    <w:p w:rsidR="003B5425" w:rsidRPr="004F31B6" w:rsidRDefault="003B5425" w:rsidP="00A806C0">
      <w:pPr>
        <w:pStyle w:val="Tablenotes"/>
        <w:spacing w:before="60" w:after="240"/>
        <w:rPr>
          <w:rFonts w:asciiTheme="minorHAnsi" w:hAnsiTheme="minorHAnsi" w:cstheme="minorHAnsi"/>
        </w:rPr>
      </w:pPr>
      <w:r w:rsidRPr="004F31B6">
        <w:rPr>
          <w:rFonts w:asciiTheme="minorHAnsi" w:hAnsiTheme="minorHAnsi" w:cstheme="minorHAnsi"/>
          <w:b/>
        </w:rPr>
        <w:t xml:space="preserve">Source: </w:t>
      </w:r>
      <w:r w:rsidRPr="004F31B6">
        <w:rPr>
          <w:rFonts w:asciiTheme="minorHAnsi" w:hAnsiTheme="minorHAnsi" w:cstheme="minorHAnsi"/>
        </w:rPr>
        <w:t xml:space="preserve">Adapted from Table provided by the Referrer, page 45 of the Referral Form. Information </w:t>
      </w:r>
      <w:r w:rsidRPr="004F31B6">
        <w:rPr>
          <w:rFonts w:asciiTheme="minorHAnsi" w:hAnsiTheme="minorHAnsi" w:cstheme="minorHAnsi"/>
          <w:noProof/>
        </w:rPr>
        <w:t>was originally sourced</w:t>
      </w:r>
      <w:r w:rsidRPr="004F31B6">
        <w:rPr>
          <w:rFonts w:asciiTheme="minorHAnsi" w:hAnsiTheme="minorHAnsi" w:cstheme="minorHAnsi"/>
        </w:rPr>
        <w:t xml:space="preserve"> from the National Report on the Issue and Use of Immunoglobulin (Ig) Annual Report 2015-16 published by the National Blood Authority.</w:t>
      </w:r>
      <w:r w:rsidRPr="004F31B6">
        <w:rPr>
          <w:rFonts w:asciiTheme="minorHAnsi" w:hAnsiTheme="minorHAnsi" w:cstheme="minorHAnsi"/>
          <w:noProof/>
          <w:vertAlign w:val="superscript"/>
        </w:rPr>
        <w:t>22</w:t>
      </w:r>
    </w:p>
    <w:p w:rsidR="003B5425" w:rsidRDefault="003B5425" w:rsidP="00A806C0">
      <w:pPr>
        <w:spacing w:after="120"/>
      </w:pPr>
      <w:r>
        <w:t xml:space="preserve">Please note that the figures detailed in </w:t>
      </w:r>
      <w:r>
        <w:fldChar w:fldCharType="begin"/>
      </w:r>
      <w:r>
        <w:instrText xml:space="preserve"> REF _Ref535245894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3</w:t>
      </w:r>
      <w:r>
        <w:fldChar w:fldCharType="end"/>
      </w:r>
      <w:r>
        <w:t xml:space="preserve"> and </w:t>
      </w:r>
      <w:r>
        <w:fldChar w:fldCharType="begin"/>
      </w:r>
      <w:r>
        <w:instrText xml:space="preserve"> REF _Ref535245914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4</w:t>
      </w:r>
      <w:r>
        <w:fldChar w:fldCharType="end"/>
      </w:r>
      <w:r>
        <w:t xml:space="preserve"> pertain only to the use of IVIg. Subcutaneous immunoglobulin (</w:t>
      </w:r>
      <w:r w:rsidRPr="005B0DCA">
        <w:t>SCIg</w:t>
      </w:r>
      <w:r>
        <w:t>)</w:t>
      </w:r>
      <w:r w:rsidRPr="005B0DCA">
        <w:t xml:space="preserve"> provides an alternate form of delivery</w:t>
      </w:r>
      <w:r>
        <w:t xml:space="preserve"> for Ig therapy (discussed further in the Intervention section of this document). Its approval for use in CIDP patients is said to be </w:t>
      </w:r>
      <w:r w:rsidR="00DF53F2">
        <w:t xml:space="preserve">probable in the foreseeable future </w:t>
      </w:r>
      <w:r>
        <w:t xml:space="preserve">(Referral Form, page 4). </w:t>
      </w:r>
      <w:r w:rsidRPr="007A046C">
        <w:t xml:space="preserve">The </w:t>
      </w:r>
      <w:r>
        <w:t xml:space="preserve">Reference Group indicated the introduction of SCIg is not expected to greatly increase the number of patients using Ig to treat CIDP. </w:t>
      </w:r>
    </w:p>
    <w:p w:rsidR="003B5425" w:rsidRPr="006927EB" w:rsidRDefault="003B5425" w:rsidP="00A806C0">
      <w:pPr>
        <w:pStyle w:val="Heading3"/>
        <w:rPr>
          <w:i w:val="0"/>
        </w:rPr>
      </w:pPr>
      <w:bookmarkStart w:id="7" w:name="_Hlk1471068"/>
      <w:r>
        <w:t>Rationale</w:t>
      </w:r>
    </w:p>
    <w:p w:rsidR="003B5425" w:rsidRDefault="003B5425" w:rsidP="00A806C0">
      <w:r>
        <w:t xml:space="preserve">If evidence is </w:t>
      </w:r>
      <w:r w:rsidRPr="00B84367">
        <w:rPr>
          <w:noProof/>
        </w:rPr>
        <w:t>available</w:t>
      </w:r>
      <w:r>
        <w:t xml:space="preserve"> allowing subgroup analysis the following groups are of interest:</w:t>
      </w:r>
    </w:p>
    <w:p w:rsidR="003B5425" w:rsidRPr="00EC4A52" w:rsidRDefault="003B5425" w:rsidP="00A806C0">
      <w:pPr>
        <w:pStyle w:val="Heading4"/>
      </w:pPr>
      <w:r w:rsidRPr="00EC4A52">
        <w:t xml:space="preserve">Motor, </w:t>
      </w:r>
      <w:r w:rsidR="00AF5D93">
        <w:t>s</w:t>
      </w:r>
      <w:r w:rsidRPr="00EC4A52">
        <w:t xml:space="preserve">ensory, or </w:t>
      </w:r>
      <w:r w:rsidR="00AF5D93">
        <w:t>s</w:t>
      </w:r>
      <w:r w:rsidRPr="00EC4A52">
        <w:t>ensorimotor</w:t>
      </w:r>
      <w:r>
        <w:t xml:space="preserve"> </w:t>
      </w:r>
    </w:p>
    <w:p w:rsidR="003B5425" w:rsidRDefault="003B5425" w:rsidP="00A806C0">
      <w:r>
        <w:t xml:space="preserve">CIDP is a sensorimotor </w:t>
      </w:r>
      <w:r w:rsidRPr="00B84367">
        <w:rPr>
          <w:noProof/>
        </w:rPr>
        <w:t>neuropathy</w:t>
      </w:r>
      <w:r>
        <w:rPr>
          <w:noProof/>
        </w:rPr>
        <w:t>;</w:t>
      </w:r>
      <w:r>
        <w:t xml:space="preserve"> however, the degree to which it affects the motor or </w:t>
      </w:r>
      <w:r w:rsidRPr="00B84367">
        <w:rPr>
          <w:noProof/>
        </w:rPr>
        <w:t>sensory peripheral</w:t>
      </w:r>
      <w:r>
        <w:t xml:space="preserve"> nerves will differ between patients. Treatment recommendations for pure motor CIDP differ from standard recommendations. </w:t>
      </w:r>
    </w:p>
    <w:p w:rsidR="003B5425" w:rsidRDefault="003B5425" w:rsidP="00A806C0">
      <w:r>
        <w:t xml:space="preserve">The EFNS/PNS guidelines recommend either steroids or IVIg as </w:t>
      </w:r>
      <w:r>
        <w:rPr>
          <w:noProof/>
        </w:rPr>
        <w:t>the</w:t>
      </w:r>
      <w:r w:rsidRPr="00B84367">
        <w:rPr>
          <w:noProof/>
        </w:rPr>
        <w:t xml:space="preserve"> first</w:t>
      </w:r>
      <w:r>
        <w:t xml:space="preserve"> option for patients with moderate to severe CIDP however they do not make a clear distinction which is more appropriate. For pure motor CIDP, the guidelines recommend that IVIg should be the first choice.</w:t>
      </w:r>
      <w:r w:rsidRPr="008D52B0">
        <w:rPr>
          <w:noProof/>
          <w:vertAlign w:val="superscript"/>
        </w:rPr>
        <w:t>5</w:t>
      </w:r>
      <w:r>
        <w:t xml:space="preserve"> Expert opinion sought during the drafting of this PICO Confirmation clarified that in cases of pure motor CIDP patients </w:t>
      </w:r>
      <w:r w:rsidRPr="0048269B">
        <w:rPr>
          <w:noProof/>
        </w:rPr>
        <w:t>may</w:t>
      </w:r>
      <w:r>
        <w:t xml:space="preserve"> deteriorate when given steroids</w:t>
      </w:r>
      <w:r>
        <w:rPr>
          <w:noProof/>
        </w:rPr>
        <w:t>. T</w:t>
      </w:r>
      <w:r w:rsidRPr="00B84367">
        <w:rPr>
          <w:noProof/>
        </w:rPr>
        <w:t>herefore</w:t>
      </w:r>
      <w:r>
        <w:t xml:space="preserve">, IVIg should always </w:t>
      </w:r>
      <w:r w:rsidRPr="00B84367">
        <w:rPr>
          <w:noProof/>
        </w:rPr>
        <w:t>be used</w:t>
      </w:r>
      <w:r>
        <w:t xml:space="preserve"> as the first treatment option (unless contraindicated).</w:t>
      </w:r>
      <w:r w:rsidRPr="00C45A8F">
        <w:rPr>
          <w:noProof/>
          <w:vertAlign w:val="superscript"/>
        </w:rPr>
        <w:t>11</w:t>
      </w:r>
    </w:p>
    <w:p w:rsidR="003B5425" w:rsidRDefault="003B5425" w:rsidP="00A806C0">
      <w:r>
        <w:lastRenderedPageBreak/>
        <w:t xml:space="preserve">One of the </w:t>
      </w:r>
      <w:r w:rsidRPr="00B84367">
        <w:rPr>
          <w:noProof/>
        </w:rPr>
        <w:t>nineteen</w:t>
      </w:r>
      <w:r>
        <w:t xml:space="preserve"> cases (5%) of CIDP identified in Iceland by Hafsteinsdottir and Olafsson (2016) was the </w:t>
      </w:r>
      <w:r w:rsidRPr="00B84367">
        <w:rPr>
          <w:noProof/>
        </w:rPr>
        <w:t>pure</w:t>
      </w:r>
      <w:r w:rsidR="009724ED">
        <w:rPr>
          <w:noProof/>
        </w:rPr>
        <w:t xml:space="preserve"> </w:t>
      </w:r>
      <w:r w:rsidRPr="00B84367">
        <w:rPr>
          <w:noProof/>
        </w:rPr>
        <w:t>motor</w:t>
      </w:r>
      <w:r>
        <w:t xml:space="preserve"> presentation of the disease.</w:t>
      </w:r>
      <w:r w:rsidRPr="008D52B0">
        <w:rPr>
          <w:noProof/>
          <w:vertAlign w:val="superscript"/>
        </w:rPr>
        <w:t>23</w:t>
      </w:r>
      <w:r>
        <w:t xml:space="preserve"> Expert feedback indicated that it was reasonable to assume approximately 5% of Australian CIDP patients have a pure motor form.</w:t>
      </w:r>
      <w:r w:rsidRPr="008D52B0">
        <w:rPr>
          <w:noProof/>
          <w:vertAlign w:val="superscript"/>
        </w:rPr>
        <w:t>1</w:t>
      </w:r>
    </w:p>
    <w:p w:rsidR="003B5425" w:rsidRDefault="003B5425" w:rsidP="00A806C0">
      <w:pPr>
        <w:spacing w:after="120"/>
      </w:pPr>
      <w:r>
        <w:t>The Reference Group noted it was appropriate to treat ‘pure motor CIDP’ and ‘sensorimotor CIDP’ as subgroups. However, given the limited evidence base, subgroup analysis should only be considered if it proves to be feasible.</w:t>
      </w:r>
    </w:p>
    <w:p w:rsidR="003B5425" w:rsidRDefault="003B5425" w:rsidP="00A806C0">
      <w:pPr>
        <w:pStyle w:val="Heading4"/>
      </w:pPr>
      <w:r w:rsidRPr="00EC4A52">
        <w:t>IgG and IgA paraproteinemic demyelinating neuropathies</w:t>
      </w:r>
      <w:r>
        <w:t xml:space="preserve"> </w:t>
      </w:r>
    </w:p>
    <w:p w:rsidR="003B5425" w:rsidRDefault="003B5425" w:rsidP="00A806C0">
      <w:r>
        <w:t xml:space="preserve">In the current Australian </w:t>
      </w:r>
      <w:r w:rsidRPr="0028501A">
        <w:t>setting, IgG and IgA paraproteinemic demyelinating neuropathies (PDNs)</w:t>
      </w:r>
      <w:r>
        <w:t xml:space="preserve"> </w:t>
      </w:r>
      <w:r w:rsidRPr="00D90977">
        <w:rPr>
          <w:noProof/>
        </w:rPr>
        <w:t xml:space="preserve">are </w:t>
      </w:r>
      <w:r>
        <w:rPr>
          <w:noProof/>
        </w:rPr>
        <w:t>included</w:t>
      </w:r>
      <w:r>
        <w:t xml:space="preserve"> as specific conditions within the broader CIDP category. </w:t>
      </w:r>
    </w:p>
    <w:p w:rsidR="003B5425" w:rsidRDefault="003B5425" w:rsidP="00A806C0">
      <w:r>
        <w:t xml:space="preserve">It has </w:t>
      </w:r>
      <w:r w:rsidRPr="0048269B">
        <w:rPr>
          <w:noProof/>
        </w:rPr>
        <w:t>been documented</w:t>
      </w:r>
      <w:r>
        <w:t xml:space="preserve"> that paraproteinemic neuropathy is a </w:t>
      </w:r>
      <w:r w:rsidRPr="008F187B">
        <w:t>predominantly sensory,</w:t>
      </w:r>
      <w:r>
        <w:t xml:space="preserve"> chronic neuropathy which, although similar to CIDP, presents with sensory impairment to a relatively greater degree.</w:t>
      </w:r>
      <w:r w:rsidRPr="008D52B0">
        <w:rPr>
          <w:noProof/>
          <w:vertAlign w:val="superscript"/>
        </w:rPr>
        <w:t>24</w:t>
      </w:r>
      <w:r>
        <w:t xml:space="preserve"> </w:t>
      </w:r>
    </w:p>
    <w:p w:rsidR="003B5425" w:rsidRDefault="003B5425" w:rsidP="00A806C0">
      <w:r>
        <w:t xml:space="preserve">The 2010 EFNS/PNS </w:t>
      </w:r>
      <w:r w:rsidR="00AF5D93">
        <w:t>g</w:t>
      </w:r>
      <w:r>
        <w:t>uidelines on paraproteinemic demyelinating neuropathies note that a PDN is often indistinguishable from CIDP and that IgG or IgA PDN may be CIDP with a coincidental paraprotein.</w:t>
      </w:r>
      <w:r w:rsidRPr="008D52B0">
        <w:rPr>
          <w:noProof/>
          <w:vertAlign w:val="superscript"/>
        </w:rPr>
        <w:t>25</w:t>
      </w:r>
    </w:p>
    <w:p w:rsidR="003B5425" w:rsidRDefault="003B5425" w:rsidP="00A806C0">
      <w:r>
        <w:t>Cochrane reviews have considered treatment for patients with IgG and IgA paraproteinemic neuropathies separately to those with CIDP.</w:t>
      </w:r>
      <w:r w:rsidRPr="008D52B0">
        <w:rPr>
          <w:noProof/>
          <w:vertAlign w:val="superscript"/>
        </w:rPr>
        <w:t>7, 24</w:t>
      </w:r>
      <w:r>
        <w:t>. Expert advice is that treatment for IgG and IgA paraproteinemic neuropathies is the same as for CIDP.</w:t>
      </w:r>
      <w:r w:rsidRPr="00C45A8F">
        <w:rPr>
          <w:noProof/>
          <w:vertAlign w:val="superscript"/>
        </w:rPr>
        <w:t>11</w:t>
      </w:r>
    </w:p>
    <w:bookmarkEnd w:id="7"/>
    <w:p w:rsidR="003B5425" w:rsidRPr="00E002A9" w:rsidRDefault="003B5425" w:rsidP="00EE4E9C">
      <w:pPr>
        <w:pStyle w:val="Heading1"/>
      </w:pPr>
      <w:r w:rsidRPr="00E364F7">
        <w:t>Intervention</w:t>
      </w:r>
    </w:p>
    <w:p w:rsidR="003B5425" w:rsidRPr="00082639" w:rsidRDefault="003B5425" w:rsidP="00A806C0">
      <w:r>
        <w:t xml:space="preserve">The intervention under review is Ig, which </w:t>
      </w:r>
      <w:r w:rsidRPr="00432870">
        <w:rPr>
          <w:noProof/>
        </w:rPr>
        <w:t>is used</w:t>
      </w:r>
      <w:r>
        <w:t xml:space="preserve"> as an immunomodulation therapy in CIDP (Referral Form, page 2). It may be administered either intravenously (IVIg) or subcutaneously (SCIg). </w:t>
      </w:r>
    </w:p>
    <w:p w:rsidR="003B5425" w:rsidRDefault="003B5425" w:rsidP="00A806C0">
      <w:r>
        <w:t>In general, the overarching clinical goals when treating CIDP are to improve</w:t>
      </w:r>
      <w:r w:rsidRPr="003B4A1B">
        <w:t xml:space="preserve"> clinical </w:t>
      </w:r>
      <w:r>
        <w:t>symptoms</w:t>
      </w:r>
      <w:r w:rsidRPr="003B4A1B">
        <w:t xml:space="preserve"> </w:t>
      </w:r>
      <w:r>
        <w:t>(</w:t>
      </w:r>
      <w:r w:rsidRPr="00432870">
        <w:rPr>
          <w:noProof/>
        </w:rPr>
        <w:t>e.g.</w:t>
      </w:r>
      <w:r>
        <w:rPr>
          <w:noProof/>
        </w:rPr>
        <w:t>,</w:t>
      </w:r>
      <w:r>
        <w:t xml:space="preserve"> increase strength, decrease sensory loss), improve functional status (</w:t>
      </w:r>
      <w:r w:rsidRPr="00432870">
        <w:rPr>
          <w:noProof/>
        </w:rPr>
        <w:t>i.e.</w:t>
      </w:r>
      <w:r>
        <w:rPr>
          <w:noProof/>
        </w:rPr>
        <w:t>,</w:t>
      </w:r>
      <w:r>
        <w:t xml:space="preserve"> reduce disability) and where possible, achieve remission over the long-term.</w:t>
      </w:r>
      <w:r w:rsidRPr="008D52B0">
        <w:rPr>
          <w:noProof/>
          <w:vertAlign w:val="superscript"/>
        </w:rPr>
        <w:t>8</w:t>
      </w:r>
      <w:r>
        <w:t xml:space="preserve"> This </w:t>
      </w:r>
      <w:r w:rsidRPr="00432870">
        <w:rPr>
          <w:noProof/>
        </w:rPr>
        <w:t>is achieved</w:t>
      </w:r>
      <w:r>
        <w:t xml:space="preserve"> through the use of therapies which </w:t>
      </w:r>
      <w:r w:rsidRPr="003B4A1B">
        <w:t xml:space="preserve">suppress the immune system </w:t>
      </w:r>
      <w:r>
        <w:t>to</w:t>
      </w:r>
      <w:r w:rsidRPr="003B4A1B">
        <w:t xml:space="preserve"> prevent further</w:t>
      </w:r>
      <w:r>
        <w:t xml:space="preserve"> inflammation and</w:t>
      </w:r>
      <w:r w:rsidRPr="003B4A1B">
        <w:t xml:space="preserve"> demyelination of peripheral nerves</w:t>
      </w:r>
      <w:r>
        <w:t xml:space="preserve"> and, moreover, to avoid secondary axonal degeneration.</w:t>
      </w:r>
      <w:r w:rsidRPr="008D52B0">
        <w:rPr>
          <w:noProof/>
          <w:vertAlign w:val="superscript"/>
        </w:rPr>
        <w:t>26</w:t>
      </w:r>
      <w:r>
        <w:t xml:space="preserve"> </w:t>
      </w:r>
    </w:p>
    <w:p w:rsidR="003B5425" w:rsidRDefault="003B5425" w:rsidP="00A806C0">
      <w:r>
        <w:t xml:space="preserve">The EFNS/PNS guidelines </w:t>
      </w:r>
      <w:r>
        <w:rPr>
          <w:noProof/>
        </w:rPr>
        <w:t>guide</w:t>
      </w:r>
      <w:r>
        <w:t xml:space="preserve"> the treatment of CIDP.</w:t>
      </w:r>
      <w:r w:rsidRPr="008D52B0">
        <w:rPr>
          <w:noProof/>
          <w:vertAlign w:val="superscript"/>
        </w:rPr>
        <w:t>5</w:t>
      </w:r>
      <w:r>
        <w:t xml:space="preserve"> Steroids </w:t>
      </w:r>
      <w:r w:rsidRPr="00432870">
        <w:rPr>
          <w:noProof/>
        </w:rPr>
        <w:t>or</w:t>
      </w:r>
      <w:r>
        <w:t xml:space="preserve"> IVIg </w:t>
      </w:r>
      <w:r w:rsidRPr="00432870">
        <w:rPr>
          <w:noProof/>
        </w:rPr>
        <w:t>are</w:t>
      </w:r>
      <w:r>
        <w:t xml:space="preserve"> recommended as </w:t>
      </w:r>
      <w:r w:rsidRPr="00432870">
        <w:rPr>
          <w:noProof/>
        </w:rPr>
        <w:t>first</w:t>
      </w:r>
      <w:r>
        <w:rPr>
          <w:noProof/>
        </w:rPr>
        <w:t>-</w:t>
      </w:r>
      <w:r w:rsidRPr="00432870">
        <w:rPr>
          <w:noProof/>
        </w:rPr>
        <w:t>line</w:t>
      </w:r>
      <w:r>
        <w:t xml:space="preserve"> treatment options for patients with moderate to severe disability (except for pure motor CIDP where only IVIg </w:t>
      </w:r>
      <w:r w:rsidRPr="00432870">
        <w:rPr>
          <w:noProof/>
        </w:rPr>
        <w:t>is recommended</w:t>
      </w:r>
      <w:r>
        <w:t xml:space="preserve">). IVIg is noted as the common first choice treatment as improvement can be fast. SCIg </w:t>
      </w:r>
      <w:r w:rsidRPr="00432870">
        <w:rPr>
          <w:noProof/>
        </w:rPr>
        <w:t>is not discussed</w:t>
      </w:r>
      <w:r>
        <w:t xml:space="preserve"> in these </w:t>
      </w:r>
      <w:r w:rsidR="00AF5D93">
        <w:t>g</w:t>
      </w:r>
      <w:r>
        <w:t xml:space="preserve">uidelines; however, recent trials have considered its efficacy, tolerability </w:t>
      </w:r>
      <w:r w:rsidRPr="00432870">
        <w:rPr>
          <w:noProof/>
        </w:rPr>
        <w:t>and</w:t>
      </w:r>
      <w:r>
        <w:t xml:space="preserve"> effectiveness in CIDP patients.</w:t>
      </w:r>
      <w:r w:rsidRPr="008D52B0">
        <w:rPr>
          <w:noProof/>
          <w:vertAlign w:val="superscript"/>
        </w:rPr>
        <w:t>27, 28</w:t>
      </w:r>
    </w:p>
    <w:p w:rsidR="003B5425" w:rsidRPr="00611816" w:rsidRDefault="003B5425" w:rsidP="00A806C0">
      <w:r>
        <w:t xml:space="preserve">In Australia version 3 of </w:t>
      </w:r>
      <w:r w:rsidRPr="008D52B0">
        <w:rPr>
          <w:i/>
        </w:rPr>
        <w:t>the</w:t>
      </w:r>
      <w:r>
        <w:t xml:space="preserve"> </w:t>
      </w:r>
      <w:r>
        <w:rPr>
          <w:i/>
        </w:rPr>
        <w:t xml:space="preserve">Criteria </w:t>
      </w:r>
      <w:r>
        <w:t xml:space="preserve">classifies CIDP as a disease for which IVIg has </w:t>
      </w:r>
      <w:r w:rsidR="00BA7EA5">
        <w:t xml:space="preserve">high quality RCTs demonstrating benefit; </w:t>
      </w:r>
      <w:r>
        <w:t>IVIg is currently funded publicly for CIDP patients under certain circumstances.</w:t>
      </w:r>
      <w:r w:rsidRPr="008D52B0">
        <w:rPr>
          <w:noProof/>
          <w:vertAlign w:val="superscript"/>
        </w:rPr>
        <w:t>4</w:t>
      </w:r>
      <w:r>
        <w:t xml:space="preserve"> IVIg forms a current part of standard care for CIDP patients in Australia.</w:t>
      </w:r>
      <w:r w:rsidRPr="00F460AD">
        <w:t xml:space="preserve"> </w:t>
      </w:r>
      <w:r>
        <w:t>SCIg is considered a suitable alternative to IVIg (and approved for public funding) in certain medical conditions only, of which CIDP is not one.</w:t>
      </w:r>
      <w:r w:rsidRPr="008D52B0">
        <w:rPr>
          <w:noProof/>
          <w:vertAlign w:val="superscript"/>
        </w:rPr>
        <w:t>29</w:t>
      </w:r>
      <w:r>
        <w:t xml:space="preserve"> SCIg does not currently form a part of standard care for </w:t>
      </w:r>
      <w:r>
        <w:lastRenderedPageBreak/>
        <w:t xml:space="preserve">this condition in Australia; however, the Referrer has noted that a change is thought </w:t>
      </w:r>
      <w:r w:rsidR="003C0E6B">
        <w:t>probable in the foreseeable future</w:t>
      </w:r>
      <w:r>
        <w:t xml:space="preserve">(Referral Form, page 4). </w:t>
      </w:r>
    </w:p>
    <w:p w:rsidR="003B5425" w:rsidRPr="002E7943" w:rsidRDefault="003B5425" w:rsidP="00A806C0">
      <w:pPr>
        <w:pStyle w:val="Heading3"/>
      </w:pPr>
      <w:r>
        <w:t>Overview of Ig use</w:t>
      </w:r>
      <w:r w:rsidRPr="002E7943">
        <w:t xml:space="preserve"> </w:t>
      </w:r>
      <w:r>
        <w:t xml:space="preserve">in Australia </w:t>
      </w:r>
    </w:p>
    <w:p w:rsidR="003B5425" w:rsidRDefault="003B5425" w:rsidP="00A806C0">
      <w:r>
        <w:t>Immunoglobulin is a blood product derived from donated human plasma.</w:t>
      </w:r>
      <w:r w:rsidRPr="008D52B0">
        <w:rPr>
          <w:noProof/>
          <w:vertAlign w:val="superscript"/>
        </w:rPr>
        <w:t>22</w:t>
      </w:r>
      <w:r>
        <w:t xml:space="preserve"> It may </w:t>
      </w:r>
      <w:r w:rsidRPr="00432870">
        <w:rPr>
          <w:noProof/>
        </w:rPr>
        <w:t>be employed</w:t>
      </w:r>
      <w:r>
        <w:t xml:space="preserve"> as either a replacement or immunomodulation therapy across many different disorders, including both antibody deficiencies and autoimmune diseases.</w:t>
      </w:r>
    </w:p>
    <w:p w:rsidR="003B5425" w:rsidRDefault="003B5425" w:rsidP="00A806C0">
      <w:r>
        <w:t>The reliance on donated human plasma may be a limiting factor in the supply of Ig. It is imperative to ensure that supplies are available for patients with the greatest clinical need and for whom there are no safe and effective alternative therapies.</w:t>
      </w:r>
      <w:r w:rsidRPr="008D52B0">
        <w:rPr>
          <w:noProof/>
          <w:vertAlign w:val="superscript"/>
        </w:rPr>
        <w:t>30</w:t>
      </w:r>
      <w:r>
        <w:t xml:space="preserve"> </w:t>
      </w:r>
    </w:p>
    <w:p w:rsidR="003B5425" w:rsidRDefault="003B5425" w:rsidP="00A806C0">
      <w:r>
        <w:t xml:space="preserve">Immunoglobulin supplies in Australia </w:t>
      </w:r>
      <w:r w:rsidRPr="00432870">
        <w:rPr>
          <w:noProof/>
        </w:rPr>
        <w:t>are comprised</w:t>
      </w:r>
      <w:r>
        <w:t xml:space="preserve"> of both domestic and imported products. CSL Behring Pty Ltd manufactures a domestic supply of Ig from plasma collected by the Australian Red Cross Blood Services (Referral Form page 4). Imported product supply arrangements exist with multiple suppliers (Referral Form page 4). The domestic demand for Ig has been steadily increasing faster than national plasma collections have been increasing. T</w:t>
      </w:r>
      <w:r w:rsidRPr="00432870">
        <w:rPr>
          <w:noProof/>
        </w:rPr>
        <w:t>hus</w:t>
      </w:r>
      <w:r>
        <w:t>, imports of Ig have had to increase to meet local demand.</w:t>
      </w:r>
      <w:r w:rsidRPr="008D52B0">
        <w:rPr>
          <w:noProof/>
          <w:vertAlign w:val="superscript"/>
        </w:rPr>
        <w:t>30</w:t>
      </w:r>
      <w:r>
        <w:t xml:space="preserve"> </w:t>
      </w:r>
    </w:p>
    <w:p w:rsidR="003B5425" w:rsidRPr="000717C4" w:rsidRDefault="003B5425" w:rsidP="00A806C0">
      <w:pPr>
        <w:pStyle w:val="Heading4"/>
      </w:pPr>
      <w:r>
        <w:t>Immunoglobulin p</w:t>
      </w:r>
      <w:r w:rsidRPr="000717C4">
        <w:t>roducts approved for the treatment of CIDP</w:t>
      </w:r>
    </w:p>
    <w:p w:rsidR="003B5425" w:rsidRDefault="003B5425">
      <w:r>
        <w:t xml:space="preserve">The Australian Register of Therapeutic Goods (ARTG) currently lists four Ig products for use in CIDP (Referral Form, page 29). These are Intragam® 10, Privigen® 10%, Hizentra® and Gamunex® 10% (Referral Form, Table 1, page 5). </w:t>
      </w:r>
      <w:r w:rsidRPr="00432870">
        <w:rPr>
          <w:noProof/>
        </w:rPr>
        <w:t>Flebogamma (10% and 5%) are funded by the NBA</w:t>
      </w:r>
      <w:r>
        <w:t xml:space="preserve"> for use in CIDP however, they are not listed on the TGA for this indication (Referral Form, Table 1, page 5). Furthermore, the Reference Group indicated that Cuvitru should </w:t>
      </w:r>
      <w:r w:rsidRPr="00432870">
        <w:rPr>
          <w:noProof/>
        </w:rPr>
        <w:t>be included</w:t>
      </w:r>
      <w:r>
        <w:t xml:space="preserve"> in </w:t>
      </w:r>
      <w:r>
        <w:fldChar w:fldCharType="begin"/>
      </w:r>
      <w:r>
        <w:instrText xml:space="preserve"> REF _Ref1565014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5</w:t>
      </w:r>
      <w:r>
        <w:fldChar w:fldCharType="end"/>
      </w:r>
      <w:r>
        <w:t xml:space="preserve">. </w:t>
      </w:r>
    </w:p>
    <w:p w:rsidR="00B1580E" w:rsidRDefault="003B5425" w:rsidP="004F31B6">
      <w:r>
        <w:t xml:space="preserve">Ig products available to patients in Australia for CIDP </w:t>
      </w:r>
      <w:r w:rsidRPr="00432870">
        <w:rPr>
          <w:noProof/>
        </w:rPr>
        <w:t>are summarised</w:t>
      </w:r>
      <w:bookmarkStart w:id="8" w:name="_Ref535246399"/>
      <w:r w:rsidR="004F31B6">
        <w:t>.</w:t>
      </w:r>
    </w:p>
    <w:p w:rsidR="00B1580E" w:rsidRDefault="00B1580E">
      <w:r>
        <w:br w:type="page"/>
      </w:r>
    </w:p>
    <w:p w:rsidR="003B5425" w:rsidRPr="00E002A9" w:rsidRDefault="003B5425" w:rsidP="004F31B6"/>
    <w:p w:rsidR="003B5425" w:rsidRPr="004F31B6" w:rsidRDefault="003B5425" w:rsidP="00A806C0">
      <w:pPr>
        <w:pStyle w:val="Caption"/>
        <w:rPr>
          <w:rFonts w:asciiTheme="minorHAnsi" w:hAnsiTheme="minorHAnsi" w:cstheme="minorHAnsi"/>
        </w:rPr>
      </w:pPr>
      <w:bookmarkStart w:id="9" w:name="_Ref1565014"/>
      <w:bookmarkStart w:id="10" w:name="_Ref1565004"/>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5</w:t>
      </w:r>
      <w:r w:rsidRPr="004F31B6">
        <w:rPr>
          <w:rFonts w:asciiTheme="minorHAnsi" w:hAnsiTheme="minorHAnsi" w:cstheme="minorHAnsi"/>
        </w:rPr>
        <w:fldChar w:fldCharType="end"/>
      </w:r>
      <w:bookmarkEnd w:id="8"/>
      <w:bookmarkEnd w:id="9"/>
      <w:r w:rsidRPr="004F31B6">
        <w:rPr>
          <w:rFonts w:asciiTheme="minorHAnsi" w:hAnsiTheme="minorHAnsi" w:cstheme="minorHAnsi"/>
        </w:rPr>
        <w:tab/>
        <w:t>Available Ig products for use in CIDP (either TGA approved or NBA funded, or both)</w:t>
      </w:r>
      <w:bookmarkEnd w:id="10"/>
    </w:p>
    <w:tbl>
      <w:tblPr>
        <w:tblStyle w:val="TableGrid"/>
        <w:tblW w:w="0" w:type="auto"/>
        <w:tblLook w:val="04A0" w:firstRow="1" w:lastRow="0" w:firstColumn="1" w:lastColumn="0" w:noHBand="0" w:noVBand="1"/>
        <w:tblCaption w:val="Table 5 Available Ig products for use in CIDP (either TGA approved or NBA funded, or both)"/>
      </w:tblPr>
      <w:tblGrid>
        <w:gridCol w:w="3846"/>
        <w:gridCol w:w="1443"/>
        <w:gridCol w:w="1401"/>
        <w:gridCol w:w="1255"/>
        <w:gridCol w:w="1071"/>
      </w:tblGrid>
      <w:tr w:rsidR="003B5425" w:rsidRPr="004F31B6" w:rsidTr="00384907">
        <w:trPr>
          <w:tblHeader/>
        </w:trPr>
        <w:tc>
          <w:tcPr>
            <w:tcW w:w="3916"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Product name and company</w:t>
            </w:r>
          </w:p>
        </w:tc>
        <w:tc>
          <w:tcPr>
            <w:tcW w:w="1346"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Route of administration</w:t>
            </w:r>
          </w:p>
        </w:tc>
        <w:tc>
          <w:tcPr>
            <w:tcW w:w="1411"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TGA indication for CIDP (y/n)</w:t>
            </w:r>
          </w:p>
        </w:tc>
        <w:tc>
          <w:tcPr>
            <w:tcW w:w="1266"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NBA funded for CIDP (y/n)</w:t>
            </w:r>
          </w:p>
        </w:tc>
        <w:tc>
          <w:tcPr>
            <w:tcW w:w="1077"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NBA price</w:t>
            </w:r>
          </w:p>
        </w:tc>
      </w:tr>
      <w:tr w:rsidR="003B5425" w:rsidRPr="004F31B6" w:rsidTr="00A806C0">
        <w:tc>
          <w:tcPr>
            <w:tcW w:w="39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Intragam® 10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CSL Behring Australia P/L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(2.5g/25mL to 20g/200mL)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DOMESTIC</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IV</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$146 - $1,170</w:t>
            </w:r>
          </w:p>
        </w:tc>
      </w:tr>
      <w:tr w:rsidR="003B5425" w:rsidRPr="004F31B6" w:rsidTr="00A806C0">
        <w:tc>
          <w:tcPr>
            <w:tcW w:w="39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Privigen® 10%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CSL Behring Australia P/L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(5g/50mL to 40g/400mL)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IMPORTED</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IV</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$255 - $1,800</w:t>
            </w:r>
          </w:p>
        </w:tc>
      </w:tr>
      <w:tr w:rsidR="003B5425" w:rsidRPr="004F31B6" w:rsidTr="00A806C0">
        <w:tc>
          <w:tcPr>
            <w:tcW w:w="39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Hizentra®</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CSL Behring Australia P/L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(1g/5mL to 10g/50mL)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IMPORTED</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SC</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No*</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$57- $574</w:t>
            </w:r>
          </w:p>
        </w:tc>
      </w:tr>
      <w:tr w:rsidR="003B5425" w:rsidRPr="004F31B6" w:rsidTr="00A806C0">
        <w:tc>
          <w:tcPr>
            <w:tcW w:w="39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Gamunex® 10%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Grifols Australia P/L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IMPORTED</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IV and SC</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No</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Not funded</w:t>
            </w:r>
          </w:p>
        </w:tc>
      </w:tr>
      <w:tr w:rsidR="003B5425" w:rsidRPr="004F31B6" w:rsidTr="00A806C0">
        <w:trPr>
          <w:trHeight w:val="385"/>
        </w:trPr>
        <w:tc>
          <w:tcPr>
            <w:tcW w:w="391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Flebogamma 10%**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Grifols</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(5g/50mL – 20g/200mL)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IMPORTED</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IV</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No</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$23 - $900</w:t>
            </w:r>
          </w:p>
        </w:tc>
      </w:tr>
      <w:tr w:rsidR="003B5425" w:rsidRPr="004F31B6" w:rsidTr="00A806C0">
        <w:trPr>
          <w:trHeight w:val="418"/>
        </w:trPr>
        <w:tc>
          <w:tcPr>
            <w:tcW w:w="391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Flebogamma 5%**</w:t>
            </w:r>
            <w:r w:rsidRPr="004F31B6">
              <w:rPr>
                <w:rFonts w:asciiTheme="minorHAnsi" w:hAnsiTheme="minorHAnsi" w:cstheme="minorHAnsi"/>
              </w:rPr>
              <w:br/>
              <w:t>Grifols</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(0.5g/10mL-20g/400mL)</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IMPORTED</w:t>
            </w:r>
          </w:p>
        </w:tc>
        <w:tc>
          <w:tcPr>
            <w:tcW w:w="134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IV</w:t>
            </w:r>
          </w:p>
        </w:tc>
        <w:tc>
          <w:tcPr>
            <w:tcW w:w="1411"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No</w:t>
            </w:r>
          </w:p>
        </w:tc>
        <w:tc>
          <w:tcPr>
            <w:tcW w:w="1266"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Yes</w:t>
            </w:r>
          </w:p>
        </w:tc>
        <w:tc>
          <w:tcPr>
            <w:tcW w:w="1077"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$225 - $900</w:t>
            </w:r>
          </w:p>
        </w:tc>
      </w:tr>
      <w:tr w:rsidR="003B5425" w:rsidRPr="004F31B6" w:rsidDel="004D4B61" w:rsidTr="00A806C0">
        <w:tc>
          <w:tcPr>
            <w:tcW w:w="39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noProof/>
              </w:rPr>
              <w:t>Cuvitru</w:t>
            </w:r>
            <w:r w:rsidRPr="004F31B6">
              <w:rPr>
                <w:rFonts w:asciiTheme="minorHAnsi" w:hAnsiTheme="minorHAnsi" w:cstheme="minorHAnsi"/>
              </w:rPr>
              <w:t xml:space="preserve"> 20%</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Shire Australia Pty Ltd </w:t>
            </w:r>
          </w:p>
          <w:p w:rsidR="003B5425" w:rsidRPr="004F31B6" w:rsidDel="004D4B61" w:rsidRDefault="003B5425" w:rsidP="00A806C0">
            <w:pPr>
              <w:pStyle w:val="Tablecontents"/>
              <w:rPr>
                <w:rFonts w:asciiTheme="minorHAnsi" w:hAnsiTheme="minorHAnsi" w:cstheme="minorHAnsi"/>
              </w:rPr>
            </w:pPr>
            <w:r w:rsidRPr="004F31B6">
              <w:rPr>
                <w:rFonts w:asciiTheme="minorHAnsi" w:hAnsiTheme="minorHAnsi" w:cstheme="minorHAnsi"/>
              </w:rPr>
              <w:t>(1g/5mL to 8g/40mL)</w:t>
            </w:r>
          </w:p>
        </w:tc>
        <w:tc>
          <w:tcPr>
            <w:tcW w:w="1346" w:type="dxa"/>
            <w:vAlign w:val="center"/>
          </w:tcPr>
          <w:p w:rsidR="003B5425" w:rsidRPr="004F31B6" w:rsidDel="004D4B61" w:rsidRDefault="003B5425" w:rsidP="00A806C0">
            <w:pPr>
              <w:pStyle w:val="Tablecontents"/>
              <w:rPr>
                <w:rFonts w:asciiTheme="minorHAnsi" w:hAnsiTheme="minorHAnsi" w:cstheme="minorHAnsi"/>
              </w:rPr>
            </w:pPr>
            <w:r w:rsidRPr="004F31B6">
              <w:rPr>
                <w:rFonts w:asciiTheme="minorHAnsi" w:hAnsiTheme="minorHAnsi" w:cstheme="minorHAnsi"/>
              </w:rPr>
              <w:t>SC</w:t>
            </w:r>
          </w:p>
        </w:tc>
        <w:tc>
          <w:tcPr>
            <w:tcW w:w="1411" w:type="dxa"/>
            <w:vAlign w:val="center"/>
          </w:tcPr>
          <w:p w:rsidR="003B5425" w:rsidRPr="004F31B6" w:rsidDel="004D4B61" w:rsidRDefault="003B5425" w:rsidP="00A806C0">
            <w:pPr>
              <w:pStyle w:val="Tablecontents"/>
              <w:rPr>
                <w:rFonts w:asciiTheme="minorHAnsi" w:hAnsiTheme="minorHAnsi" w:cstheme="minorHAnsi"/>
              </w:rPr>
            </w:pPr>
            <w:r w:rsidRPr="004F31B6">
              <w:rPr>
                <w:rFonts w:asciiTheme="minorHAnsi" w:hAnsiTheme="minorHAnsi" w:cstheme="minorHAnsi"/>
              </w:rPr>
              <w:t>No^</w:t>
            </w:r>
          </w:p>
        </w:tc>
        <w:tc>
          <w:tcPr>
            <w:tcW w:w="1266" w:type="dxa"/>
            <w:vAlign w:val="center"/>
          </w:tcPr>
          <w:p w:rsidR="003B5425" w:rsidRPr="004F31B6" w:rsidDel="004D4B61" w:rsidRDefault="003B5425" w:rsidP="00A806C0">
            <w:pPr>
              <w:pStyle w:val="Tablecontents"/>
              <w:rPr>
                <w:rFonts w:asciiTheme="minorHAnsi" w:hAnsiTheme="minorHAnsi" w:cstheme="minorHAnsi"/>
              </w:rPr>
            </w:pPr>
            <w:r w:rsidRPr="004F31B6">
              <w:rPr>
                <w:rFonts w:asciiTheme="minorHAnsi" w:hAnsiTheme="minorHAnsi" w:cstheme="minorHAnsi"/>
              </w:rPr>
              <w:t>Not yet listed^^</w:t>
            </w:r>
          </w:p>
        </w:tc>
        <w:tc>
          <w:tcPr>
            <w:tcW w:w="1077" w:type="dxa"/>
            <w:vAlign w:val="center"/>
          </w:tcPr>
          <w:p w:rsidR="003B5425" w:rsidRPr="004F31B6" w:rsidDel="004D4B61" w:rsidRDefault="003B5425" w:rsidP="00A806C0">
            <w:pPr>
              <w:pStyle w:val="Tablecontents"/>
              <w:rPr>
                <w:rFonts w:asciiTheme="minorHAnsi" w:hAnsiTheme="minorHAnsi" w:cstheme="minorHAnsi"/>
              </w:rPr>
            </w:pPr>
            <w:r w:rsidRPr="004F31B6">
              <w:rPr>
                <w:rFonts w:asciiTheme="minorHAnsi" w:hAnsiTheme="minorHAnsi" w:cstheme="minorHAnsi"/>
              </w:rPr>
              <w:t>Not yet listed^^</w:t>
            </w:r>
          </w:p>
        </w:tc>
      </w:tr>
    </w:tbl>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noProof/>
        </w:rPr>
        <w:t>Source</w:t>
      </w:r>
      <w:r w:rsidRPr="004F31B6">
        <w:rPr>
          <w:rFonts w:asciiTheme="minorHAnsi" w:hAnsiTheme="minorHAnsi" w:cstheme="minorHAnsi"/>
          <w:noProof/>
        </w:rPr>
        <w:t>: Adapted from Table 2, page 29 of the Referral Form.</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CIDP</w:t>
      </w:r>
      <w:r w:rsidRPr="004F31B6">
        <w:rPr>
          <w:rFonts w:asciiTheme="minorHAnsi" w:hAnsiTheme="minorHAnsi" w:cstheme="minorHAnsi"/>
        </w:rPr>
        <w:t xml:space="preserve"> = Chronic inflammatory demyelinating polyneuropathy, </w:t>
      </w:r>
      <w:r w:rsidRPr="004F31B6">
        <w:rPr>
          <w:rFonts w:asciiTheme="minorHAnsi" w:hAnsiTheme="minorHAnsi" w:cstheme="minorHAnsi"/>
          <w:b/>
        </w:rPr>
        <w:t>IV</w:t>
      </w:r>
      <w:r w:rsidRPr="004F31B6">
        <w:rPr>
          <w:rFonts w:asciiTheme="minorHAnsi" w:hAnsiTheme="minorHAnsi" w:cstheme="minorHAnsi"/>
        </w:rPr>
        <w:t xml:space="preserve"> = Intravenous, </w:t>
      </w:r>
      <w:r w:rsidRPr="004F31B6">
        <w:rPr>
          <w:rFonts w:asciiTheme="minorHAnsi" w:hAnsiTheme="minorHAnsi" w:cstheme="minorHAnsi"/>
          <w:b/>
        </w:rPr>
        <w:t>NBA</w:t>
      </w:r>
      <w:r w:rsidRPr="004F31B6">
        <w:rPr>
          <w:rFonts w:asciiTheme="minorHAnsi" w:hAnsiTheme="minorHAnsi" w:cstheme="minorHAnsi"/>
        </w:rPr>
        <w:t xml:space="preserve"> = National Blood Authority, </w:t>
      </w:r>
      <w:r w:rsidRPr="004F31B6">
        <w:rPr>
          <w:rFonts w:asciiTheme="minorHAnsi" w:hAnsiTheme="minorHAnsi" w:cstheme="minorHAnsi"/>
          <w:b/>
        </w:rPr>
        <w:t>SC</w:t>
      </w:r>
      <w:r w:rsidRPr="004F31B6">
        <w:rPr>
          <w:rFonts w:asciiTheme="minorHAnsi" w:hAnsiTheme="minorHAnsi" w:cstheme="minorHAnsi"/>
        </w:rPr>
        <w:t xml:space="preserve"> = Subcutaneous, </w:t>
      </w:r>
      <w:r w:rsidRPr="004F31B6">
        <w:rPr>
          <w:rFonts w:asciiTheme="minorHAnsi" w:hAnsiTheme="minorHAnsi" w:cstheme="minorHAnsi"/>
          <w:b/>
        </w:rPr>
        <w:t>TGA</w:t>
      </w:r>
      <w:r w:rsidRPr="004F31B6">
        <w:rPr>
          <w:rFonts w:asciiTheme="minorHAnsi" w:hAnsiTheme="minorHAnsi" w:cstheme="minorHAnsi"/>
        </w:rPr>
        <w:t xml:space="preserve"> = Therapeutic Goods Administration. </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Notes</w:t>
      </w:r>
      <w:r w:rsidRPr="004F31B6">
        <w:rPr>
          <w:rFonts w:asciiTheme="minorHAnsi" w:hAnsiTheme="minorHAnsi" w:cstheme="minorHAnsi"/>
        </w:rPr>
        <w:t xml:space="preserve">: * While Hizentra </w:t>
      </w:r>
      <w:r w:rsidRPr="004F31B6">
        <w:rPr>
          <w:rFonts w:asciiTheme="minorHAnsi" w:hAnsiTheme="minorHAnsi" w:cstheme="minorHAnsi"/>
          <w:noProof/>
        </w:rPr>
        <w:t>is funded</w:t>
      </w:r>
      <w:r w:rsidRPr="004F31B6">
        <w:rPr>
          <w:rFonts w:asciiTheme="minorHAnsi" w:hAnsiTheme="minorHAnsi" w:cstheme="minorHAnsi"/>
        </w:rPr>
        <w:t xml:space="preserve"> under the National Blood Arrangements for other indications, it is not funded for CIDP. It can be accessed directly from the supplier at the NBA negotiated price if alternative funding can </w:t>
      </w:r>
      <w:r w:rsidRPr="004F31B6">
        <w:rPr>
          <w:rFonts w:asciiTheme="minorHAnsi" w:hAnsiTheme="minorHAnsi" w:cstheme="minorHAnsi"/>
          <w:noProof/>
        </w:rPr>
        <w:t>be found</w:t>
      </w:r>
      <w:r w:rsidRPr="004F31B6">
        <w:rPr>
          <w:rFonts w:asciiTheme="minorHAnsi" w:hAnsiTheme="minorHAnsi" w:cstheme="minorHAnsi"/>
        </w:rPr>
        <w:t xml:space="preserve"> (Referral Form, page 29). </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rPr>
        <w:t xml:space="preserve">** Not listed on the TGA for CIDP. NBA provides these products for CIDP; </w:t>
      </w:r>
      <w:r w:rsidRPr="004F31B6">
        <w:rPr>
          <w:rFonts w:asciiTheme="minorHAnsi" w:hAnsiTheme="minorHAnsi" w:cstheme="minorHAnsi"/>
          <w:noProof/>
        </w:rPr>
        <w:t>however</w:t>
      </w:r>
      <w:r w:rsidRPr="004F31B6">
        <w:rPr>
          <w:rFonts w:asciiTheme="minorHAnsi" w:hAnsiTheme="minorHAnsi" w:cstheme="minorHAnsi"/>
        </w:rPr>
        <w:t xml:space="preserve">, they </w:t>
      </w:r>
      <w:r w:rsidRPr="004F31B6">
        <w:rPr>
          <w:rFonts w:asciiTheme="minorHAnsi" w:hAnsiTheme="minorHAnsi" w:cstheme="minorHAnsi"/>
          <w:noProof/>
        </w:rPr>
        <w:t>are not publicly funded</w:t>
      </w:r>
      <w:r w:rsidRPr="004F31B6">
        <w:rPr>
          <w:rFonts w:asciiTheme="minorHAnsi" w:hAnsiTheme="minorHAnsi" w:cstheme="minorHAnsi"/>
        </w:rPr>
        <w:t>.</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rPr>
        <w:t>^ CIDP is not an included indication on either the public ARTG summary or the product information (PI) sheet.</w:t>
      </w:r>
      <w:r w:rsidRPr="004F31B6">
        <w:rPr>
          <w:rFonts w:asciiTheme="minorHAnsi" w:hAnsiTheme="minorHAnsi" w:cstheme="minorHAnsi"/>
          <w:noProof/>
          <w:vertAlign w:val="superscript"/>
        </w:rPr>
        <w:t>31</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rPr>
        <w:t xml:space="preserve">^^ The Reference Group noted that Cuvitru should </w:t>
      </w:r>
      <w:r w:rsidRPr="004F31B6">
        <w:rPr>
          <w:rFonts w:asciiTheme="minorHAnsi" w:hAnsiTheme="minorHAnsi" w:cstheme="minorHAnsi"/>
          <w:noProof/>
        </w:rPr>
        <w:t>be added;</w:t>
      </w:r>
      <w:r w:rsidRPr="004F31B6">
        <w:rPr>
          <w:rFonts w:asciiTheme="minorHAnsi" w:hAnsiTheme="minorHAnsi" w:cstheme="minorHAnsi"/>
        </w:rPr>
        <w:t xml:space="preserve"> </w:t>
      </w:r>
      <w:r w:rsidRPr="004F31B6">
        <w:rPr>
          <w:rFonts w:asciiTheme="minorHAnsi" w:hAnsiTheme="minorHAnsi" w:cstheme="minorHAnsi"/>
          <w:noProof/>
        </w:rPr>
        <w:t>however</w:t>
      </w:r>
      <w:r w:rsidRPr="004F31B6">
        <w:rPr>
          <w:rFonts w:asciiTheme="minorHAnsi" w:hAnsiTheme="minorHAnsi" w:cstheme="minorHAnsi"/>
        </w:rPr>
        <w:t>, it does not yet appear on the NBA National Product List (as of 1</w:t>
      </w:r>
      <w:r w:rsidRPr="004F31B6">
        <w:rPr>
          <w:rFonts w:asciiTheme="minorHAnsi" w:hAnsiTheme="minorHAnsi" w:cstheme="minorHAnsi"/>
          <w:vertAlign w:val="superscript"/>
        </w:rPr>
        <w:t>st</w:t>
      </w:r>
      <w:r w:rsidRPr="004F31B6">
        <w:rPr>
          <w:rFonts w:asciiTheme="minorHAnsi" w:hAnsiTheme="minorHAnsi" w:cstheme="minorHAnsi"/>
        </w:rPr>
        <w:t xml:space="preserve"> January 2019).</w:t>
      </w:r>
      <w:r w:rsidRPr="004F31B6">
        <w:rPr>
          <w:rFonts w:asciiTheme="minorHAnsi" w:hAnsiTheme="minorHAnsi" w:cstheme="minorHAnsi"/>
          <w:noProof/>
          <w:vertAlign w:val="superscript"/>
        </w:rPr>
        <w:t>32</w:t>
      </w:r>
    </w:p>
    <w:p w:rsidR="003B5425" w:rsidRPr="009D694C" w:rsidRDefault="003B5425" w:rsidP="00A806C0">
      <w:pPr>
        <w:pStyle w:val="Heading4"/>
      </w:pPr>
      <w:r>
        <w:t>Current use of Ig for CIDP in Australia (IVIg only)</w:t>
      </w:r>
    </w:p>
    <w:p w:rsidR="003B5425" w:rsidRDefault="003B5425" w:rsidP="00A806C0">
      <w:r>
        <w:t>Expert opinion sought during the drafting of this PICO Confirmation confirmed that IVIg is often a first choice treatment option for patients with moderate to severe CIDP in Australia.</w:t>
      </w:r>
      <w:r w:rsidRPr="00C45A8F">
        <w:rPr>
          <w:noProof/>
          <w:vertAlign w:val="superscript"/>
        </w:rPr>
        <w:t>11</w:t>
      </w:r>
      <w:r>
        <w:t xml:space="preserve"> As a first</w:t>
      </w:r>
      <w:r w:rsidR="009724ED">
        <w:t>-</w:t>
      </w:r>
      <w:r>
        <w:t>line option, it may be either:</w:t>
      </w:r>
    </w:p>
    <w:p w:rsidR="003B5425" w:rsidRDefault="003B5425" w:rsidP="009764F3">
      <w:pPr>
        <w:pStyle w:val="ListParagraph"/>
        <w:numPr>
          <w:ilvl w:val="0"/>
          <w:numId w:val="15"/>
        </w:numPr>
      </w:pPr>
      <w:r w:rsidRPr="00432870">
        <w:rPr>
          <w:noProof/>
        </w:rPr>
        <w:t>Trialled</w:t>
      </w:r>
      <w:r>
        <w:t xml:space="preserve"> alone and if a patient does not respond, stopped </w:t>
      </w:r>
      <w:r w:rsidRPr="00432870">
        <w:rPr>
          <w:noProof/>
        </w:rPr>
        <w:t>and</w:t>
      </w:r>
      <w:r>
        <w:t xml:space="preserve"> an alternate treatment </w:t>
      </w:r>
      <w:r w:rsidRPr="00432870">
        <w:rPr>
          <w:noProof/>
        </w:rPr>
        <w:t>trialled</w:t>
      </w:r>
      <w:r>
        <w:t xml:space="preserve"> (</w:t>
      </w:r>
      <w:r w:rsidRPr="00432870">
        <w:rPr>
          <w:noProof/>
        </w:rPr>
        <w:t>e.g.</w:t>
      </w:r>
      <w:r>
        <w:rPr>
          <w:noProof/>
        </w:rPr>
        <w:t>,</w:t>
      </w:r>
      <w:r>
        <w:t xml:space="preserve"> </w:t>
      </w:r>
      <w:r w:rsidR="00B615FA">
        <w:t>cortico</w:t>
      </w:r>
      <w:r>
        <w:t xml:space="preserve">steroids </w:t>
      </w:r>
      <w:r w:rsidRPr="002D48F0">
        <w:t>+</w:t>
      </w:r>
      <w:r w:rsidR="00B615FA" w:rsidRPr="002D48F0">
        <w:t>/-</w:t>
      </w:r>
      <w:r>
        <w:t xml:space="preserve"> an immunosuppressant drug).</w:t>
      </w:r>
      <w:r w:rsidRPr="00B64D6F">
        <w:rPr>
          <w:noProof/>
          <w:vertAlign w:val="superscript"/>
        </w:rPr>
        <w:t>11</w:t>
      </w:r>
    </w:p>
    <w:p w:rsidR="003B5425" w:rsidRPr="00F0301E" w:rsidRDefault="003B5425" w:rsidP="009764F3">
      <w:pPr>
        <w:pStyle w:val="ListParagraph"/>
        <w:numPr>
          <w:ilvl w:val="0"/>
          <w:numId w:val="15"/>
        </w:numPr>
      </w:pPr>
      <w:r w:rsidRPr="002D48F0">
        <w:lastRenderedPageBreak/>
        <w:t xml:space="preserve">Used </w:t>
      </w:r>
      <w:r w:rsidR="00B615FA" w:rsidRPr="002D48F0">
        <w:t xml:space="preserve">together </w:t>
      </w:r>
      <w:r w:rsidRPr="002D48F0">
        <w:t>with</w:t>
      </w:r>
      <w:r>
        <w:t xml:space="preserve">, or in rapid sequence with, steroids (where steroids </w:t>
      </w:r>
      <w:r w:rsidRPr="00432870">
        <w:rPr>
          <w:noProof/>
        </w:rPr>
        <w:t>are not contraindicated</w:t>
      </w:r>
      <w:r>
        <w:t>)</w:t>
      </w:r>
      <w:r w:rsidR="00DA2F29">
        <w:t>.</w:t>
      </w:r>
      <w:r w:rsidR="00DA2F29">
        <w:rPr>
          <w:noProof/>
          <w:vertAlign w:val="superscript"/>
        </w:rPr>
        <w:t>1.</w:t>
      </w:r>
      <w:r>
        <w:t xml:space="preserve"> </w:t>
      </w:r>
    </w:p>
    <w:p w:rsidR="003B5425" w:rsidRPr="001E53C9" w:rsidRDefault="003B5425" w:rsidP="00A806C0">
      <w:r w:rsidRPr="00432870">
        <w:rPr>
          <w:noProof/>
        </w:rPr>
        <w:t>To ensure that only patients achieving a clinical benefit from the use of IVIg consume this resource</w:t>
      </w:r>
      <w:r>
        <w:t xml:space="preserve">, version 3 of </w:t>
      </w:r>
      <w:r w:rsidRPr="00B64D6F">
        <w:rPr>
          <w:i/>
        </w:rPr>
        <w:t>the</w:t>
      </w:r>
      <w:r>
        <w:t xml:space="preserve"> </w:t>
      </w:r>
      <w:r>
        <w:rPr>
          <w:i/>
        </w:rPr>
        <w:t xml:space="preserve">Criteria </w:t>
      </w:r>
      <w:r>
        <w:t>specifies certain</w:t>
      </w:r>
      <w:r w:rsidRPr="003B4A1B">
        <w:t xml:space="preserve"> </w:t>
      </w:r>
      <w:r>
        <w:t>review criteria that must be met both after an initial trial period and at regular intervals for patients on long-term treatment</w:t>
      </w:r>
      <w:r w:rsidRPr="001E53C9">
        <w:t>.</w:t>
      </w:r>
      <w:r w:rsidRPr="008D52B0">
        <w:rPr>
          <w:noProof/>
          <w:vertAlign w:val="superscript"/>
        </w:rPr>
        <w:t>4</w:t>
      </w:r>
      <w:r w:rsidRPr="001E53C9">
        <w:t xml:space="preserve"> In brief</w:t>
      </w:r>
      <w:r>
        <w:t>, these are</w:t>
      </w:r>
      <w:r w:rsidRPr="001E53C9">
        <w:t xml:space="preserve">: </w:t>
      </w:r>
    </w:p>
    <w:p w:rsidR="003B5425" w:rsidRDefault="003B5425" w:rsidP="009764F3">
      <w:pPr>
        <w:pStyle w:val="ListParagraph"/>
        <w:numPr>
          <w:ilvl w:val="0"/>
          <w:numId w:val="4"/>
        </w:numPr>
      </w:pPr>
      <w:r>
        <w:t xml:space="preserve">An initial review (by a neurologist) is required after </w:t>
      </w:r>
      <w:r w:rsidRPr="00432870">
        <w:rPr>
          <w:noProof/>
        </w:rPr>
        <w:t>4</w:t>
      </w:r>
      <w:r>
        <w:t xml:space="preserve"> months of therapy to determine whether a patient has responded.</w:t>
      </w:r>
    </w:p>
    <w:p w:rsidR="003B5425" w:rsidRPr="00107C12" w:rsidRDefault="003B5425" w:rsidP="009764F3">
      <w:pPr>
        <w:pStyle w:val="ListParagraph"/>
        <w:numPr>
          <w:ilvl w:val="0"/>
          <w:numId w:val="4"/>
        </w:numPr>
        <w:rPr>
          <w:u w:val="single"/>
        </w:rPr>
      </w:pPr>
      <w:r>
        <w:t xml:space="preserve">Ongoing reviews (by a neurologist or a general physician) are required annually – </w:t>
      </w:r>
      <w:r w:rsidRPr="00107C12">
        <w:rPr>
          <w:u w:val="single"/>
        </w:rPr>
        <w:t xml:space="preserve">clinical effectiveness must </w:t>
      </w:r>
      <w:r w:rsidRPr="00432870">
        <w:rPr>
          <w:noProof/>
          <w:u w:val="single"/>
        </w:rPr>
        <w:t>be demonstrated</w:t>
      </w:r>
      <w:r w:rsidRPr="00107C12">
        <w:rPr>
          <w:u w:val="single"/>
        </w:rPr>
        <w:t xml:space="preserve"> for </w:t>
      </w:r>
      <w:r w:rsidRPr="00432870">
        <w:rPr>
          <w:noProof/>
          <w:u w:val="single"/>
        </w:rPr>
        <w:t>continuation</w:t>
      </w:r>
      <w:r>
        <w:rPr>
          <w:u w:val="single"/>
        </w:rPr>
        <w:t xml:space="preserve"> of IVIg therapy</w:t>
      </w:r>
      <w:r>
        <w:t>.</w:t>
      </w:r>
    </w:p>
    <w:p w:rsidR="003B5425" w:rsidRPr="00F0301E" w:rsidRDefault="003B5425" w:rsidP="00A806C0">
      <w:r w:rsidRPr="00432870">
        <w:rPr>
          <w:noProof/>
        </w:rPr>
        <w:t>In accordance with</w:t>
      </w:r>
      <w:r>
        <w:t xml:space="preserve"> the </w:t>
      </w:r>
      <w:r w:rsidRPr="00432870">
        <w:rPr>
          <w:noProof/>
        </w:rPr>
        <w:t>above</w:t>
      </w:r>
      <w:r>
        <w:t xml:space="preserve"> described review criteria, </w:t>
      </w:r>
      <w:r w:rsidRPr="00432870">
        <w:rPr>
          <w:noProof/>
        </w:rPr>
        <w:t>authorisation</w:t>
      </w:r>
      <w:r>
        <w:t xml:space="preserve"> periods for IVIg use </w:t>
      </w:r>
      <w:r w:rsidRPr="00432870">
        <w:rPr>
          <w:noProof/>
        </w:rPr>
        <w:t>are restricted</w:t>
      </w:r>
      <w:r>
        <w:t xml:space="preserve">. As specified in version 3 of </w:t>
      </w:r>
      <w:r w:rsidRPr="00B64D6F">
        <w:rPr>
          <w:i/>
        </w:rPr>
        <w:t>the</w:t>
      </w:r>
      <w:r>
        <w:t xml:space="preserve"> </w:t>
      </w:r>
      <w:r>
        <w:rPr>
          <w:i/>
        </w:rPr>
        <w:t xml:space="preserve">Criteria, </w:t>
      </w:r>
      <w:r>
        <w:t xml:space="preserve">current </w:t>
      </w:r>
      <w:r w:rsidRPr="00432870">
        <w:rPr>
          <w:noProof/>
        </w:rPr>
        <w:t>authorisation</w:t>
      </w:r>
      <w:r>
        <w:t xml:space="preserve"> periods are:</w:t>
      </w:r>
    </w:p>
    <w:p w:rsidR="003B5425" w:rsidRPr="00545DF4" w:rsidRDefault="003B5425" w:rsidP="009764F3">
      <w:pPr>
        <w:pStyle w:val="ListParagraph"/>
        <w:numPr>
          <w:ilvl w:val="0"/>
          <w:numId w:val="9"/>
        </w:numPr>
        <w:rPr>
          <w:i/>
        </w:rPr>
      </w:pPr>
      <w:r>
        <w:t xml:space="preserve">Initial </w:t>
      </w:r>
      <w:r w:rsidRPr="00432870">
        <w:rPr>
          <w:noProof/>
        </w:rPr>
        <w:t>authorisation</w:t>
      </w:r>
      <w:r>
        <w:t xml:space="preserve"> period (max.): 4 months</w:t>
      </w:r>
    </w:p>
    <w:p w:rsidR="003B5425" w:rsidRPr="00F0301E" w:rsidRDefault="003B5425" w:rsidP="009764F3">
      <w:pPr>
        <w:pStyle w:val="ListParagraph"/>
        <w:numPr>
          <w:ilvl w:val="0"/>
          <w:numId w:val="8"/>
        </w:numPr>
        <w:rPr>
          <w:i/>
        </w:rPr>
      </w:pPr>
      <w:r>
        <w:t xml:space="preserve">Continuing </w:t>
      </w:r>
      <w:r w:rsidRPr="00432870">
        <w:rPr>
          <w:noProof/>
        </w:rPr>
        <w:t>authorisation</w:t>
      </w:r>
      <w:r>
        <w:t xml:space="preserve"> period (max): 12 months</w:t>
      </w:r>
    </w:p>
    <w:p w:rsidR="003B5425" w:rsidRDefault="003B5425" w:rsidP="00A806C0">
      <w:r>
        <w:t xml:space="preserve">It is possible for a CIDP patient to be non-responsive to IVIg therapy. Moreover, it is possible for a patient to be misdiagnosed with CIDP or to receive Ig </w:t>
      </w:r>
      <w:r w:rsidR="003C0E6B">
        <w:t xml:space="preserve">where a </w:t>
      </w:r>
      <w:r w:rsidR="00AF5D93">
        <w:t>n</w:t>
      </w:r>
      <w:r w:rsidR="003C0E6B">
        <w:t>eurologist confirms CIDP is probable or possible</w:t>
      </w:r>
      <w:r>
        <w:t>. Reducing the sustained use of Ig in misdiagnosed patients, or for</w:t>
      </w:r>
      <w:r w:rsidR="003C0E6B">
        <w:t xml:space="preserve"> possible or probable cases </w:t>
      </w:r>
      <w:r>
        <w:t xml:space="preserve">CIDP cases, is a key rationale for including a short initial </w:t>
      </w:r>
      <w:r w:rsidRPr="00432870">
        <w:rPr>
          <w:noProof/>
        </w:rPr>
        <w:t>authorisation</w:t>
      </w:r>
      <w:r>
        <w:t xml:space="preserve"> period.</w:t>
      </w:r>
      <w:r w:rsidRPr="008D52B0">
        <w:rPr>
          <w:noProof/>
          <w:vertAlign w:val="superscript"/>
        </w:rPr>
        <w:t>1</w:t>
      </w:r>
      <w:r>
        <w:t xml:space="preserve"> </w:t>
      </w:r>
    </w:p>
    <w:p w:rsidR="003B5425" w:rsidRDefault="003B5425" w:rsidP="00A806C0">
      <w:r>
        <w:t xml:space="preserve">It is possible for a patient to reach a period of stability at which time a treating physician is encouraged to consider whether the patient continues to need IVIg therapy. Version 3 of </w:t>
      </w:r>
      <w:r w:rsidRPr="00B64D6F">
        <w:rPr>
          <w:i/>
        </w:rPr>
        <w:t>the</w:t>
      </w:r>
      <w:r>
        <w:t xml:space="preserve"> </w:t>
      </w:r>
      <w:r>
        <w:rPr>
          <w:i/>
        </w:rPr>
        <w:t xml:space="preserve">Criteria </w:t>
      </w:r>
      <w:r>
        <w:t xml:space="preserve">explicitly states that a trial of cessation should </w:t>
      </w:r>
      <w:r w:rsidRPr="00432870">
        <w:rPr>
          <w:noProof/>
        </w:rPr>
        <w:t>be considered</w:t>
      </w:r>
      <w:r>
        <w:t xml:space="preserve"> at each annual follow</w:t>
      </w:r>
      <w:r w:rsidR="009724ED">
        <w:t>-</w:t>
      </w:r>
      <w:r>
        <w:t>up visit in patients in remission on maintenance therapy</w:t>
      </w:r>
      <w:r w:rsidRPr="001E53C9">
        <w:t>.</w:t>
      </w:r>
      <w:r w:rsidRPr="008D52B0">
        <w:rPr>
          <w:noProof/>
          <w:vertAlign w:val="superscript"/>
        </w:rPr>
        <w:t>4</w:t>
      </w:r>
      <w:r w:rsidRPr="001E53C9">
        <w:t xml:space="preserve"> </w:t>
      </w:r>
    </w:p>
    <w:p w:rsidR="00B1580E" w:rsidRDefault="003B5425" w:rsidP="00A806C0">
      <w:r>
        <w:t xml:space="preserve">The review criteria currently applicable in the Australian context </w:t>
      </w:r>
      <w:r w:rsidRPr="00432870">
        <w:rPr>
          <w:noProof/>
        </w:rPr>
        <w:t>are outlined</w:t>
      </w:r>
      <w:r>
        <w:t xml:space="preserve"> in greater detail in </w:t>
      </w:r>
      <w:r w:rsidRPr="009127F7">
        <w:fldChar w:fldCharType="begin"/>
      </w:r>
      <w:r w:rsidRPr="009127F7">
        <w:instrText xml:space="preserve"> REF _Ref535247219 \h </w:instrText>
      </w:r>
      <w:r>
        <w:instrText xml:space="preserve"> \* MERGEFORMAT </w:instrText>
      </w:r>
      <w:r w:rsidRPr="009127F7">
        <w:fldChar w:fldCharType="separate"/>
      </w:r>
      <w:r w:rsidR="002865BA" w:rsidRPr="002865BA">
        <w:t xml:space="preserve">Table </w:t>
      </w:r>
      <w:r w:rsidR="002865BA" w:rsidRPr="002865BA">
        <w:rPr>
          <w:noProof/>
        </w:rPr>
        <w:t>6</w:t>
      </w:r>
      <w:r w:rsidRPr="009127F7">
        <w:fldChar w:fldCharType="end"/>
      </w:r>
      <w:r w:rsidRPr="009127F7">
        <w:t xml:space="preserve"> and </w:t>
      </w:r>
      <w:r w:rsidRPr="009127F7">
        <w:fldChar w:fldCharType="begin"/>
      </w:r>
      <w:r w:rsidRPr="009127F7">
        <w:instrText xml:space="preserve"> REF _Ref535247226 \h </w:instrText>
      </w:r>
      <w:r>
        <w:instrText xml:space="preserve"> \* MERGEFORMAT </w:instrText>
      </w:r>
      <w:r w:rsidRPr="009127F7">
        <w:fldChar w:fldCharType="separate"/>
      </w:r>
      <w:r w:rsidR="002865BA" w:rsidRPr="002865BA">
        <w:t xml:space="preserve">Table </w:t>
      </w:r>
      <w:r w:rsidR="002865BA" w:rsidRPr="002865BA">
        <w:rPr>
          <w:noProof/>
        </w:rPr>
        <w:t>7</w:t>
      </w:r>
      <w:r w:rsidRPr="009127F7">
        <w:fldChar w:fldCharType="end"/>
      </w:r>
      <w:r>
        <w:t>.</w:t>
      </w:r>
    </w:p>
    <w:p w:rsidR="00B1580E" w:rsidRDefault="00B1580E">
      <w:r>
        <w:br w:type="page"/>
      </w:r>
    </w:p>
    <w:p w:rsidR="003B5425" w:rsidRPr="00C55082" w:rsidRDefault="003B5425" w:rsidP="00A806C0"/>
    <w:p w:rsidR="003B5425" w:rsidRPr="004F31B6" w:rsidRDefault="003B5425" w:rsidP="00A806C0">
      <w:pPr>
        <w:pStyle w:val="Caption"/>
        <w:rPr>
          <w:rFonts w:asciiTheme="minorHAnsi" w:hAnsiTheme="minorHAnsi" w:cstheme="minorHAnsi"/>
        </w:rPr>
      </w:pPr>
      <w:bookmarkStart w:id="11" w:name="_Ref535247219"/>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6</w:t>
      </w:r>
      <w:r w:rsidRPr="004F31B6">
        <w:rPr>
          <w:rFonts w:asciiTheme="minorHAnsi" w:hAnsiTheme="minorHAnsi" w:cstheme="minorHAnsi"/>
        </w:rPr>
        <w:fldChar w:fldCharType="end"/>
      </w:r>
      <w:bookmarkEnd w:id="11"/>
      <w:r w:rsidRPr="004F31B6">
        <w:rPr>
          <w:rFonts w:asciiTheme="minorHAnsi" w:hAnsiTheme="minorHAnsi" w:cstheme="minorHAnsi"/>
        </w:rPr>
        <w:tab/>
        <w:t>Currently applicable review criteria for</w:t>
      </w:r>
      <w:r w:rsidR="00FA5127">
        <w:rPr>
          <w:rFonts w:asciiTheme="minorHAnsi" w:hAnsiTheme="minorHAnsi" w:cstheme="minorHAnsi"/>
        </w:rPr>
        <w:t xml:space="preserve"> initial</w:t>
      </w:r>
      <w:r w:rsidRPr="004F31B6">
        <w:rPr>
          <w:rFonts w:asciiTheme="minorHAnsi" w:hAnsiTheme="minorHAnsi" w:cstheme="minorHAnsi"/>
        </w:rPr>
        <w:t xml:space="preserve"> IVIg therapy in CIDP patients</w:t>
      </w:r>
    </w:p>
    <w:tbl>
      <w:tblPr>
        <w:tblStyle w:val="TableGrid"/>
        <w:tblW w:w="0" w:type="auto"/>
        <w:tblLook w:val="04A0" w:firstRow="1" w:lastRow="0" w:firstColumn="1" w:lastColumn="0" w:noHBand="0" w:noVBand="1"/>
        <w:tblCaption w:val="Table 6 Currently applicable review criteria for initial IVIg therapy in CIDP patients"/>
      </w:tblPr>
      <w:tblGrid>
        <w:gridCol w:w="9016"/>
      </w:tblGrid>
      <w:tr w:rsidR="003B5425" w:rsidRPr="004F31B6" w:rsidTr="00384907">
        <w:trPr>
          <w:tblHeader/>
        </w:trPr>
        <w:tc>
          <w:tcPr>
            <w:tcW w:w="9016" w:type="dxa"/>
            <w:shd w:val="clear" w:color="auto" w:fill="D9D9D9" w:themeFill="background1" w:themeFillShade="D9"/>
          </w:tcPr>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rPr>
              <w:t xml:space="preserve">Initial Review Criteria </w:t>
            </w:r>
          </w:p>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i/>
                <w:noProof/>
              </w:rPr>
              <w:t>i.e.,</w:t>
            </w:r>
            <w:r w:rsidRPr="004F31B6">
              <w:rPr>
                <w:rFonts w:asciiTheme="minorHAnsi" w:hAnsiTheme="minorHAnsi" w:cstheme="minorHAnsi"/>
                <w:i/>
              </w:rPr>
              <w:t xml:space="preserve"> on review by a neurologist after </w:t>
            </w:r>
            <w:r w:rsidRPr="004F31B6">
              <w:rPr>
                <w:rFonts w:asciiTheme="minorHAnsi" w:hAnsiTheme="minorHAnsi" w:cstheme="minorHAnsi"/>
                <w:i/>
                <w:noProof/>
              </w:rPr>
              <w:t>initial</w:t>
            </w:r>
            <w:r w:rsidRPr="004F31B6">
              <w:rPr>
                <w:rFonts w:asciiTheme="minorHAnsi" w:hAnsiTheme="minorHAnsi" w:cstheme="minorHAnsi"/>
                <w:i/>
              </w:rPr>
              <w:t xml:space="preserve"> </w:t>
            </w:r>
            <w:r w:rsidRPr="004F31B6">
              <w:rPr>
                <w:rFonts w:asciiTheme="minorHAnsi" w:hAnsiTheme="minorHAnsi" w:cstheme="minorHAnsi"/>
                <w:i/>
                <w:noProof/>
              </w:rPr>
              <w:t>4</w:t>
            </w:r>
            <w:r w:rsidRPr="004F31B6">
              <w:rPr>
                <w:rFonts w:asciiTheme="minorHAnsi" w:hAnsiTheme="minorHAnsi" w:cstheme="minorHAnsi"/>
                <w:i/>
              </w:rPr>
              <w:t xml:space="preserve"> months of treatment.</w:t>
            </w:r>
          </w:p>
        </w:tc>
      </w:tr>
      <w:tr w:rsidR="003B5425" w:rsidRPr="004F31B6" w:rsidTr="00A806C0">
        <w:trPr>
          <w:trHeight w:val="1587"/>
        </w:trPr>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On review of the initial </w:t>
            </w:r>
            <w:r w:rsidRPr="004F31B6">
              <w:rPr>
                <w:rFonts w:asciiTheme="minorHAnsi" w:hAnsiTheme="minorHAnsi" w:cstheme="minorHAnsi"/>
                <w:noProof/>
              </w:rPr>
              <w:t>authorisation</w:t>
            </w:r>
            <w:r w:rsidRPr="004F31B6">
              <w:rPr>
                <w:rFonts w:asciiTheme="minorHAnsi" w:hAnsiTheme="minorHAnsi" w:cstheme="minorHAnsi"/>
              </w:rPr>
              <w:t xml:space="preserve"> period, </w:t>
            </w:r>
            <w:r w:rsidRPr="004F31B6">
              <w:rPr>
                <w:rFonts w:asciiTheme="minorHAnsi" w:hAnsiTheme="minorHAnsi" w:cstheme="minorHAnsi"/>
                <w:noProof/>
              </w:rPr>
              <w:t>clinical</w:t>
            </w:r>
            <w:r w:rsidRPr="004F31B6">
              <w:rPr>
                <w:rFonts w:asciiTheme="minorHAnsi" w:hAnsiTheme="minorHAnsi" w:cstheme="minorHAnsi"/>
              </w:rPr>
              <w:t xml:space="preserve"> effectiveness of Ig therapy may be demonstrated by:</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For adults or children </w:t>
            </w:r>
            <w:r w:rsidRPr="004F31B6">
              <w:rPr>
                <w:rFonts w:asciiTheme="minorHAnsi" w:hAnsiTheme="minorHAnsi" w:cstheme="minorHAnsi"/>
                <w:noProof/>
              </w:rPr>
              <w:t>10</w:t>
            </w:r>
            <w:r w:rsidRPr="004F31B6">
              <w:rPr>
                <w:rFonts w:asciiTheme="minorHAnsi" w:hAnsiTheme="minorHAnsi" w:cstheme="minorHAnsi"/>
              </w:rPr>
              <w:t xml:space="preserve"> years or older</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Improvement in disability as measured by a reduction in adjusted ONLS by at least one point </w:t>
            </w:r>
            <w:r w:rsidRPr="004F31B6">
              <w:rPr>
                <w:rFonts w:asciiTheme="minorHAnsi" w:hAnsiTheme="minorHAnsi" w:cstheme="minorHAnsi"/>
                <w:b/>
              </w:rPr>
              <w:t xml:space="preserve">or </w:t>
            </w:r>
            <w:r w:rsidRPr="004F31B6">
              <w:rPr>
                <w:rFonts w:asciiTheme="minorHAnsi" w:hAnsiTheme="minorHAnsi" w:cstheme="minorHAnsi"/>
              </w:rPr>
              <w:t>by an increase in the MRC sum score by at least 3 points as compared to the qualifying assessment.</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 xml:space="preserve">OR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For children less than </w:t>
            </w:r>
            <w:r w:rsidRPr="004F31B6">
              <w:rPr>
                <w:rFonts w:asciiTheme="minorHAnsi" w:hAnsiTheme="minorHAnsi" w:cstheme="minorHAnsi"/>
                <w:noProof/>
              </w:rPr>
              <w:t>10</w:t>
            </w:r>
            <w:r w:rsidRPr="004F31B6">
              <w:rPr>
                <w:rFonts w:asciiTheme="minorHAnsi" w:hAnsiTheme="minorHAnsi" w:cstheme="minorHAnsi"/>
              </w:rPr>
              <w:t xml:space="preserve"> years</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Improvement in disability as measured by the 6MWT </w:t>
            </w:r>
            <w:r w:rsidRPr="004F31B6">
              <w:rPr>
                <w:rFonts w:asciiTheme="minorHAnsi" w:hAnsiTheme="minorHAnsi" w:cstheme="minorHAnsi"/>
                <w:b/>
                <w:noProof/>
              </w:rPr>
              <w:t>and/or</w:t>
            </w:r>
            <w:r w:rsidRPr="004F31B6">
              <w:rPr>
                <w:rFonts w:asciiTheme="minorHAnsi" w:hAnsiTheme="minorHAnsi" w:cstheme="minorHAnsi"/>
                <w:b/>
              </w:rPr>
              <w:t xml:space="preserve"> </w:t>
            </w:r>
            <w:r w:rsidRPr="004F31B6">
              <w:rPr>
                <w:rFonts w:asciiTheme="minorHAnsi" w:hAnsiTheme="minorHAnsi" w:cstheme="minorHAnsi"/>
              </w:rPr>
              <w:t>the MRS as compared to the qualifying assessment</w:t>
            </w:r>
          </w:p>
        </w:tc>
      </w:tr>
      <w:tr w:rsidR="003B5425" w:rsidRPr="004F31B6" w:rsidTr="00A806C0">
        <w:tc>
          <w:tcPr>
            <w:tcW w:w="9016" w:type="dxa"/>
            <w:shd w:val="clear" w:color="auto" w:fill="D9D9D9" w:themeFill="background1" w:themeFillShade="D9"/>
          </w:tcPr>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rPr>
              <w:t>Ongoing Review Criteria</w:t>
            </w:r>
          </w:p>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i/>
                <w:noProof/>
              </w:rPr>
              <w:t>i.e.,</w:t>
            </w:r>
            <w:r w:rsidRPr="004F31B6">
              <w:rPr>
                <w:rFonts w:asciiTheme="minorHAnsi" w:hAnsiTheme="minorHAnsi" w:cstheme="minorHAnsi"/>
                <w:i/>
              </w:rPr>
              <w:t xml:space="preserve"> on review by a neurologist or general physician every 12 months</w:t>
            </w:r>
          </w:p>
        </w:tc>
      </w:tr>
      <w:tr w:rsidR="003B5425" w:rsidRPr="004F31B6" w:rsidTr="00A806C0">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On review of a continuing </w:t>
            </w:r>
            <w:r w:rsidRPr="004F31B6">
              <w:rPr>
                <w:rFonts w:asciiTheme="minorHAnsi" w:hAnsiTheme="minorHAnsi" w:cstheme="minorHAnsi"/>
                <w:noProof/>
              </w:rPr>
              <w:t>authorisation</w:t>
            </w:r>
            <w:r w:rsidRPr="004F31B6">
              <w:rPr>
                <w:rFonts w:asciiTheme="minorHAnsi" w:hAnsiTheme="minorHAnsi" w:cstheme="minorHAnsi"/>
              </w:rPr>
              <w:t xml:space="preserve"> period, </w:t>
            </w:r>
            <w:r w:rsidRPr="004F31B6">
              <w:rPr>
                <w:rFonts w:asciiTheme="minorHAnsi" w:hAnsiTheme="minorHAnsi" w:cstheme="minorHAnsi"/>
                <w:noProof/>
              </w:rPr>
              <w:t>clinical</w:t>
            </w:r>
            <w:r w:rsidRPr="004F31B6">
              <w:rPr>
                <w:rFonts w:asciiTheme="minorHAnsi" w:hAnsiTheme="minorHAnsi" w:cstheme="minorHAnsi"/>
              </w:rPr>
              <w:t xml:space="preserve"> effectiveness of Ig therapy may be demonstrated by:</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For adults or children 10 years or older</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noProof/>
              </w:rPr>
              <w:t>Stabilisation</w:t>
            </w:r>
            <w:r w:rsidRPr="004F31B6">
              <w:rPr>
                <w:rFonts w:asciiTheme="minorHAnsi" w:hAnsiTheme="minorHAnsi" w:cstheme="minorHAnsi"/>
              </w:rPr>
              <w:t xml:space="preserve"> or continued improvement in disease as measured by </w:t>
            </w:r>
            <w:r w:rsidR="00B21538">
              <w:rPr>
                <w:rFonts w:asciiTheme="minorHAnsi" w:hAnsiTheme="minorHAnsi" w:cstheme="minorHAnsi"/>
              </w:rPr>
              <w:t xml:space="preserve">the </w:t>
            </w:r>
            <w:r w:rsidRPr="004F31B6">
              <w:rPr>
                <w:rFonts w:asciiTheme="minorHAnsi" w:hAnsiTheme="minorHAnsi" w:cstheme="minorHAnsi"/>
              </w:rPr>
              <w:t xml:space="preserve">ONLS </w:t>
            </w:r>
            <w:r w:rsidRPr="004F31B6">
              <w:rPr>
                <w:rFonts w:asciiTheme="minorHAnsi" w:hAnsiTheme="minorHAnsi" w:cstheme="minorHAnsi"/>
                <w:b/>
              </w:rPr>
              <w:t xml:space="preserve">or </w:t>
            </w:r>
            <w:r w:rsidRPr="004F31B6">
              <w:rPr>
                <w:rFonts w:asciiTheme="minorHAnsi" w:hAnsiTheme="minorHAnsi" w:cstheme="minorHAnsi"/>
              </w:rPr>
              <w:t>the MRC sum score compared to the previous review score.</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OR</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For an adult patient with severe disease who continues to report post-infusion improvement that is better or comparable to the level reported at the previous review, with end-of-cycle deterioration and additional immunosuppressant agents having </w:t>
            </w:r>
            <w:r w:rsidRPr="004F31B6">
              <w:rPr>
                <w:rFonts w:asciiTheme="minorHAnsi" w:hAnsiTheme="minorHAnsi" w:cstheme="minorHAnsi"/>
                <w:noProof/>
              </w:rPr>
              <w:t>been commenced</w:t>
            </w:r>
            <w:r w:rsidRPr="004F31B6">
              <w:rPr>
                <w:rFonts w:asciiTheme="minorHAnsi" w:hAnsiTheme="minorHAnsi" w:cstheme="minorHAnsi"/>
              </w:rPr>
              <w:t>.</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OR</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For children less than </w:t>
            </w:r>
            <w:r w:rsidRPr="004F31B6">
              <w:rPr>
                <w:rFonts w:asciiTheme="minorHAnsi" w:hAnsiTheme="minorHAnsi" w:cstheme="minorHAnsi"/>
                <w:noProof/>
              </w:rPr>
              <w:t>10</w:t>
            </w:r>
            <w:r w:rsidRPr="004F31B6">
              <w:rPr>
                <w:rFonts w:asciiTheme="minorHAnsi" w:hAnsiTheme="minorHAnsi" w:cstheme="minorHAnsi"/>
              </w:rPr>
              <w:t xml:space="preserve"> years</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Stabilisation or continued improvement in disease after previous evidence of deterioration in the 6MWT </w:t>
            </w:r>
            <w:r w:rsidRPr="004F31B6">
              <w:rPr>
                <w:rFonts w:asciiTheme="minorHAnsi" w:hAnsiTheme="minorHAnsi" w:cstheme="minorHAnsi"/>
                <w:b/>
              </w:rPr>
              <w:t xml:space="preserve">or </w:t>
            </w:r>
            <w:r w:rsidRPr="004F31B6">
              <w:rPr>
                <w:rFonts w:asciiTheme="minorHAnsi" w:hAnsiTheme="minorHAnsi" w:cstheme="minorHAnsi"/>
              </w:rPr>
              <w:t>the MRS compared to the previous review scores.</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AND</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A trial of weaning towards </w:t>
            </w:r>
            <w:r w:rsidRPr="004F31B6">
              <w:rPr>
                <w:rFonts w:asciiTheme="minorHAnsi" w:hAnsiTheme="minorHAnsi" w:cstheme="minorHAnsi"/>
                <w:noProof/>
              </w:rPr>
              <w:t>cessation</w:t>
            </w:r>
            <w:r w:rsidRPr="004F31B6">
              <w:rPr>
                <w:rFonts w:asciiTheme="minorHAnsi" w:hAnsiTheme="minorHAnsi" w:cstheme="minorHAnsi"/>
              </w:rPr>
              <w:t xml:space="preserve"> of Ig therapy is planned for clinically stable patients to identify those in remission, or a valid reason as to why a trial is not planned or </w:t>
            </w:r>
            <w:r w:rsidRPr="004F31B6">
              <w:rPr>
                <w:rFonts w:asciiTheme="minorHAnsi" w:hAnsiTheme="minorHAnsi" w:cstheme="minorHAnsi"/>
                <w:noProof/>
              </w:rPr>
              <w:t>is contraindicated</w:t>
            </w:r>
            <w:r w:rsidRPr="004F31B6">
              <w:rPr>
                <w:rFonts w:asciiTheme="minorHAnsi" w:hAnsiTheme="minorHAnsi" w:cstheme="minorHAnsi"/>
              </w:rPr>
              <w:t xml:space="preserve"> at this time </w:t>
            </w:r>
            <w:r w:rsidRPr="004F31B6">
              <w:rPr>
                <w:rFonts w:asciiTheme="minorHAnsi" w:hAnsiTheme="minorHAnsi" w:cstheme="minorHAnsi"/>
                <w:noProof/>
              </w:rPr>
              <w:t>is provided</w:t>
            </w:r>
            <w:r w:rsidRPr="004F31B6">
              <w:rPr>
                <w:rFonts w:asciiTheme="minorHAnsi" w:hAnsiTheme="minorHAnsi" w:cstheme="minorHAnsi"/>
              </w:rPr>
              <w:t xml:space="preserve">.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A trial of Ig weaning should be considered annually in stable patients on maintenance therapy to identify patients who are in remission. </w:t>
            </w:r>
          </w:p>
        </w:tc>
      </w:tr>
    </w:tbl>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Source</w:t>
      </w:r>
      <w:r w:rsidRPr="004F31B6">
        <w:rPr>
          <w:rFonts w:asciiTheme="minorHAnsi" w:hAnsiTheme="minorHAnsi" w:cstheme="minorHAnsi"/>
        </w:rPr>
        <w:t xml:space="preserve">: Adapted from Box 2a, pages 32-33 of the Referral Form. Information originally sourced from the Criteria for the </w:t>
      </w:r>
      <w:r w:rsidR="009724ED">
        <w:rPr>
          <w:rFonts w:asciiTheme="minorHAnsi" w:hAnsiTheme="minorHAnsi" w:cstheme="minorHAnsi"/>
        </w:rPr>
        <w:t>C</w:t>
      </w:r>
      <w:r w:rsidRPr="004F31B6">
        <w:rPr>
          <w:rFonts w:asciiTheme="minorHAnsi" w:hAnsiTheme="minorHAnsi" w:cstheme="minorHAnsi"/>
        </w:rPr>
        <w:t xml:space="preserve">linical </w:t>
      </w:r>
      <w:r w:rsidR="009724ED">
        <w:rPr>
          <w:rFonts w:asciiTheme="minorHAnsi" w:hAnsiTheme="minorHAnsi" w:cstheme="minorHAnsi"/>
        </w:rPr>
        <w:t>U</w:t>
      </w:r>
      <w:r w:rsidRPr="004F31B6">
        <w:rPr>
          <w:rFonts w:asciiTheme="minorHAnsi" w:hAnsiTheme="minorHAnsi" w:cstheme="minorHAnsi"/>
        </w:rPr>
        <w:t>se of Immunoglobulin in Australia, available online.</w:t>
      </w:r>
      <w:r w:rsidRPr="004F31B6">
        <w:rPr>
          <w:rFonts w:asciiTheme="minorHAnsi" w:hAnsiTheme="minorHAnsi" w:cstheme="minorHAnsi"/>
          <w:noProof/>
          <w:vertAlign w:val="superscript"/>
        </w:rPr>
        <w:t>4</w:t>
      </w:r>
    </w:p>
    <w:p w:rsidR="00B1580E" w:rsidRDefault="003B5425" w:rsidP="00A806C0">
      <w:pPr>
        <w:pStyle w:val="Tablenotes"/>
        <w:rPr>
          <w:rFonts w:asciiTheme="minorHAnsi" w:hAnsiTheme="minorHAnsi" w:cstheme="minorHAnsi"/>
        </w:rPr>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MRC</w:t>
      </w:r>
      <w:r w:rsidRPr="004F31B6">
        <w:rPr>
          <w:rFonts w:asciiTheme="minorHAnsi" w:hAnsiTheme="minorHAnsi" w:cstheme="minorHAnsi"/>
        </w:rPr>
        <w:t xml:space="preserve"> = Medical Research Council, </w:t>
      </w:r>
      <w:r w:rsidRPr="004F31B6">
        <w:rPr>
          <w:rFonts w:asciiTheme="minorHAnsi" w:hAnsiTheme="minorHAnsi" w:cstheme="minorHAnsi"/>
          <w:b/>
        </w:rPr>
        <w:t>ONLS</w:t>
      </w:r>
      <w:r w:rsidRPr="004F31B6">
        <w:rPr>
          <w:rFonts w:asciiTheme="minorHAnsi" w:hAnsiTheme="minorHAnsi" w:cstheme="minorHAnsi"/>
        </w:rPr>
        <w:t xml:space="preserve"> = Overall Neuropathy Limitations Scale; </w:t>
      </w:r>
      <w:r w:rsidRPr="004F31B6">
        <w:rPr>
          <w:rFonts w:asciiTheme="minorHAnsi" w:hAnsiTheme="minorHAnsi" w:cstheme="minorHAnsi"/>
          <w:b/>
        </w:rPr>
        <w:t>6MWT</w:t>
      </w:r>
      <w:r w:rsidRPr="004F31B6">
        <w:rPr>
          <w:rFonts w:asciiTheme="minorHAnsi" w:hAnsiTheme="minorHAnsi" w:cstheme="minorHAnsi"/>
        </w:rPr>
        <w:t xml:space="preserve"> = Six-minute walking test, </w:t>
      </w:r>
      <w:r w:rsidRPr="004F31B6">
        <w:rPr>
          <w:rFonts w:asciiTheme="minorHAnsi" w:hAnsiTheme="minorHAnsi" w:cstheme="minorHAnsi"/>
          <w:b/>
        </w:rPr>
        <w:t>MRS</w:t>
      </w:r>
      <w:r w:rsidRPr="004F31B6">
        <w:rPr>
          <w:rFonts w:asciiTheme="minorHAnsi" w:hAnsiTheme="minorHAnsi" w:cstheme="minorHAnsi"/>
        </w:rPr>
        <w:t xml:space="preserve"> = Modified Rankin Scale. </w:t>
      </w:r>
    </w:p>
    <w:p w:rsidR="003B5425" w:rsidRPr="00B1580E" w:rsidRDefault="00B1580E" w:rsidP="00B1580E">
      <w:pPr>
        <w:rPr>
          <w:rFonts w:asciiTheme="minorHAnsi" w:hAnsiTheme="minorHAnsi" w:cstheme="minorHAnsi"/>
          <w:sz w:val="18"/>
          <w:szCs w:val="18"/>
        </w:rPr>
      </w:pPr>
      <w:r>
        <w:rPr>
          <w:rFonts w:asciiTheme="minorHAnsi" w:hAnsiTheme="minorHAnsi" w:cstheme="minorHAnsi"/>
        </w:rPr>
        <w:br w:type="page"/>
      </w:r>
    </w:p>
    <w:p w:rsidR="003B5425" w:rsidRPr="004F31B6" w:rsidRDefault="003B5425" w:rsidP="00A806C0">
      <w:pPr>
        <w:pStyle w:val="Caption"/>
        <w:rPr>
          <w:rFonts w:asciiTheme="minorHAnsi" w:hAnsiTheme="minorHAnsi" w:cstheme="minorHAnsi"/>
        </w:rPr>
      </w:pPr>
      <w:bookmarkStart w:id="12" w:name="_Ref535247226"/>
      <w:r w:rsidRPr="004F31B6">
        <w:rPr>
          <w:rFonts w:asciiTheme="minorHAnsi" w:hAnsiTheme="minorHAnsi" w:cstheme="minorHAnsi"/>
        </w:rPr>
        <w:lastRenderedPageBreak/>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7</w:t>
      </w:r>
      <w:r w:rsidRPr="004F31B6">
        <w:rPr>
          <w:rFonts w:asciiTheme="minorHAnsi" w:hAnsiTheme="minorHAnsi" w:cstheme="minorHAnsi"/>
        </w:rPr>
        <w:fldChar w:fldCharType="end"/>
      </w:r>
      <w:bookmarkEnd w:id="12"/>
      <w:r w:rsidRPr="004F31B6">
        <w:rPr>
          <w:rFonts w:asciiTheme="minorHAnsi" w:hAnsiTheme="minorHAnsi" w:cstheme="minorHAnsi"/>
        </w:rPr>
        <w:tab/>
        <w:t xml:space="preserve">Currently applicable review criteria in CIDP patients returning to treatment following a relapse </w:t>
      </w:r>
      <w:r w:rsidR="005A134C">
        <w:rPr>
          <w:rFonts w:asciiTheme="minorHAnsi" w:hAnsiTheme="minorHAnsi" w:cstheme="minorHAnsi"/>
        </w:rPr>
        <w:t>within six months of ceasing Ig</w:t>
      </w:r>
      <w:r w:rsidR="005A134C" w:rsidRPr="004F31B6">
        <w:rPr>
          <w:rFonts w:asciiTheme="minorHAnsi" w:hAnsiTheme="minorHAnsi" w:cstheme="minorHAnsi"/>
        </w:rPr>
        <w:t xml:space="preserve"> </w:t>
      </w:r>
      <w:r w:rsidRPr="004F31B6">
        <w:rPr>
          <w:rFonts w:asciiTheme="minorHAnsi" w:hAnsiTheme="minorHAnsi" w:cstheme="minorHAnsi"/>
        </w:rPr>
        <w:t>therapy</w:t>
      </w:r>
    </w:p>
    <w:tbl>
      <w:tblPr>
        <w:tblStyle w:val="TableGrid"/>
        <w:tblW w:w="0" w:type="auto"/>
        <w:tblLook w:val="04A0" w:firstRow="1" w:lastRow="0" w:firstColumn="1" w:lastColumn="0" w:noHBand="0" w:noVBand="1"/>
        <w:tblCaption w:val="Table 7 Currently applicable review criteria in CIDP patients returning to treatment following a relapse within six months of ceasing Ig therapy"/>
      </w:tblPr>
      <w:tblGrid>
        <w:gridCol w:w="9016"/>
      </w:tblGrid>
      <w:tr w:rsidR="003B5425" w:rsidTr="00384907">
        <w:trPr>
          <w:tblHeader/>
        </w:trPr>
        <w:tc>
          <w:tcPr>
            <w:tcW w:w="9016" w:type="dxa"/>
            <w:shd w:val="clear" w:color="auto" w:fill="D9D9D9" w:themeFill="background1" w:themeFillShade="D9"/>
          </w:tcPr>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rPr>
              <w:t xml:space="preserve">Initial Review Criteria </w:t>
            </w:r>
          </w:p>
          <w:p w:rsidR="003B5425" w:rsidRPr="004F31B6" w:rsidRDefault="003B5425" w:rsidP="00A806C0">
            <w:pPr>
              <w:pStyle w:val="Tableheading0"/>
              <w:keepNext/>
              <w:rPr>
                <w:rFonts w:asciiTheme="minorHAnsi" w:hAnsiTheme="minorHAnsi" w:cstheme="minorHAnsi"/>
              </w:rPr>
            </w:pPr>
            <w:r w:rsidRPr="004F31B6">
              <w:rPr>
                <w:rFonts w:asciiTheme="minorHAnsi" w:hAnsiTheme="minorHAnsi" w:cstheme="minorHAnsi"/>
                <w:i/>
                <w:noProof/>
              </w:rPr>
              <w:t>i.e.,</w:t>
            </w:r>
            <w:r w:rsidRPr="004F31B6">
              <w:rPr>
                <w:rFonts w:asciiTheme="minorHAnsi" w:hAnsiTheme="minorHAnsi" w:cstheme="minorHAnsi"/>
                <w:i/>
              </w:rPr>
              <w:t xml:space="preserve"> on review by a neurologist after </w:t>
            </w:r>
            <w:r w:rsidRPr="004F31B6">
              <w:rPr>
                <w:rFonts w:asciiTheme="minorHAnsi" w:hAnsiTheme="minorHAnsi" w:cstheme="minorHAnsi"/>
                <w:i/>
                <w:noProof/>
              </w:rPr>
              <w:t>initial</w:t>
            </w:r>
            <w:r w:rsidRPr="004F31B6">
              <w:rPr>
                <w:rFonts w:asciiTheme="minorHAnsi" w:hAnsiTheme="minorHAnsi" w:cstheme="minorHAnsi"/>
                <w:i/>
              </w:rPr>
              <w:t xml:space="preserve"> </w:t>
            </w:r>
            <w:r w:rsidRPr="004F31B6">
              <w:rPr>
                <w:rFonts w:asciiTheme="minorHAnsi" w:hAnsiTheme="minorHAnsi" w:cstheme="minorHAnsi"/>
                <w:i/>
                <w:noProof/>
              </w:rPr>
              <w:t>4</w:t>
            </w:r>
            <w:r w:rsidRPr="004F31B6">
              <w:rPr>
                <w:rFonts w:asciiTheme="minorHAnsi" w:hAnsiTheme="minorHAnsi" w:cstheme="minorHAnsi"/>
                <w:i/>
              </w:rPr>
              <w:t xml:space="preserve"> months of treatment.</w:t>
            </w:r>
          </w:p>
        </w:tc>
      </w:tr>
      <w:tr w:rsidR="003B5425" w:rsidTr="001019C5">
        <w:trPr>
          <w:trHeight w:val="2347"/>
        </w:trPr>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On review of the initial </w:t>
            </w:r>
            <w:r w:rsidRPr="004F31B6">
              <w:rPr>
                <w:rFonts w:asciiTheme="minorHAnsi" w:hAnsiTheme="minorHAnsi" w:cstheme="minorHAnsi"/>
                <w:noProof/>
              </w:rPr>
              <w:t>authorisation</w:t>
            </w:r>
            <w:r w:rsidRPr="004F31B6">
              <w:rPr>
                <w:rFonts w:asciiTheme="minorHAnsi" w:hAnsiTheme="minorHAnsi" w:cstheme="minorHAnsi"/>
              </w:rPr>
              <w:t xml:space="preserve"> period, </w:t>
            </w:r>
            <w:r w:rsidRPr="004F31B6">
              <w:rPr>
                <w:rFonts w:asciiTheme="minorHAnsi" w:hAnsiTheme="minorHAnsi" w:cstheme="minorHAnsi"/>
                <w:noProof/>
              </w:rPr>
              <w:t>clinical</w:t>
            </w:r>
            <w:r w:rsidRPr="004F31B6">
              <w:rPr>
                <w:rFonts w:asciiTheme="minorHAnsi" w:hAnsiTheme="minorHAnsi" w:cstheme="minorHAnsi"/>
              </w:rPr>
              <w:t xml:space="preserve"> effectiveness of Ig therapy may be demonstrated by:</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For adults or children 10 years or older</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Improvement in disability as measured by a decrease of at least one point in the adjusted ONLS </w:t>
            </w:r>
            <w:r w:rsidRPr="004F31B6">
              <w:rPr>
                <w:rFonts w:asciiTheme="minorHAnsi" w:hAnsiTheme="minorHAnsi" w:cstheme="minorHAnsi"/>
                <w:b/>
              </w:rPr>
              <w:t xml:space="preserve">or </w:t>
            </w:r>
            <w:r w:rsidRPr="004F31B6">
              <w:rPr>
                <w:rFonts w:asciiTheme="minorHAnsi" w:hAnsiTheme="minorHAnsi" w:cstheme="minorHAnsi"/>
              </w:rPr>
              <w:t xml:space="preserve">by an increase of at least 3 points in the MRC sum score </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For children less than </w:t>
            </w:r>
            <w:r w:rsidRPr="004F31B6">
              <w:rPr>
                <w:rFonts w:asciiTheme="minorHAnsi" w:hAnsiTheme="minorHAnsi" w:cstheme="minorHAnsi"/>
                <w:noProof/>
              </w:rPr>
              <w:t>10</w:t>
            </w:r>
            <w:r w:rsidRPr="004F31B6">
              <w:rPr>
                <w:rFonts w:asciiTheme="minorHAnsi" w:hAnsiTheme="minorHAnsi" w:cstheme="minorHAnsi"/>
              </w:rPr>
              <w:t xml:space="preserve"> years</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 xml:space="preserve">Improvement in disability as measured by the 6MWT, </w:t>
            </w:r>
            <w:r w:rsidRPr="004F31B6">
              <w:rPr>
                <w:rFonts w:asciiTheme="minorHAnsi" w:hAnsiTheme="minorHAnsi" w:cstheme="minorHAnsi"/>
                <w:b/>
              </w:rPr>
              <w:t xml:space="preserve">or </w:t>
            </w:r>
            <w:r w:rsidRPr="004F31B6">
              <w:rPr>
                <w:rFonts w:asciiTheme="minorHAnsi" w:hAnsiTheme="minorHAnsi" w:cstheme="minorHAnsi"/>
              </w:rPr>
              <w:t xml:space="preserve">a reduction of at least one point in the MRS score </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AND</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rPr>
              <w:t xml:space="preserve">A trial of weaning towards </w:t>
            </w:r>
            <w:r w:rsidRPr="004F31B6">
              <w:rPr>
                <w:rFonts w:asciiTheme="minorHAnsi" w:hAnsiTheme="minorHAnsi" w:cstheme="minorHAnsi"/>
                <w:noProof/>
              </w:rPr>
              <w:t>cessation</w:t>
            </w:r>
            <w:r w:rsidRPr="004F31B6">
              <w:rPr>
                <w:rFonts w:asciiTheme="minorHAnsi" w:hAnsiTheme="minorHAnsi" w:cstheme="minorHAnsi"/>
              </w:rPr>
              <w:t xml:space="preserve"> of Ig therapy </w:t>
            </w:r>
            <w:r w:rsidRPr="004F31B6">
              <w:rPr>
                <w:rFonts w:asciiTheme="minorHAnsi" w:hAnsiTheme="minorHAnsi" w:cstheme="minorHAnsi"/>
                <w:noProof/>
              </w:rPr>
              <w:t>is planned</w:t>
            </w:r>
            <w:r w:rsidRPr="004F31B6">
              <w:rPr>
                <w:rFonts w:asciiTheme="minorHAnsi" w:hAnsiTheme="minorHAnsi" w:cstheme="minorHAnsi"/>
              </w:rPr>
              <w:t xml:space="preserve"> for patients who are clinically stable to identify those in remission or a valid reason provided as to why a trial is not being planned or </w:t>
            </w:r>
            <w:r w:rsidRPr="004F31B6">
              <w:rPr>
                <w:rFonts w:asciiTheme="minorHAnsi" w:hAnsiTheme="minorHAnsi" w:cstheme="minorHAnsi"/>
                <w:noProof/>
              </w:rPr>
              <w:t>is contraindicated</w:t>
            </w:r>
            <w:r w:rsidRPr="004F31B6">
              <w:rPr>
                <w:rFonts w:asciiTheme="minorHAnsi" w:hAnsiTheme="minorHAnsi" w:cstheme="minorHAnsi"/>
              </w:rPr>
              <w:t xml:space="preserve"> at this time</w:t>
            </w:r>
          </w:p>
        </w:tc>
      </w:tr>
      <w:tr w:rsidR="003B5425" w:rsidTr="001019C5">
        <w:tc>
          <w:tcPr>
            <w:tcW w:w="9016" w:type="dxa"/>
            <w:shd w:val="clear" w:color="auto" w:fill="D9D9D9" w:themeFill="background1" w:themeFillShade="D9"/>
          </w:tcPr>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rPr>
              <w:t>Ongoing Review Criteria</w:t>
            </w:r>
          </w:p>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i/>
                <w:noProof/>
              </w:rPr>
              <w:t>i.e.,</w:t>
            </w:r>
            <w:r w:rsidRPr="004F31B6">
              <w:rPr>
                <w:rFonts w:asciiTheme="minorHAnsi" w:hAnsiTheme="minorHAnsi" w:cstheme="minorHAnsi"/>
                <w:i/>
              </w:rPr>
              <w:t xml:space="preserve"> on review by a neurologist or general physician every 12 months</w:t>
            </w:r>
          </w:p>
        </w:tc>
      </w:tr>
      <w:tr w:rsidR="003B5425" w:rsidTr="001019C5">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On review of a continuing </w:t>
            </w:r>
            <w:r w:rsidRPr="004F31B6">
              <w:rPr>
                <w:rFonts w:asciiTheme="minorHAnsi" w:hAnsiTheme="minorHAnsi" w:cstheme="minorHAnsi"/>
                <w:noProof/>
              </w:rPr>
              <w:t>authorisation</w:t>
            </w:r>
            <w:r w:rsidRPr="004F31B6">
              <w:rPr>
                <w:rFonts w:asciiTheme="minorHAnsi" w:hAnsiTheme="minorHAnsi" w:cstheme="minorHAnsi"/>
              </w:rPr>
              <w:t xml:space="preserve"> period, </w:t>
            </w:r>
            <w:r w:rsidRPr="004F31B6">
              <w:rPr>
                <w:rFonts w:asciiTheme="minorHAnsi" w:hAnsiTheme="minorHAnsi" w:cstheme="minorHAnsi"/>
                <w:noProof/>
              </w:rPr>
              <w:t>clinical</w:t>
            </w:r>
            <w:r w:rsidRPr="004F31B6">
              <w:rPr>
                <w:rFonts w:asciiTheme="minorHAnsi" w:hAnsiTheme="minorHAnsi" w:cstheme="minorHAnsi"/>
              </w:rPr>
              <w:t xml:space="preserve"> effectiveness of Ig therapy may be demonstrated by:</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For adults or children 10 years or older</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noProof/>
              </w:rPr>
              <w:t>Stabilisation</w:t>
            </w:r>
            <w:r w:rsidRPr="004F31B6">
              <w:rPr>
                <w:rFonts w:asciiTheme="minorHAnsi" w:hAnsiTheme="minorHAnsi" w:cstheme="minorHAnsi"/>
              </w:rPr>
              <w:t xml:space="preserve"> or continued improvement in disease as measured by ONLS score, </w:t>
            </w:r>
            <w:r w:rsidRPr="004F31B6">
              <w:rPr>
                <w:rFonts w:asciiTheme="minorHAnsi" w:hAnsiTheme="minorHAnsi" w:cstheme="minorHAnsi"/>
                <w:b/>
              </w:rPr>
              <w:t xml:space="preserve">or </w:t>
            </w:r>
            <w:r w:rsidRPr="004F31B6">
              <w:rPr>
                <w:rFonts w:asciiTheme="minorHAnsi" w:hAnsiTheme="minorHAnsi" w:cstheme="minorHAnsi"/>
              </w:rPr>
              <w:t>the MRC sum score, as compared to the previous assessment</w:t>
            </w:r>
          </w:p>
          <w:p w:rsidR="003B5425" w:rsidRPr="004F31B6" w:rsidRDefault="003B5425" w:rsidP="009764F3">
            <w:pPr>
              <w:pStyle w:val="Tablecontents"/>
              <w:numPr>
                <w:ilvl w:val="0"/>
                <w:numId w:val="8"/>
              </w:numPr>
              <w:rPr>
                <w:rFonts w:asciiTheme="minorHAnsi" w:hAnsiTheme="minorHAnsi" w:cstheme="minorHAnsi"/>
              </w:rPr>
            </w:pPr>
            <w:r w:rsidRPr="004F31B6">
              <w:rPr>
                <w:rFonts w:asciiTheme="minorHAnsi" w:hAnsiTheme="minorHAnsi" w:cstheme="minorHAnsi"/>
              </w:rPr>
              <w:t>For an adult patient with severe disease who continues to report post</w:t>
            </w:r>
            <w:r w:rsidR="009724ED">
              <w:rPr>
                <w:rFonts w:asciiTheme="minorHAnsi" w:hAnsiTheme="minorHAnsi" w:cstheme="minorHAnsi"/>
              </w:rPr>
              <w:t>-</w:t>
            </w:r>
            <w:r w:rsidRPr="004F31B6">
              <w:rPr>
                <w:rFonts w:asciiTheme="minorHAnsi" w:hAnsiTheme="minorHAnsi" w:cstheme="minorHAnsi"/>
              </w:rPr>
              <w:t>infusion improvement that is better or comparable to the level reported at the previous review, with end-of-cycle deterioration and additional immunosuppressant agents have been commenced.</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For children less than </w:t>
            </w:r>
            <w:r w:rsidRPr="004F31B6">
              <w:rPr>
                <w:rFonts w:asciiTheme="minorHAnsi" w:hAnsiTheme="minorHAnsi" w:cstheme="minorHAnsi"/>
                <w:noProof/>
              </w:rPr>
              <w:t>10</w:t>
            </w:r>
            <w:r w:rsidRPr="004F31B6">
              <w:rPr>
                <w:rFonts w:asciiTheme="minorHAnsi" w:hAnsiTheme="minorHAnsi" w:cstheme="minorHAnsi"/>
              </w:rPr>
              <w:t xml:space="preserve"> years</w:t>
            </w:r>
          </w:p>
          <w:p w:rsidR="003B5425" w:rsidRPr="004F31B6" w:rsidRDefault="003B5425" w:rsidP="009764F3">
            <w:pPr>
              <w:pStyle w:val="Tablecontents"/>
              <w:numPr>
                <w:ilvl w:val="0"/>
                <w:numId w:val="11"/>
              </w:numPr>
              <w:rPr>
                <w:rFonts w:asciiTheme="minorHAnsi" w:hAnsiTheme="minorHAnsi" w:cstheme="minorHAnsi"/>
              </w:rPr>
            </w:pPr>
            <w:r w:rsidRPr="004F31B6">
              <w:rPr>
                <w:rFonts w:asciiTheme="minorHAnsi" w:hAnsiTheme="minorHAnsi" w:cstheme="minorHAnsi"/>
              </w:rPr>
              <w:t xml:space="preserve">Stabilisation or continued improvement in disease after previous evidence of deterioration in the 6MWT </w:t>
            </w:r>
            <w:r w:rsidRPr="004F31B6">
              <w:rPr>
                <w:rFonts w:asciiTheme="minorHAnsi" w:hAnsiTheme="minorHAnsi" w:cstheme="minorHAnsi"/>
                <w:b/>
              </w:rPr>
              <w:t xml:space="preserve">or </w:t>
            </w:r>
            <w:r w:rsidRPr="004F31B6">
              <w:rPr>
                <w:rFonts w:asciiTheme="minorHAnsi" w:hAnsiTheme="minorHAnsi" w:cstheme="minorHAnsi"/>
              </w:rPr>
              <w:t>the MRS score</w:t>
            </w:r>
          </w:p>
          <w:p w:rsidR="003B5425" w:rsidRPr="004F31B6" w:rsidRDefault="003B5425" w:rsidP="00A806C0">
            <w:pPr>
              <w:pStyle w:val="Tablecontents"/>
              <w:rPr>
                <w:rFonts w:asciiTheme="minorHAnsi" w:hAnsiTheme="minorHAnsi" w:cstheme="minorHAnsi"/>
                <w:b/>
              </w:rPr>
            </w:pPr>
            <w:r w:rsidRPr="004F31B6">
              <w:rPr>
                <w:rFonts w:asciiTheme="minorHAnsi" w:hAnsiTheme="minorHAnsi" w:cstheme="minorHAnsi"/>
                <w:b/>
              </w:rPr>
              <w:t>AND</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A trial of weaning towards </w:t>
            </w:r>
            <w:r w:rsidRPr="004F31B6">
              <w:rPr>
                <w:rFonts w:asciiTheme="minorHAnsi" w:hAnsiTheme="minorHAnsi" w:cstheme="minorHAnsi"/>
                <w:noProof/>
              </w:rPr>
              <w:t>cessation</w:t>
            </w:r>
            <w:r w:rsidRPr="004F31B6">
              <w:rPr>
                <w:rFonts w:asciiTheme="minorHAnsi" w:hAnsiTheme="minorHAnsi" w:cstheme="minorHAnsi"/>
              </w:rPr>
              <w:t xml:space="preserve"> of Ig therapy </w:t>
            </w:r>
            <w:r w:rsidRPr="004F31B6">
              <w:rPr>
                <w:rFonts w:asciiTheme="minorHAnsi" w:hAnsiTheme="minorHAnsi" w:cstheme="minorHAnsi"/>
                <w:noProof/>
              </w:rPr>
              <w:t>is planned</w:t>
            </w:r>
            <w:r w:rsidRPr="004F31B6">
              <w:rPr>
                <w:rFonts w:asciiTheme="minorHAnsi" w:hAnsiTheme="minorHAnsi" w:cstheme="minorHAnsi"/>
              </w:rPr>
              <w:t xml:space="preserve"> for patients who are clinically stable to identify those in </w:t>
            </w:r>
            <w:r w:rsidRPr="004F31B6">
              <w:rPr>
                <w:rFonts w:asciiTheme="minorHAnsi" w:hAnsiTheme="minorHAnsi" w:cstheme="minorHAnsi"/>
                <w:noProof/>
              </w:rPr>
              <w:t>remission</w:t>
            </w:r>
            <w:r w:rsidRPr="004F31B6">
              <w:rPr>
                <w:rFonts w:asciiTheme="minorHAnsi" w:hAnsiTheme="minorHAnsi" w:cstheme="minorHAnsi"/>
              </w:rPr>
              <w:t xml:space="preserve"> or a valid reason provided as to why a trial is not planned or </w:t>
            </w:r>
            <w:r w:rsidRPr="004F31B6">
              <w:rPr>
                <w:rFonts w:asciiTheme="minorHAnsi" w:hAnsiTheme="minorHAnsi" w:cstheme="minorHAnsi"/>
                <w:noProof/>
              </w:rPr>
              <w:t>is contraindicated</w:t>
            </w:r>
            <w:r w:rsidRPr="004F31B6">
              <w:rPr>
                <w:rFonts w:asciiTheme="minorHAnsi" w:hAnsiTheme="minorHAnsi" w:cstheme="minorHAnsi"/>
              </w:rPr>
              <w:t xml:space="preserve"> at this time.</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Once a patient has relapsed in the first six months of a trial </w:t>
            </w:r>
            <w:r w:rsidRPr="004F31B6">
              <w:rPr>
                <w:rFonts w:asciiTheme="minorHAnsi" w:hAnsiTheme="minorHAnsi" w:cstheme="minorHAnsi"/>
                <w:noProof/>
              </w:rPr>
              <w:t>off</w:t>
            </w:r>
            <w:r w:rsidRPr="004F31B6">
              <w:rPr>
                <w:rFonts w:asciiTheme="minorHAnsi" w:hAnsiTheme="minorHAnsi" w:cstheme="minorHAnsi"/>
              </w:rPr>
              <w:t xml:space="preserve"> therapy, a further trial might </w:t>
            </w:r>
            <w:r w:rsidRPr="004F31B6">
              <w:rPr>
                <w:rFonts w:asciiTheme="minorHAnsi" w:hAnsiTheme="minorHAnsi" w:cstheme="minorHAnsi"/>
                <w:noProof/>
              </w:rPr>
              <w:t>be considered</w:t>
            </w:r>
            <w:r w:rsidRPr="004F31B6">
              <w:rPr>
                <w:rFonts w:asciiTheme="minorHAnsi" w:hAnsiTheme="minorHAnsi" w:cstheme="minorHAnsi"/>
              </w:rPr>
              <w:t xml:space="preserve"> after at least two years. </w:t>
            </w:r>
          </w:p>
        </w:tc>
      </w:tr>
    </w:tbl>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Source</w:t>
      </w:r>
      <w:r w:rsidRPr="004F31B6">
        <w:rPr>
          <w:rFonts w:asciiTheme="minorHAnsi" w:hAnsiTheme="minorHAnsi" w:cstheme="minorHAnsi"/>
        </w:rPr>
        <w:t xml:space="preserve">: Adapted from Box 2b, pages 33-35 of the Referral Form. Information originally sourced from the Criteria for the </w:t>
      </w:r>
      <w:r w:rsidR="009724ED">
        <w:rPr>
          <w:rFonts w:asciiTheme="minorHAnsi" w:hAnsiTheme="minorHAnsi" w:cstheme="minorHAnsi"/>
        </w:rPr>
        <w:t>C</w:t>
      </w:r>
      <w:r w:rsidRPr="004F31B6">
        <w:rPr>
          <w:rFonts w:asciiTheme="minorHAnsi" w:hAnsiTheme="minorHAnsi" w:cstheme="minorHAnsi"/>
        </w:rPr>
        <w:t xml:space="preserve">linical </w:t>
      </w:r>
      <w:r w:rsidR="009724ED">
        <w:rPr>
          <w:rFonts w:asciiTheme="minorHAnsi" w:hAnsiTheme="minorHAnsi" w:cstheme="minorHAnsi"/>
        </w:rPr>
        <w:t>U</w:t>
      </w:r>
      <w:r w:rsidRPr="004F31B6">
        <w:rPr>
          <w:rFonts w:asciiTheme="minorHAnsi" w:hAnsiTheme="minorHAnsi" w:cstheme="minorHAnsi"/>
        </w:rPr>
        <w:t>se of Immunoglobulin in Australia, available online.</w:t>
      </w:r>
      <w:r w:rsidRPr="004F31B6">
        <w:rPr>
          <w:rFonts w:asciiTheme="minorHAnsi" w:hAnsiTheme="minorHAnsi" w:cstheme="minorHAnsi"/>
          <w:noProof/>
          <w:vertAlign w:val="superscript"/>
        </w:rPr>
        <w:t>4</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MRC</w:t>
      </w:r>
      <w:r w:rsidRPr="004F31B6">
        <w:rPr>
          <w:rFonts w:asciiTheme="minorHAnsi" w:hAnsiTheme="minorHAnsi" w:cstheme="minorHAnsi"/>
        </w:rPr>
        <w:t xml:space="preserve"> = Medical Research Council, </w:t>
      </w:r>
      <w:r w:rsidRPr="004F31B6">
        <w:rPr>
          <w:rFonts w:asciiTheme="minorHAnsi" w:hAnsiTheme="minorHAnsi" w:cstheme="minorHAnsi"/>
          <w:b/>
        </w:rPr>
        <w:t>ONLS</w:t>
      </w:r>
      <w:r w:rsidRPr="004F31B6">
        <w:rPr>
          <w:rFonts w:asciiTheme="minorHAnsi" w:hAnsiTheme="minorHAnsi" w:cstheme="minorHAnsi"/>
        </w:rPr>
        <w:t xml:space="preserve"> = Overall Neuropathy Limitations Scale, </w:t>
      </w:r>
      <w:r w:rsidRPr="004F31B6">
        <w:rPr>
          <w:rFonts w:asciiTheme="minorHAnsi" w:hAnsiTheme="minorHAnsi" w:cstheme="minorHAnsi"/>
          <w:b/>
        </w:rPr>
        <w:t>6MWT</w:t>
      </w:r>
      <w:r w:rsidRPr="004F31B6">
        <w:rPr>
          <w:rFonts w:asciiTheme="minorHAnsi" w:hAnsiTheme="minorHAnsi" w:cstheme="minorHAnsi"/>
        </w:rPr>
        <w:t xml:space="preserve"> = Six-minute walking test, </w:t>
      </w:r>
      <w:r w:rsidRPr="004F31B6">
        <w:rPr>
          <w:rFonts w:asciiTheme="minorHAnsi" w:hAnsiTheme="minorHAnsi" w:cstheme="minorHAnsi"/>
          <w:b/>
        </w:rPr>
        <w:t>MRS</w:t>
      </w:r>
      <w:r w:rsidRPr="004F31B6">
        <w:rPr>
          <w:rFonts w:asciiTheme="minorHAnsi" w:hAnsiTheme="minorHAnsi" w:cstheme="minorHAnsi"/>
        </w:rPr>
        <w:t xml:space="preserve"> = Modified Rankin Scale.</w:t>
      </w:r>
    </w:p>
    <w:p w:rsidR="003B5425" w:rsidRDefault="003B5425" w:rsidP="00A806C0">
      <w:pPr>
        <w:pStyle w:val="Heading4"/>
      </w:pPr>
      <w:r>
        <w:t>Dosage and frequency</w:t>
      </w:r>
    </w:p>
    <w:p w:rsidR="002865BA" w:rsidRDefault="00BA7EA5">
      <w:pPr>
        <w:rPr>
          <w:rFonts w:asciiTheme="minorHAnsi" w:eastAsia="Times New Roman" w:hAnsiTheme="minorHAnsi" w:cstheme="minorHAnsi"/>
          <w:b/>
          <w:sz w:val="20"/>
          <w:szCs w:val="20"/>
          <w:lang w:val="en-GB" w:eastAsia="ja-JP"/>
        </w:rPr>
      </w:pPr>
      <w:r>
        <w:t xml:space="preserve">The IVIg dose range that is permissible under governance arrangements is </w:t>
      </w:r>
      <w:r w:rsidR="003B5425" w:rsidRPr="00432870">
        <w:rPr>
          <w:noProof/>
        </w:rPr>
        <w:t>specified</w:t>
      </w:r>
      <w:r w:rsidR="003B5425">
        <w:t xml:space="preserve"> in version 3 of </w:t>
      </w:r>
      <w:r w:rsidR="003B5425" w:rsidRPr="00346482">
        <w:rPr>
          <w:i/>
        </w:rPr>
        <w:t>the</w:t>
      </w:r>
      <w:r w:rsidR="003B5425">
        <w:t xml:space="preserve"> </w:t>
      </w:r>
      <w:r w:rsidR="003B5425">
        <w:rPr>
          <w:i/>
        </w:rPr>
        <w:t>Criteria</w:t>
      </w:r>
      <w:r w:rsidR="003B5425">
        <w:t xml:space="preserve"> for both patients </w:t>
      </w:r>
      <w:r w:rsidR="00A84026">
        <w:t xml:space="preserve">commencing initial Ig treatment </w:t>
      </w:r>
      <w:r w:rsidR="003B5425">
        <w:t xml:space="preserve">and patients who have relapsed within six months of a trial </w:t>
      </w:r>
      <w:r w:rsidR="003B5425" w:rsidRPr="00432870">
        <w:rPr>
          <w:noProof/>
        </w:rPr>
        <w:t>off</w:t>
      </w:r>
      <w:r w:rsidR="003B5425">
        <w:t xml:space="preserve"> therapy.</w:t>
      </w:r>
      <w:r w:rsidR="003B5425" w:rsidRPr="008D52B0">
        <w:rPr>
          <w:noProof/>
          <w:vertAlign w:val="superscript"/>
        </w:rPr>
        <w:t>4</w:t>
      </w:r>
      <w:r w:rsidR="003B5425">
        <w:t xml:space="preserve"> The dos</w:t>
      </w:r>
      <w:r w:rsidR="00BC6DBC">
        <w:t>e</w:t>
      </w:r>
      <w:r w:rsidR="003B5425">
        <w:t xml:space="preserve"> </w:t>
      </w:r>
      <w:r w:rsidR="00BC6DBC">
        <w:t xml:space="preserve">range that may be prescribed </w:t>
      </w:r>
      <w:r w:rsidR="003B5425">
        <w:t xml:space="preserve">across these two patient groups are the same and </w:t>
      </w:r>
      <w:r w:rsidR="003B5425" w:rsidRPr="00432870">
        <w:rPr>
          <w:noProof/>
        </w:rPr>
        <w:t>are outlined</w:t>
      </w:r>
      <w:r w:rsidR="003B5425">
        <w:t xml:space="preserve"> in </w:t>
      </w:r>
      <w:r w:rsidR="003B5425">
        <w:fldChar w:fldCharType="begin"/>
      </w:r>
      <w:r w:rsidR="003B5425">
        <w:instrText xml:space="preserve"> REF _Ref535247489 \h </w:instrText>
      </w:r>
      <w:r w:rsidR="003B5425">
        <w:fldChar w:fldCharType="separate"/>
      </w:r>
      <w:r w:rsidR="002865BA">
        <w:rPr>
          <w:rFonts w:asciiTheme="minorHAnsi" w:hAnsiTheme="minorHAnsi" w:cstheme="minorHAnsi"/>
        </w:rPr>
        <w:br w:type="page"/>
      </w:r>
    </w:p>
    <w:p w:rsidR="003B5425" w:rsidRDefault="002865BA" w:rsidP="00A806C0">
      <w:pPr>
        <w:spacing w:after="120"/>
      </w:pPr>
      <w:r w:rsidRPr="004F31B6">
        <w:rPr>
          <w:rFonts w:asciiTheme="minorHAnsi" w:hAnsiTheme="minorHAnsi" w:cstheme="minorHAnsi"/>
        </w:rPr>
        <w:lastRenderedPageBreak/>
        <w:t xml:space="preserve">Table </w:t>
      </w:r>
      <w:r>
        <w:rPr>
          <w:rFonts w:asciiTheme="minorHAnsi" w:hAnsiTheme="minorHAnsi" w:cstheme="minorHAnsi"/>
          <w:noProof/>
        </w:rPr>
        <w:t>8</w:t>
      </w:r>
      <w:r w:rsidR="003B5425">
        <w:fldChar w:fldCharType="end"/>
      </w:r>
      <w:r w:rsidR="003B5425">
        <w:t>.</w:t>
      </w:r>
      <w:r w:rsidR="00BA7EA5">
        <w:t xml:space="preserve"> Under the National Policy, clinicians are expected to apply appropriate clinical judgement and use the lowest effective dose that will achieve the </w:t>
      </w:r>
      <w:r w:rsidR="00B73819">
        <w:t>appropriate</w:t>
      </w:r>
      <w:r w:rsidR="00BA7EA5">
        <w:t xml:space="preserve"> clinical outcome for each patient. </w:t>
      </w:r>
    </w:p>
    <w:p w:rsidR="003B5425" w:rsidRPr="004F31B6" w:rsidRDefault="003B5425" w:rsidP="00A806C0">
      <w:pPr>
        <w:pStyle w:val="Caption"/>
        <w:rPr>
          <w:rFonts w:asciiTheme="minorHAnsi" w:hAnsiTheme="minorHAnsi" w:cstheme="minorHAnsi"/>
        </w:rPr>
      </w:pPr>
      <w:bookmarkStart w:id="13" w:name="_Ref535247489"/>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8</w:t>
      </w:r>
      <w:r w:rsidRPr="004F31B6">
        <w:rPr>
          <w:rFonts w:asciiTheme="minorHAnsi" w:hAnsiTheme="minorHAnsi" w:cstheme="minorHAnsi"/>
        </w:rPr>
        <w:fldChar w:fldCharType="end"/>
      </w:r>
      <w:bookmarkEnd w:id="13"/>
      <w:r w:rsidRPr="004F31B6">
        <w:rPr>
          <w:rFonts w:asciiTheme="minorHAnsi" w:hAnsiTheme="minorHAnsi" w:cstheme="minorHAnsi"/>
        </w:rPr>
        <w:tab/>
      </w:r>
      <w:r w:rsidR="00BC6DBC" w:rsidRPr="004F31B6">
        <w:rPr>
          <w:rFonts w:asciiTheme="minorHAnsi" w:hAnsiTheme="minorHAnsi" w:cstheme="minorHAnsi"/>
        </w:rPr>
        <w:t>Current effective</w:t>
      </w:r>
      <w:r w:rsidR="00BC6DBC">
        <w:rPr>
          <w:rFonts w:asciiTheme="minorHAnsi" w:hAnsiTheme="minorHAnsi" w:cstheme="minorHAnsi"/>
        </w:rPr>
        <w:t xml:space="preserve"> </w:t>
      </w:r>
      <w:r w:rsidRPr="004F31B6">
        <w:rPr>
          <w:rFonts w:asciiTheme="minorHAnsi" w:hAnsiTheme="minorHAnsi" w:cstheme="minorHAnsi"/>
        </w:rPr>
        <w:t>dosage</w:t>
      </w:r>
      <w:r w:rsidR="00BC6DBC">
        <w:rPr>
          <w:rFonts w:asciiTheme="minorHAnsi" w:hAnsiTheme="minorHAnsi" w:cstheme="minorHAnsi"/>
        </w:rPr>
        <w:t xml:space="preserve"> ranges that may be prescribed</w:t>
      </w:r>
      <w:r w:rsidR="00BC6DBC" w:rsidRPr="004F31B6">
        <w:rPr>
          <w:rFonts w:asciiTheme="minorHAnsi" w:hAnsiTheme="minorHAnsi" w:cstheme="minorHAnsi"/>
        </w:rPr>
        <w:t xml:space="preserve"> for</w:t>
      </w:r>
      <w:r w:rsidRPr="004F31B6">
        <w:rPr>
          <w:rFonts w:asciiTheme="minorHAnsi" w:hAnsiTheme="minorHAnsi" w:cstheme="minorHAnsi"/>
        </w:rPr>
        <w:t xml:space="preserve"> IVIg in CIDP patients in Australia</w:t>
      </w:r>
    </w:p>
    <w:tbl>
      <w:tblPr>
        <w:tblStyle w:val="TableGrid"/>
        <w:tblW w:w="0" w:type="auto"/>
        <w:tblLook w:val="04A0" w:firstRow="1" w:lastRow="0" w:firstColumn="1" w:lastColumn="0" w:noHBand="0" w:noVBand="1"/>
        <w:tblCaption w:val="Table 8 Current effective dosage ranges that may be prescribed for IVIg in CIDP patients in Australia"/>
      </w:tblPr>
      <w:tblGrid>
        <w:gridCol w:w="9016"/>
      </w:tblGrid>
      <w:tr w:rsidR="003B5425" w:rsidRPr="004F31B6" w:rsidTr="00384907">
        <w:trPr>
          <w:tblHeader/>
        </w:trPr>
        <w:tc>
          <w:tcPr>
            <w:tcW w:w="9016" w:type="dxa"/>
            <w:shd w:val="clear" w:color="auto" w:fill="D9D9D9" w:themeFill="background1" w:themeFillShade="D9"/>
          </w:tcPr>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rPr>
              <w:t>Induction dose:</w:t>
            </w:r>
          </w:p>
        </w:tc>
      </w:tr>
      <w:tr w:rsidR="003B5425" w:rsidRPr="004F31B6" w:rsidTr="00A806C0">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b/>
              </w:rPr>
              <w:t>2g/kg</w:t>
            </w:r>
            <w:r w:rsidRPr="004F31B6">
              <w:rPr>
                <w:rFonts w:asciiTheme="minorHAnsi" w:hAnsiTheme="minorHAnsi" w:cstheme="minorHAnsi"/>
              </w:rPr>
              <w:t xml:space="preserve"> in 2 to 5 divided doses (access to a second initial dose should be a rare occurrence)</w:t>
            </w:r>
          </w:p>
        </w:tc>
      </w:tr>
      <w:tr w:rsidR="003B5425" w:rsidRPr="004F31B6" w:rsidTr="00A806C0">
        <w:tc>
          <w:tcPr>
            <w:tcW w:w="9016" w:type="dxa"/>
            <w:shd w:val="clear" w:color="auto" w:fill="D9D9D9" w:themeFill="background1" w:themeFillShade="D9"/>
            <w:vAlign w:val="bottom"/>
          </w:tcPr>
          <w:p w:rsidR="003B5425" w:rsidRPr="004F31B6" w:rsidRDefault="003B5425" w:rsidP="00A806C0">
            <w:pPr>
              <w:pStyle w:val="Tableheading0"/>
              <w:rPr>
                <w:rFonts w:asciiTheme="minorHAnsi" w:hAnsiTheme="minorHAnsi" w:cstheme="minorHAnsi"/>
              </w:rPr>
            </w:pPr>
            <w:r w:rsidRPr="004F31B6">
              <w:rPr>
                <w:rFonts w:asciiTheme="minorHAnsi" w:hAnsiTheme="minorHAnsi" w:cstheme="minorHAnsi"/>
              </w:rPr>
              <w:t>Maintenance dose:</w:t>
            </w:r>
          </w:p>
        </w:tc>
      </w:tr>
      <w:tr w:rsidR="003B5425" w:rsidRPr="004F31B6" w:rsidTr="00A806C0">
        <w:tc>
          <w:tcPr>
            <w:tcW w:w="9016"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 xml:space="preserve">Up to </w:t>
            </w:r>
            <w:r w:rsidRPr="004F31B6">
              <w:rPr>
                <w:rFonts w:asciiTheme="minorHAnsi" w:hAnsiTheme="minorHAnsi" w:cstheme="minorHAnsi"/>
                <w:b/>
              </w:rPr>
              <w:t>0.4 to 1g/kg</w:t>
            </w:r>
            <w:r w:rsidRPr="004F31B6">
              <w:rPr>
                <w:rFonts w:asciiTheme="minorHAnsi" w:hAnsiTheme="minorHAnsi" w:cstheme="minorHAnsi"/>
              </w:rPr>
              <w:t xml:space="preserve">, once every </w:t>
            </w:r>
            <w:r w:rsidRPr="004F31B6">
              <w:rPr>
                <w:rFonts w:asciiTheme="minorHAnsi" w:hAnsiTheme="minorHAnsi" w:cstheme="minorHAnsi"/>
                <w:b/>
              </w:rPr>
              <w:t>2 to 6 weeks</w:t>
            </w:r>
            <w:r w:rsidRPr="004F31B6">
              <w:rPr>
                <w:rFonts w:asciiTheme="minorHAnsi" w:hAnsiTheme="minorHAnsi" w:cstheme="minorHAnsi"/>
              </w:rPr>
              <w:t xml:space="preserve">. The amount per dose should be titrated to the individual’s response and may </w:t>
            </w:r>
            <w:r w:rsidRPr="004F31B6">
              <w:rPr>
                <w:rFonts w:asciiTheme="minorHAnsi" w:hAnsiTheme="minorHAnsi" w:cstheme="minorHAnsi"/>
                <w:noProof/>
              </w:rPr>
              <w:t>be reduced</w:t>
            </w:r>
            <w:r w:rsidRPr="004F31B6">
              <w:rPr>
                <w:rFonts w:asciiTheme="minorHAnsi" w:hAnsiTheme="minorHAnsi" w:cstheme="minorHAnsi"/>
              </w:rPr>
              <w:t xml:space="preserve"> while weaning. </w:t>
            </w:r>
            <w:r w:rsidRPr="004F31B6">
              <w:rPr>
                <w:rFonts w:asciiTheme="minorHAnsi" w:hAnsiTheme="minorHAnsi" w:cstheme="minorHAnsi"/>
                <w:b/>
              </w:rPr>
              <w:t xml:space="preserve">A maximum dose of 2g/kg may </w:t>
            </w:r>
            <w:r w:rsidRPr="004F31B6">
              <w:rPr>
                <w:rFonts w:asciiTheme="minorHAnsi" w:hAnsiTheme="minorHAnsi" w:cstheme="minorHAnsi"/>
                <w:b/>
                <w:noProof/>
              </w:rPr>
              <w:t>be given</w:t>
            </w:r>
            <w:r w:rsidRPr="004F31B6">
              <w:rPr>
                <w:rFonts w:asciiTheme="minorHAnsi" w:hAnsiTheme="minorHAnsi" w:cstheme="minorHAnsi"/>
                <w:b/>
              </w:rPr>
              <w:t xml:space="preserve"> in </w:t>
            </w:r>
            <w:r w:rsidRPr="004F31B6">
              <w:rPr>
                <w:rFonts w:asciiTheme="minorHAnsi" w:hAnsiTheme="minorHAnsi" w:cstheme="minorHAnsi"/>
                <w:b/>
                <w:noProof/>
              </w:rPr>
              <w:t>any 4-week period</w:t>
            </w:r>
            <w:r w:rsidRPr="004F31B6">
              <w:rPr>
                <w:rFonts w:asciiTheme="minorHAnsi" w:hAnsiTheme="minorHAnsi" w:cstheme="minorHAnsi"/>
              </w:rPr>
              <w:t xml:space="preserve">. </w:t>
            </w:r>
            <w:r w:rsidRPr="004F31B6">
              <w:rPr>
                <w:rFonts w:asciiTheme="minorHAnsi" w:hAnsiTheme="minorHAnsi" w:cstheme="minorHAnsi"/>
                <w:noProof/>
              </w:rPr>
              <w:t>This</w:t>
            </w:r>
            <w:r w:rsidRPr="004F31B6">
              <w:rPr>
                <w:rFonts w:asciiTheme="minorHAnsi" w:hAnsiTheme="minorHAnsi" w:cstheme="minorHAnsi"/>
              </w:rPr>
              <w:t xml:space="preserve"> may be a smaller dose more frequently than fortnightly.</w:t>
            </w:r>
          </w:p>
          <w:p w:rsidR="003B5425" w:rsidRPr="004F31B6" w:rsidRDefault="003B5425" w:rsidP="00A806C0">
            <w:pPr>
              <w:pStyle w:val="Tablecontents"/>
              <w:rPr>
                <w:rFonts w:asciiTheme="minorHAnsi" w:hAnsiTheme="minorHAnsi" w:cstheme="minorHAnsi"/>
              </w:rPr>
            </w:pP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i/>
              </w:rPr>
              <w:t>The aim should be to use the lowest dose possible that achieves the appropriate clinical outcome for each patient.</w:t>
            </w:r>
          </w:p>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i/>
              </w:rPr>
              <w:t xml:space="preserve">Once a patient has relapsed when </w:t>
            </w:r>
            <w:r w:rsidRPr="004F31B6">
              <w:rPr>
                <w:rFonts w:asciiTheme="minorHAnsi" w:hAnsiTheme="minorHAnsi" w:cstheme="minorHAnsi"/>
                <w:i/>
                <w:noProof/>
              </w:rPr>
              <w:t>trialled</w:t>
            </w:r>
            <w:r w:rsidRPr="004F31B6">
              <w:rPr>
                <w:rFonts w:asciiTheme="minorHAnsi" w:hAnsiTheme="minorHAnsi" w:cstheme="minorHAnsi"/>
                <w:i/>
              </w:rPr>
              <w:t xml:space="preserve"> off therapy, a second</w:t>
            </w:r>
            <w:r w:rsidR="009724ED">
              <w:rPr>
                <w:rFonts w:asciiTheme="minorHAnsi" w:hAnsiTheme="minorHAnsi" w:cstheme="minorHAnsi"/>
                <w:i/>
              </w:rPr>
              <w:t>-</w:t>
            </w:r>
            <w:r w:rsidRPr="004F31B6">
              <w:rPr>
                <w:rFonts w:asciiTheme="minorHAnsi" w:hAnsiTheme="minorHAnsi" w:cstheme="minorHAnsi"/>
                <w:i/>
              </w:rPr>
              <w:t xml:space="preserve">line immunomodulatory agent should </w:t>
            </w:r>
            <w:r w:rsidRPr="004F31B6">
              <w:rPr>
                <w:rFonts w:asciiTheme="minorHAnsi" w:hAnsiTheme="minorHAnsi" w:cstheme="minorHAnsi"/>
                <w:i/>
                <w:noProof/>
              </w:rPr>
              <w:t>be strongly considered</w:t>
            </w:r>
            <w:r w:rsidRPr="004F31B6">
              <w:rPr>
                <w:rFonts w:asciiTheme="minorHAnsi" w:hAnsiTheme="minorHAnsi" w:cstheme="minorHAnsi"/>
                <w:i/>
              </w:rPr>
              <w:t xml:space="preserve"> as an additional therapy </w:t>
            </w:r>
          </w:p>
        </w:tc>
      </w:tr>
    </w:tbl>
    <w:p w:rsidR="003B5425" w:rsidRPr="004F31B6" w:rsidRDefault="003B5425" w:rsidP="00A806C0">
      <w:pPr>
        <w:spacing w:before="60" w:after="0" w:line="240" w:lineRule="auto"/>
        <w:rPr>
          <w:rFonts w:asciiTheme="minorHAnsi" w:hAnsiTheme="minorHAnsi" w:cstheme="minorHAnsi"/>
          <w:sz w:val="18"/>
        </w:rPr>
      </w:pPr>
      <w:r w:rsidRPr="004F31B6">
        <w:rPr>
          <w:rFonts w:asciiTheme="minorHAnsi" w:hAnsiTheme="minorHAnsi" w:cstheme="minorHAnsi"/>
          <w:b/>
          <w:sz w:val="18"/>
        </w:rPr>
        <w:t xml:space="preserve">Source: </w:t>
      </w:r>
      <w:r w:rsidRPr="004F31B6">
        <w:rPr>
          <w:rFonts w:asciiTheme="minorHAnsi" w:hAnsiTheme="minorHAnsi" w:cstheme="minorHAnsi"/>
          <w:sz w:val="18"/>
        </w:rPr>
        <w:t>Adapted directly from the Criteria for the Clinical Use of Immunoglobulin in Australia (version 3), available online</w:t>
      </w:r>
      <w:r w:rsidRPr="004F31B6">
        <w:rPr>
          <w:rFonts w:asciiTheme="minorHAnsi" w:hAnsiTheme="minorHAnsi" w:cstheme="minorHAnsi"/>
        </w:rPr>
        <w:t>.</w:t>
      </w:r>
      <w:r w:rsidRPr="004F31B6">
        <w:rPr>
          <w:rFonts w:asciiTheme="minorHAnsi" w:hAnsiTheme="minorHAnsi" w:cstheme="minorHAnsi"/>
          <w:noProof/>
          <w:sz w:val="18"/>
          <w:vertAlign w:val="superscript"/>
        </w:rPr>
        <w:t>4</w:t>
      </w:r>
    </w:p>
    <w:p w:rsidR="003B5425" w:rsidRDefault="003B5425" w:rsidP="00A806C0">
      <w:pPr>
        <w:pStyle w:val="Heading4"/>
      </w:pPr>
      <w:r>
        <w:t>Time for infusion</w:t>
      </w:r>
    </w:p>
    <w:p w:rsidR="003B5425" w:rsidRDefault="003B5425" w:rsidP="00A806C0">
      <w:r>
        <w:t xml:space="preserve">The time required to administer IVIg is patient-dependent. Infusion could occur in a single day or </w:t>
      </w:r>
      <w:r w:rsidRPr="00432870">
        <w:rPr>
          <w:noProof/>
        </w:rPr>
        <w:t>less</w:t>
      </w:r>
      <w:r w:rsidRPr="00C83C59">
        <w:rPr>
          <w:noProof/>
        </w:rPr>
        <w:t>.</w:t>
      </w:r>
      <w:r w:rsidRPr="00432870">
        <w:rPr>
          <w:noProof/>
        </w:rPr>
        <w:t xml:space="preserve"> </w:t>
      </w:r>
      <w:r w:rsidRPr="00A15DE4">
        <w:rPr>
          <w:noProof/>
        </w:rPr>
        <w:t>For</w:t>
      </w:r>
      <w:r>
        <w:t xml:space="preserve"> a large dose, </w:t>
      </w:r>
      <w:r w:rsidRPr="00432870">
        <w:rPr>
          <w:noProof/>
        </w:rPr>
        <w:t>administration</w:t>
      </w:r>
      <w:r>
        <w:t xml:space="preserve"> may </w:t>
      </w:r>
      <w:r w:rsidRPr="00432870">
        <w:rPr>
          <w:noProof/>
        </w:rPr>
        <w:t>be split</w:t>
      </w:r>
      <w:r>
        <w:t xml:space="preserve"> over consecutive days (Referral Form page 29). </w:t>
      </w:r>
    </w:p>
    <w:p w:rsidR="003B5425" w:rsidRPr="00CE7943" w:rsidRDefault="003B5425" w:rsidP="00A806C0">
      <w:pPr>
        <w:rPr>
          <w:b/>
        </w:rPr>
      </w:pPr>
      <w:r>
        <w:t>The time required will depend upon the dose required, the patient’s weight (dosing is g/kg), the product’s advised infusion rate along with the hospital protocol and the patient’s response during the infusion (</w:t>
      </w:r>
      <w:r w:rsidRPr="00A15DE4">
        <w:rPr>
          <w:noProof/>
        </w:rPr>
        <w:t>as</w:t>
      </w:r>
      <w:r>
        <w:t xml:space="preserve"> infusion may be slowed or stopped in the event of an adverse event) (Referral Form, page 29)</w:t>
      </w:r>
    </w:p>
    <w:p w:rsidR="003B5425" w:rsidRPr="00FE5DAB" w:rsidRDefault="003B5425" w:rsidP="00A806C0">
      <w:pPr>
        <w:pStyle w:val="Heading4"/>
      </w:pPr>
      <w:r>
        <w:t>Setting</w:t>
      </w:r>
    </w:p>
    <w:p w:rsidR="003B5425" w:rsidRDefault="003B5425" w:rsidP="00A806C0">
      <w:r>
        <w:t xml:space="preserve">The infusion of IVIg may occur in one of many settings (Referral Form, page 31): </w:t>
      </w:r>
    </w:p>
    <w:p w:rsidR="003B5425" w:rsidRDefault="003B5425" w:rsidP="009764F3">
      <w:pPr>
        <w:pStyle w:val="ListParagraph"/>
        <w:numPr>
          <w:ilvl w:val="0"/>
          <w:numId w:val="5"/>
        </w:numPr>
      </w:pPr>
      <w:r>
        <w:t>Inpatient private hospital</w:t>
      </w:r>
    </w:p>
    <w:p w:rsidR="003B5425" w:rsidRDefault="003B5425" w:rsidP="009764F3">
      <w:pPr>
        <w:pStyle w:val="ListParagraph"/>
        <w:numPr>
          <w:ilvl w:val="0"/>
          <w:numId w:val="5"/>
        </w:numPr>
      </w:pPr>
      <w:r>
        <w:t>Inpatient public hospital (as a private patient)</w:t>
      </w:r>
    </w:p>
    <w:p w:rsidR="003B5425" w:rsidRDefault="003B5425" w:rsidP="009764F3">
      <w:pPr>
        <w:pStyle w:val="ListParagraph"/>
        <w:numPr>
          <w:ilvl w:val="0"/>
          <w:numId w:val="5"/>
        </w:numPr>
      </w:pPr>
      <w:r>
        <w:t>Inpatient public hospital (as a public patient)</w:t>
      </w:r>
    </w:p>
    <w:p w:rsidR="003B5425" w:rsidRDefault="003B5425" w:rsidP="009764F3">
      <w:pPr>
        <w:pStyle w:val="ListParagraph"/>
        <w:numPr>
          <w:ilvl w:val="0"/>
          <w:numId w:val="5"/>
        </w:numPr>
      </w:pPr>
      <w:r>
        <w:t>Outpatient clinic</w:t>
      </w:r>
    </w:p>
    <w:p w:rsidR="003B5425" w:rsidRDefault="003B5425" w:rsidP="009764F3">
      <w:pPr>
        <w:pStyle w:val="ListParagraph"/>
        <w:numPr>
          <w:ilvl w:val="0"/>
          <w:numId w:val="5"/>
        </w:numPr>
      </w:pPr>
      <w:r>
        <w:t>Private same</w:t>
      </w:r>
      <w:r w:rsidR="009724ED">
        <w:t>-</w:t>
      </w:r>
      <w:r>
        <w:t>day infusion facilities, unattached to a hospital</w:t>
      </w:r>
    </w:p>
    <w:p w:rsidR="003B5425" w:rsidRDefault="003B5425" w:rsidP="00A806C0">
      <w:r>
        <w:t xml:space="preserve">Most patients (approximately 75%), have IVIg delivered in a hospital setting as a day procedure. </w:t>
      </w:r>
      <w:r w:rsidRPr="00A15DE4">
        <w:rPr>
          <w:noProof/>
        </w:rPr>
        <w:t>Expert</w:t>
      </w:r>
      <w:r>
        <w:t xml:space="preserve"> opinion provided by the Referrer indicated the most common setting for IVIg delivery is the public outpatient setting however it </w:t>
      </w:r>
      <w:r w:rsidRPr="00A15DE4">
        <w:rPr>
          <w:noProof/>
        </w:rPr>
        <w:t>was noted</w:t>
      </w:r>
      <w:r>
        <w:t xml:space="preserve"> that patients </w:t>
      </w:r>
      <w:r w:rsidRPr="00A15DE4">
        <w:rPr>
          <w:noProof/>
        </w:rPr>
        <w:t>are commonly admitted</w:t>
      </w:r>
      <w:r>
        <w:t xml:space="preserve"> as a ‘same-day’ patient (</w:t>
      </w:r>
      <w:r w:rsidRPr="00A15DE4">
        <w:rPr>
          <w:noProof/>
        </w:rPr>
        <w:t>i.e.</w:t>
      </w:r>
      <w:r>
        <w:rPr>
          <w:noProof/>
        </w:rPr>
        <w:t>,</w:t>
      </w:r>
      <w:r>
        <w:t xml:space="preserve"> </w:t>
      </w:r>
      <w:r w:rsidRPr="00A15DE4">
        <w:rPr>
          <w:noProof/>
        </w:rPr>
        <w:t>are considered</w:t>
      </w:r>
      <w:r>
        <w:t xml:space="preserve"> inpatients). (Referral Form, page 31). </w:t>
      </w:r>
    </w:p>
    <w:p w:rsidR="003B5425" w:rsidRPr="00F25E2E" w:rsidRDefault="003B5425" w:rsidP="00A806C0">
      <w:r>
        <w:t>Despite IVIg being an existing therapy for CIDP patients, information regarding patient admission status (public or private; inpatient or outpatient) is not readily available</w:t>
      </w:r>
      <w:r w:rsidR="00727733">
        <w:t xml:space="preserve"> based on publicly available data</w:t>
      </w:r>
      <w:r>
        <w:t xml:space="preserve"> </w:t>
      </w:r>
      <w:r w:rsidR="00727733">
        <w:t xml:space="preserve">but the NBA might be able to provide a breakdown of public versus private use </w:t>
      </w:r>
      <w:r>
        <w:t>(Referral Form, page 31).</w:t>
      </w:r>
    </w:p>
    <w:p w:rsidR="003B5425" w:rsidRDefault="003B5425" w:rsidP="00A806C0">
      <w:pPr>
        <w:pStyle w:val="Heading4"/>
      </w:pPr>
      <w:r>
        <w:lastRenderedPageBreak/>
        <w:t>Personnel and additional services required</w:t>
      </w:r>
    </w:p>
    <w:p w:rsidR="003B5425" w:rsidRDefault="003B5425" w:rsidP="00A806C0">
      <w:r>
        <w:t xml:space="preserve">Care of a CIDP patient </w:t>
      </w:r>
      <w:r w:rsidRPr="00A15DE4">
        <w:rPr>
          <w:noProof/>
        </w:rPr>
        <w:t>is primarily managed</w:t>
      </w:r>
      <w:r>
        <w:t xml:space="preserve"> by a neurologist (or possibly, in a </w:t>
      </w:r>
      <w:r w:rsidRPr="00A15DE4">
        <w:rPr>
          <w:noProof/>
        </w:rPr>
        <w:t>regional</w:t>
      </w:r>
      <w:r>
        <w:t xml:space="preserve"> or rural area, a general physician). (Referral Form, page 30). </w:t>
      </w:r>
      <w:r w:rsidR="00FE1B14">
        <w:t xml:space="preserve">To be eligible to access IVIg under governance arrangements initially, a registered neurologist must diagnose CIDP in the patient. The review of initial treatment must be undertaken by a neurologist, </w:t>
      </w:r>
      <w:r w:rsidR="00BC6DBC">
        <w:t>however the review of continuing treatment may be undertaken by a</w:t>
      </w:r>
      <w:r>
        <w:t xml:space="preserve"> registered neurologist or general physician (Referral Form, page 31).</w:t>
      </w:r>
    </w:p>
    <w:p w:rsidR="003B5425" w:rsidRPr="000254E4" w:rsidRDefault="003B5425" w:rsidP="00A806C0">
      <w:r>
        <w:t xml:space="preserve">IVIg infusion is, generally, initiated by a registered nurse. A patient must be monitored throughout the infusion by a registered or enrolled nurse. On rare occasions, IVIg may be administered by a ‘hospital in the home’ nurse (Referral Form, page 30). </w:t>
      </w:r>
    </w:p>
    <w:p w:rsidR="003B5425" w:rsidRDefault="003B5425" w:rsidP="00A806C0">
      <w:r>
        <w:t xml:space="preserve">Analgesia or antihistamines may be required to manage reactions such as headaches, flushes or rashes (Referral Form, page 30). </w:t>
      </w:r>
    </w:p>
    <w:p w:rsidR="003B5425" w:rsidRDefault="003B5425" w:rsidP="00A806C0">
      <w:pPr>
        <w:pStyle w:val="Heading4"/>
      </w:pPr>
      <w:r>
        <w:t>Contraindications</w:t>
      </w:r>
    </w:p>
    <w:p w:rsidR="003B5425" w:rsidRPr="000A6A2E" w:rsidRDefault="003B5425" w:rsidP="00A806C0">
      <w:pPr>
        <w:rPr>
          <w:lang w:val="en"/>
        </w:rPr>
      </w:pPr>
      <w:r>
        <w:rPr>
          <w:lang w:val="en"/>
        </w:rPr>
        <w:t>Contraindications to IVIg include a</w:t>
      </w:r>
      <w:r w:rsidRPr="00810BF4">
        <w:rPr>
          <w:lang w:val="en"/>
        </w:rPr>
        <w:t>bsolute IgA deficiency</w:t>
      </w:r>
      <w:r>
        <w:rPr>
          <w:lang w:val="en"/>
        </w:rPr>
        <w:t xml:space="preserve"> and allergy/anaphylactic response to human immunoglobulins.</w:t>
      </w:r>
      <w:r w:rsidRPr="008D52B0">
        <w:rPr>
          <w:noProof/>
          <w:vertAlign w:val="superscript"/>
          <w:lang w:val="en"/>
        </w:rPr>
        <w:t>8</w:t>
      </w:r>
    </w:p>
    <w:p w:rsidR="003B5425" w:rsidRDefault="003B5425" w:rsidP="00A806C0">
      <w:pPr>
        <w:pStyle w:val="Heading4"/>
      </w:pPr>
      <w:r>
        <w:t>Length of Ig therapy</w:t>
      </w:r>
    </w:p>
    <w:p w:rsidR="003B5425" w:rsidRDefault="003B5425" w:rsidP="00A806C0">
      <w:r>
        <w:t xml:space="preserve">It is possible for a CIDP patient being treated with IVIg to achieve remission </w:t>
      </w:r>
      <w:r w:rsidRPr="00A15DE4">
        <w:rPr>
          <w:noProof/>
        </w:rPr>
        <w:t>whil</w:t>
      </w:r>
      <w:r>
        <w:rPr>
          <w:noProof/>
        </w:rPr>
        <w:t>e</w:t>
      </w:r>
      <w:r>
        <w:t xml:space="preserve"> on therapy; indeed, this is one of the long-term goals of treatment.</w:t>
      </w:r>
      <w:r w:rsidRPr="008D52B0">
        <w:rPr>
          <w:noProof/>
          <w:vertAlign w:val="superscript"/>
        </w:rPr>
        <w:t>8</w:t>
      </w:r>
      <w:r>
        <w:t xml:space="preserve"> However, 75% of neurologists taking part in a recent French study believed that it was common for CIDP patients to require lifetime treatment.</w:t>
      </w:r>
      <w:r w:rsidRPr="008D52B0">
        <w:rPr>
          <w:noProof/>
          <w:vertAlign w:val="superscript"/>
        </w:rPr>
        <w:t>33</w:t>
      </w:r>
      <w:r>
        <w:t xml:space="preserve">Expert advice indicated that remission rate is an important comparative issue between IVIg and </w:t>
      </w:r>
      <w:r w:rsidR="00B615FA">
        <w:t>corticosteroids</w:t>
      </w:r>
      <w:r>
        <w:t xml:space="preserve"> (possibly higher in </w:t>
      </w:r>
      <w:r w:rsidR="00B615FA">
        <w:t>corticosteroids</w:t>
      </w:r>
      <w:r>
        <w:t xml:space="preserve">) and </w:t>
      </w:r>
      <w:r w:rsidRPr="00A15DE4">
        <w:rPr>
          <w:noProof/>
        </w:rPr>
        <w:t>moreover,</w:t>
      </w:r>
      <w:r>
        <w:t xml:space="preserve"> that it remains unclear whether remission rate with IVIg is higher than the natural history remission rate.</w:t>
      </w:r>
      <w:r w:rsidRPr="008D52B0">
        <w:rPr>
          <w:noProof/>
          <w:vertAlign w:val="superscript"/>
        </w:rPr>
        <w:t>1</w:t>
      </w:r>
      <w:r>
        <w:t xml:space="preserve"> </w:t>
      </w:r>
    </w:p>
    <w:p w:rsidR="003B5425" w:rsidRDefault="003B5425" w:rsidP="00A806C0">
      <w:r>
        <w:t xml:space="preserve">Nonetheless, as it is possible for patients to achieve remission, a trial of cessation is recommended in version 3 of </w:t>
      </w:r>
      <w:r w:rsidRPr="00346482">
        <w:rPr>
          <w:i/>
        </w:rPr>
        <w:t>the</w:t>
      </w:r>
      <w:r>
        <w:t xml:space="preserve"> </w:t>
      </w:r>
      <w:r>
        <w:rPr>
          <w:i/>
        </w:rPr>
        <w:t xml:space="preserve">Criteria </w:t>
      </w:r>
      <w:r>
        <w:t xml:space="preserve">to ascertain remission status. When followed, this recommendation may limit treatment duration to a period during which Ig has a clinical benefit. </w:t>
      </w:r>
    </w:p>
    <w:p w:rsidR="003B5425" w:rsidRDefault="003B5425" w:rsidP="00A806C0">
      <w:r>
        <w:t xml:space="preserve">However, it cannot </w:t>
      </w:r>
      <w:r w:rsidRPr="00A15DE4">
        <w:rPr>
          <w:noProof/>
        </w:rPr>
        <w:t>be assumed</w:t>
      </w:r>
      <w:r>
        <w:t xml:space="preserve"> that this recommendation </w:t>
      </w:r>
      <w:r w:rsidRPr="00A15DE4">
        <w:rPr>
          <w:noProof/>
        </w:rPr>
        <w:t>is adequately reflected</w:t>
      </w:r>
      <w:r>
        <w:t xml:space="preserve"> in clinical practice. It is possible that a trial of cessation is not, or not timely, undertaken and that patients </w:t>
      </w:r>
      <w:r w:rsidRPr="00A15DE4">
        <w:rPr>
          <w:noProof/>
        </w:rPr>
        <w:t>receive</w:t>
      </w:r>
      <w:r>
        <w:t xml:space="preserve"> ongoing IVIg therapy after remission is achieved (identified as a potential issue by the Referrer, Referral Form</w:t>
      </w:r>
      <w:r w:rsidRPr="000F18F6">
        <w:t>, p</w:t>
      </w:r>
      <w:r>
        <w:t xml:space="preserve">age </w:t>
      </w:r>
      <w:r w:rsidRPr="000F18F6">
        <w:t>45</w:t>
      </w:r>
      <w:r>
        <w:t xml:space="preserve"> and the clinical expert consulted for this PICO confirmation</w:t>
      </w:r>
      <w:r w:rsidRPr="00C45A8F">
        <w:rPr>
          <w:noProof/>
          <w:vertAlign w:val="superscript"/>
        </w:rPr>
        <w:t>11</w:t>
      </w:r>
      <w:r w:rsidRPr="000F18F6">
        <w:t>).</w:t>
      </w:r>
      <w:r>
        <w:t xml:space="preserve"> </w:t>
      </w:r>
    </w:p>
    <w:p w:rsidR="003B5425" w:rsidRDefault="003B5425" w:rsidP="00A806C0">
      <w:pPr>
        <w:pStyle w:val="Heading4"/>
      </w:pPr>
      <w:r w:rsidRPr="001E53C9">
        <w:t xml:space="preserve">Current </w:t>
      </w:r>
      <w:r>
        <w:t>u</w:t>
      </w:r>
      <w:r w:rsidRPr="001E53C9">
        <w:t xml:space="preserve">sage </w:t>
      </w:r>
      <w:r>
        <w:t>f</w:t>
      </w:r>
      <w:r w:rsidRPr="001E53C9">
        <w:t>igures</w:t>
      </w:r>
    </w:p>
    <w:p w:rsidR="003B5425" w:rsidRPr="00FE5DAB" w:rsidRDefault="003B5425" w:rsidP="00A806C0">
      <w:r>
        <w:t>The National Report on the Issue and Use of Immunoglobulin (Ig) Annual Report 2015-16</w:t>
      </w:r>
      <w:r w:rsidRPr="005B0DCA">
        <w:t xml:space="preserve"> </w:t>
      </w:r>
      <w:r>
        <w:t>released by the NBA further provides an overview of the weight (in grams) of IVIg used to treat CIDP.</w:t>
      </w:r>
      <w:r w:rsidRPr="008D52B0">
        <w:rPr>
          <w:noProof/>
          <w:vertAlign w:val="superscript"/>
        </w:rPr>
        <w:t>22</w:t>
      </w:r>
      <w:r>
        <w:t xml:space="preserve"> Nationwide figures for the years 2011-12 through to 2015-16 and state/territory specific figures for the year 2015-16 </w:t>
      </w:r>
      <w:r w:rsidRPr="00A15DE4">
        <w:rPr>
          <w:noProof/>
        </w:rPr>
        <w:t>are presented</w:t>
      </w:r>
      <w:r>
        <w:t xml:space="preserve"> in </w:t>
      </w:r>
      <w:r>
        <w:fldChar w:fldCharType="begin"/>
      </w:r>
      <w:r>
        <w:instrText xml:space="preserve"> REF _Ref535309490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9</w:t>
      </w:r>
      <w:r>
        <w:fldChar w:fldCharType="end"/>
      </w:r>
      <w:r>
        <w:t xml:space="preserve"> </w:t>
      </w:r>
      <w:r w:rsidRPr="00200BB5">
        <w:t>and</w:t>
      </w:r>
      <w:r>
        <w:t xml:space="preserve"> </w:t>
      </w:r>
      <w:r>
        <w:fldChar w:fldCharType="begin"/>
      </w:r>
      <w:r>
        <w:instrText xml:space="preserve"> REF _Ref535309495 \h </w:instrText>
      </w:r>
      <w:r>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10</w:t>
      </w:r>
      <w:r>
        <w:fldChar w:fldCharType="end"/>
      </w:r>
      <w:r>
        <w:t>.</w:t>
      </w:r>
    </w:p>
    <w:p w:rsidR="00EE54A5" w:rsidRDefault="00EE54A5">
      <w:pPr>
        <w:rPr>
          <w:rFonts w:asciiTheme="minorHAnsi" w:eastAsia="Times New Roman" w:hAnsiTheme="minorHAnsi" w:cstheme="minorHAnsi"/>
          <w:b/>
          <w:sz w:val="20"/>
          <w:szCs w:val="20"/>
          <w:lang w:val="en-GB" w:eastAsia="ja-JP"/>
        </w:rPr>
      </w:pPr>
      <w:bookmarkStart w:id="14" w:name="_Ref535309490"/>
      <w:r>
        <w:rPr>
          <w:rFonts w:asciiTheme="minorHAnsi" w:hAnsiTheme="minorHAnsi" w:cstheme="minorHAnsi"/>
        </w:rPr>
        <w:br w:type="page"/>
      </w:r>
    </w:p>
    <w:p w:rsidR="003B5425" w:rsidRPr="004F31B6" w:rsidRDefault="003B5425" w:rsidP="00A806C0">
      <w:pPr>
        <w:pStyle w:val="Caption"/>
        <w:rPr>
          <w:rFonts w:asciiTheme="minorHAnsi" w:hAnsiTheme="minorHAnsi" w:cstheme="minorHAnsi"/>
        </w:rPr>
      </w:pPr>
      <w:r w:rsidRPr="004F31B6">
        <w:rPr>
          <w:rFonts w:asciiTheme="minorHAnsi" w:hAnsiTheme="minorHAnsi" w:cstheme="minorHAnsi"/>
        </w:rPr>
        <w:lastRenderedPageBreak/>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9</w:t>
      </w:r>
      <w:r w:rsidRPr="004F31B6">
        <w:rPr>
          <w:rFonts w:asciiTheme="minorHAnsi" w:hAnsiTheme="minorHAnsi" w:cstheme="minorHAnsi"/>
        </w:rPr>
        <w:fldChar w:fldCharType="end"/>
      </w:r>
      <w:bookmarkEnd w:id="14"/>
      <w:r w:rsidRPr="004F31B6">
        <w:rPr>
          <w:rFonts w:asciiTheme="minorHAnsi" w:hAnsiTheme="minorHAnsi" w:cstheme="minorHAnsi"/>
        </w:rPr>
        <w:tab/>
        <w:t>Australia-wide usage of IVIg (in grams) between 2011-12 and 2015-16</w:t>
      </w:r>
    </w:p>
    <w:tbl>
      <w:tblPr>
        <w:tblStyle w:val="TableGrid"/>
        <w:tblW w:w="0" w:type="auto"/>
        <w:tblLook w:val="04A0" w:firstRow="1" w:lastRow="0" w:firstColumn="1" w:lastColumn="0" w:noHBand="0" w:noVBand="1"/>
        <w:tblCaption w:val="Table 9 Australia-wide usage of IVIg (in grams) between 2011-12 and 2015-16"/>
      </w:tblPr>
      <w:tblGrid>
        <w:gridCol w:w="1502"/>
        <w:gridCol w:w="1502"/>
        <w:gridCol w:w="1503"/>
        <w:gridCol w:w="1503"/>
        <w:gridCol w:w="1503"/>
        <w:gridCol w:w="1503"/>
      </w:tblGrid>
      <w:tr w:rsidR="003B5425" w:rsidRPr="004F31B6" w:rsidTr="00384907">
        <w:trPr>
          <w:tblHeader/>
        </w:trPr>
        <w:tc>
          <w:tcPr>
            <w:tcW w:w="150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p>
        </w:tc>
        <w:tc>
          <w:tcPr>
            <w:tcW w:w="150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2011-12</w:t>
            </w:r>
          </w:p>
        </w:tc>
        <w:tc>
          <w:tcPr>
            <w:tcW w:w="1503"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2012-13</w:t>
            </w:r>
          </w:p>
        </w:tc>
        <w:tc>
          <w:tcPr>
            <w:tcW w:w="1503"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2013-14</w:t>
            </w:r>
          </w:p>
        </w:tc>
        <w:tc>
          <w:tcPr>
            <w:tcW w:w="1503"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2014-15</w:t>
            </w:r>
          </w:p>
        </w:tc>
        <w:tc>
          <w:tcPr>
            <w:tcW w:w="1503"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2015-16</w:t>
            </w:r>
          </w:p>
        </w:tc>
      </w:tr>
      <w:tr w:rsidR="003B5425" w:rsidRPr="004F31B6" w:rsidTr="00A806C0">
        <w:tc>
          <w:tcPr>
            <w:tcW w:w="1502"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Total patient number</w:t>
            </w:r>
          </w:p>
        </w:tc>
        <w:tc>
          <w:tcPr>
            <w:tcW w:w="1502"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1,551</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1,753</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1,903</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2,054</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2,250</w:t>
            </w:r>
          </w:p>
        </w:tc>
      </w:tr>
      <w:tr w:rsidR="003B5425" w:rsidRPr="004F31B6" w:rsidTr="00A806C0">
        <w:trPr>
          <w:trHeight w:val="315"/>
        </w:trPr>
        <w:tc>
          <w:tcPr>
            <w:tcW w:w="1502"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Total grams (g)</w:t>
            </w:r>
          </w:p>
        </w:tc>
        <w:tc>
          <w:tcPr>
            <w:tcW w:w="1502"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677,458g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758,271g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857,533g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974,258g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1,071,135g</w:t>
            </w:r>
          </w:p>
        </w:tc>
      </w:tr>
      <w:tr w:rsidR="003B5425" w:rsidRPr="004F31B6" w:rsidTr="00A806C0">
        <w:tc>
          <w:tcPr>
            <w:tcW w:w="1502" w:type="dxa"/>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Ave grams per patient (g)</w:t>
            </w:r>
          </w:p>
        </w:tc>
        <w:tc>
          <w:tcPr>
            <w:tcW w:w="1502"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437g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433g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451g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474g</w:t>
            </w:r>
          </w:p>
        </w:tc>
        <w:tc>
          <w:tcPr>
            <w:tcW w:w="1503" w:type="dxa"/>
            <w:vAlign w:val="center"/>
          </w:tcPr>
          <w:p w:rsidR="003B5425" w:rsidRPr="004F31B6" w:rsidRDefault="003B5425" w:rsidP="00A806C0">
            <w:pPr>
              <w:pStyle w:val="Tablecontents"/>
              <w:rPr>
                <w:rFonts w:asciiTheme="minorHAnsi" w:hAnsiTheme="minorHAnsi" w:cstheme="minorHAnsi"/>
              </w:rPr>
            </w:pPr>
            <w:r w:rsidRPr="004F31B6">
              <w:rPr>
                <w:rFonts w:asciiTheme="minorHAnsi" w:hAnsiTheme="minorHAnsi" w:cstheme="minorHAnsi"/>
              </w:rPr>
              <w:t>476g</w:t>
            </w:r>
          </w:p>
        </w:tc>
      </w:tr>
    </w:tbl>
    <w:p w:rsidR="003B5425" w:rsidRPr="004F31B6" w:rsidRDefault="003B5425" w:rsidP="00A806C0">
      <w:pPr>
        <w:pStyle w:val="Tablenotes"/>
        <w:spacing w:before="60" w:after="60"/>
        <w:contextualSpacing w:val="0"/>
        <w:rPr>
          <w:rFonts w:asciiTheme="minorHAnsi" w:hAnsiTheme="minorHAnsi" w:cstheme="minorHAnsi"/>
        </w:rPr>
      </w:pPr>
      <w:r w:rsidRPr="004F31B6">
        <w:rPr>
          <w:rFonts w:asciiTheme="minorHAnsi" w:hAnsiTheme="minorHAnsi" w:cstheme="minorHAnsi"/>
          <w:b/>
        </w:rPr>
        <w:t xml:space="preserve">Source: </w:t>
      </w:r>
      <w:r w:rsidRPr="004F31B6">
        <w:rPr>
          <w:rFonts w:asciiTheme="minorHAnsi" w:hAnsiTheme="minorHAnsi" w:cstheme="minorHAnsi"/>
        </w:rPr>
        <w:t>Adapted from Table provided by the Referrer, pages 44-45 of the Referral Form. Information was originally sourced from the National Report on the Issue and Use of Immunoglobulin (Ig) Annual Report 2015-16 published by the National Blood Authority.</w:t>
      </w:r>
      <w:r w:rsidRPr="004F31B6">
        <w:rPr>
          <w:rFonts w:asciiTheme="minorHAnsi" w:hAnsiTheme="minorHAnsi" w:cstheme="minorHAnsi"/>
          <w:noProof/>
          <w:vertAlign w:val="superscript"/>
        </w:rPr>
        <w:t>22</w:t>
      </w:r>
      <w:r w:rsidRPr="004F31B6">
        <w:rPr>
          <w:rFonts w:asciiTheme="minorHAnsi" w:hAnsiTheme="minorHAnsi" w:cstheme="minorHAnsi"/>
        </w:rPr>
        <w:t xml:space="preserve">, or estimated from this data by the Referrer (average gram per patient estimate only). </w:t>
      </w:r>
    </w:p>
    <w:p w:rsidR="003B5425" w:rsidRPr="004F31B6" w:rsidRDefault="003B5425" w:rsidP="00A806C0">
      <w:pPr>
        <w:pStyle w:val="Tablenotes"/>
        <w:spacing w:before="60" w:after="240"/>
        <w:contextualSpacing w:val="0"/>
        <w:rPr>
          <w:rFonts w:asciiTheme="minorHAnsi" w:hAnsiTheme="minorHAnsi" w:cstheme="minorHAnsi"/>
        </w:rPr>
      </w:pPr>
      <w:r w:rsidRPr="004F31B6">
        <w:rPr>
          <w:rFonts w:asciiTheme="minorHAnsi" w:hAnsiTheme="minorHAnsi" w:cstheme="minorHAnsi"/>
          <w:b/>
        </w:rPr>
        <w:t xml:space="preserve">Note: </w:t>
      </w:r>
      <w:r w:rsidRPr="004F31B6">
        <w:rPr>
          <w:rFonts w:asciiTheme="minorHAnsi" w:hAnsiTheme="minorHAnsi" w:cstheme="minorHAnsi"/>
        </w:rPr>
        <w:t xml:space="preserve">rounding errors </w:t>
      </w:r>
      <w:r w:rsidRPr="004F31B6">
        <w:rPr>
          <w:rFonts w:asciiTheme="minorHAnsi" w:hAnsiTheme="minorHAnsi" w:cstheme="minorHAnsi"/>
          <w:noProof/>
        </w:rPr>
        <w:t>were corrected</w:t>
      </w:r>
      <w:r w:rsidRPr="004F31B6">
        <w:rPr>
          <w:rFonts w:asciiTheme="minorHAnsi" w:hAnsiTheme="minorHAnsi" w:cstheme="minorHAnsi"/>
        </w:rPr>
        <w:t xml:space="preserve"> as appropriate. </w:t>
      </w:r>
    </w:p>
    <w:p w:rsidR="003B5425" w:rsidRPr="004F31B6" w:rsidRDefault="003B5425" w:rsidP="00A806C0">
      <w:pPr>
        <w:pStyle w:val="Caption"/>
        <w:rPr>
          <w:rFonts w:asciiTheme="minorHAnsi" w:hAnsiTheme="minorHAnsi" w:cstheme="minorHAnsi"/>
        </w:rPr>
      </w:pPr>
      <w:bookmarkStart w:id="15" w:name="_Ref535309495"/>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10</w:t>
      </w:r>
      <w:r w:rsidRPr="004F31B6">
        <w:rPr>
          <w:rFonts w:asciiTheme="minorHAnsi" w:hAnsiTheme="minorHAnsi" w:cstheme="minorHAnsi"/>
        </w:rPr>
        <w:fldChar w:fldCharType="end"/>
      </w:r>
      <w:bookmarkEnd w:id="15"/>
      <w:r w:rsidRPr="004F31B6">
        <w:rPr>
          <w:rFonts w:asciiTheme="minorHAnsi" w:hAnsiTheme="minorHAnsi" w:cstheme="minorHAnsi"/>
        </w:rPr>
        <w:tab/>
      </w:r>
      <w:r w:rsidRPr="004F31B6">
        <w:rPr>
          <w:rFonts w:asciiTheme="minorHAnsi" w:hAnsiTheme="minorHAnsi" w:cstheme="minorHAnsi"/>
        </w:rPr>
        <w:tab/>
      </w:r>
      <w:r w:rsidR="00257D6A">
        <w:rPr>
          <w:rFonts w:asciiTheme="minorHAnsi" w:hAnsiTheme="minorHAnsi" w:cstheme="minorHAnsi"/>
        </w:rPr>
        <w:t xml:space="preserve"> </w:t>
      </w:r>
      <w:r w:rsidRPr="004F31B6">
        <w:rPr>
          <w:rFonts w:asciiTheme="minorHAnsi" w:hAnsiTheme="minorHAnsi" w:cstheme="minorHAnsi"/>
        </w:rPr>
        <w:t>IVIg usage (in grams) by each state/territory, 2015-16</w:t>
      </w:r>
    </w:p>
    <w:tbl>
      <w:tblPr>
        <w:tblStyle w:val="TableGrid"/>
        <w:tblW w:w="9904" w:type="dxa"/>
        <w:tblLook w:val="04A0" w:firstRow="1" w:lastRow="0" w:firstColumn="1" w:lastColumn="0" w:noHBand="0" w:noVBand="1"/>
        <w:tblCaption w:val="Table 10 IVIg usage (in grams) by each state/territory, 2015-16"/>
      </w:tblPr>
      <w:tblGrid>
        <w:gridCol w:w="1478"/>
        <w:gridCol w:w="875"/>
        <w:gridCol w:w="875"/>
        <w:gridCol w:w="875"/>
        <w:gridCol w:w="875"/>
        <w:gridCol w:w="776"/>
        <w:gridCol w:w="776"/>
        <w:gridCol w:w="681"/>
        <w:gridCol w:w="681"/>
        <w:gridCol w:w="1026"/>
        <w:gridCol w:w="986"/>
      </w:tblGrid>
      <w:tr w:rsidR="003B5425" w:rsidRPr="004F31B6" w:rsidTr="00384907">
        <w:trPr>
          <w:tblHeader/>
        </w:trPr>
        <w:tc>
          <w:tcPr>
            <w:tcW w:w="1696"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State</w:t>
            </w:r>
          </w:p>
        </w:tc>
        <w:tc>
          <w:tcPr>
            <w:tcW w:w="55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NSW</w:t>
            </w:r>
          </w:p>
        </w:tc>
        <w:tc>
          <w:tcPr>
            <w:tcW w:w="84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VIC</w:t>
            </w:r>
          </w:p>
        </w:tc>
        <w:tc>
          <w:tcPr>
            <w:tcW w:w="84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QLD</w:t>
            </w:r>
          </w:p>
        </w:tc>
        <w:tc>
          <w:tcPr>
            <w:tcW w:w="842"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WA</w:t>
            </w:r>
          </w:p>
        </w:tc>
        <w:tc>
          <w:tcPr>
            <w:tcW w:w="825"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SA</w:t>
            </w:r>
          </w:p>
        </w:tc>
        <w:tc>
          <w:tcPr>
            <w:tcW w:w="825"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TAS</w:t>
            </w:r>
          </w:p>
        </w:tc>
        <w:tc>
          <w:tcPr>
            <w:tcW w:w="808"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ACT</w:t>
            </w:r>
          </w:p>
        </w:tc>
        <w:tc>
          <w:tcPr>
            <w:tcW w:w="808"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NT</w:t>
            </w:r>
          </w:p>
        </w:tc>
        <w:tc>
          <w:tcPr>
            <w:tcW w:w="946"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National</w:t>
            </w:r>
          </w:p>
        </w:tc>
        <w:tc>
          <w:tcPr>
            <w:tcW w:w="918" w:type="dxa"/>
            <w:shd w:val="clear" w:color="auto" w:fill="D9D9D9" w:themeFill="background1" w:themeFillShade="D9"/>
          </w:tcPr>
          <w:p w:rsidR="003B5425" w:rsidRPr="004F31B6" w:rsidRDefault="003B5425" w:rsidP="00A806C0">
            <w:pPr>
              <w:pStyle w:val="Tableheading0"/>
              <w:keepNext/>
              <w:spacing w:before="60" w:after="60"/>
              <w:rPr>
                <w:rFonts w:asciiTheme="minorHAnsi" w:hAnsiTheme="minorHAnsi" w:cstheme="minorHAnsi"/>
              </w:rPr>
            </w:pPr>
            <w:r w:rsidRPr="004F31B6">
              <w:rPr>
                <w:rFonts w:asciiTheme="minorHAnsi" w:hAnsiTheme="minorHAnsi" w:cstheme="minorHAnsi"/>
              </w:rPr>
              <w:t>Fold Variation</w:t>
            </w:r>
          </w:p>
        </w:tc>
      </w:tr>
      <w:tr w:rsidR="003B5425" w:rsidRPr="004F31B6" w:rsidTr="00A806C0">
        <w:tc>
          <w:tcPr>
            <w:tcW w:w="1696"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 xml:space="preserve">Patients </w:t>
            </w:r>
          </w:p>
        </w:tc>
        <w:tc>
          <w:tcPr>
            <w:tcW w:w="55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834</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507</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648</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130</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93</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36</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32</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15</w:t>
            </w:r>
          </w:p>
        </w:tc>
        <w:tc>
          <w:tcPr>
            <w:tcW w:w="946"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2,250</w:t>
            </w:r>
          </w:p>
        </w:tc>
        <w:tc>
          <w:tcPr>
            <w:tcW w:w="918" w:type="dxa"/>
            <w:vAlign w:val="center"/>
          </w:tcPr>
          <w:p w:rsidR="003B5425" w:rsidRPr="004F31B6" w:rsidRDefault="003B5425" w:rsidP="00A806C0">
            <w:pPr>
              <w:pStyle w:val="Tablecontents"/>
              <w:keepNext/>
              <w:rPr>
                <w:rFonts w:asciiTheme="minorHAnsi" w:hAnsiTheme="minorHAnsi" w:cstheme="minorHAnsi"/>
              </w:rPr>
            </w:pPr>
          </w:p>
        </w:tc>
      </w:tr>
      <w:tr w:rsidR="003B5425" w:rsidRPr="004F31B6" w:rsidTr="00A806C0">
        <w:tc>
          <w:tcPr>
            <w:tcW w:w="1696"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Total grams (g)</w:t>
            </w:r>
          </w:p>
        </w:tc>
        <w:tc>
          <w:tcPr>
            <w:tcW w:w="55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363,767</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248,735</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277,894</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104,920</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40,008</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19,413</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9,843</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6,557</w:t>
            </w:r>
          </w:p>
        </w:tc>
        <w:tc>
          <w:tcPr>
            <w:tcW w:w="946"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1,071,135</w:t>
            </w:r>
          </w:p>
        </w:tc>
        <w:tc>
          <w:tcPr>
            <w:tcW w:w="918" w:type="dxa"/>
            <w:vAlign w:val="center"/>
          </w:tcPr>
          <w:p w:rsidR="003B5425" w:rsidRPr="004F31B6" w:rsidRDefault="003B5425" w:rsidP="00A806C0">
            <w:pPr>
              <w:pStyle w:val="Tablecontents"/>
              <w:keepNext/>
              <w:rPr>
                <w:rFonts w:asciiTheme="minorHAnsi" w:hAnsiTheme="minorHAnsi" w:cstheme="minorHAnsi"/>
              </w:rPr>
            </w:pPr>
          </w:p>
        </w:tc>
      </w:tr>
      <w:tr w:rsidR="003B5425" w:rsidRPr="004F31B6" w:rsidTr="00A806C0">
        <w:tc>
          <w:tcPr>
            <w:tcW w:w="1696" w:type="dxa"/>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Grams/episode (g)</w:t>
            </w:r>
          </w:p>
        </w:tc>
        <w:tc>
          <w:tcPr>
            <w:tcW w:w="55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39</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38</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34</w:t>
            </w:r>
          </w:p>
        </w:tc>
        <w:tc>
          <w:tcPr>
            <w:tcW w:w="842"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64</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45</w:t>
            </w:r>
          </w:p>
        </w:tc>
        <w:tc>
          <w:tcPr>
            <w:tcW w:w="825"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39</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32</w:t>
            </w:r>
          </w:p>
        </w:tc>
        <w:tc>
          <w:tcPr>
            <w:tcW w:w="808"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42</w:t>
            </w:r>
          </w:p>
        </w:tc>
        <w:tc>
          <w:tcPr>
            <w:tcW w:w="946" w:type="dxa"/>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39</w:t>
            </w:r>
          </w:p>
        </w:tc>
        <w:tc>
          <w:tcPr>
            <w:tcW w:w="918" w:type="dxa"/>
            <w:vAlign w:val="center"/>
          </w:tcPr>
          <w:p w:rsidR="003B5425" w:rsidRPr="004F31B6" w:rsidRDefault="003B5425" w:rsidP="00A806C0">
            <w:pPr>
              <w:pStyle w:val="Tablecontents"/>
              <w:keepNext/>
              <w:rPr>
                <w:rFonts w:asciiTheme="minorHAnsi" w:hAnsiTheme="minorHAnsi" w:cstheme="minorHAnsi"/>
              </w:rPr>
            </w:pPr>
          </w:p>
        </w:tc>
      </w:tr>
      <w:tr w:rsidR="003B5425" w:rsidRPr="004F31B6" w:rsidTr="00A806C0">
        <w:tc>
          <w:tcPr>
            <w:tcW w:w="1696" w:type="dxa"/>
            <w:tcBorders>
              <w:bottom w:val="single" w:sz="4" w:space="0" w:color="auto"/>
            </w:tcBorders>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Grams/patient (g)</w:t>
            </w:r>
          </w:p>
        </w:tc>
        <w:tc>
          <w:tcPr>
            <w:tcW w:w="55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436</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491</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429</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807</w:t>
            </w:r>
          </w:p>
        </w:tc>
        <w:tc>
          <w:tcPr>
            <w:tcW w:w="825"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430</w:t>
            </w:r>
          </w:p>
        </w:tc>
        <w:tc>
          <w:tcPr>
            <w:tcW w:w="825"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539</w:t>
            </w:r>
          </w:p>
        </w:tc>
        <w:tc>
          <w:tcPr>
            <w:tcW w:w="80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308</w:t>
            </w:r>
          </w:p>
        </w:tc>
        <w:tc>
          <w:tcPr>
            <w:tcW w:w="80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437</w:t>
            </w:r>
          </w:p>
        </w:tc>
        <w:tc>
          <w:tcPr>
            <w:tcW w:w="946"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476</w:t>
            </w:r>
          </w:p>
        </w:tc>
        <w:tc>
          <w:tcPr>
            <w:tcW w:w="91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p>
        </w:tc>
      </w:tr>
      <w:tr w:rsidR="003B5425" w:rsidRPr="004F31B6" w:rsidTr="00A806C0">
        <w:tc>
          <w:tcPr>
            <w:tcW w:w="1696" w:type="dxa"/>
            <w:tcBorders>
              <w:bottom w:val="single" w:sz="4" w:space="0" w:color="auto"/>
            </w:tcBorders>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Grams per 1,000 population (g)</w:t>
            </w:r>
          </w:p>
        </w:tc>
        <w:tc>
          <w:tcPr>
            <w:tcW w:w="55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47</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41</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58</w:t>
            </w:r>
          </w:p>
        </w:tc>
        <w:tc>
          <w:tcPr>
            <w:tcW w:w="842"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40</w:t>
            </w:r>
          </w:p>
        </w:tc>
        <w:tc>
          <w:tcPr>
            <w:tcW w:w="825"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23</w:t>
            </w:r>
          </w:p>
        </w:tc>
        <w:tc>
          <w:tcPr>
            <w:tcW w:w="825"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38</w:t>
            </w:r>
          </w:p>
        </w:tc>
        <w:tc>
          <w:tcPr>
            <w:tcW w:w="80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25</w:t>
            </w:r>
          </w:p>
        </w:tc>
        <w:tc>
          <w:tcPr>
            <w:tcW w:w="80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27</w:t>
            </w:r>
          </w:p>
        </w:tc>
        <w:tc>
          <w:tcPr>
            <w:tcW w:w="946"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45</w:t>
            </w:r>
          </w:p>
        </w:tc>
        <w:tc>
          <w:tcPr>
            <w:tcW w:w="918" w:type="dxa"/>
            <w:tcBorders>
              <w:bottom w:val="single" w:sz="4" w:space="0" w:color="auto"/>
            </w:tcBorders>
            <w:vAlign w:val="center"/>
          </w:tcPr>
          <w:p w:rsidR="003B5425" w:rsidRPr="004F31B6" w:rsidRDefault="003B5425" w:rsidP="00A806C0">
            <w:pPr>
              <w:pStyle w:val="Tablecontents"/>
              <w:keepNext/>
              <w:rPr>
                <w:rFonts w:asciiTheme="minorHAnsi" w:hAnsiTheme="minorHAnsi" w:cstheme="minorHAnsi"/>
              </w:rPr>
            </w:pPr>
            <w:r w:rsidRPr="004F31B6">
              <w:rPr>
                <w:rFonts w:asciiTheme="minorHAnsi" w:hAnsiTheme="minorHAnsi" w:cstheme="minorHAnsi"/>
              </w:rPr>
              <w:t>2.5</w:t>
            </w:r>
          </w:p>
        </w:tc>
      </w:tr>
    </w:tbl>
    <w:p w:rsidR="003B5425" w:rsidRPr="004F31B6" w:rsidRDefault="003B5425" w:rsidP="00A806C0">
      <w:pPr>
        <w:pStyle w:val="Tablenotes"/>
        <w:spacing w:before="60" w:after="60"/>
        <w:contextualSpacing w:val="0"/>
        <w:rPr>
          <w:rFonts w:asciiTheme="minorHAnsi" w:hAnsiTheme="minorHAnsi" w:cstheme="minorHAnsi"/>
        </w:rPr>
      </w:pPr>
      <w:r w:rsidRPr="004F31B6">
        <w:rPr>
          <w:rFonts w:asciiTheme="minorHAnsi" w:hAnsiTheme="minorHAnsi" w:cstheme="minorHAnsi"/>
          <w:b/>
          <w:noProof/>
        </w:rPr>
        <w:t xml:space="preserve">Source: </w:t>
      </w:r>
      <w:r w:rsidRPr="004F31B6">
        <w:rPr>
          <w:rFonts w:asciiTheme="minorHAnsi" w:hAnsiTheme="minorHAnsi" w:cstheme="minorHAnsi"/>
          <w:noProof/>
        </w:rPr>
        <w:t>Adapted from Table provided by the Referrer, page 45 of the Referral Form.</w:t>
      </w:r>
      <w:r w:rsidRPr="004F31B6">
        <w:rPr>
          <w:rFonts w:asciiTheme="minorHAnsi" w:hAnsiTheme="minorHAnsi" w:cstheme="minorHAnsi"/>
        </w:rPr>
        <w:t xml:space="preserve"> Information </w:t>
      </w:r>
      <w:r w:rsidRPr="004F31B6">
        <w:rPr>
          <w:rFonts w:asciiTheme="minorHAnsi" w:hAnsiTheme="minorHAnsi" w:cstheme="minorHAnsi"/>
          <w:noProof/>
        </w:rPr>
        <w:t>was originally sourced</w:t>
      </w:r>
      <w:r w:rsidRPr="004F31B6">
        <w:rPr>
          <w:rFonts w:asciiTheme="minorHAnsi" w:hAnsiTheme="minorHAnsi" w:cstheme="minorHAnsi"/>
        </w:rPr>
        <w:t xml:space="preserve"> from the National Report on the Issue and Use of Immunoglobulin (Ig) Annual Report 2015-16 published by the National Blood Authority.</w:t>
      </w:r>
      <w:r w:rsidRPr="004F31B6">
        <w:rPr>
          <w:rFonts w:asciiTheme="minorHAnsi" w:hAnsiTheme="minorHAnsi" w:cstheme="minorHAnsi"/>
          <w:noProof/>
          <w:vertAlign w:val="superscript"/>
        </w:rPr>
        <w:t>22</w:t>
      </w:r>
      <w:r w:rsidRPr="004F31B6">
        <w:rPr>
          <w:rFonts w:asciiTheme="minorHAnsi" w:hAnsiTheme="minorHAnsi" w:cstheme="minorHAnsi"/>
        </w:rPr>
        <w:t xml:space="preserve"> or estimated from this data by the Referrer (grams per patient estimate only).</w:t>
      </w:r>
    </w:p>
    <w:p w:rsidR="003B5425" w:rsidRPr="004F31B6" w:rsidRDefault="003B5425" w:rsidP="00A806C0">
      <w:pPr>
        <w:pStyle w:val="Tablenotes"/>
        <w:spacing w:before="60" w:after="60"/>
        <w:contextualSpacing w:val="0"/>
        <w:rPr>
          <w:rFonts w:asciiTheme="minorHAnsi" w:hAnsiTheme="minorHAnsi" w:cstheme="minorHAnsi"/>
        </w:rPr>
      </w:pPr>
      <w:r w:rsidRPr="004F31B6">
        <w:rPr>
          <w:rFonts w:asciiTheme="minorHAnsi" w:hAnsiTheme="minorHAnsi" w:cstheme="minorHAnsi"/>
          <w:b/>
        </w:rPr>
        <w:t xml:space="preserve">Note: </w:t>
      </w:r>
      <w:r w:rsidRPr="004F31B6">
        <w:rPr>
          <w:rFonts w:asciiTheme="minorHAnsi" w:hAnsiTheme="minorHAnsi" w:cstheme="minorHAnsi"/>
        </w:rPr>
        <w:t xml:space="preserve">Fold variation calculated by dividing the largest grams/1,000 population by the smallest g/1,000 population using only data from the five largest states (NSW, VIC, QLD, WA </w:t>
      </w:r>
      <w:r w:rsidRPr="004F31B6">
        <w:rPr>
          <w:rFonts w:asciiTheme="minorHAnsi" w:hAnsiTheme="minorHAnsi" w:cstheme="minorHAnsi"/>
          <w:noProof/>
        </w:rPr>
        <w:t>and</w:t>
      </w:r>
      <w:r w:rsidRPr="004F31B6">
        <w:rPr>
          <w:rFonts w:asciiTheme="minorHAnsi" w:hAnsiTheme="minorHAnsi" w:cstheme="minorHAnsi"/>
        </w:rPr>
        <w:t xml:space="preserve"> SA). This figure was corrected based on what </w:t>
      </w:r>
      <w:r w:rsidRPr="004F31B6">
        <w:rPr>
          <w:rFonts w:asciiTheme="minorHAnsi" w:hAnsiTheme="minorHAnsi" w:cstheme="minorHAnsi"/>
          <w:noProof/>
        </w:rPr>
        <w:t>was provided</w:t>
      </w:r>
      <w:r w:rsidRPr="004F31B6">
        <w:rPr>
          <w:rFonts w:asciiTheme="minorHAnsi" w:hAnsiTheme="minorHAnsi" w:cstheme="minorHAnsi"/>
        </w:rPr>
        <w:t xml:space="preserve"> in the </w:t>
      </w:r>
      <w:r w:rsidRPr="004F31B6">
        <w:rPr>
          <w:rFonts w:asciiTheme="minorHAnsi" w:hAnsiTheme="minorHAnsi" w:cstheme="minorHAnsi"/>
          <w:noProof/>
        </w:rPr>
        <w:t>original source</w:t>
      </w:r>
      <w:r w:rsidRPr="004F31B6">
        <w:rPr>
          <w:rFonts w:asciiTheme="minorHAnsi" w:hAnsiTheme="minorHAnsi" w:cstheme="minorHAnsi"/>
        </w:rPr>
        <w:t>.</w:t>
      </w:r>
    </w:p>
    <w:p w:rsidR="003B5425" w:rsidRDefault="003B5425" w:rsidP="00A806C0">
      <w:pPr>
        <w:pStyle w:val="Heading3"/>
      </w:pPr>
      <w:r>
        <w:t>Overview of SCIg</w:t>
      </w:r>
    </w:p>
    <w:p w:rsidR="003B5425" w:rsidRPr="00FE5DAB" w:rsidRDefault="003B5425" w:rsidP="00A806C0">
      <w:pPr>
        <w:pStyle w:val="Heading4"/>
      </w:pPr>
      <w:r>
        <w:t>Dosage and frequency</w:t>
      </w:r>
    </w:p>
    <w:p w:rsidR="003B5425" w:rsidRDefault="003B5425" w:rsidP="00A806C0">
      <w:r>
        <w:t xml:space="preserve">For SCIg, more frequent infusions (usually twice weekly) are required (Referral Form, page 28). </w:t>
      </w:r>
    </w:p>
    <w:p w:rsidR="003B5425" w:rsidRDefault="003B5425" w:rsidP="00A806C0">
      <w:r w:rsidRPr="00FA08BF">
        <w:t xml:space="preserve">Unlike </w:t>
      </w:r>
      <w:r>
        <w:t xml:space="preserve">for IVIg, version 3 of </w:t>
      </w:r>
      <w:r w:rsidRPr="008D52B0">
        <w:rPr>
          <w:i/>
        </w:rPr>
        <w:t>the</w:t>
      </w:r>
      <w:r>
        <w:t xml:space="preserve"> </w:t>
      </w:r>
      <w:r>
        <w:rPr>
          <w:i/>
        </w:rPr>
        <w:t xml:space="preserve">Criteria </w:t>
      </w:r>
      <w:r>
        <w:t xml:space="preserve">provides no current </w:t>
      </w:r>
      <w:r w:rsidR="000E4403">
        <w:t xml:space="preserve">dose range </w:t>
      </w:r>
      <w:r>
        <w:t xml:space="preserve">for SCIg, </w:t>
      </w:r>
      <w:r w:rsidRPr="00A15DE4">
        <w:rPr>
          <w:noProof/>
        </w:rPr>
        <w:t>and</w:t>
      </w:r>
      <w:r>
        <w:t xml:space="preserve"> </w:t>
      </w:r>
      <w:r w:rsidRPr="00A15DE4">
        <w:rPr>
          <w:noProof/>
        </w:rPr>
        <w:t>its use as a treatment for CIDP is not yet funded by the NBA</w:t>
      </w:r>
      <w:r>
        <w:t xml:space="preserve">. SCIg dosing </w:t>
      </w:r>
      <w:r w:rsidRPr="00A15DE4">
        <w:rPr>
          <w:noProof/>
        </w:rPr>
        <w:t>is not considered</w:t>
      </w:r>
      <w:r>
        <w:t xml:space="preserve"> in the current EFNS/PNS guidelines. </w:t>
      </w:r>
    </w:p>
    <w:p w:rsidR="003B5425" w:rsidRPr="003E6D2F" w:rsidRDefault="003B5425" w:rsidP="00A806C0">
      <w:r w:rsidRPr="003E6D2F">
        <w:t>Clinical trials have been undertaken in CIDP populations</w:t>
      </w:r>
      <w:r>
        <w:t xml:space="preserve"> and report the following Ig regimens:</w:t>
      </w:r>
    </w:p>
    <w:p w:rsidR="003B5425" w:rsidRDefault="003B5425" w:rsidP="009764F3">
      <w:pPr>
        <w:pStyle w:val="ListParagraph"/>
        <w:numPr>
          <w:ilvl w:val="0"/>
          <w:numId w:val="6"/>
        </w:numPr>
      </w:pPr>
      <w:r>
        <w:t xml:space="preserve">Van Shaik et al. (2018) compared </w:t>
      </w:r>
      <w:r w:rsidR="009724ED">
        <w:rPr>
          <w:noProof/>
        </w:rPr>
        <w:t>two</w:t>
      </w:r>
      <w:r>
        <w:t xml:space="preserve"> alternate dosing regimens to placebo – 0.2g/kg per week or 0.4g/kg per week </w:t>
      </w:r>
      <w:r w:rsidRPr="00A15DE4">
        <w:rPr>
          <w:noProof/>
        </w:rPr>
        <w:t>given</w:t>
      </w:r>
      <w:r>
        <w:t xml:space="preserve"> weekly over one or two consecutive days in two sessions for 24 weeks.</w:t>
      </w:r>
      <w:r w:rsidRPr="008D52B0">
        <w:rPr>
          <w:noProof/>
          <w:vertAlign w:val="superscript"/>
        </w:rPr>
        <w:t>27</w:t>
      </w:r>
      <w:r>
        <w:t xml:space="preserve"> They concluded that both were efficacious and well-tolerated as </w:t>
      </w:r>
      <w:r w:rsidRPr="00A15DE4">
        <w:rPr>
          <w:noProof/>
        </w:rPr>
        <w:t>a maintenance</w:t>
      </w:r>
      <w:r>
        <w:t xml:space="preserve"> therapy for CIDP patients. </w:t>
      </w:r>
    </w:p>
    <w:p w:rsidR="003B5425" w:rsidRDefault="003B5425" w:rsidP="009764F3">
      <w:pPr>
        <w:pStyle w:val="ListParagraph"/>
        <w:numPr>
          <w:ilvl w:val="0"/>
          <w:numId w:val="6"/>
        </w:numPr>
      </w:pPr>
      <w:r w:rsidRPr="003E6D2F">
        <w:lastRenderedPageBreak/>
        <w:t>Markvardsen et al.</w:t>
      </w:r>
      <w:r>
        <w:t xml:space="preserve"> (2017)</w:t>
      </w:r>
      <w:r w:rsidRPr="003E6D2F">
        <w:t xml:space="preserve"> </w:t>
      </w:r>
      <w:r>
        <w:t xml:space="preserve">compared SCIg at </w:t>
      </w:r>
      <w:r w:rsidRPr="00A15DE4">
        <w:rPr>
          <w:noProof/>
        </w:rPr>
        <w:t>a dos</w:t>
      </w:r>
      <w:r>
        <w:rPr>
          <w:noProof/>
        </w:rPr>
        <w:t>e</w:t>
      </w:r>
      <w:r>
        <w:t xml:space="preserve"> of </w:t>
      </w:r>
      <w:r w:rsidRPr="003E6D2F">
        <w:t>0.4g/kg/week given as 2 to 3 infusions per week</w:t>
      </w:r>
      <w:r>
        <w:t xml:space="preserve"> for </w:t>
      </w:r>
      <w:r w:rsidRPr="00A15DE4">
        <w:rPr>
          <w:noProof/>
        </w:rPr>
        <w:t>5</w:t>
      </w:r>
      <w:r>
        <w:t xml:space="preserve"> weeks to IVIg given at </w:t>
      </w:r>
      <w:r w:rsidRPr="00A15DE4">
        <w:rPr>
          <w:noProof/>
        </w:rPr>
        <w:t>a dos</w:t>
      </w:r>
      <w:r>
        <w:rPr>
          <w:noProof/>
        </w:rPr>
        <w:t>e</w:t>
      </w:r>
      <w:r>
        <w:t xml:space="preserve"> of 2g/kg as 0.4g/kg/day doses given over </w:t>
      </w:r>
      <w:r w:rsidRPr="00A15DE4">
        <w:rPr>
          <w:noProof/>
        </w:rPr>
        <w:t>5</w:t>
      </w:r>
      <w:r>
        <w:t xml:space="preserve"> consecutive days.</w:t>
      </w:r>
      <w:r w:rsidRPr="008D52B0">
        <w:rPr>
          <w:noProof/>
          <w:vertAlign w:val="superscript"/>
        </w:rPr>
        <w:t>28</w:t>
      </w:r>
    </w:p>
    <w:p w:rsidR="003B5425" w:rsidRPr="00BD0CED" w:rsidRDefault="003B5425" w:rsidP="00A806C0">
      <w:pPr>
        <w:pStyle w:val="Heading4"/>
      </w:pPr>
      <w:r>
        <w:t>Setting</w:t>
      </w:r>
    </w:p>
    <w:p w:rsidR="003B5425" w:rsidRDefault="003B5425" w:rsidP="00A806C0">
      <w:r>
        <w:t xml:space="preserve">SCIg would </w:t>
      </w:r>
      <w:r w:rsidRPr="00A15DE4">
        <w:rPr>
          <w:noProof/>
        </w:rPr>
        <w:t>be delivered</w:t>
      </w:r>
      <w:r>
        <w:t xml:space="preserve"> in a patient’s home. (Referral Form, page 32). </w:t>
      </w:r>
    </w:p>
    <w:p w:rsidR="003B5425" w:rsidRDefault="003B5425" w:rsidP="00A806C0">
      <w:pPr>
        <w:pStyle w:val="Heading4"/>
      </w:pPr>
      <w:r>
        <w:t>Personnel and additional services required</w:t>
      </w:r>
    </w:p>
    <w:p w:rsidR="003B5425" w:rsidRDefault="003B5425" w:rsidP="00A806C0">
      <w:r>
        <w:t xml:space="preserve">When administered subcutaneously, the responsibility of administration </w:t>
      </w:r>
      <w:r w:rsidRPr="00A15DE4">
        <w:rPr>
          <w:noProof/>
        </w:rPr>
        <w:t>is delegated</w:t>
      </w:r>
      <w:r>
        <w:t xml:space="preserve"> to a patient or carer (Referral Form, page 30). The patient or carer </w:t>
      </w:r>
      <w:r w:rsidRPr="00A15DE4">
        <w:rPr>
          <w:noProof/>
        </w:rPr>
        <w:t>is trained</w:t>
      </w:r>
      <w:r>
        <w:t xml:space="preserve"> how to administer the SCIg by a qualified nurse or technician </w:t>
      </w:r>
      <w:r w:rsidRPr="00A15DE4">
        <w:rPr>
          <w:noProof/>
        </w:rPr>
        <w:t>and</w:t>
      </w:r>
      <w:r>
        <w:t xml:space="preserve"> ongoing support </w:t>
      </w:r>
      <w:r w:rsidRPr="00A15DE4">
        <w:rPr>
          <w:noProof/>
        </w:rPr>
        <w:t>is provided</w:t>
      </w:r>
      <w:r>
        <w:t xml:space="preserve"> by a registered nurse (Referral Form, pages 30-31). SCIg would only be available where a patient </w:t>
      </w:r>
      <w:r w:rsidRPr="00A15DE4">
        <w:rPr>
          <w:noProof/>
        </w:rPr>
        <w:t>is treated</w:t>
      </w:r>
      <w:r>
        <w:t xml:space="preserve"> in a hospital </w:t>
      </w:r>
      <w:r w:rsidR="001A34B4">
        <w:t>participating in the National</w:t>
      </w:r>
      <w:r>
        <w:t xml:space="preserve"> SCIg </w:t>
      </w:r>
      <w:r w:rsidR="001A34B4">
        <w:t>P</w:t>
      </w:r>
      <w:r>
        <w:t xml:space="preserve">rogram and can </w:t>
      </w:r>
      <w:r w:rsidR="001A34B4">
        <w:t>meet the governing requirements for a hospital-based SCIg program.</w:t>
      </w:r>
      <w:r>
        <w:t>.</w:t>
      </w:r>
    </w:p>
    <w:p w:rsidR="003B5425" w:rsidRDefault="003B5425" w:rsidP="00A806C0">
      <w:pPr>
        <w:pStyle w:val="Heading3"/>
        <w:rPr>
          <w:i w:val="0"/>
        </w:rPr>
      </w:pPr>
      <w:r>
        <w:t>Rationale</w:t>
      </w:r>
    </w:p>
    <w:p w:rsidR="003B5425" w:rsidRDefault="003B5425" w:rsidP="00A806C0">
      <w:r w:rsidRPr="00A15DE4">
        <w:rPr>
          <w:noProof/>
        </w:rPr>
        <w:t>Currently</w:t>
      </w:r>
      <w:r>
        <w:t xml:space="preserve"> in Australia, Ig for use in CIDP is only funded by the NBA where the intravenous route of administration </w:t>
      </w:r>
      <w:r w:rsidRPr="00A15DE4">
        <w:rPr>
          <w:noProof/>
        </w:rPr>
        <w:t>is used</w:t>
      </w:r>
      <w:r>
        <w:t>.</w:t>
      </w:r>
    </w:p>
    <w:p w:rsidR="003B5425" w:rsidRDefault="003B5425" w:rsidP="00A806C0">
      <w:r>
        <w:t xml:space="preserve">The nature of administration varies considerably depending on whether an intravenous or a subcutaneous route is used (an overview of SCIg </w:t>
      </w:r>
      <w:r w:rsidRPr="00A15DE4">
        <w:rPr>
          <w:noProof/>
        </w:rPr>
        <w:t>is provided</w:t>
      </w:r>
      <w:r>
        <w:t xml:space="preserve"> below). Differences in response rates, health outcomes such as adverse events, improvement in disability and venous damage and health resource consumption (</w:t>
      </w:r>
      <w:r w:rsidRPr="00A15DE4">
        <w:rPr>
          <w:noProof/>
        </w:rPr>
        <w:t>i.e.</w:t>
      </w:r>
      <w:r>
        <w:rPr>
          <w:noProof/>
        </w:rPr>
        <w:t>,</w:t>
      </w:r>
      <w:r>
        <w:t xml:space="preserve"> costs) between IVIg and SCIg are possible (Referral Form, page 4). </w:t>
      </w:r>
    </w:p>
    <w:p w:rsidR="003B5425" w:rsidRDefault="003B5425" w:rsidP="00A806C0">
      <w:r>
        <w:t xml:space="preserve">The Reference Group advised that a head to head comparison of SCIg and IVIg is not necessary noting that the differential budget impact of SCIg and IVIg should </w:t>
      </w:r>
      <w:r w:rsidRPr="00A15DE4">
        <w:rPr>
          <w:noProof/>
        </w:rPr>
        <w:t>be considered</w:t>
      </w:r>
      <w:r>
        <w:t>.</w:t>
      </w:r>
    </w:p>
    <w:p w:rsidR="003B5425" w:rsidRPr="00E364F7" w:rsidRDefault="003B5425" w:rsidP="00EE4E9C">
      <w:pPr>
        <w:pStyle w:val="Heading1"/>
      </w:pPr>
      <w:r w:rsidRPr="00E364F7">
        <w:t>Comparator</w:t>
      </w:r>
    </w:p>
    <w:p w:rsidR="003B5425" w:rsidRDefault="003B5425" w:rsidP="00A806C0">
      <w:r>
        <w:t>In consultation with the Reference Group, the following comparative treatments for CIDP patients have been identified:</w:t>
      </w:r>
    </w:p>
    <w:p w:rsidR="003B5425" w:rsidRPr="002D48F0" w:rsidRDefault="00B615FA" w:rsidP="009764F3">
      <w:pPr>
        <w:pStyle w:val="ListParagraph"/>
        <w:numPr>
          <w:ilvl w:val="0"/>
          <w:numId w:val="3"/>
        </w:numPr>
      </w:pPr>
      <w:r w:rsidRPr="002D48F0">
        <w:t>Corticosteroids</w:t>
      </w:r>
    </w:p>
    <w:p w:rsidR="003B5425" w:rsidRPr="002D48F0" w:rsidRDefault="003B5425" w:rsidP="009764F3">
      <w:pPr>
        <w:pStyle w:val="ListParagraph"/>
        <w:numPr>
          <w:ilvl w:val="0"/>
          <w:numId w:val="3"/>
        </w:numPr>
      </w:pPr>
      <w:r w:rsidRPr="002D48F0">
        <w:t>Plasma exchange</w:t>
      </w:r>
    </w:p>
    <w:p w:rsidR="003B5425" w:rsidRPr="002D48F0" w:rsidRDefault="003B5425" w:rsidP="009764F3">
      <w:pPr>
        <w:pStyle w:val="ListParagraph"/>
        <w:numPr>
          <w:ilvl w:val="0"/>
          <w:numId w:val="3"/>
        </w:numPr>
      </w:pPr>
      <w:r w:rsidRPr="002D48F0">
        <w:t xml:space="preserve">Immunosuppressant and immunomodulatory drugs and therapies (not including </w:t>
      </w:r>
      <w:r w:rsidR="00B615FA" w:rsidRPr="002D48F0">
        <w:t>corticosteroids</w:t>
      </w:r>
      <w:r w:rsidRPr="002D48F0">
        <w:t>)</w:t>
      </w:r>
    </w:p>
    <w:p w:rsidR="003B5425" w:rsidRPr="002D48F0" w:rsidRDefault="003B5425" w:rsidP="009764F3">
      <w:pPr>
        <w:pStyle w:val="ListParagraph"/>
        <w:numPr>
          <w:ilvl w:val="0"/>
          <w:numId w:val="3"/>
        </w:numPr>
      </w:pPr>
      <w:r w:rsidRPr="002D48F0">
        <w:t xml:space="preserve">Combinations of </w:t>
      </w:r>
      <w:r w:rsidR="001A34B4">
        <w:rPr>
          <w:rFonts w:asciiTheme="minorHAnsi" w:hAnsiTheme="minorHAnsi" w:cstheme="minorHAnsi"/>
        </w:rPr>
        <w:t xml:space="preserve">two or more of </w:t>
      </w:r>
      <w:r w:rsidRPr="002D48F0">
        <w:t>the above therapies, or</w:t>
      </w:r>
    </w:p>
    <w:p w:rsidR="003B5425" w:rsidRPr="002D48F0" w:rsidRDefault="003B5425" w:rsidP="009764F3">
      <w:pPr>
        <w:pStyle w:val="ListParagraph"/>
        <w:numPr>
          <w:ilvl w:val="0"/>
          <w:numId w:val="3"/>
        </w:numPr>
      </w:pPr>
      <w:r w:rsidRPr="002D48F0">
        <w:t>No treatment.</w:t>
      </w:r>
    </w:p>
    <w:p w:rsidR="003B5425" w:rsidRDefault="003B5425" w:rsidP="00A806C0">
      <w:r w:rsidRPr="002D48F0">
        <w:rPr>
          <w:noProof/>
        </w:rPr>
        <w:t>Expert</w:t>
      </w:r>
      <w:r w:rsidRPr="002D48F0">
        <w:t xml:space="preserve"> opinion noted that immunosuppressant and immunomodulatory drugs and therapies are an add on to </w:t>
      </w:r>
      <w:r w:rsidR="00B615FA" w:rsidRPr="002D48F0">
        <w:t>corticosteroids</w:t>
      </w:r>
      <w:r>
        <w:t xml:space="preserve"> rather than an independent comparator.</w:t>
      </w:r>
      <w:r w:rsidRPr="008D52B0">
        <w:rPr>
          <w:noProof/>
          <w:vertAlign w:val="superscript"/>
        </w:rPr>
        <w:t>1, 11</w:t>
      </w:r>
      <w:r>
        <w:t xml:space="preserve"> The Reference Group noted that it was important to consider any evidence comparing Ig directly against non-steroid immunosuppressants. They also acknowledged the value in searching for evidence comparing Ig to combination therapies. </w:t>
      </w:r>
    </w:p>
    <w:p w:rsidR="003B5425" w:rsidRDefault="003B5425" w:rsidP="00A806C0">
      <w:r>
        <w:lastRenderedPageBreak/>
        <w:t xml:space="preserve">The comparators may be used either independently of, or in combination with, the intervention, immunoglobulin. The approach taken varies between practitioners with some rarely using Ig in combination with any of the comparators </w:t>
      </w:r>
      <w:r w:rsidRPr="009B63BF">
        <w:rPr>
          <w:noProof/>
        </w:rPr>
        <w:t>whil</w:t>
      </w:r>
      <w:r>
        <w:rPr>
          <w:noProof/>
        </w:rPr>
        <w:t>e</w:t>
      </w:r>
      <w:r>
        <w:t xml:space="preserve"> others consider Ig and </w:t>
      </w:r>
      <w:r w:rsidR="00B615FA">
        <w:t>corticosteroids</w:t>
      </w:r>
      <w:r>
        <w:t xml:space="preserve"> in combination as relatively common.</w:t>
      </w:r>
      <w:r w:rsidRPr="00A170CA">
        <w:t xml:space="preserve"> </w:t>
      </w:r>
      <w:r w:rsidRPr="008D52B0">
        <w:rPr>
          <w:noProof/>
          <w:vertAlign w:val="superscript"/>
        </w:rPr>
        <w:t>1, 11</w:t>
      </w:r>
      <w:r>
        <w:t xml:space="preserve"> The Reference Group noted that the combined use of Ig and </w:t>
      </w:r>
      <w:r w:rsidR="00B615FA">
        <w:t>corticosteroids</w:t>
      </w:r>
      <w:r>
        <w:t xml:space="preserve"> was relevant.</w:t>
      </w:r>
    </w:p>
    <w:p w:rsidR="003B5425" w:rsidRPr="002D48F0" w:rsidRDefault="00B615FA" w:rsidP="00A806C0">
      <w:pPr>
        <w:pStyle w:val="Heading3"/>
      </w:pPr>
      <w:r w:rsidRPr="002D48F0">
        <w:t>Corticosteroids</w:t>
      </w:r>
    </w:p>
    <w:p w:rsidR="003B5425" w:rsidRDefault="00B615FA" w:rsidP="00A806C0">
      <w:r w:rsidRPr="002D48F0">
        <w:t>Corticosteroids</w:t>
      </w:r>
      <w:r w:rsidR="003B5425">
        <w:t xml:space="preserve"> are </w:t>
      </w:r>
      <w:r w:rsidR="003B5425" w:rsidRPr="009B63BF">
        <w:rPr>
          <w:noProof/>
        </w:rPr>
        <w:t>a first-line</w:t>
      </w:r>
      <w:r w:rsidR="003B5425">
        <w:t xml:space="preserve"> treatment for CIDP,</w:t>
      </w:r>
      <w:r w:rsidR="003B5425" w:rsidRPr="008D52B0">
        <w:rPr>
          <w:noProof/>
          <w:vertAlign w:val="superscript"/>
        </w:rPr>
        <w:t>34</w:t>
      </w:r>
      <w:r w:rsidR="003B5425">
        <w:t xml:space="preserve"> it is estimated that 50 </w:t>
      </w:r>
      <w:r w:rsidR="003B5425" w:rsidRPr="009B63BF">
        <w:rPr>
          <w:noProof/>
        </w:rPr>
        <w:t>per cent</w:t>
      </w:r>
      <w:r w:rsidR="003B5425">
        <w:t xml:space="preserve"> of Australian patients not receiving Ig therapy will receive </w:t>
      </w:r>
      <w:r w:rsidRPr="002D48F0">
        <w:t>corticosteroi</w:t>
      </w:r>
      <w:r>
        <w:t>ds</w:t>
      </w:r>
      <w:r w:rsidR="003B5425">
        <w:t xml:space="preserve"> </w:t>
      </w:r>
      <w:r w:rsidR="002D48F0">
        <w:t>(Referral Form page 34</w:t>
      </w:r>
      <w:r w:rsidR="003B5425">
        <w:t xml:space="preserve">). The class of steroid used for </w:t>
      </w:r>
      <w:r w:rsidR="003B5425" w:rsidRPr="009B63BF">
        <w:rPr>
          <w:noProof/>
        </w:rPr>
        <w:t>treatment</w:t>
      </w:r>
      <w:r w:rsidR="003B5425">
        <w:t xml:space="preserve"> of CIDP is</w:t>
      </w:r>
      <w:r w:rsidR="003B5425" w:rsidDel="00954212">
        <w:t xml:space="preserve"> </w:t>
      </w:r>
      <w:r w:rsidR="003B5425">
        <w:t>the glucocorticoids which are known to inhibit immune responses and have an anti-inflammatory effect.</w:t>
      </w:r>
      <w:r w:rsidR="003B5425" w:rsidRPr="008D52B0">
        <w:rPr>
          <w:noProof/>
          <w:vertAlign w:val="superscript"/>
        </w:rPr>
        <w:t>35</w:t>
      </w:r>
      <w:r w:rsidR="003B5425">
        <w:t xml:space="preserve"> Four glucocorticoids; prednisone, prednisolone, dexamethasone </w:t>
      </w:r>
      <w:r w:rsidR="003B5425" w:rsidRPr="009B63BF">
        <w:rPr>
          <w:noProof/>
        </w:rPr>
        <w:t>and</w:t>
      </w:r>
      <w:r w:rsidR="003B5425">
        <w:t xml:space="preserve"> methylprednisolone have </w:t>
      </w:r>
      <w:r w:rsidR="003B5425" w:rsidRPr="009B63BF">
        <w:rPr>
          <w:noProof/>
        </w:rPr>
        <w:t>been listed</w:t>
      </w:r>
      <w:r w:rsidR="003B5425">
        <w:t xml:space="preserve"> as relevant to this Referral (page 3</w:t>
      </w:r>
      <w:r w:rsidR="002D48F0">
        <w:t>4</w:t>
      </w:r>
      <w:r w:rsidR="003B5425">
        <w:t xml:space="preserve">) all of which </w:t>
      </w:r>
      <w:r w:rsidR="003B5425" w:rsidRPr="009B63BF">
        <w:rPr>
          <w:noProof/>
        </w:rPr>
        <w:t>are listed</w:t>
      </w:r>
      <w:r w:rsidR="003B5425">
        <w:t xml:space="preserve"> on the Pharmaceutical Benefits Scheme (PBS) (</w:t>
      </w:r>
      <w:r w:rsidR="003B5425">
        <w:fldChar w:fldCharType="begin"/>
      </w:r>
      <w:r w:rsidR="003B5425">
        <w:instrText xml:space="preserve"> REF _Ref535414869 \h </w:instrText>
      </w:r>
      <w:r w:rsidR="003B5425">
        <w:fldChar w:fldCharType="separate"/>
      </w:r>
      <w:r w:rsidR="002865BA" w:rsidRPr="004F31B6">
        <w:rPr>
          <w:rFonts w:asciiTheme="minorHAnsi" w:hAnsiTheme="minorHAnsi" w:cstheme="minorHAnsi"/>
        </w:rPr>
        <w:t xml:space="preserve">Table </w:t>
      </w:r>
      <w:r w:rsidR="002865BA">
        <w:rPr>
          <w:rFonts w:asciiTheme="minorHAnsi" w:hAnsiTheme="minorHAnsi" w:cstheme="minorHAnsi"/>
          <w:noProof/>
        </w:rPr>
        <w:t>11</w:t>
      </w:r>
      <w:r w:rsidR="003B5425">
        <w:fldChar w:fldCharType="end"/>
      </w:r>
      <w:r w:rsidR="003B5425">
        <w:t>, reproduced from Referral Form pages 3</w:t>
      </w:r>
      <w:r w:rsidR="00E44A2E">
        <w:t>5-37</w:t>
      </w:r>
      <w:r w:rsidR="003B5425">
        <w:t>).</w:t>
      </w:r>
      <w:r w:rsidR="003B5425" w:rsidRPr="00D76744">
        <w:t xml:space="preserve"> </w:t>
      </w:r>
    </w:p>
    <w:p w:rsidR="003B5425" w:rsidRPr="004F31B6" w:rsidRDefault="003B5425" w:rsidP="00A806C0">
      <w:pPr>
        <w:pStyle w:val="Caption"/>
        <w:rPr>
          <w:rFonts w:asciiTheme="minorHAnsi" w:hAnsiTheme="minorHAnsi" w:cstheme="minorHAnsi"/>
        </w:rPr>
      </w:pPr>
      <w:bookmarkStart w:id="16" w:name="_Ref535414869"/>
      <w:r w:rsidRPr="004F31B6">
        <w:rPr>
          <w:rFonts w:asciiTheme="minorHAnsi" w:hAnsiTheme="minorHAnsi" w:cstheme="minorHAnsi"/>
        </w:rPr>
        <w:t xml:space="preserve">Table </w:t>
      </w:r>
      <w:r w:rsidRPr="004F31B6">
        <w:rPr>
          <w:rFonts w:asciiTheme="minorHAnsi" w:hAnsiTheme="minorHAnsi" w:cstheme="minorHAnsi"/>
        </w:rPr>
        <w:fldChar w:fldCharType="begin"/>
      </w:r>
      <w:r w:rsidRPr="004F31B6">
        <w:rPr>
          <w:rFonts w:asciiTheme="minorHAnsi" w:hAnsiTheme="minorHAnsi" w:cstheme="minorHAnsi"/>
        </w:rPr>
        <w:instrText xml:space="preserve"> SEQ Table \* ARABIC </w:instrText>
      </w:r>
      <w:r w:rsidRPr="004F31B6">
        <w:rPr>
          <w:rFonts w:asciiTheme="minorHAnsi" w:hAnsiTheme="minorHAnsi" w:cstheme="minorHAnsi"/>
        </w:rPr>
        <w:fldChar w:fldCharType="separate"/>
      </w:r>
      <w:r w:rsidR="002865BA">
        <w:rPr>
          <w:rFonts w:asciiTheme="minorHAnsi" w:hAnsiTheme="minorHAnsi" w:cstheme="minorHAnsi"/>
          <w:noProof/>
        </w:rPr>
        <w:t>11</w:t>
      </w:r>
      <w:r w:rsidRPr="004F31B6">
        <w:rPr>
          <w:rFonts w:asciiTheme="minorHAnsi" w:hAnsiTheme="minorHAnsi" w:cstheme="minorHAnsi"/>
        </w:rPr>
        <w:fldChar w:fldCharType="end"/>
      </w:r>
      <w:bookmarkEnd w:id="16"/>
      <w:r w:rsidRPr="004F31B6">
        <w:rPr>
          <w:rFonts w:asciiTheme="minorHAnsi" w:hAnsiTheme="minorHAnsi" w:cstheme="minorHAnsi"/>
        </w:rPr>
        <w:tab/>
      </w:r>
      <w:r w:rsidR="00384907">
        <w:rPr>
          <w:rFonts w:asciiTheme="minorHAnsi" w:hAnsiTheme="minorHAnsi" w:cstheme="minorHAnsi"/>
        </w:rPr>
        <w:t xml:space="preserve"> </w:t>
      </w:r>
      <w:r w:rsidR="00B615FA" w:rsidRPr="004F31B6">
        <w:rPr>
          <w:rFonts w:asciiTheme="minorHAnsi" w:hAnsiTheme="minorHAnsi" w:cstheme="minorHAnsi"/>
        </w:rPr>
        <w:t>Corticosteroids</w:t>
      </w:r>
      <w:r w:rsidRPr="004F31B6">
        <w:rPr>
          <w:rFonts w:asciiTheme="minorHAnsi" w:hAnsiTheme="minorHAnsi" w:cstheme="minorHAnsi"/>
        </w:rPr>
        <w:t xml:space="preserve"> listed on the PBS and </w:t>
      </w:r>
      <w:r w:rsidRPr="004F31B6">
        <w:rPr>
          <w:rFonts w:asciiTheme="minorHAnsi" w:hAnsiTheme="minorHAnsi" w:cstheme="minorHAnsi"/>
          <w:noProof/>
        </w:rPr>
        <w:t>subsidised</w:t>
      </w:r>
      <w:r w:rsidRPr="004F31B6">
        <w:rPr>
          <w:rFonts w:asciiTheme="minorHAnsi" w:hAnsiTheme="minorHAnsi" w:cstheme="minorHAnsi"/>
        </w:rPr>
        <w:t xml:space="preserve"> for CIDP</w:t>
      </w:r>
    </w:p>
    <w:tbl>
      <w:tblPr>
        <w:tblStyle w:val="PlainTable21"/>
        <w:tblW w:w="9026" w:type="dxa"/>
        <w:tblInd w:w="-5" w:type="dxa"/>
        <w:tblLook w:val="0000" w:firstRow="0" w:lastRow="0" w:firstColumn="0" w:lastColumn="0" w:noHBand="0" w:noVBand="0"/>
        <w:tblCaption w:val="Table 11 Corticosteroids listed on the PBS and subsidised for CIDP"/>
      </w:tblPr>
      <w:tblGrid>
        <w:gridCol w:w="2535"/>
        <w:gridCol w:w="1547"/>
        <w:gridCol w:w="1236"/>
        <w:gridCol w:w="3708"/>
      </w:tblGrid>
      <w:tr w:rsidR="003B5425" w:rsidRPr="004F31B6" w:rsidTr="00A806C0">
        <w:trPr>
          <w:tblHeader/>
        </w:trPr>
        <w:tc>
          <w:tcPr>
            <w:cnfStyle w:val="000010000000" w:firstRow="0" w:lastRow="0" w:firstColumn="0" w:lastColumn="0" w:oddVBand="1" w:evenVBand="0" w:oddHBand="0" w:evenHBand="0" w:firstRowFirstColumn="0" w:firstRowLastColumn="0" w:lastRowFirstColumn="0" w:lastRowLastColumn="0"/>
            <w:tcW w:w="2552"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Generic name</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PBS subsidised for CIDP</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PBS restriction</w:t>
            </w:r>
          </w:p>
        </w:tc>
        <w:tc>
          <w:tcPr>
            <w:cnfStyle w:val="000001000000" w:firstRow="0" w:lastRow="0" w:firstColumn="0" w:lastColumn="0" w:oddVBand="0" w:evenVBand="1" w:oddHBand="0" w:evenHBand="0" w:firstRowFirstColumn="0" w:firstRowLastColumn="0" w:lastRowFirstColumn="0" w:lastRowLastColumn="0"/>
            <w:tcW w:w="3781" w:type="dxa"/>
            <w:shd w:val="clear" w:color="auto" w:fill="D9D9D9" w:themeFill="background1" w:themeFillShade="D9"/>
          </w:tcPr>
          <w:p w:rsidR="003B5425" w:rsidRPr="004F31B6" w:rsidRDefault="003B5425" w:rsidP="00A806C0">
            <w:pPr>
              <w:pStyle w:val="Tableheading0"/>
              <w:spacing w:before="60" w:after="60"/>
              <w:rPr>
                <w:rFonts w:asciiTheme="minorHAnsi" w:hAnsiTheme="minorHAnsi" w:cstheme="minorHAnsi"/>
              </w:rPr>
            </w:pPr>
            <w:r w:rsidRPr="004F31B6">
              <w:rPr>
                <w:rFonts w:asciiTheme="minorHAnsi" w:hAnsiTheme="minorHAnsi" w:cstheme="minorHAnsi"/>
              </w:rPr>
              <w:t>PBS item numbers</w:t>
            </w:r>
          </w:p>
        </w:tc>
      </w:tr>
      <w:tr w:rsidR="003B5425" w:rsidRPr="004F31B6"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 xml:space="preserve">Prednisone </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(brand names: Panafcort, Sone)</w:t>
            </w:r>
          </w:p>
        </w:tc>
        <w:tc>
          <w:tcPr>
            <w:cnfStyle w:val="000001000000" w:firstRow="0" w:lastRow="0" w:firstColumn="0" w:lastColumn="0" w:oddVBand="0" w:evenVBand="1" w:oddHBand="0" w:evenHBand="0" w:firstRowFirstColumn="0" w:firstRowLastColumn="0" w:lastRowFirstColumn="0" w:lastRowLastColumn="0"/>
            <w:tcW w:w="1559"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Yes</w:t>
            </w:r>
          </w:p>
        </w:tc>
        <w:tc>
          <w:tcPr>
            <w:cnfStyle w:val="000010000000" w:firstRow="0" w:lastRow="0" w:firstColumn="0" w:lastColumn="0" w:oddVBand="1" w:evenVBand="0" w:oddHBand="0" w:evenHBand="0" w:firstRowFirstColumn="0" w:firstRowLastColumn="0" w:lastRowFirstColumn="0" w:lastRowLastColumn="0"/>
            <w:tcW w:w="1134"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Unrestricted</w:t>
            </w:r>
          </w:p>
        </w:tc>
        <w:tc>
          <w:tcPr>
            <w:cnfStyle w:val="000001000000" w:firstRow="0" w:lastRow="0" w:firstColumn="0" w:lastColumn="0" w:oddVBand="0" w:evenVBand="1" w:oddHBand="0" w:evenHBand="0" w:firstRowFirstColumn="0" w:firstRowLastColumn="0" w:lastRowFirstColumn="0" w:lastRowLastColumn="0"/>
            <w:tcW w:w="3781"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1936X (25 mg tablet, 30)</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1935W (5 mg tablet, 60)</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1934T (1 mg tablet, 100)</w:t>
            </w:r>
          </w:p>
        </w:tc>
      </w:tr>
      <w:tr w:rsidR="003B5425" w:rsidRPr="004F31B6" w:rsidTr="00A806C0">
        <w:tc>
          <w:tcPr>
            <w:cnfStyle w:val="000010000000" w:firstRow="0" w:lastRow="0" w:firstColumn="0" w:lastColumn="0" w:oddVBand="1" w:evenVBand="0" w:oddHBand="0" w:evenHBand="0" w:firstRowFirstColumn="0" w:firstRowLastColumn="0" w:lastRowFirstColumn="0" w:lastRowLastColumn="0"/>
            <w:tcW w:w="2552" w:type="dxa"/>
          </w:tcPr>
          <w:p w:rsidR="003B5425" w:rsidRPr="004F31B6" w:rsidRDefault="003B5425" w:rsidP="00A806C0">
            <w:pPr>
              <w:spacing w:before="60" w:after="60"/>
              <w:rPr>
                <w:rFonts w:asciiTheme="minorHAnsi" w:hAnsiTheme="minorHAnsi" w:cstheme="minorHAnsi"/>
                <w:sz w:val="20"/>
                <w:szCs w:val="20"/>
              </w:rPr>
            </w:pPr>
            <w:r w:rsidRPr="004F31B6">
              <w:rPr>
                <w:rFonts w:asciiTheme="minorHAnsi" w:hAnsiTheme="minorHAnsi" w:cstheme="minorHAnsi"/>
                <w:sz w:val="20"/>
                <w:szCs w:val="20"/>
              </w:rPr>
              <w:t>Prednisolone (brand names: Panafcortelone, Solone)</w:t>
            </w:r>
          </w:p>
        </w:tc>
        <w:tc>
          <w:tcPr>
            <w:cnfStyle w:val="000001000000" w:firstRow="0" w:lastRow="0" w:firstColumn="0" w:lastColumn="0" w:oddVBand="0" w:evenVBand="1" w:oddHBand="0" w:evenHBand="0" w:firstRowFirstColumn="0" w:firstRowLastColumn="0" w:lastRowFirstColumn="0" w:lastRowLastColumn="0"/>
            <w:tcW w:w="1559"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Yes</w:t>
            </w:r>
          </w:p>
        </w:tc>
        <w:tc>
          <w:tcPr>
            <w:cnfStyle w:val="000010000000" w:firstRow="0" w:lastRow="0" w:firstColumn="0" w:lastColumn="0" w:oddVBand="1" w:evenVBand="0" w:oddHBand="0" w:evenHBand="0" w:firstRowFirstColumn="0" w:firstRowLastColumn="0" w:lastRowFirstColumn="0" w:lastRowLastColumn="0"/>
            <w:tcW w:w="1134"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Unrestricted</w:t>
            </w:r>
          </w:p>
        </w:tc>
        <w:tc>
          <w:tcPr>
            <w:cnfStyle w:val="000001000000" w:firstRow="0" w:lastRow="0" w:firstColumn="0" w:lastColumn="0" w:oddVBand="0" w:evenVBand="1" w:oddHBand="0" w:evenHBand="0" w:firstRowFirstColumn="0" w:firstRowLastColumn="0" w:lastRowFirstColumn="0" w:lastRowLastColumn="0"/>
            <w:tcW w:w="3781"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1916W (25 mg tablet, 30)</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1917X (5 mg tablet, 60)</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3152X (1 mg tablet, 100)</w:t>
            </w:r>
          </w:p>
        </w:tc>
      </w:tr>
      <w:tr w:rsidR="003B5425" w:rsidRPr="004F31B6"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rsidR="003B5425" w:rsidRPr="004F31B6" w:rsidRDefault="003B5425" w:rsidP="00A806C0">
            <w:pPr>
              <w:spacing w:before="60" w:after="60"/>
              <w:rPr>
                <w:rFonts w:asciiTheme="minorHAnsi" w:hAnsiTheme="minorHAnsi" w:cstheme="minorHAnsi"/>
                <w:sz w:val="20"/>
                <w:szCs w:val="20"/>
              </w:rPr>
            </w:pPr>
            <w:r w:rsidRPr="004F31B6">
              <w:rPr>
                <w:rFonts w:asciiTheme="minorHAnsi" w:hAnsiTheme="minorHAnsi" w:cstheme="minorHAnsi"/>
                <w:sz w:val="20"/>
                <w:szCs w:val="20"/>
              </w:rPr>
              <w:t xml:space="preserve">Dexamethasone </w:t>
            </w:r>
          </w:p>
          <w:p w:rsidR="003B5425" w:rsidRPr="004F31B6" w:rsidRDefault="003B5425" w:rsidP="00A806C0">
            <w:pPr>
              <w:spacing w:before="60" w:after="60"/>
              <w:rPr>
                <w:rFonts w:asciiTheme="minorHAnsi" w:hAnsiTheme="minorHAnsi" w:cstheme="minorHAnsi"/>
                <w:sz w:val="20"/>
                <w:szCs w:val="20"/>
              </w:rPr>
            </w:pPr>
            <w:r w:rsidRPr="004F31B6">
              <w:rPr>
                <w:rFonts w:asciiTheme="minorHAnsi" w:hAnsiTheme="minorHAnsi" w:cstheme="minorHAnsi"/>
                <w:sz w:val="20"/>
                <w:szCs w:val="20"/>
              </w:rPr>
              <w:t>(brand names: Dexamethasone Mylan, Dexamethsone)</w:t>
            </w:r>
          </w:p>
        </w:tc>
        <w:tc>
          <w:tcPr>
            <w:cnfStyle w:val="000001000000" w:firstRow="0" w:lastRow="0" w:firstColumn="0" w:lastColumn="0" w:oddVBand="0" w:evenVBand="1" w:oddHBand="0" w:evenHBand="0" w:firstRowFirstColumn="0" w:firstRowLastColumn="0" w:lastRowFirstColumn="0" w:lastRowLastColumn="0"/>
            <w:tcW w:w="1559"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Yes</w:t>
            </w:r>
          </w:p>
        </w:tc>
        <w:tc>
          <w:tcPr>
            <w:cnfStyle w:val="000010000000" w:firstRow="0" w:lastRow="0" w:firstColumn="0" w:lastColumn="0" w:oddVBand="1" w:evenVBand="0" w:oddHBand="0" w:evenHBand="0" w:firstRowFirstColumn="0" w:firstRowLastColumn="0" w:lastRowFirstColumn="0" w:lastRowLastColumn="0"/>
            <w:tcW w:w="1134"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Unrestricted</w:t>
            </w:r>
          </w:p>
        </w:tc>
        <w:tc>
          <w:tcPr>
            <w:cnfStyle w:val="000001000000" w:firstRow="0" w:lastRow="0" w:firstColumn="0" w:lastColumn="0" w:oddVBand="0" w:evenVBand="1" w:oddHBand="0" w:evenHBand="0" w:firstRowFirstColumn="0" w:firstRowLastColumn="0" w:lastRowFirstColumn="0" w:lastRowLastColumn="0"/>
            <w:tcW w:w="3781"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2507Y (4 mg tablet, 30)</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1292B (0.5 mg tablet, 50)</w:t>
            </w:r>
          </w:p>
        </w:tc>
      </w:tr>
      <w:tr w:rsidR="003B5425" w:rsidRPr="004F31B6" w:rsidTr="00A806C0">
        <w:tc>
          <w:tcPr>
            <w:cnfStyle w:val="000010000000" w:firstRow="0" w:lastRow="0" w:firstColumn="0" w:lastColumn="0" w:oddVBand="1" w:evenVBand="0" w:oddHBand="0" w:evenHBand="0" w:firstRowFirstColumn="0" w:firstRowLastColumn="0" w:lastRowFirstColumn="0" w:lastRowLastColumn="0"/>
            <w:tcW w:w="2552" w:type="dxa"/>
          </w:tcPr>
          <w:p w:rsidR="003B5425" w:rsidRPr="004F31B6" w:rsidRDefault="003B5425" w:rsidP="00A806C0">
            <w:pPr>
              <w:spacing w:before="60" w:after="60"/>
              <w:rPr>
                <w:rFonts w:asciiTheme="minorHAnsi" w:hAnsiTheme="minorHAnsi" w:cstheme="minorHAnsi"/>
                <w:sz w:val="20"/>
                <w:szCs w:val="20"/>
              </w:rPr>
            </w:pPr>
            <w:r w:rsidRPr="004F31B6">
              <w:rPr>
                <w:rFonts w:asciiTheme="minorHAnsi" w:hAnsiTheme="minorHAnsi" w:cstheme="minorHAnsi"/>
                <w:sz w:val="20"/>
                <w:szCs w:val="20"/>
              </w:rPr>
              <w:t>Methylprednisolone</w:t>
            </w:r>
          </w:p>
          <w:p w:rsidR="003B5425" w:rsidRPr="004F31B6" w:rsidRDefault="003B5425" w:rsidP="00A806C0">
            <w:pPr>
              <w:spacing w:before="60" w:after="60"/>
              <w:rPr>
                <w:rFonts w:asciiTheme="minorHAnsi" w:hAnsiTheme="minorHAnsi" w:cstheme="minorHAnsi"/>
                <w:sz w:val="20"/>
                <w:szCs w:val="20"/>
              </w:rPr>
            </w:pPr>
            <w:r w:rsidRPr="004F31B6">
              <w:rPr>
                <w:rFonts w:asciiTheme="minorHAnsi" w:hAnsiTheme="minorHAnsi" w:cstheme="minorHAnsi"/>
                <w:sz w:val="20"/>
                <w:szCs w:val="20"/>
              </w:rPr>
              <w:t>(brand names: SoluMedrol, Methylpred, Methylprednisolone, Alphapharm)</w:t>
            </w:r>
          </w:p>
        </w:tc>
        <w:tc>
          <w:tcPr>
            <w:cnfStyle w:val="000001000000" w:firstRow="0" w:lastRow="0" w:firstColumn="0" w:lastColumn="0" w:oddVBand="0" w:evenVBand="1" w:oddHBand="0" w:evenHBand="0" w:firstRowFirstColumn="0" w:firstRowLastColumn="0" w:lastRowFirstColumn="0" w:lastRowLastColumn="0"/>
            <w:tcW w:w="1559"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Yes</w:t>
            </w:r>
          </w:p>
        </w:tc>
        <w:tc>
          <w:tcPr>
            <w:cnfStyle w:val="000010000000" w:firstRow="0" w:lastRow="0" w:firstColumn="0" w:lastColumn="0" w:oddVBand="1" w:evenVBand="0" w:oddHBand="0" w:evenHBand="0" w:firstRowFirstColumn="0" w:firstRowLastColumn="0" w:lastRowFirstColumn="0" w:lastRowLastColumn="0"/>
            <w:tcW w:w="1134"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Unrestricted</w:t>
            </w:r>
          </w:p>
        </w:tc>
        <w:tc>
          <w:tcPr>
            <w:cnfStyle w:val="000001000000" w:firstRow="0" w:lastRow="0" w:firstColumn="0" w:lastColumn="0" w:oddVBand="0" w:evenVBand="1" w:oddHBand="0" w:evenHBand="0" w:firstRowFirstColumn="0" w:firstRowLastColumn="0" w:lastRowFirstColumn="0" w:lastRowLastColumn="0"/>
            <w:tcW w:w="3781" w:type="dxa"/>
          </w:tcPr>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1928L (40 mg/mL injection, 5 x 1 mL vials)</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2981X (40 mg injection</w:t>
            </w:r>
            <w:r w:rsidR="00AF5D93">
              <w:rPr>
                <w:rFonts w:asciiTheme="minorHAnsi" w:hAnsiTheme="minorHAnsi" w:cstheme="minorHAnsi"/>
                <w:sz w:val="20"/>
                <w:szCs w:val="20"/>
              </w:rPr>
              <w:t xml:space="preserve">, </w:t>
            </w:r>
            <w:r w:rsidRPr="004F31B6">
              <w:rPr>
                <w:rFonts w:asciiTheme="minorHAnsi" w:hAnsiTheme="minorHAnsi" w:cstheme="minorHAnsi"/>
                <w:sz w:val="20"/>
                <w:szCs w:val="20"/>
              </w:rPr>
              <w:t>5 vials and inert diluent)</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5148Y (40 mg/mL injection, 5 x I mL vials)</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5263B (40 mg powder for injection, 5)</w:t>
            </w:r>
          </w:p>
          <w:p w:rsidR="003B5425" w:rsidRPr="004F31B6" w:rsidRDefault="003B5425" w:rsidP="00A806C0">
            <w:pPr>
              <w:spacing w:before="60" w:after="60"/>
              <w:rPr>
                <w:rFonts w:asciiTheme="minorHAnsi" w:hAnsiTheme="minorHAnsi" w:cstheme="minorHAnsi"/>
              </w:rPr>
            </w:pPr>
            <w:r w:rsidRPr="004F31B6">
              <w:rPr>
                <w:rFonts w:asciiTheme="minorHAnsi" w:hAnsiTheme="minorHAnsi" w:cstheme="minorHAnsi"/>
                <w:sz w:val="20"/>
                <w:szCs w:val="20"/>
              </w:rPr>
              <w:t>5264C (1000 mg powder for injection)</w:t>
            </w:r>
          </w:p>
        </w:tc>
      </w:tr>
    </w:tbl>
    <w:p w:rsidR="003B5425" w:rsidRPr="004F31B6" w:rsidRDefault="003B5425" w:rsidP="00A806C0">
      <w:pPr>
        <w:pStyle w:val="Tablenotes"/>
        <w:spacing w:before="60" w:after="60"/>
        <w:contextualSpacing w:val="0"/>
        <w:rPr>
          <w:rFonts w:asciiTheme="minorHAnsi" w:hAnsiTheme="minorHAnsi" w:cstheme="minorHAnsi"/>
        </w:rPr>
      </w:pPr>
      <w:r w:rsidRPr="004F31B6">
        <w:rPr>
          <w:rFonts w:asciiTheme="minorHAnsi" w:hAnsiTheme="minorHAnsi" w:cstheme="minorHAnsi"/>
          <w:b/>
        </w:rPr>
        <w:t>Source</w:t>
      </w:r>
      <w:r w:rsidRPr="004F31B6">
        <w:rPr>
          <w:rFonts w:asciiTheme="minorHAnsi" w:hAnsiTheme="minorHAnsi" w:cstheme="minorHAnsi"/>
        </w:rPr>
        <w:t xml:space="preserve">: Reproduced from Referral Form pages 38 and 39. </w:t>
      </w:r>
      <w:r w:rsidRPr="004F31B6">
        <w:rPr>
          <w:rFonts w:asciiTheme="minorHAnsi" w:hAnsiTheme="minorHAnsi" w:cstheme="minorHAnsi"/>
          <w:noProof/>
        </w:rPr>
        <w:t>Original source</w:t>
      </w:r>
      <w:r w:rsidRPr="004F31B6">
        <w:rPr>
          <w:rFonts w:asciiTheme="minorHAnsi" w:hAnsiTheme="minorHAnsi" w:cstheme="minorHAnsi"/>
        </w:rPr>
        <w:t>: PBS website.</w:t>
      </w:r>
      <w:r w:rsidRPr="004F31B6">
        <w:rPr>
          <w:rFonts w:asciiTheme="minorHAnsi" w:hAnsiTheme="minorHAnsi" w:cstheme="minorHAnsi"/>
          <w:noProof/>
          <w:vertAlign w:val="superscript"/>
        </w:rPr>
        <w:t>36</w:t>
      </w:r>
    </w:p>
    <w:p w:rsidR="003B5425" w:rsidRPr="004F31B6" w:rsidRDefault="003B5425" w:rsidP="00A806C0">
      <w:pPr>
        <w:pStyle w:val="Tablenotes"/>
        <w:spacing w:before="60" w:after="240"/>
        <w:contextualSpacing w:val="0"/>
        <w:rPr>
          <w:rFonts w:asciiTheme="minorHAnsi" w:hAnsiTheme="minorHAnsi" w:cstheme="minorHAnsi"/>
        </w:rPr>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CIDP</w:t>
      </w:r>
      <w:r w:rsidRPr="004F31B6">
        <w:rPr>
          <w:rFonts w:asciiTheme="minorHAnsi" w:hAnsiTheme="minorHAnsi" w:cstheme="minorHAnsi"/>
        </w:rPr>
        <w:t xml:space="preserve"> = Chronic inflammatory demyelinating polyneuropathy; </w:t>
      </w:r>
      <w:r w:rsidRPr="004F31B6">
        <w:rPr>
          <w:rFonts w:asciiTheme="minorHAnsi" w:hAnsiTheme="minorHAnsi" w:cstheme="minorHAnsi"/>
          <w:b/>
        </w:rPr>
        <w:t>PBS</w:t>
      </w:r>
      <w:r w:rsidRPr="004F31B6">
        <w:rPr>
          <w:rFonts w:asciiTheme="minorHAnsi" w:hAnsiTheme="minorHAnsi" w:cstheme="minorHAnsi"/>
        </w:rPr>
        <w:t xml:space="preserve"> = Pharmaceutical Benefits Scheme.</w:t>
      </w:r>
    </w:p>
    <w:p w:rsidR="003B5425" w:rsidRPr="002D48F0" w:rsidRDefault="00B615FA" w:rsidP="00A806C0">
      <w:r w:rsidRPr="002D48F0">
        <w:t>Corticosteroids</w:t>
      </w:r>
      <w:r w:rsidR="003B5425" w:rsidRPr="002D48F0">
        <w:t xml:space="preserve"> have been used to treat CIDP for more than 40 years;</w:t>
      </w:r>
      <w:r w:rsidR="003B5425" w:rsidRPr="002D48F0">
        <w:rPr>
          <w:noProof/>
          <w:vertAlign w:val="superscript"/>
        </w:rPr>
        <w:t>37</w:t>
      </w:r>
      <w:r w:rsidR="003B5425" w:rsidRPr="002D48F0">
        <w:t xml:space="preserve"> however, their use is not supported by large scale clinical trials </w:t>
      </w:r>
      <w:r w:rsidR="003B5425" w:rsidRPr="002D48F0">
        <w:rPr>
          <w:noProof/>
        </w:rPr>
        <w:t>and</w:t>
      </w:r>
      <w:r w:rsidR="003B5425" w:rsidRPr="002D48F0">
        <w:t xml:space="preserve"> there is a lack of consensus in the optimum dosing regimen.</w:t>
      </w:r>
      <w:r w:rsidR="003B5425" w:rsidRPr="002D48F0">
        <w:rPr>
          <w:noProof/>
          <w:vertAlign w:val="superscript"/>
        </w:rPr>
        <w:t>8, 37</w:t>
      </w:r>
      <w:r w:rsidR="003B5425" w:rsidRPr="002D48F0">
        <w:t xml:space="preserve"> No information on dosing </w:t>
      </w:r>
      <w:r w:rsidR="003B5425" w:rsidRPr="002D48F0">
        <w:rPr>
          <w:noProof/>
        </w:rPr>
        <w:t>was reported</w:t>
      </w:r>
      <w:r w:rsidR="003B5425" w:rsidRPr="002D48F0">
        <w:t xml:space="preserve"> in the Referral Form </w:t>
      </w:r>
      <w:r w:rsidR="003B5425" w:rsidRPr="002D48F0">
        <w:rPr>
          <w:noProof/>
        </w:rPr>
        <w:t>and</w:t>
      </w:r>
      <w:r w:rsidR="003B5425" w:rsidRPr="002D48F0">
        <w:t xml:space="preserve"> expert advice is that no standard dosing regimen exists.</w:t>
      </w:r>
      <w:r w:rsidR="003B5425" w:rsidRPr="002D48F0">
        <w:rPr>
          <w:noProof/>
          <w:vertAlign w:val="superscript"/>
        </w:rPr>
        <w:t>11</w:t>
      </w:r>
      <w:r w:rsidR="003B5425" w:rsidRPr="002D48F0">
        <w:t xml:space="preserve"> An example of a steroid prescription of CIDP in Australia would likely involve initial high doses ( e.g., prednisone at 40 mg per day for two months) with a gradual reduction in dose until the minimum effective dose </w:t>
      </w:r>
      <w:r w:rsidR="003B5425" w:rsidRPr="002D48F0">
        <w:rPr>
          <w:noProof/>
        </w:rPr>
        <w:t>is reached</w:t>
      </w:r>
      <w:r w:rsidR="003B5425" w:rsidRPr="002D48F0">
        <w:t>.</w:t>
      </w:r>
      <w:r w:rsidR="003B5425" w:rsidRPr="002D48F0">
        <w:rPr>
          <w:noProof/>
          <w:vertAlign w:val="superscript"/>
        </w:rPr>
        <w:t>11</w:t>
      </w:r>
      <w:r w:rsidR="003B5425" w:rsidRPr="002D48F0">
        <w:t xml:space="preserve"> </w:t>
      </w:r>
      <w:r w:rsidR="003B5425" w:rsidRPr="002D48F0">
        <w:rPr>
          <w:noProof/>
        </w:rPr>
        <w:t xml:space="preserve">Alternate dosing regimens are </w:t>
      </w:r>
      <w:r w:rsidR="003B5425" w:rsidRPr="002D48F0">
        <w:rPr>
          <w:noProof/>
        </w:rPr>
        <w:lastRenderedPageBreak/>
        <w:t>reported in the literature: for example; van Lieverloo et al. (2018) detail three regimens; daily oral prednisone or prednisolone (1-1.5 mg/kg for 6 weeks, tapering to zero over at least 8 months); oral pulsed dexamethasone (40 mg per day for 4 consecutive days per month for 6 months); or, IV pulsed methylprednisolone (500 mg per day for 4 days followed by 1-2 g per month for at least 2 months).</w:t>
      </w:r>
      <w:r w:rsidR="003B5425" w:rsidRPr="002D48F0">
        <w:rPr>
          <w:noProof/>
          <w:vertAlign w:val="superscript"/>
        </w:rPr>
        <w:t>38</w:t>
      </w:r>
      <w:r w:rsidR="003B5425" w:rsidRPr="002D48F0">
        <w:t xml:space="preserve"> </w:t>
      </w:r>
    </w:p>
    <w:p w:rsidR="003B5425" w:rsidRPr="002D48F0" w:rsidRDefault="003B5425" w:rsidP="00A806C0">
      <w:r w:rsidRPr="002D48F0">
        <w:t>Long</w:t>
      </w:r>
      <w:r w:rsidR="009724ED">
        <w:t>-</w:t>
      </w:r>
      <w:r w:rsidRPr="002D48F0">
        <w:t xml:space="preserve">term use of corticosteroids is associated with </w:t>
      </w:r>
      <w:r w:rsidRPr="002D48F0">
        <w:rPr>
          <w:noProof/>
        </w:rPr>
        <w:t>a number of</w:t>
      </w:r>
      <w:r w:rsidRPr="002D48F0">
        <w:t xml:space="preserve"> potentially serious side effects including metabolic changes, increased susceptibility to infection, hypertension and impaired wound healing.</w:t>
      </w:r>
      <w:r w:rsidRPr="002D48F0">
        <w:rPr>
          <w:noProof/>
          <w:vertAlign w:val="superscript"/>
        </w:rPr>
        <w:t>8</w:t>
      </w:r>
      <w:r w:rsidRPr="002D48F0">
        <w:t xml:space="preserve"> Due to these effects</w:t>
      </w:r>
      <w:r w:rsidR="00DA1B77">
        <w:t>,</w:t>
      </w:r>
      <w:r w:rsidRPr="002D48F0">
        <w:t xml:space="preserve"> </w:t>
      </w:r>
      <w:r w:rsidR="00B615FA" w:rsidRPr="002D48F0">
        <w:t>corticosteroids</w:t>
      </w:r>
      <w:r w:rsidRPr="002D48F0">
        <w:t xml:space="preserve"> are therefore poorly suited to long</w:t>
      </w:r>
      <w:r w:rsidR="009724ED">
        <w:t>-</w:t>
      </w:r>
      <w:r w:rsidRPr="002D48F0">
        <w:t xml:space="preserve">term continuous therapy; hence the requirement for dose tapering and the development of pulse regimens. Expert advice is that, in Australia, </w:t>
      </w:r>
      <w:r w:rsidR="00B615FA" w:rsidRPr="002D48F0">
        <w:t>corticosteroids</w:t>
      </w:r>
      <w:r w:rsidRPr="002D48F0">
        <w:t xml:space="preserve"> </w:t>
      </w:r>
      <w:r w:rsidRPr="002D48F0">
        <w:rPr>
          <w:noProof/>
        </w:rPr>
        <w:t>are used</w:t>
      </w:r>
      <w:r w:rsidRPr="002D48F0">
        <w:t xml:space="preserve"> in conjunction with </w:t>
      </w:r>
      <w:r w:rsidRPr="002D48F0">
        <w:rPr>
          <w:noProof/>
        </w:rPr>
        <w:t>steroid-sparing</w:t>
      </w:r>
      <w:r w:rsidRPr="002D48F0">
        <w:t xml:space="preserve"> therapy in the form of immunosuppressants.</w:t>
      </w:r>
      <w:r w:rsidRPr="002D48F0">
        <w:rPr>
          <w:noProof/>
          <w:vertAlign w:val="superscript"/>
        </w:rPr>
        <w:t>11</w:t>
      </w:r>
      <w:r w:rsidRPr="002D48F0">
        <w:t xml:space="preserve"> The types of immunosuppressants used in Australia </w:t>
      </w:r>
      <w:r w:rsidRPr="002D48F0">
        <w:rPr>
          <w:noProof/>
        </w:rPr>
        <w:t>are discussed</w:t>
      </w:r>
      <w:r w:rsidRPr="002D48F0">
        <w:t xml:space="preserve"> below. </w:t>
      </w:r>
    </w:p>
    <w:p w:rsidR="003B5425" w:rsidRPr="002D48F0" w:rsidRDefault="003B5425" w:rsidP="00A806C0">
      <w:r w:rsidRPr="002D48F0">
        <w:t>Cortico</w:t>
      </w:r>
      <w:r w:rsidR="00B615FA" w:rsidRPr="002D48F0">
        <w:t>steroids</w:t>
      </w:r>
      <w:r w:rsidRPr="002D48F0">
        <w:t xml:space="preserve"> are, generally, not a suitable treatment strategy for patients who have a pure motor form of CIDP (muscle weakness with no sensory loss), although there may be </w:t>
      </w:r>
      <w:r w:rsidRPr="002D48F0">
        <w:rPr>
          <w:noProof/>
        </w:rPr>
        <w:t>exceptions</w:t>
      </w:r>
      <w:r w:rsidRPr="002D48F0">
        <w:t>.</w:t>
      </w:r>
      <w:r w:rsidRPr="002D48F0">
        <w:rPr>
          <w:noProof/>
          <w:vertAlign w:val="superscript"/>
        </w:rPr>
        <w:t>1, 11, 39</w:t>
      </w:r>
    </w:p>
    <w:p w:rsidR="003B5425" w:rsidRPr="002D48F0" w:rsidRDefault="003B5425" w:rsidP="00A806C0">
      <w:r w:rsidRPr="002D48F0">
        <w:t xml:space="preserve">Expert advice indicated that in the absence of Ig, a </w:t>
      </w:r>
      <w:r w:rsidRPr="002D48F0">
        <w:rPr>
          <w:noProof/>
        </w:rPr>
        <w:t>first-line</w:t>
      </w:r>
      <w:r w:rsidRPr="002D48F0">
        <w:t xml:space="preserve"> treatment for patients with pure motor CIDP </w:t>
      </w:r>
      <w:r w:rsidRPr="002D48F0">
        <w:rPr>
          <w:noProof/>
        </w:rPr>
        <w:t>may</w:t>
      </w:r>
      <w:r w:rsidRPr="002D48F0">
        <w:t xml:space="preserve"> be plasma exchange.</w:t>
      </w:r>
      <w:r w:rsidRPr="002D48F0">
        <w:rPr>
          <w:noProof/>
          <w:vertAlign w:val="superscript"/>
        </w:rPr>
        <w:t>1</w:t>
      </w:r>
      <w:r w:rsidRPr="002D48F0">
        <w:t xml:space="preserve"> </w:t>
      </w:r>
    </w:p>
    <w:p w:rsidR="003B5425" w:rsidRPr="002D48F0" w:rsidRDefault="003B5425" w:rsidP="00A806C0">
      <w:pPr>
        <w:pStyle w:val="Heading3"/>
      </w:pPr>
      <w:r w:rsidRPr="002D48F0">
        <w:rPr>
          <w:rStyle w:val="Heading3Char"/>
        </w:rPr>
        <w:t>Plasma exchange</w:t>
      </w:r>
    </w:p>
    <w:p w:rsidR="003B5425" w:rsidRDefault="003B5425" w:rsidP="00A806C0">
      <w:r w:rsidRPr="002D48F0">
        <w:t xml:space="preserve">The Referral Form (page 37) states that plasma exchange is the next most common comparator treatment for CIDP (following </w:t>
      </w:r>
      <w:r w:rsidR="00B615FA" w:rsidRPr="002D48F0">
        <w:t>corticosteroids</w:t>
      </w:r>
      <w:r>
        <w:t xml:space="preserve">); with the clinical pathways on page 42 of the Referral Form specifying that this would be a short/medium term treatment. Plasma exchange involves the removal and centrifuge or filtering of a patient’s blood. The red </w:t>
      </w:r>
      <w:r w:rsidRPr="00FA0901">
        <w:rPr>
          <w:noProof/>
        </w:rPr>
        <w:t>blood</w:t>
      </w:r>
      <w:r>
        <w:t xml:space="preserve"> cells are reinfused, </w:t>
      </w:r>
      <w:r w:rsidRPr="00FA0901">
        <w:rPr>
          <w:noProof/>
        </w:rPr>
        <w:t>and</w:t>
      </w:r>
      <w:r>
        <w:t xml:space="preserve"> the plasma </w:t>
      </w:r>
      <w:r w:rsidRPr="00FA0901">
        <w:rPr>
          <w:noProof/>
        </w:rPr>
        <w:t>is replaced</w:t>
      </w:r>
      <w:r>
        <w:t xml:space="preserve"> with a plasma substitute (usually saline with human albumin).</w:t>
      </w:r>
      <w:r w:rsidRPr="008D52B0">
        <w:rPr>
          <w:noProof/>
          <w:vertAlign w:val="superscript"/>
        </w:rPr>
        <w:t>40</w:t>
      </w:r>
      <w:r>
        <w:t xml:space="preserve"> The beneficial effect of plasma exchange is purported to be due to the removal of humoral factors, such as immunoglobulins, autoantibodies </w:t>
      </w:r>
      <w:r w:rsidRPr="00FA0901">
        <w:rPr>
          <w:noProof/>
        </w:rPr>
        <w:t>and</w:t>
      </w:r>
      <w:r>
        <w:t xml:space="preserve"> pro-inflammatory cytokines.</w:t>
      </w:r>
      <w:r w:rsidRPr="008D52B0">
        <w:rPr>
          <w:noProof/>
          <w:vertAlign w:val="superscript"/>
        </w:rPr>
        <w:t>8</w:t>
      </w:r>
      <w:r>
        <w:t xml:space="preserve"> Plasma exchange has </w:t>
      </w:r>
      <w:r w:rsidRPr="00FA0901">
        <w:rPr>
          <w:noProof/>
        </w:rPr>
        <w:t>been reported</w:t>
      </w:r>
      <w:r>
        <w:t xml:space="preserve"> as a treatment for CIDP since the 1970s.</w:t>
      </w:r>
      <w:r w:rsidRPr="008D52B0">
        <w:rPr>
          <w:noProof/>
          <w:vertAlign w:val="superscript"/>
        </w:rPr>
        <w:t>41</w:t>
      </w:r>
    </w:p>
    <w:p w:rsidR="003B5425" w:rsidRDefault="003B5425" w:rsidP="00A806C0">
      <w:r>
        <w:t xml:space="preserve">A single exchange removes three to five </w:t>
      </w:r>
      <w:r w:rsidRPr="009B159C">
        <w:rPr>
          <w:noProof/>
        </w:rPr>
        <w:t>litres</w:t>
      </w:r>
      <w:r>
        <w:t xml:space="preserve"> of plasma and reduces IgG levels by 45 </w:t>
      </w:r>
      <w:r w:rsidRPr="009B159C">
        <w:rPr>
          <w:noProof/>
        </w:rPr>
        <w:t>per cent</w:t>
      </w:r>
      <w:r>
        <w:t xml:space="preserve">. Between three and five exchanges are required to reduce IgG by 90 </w:t>
      </w:r>
      <w:r w:rsidRPr="009B159C">
        <w:rPr>
          <w:noProof/>
        </w:rPr>
        <w:t>per cent</w:t>
      </w:r>
      <w:r>
        <w:t>.</w:t>
      </w:r>
      <w:r w:rsidRPr="008D52B0">
        <w:rPr>
          <w:noProof/>
          <w:vertAlign w:val="superscript"/>
        </w:rPr>
        <w:t>8</w:t>
      </w:r>
      <w:r>
        <w:t xml:space="preserve"> </w:t>
      </w:r>
      <w:r w:rsidRPr="009B159C">
        <w:rPr>
          <w:noProof/>
        </w:rPr>
        <w:t>The American Society for Apheresis guidelines recommend 1 to 1.5 total plasma volume (TPV) exchanges two to three times per week until improvement; with tapering of the exchange schedule as tolerated.</w:t>
      </w:r>
      <w:r w:rsidRPr="009B159C">
        <w:rPr>
          <w:noProof/>
          <w:vertAlign w:val="superscript"/>
        </w:rPr>
        <w:t>42</w:t>
      </w:r>
      <w:r w:rsidRPr="009B159C">
        <w:rPr>
          <w:noProof/>
        </w:rPr>
        <w:t xml:space="preserve"> Guidelines from the American Academy of Neurology and the European Federation of Neurological Societies/Peripheral Nerve Society do not recommend any particular exchange schedule.</w:t>
      </w:r>
      <w:r w:rsidRPr="009B159C">
        <w:rPr>
          <w:noProof/>
          <w:vertAlign w:val="superscript"/>
        </w:rPr>
        <w:t>5, 12, 43</w:t>
      </w:r>
      <w:r w:rsidRPr="009B159C">
        <w:rPr>
          <w:noProof/>
        </w:rPr>
        <w:t xml:space="preserve"> Other exchange schedules have been reported, for example Gorson et al. (2012) state patients with severe CIDP may be treated with five exchanges over 7 to 10 days; while patients with moderate CIDP may receive two to three exchanges over two to three weeks, followed by one to two weekly exchanges for a further three weeks.</w:t>
      </w:r>
      <w:r w:rsidRPr="008D52B0">
        <w:rPr>
          <w:noProof/>
          <w:vertAlign w:val="superscript"/>
        </w:rPr>
        <w:t>8</w:t>
      </w:r>
      <w:r>
        <w:t xml:space="preserve"> For both groups, plasma exchange should be repeated as necessary to maintain improvement. The addition of </w:t>
      </w:r>
      <w:r w:rsidR="00B615FA">
        <w:t>corticosteroids</w:t>
      </w:r>
      <w:r>
        <w:t xml:space="preserve"> or other immunosuppressants may increase the duration between required exchanges.</w:t>
      </w:r>
      <w:r w:rsidRPr="008D52B0">
        <w:rPr>
          <w:noProof/>
          <w:vertAlign w:val="superscript"/>
        </w:rPr>
        <w:t>8</w:t>
      </w:r>
      <w:r>
        <w:t xml:space="preserve"> </w:t>
      </w:r>
    </w:p>
    <w:p w:rsidR="003B5425" w:rsidRDefault="003B5425" w:rsidP="00A806C0">
      <w:r>
        <w:t xml:space="preserve">Plasma exchange requires adequate venous access for the collection and return of fluids; inadequate blood flow may result in longer procedure times </w:t>
      </w:r>
      <w:r w:rsidRPr="009B159C">
        <w:rPr>
          <w:noProof/>
        </w:rPr>
        <w:t>and</w:t>
      </w:r>
      <w:r>
        <w:t xml:space="preserve"> procedure cessation before the target plasma </w:t>
      </w:r>
      <w:r>
        <w:lastRenderedPageBreak/>
        <w:t>exchange volume has been reached.</w:t>
      </w:r>
      <w:r w:rsidRPr="008D52B0">
        <w:rPr>
          <w:noProof/>
          <w:vertAlign w:val="superscript"/>
        </w:rPr>
        <w:t>44</w:t>
      </w:r>
      <w:r>
        <w:t xml:space="preserve"> To achieve adequate venous access, patients may have large-bore peripheral cannulation or insertion of a central venous catheter. For </w:t>
      </w:r>
      <w:r w:rsidRPr="009B159C">
        <w:rPr>
          <w:noProof/>
        </w:rPr>
        <w:t>longer</w:t>
      </w:r>
      <w:r>
        <w:rPr>
          <w:noProof/>
        </w:rPr>
        <w:t>-</w:t>
      </w:r>
      <w:r w:rsidRPr="009B159C">
        <w:rPr>
          <w:noProof/>
        </w:rPr>
        <w:t>term</w:t>
      </w:r>
      <w:r>
        <w:t xml:space="preserve"> treatment, such as required for CIDP patients, implantation of </w:t>
      </w:r>
      <w:r w:rsidRPr="009B159C">
        <w:rPr>
          <w:noProof/>
        </w:rPr>
        <w:t>an arteriovenous fistulae</w:t>
      </w:r>
      <w:r>
        <w:t xml:space="preserve"> (a surgically created connection between an artery and a vein) may be the most appropriate option.</w:t>
      </w:r>
      <w:r w:rsidRPr="008D52B0">
        <w:rPr>
          <w:noProof/>
          <w:vertAlign w:val="superscript"/>
        </w:rPr>
        <w:t>44, 45</w:t>
      </w:r>
      <w:r>
        <w:t xml:space="preserve"> The Referral </w:t>
      </w:r>
      <w:r w:rsidR="00AF5D93">
        <w:t>F</w:t>
      </w:r>
      <w:r>
        <w:t xml:space="preserve">orm notes that MBS item 13750 is available for therapeutic </w:t>
      </w:r>
      <w:r w:rsidRPr="009B159C">
        <w:rPr>
          <w:noProof/>
        </w:rPr>
        <w:t>haemapheresis</w:t>
      </w:r>
      <w:r>
        <w:t xml:space="preserve">, and MBS items 34112 (updated to correct item number) and 34121 are available for arteriovenous fistula creation and that the NBA does not fund any procedure required for plasma exchange. Expert advice identified that plasma exchange requires volume replacement, most commonly with albumin, which </w:t>
      </w:r>
      <w:r w:rsidRPr="009B159C">
        <w:rPr>
          <w:noProof/>
        </w:rPr>
        <w:t>is provided</w:t>
      </w:r>
      <w:r>
        <w:t xml:space="preserve"> and paid for by the NBA.</w:t>
      </w:r>
      <w:r w:rsidRPr="008D52B0">
        <w:rPr>
          <w:noProof/>
          <w:vertAlign w:val="superscript"/>
        </w:rPr>
        <w:t>1</w:t>
      </w:r>
      <w:r>
        <w:t xml:space="preserve"> </w:t>
      </w:r>
    </w:p>
    <w:p w:rsidR="003B5425" w:rsidRDefault="003B5425" w:rsidP="00A806C0">
      <w:pPr>
        <w:rPr>
          <w:highlight w:val="yellow"/>
        </w:rPr>
      </w:pPr>
      <w:r>
        <w:t>Expert advice is that plasma exchange is only provided in major teaching hospitals and therefore is now only used in Australia for patients who do</w:t>
      </w:r>
      <w:r w:rsidR="009724ED">
        <w:t xml:space="preserve"> not</w:t>
      </w:r>
      <w:r>
        <w:t xml:space="preserve"> respond to </w:t>
      </w:r>
      <w:r w:rsidRPr="009B159C">
        <w:rPr>
          <w:noProof/>
        </w:rPr>
        <w:t>first</w:t>
      </w:r>
      <w:r>
        <w:rPr>
          <w:noProof/>
        </w:rPr>
        <w:t>-</w:t>
      </w:r>
      <w:r w:rsidRPr="009B159C">
        <w:rPr>
          <w:noProof/>
        </w:rPr>
        <w:t>line</w:t>
      </w:r>
      <w:r>
        <w:t xml:space="preserve"> treatments (IVIg or </w:t>
      </w:r>
      <w:r w:rsidR="00B615FA" w:rsidRPr="002D48F0">
        <w:t>corticoster</w:t>
      </w:r>
      <w:r w:rsidR="00B615FA">
        <w:t>oids</w:t>
      </w:r>
      <w:r>
        <w:t>).</w:t>
      </w:r>
      <w:r w:rsidR="00250B71">
        <w:t xml:space="preserve"> The risks of plasma exchange are substantially different if done via a central catheter (greater risk of infection) or via peripheral </w:t>
      </w:r>
      <w:r w:rsidR="002D48F0">
        <w:t xml:space="preserve">vascular </w:t>
      </w:r>
      <w:r w:rsidR="00250B71">
        <w:t>access (less risk).</w:t>
      </w:r>
    </w:p>
    <w:p w:rsidR="003B5425" w:rsidRDefault="003B5425" w:rsidP="00A806C0">
      <w:pPr>
        <w:spacing w:after="120"/>
      </w:pPr>
      <w:r>
        <w:t xml:space="preserve">There is no </w:t>
      </w:r>
      <w:r w:rsidRPr="009B159C">
        <w:rPr>
          <w:noProof/>
        </w:rPr>
        <w:t>standardised</w:t>
      </w:r>
      <w:r>
        <w:t xml:space="preserve"> plasma exchange schedule in </w:t>
      </w:r>
      <w:r w:rsidRPr="009B159C">
        <w:rPr>
          <w:noProof/>
        </w:rPr>
        <w:t>Australia</w:t>
      </w:r>
      <w:r>
        <w:rPr>
          <w:noProof/>
        </w:rPr>
        <w:t>;</w:t>
      </w:r>
      <w:r>
        <w:t xml:space="preserve"> however, expert advice suggested that </w:t>
      </w:r>
      <w:r w:rsidR="009724ED">
        <w:rPr>
          <w:noProof/>
        </w:rPr>
        <w:t>five</w:t>
      </w:r>
      <w:r>
        <w:t xml:space="preserve"> exchanges </w:t>
      </w:r>
      <w:r w:rsidRPr="009B159C">
        <w:rPr>
          <w:noProof/>
        </w:rPr>
        <w:t>trialled</w:t>
      </w:r>
      <w:r>
        <w:t xml:space="preserve"> over 7 to 11 days would be the most common approach. Plasma exchange may </w:t>
      </w:r>
      <w:r w:rsidRPr="009B159C">
        <w:rPr>
          <w:noProof/>
        </w:rPr>
        <w:t>be administered</w:t>
      </w:r>
      <w:r>
        <w:t xml:space="preserve"> in either an outpatient, day stay, or inpatient setting.</w:t>
      </w:r>
      <w:r w:rsidRPr="008D52B0">
        <w:rPr>
          <w:noProof/>
          <w:vertAlign w:val="superscript"/>
        </w:rPr>
        <w:t>1</w:t>
      </w:r>
      <w:r>
        <w:t xml:space="preserve"> </w:t>
      </w:r>
    </w:p>
    <w:p w:rsidR="003B5425" w:rsidRDefault="003B5425" w:rsidP="00A806C0">
      <w:pPr>
        <w:spacing w:after="120"/>
      </w:pPr>
      <w:r>
        <w:t xml:space="preserve">In the absence of Ig therapy as many patients as currently receive IVIg could, in theory, be treated with plasma exchange instead although, this is difficult to predict. Moreover, such a large uptake of plasma exchange could not occur without substantial changes to the current supply. </w:t>
      </w:r>
    </w:p>
    <w:p w:rsidR="003B5425" w:rsidRDefault="003B5425" w:rsidP="00A806C0">
      <w:pPr>
        <w:spacing w:after="120"/>
      </w:pPr>
      <w:r>
        <w:t xml:space="preserve">Expert opinion suggested that </w:t>
      </w:r>
      <w:r w:rsidRPr="009B159C">
        <w:rPr>
          <w:noProof/>
        </w:rPr>
        <w:t>whil</w:t>
      </w:r>
      <w:r>
        <w:rPr>
          <w:noProof/>
        </w:rPr>
        <w:t>e</w:t>
      </w:r>
      <w:r>
        <w:t xml:space="preserve"> some patients may receive long</w:t>
      </w:r>
      <w:r w:rsidR="009724ED">
        <w:t>-</w:t>
      </w:r>
      <w:r>
        <w:t>term plasma exchange</w:t>
      </w:r>
      <w:r>
        <w:rPr>
          <w:noProof/>
        </w:rPr>
        <w:t>;</w:t>
      </w:r>
      <w:r w:rsidRPr="009B159C">
        <w:rPr>
          <w:noProof/>
        </w:rPr>
        <w:t xml:space="preserve"> this</w:t>
      </w:r>
      <w:r>
        <w:t xml:space="preserve"> would most commonly </w:t>
      </w:r>
      <w:r w:rsidRPr="009B159C">
        <w:rPr>
          <w:noProof/>
        </w:rPr>
        <w:t>b</w:t>
      </w:r>
      <w:r>
        <w:rPr>
          <w:noProof/>
        </w:rPr>
        <w:t>e</w:t>
      </w:r>
      <w:r>
        <w:t xml:space="preserve"> provided in combination with an immunosuppressan</w:t>
      </w:r>
      <w:r w:rsidRPr="00A5288B">
        <w:t>t.</w:t>
      </w:r>
      <w:r w:rsidRPr="008D52B0">
        <w:rPr>
          <w:noProof/>
          <w:vertAlign w:val="superscript"/>
        </w:rPr>
        <w:t>1</w:t>
      </w:r>
    </w:p>
    <w:p w:rsidR="003B5425" w:rsidRDefault="003B5425" w:rsidP="00A806C0">
      <w:pPr>
        <w:pStyle w:val="Heading3"/>
      </w:pPr>
      <w:r>
        <w:t xml:space="preserve">Immunosuppressants (other than </w:t>
      </w:r>
      <w:r w:rsidR="00B615FA">
        <w:t>corticosteroids</w:t>
      </w:r>
      <w:r>
        <w:t xml:space="preserve">) </w:t>
      </w:r>
    </w:p>
    <w:p w:rsidR="003B5425" w:rsidRDefault="003B5425" w:rsidP="00A806C0">
      <w:r>
        <w:t>Immunosuppressive drugs have been used successfully as treatments for other autoimmune conditions; leading to their investigation as a treatment for CIDP.</w:t>
      </w:r>
      <w:r w:rsidRPr="008D52B0">
        <w:rPr>
          <w:noProof/>
          <w:vertAlign w:val="superscript"/>
        </w:rPr>
        <w:t>46</w:t>
      </w:r>
    </w:p>
    <w:p w:rsidR="003B5425" w:rsidRDefault="003B5425" w:rsidP="00A806C0">
      <w:r>
        <w:t>The Referral Form lists nine immunosuppressants as being relevant to this application (</w:t>
      </w:r>
      <w:r>
        <w:fldChar w:fldCharType="begin"/>
      </w:r>
      <w:r>
        <w:instrText xml:space="preserve"> REF _Ref535414848 \h </w:instrText>
      </w:r>
      <w:r>
        <w:fldChar w:fldCharType="separate"/>
      </w:r>
      <w:r w:rsidR="002865BA" w:rsidRPr="00E44A2E">
        <w:rPr>
          <w:rFonts w:asciiTheme="minorHAnsi" w:hAnsiTheme="minorHAnsi" w:cstheme="minorHAnsi"/>
          <w:sz w:val="18"/>
          <w:szCs w:val="18"/>
        </w:rPr>
        <w:t xml:space="preserve">Table </w:t>
      </w:r>
      <w:r w:rsidR="002865BA">
        <w:rPr>
          <w:rFonts w:asciiTheme="minorHAnsi" w:hAnsiTheme="minorHAnsi" w:cstheme="minorHAnsi"/>
          <w:noProof/>
          <w:sz w:val="18"/>
          <w:szCs w:val="18"/>
        </w:rPr>
        <w:t>12</w:t>
      </w:r>
      <w:r>
        <w:fldChar w:fldCharType="end"/>
      </w:r>
      <w:r>
        <w:t xml:space="preserve">, adapted from the Referral Form pages 37 to 40). Expert advice is that mycophenolate (or azathioprine) would </w:t>
      </w:r>
      <w:r w:rsidRPr="002216A1">
        <w:rPr>
          <w:noProof/>
        </w:rPr>
        <w:t>be used</w:t>
      </w:r>
      <w:r>
        <w:t xml:space="preserve"> as </w:t>
      </w:r>
      <w:r w:rsidRPr="002216A1">
        <w:rPr>
          <w:noProof/>
        </w:rPr>
        <w:t>second</w:t>
      </w:r>
      <w:r>
        <w:rPr>
          <w:noProof/>
        </w:rPr>
        <w:t>-</w:t>
      </w:r>
      <w:r w:rsidRPr="002216A1">
        <w:rPr>
          <w:noProof/>
        </w:rPr>
        <w:t>line</w:t>
      </w:r>
      <w:r>
        <w:t xml:space="preserve"> immunosuppressant therapies.</w:t>
      </w:r>
      <w:r w:rsidRPr="00183012">
        <w:rPr>
          <w:noProof/>
          <w:vertAlign w:val="superscript"/>
        </w:rPr>
        <w:t>1</w:t>
      </w:r>
      <w:r>
        <w:t xml:space="preserve"> </w:t>
      </w:r>
      <w:r w:rsidRPr="002216A1">
        <w:rPr>
          <w:noProof/>
        </w:rPr>
        <w:t>Fingolomad</w:t>
      </w:r>
      <w:r>
        <w:t xml:space="preserve"> (Gilenya) and Rituximab (Mabthera) are not PBS </w:t>
      </w:r>
      <w:r w:rsidRPr="002216A1">
        <w:rPr>
          <w:noProof/>
        </w:rPr>
        <w:t>subsidised</w:t>
      </w:r>
      <w:r>
        <w:t xml:space="preserve"> for CIDP and </w:t>
      </w:r>
      <w:r w:rsidRPr="002216A1">
        <w:rPr>
          <w:noProof/>
        </w:rPr>
        <w:t>are listed</w:t>
      </w:r>
      <w:r>
        <w:t xml:space="preserve"> as “authority required, CIDP not included.” </w:t>
      </w:r>
      <w:r w:rsidRPr="002216A1">
        <w:rPr>
          <w:noProof/>
        </w:rPr>
        <w:t>Fingolomad</w:t>
      </w:r>
      <w:r>
        <w:t xml:space="preserve"> (Gilenya) </w:t>
      </w:r>
      <w:r w:rsidRPr="002216A1">
        <w:rPr>
          <w:noProof/>
        </w:rPr>
        <w:t>is not approved</w:t>
      </w:r>
      <w:r>
        <w:t xml:space="preserve"> for CIDP </w:t>
      </w:r>
      <w:r w:rsidRPr="002216A1">
        <w:rPr>
          <w:noProof/>
        </w:rPr>
        <w:t>and</w:t>
      </w:r>
      <w:r>
        <w:t xml:space="preserve"> expert advice is that it is unlikely that anyone still receives this treatment for CIDP. Rituximab (Mabthera) is however commonly used for CIDP when patients have failed other immunosuppressant therapy, with the cost often being borne by hospital drug committees.</w:t>
      </w:r>
      <w:r w:rsidRPr="00287BA1">
        <w:rPr>
          <w:noProof/>
          <w:vertAlign w:val="superscript"/>
        </w:rPr>
        <w:t>1</w:t>
      </w:r>
      <w:r>
        <w:t xml:space="preserve"> </w:t>
      </w:r>
    </w:p>
    <w:p w:rsidR="003B5425" w:rsidRDefault="003B5425" w:rsidP="00A806C0">
      <w:r>
        <w:t xml:space="preserve">No </w:t>
      </w:r>
      <w:r w:rsidRPr="002216A1">
        <w:rPr>
          <w:noProof/>
        </w:rPr>
        <w:t>standardised</w:t>
      </w:r>
      <w:r>
        <w:t xml:space="preserve"> dosing regimen </w:t>
      </w:r>
      <w:r w:rsidRPr="002216A1">
        <w:rPr>
          <w:noProof/>
        </w:rPr>
        <w:t>was reported</w:t>
      </w:r>
      <w:r>
        <w:t xml:space="preserve"> in the Referral Form; varying dosages have </w:t>
      </w:r>
      <w:r w:rsidRPr="002216A1">
        <w:rPr>
          <w:noProof/>
        </w:rPr>
        <w:t>been reported</w:t>
      </w:r>
      <w:r>
        <w:t xml:space="preserve"> in the literature (reproduced in </w:t>
      </w:r>
      <w:r>
        <w:fldChar w:fldCharType="begin"/>
      </w:r>
      <w:r>
        <w:instrText xml:space="preserve"> REF _Ref535414848 \h </w:instrText>
      </w:r>
      <w:r>
        <w:fldChar w:fldCharType="separate"/>
      </w:r>
      <w:r w:rsidR="002865BA" w:rsidRPr="00E44A2E">
        <w:rPr>
          <w:rFonts w:asciiTheme="minorHAnsi" w:hAnsiTheme="minorHAnsi" w:cstheme="minorHAnsi"/>
          <w:sz w:val="18"/>
          <w:szCs w:val="18"/>
        </w:rPr>
        <w:t xml:space="preserve">Table </w:t>
      </w:r>
      <w:r w:rsidR="002865BA">
        <w:rPr>
          <w:rFonts w:asciiTheme="minorHAnsi" w:hAnsiTheme="minorHAnsi" w:cstheme="minorHAnsi"/>
          <w:noProof/>
          <w:sz w:val="18"/>
          <w:szCs w:val="18"/>
        </w:rPr>
        <w:t>12</w:t>
      </w:r>
      <w:r>
        <w:fldChar w:fldCharType="end"/>
      </w:r>
      <w:r>
        <w:t>).</w:t>
      </w:r>
      <w:r w:rsidRPr="008D52B0">
        <w:rPr>
          <w:noProof/>
          <w:vertAlign w:val="superscript"/>
        </w:rPr>
        <w:t>46</w:t>
      </w:r>
    </w:p>
    <w:p w:rsidR="003B5425" w:rsidRPr="00E44A2E" w:rsidRDefault="003B5425" w:rsidP="00A806C0">
      <w:pPr>
        <w:pStyle w:val="Caption"/>
        <w:rPr>
          <w:rFonts w:asciiTheme="minorHAnsi" w:hAnsiTheme="minorHAnsi" w:cstheme="minorHAnsi"/>
          <w:sz w:val="18"/>
          <w:szCs w:val="18"/>
        </w:rPr>
      </w:pPr>
      <w:bookmarkStart w:id="17" w:name="_Ref535414848"/>
      <w:r w:rsidRPr="00E44A2E">
        <w:rPr>
          <w:rFonts w:asciiTheme="minorHAnsi" w:hAnsiTheme="minorHAnsi" w:cstheme="minorHAnsi"/>
          <w:sz w:val="18"/>
          <w:szCs w:val="18"/>
        </w:rPr>
        <w:lastRenderedPageBreak/>
        <w:t xml:space="preserve">Table </w:t>
      </w:r>
      <w:r w:rsidRPr="00E44A2E">
        <w:rPr>
          <w:rFonts w:asciiTheme="minorHAnsi" w:hAnsiTheme="minorHAnsi" w:cstheme="minorHAnsi"/>
          <w:sz w:val="18"/>
          <w:szCs w:val="18"/>
        </w:rPr>
        <w:fldChar w:fldCharType="begin"/>
      </w:r>
      <w:r w:rsidRPr="00E44A2E">
        <w:rPr>
          <w:rFonts w:asciiTheme="minorHAnsi" w:hAnsiTheme="minorHAnsi" w:cstheme="minorHAnsi"/>
          <w:sz w:val="18"/>
          <w:szCs w:val="18"/>
        </w:rPr>
        <w:instrText xml:space="preserve"> SEQ Table \* ARABIC </w:instrText>
      </w:r>
      <w:r w:rsidRPr="00E44A2E">
        <w:rPr>
          <w:rFonts w:asciiTheme="minorHAnsi" w:hAnsiTheme="minorHAnsi" w:cstheme="minorHAnsi"/>
          <w:sz w:val="18"/>
          <w:szCs w:val="18"/>
        </w:rPr>
        <w:fldChar w:fldCharType="separate"/>
      </w:r>
      <w:r w:rsidR="002865BA">
        <w:rPr>
          <w:rFonts w:asciiTheme="minorHAnsi" w:hAnsiTheme="minorHAnsi" w:cstheme="minorHAnsi"/>
          <w:noProof/>
          <w:sz w:val="18"/>
          <w:szCs w:val="18"/>
        </w:rPr>
        <w:t>12</w:t>
      </w:r>
      <w:r w:rsidRPr="00E44A2E">
        <w:rPr>
          <w:rFonts w:asciiTheme="minorHAnsi" w:hAnsiTheme="minorHAnsi" w:cstheme="minorHAnsi"/>
          <w:sz w:val="18"/>
          <w:szCs w:val="18"/>
        </w:rPr>
        <w:fldChar w:fldCharType="end"/>
      </w:r>
      <w:bookmarkEnd w:id="17"/>
      <w:r w:rsidRPr="00E44A2E">
        <w:rPr>
          <w:rFonts w:asciiTheme="minorHAnsi" w:hAnsiTheme="minorHAnsi" w:cstheme="minorHAnsi"/>
          <w:sz w:val="18"/>
          <w:szCs w:val="18"/>
        </w:rPr>
        <w:tab/>
        <w:t xml:space="preserve">Immunosuppressants listed on the PBS and </w:t>
      </w:r>
      <w:r w:rsidRPr="00E44A2E">
        <w:rPr>
          <w:rFonts w:asciiTheme="minorHAnsi" w:hAnsiTheme="minorHAnsi" w:cstheme="minorHAnsi"/>
          <w:noProof/>
          <w:sz w:val="18"/>
          <w:szCs w:val="18"/>
        </w:rPr>
        <w:t>subsidised</w:t>
      </w:r>
      <w:r w:rsidRPr="00E44A2E">
        <w:rPr>
          <w:rFonts w:asciiTheme="minorHAnsi" w:hAnsiTheme="minorHAnsi" w:cstheme="minorHAnsi"/>
          <w:sz w:val="18"/>
          <w:szCs w:val="18"/>
        </w:rPr>
        <w:t xml:space="preserve"> for CIDP treatment</w:t>
      </w:r>
    </w:p>
    <w:tbl>
      <w:tblPr>
        <w:tblStyle w:val="PlainTable21"/>
        <w:tblW w:w="5000" w:type="pct"/>
        <w:tblLook w:val="0000" w:firstRow="0" w:lastRow="0" w:firstColumn="0" w:lastColumn="0" w:noHBand="0" w:noVBand="0"/>
        <w:tblCaption w:val="Table 12 Immunosuppressants listed on the PBS and subsidised for CIDP treatment"/>
      </w:tblPr>
      <w:tblGrid>
        <w:gridCol w:w="2124"/>
        <w:gridCol w:w="1560"/>
        <w:gridCol w:w="3264"/>
        <w:gridCol w:w="2078"/>
      </w:tblGrid>
      <w:tr w:rsidR="003B5425" w:rsidRPr="00E44A2E" w:rsidTr="00A806C0">
        <w:trPr>
          <w:tblHeader/>
        </w:trPr>
        <w:tc>
          <w:tcPr>
            <w:cnfStyle w:val="000010000000" w:firstRow="0" w:lastRow="0" w:firstColumn="0" w:lastColumn="0" w:oddVBand="1" w:evenVBand="0" w:oddHBand="0" w:evenHBand="0" w:firstRowFirstColumn="0" w:firstRowLastColumn="0" w:lastRowFirstColumn="0" w:lastRowLastColumn="0"/>
            <w:tcW w:w="1177" w:type="pct"/>
            <w:shd w:val="clear" w:color="auto" w:fill="D9D9D9" w:themeFill="background1" w:themeFillShade="D9"/>
          </w:tcPr>
          <w:p w:rsidR="003B5425" w:rsidRPr="00E44A2E" w:rsidRDefault="003B5425" w:rsidP="00A806C0">
            <w:pPr>
              <w:pStyle w:val="Tableheading0"/>
              <w:keepNext/>
              <w:spacing w:before="60" w:after="60"/>
              <w:rPr>
                <w:rFonts w:asciiTheme="minorHAnsi" w:hAnsiTheme="minorHAnsi" w:cstheme="minorHAnsi"/>
                <w:sz w:val="18"/>
                <w:szCs w:val="18"/>
              </w:rPr>
            </w:pPr>
            <w:r w:rsidRPr="00E44A2E">
              <w:rPr>
                <w:rFonts w:asciiTheme="minorHAnsi" w:hAnsiTheme="minorHAnsi" w:cstheme="minorHAnsi"/>
                <w:sz w:val="18"/>
                <w:szCs w:val="18"/>
              </w:rPr>
              <w:t>Generic name</w:t>
            </w:r>
          </w:p>
        </w:tc>
        <w:tc>
          <w:tcPr>
            <w:cnfStyle w:val="000001000000" w:firstRow="0" w:lastRow="0" w:firstColumn="0" w:lastColumn="0" w:oddVBand="0" w:evenVBand="1" w:oddHBand="0" w:evenHBand="0" w:firstRowFirstColumn="0" w:firstRowLastColumn="0" w:lastRowFirstColumn="0" w:lastRowLastColumn="0"/>
            <w:tcW w:w="864" w:type="pct"/>
            <w:shd w:val="clear" w:color="auto" w:fill="D9D9D9" w:themeFill="background1" w:themeFillShade="D9"/>
          </w:tcPr>
          <w:p w:rsidR="003B5425" w:rsidRPr="00E44A2E" w:rsidRDefault="003B5425" w:rsidP="00A806C0">
            <w:pPr>
              <w:pStyle w:val="Tableheading0"/>
              <w:keepNext/>
              <w:spacing w:before="60" w:after="60"/>
              <w:rPr>
                <w:rFonts w:asciiTheme="minorHAnsi" w:hAnsiTheme="minorHAnsi" w:cstheme="minorHAnsi"/>
                <w:sz w:val="18"/>
                <w:szCs w:val="18"/>
              </w:rPr>
            </w:pPr>
            <w:r w:rsidRPr="00E44A2E">
              <w:rPr>
                <w:rFonts w:asciiTheme="minorHAnsi" w:hAnsiTheme="minorHAnsi" w:cstheme="minorHAnsi"/>
                <w:sz w:val="18"/>
                <w:szCs w:val="18"/>
              </w:rPr>
              <w:t>PBS restriction</w:t>
            </w:r>
          </w:p>
        </w:tc>
        <w:tc>
          <w:tcPr>
            <w:cnfStyle w:val="000010000000" w:firstRow="0" w:lastRow="0" w:firstColumn="0" w:lastColumn="0" w:oddVBand="1" w:evenVBand="0" w:oddHBand="0" w:evenHBand="0" w:firstRowFirstColumn="0" w:firstRowLastColumn="0" w:lastRowFirstColumn="0" w:lastRowLastColumn="0"/>
            <w:tcW w:w="1808" w:type="pct"/>
            <w:shd w:val="clear" w:color="auto" w:fill="D9D9D9" w:themeFill="background1" w:themeFillShade="D9"/>
          </w:tcPr>
          <w:p w:rsidR="003B5425" w:rsidRPr="00E44A2E" w:rsidRDefault="003B5425" w:rsidP="00A806C0">
            <w:pPr>
              <w:pStyle w:val="Tableheading0"/>
              <w:keepNext/>
              <w:spacing w:before="60" w:after="60"/>
              <w:rPr>
                <w:rFonts w:asciiTheme="minorHAnsi" w:hAnsiTheme="minorHAnsi" w:cstheme="minorHAnsi"/>
                <w:sz w:val="18"/>
                <w:szCs w:val="18"/>
              </w:rPr>
            </w:pPr>
            <w:r w:rsidRPr="00E44A2E">
              <w:rPr>
                <w:rFonts w:asciiTheme="minorHAnsi" w:hAnsiTheme="minorHAnsi" w:cstheme="minorHAnsi"/>
                <w:sz w:val="18"/>
                <w:szCs w:val="18"/>
              </w:rPr>
              <w:t>PBS item numbers</w:t>
            </w:r>
          </w:p>
        </w:tc>
        <w:tc>
          <w:tcPr>
            <w:cnfStyle w:val="000001000000" w:firstRow="0" w:lastRow="0" w:firstColumn="0" w:lastColumn="0" w:oddVBand="0" w:evenVBand="1" w:oddHBand="0" w:evenHBand="0" w:firstRowFirstColumn="0" w:firstRowLastColumn="0" w:lastRowFirstColumn="0" w:lastRowLastColumn="0"/>
            <w:tcW w:w="1151" w:type="pct"/>
            <w:shd w:val="clear" w:color="auto" w:fill="D9D9D9" w:themeFill="background1" w:themeFillShade="D9"/>
          </w:tcPr>
          <w:p w:rsidR="003B5425" w:rsidRPr="00E44A2E" w:rsidRDefault="003B5425" w:rsidP="00A806C0">
            <w:pPr>
              <w:pStyle w:val="Tableheading0"/>
              <w:keepNext/>
              <w:spacing w:before="60" w:after="60"/>
              <w:rPr>
                <w:rFonts w:asciiTheme="minorHAnsi" w:hAnsiTheme="minorHAnsi" w:cstheme="minorHAnsi"/>
                <w:sz w:val="18"/>
                <w:szCs w:val="18"/>
              </w:rPr>
            </w:pPr>
            <w:r w:rsidRPr="00E44A2E">
              <w:rPr>
                <w:rFonts w:asciiTheme="minorHAnsi" w:hAnsiTheme="minorHAnsi" w:cstheme="minorHAnsi"/>
                <w:sz w:val="18"/>
                <w:szCs w:val="18"/>
              </w:rPr>
              <w:t xml:space="preserve">Dosage information </w:t>
            </w:r>
          </w:p>
        </w:tc>
      </w:tr>
      <w:tr w:rsidR="003B5425" w:rsidRPr="00E44A2E"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Azathioprine</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(Brand names: APO-Azathioprine, Azathioprine GH, Azathioprine Sandoz, Imuran)</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2688L (25 mg tablet, 200)</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 xml:space="preserve">3 mg/kg/day or 100-200 mg/day </w:t>
            </w:r>
          </w:p>
        </w:tc>
      </w:tr>
      <w:tr w:rsidR="003B5425" w:rsidRPr="00E44A2E" w:rsidTr="00A806C0">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Ciclosporin</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(Brand names: Neoral (25, 50 or 100), Cyclosporin Sandoz)</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 for General Schedule listings only (S100 CIDP not included)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8657P (10 mg capsule, 60)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8659Q (25 mg capsule, 30)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8659Q (50mg capsule, 30)</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10 mg/kg/day tapering to 2 mg/kg/day beyond 3 months or 3-5 mg/kg/day or 100-300 mg/day</w:t>
            </w:r>
          </w:p>
        </w:tc>
      </w:tr>
      <w:tr w:rsidR="003B5425" w:rsidRPr="00E44A2E"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Cyclophosphamide</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(Cyclonex, Endoxan)</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1266P (50 mg tablet, 50)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4327R (injection, 2,800 mg)</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7226H (injection, 2,800 mg)</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2-4 mg/kg/day or 50-100 mg/day or 200 mg/kg/day (for 4 days) or 1g/m2/month</w:t>
            </w:r>
          </w:p>
        </w:tc>
      </w:tr>
      <w:tr w:rsidR="003B5425" w:rsidRPr="00E44A2E" w:rsidTr="00A806C0">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Fingolimod*</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(Brand names: Gilenya)</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Authority required and CIDP not included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N/A</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NR</w:t>
            </w:r>
          </w:p>
        </w:tc>
      </w:tr>
      <w:tr w:rsidR="003B5425" w:rsidRPr="00E44A2E"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Methotrexate**</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(Brand names: Methoblastin, Methotrexate Accord, Hospira, Methotrexate Ebewe, Pfizer Australia)</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1622J (2.5 mg tablet, 30)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2272N (10 mg tablet, 15)</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1623K (10 mg tablet, 50)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1818Q (injection, 50 mg in 2 mL)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2396D (injection, 50 mg in 2 mL)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2395C (injection, 50 mg in 2 mL)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4502Y (injection 1 g/10 mL, 500 mg/20 mL, 5 mg/2 mL, 1 g/10 mL, 50 mg/2 mL, 5 g/50 mL, 1 g/10 mL)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7250N (injection 1 g/10 mL, 500 mg/20 mL, 5 mg/2 mL, 50 mg/2 mL, 1 g/10 mL, 5 g/50 mL, 1 g/10 mL)</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NR</w:t>
            </w:r>
          </w:p>
        </w:tc>
      </w:tr>
      <w:tr w:rsidR="003B5425" w:rsidRPr="00E44A2E" w:rsidTr="00A806C0">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Mycophenolate mofetil**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 xml:space="preserve">Brand names: Ceptolate, Myfortic, APO-Mycophenolate, CellCept, Mycophnolate Sandoz, Pharmacor Mycophenolate (AN, 250, 500), </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 for General Schedule listings only (S100 CIDP not included)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8651H (powder for oral liquid, 1 g/5 mL)</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1836P (capsule, 250 mg, 50)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2150E (enteric tablet, 180 or 360 mg, 120)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8649F (capsule, 250 mg, 100)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8650G (Tablet, 500 mg, 50)</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 xml:space="preserve">1 g twice daily or 1-2 g/day </w:t>
            </w:r>
          </w:p>
        </w:tc>
      </w:tr>
      <w:tr w:rsidR="003B5425" w:rsidRPr="00E44A2E" w:rsidTr="00A806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Rituximab*</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(Mabthera)</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Authority required and CIDP not included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N/A</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375 mg/m</w:t>
            </w:r>
            <w:r w:rsidRPr="00E44A2E">
              <w:rPr>
                <w:rFonts w:asciiTheme="minorHAnsi" w:hAnsiTheme="minorHAnsi" w:cstheme="minorHAnsi"/>
                <w:sz w:val="18"/>
                <w:szCs w:val="18"/>
                <w:vertAlign w:val="superscript"/>
              </w:rPr>
              <w:t>2</w:t>
            </w:r>
            <w:r w:rsidRPr="00E44A2E">
              <w:rPr>
                <w:rFonts w:asciiTheme="minorHAnsi" w:hAnsiTheme="minorHAnsi" w:cstheme="minorHAnsi"/>
                <w:sz w:val="18"/>
                <w:szCs w:val="18"/>
              </w:rPr>
              <w:t xml:space="preserve">/week or 900 mg/week or 700 mg/3 weeks, or 1 g/2 </w:t>
            </w:r>
            <w:r w:rsidRPr="00E44A2E">
              <w:rPr>
                <w:rFonts w:asciiTheme="minorHAnsi" w:hAnsiTheme="minorHAnsi" w:cstheme="minorHAnsi"/>
                <w:noProof/>
                <w:sz w:val="18"/>
                <w:szCs w:val="18"/>
              </w:rPr>
              <w:t>weeks</w:t>
            </w:r>
          </w:p>
        </w:tc>
      </w:tr>
      <w:tr w:rsidR="003B5425" w:rsidRPr="00E44A2E" w:rsidTr="00A806C0">
        <w:tc>
          <w:tcPr>
            <w:cnfStyle w:val="000010000000" w:firstRow="0" w:lastRow="0" w:firstColumn="0" w:lastColumn="0" w:oddVBand="1" w:evenVBand="0" w:oddHBand="0" w:evenHBand="0" w:firstRowFirstColumn="0" w:firstRowLastColumn="0" w:lastRowFirstColumn="0" w:lastRowLastColumn="0"/>
            <w:tcW w:w="1177"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Tacrolimus</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(brand names: ADVAGRAF XL, Prograf, Tacrolimus Sandoz, Pacrolim, Pharmacor Tacrolimus, Tacrograf, TACROLIMUS APOTEX</w:t>
            </w:r>
            <w:r w:rsidR="00AF5D93">
              <w:rPr>
                <w:rFonts w:asciiTheme="minorHAnsi" w:hAnsiTheme="minorHAnsi" w:cstheme="minorHAnsi"/>
                <w:sz w:val="18"/>
                <w:szCs w:val="18"/>
              </w:rPr>
              <w:t>)</w:t>
            </w:r>
            <w:r w:rsidRPr="00E44A2E">
              <w:rPr>
                <w:rFonts w:asciiTheme="minorHAnsi" w:hAnsiTheme="minorHAnsi" w:cstheme="minorHAnsi"/>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864"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Unrestricted for General Schedule listings only (S100 authority required, CIDP not included)</w:t>
            </w:r>
          </w:p>
        </w:tc>
        <w:tc>
          <w:tcPr>
            <w:cnfStyle w:val="000010000000" w:firstRow="0" w:lastRow="0" w:firstColumn="0" w:lastColumn="0" w:oddVBand="1" w:evenVBand="0" w:oddHBand="0" w:evenHBand="0" w:firstRowFirstColumn="0" w:firstRowLastColumn="0" w:lastRowFirstColumn="0" w:lastRowLastColumn="0"/>
            <w:tcW w:w="1808"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5300Y (MR capsule, 1 mg, 60)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10870D (capsule, 0.75 mg, 100)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5451X (MR capsule, 5 mg, 30)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8647D (capsule, 1 mg, 100)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10871E (capsule, 2 mg, 100)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8646C (capsule, 0.5 mg, 100)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8648E (capsule, 5 mg, 20)</w:t>
            </w:r>
          </w:p>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5299X (MR capsule, 0.5 mg, 30)</w:t>
            </w:r>
          </w:p>
        </w:tc>
        <w:tc>
          <w:tcPr>
            <w:cnfStyle w:val="000001000000" w:firstRow="0" w:lastRow="0" w:firstColumn="0" w:lastColumn="0" w:oddVBand="0" w:evenVBand="1" w:oddHBand="0" w:evenHBand="0" w:firstRowFirstColumn="0" w:firstRowLastColumn="0" w:lastRowFirstColumn="0" w:lastRowLastColumn="0"/>
            <w:tcW w:w="1151" w:type="pct"/>
          </w:tcPr>
          <w:p w:rsidR="003B5425" w:rsidRPr="00E44A2E" w:rsidRDefault="003B5425" w:rsidP="00A806C0">
            <w:pPr>
              <w:pStyle w:val="Tablecontents"/>
              <w:keepNext/>
              <w:spacing w:before="0" w:after="0"/>
              <w:rPr>
                <w:rFonts w:asciiTheme="minorHAnsi" w:hAnsiTheme="minorHAnsi" w:cstheme="minorHAnsi"/>
                <w:sz w:val="18"/>
                <w:szCs w:val="18"/>
              </w:rPr>
            </w:pPr>
            <w:r w:rsidRPr="00E44A2E">
              <w:rPr>
                <w:rFonts w:asciiTheme="minorHAnsi" w:hAnsiTheme="minorHAnsi" w:cstheme="minorHAnsi"/>
                <w:sz w:val="18"/>
                <w:szCs w:val="18"/>
              </w:rPr>
              <w:t>NR</w:t>
            </w:r>
          </w:p>
        </w:tc>
      </w:tr>
    </w:tbl>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Source</w:t>
      </w:r>
      <w:r w:rsidRPr="004F31B6">
        <w:rPr>
          <w:rFonts w:asciiTheme="minorHAnsi" w:hAnsiTheme="minorHAnsi" w:cstheme="minorHAnsi"/>
        </w:rPr>
        <w:t xml:space="preserve">: Adapted from pages 39 and 40 for the Referral Form; </w:t>
      </w:r>
      <w:r w:rsidRPr="004F31B6">
        <w:rPr>
          <w:rFonts w:asciiTheme="minorHAnsi" w:hAnsiTheme="minorHAnsi" w:cstheme="minorHAnsi"/>
          <w:noProof/>
        </w:rPr>
        <w:t>original source</w:t>
      </w:r>
      <w:r w:rsidRPr="004F31B6">
        <w:rPr>
          <w:rFonts w:asciiTheme="minorHAnsi" w:hAnsiTheme="minorHAnsi" w:cstheme="minorHAnsi"/>
        </w:rPr>
        <w:t>: PBS website</w:t>
      </w:r>
      <w:r w:rsidRPr="004F31B6">
        <w:rPr>
          <w:rFonts w:asciiTheme="minorHAnsi" w:hAnsiTheme="minorHAnsi" w:cstheme="minorHAnsi"/>
          <w:noProof/>
          <w:vertAlign w:val="superscript"/>
        </w:rPr>
        <w:t>36</w:t>
      </w:r>
      <w:r w:rsidRPr="004F31B6">
        <w:rPr>
          <w:rFonts w:asciiTheme="minorHAnsi" w:hAnsiTheme="minorHAnsi" w:cstheme="minorHAnsi"/>
        </w:rPr>
        <w:t xml:space="preserve"> Dosage information from Mahdi-Rogers et al. (2017)</w:t>
      </w:r>
      <w:r w:rsidRPr="004F31B6">
        <w:rPr>
          <w:rFonts w:asciiTheme="minorHAnsi" w:hAnsiTheme="minorHAnsi" w:cstheme="minorHAnsi"/>
          <w:noProof/>
          <w:vertAlign w:val="superscript"/>
        </w:rPr>
        <w:t>46</w:t>
      </w:r>
    </w:p>
    <w:p w:rsidR="003B5425" w:rsidRPr="004F31B6" w:rsidRDefault="003B5425" w:rsidP="00A806C0">
      <w:pPr>
        <w:pStyle w:val="Tablenotes"/>
        <w:rPr>
          <w:rFonts w:asciiTheme="minorHAnsi" w:hAnsiTheme="minorHAnsi" w:cstheme="minorHAnsi"/>
        </w:rPr>
      </w:pPr>
      <w:r w:rsidRPr="004F31B6">
        <w:rPr>
          <w:rFonts w:asciiTheme="minorHAnsi" w:hAnsiTheme="minorHAnsi" w:cstheme="minorHAnsi"/>
          <w:b/>
        </w:rPr>
        <w:t>Note</w:t>
      </w:r>
      <w:r w:rsidRPr="004F31B6">
        <w:rPr>
          <w:rFonts w:asciiTheme="minorHAnsi" w:hAnsiTheme="minorHAnsi" w:cstheme="minorHAnsi"/>
        </w:rPr>
        <w:t xml:space="preserve">: * = not PBS </w:t>
      </w:r>
      <w:r w:rsidRPr="004F31B6">
        <w:rPr>
          <w:rFonts w:asciiTheme="minorHAnsi" w:hAnsiTheme="minorHAnsi" w:cstheme="minorHAnsi"/>
          <w:noProof/>
        </w:rPr>
        <w:t>subsidised</w:t>
      </w:r>
      <w:r w:rsidRPr="004F31B6">
        <w:rPr>
          <w:rFonts w:asciiTheme="minorHAnsi" w:hAnsiTheme="minorHAnsi" w:cstheme="minorHAnsi"/>
        </w:rPr>
        <w:t xml:space="preserve"> for CIDP; ** only formulations that could </w:t>
      </w:r>
      <w:r w:rsidRPr="004F31B6">
        <w:rPr>
          <w:rFonts w:asciiTheme="minorHAnsi" w:hAnsiTheme="minorHAnsi" w:cstheme="minorHAnsi"/>
          <w:noProof/>
        </w:rPr>
        <w:t>be funded</w:t>
      </w:r>
      <w:r w:rsidRPr="004F31B6">
        <w:rPr>
          <w:rFonts w:asciiTheme="minorHAnsi" w:hAnsiTheme="minorHAnsi" w:cstheme="minorHAnsi"/>
        </w:rPr>
        <w:t xml:space="preserve"> for CIDP included (</w:t>
      </w:r>
      <w:r w:rsidRPr="004F31B6">
        <w:rPr>
          <w:rFonts w:asciiTheme="minorHAnsi" w:hAnsiTheme="minorHAnsi" w:cstheme="minorHAnsi"/>
          <w:noProof/>
        </w:rPr>
        <w:t>i.e.,</w:t>
      </w:r>
      <w:r w:rsidRPr="004F31B6">
        <w:rPr>
          <w:rFonts w:asciiTheme="minorHAnsi" w:hAnsiTheme="minorHAnsi" w:cstheme="minorHAnsi"/>
        </w:rPr>
        <w:t xml:space="preserve"> where no authority required or where authority includes CIDP patients)</w:t>
      </w:r>
    </w:p>
    <w:p w:rsidR="003B5425" w:rsidRPr="00FA2F09" w:rsidRDefault="003B5425" w:rsidP="00A806C0">
      <w:pPr>
        <w:pStyle w:val="Tablenotes"/>
      </w:pPr>
      <w:r w:rsidRPr="004F31B6">
        <w:rPr>
          <w:rFonts w:asciiTheme="minorHAnsi" w:hAnsiTheme="minorHAnsi" w:cstheme="minorHAnsi"/>
          <w:b/>
        </w:rPr>
        <w:t>Abbreviations</w:t>
      </w:r>
      <w:r w:rsidRPr="004F31B6">
        <w:rPr>
          <w:rFonts w:asciiTheme="minorHAnsi" w:hAnsiTheme="minorHAnsi" w:cstheme="minorHAnsi"/>
        </w:rPr>
        <w:t xml:space="preserve">: </w:t>
      </w:r>
      <w:r w:rsidRPr="004F31B6">
        <w:rPr>
          <w:rFonts w:asciiTheme="minorHAnsi" w:hAnsiTheme="minorHAnsi" w:cstheme="minorHAnsi"/>
          <w:b/>
        </w:rPr>
        <w:t>CIDP</w:t>
      </w:r>
      <w:r w:rsidRPr="004F31B6">
        <w:rPr>
          <w:rFonts w:asciiTheme="minorHAnsi" w:hAnsiTheme="minorHAnsi" w:cstheme="minorHAnsi"/>
        </w:rPr>
        <w:t xml:space="preserve"> = Chronic inflammatory demyelinating polyneuropathy, </w:t>
      </w:r>
      <w:r w:rsidRPr="004F31B6">
        <w:rPr>
          <w:rFonts w:asciiTheme="minorHAnsi" w:hAnsiTheme="minorHAnsi" w:cstheme="minorHAnsi"/>
          <w:b/>
        </w:rPr>
        <w:t>MR</w:t>
      </w:r>
      <w:r w:rsidRPr="004F31B6">
        <w:rPr>
          <w:rFonts w:asciiTheme="minorHAnsi" w:hAnsiTheme="minorHAnsi" w:cstheme="minorHAnsi"/>
        </w:rPr>
        <w:t xml:space="preserve"> = Modified release, </w:t>
      </w:r>
      <w:r w:rsidRPr="004F31B6">
        <w:rPr>
          <w:rFonts w:asciiTheme="minorHAnsi" w:hAnsiTheme="minorHAnsi" w:cstheme="minorHAnsi"/>
          <w:b/>
        </w:rPr>
        <w:t>NA</w:t>
      </w:r>
      <w:r w:rsidRPr="004F31B6">
        <w:rPr>
          <w:rFonts w:asciiTheme="minorHAnsi" w:hAnsiTheme="minorHAnsi" w:cstheme="minorHAnsi"/>
        </w:rPr>
        <w:t xml:space="preserve"> = Not applicable, </w:t>
      </w:r>
      <w:r w:rsidRPr="004F31B6">
        <w:rPr>
          <w:rFonts w:asciiTheme="minorHAnsi" w:hAnsiTheme="minorHAnsi" w:cstheme="minorHAnsi"/>
          <w:b/>
        </w:rPr>
        <w:t>NR</w:t>
      </w:r>
      <w:r w:rsidR="00921255">
        <w:rPr>
          <w:rFonts w:asciiTheme="minorHAnsi" w:hAnsiTheme="minorHAnsi" w:cstheme="minorHAnsi"/>
        </w:rPr>
        <w:t xml:space="preserve"> = Not reported,</w:t>
      </w:r>
      <w:r w:rsidRPr="004F31B6">
        <w:rPr>
          <w:rFonts w:asciiTheme="minorHAnsi" w:hAnsiTheme="minorHAnsi" w:cstheme="minorHAnsi"/>
        </w:rPr>
        <w:t xml:space="preserve"> </w:t>
      </w:r>
      <w:r w:rsidRPr="004F31B6">
        <w:rPr>
          <w:rFonts w:asciiTheme="minorHAnsi" w:hAnsiTheme="minorHAnsi" w:cstheme="minorHAnsi"/>
          <w:b/>
        </w:rPr>
        <w:t>PBS</w:t>
      </w:r>
      <w:r w:rsidRPr="004F31B6">
        <w:rPr>
          <w:rFonts w:asciiTheme="minorHAnsi" w:hAnsiTheme="minorHAnsi" w:cstheme="minorHAnsi"/>
        </w:rPr>
        <w:t xml:space="preserve"> = Pharmaceutical Benefits Scheme</w:t>
      </w:r>
      <w:r w:rsidRPr="00FA2F09">
        <w:t>.</w:t>
      </w:r>
    </w:p>
    <w:p w:rsidR="003B5425" w:rsidRDefault="003B5425" w:rsidP="00A806C0">
      <w:r>
        <w:lastRenderedPageBreak/>
        <w:t xml:space="preserve">The Referral </w:t>
      </w:r>
      <w:r w:rsidR="00AF5D93">
        <w:t>F</w:t>
      </w:r>
      <w:r>
        <w:t xml:space="preserve">orm (page 38) notes that, in addition to the treatments listed in </w:t>
      </w:r>
      <w:r>
        <w:fldChar w:fldCharType="begin"/>
      </w:r>
      <w:r>
        <w:instrText xml:space="preserve"> REF _Ref535414848 \h </w:instrText>
      </w:r>
      <w:r>
        <w:fldChar w:fldCharType="separate"/>
      </w:r>
      <w:r w:rsidR="002865BA" w:rsidRPr="00E44A2E">
        <w:rPr>
          <w:rFonts w:asciiTheme="minorHAnsi" w:hAnsiTheme="minorHAnsi" w:cstheme="minorHAnsi"/>
          <w:sz w:val="18"/>
          <w:szCs w:val="18"/>
        </w:rPr>
        <w:t xml:space="preserve">Table </w:t>
      </w:r>
      <w:r w:rsidR="002865BA">
        <w:rPr>
          <w:rFonts w:asciiTheme="minorHAnsi" w:hAnsiTheme="minorHAnsi" w:cstheme="minorHAnsi"/>
          <w:noProof/>
          <w:sz w:val="18"/>
          <w:szCs w:val="18"/>
        </w:rPr>
        <w:t>12</w:t>
      </w:r>
      <w:r>
        <w:fldChar w:fldCharType="end"/>
      </w:r>
      <w:r>
        <w:t xml:space="preserve">, Alemtuzumab and tacrolimus (with cyclosporin) </w:t>
      </w:r>
      <w:r w:rsidRPr="004E1DB3">
        <w:rPr>
          <w:noProof/>
        </w:rPr>
        <w:t>are also used</w:t>
      </w:r>
      <w:r>
        <w:t xml:space="preserve"> for CIDP; however, their use is rare and only when other therapies are unsuitable or unavailable</w:t>
      </w:r>
      <w:r w:rsidRPr="004E1DB3">
        <w:rPr>
          <w:noProof/>
        </w:rPr>
        <w:t>.</w:t>
      </w:r>
      <w:r>
        <w:rPr>
          <w:noProof/>
        </w:rPr>
        <w:t xml:space="preserve"> </w:t>
      </w:r>
      <w:r w:rsidRPr="004E1DB3">
        <w:rPr>
          <w:noProof/>
        </w:rPr>
        <w:t>Similarly</w:t>
      </w:r>
      <w:r>
        <w:t xml:space="preserve">, autologous transplant; involving the harvesting of a patient’s </w:t>
      </w:r>
      <w:r w:rsidRPr="004E1DB3">
        <w:rPr>
          <w:noProof/>
        </w:rPr>
        <w:t>own</w:t>
      </w:r>
      <w:r>
        <w:t xml:space="preserve"> bone marrow stem cells followed by immune system ablation and reconstitution with the stored stem cells, is a rarely used treatment for CIDP. Expert opinion suggested that these do </w:t>
      </w:r>
      <w:r w:rsidRPr="004E1DB3">
        <w:rPr>
          <w:noProof/>
        </w:rPr>
        <w:t>no</w:t>
      </w:r>
      <w:r w:rsidRPr="004132A9">
        <w:rPr>
          <w:noProof/>
        </w:rPr>
        <w:t>t</w:t>
      </w:r>
      <w:r>
        <w:t xml:space="preserve"> need </w:t>
      </w:r>
      <w:r w:rsidRPr="004E1DB3">
        <w:rPr>
          <w:noProof/>
        </w:rPr>
        <w:t>be included</w:t>
      </w:r>
      <w:r>
        <w:t xml:space="preserve"> as comparators in the review given their rarity.</w:t>
      </w:r>
      <w:r w:rsidRPr="008D52B0">
        <w:rPr>
          <w:noProof/>
          <w:vertAlign w:val="superscript"/>
        </w:rPr>
        <w:t>1</w:t>
      </w:r>
      <w:r>
        <w:t xml:space="preserve"> </w:t>
      </w:r>
    </w:p>
    <w:p w:rsidR="003B5425" w:rsidRDefault="003B5425" w:rsidP="00A806C0">
      <w:r>
        <w:t xml:space="preserve">Expert advice is that immunosuppressants </w:t>
      </w:r>
      <w:r w:rsidRPr="004E1DB3">
        <w:rPr>
          <w:noProof/>
        </w:rPr>
        <w:t>are not used</w:t>
      </w:r>
      <w:r>
        <w:t xml:space="preserve"> in Australia as a stand-alone treatment for CIDP; rather they are initiated alongside </w:t>
      </w:r>
      <w:r w:rsidR="00B615FA">
        <w:t>corticosteroids</w:t>
      </w:r>
      <w:r>
        <w:t xml:space="preserve"> (although they may </w:t>
      </w:r>
      <w:r w:rsidRPr="004E1DB3">
        <w:rPr>
          <w:noProof/>
        </w:rPr>
        <w:t>be continued</w:t>
      </w:r>
      <w:r>
        <w:t xml:space="preserve"> following tapering of steroid dosage). </w:t>
      </w:r>
      <w:r w:rsidRPr="004E1DB3">
        <w:rPr>
          <w:noProof/>
        </w:rPr>
        <w:t>This</w:t>
      </w:r>
      <w:r>
        <w:t xml:space="preserve"> is reportedly due to the long onset period before immunosuppressants provide </w:t>
      </w:r>
      <w:r w:rsidRPr="004E1DB3">
        <w:rPr>
          <w:noProof/>
        </w:rPr>
        <w:t>effective</w:t>
      </w:r>
      <w:r>
        <w:t xml:space="preserve"> therapy against CIDP in comparison to the short mode of action associated with </w:t>
      </w:r>
      <w:r w:rsidR="00B615FA">
        <w:t>corticosteroids</w:t>
      </w:r>
      <w:r>
        <w:t>.</w:t>
      </w:r>
      <w:r w:rsidRPr="00C45A8F">
        <w:rPr>
          <w:noProof/>
          <w:vertAlign w:val="superscript"/>
        </w:rPr>
        <w:t>11</w:t>
      </w:r>
      <w:r>
        <w:t xml:space="preserve"> Nonetheless, the Reference Group noted that any information comparing Ig directly against non-steroid immunosuppressants would be of interest and should </w:t>
      </w:r>
      <w:r w:rsidRPr="004E1DB3">
        <w:rPr>
          <w:noProof/>
        </w:rPr>
        <w:t>be included</w:t>
      </w:r>
      <w:r>
        <w:t xml:space="preserve"> in the review. </w:t>
      </w:r>
    </w:p>
    <w:p w:rsidR="003B5425" w:rsidRDefault="003B5425" w:rsidP="00A806C0">
      <w:pPr>
        <w:pStyle w:val="Heading3"/>
      </w:pPr>
      <w:r>
        <w:t>No treatment</w:t>
      </w:r>
    </w:p>
    <w:p w:rsidR="003B5425" w:rsidRPr="002657C7" w:rsidRDefault="003B5425" w:rsidP="00A806C0">
      <w:r>
        <w:t xml:space="preserve">In addition to the above listed active </w:t>
      </w:r>
      <w:r w:rsidRPr="004E1DB3">
        <w:rPr>
          <w:noProof/>
        </w:rPr>
        <w:t>comparators</w:t>
      </w:r>
      <w:r>
        <w:rPr>
          <w:noProof/>
        </w:rPr>
        <w:t>,</w:t>
      </w:r>
      <w:r>
        <w:t xml:space="preserve"> the review should also investigate the comparison between Ig and no treatment (</w:t>
      </w:r>
      <w:r w:rsidR="00250B71">
        <w:rPr>
          <w:noProof/>
        </w:rPr>
        <w:t>No Ig</w:t>
      </w:r>
      <w:r w:rsidRPr="004E1DB3">
        <w:rPr>
          <w:noProof/>
        </w:rPr>
        <w:t>-controlled</w:t>
      </w:r>
      <w:r>
        <w:t xml:space="preserve"> trials).</w:t>
      </w:r>
    </w:p>
    <w:p w:rsidR="003B5425" w:rsidRDefault="003B5425" w:rsidP="00A806C0">
      <w:pPr>
        <w:pStyle w:val="Heading3"/>
        <w:rPr>
          <w:i w:val="0"/>
        </w:rPr>
      </w:pPr>
      <w:r>
        <w:t>Rationale</w:t>
      </w:r>
    </w:p>
    <w:p w:rsidR="003B5425" w:rsidRDefault="003B5425" w:rsidP="00A806C0">
      <w:r>
        <w:t>The Referral Form lists Etanercept and Interferons as comparator treatments which are excluded from the review as they have an established lack of efficacy for CIDP (</w:t>
      </w:r>
      <w:r w:rsidR="00AF5D93">
        <w:t>R</w:t>
      </w:r>
      <w:r>
        <w:t xml:space="preserve">eferral </w:t>
      </w:r>
      <w:r w:rsidR="00AF5D93">
        <w:t>F</w:t>
      </w:r>
      <w:r>
        <w:t xml:space="preserve">orm page 38). </w:t>
      </w:r>
    </w:p>
    <w:p w:rsidR="003B5425" w:rsidRPr="001478C1" w:rsidRDefault="003B5425" w:rsidP="00A806C0">
      <w:r>
        <w:t xml:space="preserve">The </w:t>
      </w:r>
      <w:r w:rsidR="00AF5D93">
        <w:t>R</w:t>
      </w:r>
      <w:r>
        <w:t xml:space="preserve">eferral </w:t>
      </w:r>
      <w:r w:rsidR="00AF5D93">
        <w:t>F</w:t>
      </w:r>
      <w:r>
        <w:t xml:space="preserve">orm lists </w:t>
      </w:r>
      <w:r w:rsidRPr="00410297">
        <w:rPr>
          <w:noProof/>
        </w:rPr>
        <w:t>Fc</w:t>
      </w:r>
      <w:r>
        <w:t xml:space="preserve"> receptor (FcRn) inhibitors as a potentially emerging treatment for CIDP. FcRn inhibitors are monoclonal antibodies that inhibit the FcRn responsible for recycling IgG and keeping IgG circulating. Inhibition of FcRn is therefore </w:t>
      </w:r>
      <w:r w:rsidRPr="00410297">
        <w:rPr>
          <w:noProof/>
        </w:rPr>
        <w:t>hypothesised</w:t>
      </w:r>
      <w:r>
        <w:t xml:space="preserve"> to lower IgG levels.</w:t>
      </w:r>
      <w:r w:rsidRPr="008D52B0">
        <w:rPr>
          <w:noProof/>
          <w:vertAlign w:val="superscript"/>
        </w:rPr>
        <w:t>47</w:t>
      </w:r>
      <w:r>
        <w:t xml:space="preserve"> A targeted search of the literature found that does not yet appear to </w:t>
      </w:r>
      <w:r w:rsidRPr="00410297">
        <w:rPr>
          <w:noProof/>
        </w:rPr>
        <w:t>be trialled</w:t>
      </w:r>
      <w:r>
        <w:t xml:space="preserve"> as a treatment for CIDP.</w:t>
      </w:r>
    </w:p>
    <w:p w:rsidR="00E44A2E" w:rsidRDefault="00E44A2E">
      <w:pPr>
        <w:rPr>
          <w:rFonts w:asciiTheme="minorHAnsi" w:hAnsiTheme="minorHAnsi" w:cstheme="minorHAnsi"/>
          <w:b/>
          <w:sz w:val="26"/>
        </w:rPr>
      </w:pPr>
      <w:r>
        <w:rPr>
          <w:rFonts w:asciiTheme="minorHAnsi" w:hAnsiTheme="minorHAnsi" w:cstheme="minorHAnsi"/>
        </w:rPr>
        <w:br w:type="page"/>
      </w:r>
    </w:p>
    <w:p w:rsidR="003B5425" w:rsidRPr="00E44A2E" w:rsidRDefault="003B5425" w:rsidP="00EE4E9C">
      <w:pPr>
        <w:pStyle w:val="Heading1"/>
      </w:pPr>
      <w:r w:rsidRPr="00E44A2E">
        <w:lastRenderedPageBreak/>
        <w:t>Outcomes</w:t>
      </w:r>
    </w:p>
    <w:p w:rsidR="003B5425" w:rsidRPr="00E44A2E" w:rsidRDefault="003B5425" w:rsidP="00A806C0">
      <w:pPr>
        <w:rPr>
          <w:rFonts w:asciiTheme="minorHAnsi" w:hAnsiTheme="minorHAnsi" w:cstheme="minorHAnsi"/>
        </w:rPr>
      </w:pPr>
      <w:r w:rsidRPr="00E44A2E">
        <w:rPr>
          <w:rFonts w:asciiTheme="minorHAnsi" w:hAnsiTheme="minorHAnsi" w:cstheme="minorHAnsi"/>
        </w:rPr>
        <w:t>The outcomes identified by the Referrer (Referral Form, page 43) are as follows:</w:t>
      </w:r>
    </w:p>
    <w:p w:rsidR="003B5425" w:rsidRPr="00E44A2E" w:rsidRDefault="003B5425" w:rsidP="00A806C0">
      <w:pPr>
        <w:pStyle w:val="Heading3"/>
        <w:rPr>
          <w:rFonts w:asciiTheme="minorHAnsi" w:hAnsiTheme="minorHAnsi" w:cstheme="minorHAnsi"/>
          <w:i w:val="0"/>
        </w:rPr>
      </w:pPr>
      <w:r w:rsidRPr="00E44A2E">
        <w:rPr>
          <w:rFonts w:asciiTheme="minorHAnsi" w:hAnsiTheme="minorHAnsi" w:cstheme="minorHAnsi"/>
          <w:noProof/>
        </w:rPr>
        <w:t>Patient relevant</w:t>
      </w:r>
    </w:p>
    <w:p w:rsidR="00753A74" w:rsidRPr="00E44A2E" w:rsidRDefault="00753A74" w:rsidP="00753A74">
      <w:pPr>
        <w:pStyle w:val="Tablecontents"/>
        <w:spacing w:line="276" w:lineRule="auto"/>
        <w:rPr>
          <w:rFonts w:asciiTheme="minorHAnsi" w:hAnsiTheme="minorHAnsi" w:cstheme="minorHAnsi"/>
          <w:b/>
          <w:bCs/>
          <w:i/>
          <w:iCs/>
        </w:rPr>
      </w:pPr>
      <w:r w:rsidRPr="00E44A2E">
        <w:rPr>
          <w:rFonts w:asciiTheme="minorHAnsi" w:hAnsiTheme="minorHAnsi" w:cstheme="minorHAnsi"/>
          <w:b/>
          <w:bCs/>
          <w:i/>
          <w:iCs/>
        </w:rPr>
        <w:t>The outcomes listed are those identified in the development of the PICO. Additional or more specific outcomes identified during the evaluation process that are considered relevant to the intervention or comparator treatment may be addressed in the evaluation report (Contracted Assessment). Broadly the outcomes identified pre assessment and considered in scope are:</w:t>
      </w:r>
    </w:p>
    <w:p w:rsidR="00E44A2E" w:rsidRDefault="00E44A2E" w:rsidP="00753A74">
      <w:pPr>
        <w:pStyle w:val="Tablecontents"/>
        <w:spacing w:line="276" w:lineRule="auto"/>
        <w:rPr>
          <w:rFonts w:asciiTheme="minorHAnsi" w:hAnsiTheme="minorHAnsi" w:cstheme="minorHAnsi"/>
          <w:i/>
          <w:iCs/>
        </w:rPr>
      </w:pPr>
    </w:p>
    <w:p w:rsidR="00753A74" w:rsidRPr="00E44A2E" w:rsidRDefault="00753A74" w:rsidP="00753A74">
      <w:pPr>
        <w:pStyle w:val="Tablecontents"/>
        <w:spacing w:line="276" w:lineRule="auto"/>
        <w:rPr>
          <w:rFonts w:asciiTheme="minorHAnsi" w:hAnsiTheme="minorHAnsi" w:cstheme="minorHAnsi"/>
          <w:i/>
          <w:iCs/>
        </w:rPr>
      </w:pPr>
      <w:r w:rsidRPr="00E44A2E">
        <w:rPr>
          <w:rFonts w:asciiTheme="minorHAnsi" w:hAnsiTheme="minorHAnsi" w:cstheme="minorHAnsi"/>
          <w:i/>
          <w:iCs/>
        </w:rPr>
        <w:t xml:space="preserve">Safety </w:t>
      </w:r>
      <w:r w:rsidR="00AF5D93">
        <w:rPr>
          <w:rFonts w:asciiTheme="minorHAnsi" w:hAnsiTheme="minorHAnsi" w:cstheme="minorHAnsi"/>
          <w:i/>
          <w:iCs/>
        </w:rPr>
        <w:t>o</w:t>
      </w:r>
      <w:r w:rsidRPr="00E44A2E">
        <w:rPr>
          <w:rFonts w:asciiTheme="minorHAnsi" w:hAnsiTheme="minorHAnsi" w:cstheme="minorHAnsi"/>
          <w:i/>
          <w:iCs/>
        </w:rPr>
        <w:t>utcomes:</w:t>
      </w:r>
    </w:p>
    <w:p w:rsidR="00753A74" w:rsidRPr="00E44A2E" w:rsidRDefault="00753A74" w:rsidP="00921255">
      <w:pPr>
        <w:pStyle w:val="Tablecontents"/>
        <w:numPr>
          <w:ilvl w:val="0"/>
          <w:numId w:val="17"/>
        </w:numPr>
        <w:spacing w:line="276" w:lineRule="auto"/>
        <w:ind w:left="851" w:hanging="284"/>
        <w:rPr>
          <w:rFonts w:asciiTheme="minorHAnsi" w:hAnsiTheme="minorHAnsi" w:cstheme="minorHAnsi"/>
          <w:i/>
          <w:iCs/>
        </w:rPr>
      </w:pPr>
      <w:r w:rsidRPr="00E44A2E">
        <w:rPr>
          <w:rFonts w:asciiTheme="minorHAnsi" w:hAnsiTheme="minorHAnsi" w:cstheme="minorHAnsi"/>
        </w:rPr>
        <w:t>Adverse events including development of disease or side effects (e.g. infections, diabetes, hypertension, cardiovascular disease)</w:t>
      </w:r>
    </w:p>
    <w:p w:rsidR="00753A74" w:rsidRPr="00E44A2E" w:rsidRDefault="00753A74" w:rsidP="00753A74">
      <w:pPr>
        <w:pStyle w:val="Tablecontents"/>
        <w:spacing w:line="276" w:lineRule="auto"/>
        <w:rPr>
          <w:rFonts w:asciiTheme="minorHAnsi" w:hAnsiTheme="minorHAnsi" w:cstheme="minorHAnsi"/>
          <w:i/>
          <w:iCs/>
        </w:rPr>
      </w:pPr>
      <w:r w:rsidRPr="00E44A2E">
        <w:rPr>
          <w:rFonts w:asciiTheme="minorHAnsi" w:hAnsiTheme="minorHAnsi" w:cstheme="minorHAnsi"/>
          <w:i/>
          <w:iCs/>
        </w:rPr>
        <w:t>Clinical effectiveness outcomes:</w:t>
      </w:r>
    </w:p>
    <w:p w:rsidR="00753A74" w:rsidRPr="00921255" w:rsidRDefault="00753A74" w:rsidP="00921255">
      <w:pPr>
        <w:pStyle w:val="Tablecontents"/>
        <w:numPr>
          <w:ilvl w:val="0"/>
          <w:numId w:val="17"/>
        </w:numPr>
        <w:spacing w:line="276" w:lineRule="auto"/>
        <w:ind w:left="851" w:hanging="284"/>
        <w:rPr>
          <w:rFonts w:asciiTheme="minorHAnsi" w:hAnsiTheme="minorHAnsi" w:cstheme="minorHAnsi"/>
        </w:rPr>
      </w:pPr>
      <w:r w:rsidRPr="00E44A2E">
        <w:rPr>
          <w:rFonts w:asciiTheme="minorHAnsi" w:hAnsiTheme="minorHAnsi" w:cstheme="minorHAnsi"/>
        </w:rPr>
        <w:t>Change in disability: (e.g. Overall Neuropathy Limitations Scale (ONLS) score, Six-Minute Walk Test (6MWT) in children only)</w:t>
      </w:r>
    </w:p>
    <w:p w:rsidR="00753A74" w:rsidRPr="00E44A2E" w:rsidRDefault="00753A74" w:rsidP="00921255">
      <w:pPr>
        <w:pStyle w:val="Tablecontents"/>
        <w:numPr>
          <w:ilvl w:val="0"/>
          <w:numId w:val="17"/>
        </w:numPr>
        <w:spacing w:line="276" w:lineRule="auto"/>
        <w:ind w:left="851" w:hanging="284"/>
        <w:rPr>
          <w:rFonts w:asciiTheme="minorHAnsi" w:hAnsiTheme="minorHAnsi" w:cstheme="minorHAnsi"/>
        </w:rPr>
      </w:pPr>
      <w:r w:rsidRPr="00E44A2E">
        <w:rPr>
          <w:rFonts w:asciiTheme="minorHAnsi" w:hAnsiTheme="minorHAnsi" w:cstheme="minorHAnsi"/>
        </w:rPr>
        <w:t xml:space="preserve">Change in muscle strength (e.g. Medical Research Council (MRC) Sum (12) in adults, Modified Rankin Scale (MRS) in children) </w:t>
      </w:r>
    </w:p>
    <w:p w:rsidR="00753A74" w:rsidRPr="00921255" w:rsidRDefault="00753A74" w:rsidP="00921255">
      <w:pPr>
        <w:pStyle w:val="Tablecontents"/>
        <w:numPr>
          <w:ilvl w:val="0"/>
          <w:numId w:val="17"/>
        </w:numPr>
        <w:spacing w:line="276" w:lineRule="auto"/>
        <w:ind w:left="851" w:hanging="284"/>
        <w:rPr>
          <w:rFonts w:asciiTheme="minorHAnsi" w:hAnsiTheme="minorHAnsi" w:cstheme="minorHAnsi"/>
        </w:rPr>
      </w:pPr>
      <w:r w:rsidRPr="00E44A2E">
        <w:rPr>
          <w:rFonts w:asciiTheme="minorHAnsi" w:hAnsiTheme="minorHAnsi" w:cstheme="minorHAnsi"/>
        </w:rPr>
        <w:t>Change in quality of life</w:t>
      </w:r>
    </w:p>
    <w:p w:rsidR="00753A74" w:rsidRPr="00E44A2E" w:rsidRDefault="00753A74" w:rsidP="00921255">
      <w:pPr>
        <w:pStyle w:val="Tablecontents"/>
        <w:numPr>
          <w:ilvl w:val="0"/>
          <w:numId w:val="17"/>
        </w:numPr>
        <w:spacing w:line="276" w:lineRule="auto"/>
        <w:ind w:left="851" w:hanging="284"/>
        <w:rPr>
          <w:rFonts w:asciiTheme="minorHAnsi" w:hAnsiTheme="minorHAnsi" w:cstheme="minorHAnsi"/>
          <w:i/>
          <w:iCs/>
        </w:rPr>
      </w:pPr>
      <w:r w:rsidRPr="00E44A2E">
        <w:rPr>
          <w:rFonts w:asciiTheme="minorHAnsi" w:hAnsiTheme="minorHAnsi" w:cstheme="minorHAnsi"/>
        </w:rPr>
        <w:t xml:space="preserve">Mortality </w:t>
      </w:r>
    </w:p>
    <w:p w:rsidR="00753A74" w:rsidRPr="00E44A2E" w:rsidRDefault="00753A74" w:rsidP="00753A74">
      <w:pPr>
        <w:pStyle w:val="Tablecontents"/>
        <w:spacing w:line="276" w:lineRule="auto"/>
        <w:rPr>
          <w:rFonts w:asciiTheme="minorHAnsi" w:hAnsiTheme="minorHAnsi" w:cstheme="minorHAnsi"/>
          <w:i/>
          <w:iCs/>
        </w:rPr>
      </w:pPr>
      <w:r w:rsidRPr="00E44A2E">
        <w:rPr>
          <w:rFonts w:asciiTheme="minorHAnsi" w:hAnsiTheme="minorHAnsi" w:cstheme="minorHAnsi"/>
          <w:i/>
          <w:iCs/>
        </w:rPr>
        <w:t>Healthcare system resources utilisation</w:t>
      </w:r>
    </w:p>
    <w:p w:rsidR="00753A74" w:rsidRPr="00E44A2E" w:rsidRDefault="00753A74" w:rsidP="00921255">
      <w:pPr>
        <w:pStyle w:val="Tablecontents"/>
        <w:numPr>
          <w:ilvl w:val="0"/>
          <w:numId w:val="17"/>
        </w:numPr>
        <w:spacing w:line="276" w:lineRule="auto"/>
        <w:ind w:left="851" w:hanging="284"/>
        <w:rPr>
          <w:rFonts w:asciiTheme="minorHAnsi" w:hAnsiTheme="minorHAnsi" w:cstheme="minorHAnsi"/>
        </w:rPr>
      </w:pPr>
      <w:r w:rsidRPr="00E44A2E">
        <w:rPr>
          <w:rFonts w:asciiTheme="minorHAnsi" w:hAnsiTheme="minorHAnsi" w:cstheme="minorHAnsi"/>
        </w:rPr>
        <w:t xml:space="preserve">Changes in health system resource utilisation associated with the intervention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 xml:space="preserve">Ig products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 xml:space="preserve">Infusion equipment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Administrative and clinician time (e.g. resources associated with requesting, and authorising, access to Ig</w:t>
      </w:r>
      <w:r w:rsidR="00DA2F29">
        <w:rPr>
          <w:rFonts w:asciiTheme="minorHAnsi" w:hAnsiTheme="minorHAnsi" w:cstheme="minorHAnsi"/>
        </w:rPr>
        <w:t>)</w:t>
      </w:r>
      <w:r w:rsidRPr="00E44A2E">
        <w:rPr>
          <w:rFonts w:asciiTheme="minorHAnsi" w:hAnsiTheme="minorHAnsi" w:cstheme="minorHAnsi"/>
        </w:rPr>
        <w:t xml:space="preserve">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Nursing time (for initiation and monitoring if IVIg)</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Hospitalisation (including use of hospital resources)</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Medication to treat of adverse events (e.g. analgesia or antihistamines)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Training of patient or carer to provide infusions (SCIg only</w:t>
      </w:r>
      <w:r w:rsidR="00DA2F29">
        <w:rPr>
          <w:rFonts w:asciiTheme="minorHAnsi" w:hAnsiTheme="minorHAnsi" w:cstheme="minorHAnsi"/>
        </w:rPr>
        <w:t>)</w:t>
      </w:r>
      <w:r w:rsidRPr="00E44A2E">
        <w:rPr>
          <w:rFonts w:asciiTheme="minorHAnsi" w:hAnsiTheme="minorHAnsi" w:cstheme="minorHAnsi"/>
        </w:rPr>
        <w:t xml:space="preserve"> </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Product dispensing and disposal of any unused product</w:t>
      </w:r>
    </w:p>
    <w:p w:rsidR="00753A74" w:rsidRPr="00E44A2E" w:rsidRDefault="00753A74" w:rsidP="009764F3">
      <w:pPr>
        <w:pStyle w:val="Tablecontents"/>
        <w:numPr>
          <w:ilvl w:val="0"/>
          <w:numId w:val="18"/>
        </w:numPr>
        <w:spacing w:line="276" w:lineRule="auto"/>
        <w:rPr>
          <w:rFonts w:asciiTheme="minorHAnsi" w:hAnsiTheme="minorHAnsi" w:cstheme="minorHAnsi"/>
        </w:rPr>
      </w:pPr>
      <w:r w:rsidRPr="00E44A2E">
        <w:rPr>
          <w:rFonts w:asciiTheme="minorHAnsi" w:hAnsiTheme="minorHAnsi" w:cstheme="minorHAnsi"/>
        </w:rPr>
        <w:t>Follow-up and/or monitoring visits, including regular neurology visits</w:t>
      </w:r>
    </w:p>
    <w:p w:rsidR="00753A74" w:rsidRPr="00E44A2E" w:rsidRDefault="00753A74" w:rsidP="00921255">
      <w:pPr>
        <w:pStyle w:val="Tablecontents"/>
        <w:numPr>
          <w:ilvl w:val="0"/>
          <w:numId w:val="17"/>
        </w:numPr>
        <w:spacing w:line="276" w:lineRule="auto"/>
        <w:ind w:left="851" w:hanging="284"/>
        <w:rPr>
          <w:rFonts w:asciiTheme="minorHAnsi" w:hAnsiTheme="minorHAnsi" w:cstheme="minorHAnsi"/>
        </w:rPr>
      </w:pPr>
      <w:r w:rsidRPr="00E44A2E">
        <w:rPr>
          <w:rFonts w:asciiTheme="minorHAnsi" w:hAnsiTheme="minorHAnsi" w:cstheme="minorHAnsi"/>
        </w:rPr>
        <w:t>Change in health system resource utilisation associated with the comparators</w:t>
      </w:r>
    </w:p>
    <w:p w:rsidR="00753A74" w:rsidRPr="00E44A2E" w:rsidRDefault="00753A74" w:rsidP="009764F3">
      <w:pPr>
        <w:pStyle w:val="Tablecontents"/>
        <w:numPr>
          <w:ilvl w:val="0"/>
          <w:numId w:val="19"/>
        </w:numPr>
        <w:spacing w:line="276" w:lineRule="auto"/>
        <w:rPr>
          <w:rFonts w:asciiTheme="minorHAnsi" w:hAnsiTheme="minorHAnsi" w:cstheme="minorHAnsi"/>
        </w:rPr>
      </w:pPr>
      <w:r w:rsidRPr="00E44A2E">
        <w:rPr>
          <w:rFonts w:asciiTheme="minorHAnsi" w:hAnsiTheme="minorHAnsi" w:cstheme="minorHAnsi"/>
        </w:rPr>
        <w:t xml:space="preserve">Comparator products </w:t>
      </w:r>
    </w:p>
    <w:p w:rsidR="00753A74" w:rsidRPr="00E44A2E" w:rsidRDefault="00753A74" w:rsidP="009764F3">
      <w:pPr>
        <w:pStyle w:val="Tablecontents"/>
        <w:numPr>
          <w:ilvl w:val="0"/>
          <w:numId w:val="19"/>
        </w:numPr>
        <w:spacing w:line="276" w:lineRule="auto"/>
        <w:rPr>
          <w:rFonts w:asciiTheme="minorHAnsi" w:hAnsiTheme="minorHAnsi" w:cstheme="minorHAnsi"/>
        </w:rPr>
      </w:pPr>
      <w:r w:rsidRPr="00E44A2E">
        <w:rPr>
          <w:rFonts w:asciiTheme="minorHAnsi" w:hAnsiTheme="minorHAnsi" w:cstheme="minorHAnsi"/>
        </w:rPr>
        <w:t>Resources to deliver the comparator (eg hospital and staff time for IV steroids and plasma exchange, dispensing for oral treatments)</w:t>
      </w:r>
    </w:p>
    <w:p w:rsidR="00753A74" w:rsidRPr="00E44A2E" w:rsidRDefault="00753A74" w:rsidP="009764F3">
      <w:pPr>
        <w:pStyle w:val="Tablecontents"/>
        <w:numPr>
          <w:ilvl w:val="0"/>
          <w:numId w:val="19"/>
        </w:numPr>
        <w:spacing w:line="276" w:lineRule="auto"/>
        <w:rPr>
          <w:rFonts w:asciiTheme="minorHAnsi" w:hAnsiTheme="minorHAnsi" w:cstheme="minorHAnsi"/>
        </w:rPr>
      </w:pPr>
      <w:r w:rsidRPr="00E44A2E">
        <w:rPr>
          <w:rFonts w:asciiTheme="minorHAnsi" w:hAnsiTheme="minorHAnsi" w:cstheme="minorHAnsi"/>
        </w:rPr>
        <w:t>Hospitalisation</w:t>
      </w:r>
    </w:p>
    <w:p w:rsidR="00753A74" w:rsidRPr="00E44A2E" w:rsidRDefault="00753A74" w:rsidP="009764F3">
      <w:pPr>
        <w:pStyle w:val="Tablecontents"/>
        <w:numPr>
          <w:ilvl w:val="0"/>
          <w:numId w:val="19"/>
        </w:numPr>
        <w:spacing w:line="276" w:lineRule="auto"/>
        <w:rPr>
          <w:rFonts w:asciiTheme="minorHAnsi" w:hAnsiTheme="minorHAnsi" w:cstheme="minorHAnsi"/>
        </w:rPr>
      </w:pPr>
      <w:r w:rsidRPr="00E44A2E">
        <w:rPr>
          <w:rFonts w:asciiTheme="minorHAnsi" w:hAnsiTheme="minorHAnsi" w:cstheme="minorHAnsi"/>
        </w:rPr>
        <w:t>Treatment of adverse events</w:t>
      </w:r>
    </w:p>
    <w:p w:rsidR="00753A74" w:rsidRPr="00E44A2E" w:rsidRDefault="00753A74" w:rsidP="009764F3">
      <w:pPr>
        <w:pStyle w:val="Tablecontents"/>
        <w:numPr>
          <w:ilvl w:val="0"/>
          <w:numId w:val="19"/>
        </w:numPr>
        <w:spacing w:line="276" w:lineRule="auto"/>
        <w:rPr>
          <w:rFonts w:asciiTheme="minorHAnsi" w:hAnsiTheme="minorHAnsi" w:cstheme="minorHAnsi"/>
        </w:rPr>
      </w:pPr>
      <w:r w:rsidRPr="00E44A2E">
        <w:rPr>
          <w:rFonts w:asciiTheme="minorHAnsi" w:hAnsiTheme="minorHAnsi" w:cstheme="minorHAnsi"/>
        </w:rPr>
        <w:t>Follow-up and/or monitoring visits, including regular neurology visits</w:t>
      </w:r>
    </w:p>
    <w:p w:rsidR="003B5425" w:rsidRDefault="003B5425" w:rsidP="00753A74">
      <w:r>
        <w:br w:type="page"/>
      </w:r>
    </w:p>
    <w:p w:rsidR="003B5425" w:rsidRDefault="003B5425" w:rsidP="00A806C0">
      <w:pPr>
        <w:pStyle w:val="Heading1"/>
      </w:pPr>
      <w:r w:rsidRPr="00896845">
        <w:lastRenderedPageBreak/>
        <w:t>C</w:t>
      </w:r>
      <w:r>
        <w:t>urrent clinical</w:t>
      </w:r>
      <w:r w:rsidRPr="00896845">
        <w:t xml:space="preserve"> management</w:t>
      </w:r>
      <w:r>
        <w:t xml:space="preserve"> algorithm when IVIg </w:t>
      </w:r>
      <w:r w:rsidRPr="0084345D">
        <w:rPr>
          <w:noProof/>
        </w:rPr>
        <w:t>is used</w:t>
      </w:r>
    </w:p>
    <w:p w:rsidR="001019C5" w:rsidRPr="001019C5" w:rsidRDefault="00F0684E" w:rsidP="001019C5">
      <w:pPr>
        <w:rPr>
          <w:lang w:val="en-GB" w:eastAsia="ja-JP"/>
        </w:rPr>
      </w:pPr>
      <w:r>
        <w:rPr>
          <w:noProof/>
          <w:lang w:eastAsia="en-AU"/>
        </w:rPr>
        <w:drawing>
          <wp:inline distT="0" distB="0" distL="0" distR="0" wp14:anchorId="6DE103FC" wp14:editId="23051C66">
            <wp:extent cx="5562600" cy="7248525"/>
            <wp:effectExtent l="0" t="0" r="0" b="9525"/>
            <wp:docPr id="5" name="Picture 5" descr="current treatment algorithm for CIDP patients who are eligible for Ig therapy."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2600" cy="7248525"/>
                    </a:xfrm>
                    <a:prstGeom prst="rect">
                      <a:avLst/>
                    </a:prstGeom>
                  </pic:spPr>
                </pic:pic>
              </a:graphicData>
            </a:graphic>
          </wp:inline>
        </w:drawing>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b/>
        </w:rPr>
        <w:t xml:space="preserve">Source: </w:t>
      </w:r>
      <w:r w:rsidRPr="00E44A2E">
        <w:rPr>
          <w:rFonts w:asciiTheme="minorHAnsi" w:hAnsiTheme="minorHAnsi" w:cstheme="minorHAnsi"/>
        </w:rPr>
        <w:t xml:space="preserve">Reproduced from Figure 1, page 28 and Figure 2, page 36 of the Referral Form. </w:t>
      </w:r>
    </w:p>
    <w:p w:rsidR="003B5425" w:rsidRPr="00E44A2E" w:rsidRDefault="003B5425" w:rsidP="00A806C0">
      <w:pPr>
        <w:pStyle w:val="Tablenotes"/>
        <w:rPr>
          <w:rFonts w:asciiTheme="minorHAnsi" w:hAnsiTheme="minorHAnsi" w:cstheme="minorHAnsi"/>
          <w:sz w:val="14"/>
        </w:rPr>
      </w:pPr>
      <w:r w:rsidRPr="00E44A2E">
        <w:rPr>
          <w:rFonts w:asciiTheme="minorHAnsi" w:hAnsiTheme="minorHAnsi" w:cstheme="minorHAnsi"/>
          <w:b/>
        </w:rPr>
        <w:t>Abbreviations: ONLS</w:t>
      </w:r>
      <w:r w:rsidRPr="00E44A2E">
        <w:rPr>
          <w:rFonts w:asciiTheme="minorHAnsi" w:hAnsiTheme="minorHAnsi" w:cstheme="minorHAnsi"/>
        </w:rPr>
        <w:t xml:space="preserve"> = Overall Neuropathy Limitations Scale, </w:t>
      </w:r>
      <w:r w:rsidRPr="00E44A2E">
        <w:rPr>
          <w:rFonts w:asciiTheme="minorHAnsi" w:hAnsiTheme="minorHAnsi" w:cstheme="minorHAnsi"/>
          <w:b/>
        </w:rPr>
        <w:t>MRC</w:t>
      </w:r>
      <w:r w:rsidRPr="00E44A2E">
        <w:rPr>
          <w:rFonts w:asciiTheme="minorHAnsi" w:hAnsiTheme="minorHAnsi" w:cstheme="minorHAnsi"/>
        </w:rPr>
        <w:t xml:space="preserve"> = Medical Research Council, </w:t>
      </w:r>
      <w:r w:rsidRPr="00E44A2E">
        <w:rPr>
          <w:rFonts w:asciiTheme="minorHAnsi" w:hAnsiTheme="minorHAnsi" w:cstheme="minorHAnsi"/>
          <w:b/>
        </w:rPr>
        <w:t xml:space="preserve">SMWT </w:t>
      </w:r>
      <w:r w:rsidRPr="00E44A2E">
        <w:rPr>
          <w:rFonts w:asciiTheme="minorHAnsi" w:hAnsiTheme="minorHAnsi" w:cstheme="minorHAnsi"/>
        </w:rPr>
        <w:t xml:space="preserve">= Six-minute walking test, </w:t>
      </w:r>
      <w:r w:rsidRPr="00E44A2E">
        <w:rPr>
          <w:rFonts w:asciiTheme="minorHAnsi" w:hAnsiTheme="minorHAnsi" w:cstheme="minorHAnsi"/>
          <w:b/>
        </w:rPr>
        <w:t>MRS</w:t>
      </w:r>
      <w:r w:rsidRPr="00E44A2E">
        <w:rPr>
          <w:rFonts w:asciiTheme="minorHAnsi" w:hAnsiTheme="minorHAnsi" w:cstheme="minorHAnsi"/>
        </w:rPr>
        <w:t xml:space="preserve"> = Modified Rankin Scale, </w:t>
      </w:r>
      <w:r w:rsidRPr="00E44A2E">
        <w:rPr>
          <w:rFonts w:asciiTheme="minorHAnsi" w:hAnsiTheme="minorHAnsi" w:cstheme="minorHAnsi"/>
          <w:b/>
        </w:rPr>
        <w:t>Ig</w:t>
      </w:r>
      <w:r w:rsidRPr="00E44A2E">
        <w:rPr>
          <w:rFonts w:asciiTheme="minorHAnsi" w:hAnsiTheme="minorHAnsi" w:cstheme="minorHAnsi"/>
        </w:rPr>
        <w:t xml:space="preserve"> = Immunoglobulin, </w:t>
      </w:r>
      <w:r w:rsidRPr="00E44A2E">
        <w:rPr>
          <w:rFonts w:asciiTheme="minorHAnsi" w:hAnsiTheme="minorHAnsi" w:cstheme="minorHAnsi"/>
          <w:b/>
        </w:rPr>
        <w:t xml:space="preserve">CIDP </w:t>
      </w:r>
      <w:r w:rsidRPr="00E44A2E">
        <w:rPr>
          <w:rFonts w:asciiTheme="minorHAnsi" w:hAnsiTheme="minorHAnsi" w:cstheme="minorHAnsi"/>
        </w:rPr>
        <w:t xml:space="preserve">= Chronic inflammatory demyelinating polyneuropathy, </w:t>
      </w:r>
      <w:r w:rsidRPr="00E44A2E">
        <w:rPr>
          <w:rFonts w:asciiTheme="minorHAnsi" w:hAnsiTheme="minorHAnsi" w:cstheme="minorHAnsi"/>
          <w:b/>
        </w:rPr>
        <w:t xml:space="preserve">SCIg </w:t>
      </w:r>
      <w:r w:rsidRPr="00E44A2E">
        <w:rPr>
          <w:rFonts w:asciiTheme="minorHAnsi" w:hAnsiTheme="minorHAnsi" w:cstheme="minorHAnsi"/>
        </w:rPr>
        <w:t>= subcutaneous immunoglobulin</w:t>
      </w:r>
    </w:p>
    <w:p w:rsidR="003B5425" w:rsidRDefault="003B5425" w:rsidP="00A806C0">
      <w:pPr>
        <w:pStyle w:val="Heading1"/>
      </w:pPr>
      <w:r>
        <w:lastRenderedPageBreak/>
        <w:t>Clinical</w:t>
      </w:r>
      <w:r w:rsidRPr="00896845">
        <w:t xml:space="preserve"> management</w:t>
      </w:r>
      <w:r>
        <w:t xml:space="preserve"> algorithm when IVIg is not a treatment option</w:t>
      </w:r>
    </w:p>
    <w:p w:rsidR="003B5425" w:rsidRDefault="003B5425" w:rsidP="00A806C0">
      <w:r>
        <w:t xml:space="preserve">Note: this algorithm may also be applicable for any patient not/no longer eligible for IVIg under version 3 of the </w:t>
      </w:r>
      <w:r>
        <w:rPr>
          <w:i/>
        </w:rPr>
        <w:t xml:space="preserve">Criteria </w:t>
      </w:r>
      <w:r>
        <w:t>(</w:t>
      </w:r>
      <w:r w:rsidRPr="0084345D">
        <w:rPr>
          <w:noProof/>
        </w:rPr>
        <w:t>i.e.</w:t>
      </w:r>
      <w:r>
        <w:rPr>
          <w:noProof/>
        </w:rPr>
        <w:t>,</w:t>
      </w:r>
      <w:r>
        <w:t xml:space="preserve"> reach ‘use alternate therapies’ stage on </w:t>
      </w:r>
      <w:r>
        <w:rPr>
          <w:highlight w:val="yellow"/>
        </w:rPr>
        <w:fldChar w:fldCharType="begin"/>
      </w:r>
      <w:r>
        <w:instrText xml:space="preserve"> REF _Ref535482699 \h </w:instrText>
      </w:r>
      <w:r>
        <w:rPr>
          <w:highlight w:val="yellow"/>
        </w:rPr>
      </w:r>
      <w:r>
        <w:rPr>
          <w:highlight w:val="yellow"/>
        </w:rPr>
        <w:fldChar w:fldCharType="separate"/>
      </w:r>
      <w:r w:rsidR="002865BA" w:rsidRPr="00E44A2E">
        <w:rPr>
          <w:rFonts w:asciiTheme="minorHAnsi" w:hAnsiTheme="minorHAnsi" w:cstheme="minorHAnsi"/>
        </w:rPr>
        <w:t xml:space="preserve">Figure </w:t>
      </w:r>
      <w:r w:rsidR="002865BA">
        <w:rPr>
          <w:rFonts w:asciiTheme="minorHAnsi" w:hAnsiTheme="minorHAnsi" w:cstheme="minorHAnsi"/>
          <w:noProof/>
        </w:rPr>
        <w:t>1</w:t>
      </w:r>
      <w:r>
        <w:rPr>
          <w:highlight w:val="yellow"/>
        </w:rPr>
        <w:fldChar w:fldCharType="end"/>
      </w:r>
      <w:r>
        <w:t xml:space="preserve">), or for patients in whom IVIg </w:t>
      </w:r>
      <w:r w:rsidRPr="0084345D">
        <w:rPr>
          <w:noProof/>
        </w:rPr>
        <w:t>is contraindicated</w:t>
      </w:r>
      <w:r>
        <w:t>.</w:t>
      </w:r>
    </w:p>
    <w:p w:rsidR="003B5425" w:rsidRDefault="003B5425" w:rsidP="00A806C0">
      <w:pPr>
        <w:pStyle w:val="Caption"/>
        <w:rPr>
          <w:rFonts w:asciiTheme="minorHAnsi" w:hAnsiTheme="minorHAnsi" w:cstheme="minorHAnsi"/>
        </w:rPr>
      </w:pPr>
      <w:r w:rsidRPr="00E44A2E">
        <w:rPr>
          <w:rFonts w:asciiTheme="minorHAnsi" w:hAnsiTheme="minorHAnsi" w:cstheme="minorHAnsi"/>
        </w:rPr>
        <w:t xml:space="preserve">Figure </w:t>
      </w:r>
      <w:r w:rsidRPr="00E44A2E">
        <w:rPr>
          <w:rFonts w:asciiTheme="minorHAnsi" w:hAnsiTheme="minorHAnsi" w:cstheme="minorHAnsi"/>
        </w:rPr>
        <w:fldChar w:fldCharType="begin"/>
      </w:r>
      <w:r w:rsidRPr="00E44A2E">
        <w:rPr>
          <w:rFonts w:asciiTheme="minorHAnsi" w:hAnsiTheme="minorHAnsi" w:cstheme="minorHAnsi"/>
        </w:rPr>
        <w:instrText xml:space="preserve"> SEQ Figure \* ARABIC </w:instrText>
      </w:r>
      <w:r w:rsidRPr="00E44A2E">
        <w:rPr>
          <w:rFonts w:asciiTheme="minorHAnsi" w:hAnsiTheme="minorHAnsi" w:cstheme="minorHAnsi"/>
        </w:rPr>
        <w:fldChar w:fldCharType="separate"/>
      </w:r>
      <w:r w:rsidR="002865BA">
        <w:rPr>
          <w:rFonts w:asciiTheme="minorHAnsi" w:hAnsiTheme="minorHAnsi" w:cstheme="minorHAnsi"/>
          <w:noProof/>
        </w:rPr>
        <w:t>2</w:t>
      </w:r>
      <w:r w:rsidRPr="00E44A2E">
        <w:rPr>
          <w:rFonts w:asciiTheme="minorHAnsi" w:hAnsiTheme="minorHAnsi" w:cstheme="minorHAnsi"/>
        </w:rPr>
        <w:fldChar w:fldCharType="end"/>
      </w:r>
      <w:r w:rsidRPr="00E44A2E">
        <w:rPr>
          <w:rFonts w:asciiTheme="minorHAnsi" w:hAnsiTheme="minorHAnsi" w:cstheme="minorHAnsi"/>
        </w:rPr>
        <w:tab/>
        <w:t xml:space="preserve">Proposed algorithm for </w:t>
      </w:r>
      <w:r w:rsidRPr="00E44A2E">
        <w:rPr>
          <w:rFonts w:asciiTheme="minorHAnsi" w:hAnsiTheme="minorHAnsi" w:cstheme="minorHAnsi"/>
          <w:noProof/>
        </w:rPr>
        <w:t>treatment</w:t>
      </w:r>
      <w:r w:rsidRPr="00E44A2E">
        <w:rPr>
          <w:rFonts w:asciiTheme="minorHAnsi" w:hAnsiTheme="minorHAnsi" w:cstheme="minorHAnsi"/>
        </w:rPr>
        <w:t xml:space="preserve"> of patients in the absence (or failure) of Ig</w:t>
      </w:r>
    </w:p>
    <w:p w:rsidR="003B5425" w:rsidRPr="00F0684E" w:rsidRDefault="00F0684E" w:rsidP="00A806C0">
      <w:pPr>
        <w:rPr>
          <w:lang w:val="en-GB" w:eastAsia="ja-JP"/>
        </w:rPr>
      </w:pPr>
      <w:r>
        <w:rPr>
          <w:noProof/>
          <w:lang w:eastAsia="en-AU"/>
        </w:rPr>
        <w:drawing>
          <wp:inline distT="0" distB="0" distL="0" distR="0" wp14:anchorId="2796C177" wp14:editId="71E1B61B">
            <wp:extent cx="5731510" cy="6031230"/>
            <wp:effectExtent l="0" t="0" r="2540" b="7620"/>
            <wp:docPr id="6" name="Picture 6" descr="Proposed algorithm for treatment of patients in the absence (or failure) of Ig"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031230"/>
                    </a:xfrm>
                    <a:prstGeom prst="rect">
                      <a:avLst/>
                    </a:prstGeom>
                  </pic:spPr>
                </pic:pic>
              </a:graphicData>
            </a:graphic>
          </wp:inline>
        </w:drawing>
      </w:r>
    </w:p>
    <w:p w:rsidR="003B5425" w:rsidRPr="00E44A2E" w:rsidRDefault="003B5425" w:rsidP="00A806C0">
      <w:pPr>
        <w:pStyle w:val="Tablenotes"/>
        <w:spacing w:before="60" w:after="240"/>
        <w:rPr>
          <w:rFonts w:asciiTheme="minorHAnsi" w:hAnsiTheme="minorHAnsi" w:cstheme="minorHAnsi"/>
        </w:rPr>
      </w:pPr>
      <w:r w:rsidRPr="00E44A2E">
        <w:rPr>
          <w:rFonts w:asciiTheme="minorHAnsi" w:hAnsiTheme="minorHAnsi" w:cstheme="minorHAnsi"/>
          <w:b/>
        </w:rPr>
        <w:t xml:space="preserve">Source: </w:t>
      </w:r>
      <w:r w:rsidRPr="00E44A2E">
        <w:rPr>
          <w:rFonts w:asciiTheme="minorHAnsi" w:hAnsiTheme="minorHAnsi" w:cstheme="minorHAnsi"/>
        </w:rPr>
        <w:t xml:space="preserve">Reproduced from Figure 3 page 42 of the Referral Form. </w:t>
      </w:r>
    </w:p>
    <w:p w:rsidR="003B5425" w:rsidRPr="00E44A2E" w:rsidRDefault="003B5425" w:rsidP="00A806C0">
      <w:pPr>
        <w:pStyle w:val="Tablenotes"/>
        <w:spacing w:before="60" w:after="240"/>
        <w:rPr>
          <w:rFonts w:asciiTheme="minorHAnsi" w:hAnsiTheme="minorHAnsi" w:cstheme="minorHAnsi"/>
          <w:sz w:val="14"/>
        </w:rPr>
      </w:pPr>
      <w:r w:rsidRPr="00E44A2E">
        <w:rPr>
          <w:rFonts w:asciiTheme="minorHAnsi" w:hAnsiTheme="minorHAnsi" w:cstheme="minorHAnsi"/>
          <w:b/>
        </w:rPr>
        <w:t xml:space="preserve">Abbreviations: Ig </w:t>
      </w:r>
      <w:r w:rsidRPr="00E44A2E">
        <w:rPr>
          <w:rFonts w:asciiTheme="minorHAnsi" w:hAnsiTheme="minorHAnsi" w:cstheme="minorHAnsi"/>
        </w:rPr>
        <w:t>= Immunoglobulin.</w:t>
      </w:r>
    </w:p>
    <w:p w:rsidR="003B5425" w:rsidRPr="00EE4E9C" w:rsidRDefault="003B5425" w:rsidP="00EE4E9C">
      <w:pPr>
        <w:pStyle w:val="Heading1"/>
      </w:pPr>
      <w:r>
        <w:br w:type="page"/>
      </w:r>
      <w:r>
        <w:lastRenderedPageBreak/>
        <w:t>Proposed economic evaluation</w:t>
      </w:r>
    </w:p>
    <w:p w:rsidR="003B5425" w:rsidRDefault="00445446" w:rsidP="00A806C0">
      <w:r>
        <w:t xml:space="preserve">Ig is claimed to have superior safety and non-inferior effectiveness. </w:t>
      </w:r>
      <w:r w:rsidR="003B5425">
        <w:t>The basis of this claim is two small, short-term clinical trials which compared Ig to prednisolone and plasma exchange.</w:t>
      </w:r>
      <w:r w:rsidR="003B5425" w:rsidRPr="0069759D">
        <w:t xml:space="preserve"> </w:t>
      </w:r>
      <w:r w:rsidR="003B5425" w:rsidRPr="008D52B0">
        <w:rPr>
          <w:noProof/>
          <w:vertAlign w:val="superscript"/>
        </w:rPr>
        <w:t>50, 51</w:t>
      </w:r>
      <w:r w:rsidR="00261562">
        <w:t>In addition, t</w:t>
      </w:r>
      <w:r w:rsidR="003B5425">
        <w:t>he Referrer notes that (Referral Form, pages 42-43):</w:t>
      </w:r>
    </w:p>
    <w:p w:rsidR="003B5425" w:rsidRDefault="003B5425" w:rsidP="009764F3">
      <w:pPr>
        <w:pStyle w:val="ListParagraph"/>
        <w:numPr>
          <w:ilvl w:val="0"/>
          <w:numId w:val="10"/>
        </w:numPr>
      </w:pPr>
      <w:r>
        <w:t xml:space="preserve">Ig and plasma exchange both require venous access; however, </w:t>
      </w:r>
      <w:r w:rsidRPr="004E41AB">
        <w:rPr>
          <w:noProof/>
        </w:rPr>
        <w:t>longer</w:t>
      </w:r>
      <w:r>
        <w:rPr>
          <w:noProof/>
        </w:rPr>
        <w:t>-</w:t>
      </w:r>
      <w:r w:rsidRPr="004E41AB">
        <w:rPr>
          <w:noProof/>
        </w:rPr>
        <w:t>term</w:t>
      </w:r>
      <w:r>
        <w:t xml:space="preserve"> plasma exchange may require more permanent venous access, increasing the risk of adverse events.</w:t>
      </w:r>
    </w:p>
    <w:p w:rsidR="003B5425" w:rsidRDefault="003B5425" w:rsidP="009764F3">
      <w:pPr>
        <w:pStyle w:val="ListParagraph"/>
        <w:numPr>
          <w:ilvl w:val="0"/>
          <w:numId w:val="10"/>
        </w:numPr>
      </w:pPr>
      <w:r>
        <w:t>Long</w:t>
      </w:r>
      <w:r w:rsidR="009724ED">
        <w:t>-</w:t>
      </w:r>
      <w:r>
        <w:t>term steroid use poses many potential risks including the development of disease (</w:t>
      </w:r>
      <w:r w:rsidRPr="004E41AB">
        <w:rPr>
          <w:noProof/>
        </w:rPr>
        <w:t>e.g.</w:t>
      </w:r>
      <w:r>
        <w:rPr>
          <w:noProof/>
        </w:rPr>
        <w:t>,</w:t>
      </w:r>
      <w:r>
        <w:t xml:space="preserve"> hypertension, cardiovascular disease) and metabolic changes.</w:t>
      </w:r>
    </w:p>
    <w:p w:rsidR="003B5425" w:rsidRDefault="003B5425" w:rsidP="009764F3">
      <w:pPr>
        <w:pStyle w:val="ListParagraph"/>
        <w:numPr>
          <w:ilvl w:val="0"/>
          <w:numId w:val="10"/>
        </w:numPr>
      </w:pPr>
      <w:r>
        <w:t xml:space="preserve">Adverse events associated with IVIg </w:t>
      </w:r>
      <w:r w:rsidRPr="004E41AB">
        <w:rPr>
          <w:noProof/>
        </w:rPr>
        <w:t>are often associated</w:t>
      </w:r>
      <w:r>
        <w:t xml:space="preserve"> with the rate of infusion, which can </w:t>
      </w:r>
      <w:r w:rsidRPr="004E41AB">
        <w:rPr>
          <w:noProof/>
        </w:rPr>
        <w:t>be slowed</w:t>
      </w:r>
      <w:r>
        <w:t xml:space="preserve"> as required. </w:t>
      </w:r>
    </w:p>
    <w:p w:rsidR="003B5425" w:rsidRDefault="003B5425" w:rsidP="00A806C0">
      <w:r w:rsidRPr="004E41AB">
        <w:rPr>
          <w:noProof/>
        </w:rPr>
        <w:t>Assuming non-inferior effectiveness and superior safety</w:t>
      </w:r>
      <w:r>
        <w:t xml:space="preserve">, </w:t>
      </w:r>
      <w:r w:rsidRPr="004E41AB">
        <w:rPr>
          <w:noProof/>
        </w:rPr>
        <w:t>a cost</w:t>
      </w:r>
      <w:r w:rsidR="009724ED">
        <w:rPr>
          <w:noProof/>
        </w:rPr>
        <w:t xml:space="preserve"> </w:t>
      </w:r>
      <w:r w:rsidRPr="004E41AB">
        <w:rPr>
          <w:noProof/>
        </w:rPr>
        <w:t>effectiveness</w:t>
      </w:r>
      <w:r>
        <w:t xml:space="preserve"> or cost-uti</w:t>
      </w:r>
      <w:r w:rsidR="00E44A2E">
        <w:t>lity analysis will be required</w:t>
      </w:r>
      <w:bookmarkStart w:id="18" w:name="_Ref535399521"/>
      <w:r w:rsidR="00E44A2E">
        <w:t>.</w:t>
      </w:r>
    </w:p>
    <w:p w:rsidR="003B5425" w:rsidRPr="00E44A2E" w:rsidRDefault="003B5425" w:rsidP="00A806C0">
      <w:pPr>
        <w:pStyle w:val="Tableheading0"/>
        <w:rPr>
          <w:rFonts w:asciiTheme="minorHAnsi" w:eastAsia="Times New Roman" w:hAnsiTheme="minorHAnsi" w:cstheme="minorHAnsi"/>
        </w:rPr>
      </w:pPr>
      <w:bookmarkStart w:id="19" w:name="_Ref1478388"/>
      <w:bookmarkStart w:id="20" w:name="_Ref1478384"/>
      <w:bookmarkEnd w:id="18"/>
      <w:r w:rsidRPr="00E44A2E">
        <w:rPr>
          <w:rFonts w:asciiTheme="minorHAnsi" w:hAnsiTheme="minorHAnsi" w:cstheme="minorHAnsi"/>
          <w:noProof/>
        </w:rPr>
        <w:t xml:space="preserve">Table </w:t>
      </w:r>
      <w:r w:rsidRPr="00E44A2E">
        <w:rPr>
          <w:rFonts w:asciiTheme="minorHAnsi" w:hAnsiTheme="minorHAnsi" w:cstheme="minorHAnsi"/>
          <w:noProof/>
        </w:rPr>
        <w:fldChar w:fldCharType="begin"/>
      </w:r>
      <w:r w:rsidRPr="00E44A2E">
        <w:rPr>
          <w:rFonts w:asciiTheme="minorHAnsi" w:hAnsiTheme="minorHAnsi" w:cstheme="minorHAnsi"/>
          <w:noProof/>
        </w:rPr>
        <w:instrText xml:space="preserve"> SEQ Table \* ARABIC </w:instrText>
      </w:r>
      <w:r w:rsidRPr="00E44A2E">
        <w:rPr>
          <w:rFonts w:asciiTheme="minorHAnsi" w:hAnsiTheme="minorHAnsi" w:cstheme="minorHAnsi"/>
          <w:noProof/>
        </w:rPr>
        <w:fldChar w:fldCharType="separate"/>
      </w:r>
      <w:r w:rsidR="002865BA">
        <w:rPr>
          <w:rFonts w:asciiTheme="minorHAnsi" w:hAnsiTheme="minorHAnsi" w:cstheme="minorHAnsi"/>
          <w:noProof/>
        </w:rPr>
        <w:t>13</w:t>
      </w:r>
      <w:r w:rsidRPr="00E44A2E">
        <w:rPr>
          <w:rFonts w:asciiTheme="minorHAnsi" w:hAnsiTheme="minorHAnsi" w:cstheme="minorHAnsi"/>
          <w:noProof/>
        </w:rPr>
        <w:fldChar w:fldCharType="end"/>
      </w:r>
      <w:bookmarkEnd w:id="19"/>
      <w:r w:rsidRPr="00E44A2E">
        <w:rPr>
          <w:rFonts w:asciiTheme="minorHAnsi" w:hAnsiTheme="minorHAnsi" w:cstheme="minorHAnsi"/>
          <w:noProof/>
        </w:rPr>
        <w:t xml:space="preserve"> Decision algorithm for undertaking an economic evaluation in the setting of the Ig Review.</w:t>
      </w:r>
      <w:bookmarkEnd w:id="20"/>
    </w:p>
    <w:tbl>
      <w:tblPr>
        <w:tblW w:w="0" w:type="auto"/>
        <w:tblCellMar>
          <w:left w:w="0" w:type="dxa"/>
          <w:right w:w="0" w:type="dxa"/>
        </w:tblCellMar>
        <w:tblLook w:val="04A0" w:firstRow="1" w:lastRow="0" w:firstColumn="1" w:lastColumn="0" w:noHBand="0" w:noVBand="1"/>
        <w:tblCaption w:val="Table 13 Decision algorithm for undertaking an economic evaluation in the setting of the Ig Review"/>
      </w:tblPr>
      <w:tblGrid>
        <w:gridCol w:w="1801"/>
        <w:gridCol w:w="1351"/>
        <w:gridCol w:w="1351"/>
        <w:gridCol w:w="1193"/>
        <w:gridCol w:w="1260"/>
        <w:gridCol w:w="1350"/>
      </w:tblGrid>
      <w:tr w:rsidR="003B5425" w:rsidRPr="00E44A2E" w:rsidTr="00A806C0">
        <w:tc>
          <w:tcPr>
            <w:tcW w:w="1801" w:type="dxa"/>
            <w:vMerge w:val="restart"/>
            <w:tcBorders>
              <w:top w:val="single" w:sz="8" w:space="0" w:color="000000"/>
              <w:left w:val="single" w:sz="8" w:space="0" w:color="000000"/>
              <w:bottom w:val="single" w:sz="8" w:space="0" w:color="000000"/>
              <w:right w:val="single" w:sz="8" w:space="0" w:color="000000"/>
            </w:tcBorders>
            <w:shd w:val="clear" w:color="auto" w:fill="ACB9CA"/>
            <w:tcMar>
              <w:top w:w="0" w:type="dxa"/>
              <w:left w:w="108" w:type="dxa"/>
              <w:bottom w:w="0" w:type="dxa"/>
              <w:right w:w="108" w:type="dxa"/>
            </w:tcMar>
            <w:vAlign w:val="cente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Comparative safety of Ig</w:t>
            </w:r>
          </w:p>
        </w:tc>
        <w:tc>
          <w:tcPr>
            <w:tcW w:w="6171" w:type="dxa"/>
            <w:gridSpan w:val="5"/>
            <w:tcBorders>
              <w:top w:val="single" w:sz="8" w:space="0" w:color="000000"/>
              <w:left w:val="nil"/>
              <w:bottom w:val="single" w:sz="8" w:space="0" w:color="000000"/>
              <w:right w:val="single" w:sz="8" w:space="0" w:color="000000"/>
            </w:tcBorders>
            <w:shd w:val="clear" w:color="auto" w:fill="ACB9CA"/>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Comparative effectiveness of Ig</w:t>
            </w:r>
          </w:p>
        </w:tc>
      </w:tr>
      <w:tr w:rsidR="003B5425" w:rsidRPr="00E44A2E" w:rsidTr="00A806C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5425" w:rsidRPr="00E44A2E" w:rsidRDefault="003B5425" w:rsidP="00A806C0">
            <w:pPr>
              <w:pStyle w:val="Tabletext"/>
              <w:rPr>
                <w:rFonts w:asciiTheme="minorHAnsi" w:hAnsiTheme="minorHAnsi" w:cstheme="minorHAnsi"/>
                <w:b/>
                <w:bCs/>
                <w:lang w:val="en-US"/>
              </w:rPr>
            </w:pPr>
          </w:p>
        </w:tc>
        <w:tc>
          <w:tcPr>
            <w:tcW w:w="2444" w:type="dxa"/>
            <w:gridSpan w:val="2"/>
            <w:tcBorders>
              <w:top w:val="nil"/>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Inferior</w:t>
            </w:r>
          </w:p>
        </w:tc>
        <w:tc>
          <w:tcPr>
            <w:tcW w:w="1117"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Uncertain</w:t>
            </w:r>
          </w:p>
        </w:tc>
        <w:tc>
          <w:tcPr>
            <w:tcW w:w="1260"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Non-inferior</w:t>
            </w:r>
          </w:p>
        </w:tc>
        <w:tc>
          <w:tcPr>
            <w:tcW w:w="1350"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Superior</w:t>
            </w:r>
          </w:p>
        </w:tc>
      </w:tr>
      <w:tr w:rsidR="003B5425" w:rsidRPr="00E44A2E" w:rsidTr="00A806C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5425" w:rsidRPr="00E44A2E" w:rsidRDefault="003B5425" w:rsidP="00A806C0">
            <w:pPr>
              <w:pStyle w:val="Tabletext"/>
              <w:rPr>
                <w:rFonts w:asciiTheme="minorHAnsi" w:hAnsiTheme="minorHAnsi" w:cstheme="minorHAnsi"/>
                <w:b/>
                <w:bCs/>
                <w:lang w:val="en-US"/>
              </w:rPr>
            </w:pPr>
          </w:p>
        </w:tc>
        <w:tc>
          <w:tcPr>
            <w:tcW w:w="1222" w:type="dxa"/>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No active comparator</w:t>
            </w:r>
          </w:p>
        </w:tc>
        <w:tc>
          <w:tcPr>
            <w:tcW w:w="1222" w:type="dxa"/>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Active comparator</w:t>
            </w:r>
          </w:p>
        </w:tc>
        <w:tc>
          <w:tcPr>
            <w:tcW w:w="0" w:type="auto"/>
            <w:vMerge/>
            <w:tcBorders>
              <w:top w:val="nil"/>
              <w:left w:val="nil"/>
              <w:bottom w:val="single" w:sz="8" w:space="0" w:color="000000"/>
              <w:right w:val="single" w:sz="8" w:space="0" w:color="000000"/>
            </w:tcBorders>
            <w:vAlign w:val="center"/>
            <w:hideMark/>
          </w:tcPr>
          <w:p w:rsidR="003B5425" w:rsidRPr="00E44A2E" w:rsidRDefault="003B5425" w:rsidP="00A806C0">
            <w:pPr>
              <w:pStyle w:val="Tabletext"/>
              <w:rPr>
                <w:rFonts w:asciiTheme="minorHAnsi" w:hAnsiTheme="minorHAnsi" w:cstheme="minorHAnsi"/>
                <w:b/>
                <w:bCs/>
                <w:lang w:val="en-US"/>
              </w:rPr>
            </w:pPr>
          </w:p>
        </w:tc>
        <w:tc>
          <w:tcPr>
            <w:tcW w:w="0" w:type="auto"/>
            <w:vMerge/>
            <w:tcBorders>
              <w:top w:val="nil"/>
              <w:left w:val="nil"/>
              <w:bottom w:val="single" w:sz="8" w:space="0" w:color="000000"/>
              <w:right w:val="single" w:sz="8" w:space="0" w:color="000000"/>
            </w:tcBorders>
            <w:vAlign w:val="center"/>
            <w:hideMark/>
          </w:tcPr>
          <w:p w:rsidR="003B5425" w:rsidRPr="00E44A2E" w:rsidRDefault="003B5425" w:rsidP="00A806C0">
            <w:pPr>
              <w:pStyle w:val="Tabletext"/>
              <w:rPr>
                <w:rFonts w:asciiTheme="minorHAnsi" w:hAnsiTheme="minorHAnsi" w:cstheme="minorHAnsi"/>
                <w:b/>
                <w:bCs/>
                <w:lang w:val="en-US"/>
              </w:rPr>
            </w:pPr>
          </w:p>
        </w:tc>
        <w:tc>
          <w:tcPr>
            <w:tcW w:w="0" w:type="auto"/>
            <w:vMerge/>
            <w:tcBorders>
              <w:top w:val="nil"/>
              <w:left w:val="nil"/>
              <w:bottom w:val="single" w:sz="8" w:space="0" w:color="000000"/>
              <w:right w:val="single" w:sz="8" w:space="0" w:color="000000"/>
            </w:tcBorders>
            <w:vAlign w:val="center"/>
            <w:hideMark/>
          </w:tcPr>
          <w:p w:rsidR="003B5425" w:rsidRPr="00E44A2E" w:rsidRDefault="003B5425" w:rsidP="00A806C0">
            <w:pPr>
              <w:pStyle w:val="Tabletext"/>
              <w:rPr>
                <w:rFonts w:asciiTheme="minorHAnsi" w:hAnsiTheme="minorHAnsi" w:cstheme="minorHAnsi"/>
                <w:b/>
                <w:bCs/>
                <w:lang w:val="en-US"/>
              </w:rPr>
            </w:pPr>
          </w:p>
        </w:tc>
      </w:tr>
      <w:tr w:rsidR="003B5425" w:rsidRPr="00E44A2E" w:rsidTr="00A806C0">
        <w:tc>
          <w:tcPr>
            <w:tcW w:w="180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Inferior</w:t>
            </w:r>
          </w:p>
        </w:tc>
        <w:tc>
          <w:tcPr>
            <w:tcW w:w="122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i/>
                <w:iCs/>
                <w:lang w:val="en-US"/>
              </w:rPr>
            </w:pPr>
            <w:r w:rsidRPr="00E44A2E">
              <w:rPr>
                <w:rFonts w:asciiTheme="minorHAnsi" w:hAnsiTheme="minorHAnsi" w:cstheme="minorHAnsi"/>
                <w:i/>
                <w:iCs/>
                <w:lang w:val="en-US"/>
              </w:rPr>
              <w:t>x</w:t>
            </w:r>
          </w:p>
        </w:tc>
        <w:tc>
          <w:tcPr>
            <w:tcW w:w="122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p>
        </w:tc>
        <w:tc>
          <w:tcPr>
            <w:tcW w:w="111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2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b</w:t>
            </w:r>
          </w:p>
        </w:tc>
        <w:tc>
          <w:tcPr>
            <w:tcW w:w="135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a</w:t>
            </w:r>
          </w:p>
        </w:tc>
      </w:tr>
      <w:tr w:rsidR="003B5425" w:rsidRPr="00E44A2E" w:rsidTr="00A806C0">
        <w:tc>
          <w:tcPr>
            <w:tcW w:w="1801"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Uncertain</w:t>
            </w:r>
          </w:p>
        </w:tc>
        <w:tc>
          <w:tcPr>
            <w:tcW w:w="1222"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i/>
                <w:iCs/>
                <w:lang w:val="en-US"/>
              </w:rPr>
              <w:t>x</w:t>
            </w:r>
          </w:p>
        </w:tc>
        <w:tc>
          <w:tcPr>
            <w:tcW w:w="1222"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a</w:t>
            </w:r>
          </w:p>
        </w:tc>
        <w:tc>
          <w:tcPr>
            <w:tcW w:w="1117"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26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35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a</w:t>
            </w:r>
          </w:p>
        </w:tc>
      </w:tr>
      <w:tr w:rsidR="003B5425" w:rsidRPr="00E44A2E" w:rsidTr="00A806C0">
        <w:tc>
          <w:tcPr>
            <w:tcW w:w="180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Non-inferior</w:t>
            </w:r>
          </w:p>
        </w:tc>
        <w:tc>
          <w:tcPr>
            <w:tcW w:w="122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i/>
                <w:iCs/>
                <w:lang w:val="en-US"/>
              </w:rPr>
              <w:t>x</w:t>
            </w:r>
            <w:r w:rsidRPr="00E44A2E">
              <w:rPr>
                <w:rFonts w:asciiTheme="minorHAnsi" w:hAnsiTheme="minorHAnsi" w:cstheme="minorHAnsi"/>
                <w:i/>
                <w:iCs/>
                <w:vertAlign w:val="superscript"/>
                <w:lang w:val="en-US"/>
              </w:rPr>
              <w:t>c</w:t>
            </w:r>
          </w:p>
        </w:tc>
        <w:tc>
          <w:tcPr>
            <w:tcW w:w="122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p>
        </w:tc>
        <w:tc>
          <w:tcPr>
            <w:tcW w:w="111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2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35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p>
        </w:tc>
      </w:tr>
      <w:tr w:rsidR="003B5425" w:rsidRPr="00E44A2E" w:rsidTr="00A806C0">
        <w:tc>
          <w:tcPr>
            <w:tcW w:w="1801"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Superior</w:t>
            </w:r>
          </w:p>
        </w:tc>
        <w:tc>
          <w:tcPr>
            <w:tcW w:w="1222"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i/>
                <w:iCs/>
                <w:lang w:val="en-US"/>
              </w:rPr>
              <w:t>x</w:t>
            </w:r>
            <w:r w:rsidRPr="00E44A2E">
              <w:rPr>
                <w:rFonts w:asciiTheme="minorHAnsi" w:hAnsiTheme="minorHAnsi" w:cstheme="minorHAnsi"/>
                <w:i/>
                <w:iCs/>
                <w:vertAlign w:val="superscript"/>
                <w:lang w:val="en-US"/>
              </w:rPr>
              <w:t>c</w:t>
            </w:r>
          </w:p>
        </w:tc>
        <w:tc>
          <w:tcPr>
            <w:tcW w:w="1222"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a</w:t>
            </w:r>
          </w:p>
        </w:tc>
        <w:tc>
          <w:tcPr>
            <w:tcW w:w="1117"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w:t>
            </w:r>
          </w:p>
        </w:tc>
        <w:tc>
          <w:tcPr>
            <w:tcW w:w="126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r w:rsidRPr="00E44A2E">
              <w:rPr>
                <w:rFonts w:asciiTheme="minorHAnsi" w:hAnsiTheme="minorHAnsi" w:cstheme="minorHAnsi"/>
                <w:vertAlign w:val="superscript"/>
                <w:lang w:val="en-US"/>
              </w:rPr>
              <w:t>b</w:t>
            </w:r>
          </w:p>
        </w:tc>
        <w:tc>
          <w:tcPr>
            <w:tcW w:w="135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3B5425" w:rsidRPr="00E44A2E" w:rsidRDefault="003B5425" w:rsidP="00A806C0">
            <w:pPr>
              <w:pStyle w:val="Tabletext"/>
              <w:rPr>
                <w:rFonts w:asciiTheme="minorHAnsi" w:hAnsiTheme="minorHAnsi" w:cstheme="minorHAnsi"/>
                <w:lang w:val="en-US"/>
              </w:rPr>
            </w:pPr>
            <w:r w:rsidRPr="00E44A2E">
              <w:rPr>
                <w:rFonts w:asciiTheme="minorHAnsi" w:hAnsiTheme="minorHAnsi" w:cstheme="minorHAnsi"/>
                <w:lang w:val="en-US"/>
              </w:rPr>
              <w:t>F</w:t>
            </w:r>
          </w:p>
        </w:tc>
      </w:tr>
    </w:tbl>
    <w:p w:rsidR="003B5425" w:rsidRPr="00E44A2E" w:rsidRDefault="003B5425" w:rsidP="00A806C0">
      <w:pPr>
        <w:pStyle w:val="Tablenotes"/>
        <w:rPr>
          <w:rFonts w:asciiTheme="minorHAnsi" w:hAnsiTheme="minorHAnsi" w:cstheme="minorHAnsi"/>
          <w:b/>
        </w:rPr>
      </w:pPr>
      <w:r w:rsidRPr="00E44A2E">
        <w:rPr>
          <w:rFonts w:asciiTheme="minorHAnsi" w:hAnsiTheme="minorHAnsi" w:cstheme="minorHAnsi"/>
          <w:b/>
        </w:rPr>
        <w:t>Source: Table produced by Adelaide Health Technology Assessment (AHTA) and included with permission on Reference Group advice.</w:t>
      </w:r>
    </w:p>
    <w:p w:rsidR="003B5425" w:rsidRPr="00E44A2E" w:rsidRDefault="003B5425" w:rsidP="00A806C0">
      <w:pPr>
        <w:pStyle w:val="Tablenotes"/>
        <w:rPr>
          <w:rFonts w:asciiTheme="minorHAnsi" w:eastAsiaTheme="minorHAnsi" w:hAnsiTheme="minorHAnsi" w:cstheme="minorHAnsi"/>
          <w:lang w:val="en-US"/>
        </w:rPr>
      </w:pPr>
      <w:r w:rsidRPr="00E44A2E">
        <w:rPr>
          <w:rFonts w:asciiTheme="minorHAnsi" w:hAnsiTheme="minorHAnsi" w:cstheme="minorHAnsi"/>
          <w:i/>
          <w:iCs/>
          <w:sz w:val="24"/>
          <w:szCs w:val="24"/>
        </w:rPr>
        <w:t>x</w:t>
      </w:r>
      <w:r w:rsidRPr="00E44A2E">
        <w:rPr>
          <w:rFonts w:asciiTheme="minorHAnsi" w:hAnsiTheme="minorHAnsi" w:cstheme="minorHAnsi"/>
        </w:rPr>
        <w:t xml:space="preserve"> = health forgone (at cost). An economic evaluation is not warranted </w:t>
      </w:r>
      <w:r w:rsidRPr="00E44A2E">
        <w:rPr>
          <w:rFonts w:asciiTheme="minorHAnsi" w:hAnsiTheme="minorHAnsi" w:cstheme="minorHAnsi"/>
          <w:noProof/>
        </w:rPr>
        <w:t>and</w:t>
      </w:r>
      <w:r w:rsidRPr="00E44A2E">
        <w:rPr>
          <w:rFonts w:asciiTheme="minorHAnsi" w:hAnsiTheme="minorHAnsi" w:cstheme="minorHAnsi"/>
        </w:rPr>
        <w:t xml:space="preserve"> continued use of Ig should not occur in this circumstance unless there are other supportive factors.</w:t>
      </w:r>
    </w:p>
    <w:p w:rsidR="003B5425" w:rsidRPr="00E44A2E" w:rsidRDefault="003B5425" w:rsidP="00A806C0">
      <w:pPr>
        <w:pStyle w:val="Tablenotes"/>
        <w:rPr>
          <w:rFonts w:asciiTheme="minorHAnsi" w:hAnsiTheme="minorHAnsi" w:cstheme="minorHAnsi"/>
          <w:lang w:eastAsia="en-AU"/>
        </w:rPr>
      </w:pPr>
      <w:r w:rsidRPr="00E44A2E">
        <w:rPr>
          <w:rFonts w:asciiTheme="minorHAnsi" w:hAnsiTheme="minorHAnsi" w:cstheme="minorHAnsi"/>
        </w:rPr>
        <w:t xml:space="preserve">F = undertake a full economic evaluation. These may take the form of cost-utility analyses (preferred if adequate data are available) or </w:t>
      </w:r>
      <w:r w:rsidRPr="00E44A2E">
        <w:rPr>
          <w:rFonts w:asciiTheme="minorHAnsi" w:hAnsiTheme="minorHAnsi" w:cstheme="minorHAnsi"/>
          <w:noProof/>
        </w:rPr>
        <w:t>cost effectiveness</w:t>
      </w:r>
      <w:r w:rsidRPr="00E44A2E">
        <w:rPr>
          <w:rFonts w:asciiTheme="minorHAnsi" w:hAnsiTheme="minorHAnsi" w:cstheme="minorHAnsi"/>
        </w:rPr>
        <w:t xml:space="preserve"> analyses in terms of clinically relevant outcome(s). </w:t>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rPr>
        <w:t xml:space="preserve">? = high levels of uncertainty will occur in </w:t>
      </w:r>
      <w:r w:rsidRPr="00E44A2E">
        <w:rPr>
          <w:rFonts w:asciiTheme="minorHAnsi" w:hAnsiTheme="minorHAnsi" w:cstheme="minorHAnsi"/>
          <w:noProof/>
        </w:rPr>
        <w:t>an economic</w:t>
      </w:r>
      <w:r w:rsidRPr="00E44A2E">
        <w:rPr>
          <w:rFonts w:asciiTheme="minorHAnsi" w:hAnsiTheme="minorHAnsi" w:cstheme="minorHAnsi"/>
        </w:rPr>
        <w:t xml:space="preserve"> evaluation (if it is feasible to construct one). A cost analysis (partial economic evaluation) could </w:t>
      </w:r>
      <w:r w:rsidRPr="00E44A2E">
        <w:rPr>
          <w:rFonts w:asciiTheme="minorHAnsi" w:hAnsiTheme="minorHAnsi" w:cstheme="minorHAnsi"/>
          <w:noProof/>
        </w:rPr>
        <w:t>be performed</w:t>
      </w:r>
      <w:r w:rsidRPr="00E44A2E">
        <w:rPr>
          <w:rFonts w:asciiTheme="minorHAnsi" w:hAnsiTheme="minorHAnsi" w:cstheme="minorHAnsi"/>
        </w:rPr>
        <w:t>.</w:t>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rPr>
        <w:t xml:space="preserve">$ = cost </w:t>
      </w:r>
      <w:r w:rsidRPr="00E44A2E">
        <w:rPr>
          <w:rFonts w:asciiTheme="minorHAnsi" w:hAnsiTheme="minorHAnsi" w:cstheme="minorHAnsi"/>
          <w:noProof/>
        </w:rPr>
        <w:t>minimisation</w:t>
      </w:r>
      <w:r w:rsidRPr="00E44A2E">
        <w:rPr>
          <w:rFonts w:asciiTheme="minorHAnsi" w:hAnsiTheme="minorHAnsi" w:cstheme="minorHAnsi"/>
        </w:rPr>
        <w:t xml:space="preserve"> analysis (</w:t>
      </w:r>
      <w:r w:rsidRPr="00E44A2E">
        <w:rPr>
          <w:rFonts w:asciiTheme="minorHAnsi" w:hAnsiTheme="minorHAnsi" w:cstheme="minorHAnsi"/>
          <w:noProof/>
        </w:rPr>
        <w:t>partial</w:t>
      </w:r>
      <w:r w:rsidRPr="00E44A2E">
        <w:rPr>
          <w:rFonts w:asciiTheme="minorHAnsi" w:hAnsiTheme="minorHAnsi" w:cstheme="minorHAnsi"/>
        </w:rPr>
        <w:t xml:space="preserve"> economic evaluation that explicitly assumes no significant differences in health outcomes, associated with either effectiveness or safety, and analyses cost-differences only). </w:t>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noProof/>
          <w:vertAlign w:val="superscript"/>
        </w:rPr>
        <w:t>a</w:t>
      </w:r>
      <w:r w:rsidRPr="00E44A2E">
        <w:rPr>
          <w:rFonts w:asciiTheme="minorHAnsi" w:hAnsiTheme="minorHAnsi" w:cstheme="minorHAnsi"/>
          <w:noProof/>
        </w:rPr>
        <w:t xml:space="preserve"> where</w:t>
      </w:r>
      <w:r w:rsidRPr="00E44A2E">
        <w:rPr>
          <w:rFonts w:asciiTheme="minorHAnsi" w:hAnsiTheme="minorHAnsi" w:cstheme="minorHAnsi"/>
        </w:rPr>
        <w:t xml:space="preserve"> the conclusions </w:t>
      </w:r>
      <w:r w:rsidRPr="00E44A2E">
        <w:rPr>
          <w:rFonts w:asciiTheme="minorHAnsi" w:hAnsiTheme="minorHAnsi" w:cstheme="minorHAnsi"/>
          <w:noProof/>
        </w:rPr>
        <w:t>with respect to</w:t>
      </w:r>
      <w:r w:rsidRPr="00E44A2E">
        <w:rPr>
          <w:rFonts w:asciiTheme="minorHAnsi" w:hAnsiTheme="minorHAnsi" w:cstheme="minorHAnsi"/>
        </w:rPr>
        <w:t xml:space="preserve"> effectiveness and safety are not congruent, then analyses identifying all relevant health consequences (</w:t>
      </w:r>
      <w:r w:rsidRPr="00E44A2E">
        <w:rPr>
          <w:rFonts w:asciiTheme="minorHAnsi" w:hAnsiTheme="minorHAnsi" w:cstheme="minorHAnsi"/>
          <w:noProof/>
        </w:rPr>
        <w:t>i.e.,</w:t>
      </w:r>
      <w:r w:rsidRPr="00E44A2E">
        <w:rPr>
          <w:rFonts w:asciiTheme="minorHAnsi" w:hAnsiTheme="minorHAnsi" w:cstheme="minorHAnsi"/>
        </w:rPr>
        <w:t xml:space="preserve"> effectiveness and safety outcomes in opposing directions of benefit) need to be presented. If a CUA </w:t>
      </w:r>
      <w:r w:rsidRPr="00E44A2E">
        <w:rPr>
          <w:rFonts w:asciiTheme="minorHAnsi" w:hAnsiTheme="minorHAnsi" w:cstheme="minorHAnsi"/>
          <w:noProof/>
        </w:rPr>
        <w:t>is presented</w:t>
      </w:r>
      <w:r w:rsidRPr="00E44A2E">
        <w:rPr>
          <w:rFonts w:asciiTheme="minorHAnsi" w:hAnsiTheme="minorHAnsi" w:cstheme="minorHAnsi"/>
        </w:rPr>
        <w:t xml:space="preserve">, this should capture effectiveness and safety collectively. If a CUA is not possible, then a single CEA may not capture all health consequences adequately </w:t>
      </w:r>
      <w:r w:rsidRPr="00E44A2E">
        <w:rPr>
          <w:rFonts w:asciiTheme="minorHAnsi" w:hAnsiTheme="minorHAnsi" w:cstheme="minorHAnsi"/>
          <w:noProof/>
        </w:rPr>
        <w:t>and</w:t>
      </w:r>
      <w:r w:rsidRPr="00E44A2E">
        <w:rPr>
          <w:rFonts w:asciiTheme="minorHAnsi" w:hAnsiTheme="minorHAnsi" w:cstheme="minorHAnsi"/>
        </w:rPr>
        <w:t xml:space="preserve"> so a CCA is likely to be required. Where possible, the CCA should be quantitative, but in the absence of adequate data, a minimum qualitative identification of consequences should </w:t>
      </w:r>
      <w:r w:rsidRPr="00E44A2E">
        <w:rPr>
          <w:rFonts w:asciiTheme="minorHAnsi" w:hAnsiTheme="minorHAnsi" w:cstheme="minorHAnsi"/>
          <w:noProof/>
        </w:rPr>
        <w:t>be presented</w:t>
      </w:r>
      <w:r w:rsidRPr="00E44A2E">
        <w:rPr>
          <w:rFonts w:asciiTheme="minorHAnsi" w:hAnsiTheme="minorHAnsi" w:cstheme="minorHAnsi"/>
        </w:rPr>
        <w:t>.</w:t>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noProof/>
          <w:vertAlign w:val="superscript"/>
        </w:rPr>
        <w:t>b</w:t>
      </w:r>
      <w:r w:rsidRPr="00E44A2E">
        <w:rPr>
          <w:rFonts w:asciiTheme="minorHAnsi" w:hAnsiTheme="minorHAnsi" w:cstheme="minorHAnsi"/>
        </w:rPr>
        <w:t xml:space="preserve"> where effectiveness </w:t>
      </w:r>
      <w:r w:rsidRPr="00E44A2E">
        <w:rPr>
          <w:rFonts w:asciiTheme="minorHAnsi" w:hAnsiTheme="minorHAnsi" w:cstheme="minorHAnsi"/>
          <w:noProof/>
        </w:rPr>
        <w:t>is assessed</w:t>
      </w:r>
      <w:r w:rsidRPr="00E44A2E">
        <w:rPr>
          <w:rFonts w:asciiTheme="minorHAnsi" w:hAnsiTheme="minorHAnsi" w:cstheme="minorHAnsi"/>
        </w:rPr>
        <w:t xml:space="preserve"> as non-inferior but safety differences exist, and in the absence of a CUA being possible, the outcomes component of the analysis should include a clinically relevant outcome which reflects the safety differences between Ig and the comparator.</w:t>
      </w:r>
    </w:p>
    <w:p w:rsidR="003B5425" w:rsidRPr="00E44A2E" w:rsidRDefault="003B5425" w:rsidP="00A806C0">
      <w:pPr>
        <w:pStyle w:val="Tablenotes"/>
        <w:rPr>
          <w:rFonts w:asciiTheme="minorHAnsi" w:hAnsiTheme="minorHAnsi" w:cstheme="minorHAnsi"/>
        </w:rPr>
      </w:pPr>
      <w:r w:rsidRPr="00E44A2E">
        <w:rPr>
          <w:rFonts w:asciiTheme="minorHAnsi" w:hAnsiTheme="minorHAnsi" w:cstheme="minorHAnsi"/>
          <w:noProof/>
          <w:vertAlign w:val="superscript"/>
        </w:rPr>
        <w:t>c</w:t>
      </w:r>
      <w:r w:rsidRPr="00E44A2E">
        <w:rPr>
          <w:rFonts w:asciiTheme="minorHAnsi" w:hAnsiTheme="minorHAnsi" w:cstheme="minorHAnsi"/>
        </w:rPr>
        <w:t xml:space="preserve"> </w:t>
      </w:r>
      <w:r w:rsidR="00DA2F29">
        <w:rPr>
          <w:rFonts w:asciiTheme="minorHAnsi" w:hAnsiTheme="minorHAnsi" w:cstheme="minorHAnsi"/>
        </w:rPr>
        <w:t>t</w:t>
      </w:r>
      <w:r w:rsidRPr="00E44A2E">
        <w:rPr>
          <w:rFonts w:asciiTheme="minorHAnsi" w:hAnsiTheme="minorHAnsi" w:cstheme="minorHAnsi"/>
        </w:rPr>
        <w:t xml:space="preserve">he small but unavoidable potential risks associated with administering a blood product means that a conclusion of non-inferior or superior Ig safety relative to no active </w:t>
      </w:r>
      <w:r w:rsidRPr="00E44A2E">
        <w:rPr>
          <w:rFonts w:asciiTheme="minorHAnsi" w:hAnsiTheme="minorHAnsi" w:cstheme="minorHAnsi"/>
          <w:noProof/>
        </w:rPr>
        <w:t>comparator,</w:t>
      </w:r>
      <w:r w:rsidRPr="00E44A2E">
        <w:rPr>
          <w:rFonts w:asciiTheme="minorHAnsi" w:hAnsiTheme="minorHAnsi" w:cstheme="minorHAnsi"/>
        </w:rPr>
        <w:t xml:space="preserve"> should never arise.</w:t>
      </w:r>
    </w:p>
    <w:p w:rsidR="003B5425" w:rsidRDefault="003B5425">
      <w:r>
        <w:br w:type="page"/>
      </w:r>
    </w:p>
    <w:p w:rsidR="003B5425" w:rsidRDefault="003B5425" w:rsidP="00A806C0">
      <w:pPr>
        <w:pStyle w:val="Heading1"/>
      </w:pPr>
      <w:r>
        <w:lastRenderedPageBreak/>
        <w:t>References</w:t>
      </w:r>
    </w:p>
    <w:p w:rsidR="003B5425" w:rsidRPr="004F0AC5" w:rsidRDefault="003B5425" w:rsidP="00A806C0">
      <w:pPr>
        <w:pStyle w:val="EndNoteBibliography"/>
        <w:spacing w:after="0"/>
      </w:pPr>
      <w:r w:rsidRPr="004F0AC5">
        <w:t>1.</w:t>
      </w:r>
      <w:r w:rsidRPr="004F0AC5">
        <w:tab/>
        <w:t>Expert Neurologist. Personal communication (</w:t>
      </w:r>
      <w:r w:rsidRPr="004132A9">
        <w:t>wri</w:t>
      </w:r>
      <w:r>
        <w:t>t</w:t>
      </w:r>
      <w:r w:rsidRPr="004132A9">
        <w:t>ten</w:t>
      </w:r>
      <w:r w:rsidRPr="004F0AC5">
        <w:t xml:space="preserve"> feedback </w:t>
      </w:r>
      <w:r w:rsidRPr="004132A9">
        <w:t>rec</w:t>
      </w:r>
      <w:r>
        <w:t>ei</w:t>
      </w:r>
      <w:r w:rsidRPr="004132A9">
        <w:t>ved</w:t>
      </w:r>
      <w:r w:rsidRPr="004F0AC5">
        <w:t xml:space="preserve"> via email 31 January). 2019.</w:t>
      </w:r>
    </w:p>
    <w:p w:rsidR="003B5425" w:rsidRPr="004F0AC5" w:rsidRDefault="003B5425" w:rsidP="00A806C0">
      <w:pPr>
        <w:pStyle w:val="EndNoteBibliography"/>
        <w:spacing w:after="0"/>
      </w:pPr>
      <w:r w:rsidRPr="004F0AC5">
        <w:t>2.</w:t>
      </w:r>
      <w:r w:rsidRPr="004F0AC5">
        <w:tab/>
        <w:t xml:space="preserve">National Blood Authority Australia </w:t>
      </w:r>
      <w:r w:rsidRPr="004F0AC5">
        <w:rPr>
          <w:i/>
        </w:rPr>
        <w:t>Overview and Role of the NBA</w:t>
      </w:r>
      <w:r w:rsidRPr="004F0AC5">
        <w:t xml:space="preserve">. Available from: </w:t>
      </w:r>
      <w:r w:rsidRPr="003B5425">
        <w:rPr>
          <w:rStyle w:val="Hyperlink"/>
        </w:rPr>
        <w:t>https://www.blood.gov.au/about-nba</w:t>
      </w:r>
      <w:r w:rsidRPr="004F0AC5">
        <w:t xml:space="preserve"> [Accessed 21st January 2019 2019].</w:t>
      </w:r>
    </w:p>
    <w:p w:rsidR="003B5425" w:rsidRPr="004F0AC5" w:rsidRDefault="003B5425" w:rsidP="00A806C0">
      <w:pPr>
        <w:pStyle w:val="EndNoteBibliography"/>
        <w:spacing w:after="0"/>
      </w:pPr>
      <w:r w:rsidRPr="004F0AC5">
        <w:t>3.</w:t>
      </w:r>
      <w:r w:rsidRPr="004F0AC5">
        <w:tab/>
        <w:t xml:space="preserve">National Blood Authority Australia </w:t>
      </w:r>
      <w:r w:rsidRPr="004F0AC5">
        <w:rPr>
          <w:i/>
        </w:rPr>
        <w:t xml:space="preserve">Criteria for the Clinical Use of Intravenous </w:t>
      </w:r>
      <w:r w:rsidRPr="004132A9">
        <w:rPr>
          <w:i/>
        </w:rPr>
        <w:t>Immunoglobulin</w:t>
      </w:r>
      <w:r w:rsidRPr="004F0AC5">
        <w:rPr>
          <w:i/>
        </w:rPr>
        <w:t xml:space="preserve"> in Australia</w:t>
      </w:r>
      <w:r w:rsidRPr="004F0AC5">
        <w:t xml:space="preserve">. Available from: </w:t>
      </w:r>
      <w:r w:rsidRPr="003B5425">
        <w:rPr>
          <w:rStyle w:val="Hyperlink"/>
        </w:rPr>
        <w:t>https://www.blood.gov.au/ivig-criteria</w:t>
      </w:r>
      <w:r w:rsidRPr="004F0AC5">
        <w:t xml:space="preserve"> [Accessed 21st January 2019 2019].</w:t>
      </w:r>
    </w:p>
    <w:p w:rsidR="003B5425" w:rsidRPr="004F0AC5" w:rsidRDefault="003B5425" w:rsidP="00A806C0">
      <w:pPr>
        <w:pStyle w:val="EndNoteBibliography"/>
        <w:spacing w:after="0"/>
      </w:pPr>
      <w:r w:rsidRPr="004F0AC5">
        <w:t>4.</w:t>
      </w:r>
      <w:r w:rsidRPr="004F0AC5">
        <w:tab/>
        <w:t xml:space="preserve">BloodSTAR (2018). </w:t>
      </w:r>
      <w:r w:rsidRPr="004F0AC5">
        <w:rPr>
          <w:i/>
        </w:rPr>
        <w:t>Criteria for the clinical use of immunoglobulin in Australia (the Criteria)</w:t>
      </w:r>
      <w:r w:rsidRPr="004F0AC5">
        <w:t xml:space="preserve">. Available from: </w:t>
      </w:r>
      <w:r w:rsidRPr="003B5425">
        <w:rPr>
          <w:rStyle w:val="Hyperlink"/>
        </w:rPr>
        <w:t>https://www.criteria.blood.gov.au/</w:t>
      </w:r>
      <w:r w:rsidRPr="004F0AC5">
        <w:t xml:space="preserve"> [Accessed 17 January 2018].</w:t>
      </w:r>
    </w:p>
    <w:p w:rsidR="003B5425" w:rsidRPr="004F0AC5" w:rsidRDefault="003B5425" w:rsidP="00A806C0">
      <w:pPr>
        <w:pStyle w:val="EndNoteBibliography"/>
        <w:spacing w:after="0"/>
      </w:pPr>
      <w:r w:rsidRPr="004F0AC5">
        <w:t>5.</w:t>
      </w:r>
      <w:r w:rsidRPr="004F0AC5">
        <w:tab/>
        <w:t xml:space="preserve">Van den Bergh, P. Y., Hadden, R. D. </w:t>
      </w:r>
      <w:r w:rsidRPr="004132A9">
        <w:t>et al</w:t>
      </w:r>
      <w:r>
        <w:t>.</w:t>
      </w:r>
      <w:r w:rsidRPr="004F0AC5">
        <w:t xml:space="preserve"> (2010). 'European Federation of Neurological Societies/Peripheral Nerve Society guideline on management of chronic inflammatory demyelinating polyradiculoneuropathy: report of a joint task force of the European Federation of Neurological Societies and the Peripheral Nerve Society - first revision</w:t>
      </w:r>
      <w:r w:rsidRPr="004132A9">
        <w:t>'.</w:t>
      </w:r>
      <w:r w:rsidRPr="004F0AC5">
        <w:t xml:space="preserve"> </w:t>
      </w:r>
      <w:r w:rsidRPr="004F0AC5">
        <w:rPr>
          <w:i/>
        </w:rPr>
        <w:t>Eur J Neurol</w:t>
      </w:r>
      <w:r w:rsidRPr="004F0AC5">
        <w:t>, 17 (3), 356-63.</w:t>
      </w:r>
    </w:p>
    <w:p w:rsidR="003B5425" w:rsidRPr="004F0AC5" w:rsidRDefault="003B5425" w:rsidP="00A806C0">
      <w:pPr>
        <w:pStyle w:val="EndNoteBibliography"/>
        <w:spacing w:after="0"/>
      </w:pPr>
      <w:r w:rsidRPr="004F0AC5">
        <w:t>6.</w:t>
      </w:r>
      <w:r w:rsidRPr="004F0AC5">
        <w:tab/>
        <w:t xml:space="preserve">Nobile-Orazio, E., Gallia, F. </w:t>
      </w:r>
      <w:r w:rsidRPr="004132A9">
        <w:t>et al</w:t>
      </w:r>
      <w:r>
        <w:t>.</w:t>
      </w:r>
      <w:r w:rsidRPr="004F0AC5">
        <w:t xml:space="preserve"> (2017). 'Comparing treatment options for chronic inflammatory neuropathies and choosing the right treatment plan</w:t>
      </w:r>
      <w:r w:rsidRPr="004132A9">
        <w:t>'.</w:t>
      </w:r>
      <w:r w:rsidRPr="004F0AC5">
        <w:t xml:space="preserve"> </w:t>
      </w:r>
      <w:r w:rsidRPr="004F0AC5">
        <w:rPr>
          <w:i/>
        </w:rPr>
        <w:t>Expert Rev Neurother</w:t>
      </w:r>
      <w:r w:rsidRPr="004F0AC5">
        <w:t>, 17 (8), 755-65.</w:t>
      </w:r>
    </w:p>
    <w:p w:rsidR="003B5425" w:rsidRPr="004F0AC5" w:rsidRDefault="003B5425" w:rsidP="00A806C0">
      <w:pPr>
        <w:pStyle w:val="EndNoteBibliography"/>
        <w:spacing w:after="0"/>
      </w:pPr>
      <w:r w:rsidRPr="004F0AC5">
        <w:t>7.</w:t>
      </w:r>
      <w:r w:rsidRPr="004F0AC5">
        <w:tab/>
        <w:t xml:space="preserve">Oaklander, A. L., Lunn, M. P. </w:t>
      </w:r>
      <w:r w:rsidRPr="004132A9">
        <w:t>et al</w:t>
      </w:r>
      <w:r>
        <w:t>.</w:t>
      </w:r>
      <w:r w:rsidRPr="004F0AC5">
        <w:t xml:space="preserve"> (2017). 'Treatments for chronic inflammatory demyelinating polyradiculoneuropathy (CIDP): an overview of systematic reviews</w:t>
      </w:r>
      <w:r w:rsidRPr="004132A9">
        <w:t>'.</w:t>
      </w:r>
      <w:r w:rsidRPr="004F0AC5">
        <w:t xml:space="preserve"> </w:t>
      </w:r>
      <w:r w:rsidRPr="004F0AC5">
        <w:rPr>
          <w:i/>
        </w:rPr>
        <w:t>Cochrane Database Syst Rev</w:t>
      </w:r>
      <w:r w:rsidRPr="004F0AC5">
        <w:t>, CD010369.</w:t>
      </w:r>
    </w:p>
    <w:p w:rsidR="003B5425" w:rsidRPr="004F0AC5" w:rsidRDefault="003B5425" w:rsidP="00A806C0">
      <w:pPr>
        <w:pStyle w:val="EndNoteBibliography"/>
        <w:spacing w:after="0"/>
      </w:pPr>
      <w:r w:rsidRPr="004F0AC5">
        <w:t>8.</w:t>
      </w:r>
      <w:r w:rsidRPr="004F0AC5">
        <w:tab/>
        <w:t>Gorson, K. C. (2012). 'An update on the management of chronic inflammatory demyelinating polyneuropathy</w:t>
      </w:r>
      <w:r w:rsidRPr="004132A9">
        <w:t>'.</w:t>
      </w:r>
      <w:r w:rsidRPr="004F0AC5">
        <w:t xml:space="preserve"> </w:t>
      </w:r>
      <w:r w:rsidRPr="004F0AC5">
        <w:rPr>
          <w:i/>
        </w:rPr>
        <w:t>Ther Adv Neurol Disord</w:t>
      </w:r>
      <w:r w:rsidRPr="004F0AC5">
        <w:t>, 5 (6), 359-73.</w:t>
      </w:r>
    </w:p>
    <w:p w:rsidR="003B5425" w:rsidRPr="004F0AC5" w:rsidRDefault="003B5425" w:rsidP="00A806C0">
      <w:pPr>
        <w:pStyle w:val="EndNoteBibliography"/>
        <w:spacing w:after="0"/>
      </w:pPr>
      <w:r w:rsidRPr="004F0AC5">
        <w:t>9.</w:t>
      </w:r>
      <w:r w:rsidRPr="004F0AC5">
        <w:tab/>
        <w:t xml:space="preserve">Dalakas, M. C.&amp; Medscape (2011). 'Advances in the diagnosis, pathogenesis </w:t>
      </w:r>
      <w:r w:rsidRPr="004132A9">
        <w:t>and</w:t>
      </w:r>
      <w:r w:rsidRPr="004F0AC5">
        <w:t xml:space="preserve"> treatment of CIDP</w:t>
      </w:r>
      <w:r w:rsidRPr="004132A9">
        <w:t>'.</w:t>
      </w:r>
      <w:r w:rsidRPr="004F0AC5">
        <w:t xml:space="preserve"> </w:t>
      </w:r>
      <w:r w:rsidRPr="004F0AC5">
        <w:rPr>
          <w:i/>
        </w:rPr>
        <w:t>Nat Rev Neurol</w:t>
      </w:r>
      <w:r w:rsidRPr="004F0AC5">
        <w:t>, 7 (9), 507-17.</w:t>
      </w:r>
    </w:p>
    <w:p w:rsidR="003B5425" w:rsidRPr="004F0AC5" w:rsidRDefault="003B5425" w:rsidP="00A806C0">
      <w:pPr>
        <w:pStyle w:val="EndNoteBibliography"/>
        <w:spacing w:after="0"/>
      </w:pPr>
      <w:r w:rsidRPr="004F0AC5">
        <w:t>10.</w:t>
      </w:r>
      <w:r w:rsidRPr="004F0AC5">
        <w:tab/>
        <w:t>Vallat, J. M., Sommer, C.&amp; Magy, L. (2010). 'Chronic inflammatory demyelinating polyradiculoneuropathy: diagnostic and therapeutic challenges for a treatable condition</w:t>
      </w:r>
      <w:r w:rsidRPr="004132A9">
        <w:t>'.</w:t>
      </w:r>
      <w:r w:rsidRPr="004F0AC5">
        <w:t xml:space="preserve"> </w:t>
      </w:r>
      <w:r w:rsidRPr="004F0AC5">
        <w:rPr>
          <w:i/>
        </w:rPr>
        <w:t>Lancet Neurol</w:t>
      </w:r>
      <w:r w:rsidRPr="004F0AC5">
        <w:t>, 9 (4), 402-12.</w:t>
      </w:r>
    </w:p>
    <w:p w:rsidR="003B5425" w:rsidRPr="004F0AC5" w:rsidRDefault="003B5425" w:rsidP="00A806C0">
      <w:pPr>
        <w:pStyle w:val="EndNoteBibliography"/>
        <w:spacing w:after="0"/>
      </w:pPr>
      <w:r w:rsidRPr="004F0AC5">
        <w:t>11.</w:t>
      </w:r>
      <w:r w:rsidRPr="004F0AC5">
        <w:tab/>
        <w:t>Expert Neurologist. Personal communication (telephone call) from an expert Neurologist. 10 January 2019. 2019.</w:t>
      </w:r>
    </w:p>
    <w:p w:rsidR="003B5425" w:rsidRPr="004F0AC5" w:rsidRDefault="003B5425" w:rsidP="00A806C0">
      <w:pPr>
        <w:pStyle w:val="EndNoteBibliography"/>
        <w:spacing w:after="0"/>
      </w:pPr>
      <w:r w:rsidRPr="004F0AC5">
        <w:t>12.</w:t>
      </w:r>
      <w:r w:rsidRPr="004F0AC5">
        <w:tab/>
        <w:t>Hughes, R. A., Bouche, P. et al (2006). 'European Federation of Neurological Societies/Peripheral Nerve Society guideline on management of chronic inflammatory demyelinating polyradiculoneuropathy: report of a joint task force of the European Federation of Neurological Societies and the Peripheral Nerve Society</w:t>
      </w:r>
      <w:r w:rsidRPr="004132A9">
        <w:t>'.</w:t>
      </w:r>
      <w:r w:rsidRPr="004F0AC5">
        <w:t xml:space="preserve"> </w:t>
      </w:r>
      <w:r w:rsidRPr="004F0AC5">
        <w:rPr>
          <w:i/>
        </w:rPr>
        <w:t>Eur J Neurol</w:t>
      </w:r>
      <w:r w:rsidRPr="004F0AC5">
        <w:t>, 13 (4), 326-32.</w:t>
      </w:r>
    </w:p>
    <w:p w:rsidR="003B5425" w:rsidRPr="004F0AC5" w:rsidRDefault="003B5425" w:rsidP="00A806C0">
      <w:pPr>
        <w:pStyle w:val="EndNoteBibliography"/>
        <w:spacing w:after="0"/>
      </w:pPr>
      <w:r w:rsidRPr="004F0AC5">
        <w:t>13.</w:t>
      </w:r>
      <w:r w:rsidRPr="004F0AC5">
        <w:tab/>
        <w:t>Mahdi-Rogers, M.&amp; Hughes, R. A. (2014). 'Epidemiology of chronic inflammatory neuropathies in southeast England</w:t>
      </w:r>
      <w:r w:rsidRPr="004132A9">
        <w:t>'.</w:t>
      </w:r>
      <w:r w:rsidRPr="004F0AC5">
        <w:t xml:space="preserve"> </w:t>
      </w:r>
      <w:r w:rsidRPr="004F0AC5">
        <w:rPr>
          <w:i/>
        </w:rPr>
        <w:t>Eur J Neurol</w:t>
      </w:r>
      <w:r w:rsidRPr="004F0AC5">
        <w:t>, 21 (1), 28-33.</w:t>
      </w:r>
    </w:p>
    <w:p w:rsidR="003B5425" w:rsidRPr="004F0AC5" w:rsidRDefault="003B5425" w:rsidP="00A806C0">
      <w:pPr>
        <w:pStyle w:val="EndNoteBibliography"/>
        <w:spacing w:after="0"/>
      </w:pPr>
      <w:r w:rsidRPr="004F0AC5">
        <w:t>14.</w:t>
      </w:r>
      <w:r w:rsidRPr="004F0AC5">
        <w:tab/>
        <w:t xml:space="preserve">Rajabally, Y. A., Simpson, B. S. </w:t>
      </w:r>
      <w:r w:rsidRPr="004132A9">
        <w:t>et al</w:t>
      </w:r>
      <w:r>
        <w:t>.</w:t>
      </w:r>
      <w:r w:rsidRPr="004F0AC5">
        <w:t xml:space="preserve"> (2009). 'Epidemiologic variability of chronic inflammatory demyelinating polyneuropathy with different diagnostic criteria: </w:t>
      </w:r>
      <w:r w:rsidRPr="004132A9">
        <w:t>study</w:t>
      </w:r>
      <w:r w:rsidRPr="004F0AC5">
        <w:t xml:space="preserve"> of a UK population</w:t>
      </w:r>
      <w:r w:rsidRPr="004132A9">
        <w:t>'.</w:t>
      </w:r>
      <w:r w:rsidRPr="004F0AC5">
        <w:t xml:space="preserve"> </w:t>
      </w:r>
      <w:r w:rsidRPr="004F0AC5">
        <w:rPr>
          <w:i/>
        </w:rPr>
        <w:t>Muscle Nerve</w:t>
      </w:r>
      <w:r w:rsidRPr="004F0AC5">
        <w:t>, 39 (4), 432-8.</w:t>
      </w:r>
    </w:p>
    <w:p w:rsidR="003B5425" w:rsidRPr="004F0AC5" w:rsidRDefault="003B5425" w:rsidP="00A806C0">
      <w:pPr>
        <w:pStyle w:val="EndNoteBibliography"/>
        <w:spacing w:after="0"/>
      </w:pPr>
      <w:r w:rsidRPr="004F0AC5">
        <w:t>15.</w:t>
      </w:r>
      <w:r w:rsidRPr="004F0AC5">
        <w:tab/>
        <w:t xml:space="preserve">Lunn, M. P., Manji, H. </w:t>
      </w:r>
      <w:r w:rsidRPr="004132A9">
        <w:t>et al</w:t>
      </w:r>
      <w:r>
        <w:t>.</w:t>
      </w:r>
      <w:r w:rsidRPr="004F0AC5">
        <w:t xml:space="preserve"> (1999). 'Chronic inflammatory demyelinating polyradiculoneuropathy: a prevalence study in </w:t>
      </w:r>
      <w:r w:rsidRPr="004132A9">
        <w:t>south east</w:t>
      </w:r>
      <w:r w:rsidRPr="004F0AC5">
        <w:t xml:space="preserve"> England</w:t>
      </w:r>
      <w:r w:rsidRPr="004132A9">
        <w:t>'.</w:t>
      </w:r>
      <w:r w:rsidRPr="004F0AC5">
        <w:t xml:space="preserve"> </w:t>
      </w:r>
      <w:r w:rsidRPr="004F0AC5">
        <w:rPr>
          <w:i/>
        </w:rPr>
        <w:t>J Neurol Neurosurg Psychiatry</w:t>
      </w:r>
      <w:r w:rsidRPr="004F0AC5">
        <w:t>, 66 (5), 677-80.</w:t>
      </w:r>
    </w:p>
    <w:p w:rsidR="003B5425" w:rsidRPr="004F0AC5" w:rsidRDefault="003B5425" w:rsidP="00A806C0">
      <w:pPr>
        <w:pStyle w:val="EndNoteBibliography"/>
        <w:spacing w:after="0"/>
      </w:pPr>
      <w:r w:rsidRPr="004F0AC5">
        <w:t>16.</w:t>
      </w:r>
      <w:r w:rsidRPr="004F0AC5">
        <w:tab/>
        <w:t xml:space="preserve">McLeod, J. G., Pollard, J. D. </w:t>
      </w:r>
      <w:r w:rsidRPr="004132A9">
        <w:t>et al</w:t>
      </w:r>
      <w:r>
        <w:t>.</w:t>
      </w:r>
      <w:r w:rsidRPr="004F0AC5">
        <w:t xml:space="preserve"> (1999). 'Prevalence of chronic inflammatory demyelinating polyneuropathy in New South Wales, Australia</w:t>
      </w:r>
      <w:r w:rsidRPr="004132A9">
        <w:t>'.</w:t>
      </w:r>
      <w:r w:rsidRPr="004F0AC5">
        <w:t xml:space="preserve"> </w:t>
      </w:r>
      <w:r w:rsidRPr="004F0AC5">
        <w:rPr>
          <w:i/>
        </w:rPr>
        <w:t>Ann Neurol</w:t>
      </w:r>
      <w:r w:rsidRPr="004F0AC5">
        <w:t>, 46 (6), 910-3.</w:t>
      </w:r>
    </w:p>
    <w:p w:rsidR="003B5425" w:rsidRPr="004F0AC5" w:rsidRDefault="003B5425" w:rsidP="00A806C0">
      <w:pPr>
        <w:pStyle w:val="EndNoteBibliography"/>
        <w:spacing w:after="0"/>
      </w:pPr>
      <w:r w:rsidRPr="004F0AC5">
        <w:t>17.</w:t>
      </w:r>
      <w:r w:rsidRPr="004F0AC5">
        <w:tab/>
        <w:t>Mygland, A.&amp; Monstad, P. (2001). 'Chronic polyneuropathies in Vest-Agder, Norway</w:t>
      </w:r>
      <w:r w:rsidRPr="004132A9">
        <w:t>'.</w:t>
      </w:r>
      <w:r w:rsidRPr="004F0AC5">
        <w:t xml:space="preserve"> </w:t>
      </w:r>
      <w:r w:rsidRPr="004F0AC5">
        <w:rPr>
          <w:i/>
        </w:rPr>
        <w:t>Eur J Neurol</w:t>
      </w:r>
      <w:r w:rsidRPr="004F0AC5">
        <w:t>, 8 (2), 157-65.</w:t>
      </w:r>
    </w:p>
    <w:p w:rsidR="003B5425" w:rsidRPr="004F0AC5" w:rsidRDefault="003B5425" w:rsidP="00A806C0">
      <w:pPr>
        <w:pStyle w:val="EndNoteBibliography"/>
        <w:spacing w:after="0"/>
      </w:pPr>
      <w:r w:rsidRPr="004F0AC5">
        <w:t>18.</w:t>
      </w:r>
      <w:r w:rsidRPr="004F0AC5">
        <w:tab/>
        <w:t xml:space="preserve">Chio, A., Cocito, D. </w:t>
      </w:r>
      <w:r w:rsidRPr="004132A9">
        <w:t>et al</w:t>
      </w:r>
      <w:r>
        <w:t>.</w:t>
      </w:r>
      <w:r w:rsidRPr="004F0AC5">
        <w:t xml:space="preserve"> (2007). 'Idiopathic chronic inflammatory demyelinating polyneuropathy: an epidemiological study in Italy</w:t>
      </w:r>
      <w:r w:rsidRPr="004132A9">
        <w:t>'.</w:t>
      </w:r>
      <w:r w:rsidRPr="004F0AC5">
        <w:t xml:space="preserve"> </w:t>
      </w:r>
      <w:r w:rsidRPr="004F0AC5">
        <w:rPr>
          <w:i/>
        </w:rPr>
        <w:t>J Neurol Neurosurg Psychiatry</w:t>
      </w:r>
      <w:r w:rsidRPr="004F0AC5">
        <w:t>, 78 (12), 1349-53.</w:t>
      </w:r>
    </w:p>
    <w:p w:rsidR="003B5425" w:rsidRPr="004F0AC5" w:rsidRDefault="003B5425" w:rsidP="00A806C0">
      <w:pPr>
        <w:pStyle w:val="EndNoteBibliography"/>
        <w:spacing w:after="0"/>
      </w:pPr>
      <w:r w:rsidRPr="004F0AC5">
        <w:lastRenderedPageBreak/>
        <w:t>19.</w:t>
      </w:r>
      <w:r w:rsidRPr="004F0AC5">
        <w:tab/>
        <w:t xml:space="preserve">Iijima, M., Koike, H. </w:t>
      </w:r>
      <w:r w:rsidRPr="004132A9">
        <w:t>et al</w:t>
      </w:r>
      <w:r>
        <w:t>.</w:t>
      </w:r>
      <w:r w:rsidRPr="004F0AC5">
        <w:t xml:space="preserve"> (2008). 'Prevalence and incidence rates of chronic inflammatory demyelinating polyneuropathy in the Japanese population</w:t>
      </w:r>
      <w:r w:rsidRPr="004132A9">
        <w:t>'.</w:t>
      </w:r>
      <w:r w:rsidRPr="004F0AC5">
        <w:t xml:space="preserve"> </w:t>
      </w:r>
      <w:r w:rsidRPr="004F0AC5">
        <w:rPr>
          <w:i/>
        </w:rPr>
        <w:t>J Neurol Neurosurg Psychiatry</w:t>
      </w:r>
      <w:r w:rsidRPr="004F0AC5">
        <w:t>, 79 (9), 1040-3.</w:t>
      </w:r>
    </w:p>
    <w:p w:rsidR="003B5425" w:rsidRPr="004F0AC5" w:rsidRDefault="003B5425" w:rsidP="00A806C0">
      <w:pPr>
        <w:pStyle w:val="EndNoteBibliography"/>
        <w:spacing w:after="0"/>
      </w:pPr>
      <w:r w:rsidRPr="004F0AC5">
        <w:t>20.</w:t>
      </w:r>
      <w:r w:rsidRPr="004F0AC5">
        <w:tab/>
        <w:t xml:space="preserve">Laughlin, R. S., Dyck, P. J. </w:t>
      </w:r>
      <w:r w:rsidRPr="004132A9">
        <w:t>et al</w:t>
      </w:r>
      <w:r>
        <w:t>.</w:t>
      </w:r>
      <w:r w:rsidRPr="004F0AC5">
        <w:t xml:space="preserve"> (2009). 'Incidence and prevalence of CIDP and the association of diabetes mellitus</w:t>
      </w:r>
      <w:r w:rsidRPr="004132A9">
        <w:t>'.</w:t>
      </w:r>
      <w:r w:rsidRPr="004F0AC5">
        <w:t xml:space="preserve"> </w:t>
      </w:r>
      <w:r w:rsidRPr="004F0AC5">
        <w:rPr>
          <w:i/>
        </w:rPr>
        <w:t>Neurology</w:t>
      </w:r>
      <w:r w:rsidRPr="004F0AC5">
        <w:t>, 73 (1), 39-45.</w:t>
      </w:r>
    </w:p>
    <w:p w:rsidR="003B5425" w:rsidRPr="004F0AC5" w:rsidRDefault="003B5425" w:rsidP="00A806C0">
      <w:pPr>
        <w:pStyle w:val="EndNoteBibliography"/>
        <w:spacing w:after="0"/>
      </w:pPr>
      <w:r w:rsidRPr="004F0AC5">
        <w:t>21.</w:t>
      </w:r>
      <w:r w:rsidRPr="004F0AC5">
        <w:tab/>
      </w:r>
      <w:r w:rsidRPr="004132A9">
        <w:t>Lefter</w:t>
      </w:r>
      <w:r w:rsidRPr="004F0AC5">
        <w:t>, S., Hardiman, O.&amp; Ryan, A. M. (2017). 'A population-based epidemiologic study of adult neuromuscular disease in the Republic of Ireland</w:t>
      </w:r>
      <w:r w:rsidRPr="004132A9">
        <w:t>'.</w:t>
      </w:r>
      <w:r w:rsidRPr="004F0AC5">
        <w:t xml:space="preserve"> </w:t>
      </w:r>
      <w:r w:rsidRPr="004F0AC5">
        <w:rPr>
          <w:i/>
        </w:rPr>
        <w:t>Neurology</w:t>
      </w:r>
      <w:r w:rsidRPr="004F0AC5">
        <w:t>, 88 (3), 304-13.</w:t>
      </w:r>
    </w:p>
    <w:p w:rsidR="003B5425" w:rsidRPr="004F0AC5" w:rsidRDefault="003B5425" w:rsidP="00A806C0">
      <w:pPr>
        <w:pStyle w:val="EndNoteBibliography"/>
        <w:spacing w:after="0"/>
      </w:pPr>
      <w:r w:rsidRPr="004F0AC5">
        <w:t>22.</w:t>
      </w:r>
      <w:r w:rsidRPr="004F0AC5">
        <w:tab/>
        <w:t xml:space="preserve">National Blood Authority Australia (2016). </w:t>
      </w:r>
      <w:r w:rsidRPr="004F0AC5">
        <w:rPr>
          <w:i/>
        </w:rPr>
        <w:t>National Report in the Issue and Use of Immunoglobulin (Ig) Annual Report 2015-16.</w:t>
      </w:r>
      <w:r w:rsidRPr="004F0AC5">
        <w:t xml:space="preserve"> Available from: </w:t>
      </w:r>
      <w:r w:rsidRPr="003B5425">
        <w:rPr>
          <w:rStyle w:val="Hyperlink"/>
        </w:rPr>
        <w:t>https://www.blood.gov.au/data-analysis-reporting</w:t>
      </w:r>
      <w:r w:rsidRPr="004F0AC5">
        <w:t xml:space="preserve"> [Accessed 17 January 209].</w:t>
      </w:r>
    </w:p>
    <w:p w:rsidR="003B5425" w:rsidRPr="004F0AC5" w:rsidRDefault="003B5425" w:rsidP="00A806C0">
      <w:pPr>
        <w:pStyle w:val="EndNoteBibliography"/>
        <w:spacing w:after="0"/>
      </w:pPr>
      <w:r w:rsidRPr="004F0AC5">
        <w:t>23.</w:t>
      </w:r>
      <w:r w:rsidRPr="004F0AC5">
        <w:tab/>
        <w:t>Hafsteinsdottir, B.&amp; Olafsson, E. (2016). 'Incidence and Natural History of Idiopathic Chronic Inflammatory Demyelinating Polyneuropathy: A Population-Based Study in Iceland</w:t>
      </w:r>
      <w:r w:rsidRPr="004132A9">
        <w:t>'.</w:t>
      </w:r>
      <w:r w:rsidRPr="004F0AC5">
        <w:t xml:space="preserve"> </w:t>
      </w:r>
      <w:r w:rsidRPr="004F0AC5">
        <w:rPr>
          <w:i/>
        </w:rPr>
        <w:t>Eur Neurol</w:t>
      </w:r>
      <w:r w:rsidRPr="004F0AC5">
        <w:t>, 75 (5-6), 263-8.</w:t>
      </w:r>
    </w:p>
    <w:p w:rsidR="003B5425" w:rsidRPr="004F0AC5" w:rsidRDefault="003B5425" w:rsidP="00A806C0">
      <w:pPr>
        <w:pStyle w:val="EndNoteBibliography"/>
        <w:spacing w:after="0"/>
      </w:pPr>
      <w:r w:rsidRPr="004F0AC5">
        <w:t>24.</w:t>
      </w:r>
      <w:r w:rsidRPr="004F0AC5">
        <w:tab/>
        <w:t xml:space="preserve">Stork, A. C., Lunn, M. P. </w:t>
      </w:r>
      <w:r w:rsidRPr="004132A9">
        <w:t>et al</w:t>
      </w:r>
      <w:r>
        <w:t>.</w:t>
      </w:r>
      <w:r w:rsidRPr="004F0AC5">
        <w:t xml:space="preserve"> (2015). 'Treatment for IgG and IgA paraproteinaemic neuropathy</w:t>
      </w:r>
      <w:r w:rsidRPr="004132A9">
        <w:t>'.</w:t>
      </w:r>
      <w:r w:rsidRPr="004F0AC5">
        <w:t xml:space="preserve"> </w:t>
      </w:r>
      <w:r w:rsidRPr="004F0AC5">
        <w:rPr>
          <w:i/>
        </w:rPr>
        <w:t>Cochrane Database Syst Rev</w:t>
      </w:r>
      <w:r w:rsidRPr="004F0AC5">
        <w:t>, CD005376.</w:t>
      </w:r>
    </w:p>
    <w:p w:rsidR="003B5425" w:rsidRPr="004F0AC5" w:rsidRDefault="003B5425" w:rsidP="00A806C0">
      <w:pPr>
        <w:pStyle w:val="EndNoteBibliography"/>
        <w:spacing w:after="0"/>
      </w:pPr>
      <w:r w:rsidRPr="004F0AC5">
        <w:t>25.</w:t>
      </w:r>
      <w:r w:rsidRPr="004F0AC5">
        <w:tab/>
        <w:t xml:space="preserve">Joint Task Force of </w:t>
      </w:r>
      <w:r w:rsidRPr="004132A9">
        <w:t>the,</w:t>
      </w:r>
      <w:r w:rsidRPr="004F0AC5">
        <w:t xml:space="preserve"> E.&amp; the, P. N. S. (2010). 'European Federation of Neurological Societies/Peripheral Nerve Society Guideline on </w:t>
      </w:r>
      <w:r w:rsidRPr="004132A9">
        <w:t>management</w:t>
      </w:r>
      <w:r w:rsidRPr="004F0AC5">
        <w:t xml:space="preserve"> of paraproteinemic demyelinating neuropathies. Report of a Joint Task Force of the European Federation of Neurological Societies and the Peripheral Nerve Society--first revision'. </w:t>
      </w:r>
      <w:r w:rsidRPr="004F0AC5">
        <w:rPr>
          <w:i/>
        </w:rPr>
        <w:t>J Peripher Nerv Syst</w:t>
      </w:r>
      <w:r w:rsidRPr="004F0AC5">
        <w:t>, 15 (3), 185-95.</w:t>
      </w:r>
    </w:p>
    <w:p w:rsidR="003B5425" w:rsidRPr="004F0AC5" w:rsidRDefault="003B5425" w:rsidP="00A806C0">
      <w:pPr>
        <w:pStyle w:val="EndNoteBibliography"/>
        <w:spacing w:after="0"/>
      </w:pPr>
      <w:r w:rsidRPr="004F0AC5">
        <w:t>26.</w:t>
      </w:r>
      <w:r w:rsidRPr="004F0AC5">
        <w:tab/>
        <w:t xml:space="preserve">Koller, H., Kieseier, B. C. </w:t>
      </w:r>
      <w:r w:rsidRPr="004132A9">
        <w:t>et al</w:t>
      </w:r>
      <w:r>
        <w:t>.</w:t>
      </w:r>
      <w:r w:rsidRPr="004F0AC5">
        <w:t xml:space="preserve"> (2005). 'Chronic inflammatory demyelinating polyneuropathy</w:t>
      </w:r>
      <w:r w:rsidRPr="004132A9">
        <w:t>'.</w:t>
      </w:r>
      <w:r w:rsidRPr="004F0AC5">
        <w:t xml:space="preserve"> </w:t>
      </w:r>
      <w:r w:rsidRPr="004F0AC5">
        <w:rPr>
          <w:i/>
        </w:rPr>
        <w:t>N Engl J Med</w:t>
      </w:r>
      <w:r w:rsidRPr="004F0AC5">
        <w:t>, 352 (13), 1343-56.</w:t>
      </w:r>
    </w:p>
    <w:p w:rsidR="003B5425" w:rsidRPr="004F0AC5" w:rsidRDefault="003B5425" w:rsidP="00A806C0">
      <w:pPr>
        <w:pStyle w:val="EndNoteBibliography"/>
        <w:spacing w:after="0"/>
      </w:pPr>
      <w:r w:rsidRPr="004F0AC5">
        <w:t>27.</w:t>
      </w:r>
      <w:r w:rsidRPr="004F0AC5">
        <w:tab/>
        <w:t xml:space="preserve">van Schaik, I. N., Bril, V. </w:t>
      </w:r>
      <w:r w:rsidRPr="004132A9">
        <w:t>et al</w:t>
      </w:r>
      <w:r>
        <w:t>.</w:t>
      </w:r>
      <w:r w:rsidRPr="004F0AC5">
        <w:t xml:space="preserve"> (2018). 'Subcutaneous immunoglobulin for maintenance treatment in chronic inflammatory demyelinating polyneuropathy (PATH): a </w:t>
      </w:r>
      <w:r w:rsidRPr="004132A9">
        <w:t>randomised</w:t>
      </w:r>
      <w:r w:rsidRPr="004F0AC5">
        <w:t xml:space="preserve">, double-blind, placebo-controlled, phase 3 trial'. </w:t>
      </w:r>
      <w:r w:rsidRPr="004F0AC5">
        <w:rPr>
          <w:i/>
        </w:rPr>
        <w:t>Lancet Neurol</w:t>
      </w:r>
      <w:r w:rsidRPr="004F0AC5">
        <w:t>, 17 (1), 35-46.</w:t>
      </w:r>
    </w:p>
    <w:p w:rsidR="003B5425" w:rsidRPr="004F0AC5" w:rsidRDefault="003B5425" w:rsidP="00A806C0">
      <w:pPr>
        <w:pStyle w:val="EndNoteBibliography"/>
        <w:spacing w:after="0"/>
      </w:pPr>
      <w:r w:rsidRPr="004F0AC5">
        <w:t>28.</w:t>
      </w:r>
      <w:r w:rsidRPr="004F0AC5">
        <w:tab/>
        <w:t xml:space="preserve">Markvardsen, L. H., Sindrup, S. H. </w:t>
      </w:r>
      <w:r w:rsidRPr="004132A9">
        <w:t>et al</w:t>
      </w:r>
      <w:r>
        <w:t>.</w:t>
      </w:r>
      <w:r w:rsidRPr="004F0AC5">
        <w:t xml:space="preserve"> (2017). 'Subcutaneous immunoglobulin as first-line therapy in treatment-naive patients with chronic inflammatory demyelinating polyneuropathy: randomized controlled trial study</w:t>
      </w:r>
      <w:r w:rsidRPr="004132A9">
        <w:t>'.</w:t>
      </w:r>
      <w:r w:rsidRPr="004F0AC5">
        <w:t xml:space="preserve"> </w:t>
      </w:r>
      <w:r w:rsidRPr="004F0AC5">
        <w:rPr>
          <w:i/>
        </w:rPr>
        <w:t>Eur J Neurol</w:t>
      </w:r>
      <w:r w:rsidRPr="004F0AC5">
        <w:t>, 24 (2), 412-8.</w:t>
      </w:r>
    </w:p>
    <w:p w:rsidR="003B5425" w:rsidRPr="004F0AC5" w:rsidRDefault="003B5425" w:rsidP="00A806C0">
      <w:pPr>
        <w:pStyle w:val="EndNoteBibliography"/>
        <w:spacing w:after="0"/>
      </w:pPr>
      <w:r w:rsidRPr="004F0AC5">
        <w:t>29.</w:t>
      </w:r>
      <w:r w:rsidRPr="004F0AC5">
        <w:tab/>
        <w:t xml:space="preserve">National Blood Authority Australia </w:t>
      </w:r>
      <w:r w:rsidRPr="004F0AC5">
        <w:rPr>
          <w:i/>
        </w:rPr>
        <w:t>Access to Subcutaneous Immunoglobulin (SCIg)</w:t>
      </w:r>
      <w:r w:rsidRPr="004F0AC5">
        <w:t xml:space="preserve">. Available from: </w:t>
      </w:r>
      <w:r w:rsidRPr="003B5425">
        <w:rPr>
          <w:rStyle w:val="Hyperlink"/>
        </w:rPr>
        <w:t>https://www.blood.gov.au/SCIg</w:t>
      </w:r>
      <w:r w:rsidRPr="004F0AC5">
        <w:t xml:space="preserve"> [Accessed 21 January 2019 2019].</w:t>
      </w:r>
    </w:p>
    <w:p w:rsidR="003B5425" w:rsidRPr="004F0AC5" w:rsidRDefault="003B5425" w:rsidP="00A806C0">
      <w:pPr>
        <w:pStyle w:val="EndNoteBibliography"/>
        <w:spacing w:after="0"/>
      </w:pPr>
      <w:r w:rsidRPr="004F0AC5">
        <w:t>30.</w:t>
      </w:r>
      <w:r w:rsidRPr="004F0AC5">
        <w:tab/>
        <w:t xml:space="preserve">National Blood Authority Australia </w:t>
      </w:r>
      <w:r w:rsidRPr="004F0AC5">
        <w:rPr>
          <w:i/>
        </w:rPr>
        <w:t>Version 3 of the Criteria</w:t>
      </w:r>
      <w:r w:rsidRPr="004F0AC5">
        <w:t xml:space="preserve">. Available from: </w:t>
      </w:r>
      <w:r w:rsidRPr="003B5425">
        <w:rPr>
          <w:rStyle w:val="Hyperlink"/>
        </w:rPr>
        <w:t>https://www.blood.gov.au/igcriteria-version3</w:t>
      </w:r>
      <w:r w:rsidRPr="004F0AC5">
        <w:t xml:space="preserve"> [Accessed 17 January 2019].</w:t>
      </w:r>
    </w:p>
    <w:p w:rsidR="003B5425" w:rsidRPr="004F0AC5" w:rsidRDefault="003B5425" w:rsidP="00A806C0">
      <w:pPr>
        <w:pStyle w:val="EndNoteBibliography"/>
        <w:spacing w:after="0"/>
      </w:pPr>
      <w:r w:rsidRPr="004F0AC5">
        <w:t>31.</w:t>
      </w:r>
      <w:r w:rsidRPr="004F0AC5">
        <w:tab/>
        <w:t xml:space="preserve">Therapeutic Goods Administration (TGA), D. o. H. </w:t>
      </w:r>
      <w:r w:rsidRPr="004F0AC5">
        <w:rPr>
          <w:i/>
        </w:rPr>
        <w:t>ARTG ID 282579</w:t>
      </w:r>
      <w:r w:rsidRPr="004F0AC5">
        <w:t xml:space="preserve">. Available from: </w:t>
      </w:r>
      <w:r w:rsidRPr="003B5425">
        <w:rPr>
          <w:rStyle w:val="Hyperlink"/>
        </w:rPr>
        <w:t>http://search.tga.gov.au/s/search.html?collection=tga-artg&amp;profile=record&amp;meta_i=282579</w:t>
      </w:r>
      <w:r w:rsidRPr="004F0AC5">
        <w:t xml:space="preserve"> [Accessed </w:t>
      </w:r>
    </w:p>
    <w:p w:rsidR="003B5425" w:rsidRPr="004F0AC5" w:rsidRDefault="003B5425" w:rsidP="00A806C0">
      <w:pPr>
        <w:pStyle w:val="EndNoteBibliography"/>
        <w:spacing w:after="0"/>
      </w:pPr>
      <w:r w:rsidRPr="004F0AC5">
        <w:t>32.</w:t>
      </w:r>
      <w:r w:rsidRPr="004F0AC5">
        <w:tab/>
        <w:t xml:space="preserve">(NBA), N. B. A. </w:t>
      </w:r>
      <w:r w:rsidRPr="004F0AC5">
        <w:rPr>
          <w:i/>
        </w:rPr>
        <w:t>What Blood Products are Supplied - National Product List</w:t>
      </w:r>
      <w:r w:rsidRPr="004F0AC5">
        <w:t xml:space="preserve">. Available from: </w:t>
      </w:r>
      <w:r w:rsidRPr="003B5425">
        <w:rPr>
          <w:rStyle w:val="Hyperlink"/>
        </w:rPr>
        <w:t>https://www.nba.gov.au/national-product-list</w:t>
      </w:r>
      <w:r w:rsidRPr="004F0AC5">
        <w:t xml:space="preserve"> [Accessed </w:t>
      </w:r>
      <w:r>
        <w:t xml:space="preserve">20 </w:t>
      </w:r>
      <w:r w:rsidRPr="004F0AC5">
        <w:t xml:space="preserve">February </w:t>
      </w:r>
      <w:r w:rsidRPr="004132A9">
        <w:t>20</w:t>
      </w:r>
      <w:r>
        <w:t>,</w:t>
      </w:r>
      <w:r w:rsidRPr="004F0AC5">
        <w:t xml:space="preserve"> 2019].</w:t>
      </w:r>
    </w:p>
    <w:p w:rsidR="003B5425" w:rsidRPr="004F0AC5" w:rsidRDefault="003B5425" w:rsidP="00A806C0">
      <w:pPr>
        <w:pStyle w:val="EndNoteBibliography"/>
        <w:spacing w:after="0"/>
      </w:pPr>
      <w:r w:rsidRPr="004F0AC5">
        <w:t>33.</w:t>
      </w:r>
      <w:r w:rsidRPr="004F0AC5">
        <w:tab/>
        <w:t xml:space="preserve">Rosier, C., Graveline, N. </w:t>
      </w:r>
      <w:r w:rsidRPr="004132A9">
        <w:t>et al</w:t>
      </w:r>
      <w:r>
        <w:t>.</w:t>
      </w:r>
      <w:r w:rsidRPr="004F0AC5">
        <w:t xml:space="preserve"> (2018). 'Intravenous immunoglobulin for treatment of chronic inflammatory demyelinating polyneuropathy and multifocal motor neuropathy in France: are daily practices </w:t>
      </w:r>
      <w:r w:rsidRPr="004132A9">
        <w:t>in accordance with</w:t>
      </w:r>
      <w:r w:rsidRPr="004F0AC5">
        <w:t xml:space="preserve"> guidelines?'. </w:t>
      </w:r>
      <w:r w:rsidRPr="004F0AC5">
        <w:rPr>
          <w:i/>
        </w:rPr>
        <w:t>Eur J Neurol</w:t>
      </w:r>
      <w:r w:rsidRPr="004F0AC5">
        <w:t>.</w:t>
      </w:r>
    </w:p>
    <w:p w:rsidR="003B5425" w:rsidRPr="004F0AC5" w:rsidRDefault="003B5425" w:rsidP="00A806C0">
      <w:pPr>
        <w:pStyle w:val="EndNoteBibliography"/>
        <w:spacing w:after="0"/>
      </w:pPr>
      <w:r w:rsidRPr="004F0AC5">
        <w:t>34.</w:t>
      </w:r>
      <w:r w:rsidRPr="004F0AC5">
        <w:tab/>
        <w:t>Doneddu, P. E.&amp; Nobile-Orazio, E. (2018). 'Management of chronic inflammatory demyelinating polyradiculopathy</w:t>
      </w:r>
      <w:r w:rsidRPr="004132A9">
        <w:t>'.</w:t>
      </w:r>
      <w:r w:rsidRPr="004F0AC5">
        <w:t xml:space="preserve"> </w:t>
      </w:r>
      <w:r w:rsidRPr="004F0AC5">
        <w:rPr>
          <w:i/>
        </w:rPr>
        <w:t>Curr Opin Neurol</w:t>
      </w:r>
      <w:r w:rsidRPr="004F0AC5">
        <w:t>, 31 (5), 511-6.</w:t>
      </w:r>
    </w:p>
    <w:p w:rsidR="003B5425" w:rsidRPr="004F0AC5" w:rsidRDefault="003B5425" w:rsidP="00A806C0">
      <w:pPr>
        <w:pStyle w:val="EndNoteBibliography"/>
        <w:spacing w:after="0"/>
      </w:pPr>
      <w:r w:rsidRPr="004F0AC5">
        <w:t>35.</w:t>
      </w:r>
      <w:r w:rsidRPr="004F0AC5">
        <w:tab/>
        <w:t>Press, R., Hiew, F. L.&amp; Rajabally, Y. A. (2016). 'Steroids for chronic inflammatory demyelinating polyradiculoneuropathy: evidence base and clinical practice</w:t>
      </w:r>
      <w:r w:rsidRPr="004132A9">
        <w:t>'.</w:t>
      </w:r>
      <w:r w:rsidRPr="004F0AC5">
        <w:t xml:space="preserve"> </w:t>
      </w:r>
      <w:r w:rsidRPr="004F0AC5">
        <w:rPr>
          <w:i/>
        </w:rPr>
        <w:t>Acta Neurol Scand</w:t>
      </w:r>
      <w:r w:rsidRPr="004F0AC5">
        <w:t>, 133 (4), 228-38.</w:t>
      </w:r>
    </w:p>
    <w:p w:rsidR="003B5425" w:rsidRPr="004F0AC5" w:rsidRDefault="003B5425" w:rsidP="00A806C0">
      <w:pPr>
        <w:pStyle w:val="EndNoteBibliography"/>
        <w:spacing w:after="0"/>
      </w:pPr>
      <w:r w:rsidRPr="004F0AC5">
        <w:t>36.</w:t>
      </w:r>
      <w:r w:rsidRPr="004F0AC5">
        <w:tab/>
        <w:t xml:space="preserve">PBS (2019). </w:t>
      </w:r>
      <w:r w:rsidRPr="004F0AC5">
        <w:rPr>
          <w:i/>
        </w:rPr>
        <w:t>The Pharmaceutical Benefits Scheme.</w:t>
      </w:r>
      <w:r w:rsidRPr="004F0AC5">
        <w:t xml:space="preserve"> [Internet]. Australian </w:t>
      </w:r>
      <w:r w:rsidRPr="004132A9">
        <w:t>Govern</w:t>
      </w:r>
      <w:r>
        <w:t>men</w:t>
      </w:r>
      <w:r w:rsidRPr="004132A9">
        <w:t>t</w:t>
      </w:r>
      <w:r w:rsidRPr="004F0AC5">
        <w:t xml:space="preserve">: Department of Health. Available from: </w:t>
      </w:r>
      <w:r w:rsidRPr="003B5425">
        <w:rPr>
          <w:rStyle w:val="Hyperlink"/>
        </w:rPr>
        <w:t>http://www.pbs.gov.au/pbs/home</w:t>
      </w:r>
      <w:r w:rsidRPr="004F0AC5">
        <w:t xml:space="preserve"> [Accessed 17 January 2019].</w:t>
      </w:r>
    </w:p>
    <w:p w:rsidR="003B5425" w:rsidRPr="004F0AC5" w:rsidRDefault="003B5425" w:rsidP="00A806C0">
      <w:pPr>
        <w:pStyle w:val="EndNoteBibliography"/>
        <w:spacing w:after="0"/>
      </w:pPr>
      <w:r w:rsidRPr="004F0AC5">
        <w:lastRenderedPageBreak/>
        <w:t>37.</w:t>
      </w:r>
      <w:r w:rsidRPr="004F0AC5">
        <w:tab/>
        <w:t xml:space="preserve">Ryan, M.&amp; Ryan, S. J. (2018). 'Chronic inflammatory demyelinating polyneuropathy: considerations for diagnosis, management, and population health'. </w:t>
      </w:r>
      <w:r w:rsidRPr="004F0AC5">
        <w:rPr>
          <w:i/>
        </w:rPr>
        <w:t>Am J Manag Care</w:t>
      </w:r>
      <w:r w:rsidRPr="004F0AC5">
        <w:t>, 24 (17 Suppl), S371-s9.</w:t>
      </w:r>
    </w:p>
    <w:p w:rsidR="003B5425" w:rsidRPr="004F0AC5" w:rsidRDefault="003B5425" w:rsidP="00A806C0">
      <w:pPr>
        <w:pStyle w:val="EndNoteBibliography"/>
        <w:spacing w:after="0"/>
      </w:pPr>
      <w:r w:rsidRPr="004F0AC5">
        <w:t>38.</w:t>
      </w:r>
      <w:r w:rsidRPr="004F0AC5">
        <w:tab/>
        <w:t xml:space="preserve">van Lieverloo, G. G. A., Peric, S. et al (2018). 'Corticosteroids in chronic inflammatory demyelinating polyneuropathy : A retrospective, multicentre study, comparing efficacy and safety of daily prednisolone, pulsed dexamethasone, and pulsed intravenous methylprednisolone'. </w:t>
      </w:r>
      <w:r w:rsidRPr="004F0AC5">
        <w:rPr>
          <w:i/>
        </w:rPr>
        <w:t>J Neurol</w:t>
      </w:r>
      <w:r w:rsidRPr="004F0AC5">
        <w:t>, 265 (9), 2052-9.</w:t>
      </w:r>
    </w:p>
    <w:p w:rsidR="003B5425" w:rsidRPr="004F0AC5" w:rsidRDefault="003B5425" w:rsidP="00A806C0">
      <w:pPr>
        <w:pStyle w:val="EndNoteBibliography"/>
        <w:spacing w:after="0"/>
      </w:pPr>
      <w:r w:rsidRPr="004F0AC5">
        <w:t>39.</w:t>
      </w:r>
      <w:r w:rsidRPr="004F0AC5">
        <w:tab/>
        <w:t xml:space="preserve">Donaghy, M., Mills, K. R. et al (1994). 'Pure motor demyelinating neuropathy: deterioration after steroid treatment and improvement with intravenous immunoglobulin'. </w:t>
      </w:r>
      <w:r w:rsidRPr="004F0AC5">
        <w:rPr>
          <w:i/>
        </w:rPr>
        <w:t>J Neurol Neurosurg Psychiatry</w:t>
      </w:r>
      <w:r w:rsidRPr="004F0AC5">
        <w:t>, 57 (7), 778-83.</w:t>
      </w:r>
    </w:p>
    <w:p w:rsidR="003B5425" w:rsidRPr="004F0AC5" w:rsidRDefault="003B5425" w:rsidP="00A806C0">
      <w:pPr>
        <w:pStyle w:val="EndNoteBibliography"/>
        <w:spacing w:after="0"/>
      </w:pPr>
      <w:r w:rsidRPr="004F0AC5">
        <w:t>40.</w:t>
      </w:r>
      <w:r w:rsidRPr="004F0AC5">
        <w:tab/>
        <w:t xml:space="preserve">Mathey, E. K.&amp; Pollard, J. D. (2013). 'New treatment for chronic inflammatory demyelinating polyneuropathy'. </w:t>
      </w:r>
      <w:r w:rsidRPr="004F0AC5">
        <w:rPr>
          <w:i/>
        </w:rPr>
        <w:t>J Eur Neurol Rev</w:t>
      </w:r>
      <w:r w:rsidRPr="004F0AC5">
        <w:t>, 8 (1), 51-6.</w:t>
      </w:r>
    </w:p>
    <w:p w:rsidR="003B5425" w:rsidRPr="004F0AC5" w:rsidRDefault="003B5425" w:rsidP="00A806C0">
      <w:pPr>
        <w:pStyle w:val="EndNoteBibliography"/>
        <w:spacing w:after="0"/>
      </w:pPr>
      <w:r w:rsidRPr="004F0AC5">
        <w:t>41.</w:t>
      </w:r>
      <w:r w:rsidRPr="004F0AC5">
        <w:tab/>
        <w:t xml:space="preserve">Mehndiratta, M. M., Hughes, R. A.&amp; Pritchard, J. (2015). 'Plasma exchange for chronic inflammatory demyelinating polyradiculoneuropathy'. </w:t>
      </w:r>
      <w:r w:rsidRPr="004F0AC5">
        <w:rPr>
          <w:i/>
        </w:rPr>
        <w:t>Cochrane Database Syst Rev</w:t>
      </w:r>
      <w:r w:rsidRPr="004F0AC5">
        <w:t>, Cd003906.</w:t>
      </w:r>
    </w:p>
    <w:p w:rsidR="003B5425" w:rsidRPr="004F0AC5" w:rsidRDefault="003B5425" w:rsidP="00A806C0">
      <w:pPr>
        <w:pStyle w:val="EndNoteBibliography"/>
        <w:spacing w:after="0"/>
      </w:pPr>
      <w:r w:rsidRPr="004F0AC5">
        <w:t>42.</w:t>
      </w:r>
      <w:r w:rsidRPr="004F0AC5">
        <w:tab/>
        <w:t xml:space="preserve">Schwartz, J., Padmanabhan, A. et al (2016). 'Guidelines on the use of therapeutic apheresis in clinical practice–evidence‐based approach from the Writing Committee of the American Society for Apheresis: the seventh special issue'. </w:t>
      </w:r>
      <w:r w:rsidRPr="004F0AC5">
        <w:rPr>
          <w:i/>
        </w:rPr>
        <w:t>J Journal of clinical apheresis</w:t>
      </w:r>
      <w:r w:rsidRPr="004F0AC5">
        <w:t>, 31 (3), 149-338.</w:t>
      </w:r>
    </w:p>
    <w:p w:rsidR="003B5425" w:rsidRPr="004F0AC5" w:rsidRDefault="003B5425" w:rsidP="00A806C0">
      <w:pPr>
        <w:pStyle w:val="EndNoteBibliography"/>
        <w:spacing w:after="0"/>
      </w:pPr>
      <w:r w:rsidRPr="004F0AC5">
        <w:t>43.</w:t>
      </w:r>
      <w:r w:rsidRPr="004F0AC5">
        <w:tab/>
        <w:t xml:space="preserve">Cortese, I., Chaudhry, V. et al (2011). 'Evidence-based guideline update: Plasmapheresis in neurologic disorders: report of the Therapeutics and Technology Assessment Subcommittee of the American Academy of Neurology'. </w:t>
      </w:r>
      <w:r w:rsidRPr="004F0AC5">
        <w:rPr>
          <w:i/>
        </w:rPr>
        <w:t>Neurology</w:t>
      </w:r>
      <w:r w:rsidRPr="004F0AC5">
        <w:t>, 76 (3), 294-300.</w:t>
      </w:r>
    </w:p>
    <w:p w:rsidR="003B5425" w:rsidRPr="004F0AC5" w:rsidRDefault="003B5425" w:rsidP="00A806C0">
      <w:pPr>
        <w:pStyle w:val="EndNoteBibliography"/>
        <w:spacing w:after="0"/>
      </w:pPr>
      <w:r w:rsidRPr="004F0AC5">
        <w:t>44.</w:t>
      </w:r>
      <w:r w:rsidRPr="004F0AC5">
        <w:tab/>
        <w:t xml:space="preserve">Ipe, T. S.&amp; Marques, M. B. (2018). 'Vascular access for therapeutic plasma exchange'. </w:t>
      </w:r>
      <w:r w:rsidRPr="004F0AC5">
        <w:rPr>
          <w:i/>
        </w:rPr>
        <w:t>Transfusion</w:t>
      </w:r>
      <w:r w:rsidRPr="004F0AC5">
        <w:t>, 58 (S1), 580-9.</w:t>
      </w:r>
    </w:p>
    <w:p w:rsidR="003B5425" w:rsidRPr="004F0AC5" w:rsidRDefault="003B5425" w:rsidP="00A806C0">
      <w:pPr>
        <w:pStyle w:val="EndNoteBibliography"/>
        <w:spacing w:after="0"/>
      </w:pPr>
      <w:r w:rsidRPr="004F0AC5">
        <w:t>45.</w:t>
      </w:r>
      <w:r w:rsidRPr="004F0AC5">
        <w:tab/>
        <w:t xml:space="preserve">Okafor, C.&amp; Kalantarinia, K. (2012). 'Vascular Access Considerations for Therapeutic Apheresis Procedures'. </w:t>
      </w:r>
      <w:r w:rsidRPr="004F0AC5">
        <w:rPr>
          <w:i/>
        </w:rPr>
        <w:t>Ther Apher Nephrol</w:t>
      </w:r>
      <w:r w:rsidRPr="004F0AC5">
        <w:t>, 25 (2), 140-4.</w:t>
      </w:r>
    </w:p>
    <w:p w:rsidR="003B5425" w:rsidRPr="004F0AC5" w:rsidRDefault="003B5425" w:rsidP="00A806C0">
      <w:pPr>
        <w:pStyle w:val="EndNoteBibliography"/>
        <w:spacing w:after="0"/>
      </w:pPr>
      <w:r w:rsidRPr="004F0AC5">
        <w:t>46.</w:t>
      </w:r>
      <w:r w:rsidRPr="004F0AC5">
        <w:tab/>
        <w:t xml:space="preserve">Mahdi-Rogers, M., Brassington, R. et al (2017). 'Immunomodulatory treatment other than corticosteroids, immunoglobulin and plasma exchange for chronic inflammatory demyelinating polyradiculoneuropathy'. </w:t>
      </w:r>
      <w:r w:rsidRPr="004F0AC5">
        <w:rPr>
          <w:i/>
        </w:rPr>
        <w:t>Cochrane Database Syst Rev</w:t>
      </w:r>
      <w:r w:rsidRPr="004F0AC5">
        <w:t>, Cd003280.</w:t>
      </w:r>
    </w:p>
    <w:p w:rsidR="003B5425" w:rsidRPr="004F0AC5" w:rsidRDefault="003B5425" w:rsidP="00A806C0">
      <w:pPr>
        <w:pStyle w:val="EndNoteBibliography"/>
        <w:spacing w:after="0"/>
      </w:pPr>
      <w:r w:rsidRPr="004F0AC5">
        <w:t>47.</w:t>
      </w:r>
      <w:r w:rsidRPr="004F0AC5">
        <w:tab/>
        <w:t xml:space="preserve">Kiessling, P., Lledo-Garcia, R. et al (2017). 'The FcRn inhibitor </w:t>
      </w:r>
      <w:r w:rsidRPr="004132A9">
        <w:t>rozanolixizumab</w:t>
      </w:r>
      <w:r w:rsidRPr="004F0AC5">
        <w:t xml:space="preserve"> reduces human serum IgG concentration: A randomized phase 1 study'. </w:t>
      </w:r>
      <w:r w:rsidRPr="004F0AC5">
        <w:rPr>
          <w:i/>
        </w:rPr>
        <w:t>J Science Translational Medicine</w:t>
      </w:r>
      <w:r w:rsidRPr="004F0AC5">
        <w:t>, 9 (414), 1208.</w:t>
      </w:r>
    </w:p>
    <w:p w:rsidR="003B5425" w:rsidRPr="004F0AC5" w:rsidRDefault="003B5425" w:rsidP="00A806C0">
      <w:pPr>
        <w:pStyle w:val="EndNoteBibliography"/>
        <w:spacing w:after="0"/>
      </w:pPr>
      <w:r w:rsidRPr="004F0AC5">
        <w:t>48.</w:t>
      </w:r>
      <w:r w:rsidRPr="004F0AC5">
        <w:tab/>
        <w:t xml:space="preserve">Abbas, A.&amp; Rajabally, Y. A. (2019). 'Complications of Immunoglobulin Therapy and Implications for Treatment of Inflammatory Neuropathy: A Review'. </w:t>
      </w:r>
      <w:r w:rsidRPr="004F0AC5">
        <w:rPr>
          <w:i/>
        </w:rPr>
        <w:t>Curr Drug Saf</w:t>
      </w:r>
      <w:r w:rsidRPr="004F0AC5">
        <w:t>, 14 (1), 3-13.</w:t>
      </w:r>
    </w:p>
    <w:p w:rsidR="003B5425" w:rsidRPr="004F0AC5" w:rsidRDefault="003B5425" w:rsidP="00A806C0">
      <w:pPr>
        <w:pStyle w:val="EndNoteBibliography"/>
        <w:spacing w:after="0"/>
      </w:pPr>
      <w:r w:rsidRPr="004F0AC5">
        <w:t>49.</w:t>
      </w:r>
      <w:r w:rsidRPr="004F0AC5">
        <w:tab/>
        <w:t xml:space="preserve">Vucic, S.&amp; Davies, L. (1998). 'Safety of plasmapheresis in the treatment of neurological disease'. </w:t>
      </w:r>
      <w:r w:rsidRPr="004F0AC5">
        <w:rPr>
          <w:i/>
        </w:rPr>
        <w:t>Aust N Z J Med</w:t>
      </w:r>
      <w:r w:rsidRPr="004F0AC5">
        <w:t>, 28 (3), 301-5.</w:t>
      </w:r>
    </w:p>
    <w:p w:rsidR="003B5425" w:rsidRPr="004F0AC5" w:rsidRDefault="003B5425" w:rsidP="00A806C0">
      <w:pPr>
        <w:pStyle w:val="EndNoteBibliography"/>
        <w:spacing w:after="0"/>
      </w:pPr>
      <w:r w:rsidRPr="004F0AC5">
        <w:t>50.</w:t>
      </w:r>
      <w:r w:rsidRPr="004F0AC5">
        <w:tab/>
        <w:t xml:space="preserve">Hughes, R., Bensa, S. et al (2001). 'Randomized controlled trial of intravenous immunoglobulin versus oral prednisolone in chronic inflammatory demyelinating polyradiculoneuropathy'. </w:t>
      </w:r>
      <w:r w:rsidRPr="004F0AC5">
        <w:rPr>
          <w:i/>
        </w:rPr>
        <w:t>Ann Neurol</w:t>
      </w:r>
      <w:r w:rsidRPr="004F0AC5">
        <w:t>, 50 (2), 195-201.</w:t>
      </w:r>
    </w:p>
    <w:p w:rsidR="009D1756" w:rsidRDefault="003B5425" w:rsidP="00921255">
      <w:pPr>
        <w:pStyle w:val="EndNoteBibliography"/>
      </w:pPr>
      <w:r w:rsidRPr="004F0AC5">
        <w:t>51.</w:t>
      </w:r>
      <w:r w:rsidRPr="004F0AC5">
        <w:tab/>
        <w:t xml:space="preserve">Dyck, P. J., Litchy, W. J. et al (1994). 'A plasma exchange versus immune globulin infusion trial in chronic inflammatory demyelinating polyradiculoneuropathy'. </w:t>
      </w:r>
      <w:r w:rsidRPr="004F0AC5">
        <w:rPr>
          <w:i/>
        </w:rPr>
        <w:t>Ann Neurol</w:t>
      </w:r>
      <w:r w:rsidRPr="004F0AC5">
        <w:t>, 36 (6), 838-45.</w:t>
      </w:r>
    </w:p>
    <w:sectPr w:rsidR="009D1756">
      <w:head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BE" w:rsidRDefault="00993ABE" w:rsidP="003B5425">
      <w:pPr>
        <w:spacing w:after="0" w:line="240" w:lineRule="auto"/>
      </w:pPr>
      <w:r>
        <w:separator/>
      </w:r>
    </w:p>
  </w:endnote>
  <w:endnote w:type="continuationSeparator" w:id="0">
    <w:p w:rsidR="00993ABE" w:rsidRDefault="00993ABE" w:rsidP="003B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921255" w:rsidRDefault="00993ABE" w:rsidP="00A806C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F235D" w:rsidRPr="006F235D">
          <w:rPr>
            <w:b/>
            <w:bCs/>
            <w:noProof/>
            <w:sz w:val="18"/>
            <w:szCs w:val="18"/>
          </w:rPr>
          <w:t>11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p>
      <w:p w:rsidR="00993ABE" w:rsidRDefault="00993ABE" w:rsidP="00921255">
        <w:pPr>
          <w:pStyle w:val="Footer"/>
          <w:pBdr>
            <w:top w:val="single" w:sz="4" w:space="1" w:color="D9D9D9" w:themeColor="background1" w:themeShade="D9"/>
          </w:pBdr>
          <w:jc w:val="center"/>
          <w:rPr>
            <w:color w:val="808080" w:themeColor="background1" w:themeShade="80"/>
            <w:spacing w:val="60"/>
            <w:sz w:val="18"/>
            <w:szCs w:val="18"/>
          </w:rPr>
        </w:pPr>
        <w:r>
          <w:rPr>
            <w:color w:val="808080" w:themeColor="background1" w:themeShade="80"/>
            <w:spacing w:val="60"/>
            <w:sz w:val="18"/>
            <w:szCs w:val="18"/>
          </w:rPr>
          <w:t>PICO Confirmation</w:t>
        </w:r>
      </w:p>
      <w:p w:rsidR="00993ABE" w:rsidRPr="00CF2DFA" w:rsidRDefault="00993ABE" w:rsidP="00A806C0">
        <w:pPr>
          <w:pStyle w:val="Footer"/>
          <w:pBdr>
            <w:top w:val="single" w:sz="4" w:space="1" w:color="D9D9D9" w:themeColor="background1" w:themeShade="D9"/>
          </w:pBdr>
          <w:ind w:left="2410" w:hanging="2410"/>
          <w:rPr>
            <w:b/>
            <w:bCs/>
            <w:sz w:val="18"/>
            <w:szCs w:val="18"/>
          </w:rPr>
        </w:pPr>
        <w:r>
          <w:rPr>
            <w:color w:val="808080" w:themeColor="background1" w:themeShade="80"/>
            <w:spacing w:val="60"/>
            <w:sz w:val="18"/>
            <w:szCs w:val="18"/>
          </w:rPr>
          <w:t>Application 1564: Chronic Inflammatory Demyelinating Polyneuropathy (CIDP)</w:t>
        </w:r>
      </w:p>
    </w:sdtContent>
  </w:sdt>
  <w:p w:rsidR="00993ABE" w:rsidRDefault="00993ABE" w:rsidP="00A806C0">
    <w:pPr>
      <w:pStyle w:val="Footer"/>
    </w:pPr>
  </w:p>
  <w:p w:rsidR="00993ABE" w:rsidRDefault="0099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BE" w:rsidRDefault="00993ABE" w:rsidP="003B5425">
      <w:pPr>
        <w:spacing w:after="0" w:line="240" w:lineRule="auto"/>
      </w:pPr>
      <w:r>
        <w:separator/>
      </w:r>
    </w:p>
  </w:footnote>
  <w:footnote w:type="continuationSeparator" w:id="0">
    <w:p w:rsidR="00993ABE" w:rsidRDefault="00993ABE" w:rsidP="003B5425">
      <w:pPr>
        <w:spacing w:after="0" w:line="240" w:lineRule="auto"/>
      </w:pPr>
      <w:r>
        <w:continuationSeparator/>
      </w:r>
    </w:p>
  </w:footnote>
  <w:footnote w:id="1">
    <w:p w:rsidR="00993ABE" w:rsidRDefault="00993ABE" w:rsidP="00A806C0">
      <w:pPr>
        <w:pStyle w:val="Tablenotes"/>
      </w:pPr>
      <w:r>
        <w:rPr>
          <w:rStyle w:val="FootnoteReference"/>
        </w:rPr>
        <w:footnoteRef/>
      </w:r>
      <w:r>
        <w:t xml:space="preserve"> In practice, expert advice is that immunosuppressants are used as an add on to steroids (or plasma exchange) rather than as an independent intervention.</w:t>
      </w:r>
      <w:r>
        <w:rPr>
          <w:noProof/>
        </w:rPr>
        <w:t>1.</w:t>
      </w:r>
      <w:r>
        <w:rPr>
          <w:noProof/>
        </w:rPr>
        <w:tab/>
        <w:t>Expert Neurologist. Personal communication (writen feedback recieved via email 31 January). 2019.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ABE" w:rsidRDefault="00993ABE">
    <w:pPr>
      <w:pStyle w:val="Header"/>
    </w:pPr>
    <w:r>
      <w:rPr>
        <w:noProof/>
        <w:lang w:eastAsia="en-AU"/>
      </w:rPr>
      <mc:AlternateContent>
        <mc:Choice Requires="wps">
          <w:drawing>
            <wp:anchor distT="0" distB="0" distL="114300" distR="114300" simplePos="0" relativeHeight="251659264" behindDoc="1" locked="0" layoutInCell="0" allowOverlap="1" wp14:anchorId="40B719CB" wp14:editId="4B656646">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93ABE" w:rsidRDefault="00993ABE" w:rsidP="00A806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719CB"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rsidR="00993ABE" w:rsidRDefault="00993ABE" w:rsidP="00A806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36C"/>
    <w:multiLevelType w:val="hybridMultilevel"/>
    <w:tmpl w:val="EEC20910"/>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139577D7"/>
    <w:multiLevelType w:val="hybridMultilevel"/>
    <w:tmpl w:val="09AA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A16D3"/>
    <w:multiLevelType w:val="hybridMultilevel"/>
    <w:tmpl w:val="25AA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9548E"/>
    <w:multiLevelType w:val="hybridMultilevel"/>
    <w:tmpl w:val="8A9605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937DB"/>
    <w:multiLevelType w:val="hybridMultilevel"/>
    <w:tmpl w:val="F306D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2B6E2B"/>
    <w:multiLevelType w:val="hybridMultilevel"/>
    <w:tmpl w:val="45B6CE1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EF2C6E"/>
    <w:multiLevelType w:val="hybridMultilevel"/>
    <w:tmpl w:val="4218E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254BC"/>
    <w:multiLevelType w:val="hybridMultilevel"/>
    <w:tmpl w:val="F2BA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82C4E"/>
    <w:multiLevelType w:val="hybridMultilevel"/>
    <w:tmpl w:val="F13E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B76C7"/>
    <w:multiLevelType w:val="hybridMultilevel"/>
    <w:tmpl w:val="C2306098"/>
    <w:lvl w:ilvl="0" w:tplc="0C090001">
      <w:start w:val="1"/>
      <w:numFmt w:val="bullet"/>
      <w:lvlText w:val=""/>
      <w:lvlJc w:val="left"/>
      <w:pPr>
        <w:ind w:left="420" w:hanging="42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D6727C"/>
    <w:multiLevelType w:val="hybridMultilevel"/>
    <w:tmpl w:val="CBEA8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2D6640"/>
    <w:multiLevelType w:val="hybridMultilevel"/>
    <w:tmpl w:val="D0EA3F9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2D8A437D"/>
    <w:multiLevelType w:val="hybridMultilevel"/>
    <w:tmpl w:val="C5C47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EC3EA5"/>
    <w:multiLevelType w:val="hybridMultilevel"/>
    <w:tmpl w:val="DD3CCB36"/>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36A80834"/>
    <w:multiLevelType w:val="hybridMultilevel"/>
    <w:tmpl w:val="D0E8FB9A"/>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44221C94"/>
    <w:multiLevelType w:val="hybridMultilevel"/>
    <w:tmpl w:val="0A20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9767F"/>
    <w:multiLevelType w:val="hybridMultilevel"/>
    <w:tmpl w:val="EB001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21676"/>
    <w:multiLevelType w:val="hybridMultilevel"/>
    <w:tmpl w:val="E686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33765"/>
    <w:multiLevelType w:val="hybridMultilevel"/>
    <w:tmpl w:val="D3BA1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877B9"/>
    <w:multiLevelType w:val="hybridMultilevel"/>
    <w:tmpl w:val="78B06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C0064"/>
    <w:multiLevelType w:val="hybridMultilevel"/>
    <w:tmpl w:val="6F6019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14CAF"/>
    <w:multiLevelType w:val="hybridMultilevel"/>
    <w:tmpl w:val="2E1A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0"/>
  </w:num>
  <w:num w:numId="4">
    <w:abstractNumId w:val="5"/>
  </w:num>
  <w:num w:numId="5">
    <w:abstractNumId w:val="18"/>
  </w:num>
  <w:num w:numId="6">
    <w:abstractNumId w:val="6"/>
  </w:num>
  <w:num w:numId="7">
    <w:abstractNumId w:val="15"/>
  </w:num>
  <w:num w:numId="8">
    <w:abstractNumId w:val="16"/>
  </w:num>
  <w:num w:numId="9">
    <w:abstractNumId w:val="21"/>
  </w:num>
  <w:num w:numId="10">
    <w:abstractNumId w:val="8"/>
  </w:num>
  <w:num w:numId="11">
    <w:abstractNumId w:val="1"/>
  </w:num>
  <w:num w:numId="12">
    <w:abstractNumId w:val="2"/>
  </w:num>
  <w:num w:numId="13">
    <w:abstractNumId w:val="10"/>
  </w:num>
  <w:num w:numId="14">
    <w:abstractNumId w:val="11"/>
  </w:num>
  <w:num w:numId="15">
    <w:abstractNumId w:val="7"/>
  </w:num>
  <w:num w:numId="16">
    <w:abstractNumId w:val="12"/>
  </w:num>
  <w:num w:numId="17">
    <w:abstractNumId w:val="9"/>
  </w:num>
  <w:num w:numId="18">
    <w:abstractNumId w:val="13"/>
  </w:num>
  <w:num w:numId="19">
    <w:abstractNumId w:val="0"/>
  </w:num>
  <w:num w:numId="20">
    <w:abstractNumId w:val="3"/>
  </w:num>
  <w:num w:numId="21">
    <w:abstractNumId w:val="14"/>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B5425"/>
    <w:rsid w:val="00037B17"/>
    <w:rsid w:val="000A2D77"/>
    <w:rsid w:val="000E4403"/>
    <w:rsid w:val="001019C5"/>
    <w:rsid w:val="0010655B"/>
    <w:rsid w:val="001417F5"/>
    <w:rsid w:val="001A34B4"/>
    <w:rsid w:val="00250B71"/>
    <w:rsid w:val="00257D6A"/>
    <w:rsid w:val="00261562"/>
    <w:rsid w:val="00261E8A"/>
    <w:rsid w:val="002865BA"/>
    <w:rsid w:val="00291037"/>
    <w:rsid w:val="002D48F0"/>
    <w:rsid w:val="002D565A"/>
    <w:rsid w:val="00362EE9"/>
    <w:rsid w:val="00377B8D"/>
    <w:rsid w:val="00384907"/>
    <w:rsid w:val="00397676"/>
    <w:rsid w:val="003A70A4"/>
    <w:rsid w:val="003B5425"/>
    <w:rsid w:val="003C0E6B"/>
    <w:rsid w:val="003D0920"/>
    <w:rsid w:val="00420525"/>
    <w:rsid w:val="00443760"/>
    <w:rsid w:val="00445446"/>
    <w:rsid w:val="00453F68"/>
    <w:rsid w:val="00474677"/>
    <w:rsid w:val="00491B72"/>
    <w:rsid w:val="00495325"/>
    <w:rsid w:val="004C64B7"/>
    <w:rsid w:val="004D4517"/>
    <w:rsid w:val="004F31B6"/>
    <w:rsid w:val="00500CB8"/>
    <w:rsid w:val="005103E4"/>
    <w:rsid w:val="00562015"/>
    <w:rsid w:val="005A134C"/>
    <w:rsid w:val="005B271B"/>
    <w:rsid w:val="006234A2"/>
    <w:rsid w:val="00663F7E"/>
    <w:rsid w:val="00687697"/>
    <w:rsid w:val="006A2F01"/>
    <w:rsid w:val="006D059E"/>
    <w:rsid w:val="006D0E97"/>
    <w:rsid w:val="006F235D"/>
    <w:rsid w:val="006F4066"/>
    <w:rsid w:val="00715DAE"/>
    <w:rsid w:val="00727733"/>
    <w:rsid w:val="00753A74"/>
    <w:rsid w:val="00760D88"/>
    <w:rsid w:val="00762955"/>
    <w:rsid w:val="00796F8A"/>
    <w:rsid w:val="007A005B"/>
    <w:rsid w:val="007F768E"/>
    <w:rsid w:val="008061C3"/>
    <w:rsid w:val="008156F3"/>
    <w:rsid w:val="00823B54"/>
    <w:rsid w:val="00844C62"/>
    <w:rsid w:val="008A2D5C"/>
    <w:rsid w:val="0091757D"/>
    <w:rsid w:val="00921255"/>
    <w:rsid w:val="00936A1A"/>
    <w:rsid w:val="00947C9D"/>
    <w:rsid w:val="009724ED"/>
    <w:rsid w:val="009764F3"/>
    <w:rsid w:val="00993ABE"/>
    <w:rsid w:val="009A339E"/>
    <w:rsid w:val="009A6C05"/>
    <w:rsid w:val="009B290F"/>
    <w:rsid w:val="009D1756"/>
    <w:rsid w:val="009D1814"/>
    <w:rsid w:val="009F2A1F"/>
    <w:rsid w:val="00A400B5"/>
    <w:rsid w:val="00A504F2"/>
    <w:rsid w:val="00A6690D"/>
    <w:rsid w:val="00A66A1E"/>
    <w:rsid w:val="00A806C0"/>
    <w:rsid w:val="00A84026"/>
    <w:rsid w:val="00AB605A"/>
    <w:rsid w:val="00AC5E07"/>
    <w:rsid w:val="00AE4989"/>
    <w:rsid w:val="00AF2B6C"/>
    <w:rsid w:val="00AF5D93"/>
    <w:rsid w:val="00B06967"/>
    <w:rsid w:val="00B1580E"/>
    <w:rsid w:val="00B21538"/>
    <w:rsid w:val="00B42B51"/>
    <w:rsid w:val="00B615FA"/>
    <w:rsid w:val="00B73819"/>
    <w:rsid w:val="00BA7EA5"/>
    <w:rsid w:val="00BC6DBC"/>
    <w:rsid w:val="00BE398B"/>
    <w:rsid w:val="00BF008A"/>
    <w:rsid w:val="00BF52E1"/>
    <w:rsid w:val="00C02DD9"/>
    <w:rsid w:val="00C16B24"/>
    <w:rsid w:val="00C2708C"/>
    <w:rsid w:val="00C46928"/>
    <w:rsid w:val="00C77161"/>
    <w:rsid w:val="00C837D4"/>
    <w:rsid w:val="00C83C65"/>
    <w:rsid w:val="00C93AAE"/>
    <w:rsid w:val="00CB35A6"/>
    <w:rsid w:val="00DA1B77"/>
    <w:rsid w:val="00DA2F29"/>
    <w:rsid w:val="00DE70C0"/>
    <w:rsid w:val="00DF53F2"/>
    <w:rsid w:val="00E44A2E"/>
    <w:rsid w:val="00E463DE"/>
    <w:rsid w:val="00E94A85"/>
    <w:rsid w:val="00EB5B8E"/>
    <w:rsid w:val="00ED7C78"/>
    <w:rsid w:val="00EE4E9C"/>
    <w:rsid w:val="00EE54A5"/>
    <w:rsid w:val="00F0684E"/>
    <w:rsid w:val="00F92C54"/>
    <w:rsid w:val="00FA5127"/>
    <w:rsid w:val="00FB7C2F"/>
    <w:rsid w:val="00FE1B14"/>
    <w:rsid w:val="00FE6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86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25"/>
    <w:rPr>
      <w:rFonts w:ascii="Calibri" w:eastAsia="Calibri" w:hAnsi="Calibri" w:cs="Times New Roman"/>
    </w:rPr>
  </w:style>
  <w:style w:type="paragraph" w:styleId="Heading1">
    <w:name w:val="heading 1"/>
    <w:basedOn w:val="Heading2"/>
    <w:next w:val="Normal"/>
    <w:link w:val="Heading1Char"/>
    <w:uiPriority w:val="9"/>
    <w:qFormat/>
    <w:rsid w:val="003B5425"/>
    <w:pPr>
      <w:spacing w:line="240" w:lineRule="auto"/>
      <w:jc w:val="both"/>
      <w:outlineLvl w:val="0"/>
    </w:pPr>
    <w:rPr>
      <w:bCs/>
      <w:i/>
      <w:color w:val="548DD4"/>
    </w:rPr>
  </w:style>
  <w:style w:type="paragraph" w:styleId="Heading2">
    <w:name w:val="heading 2"/>
    <w:basedOn w:val="Normal"/>
    <w:next w:val="Normal"/>
    <w:link w:val="Heading2Char"/>
    <w:uiPriority w:val="9"/>
    <w:qFormat/>
    <w:rsid w:val="003B5425"/>
    <w:pPr>
      <w:outlineLvl w:val="1"/>
    </w:pPr>
    <w:rPr>
      <w:b/>
      <w:sz w:val="26"/>
    </w:rPr>
  </w:style>
  <w:style w:type="paragraph" w:styleId="Heading3">
    <w:name w:val="heading 3"/>
    <w:basedOn w:val="Normal"/>
    <w:next w:val="Normal"/>
    <w:link w:val="Heading3Char"/>
    <w:uiPriority w:val="9"/>
    <w:unhideWhenUsed/>
    <w:qFormat/>
    <w:rsid w:val="003B5425"/>
    <w:pPr>
      <w:keepNext/>
      <w:spacing w:after="120"/>
      <w:outlineLvl w:val="2"/>
    </w:pPr>
    <w:rPr>
      <w:i/>
      <w:u w:val="single"/>
    </w:rPr>
  </w:style>
  <w:style w:type="paragraph" w:styleId="Heading4">
    <w:name w:val="heading 4"/>
    <w:basedOn w:val="Normal"/>
    <w:next w:val="Normal"/>
    <w:link w:val="Heading4Char"/>
    <w:uiPriority w:val="9"/>
    <w:unhideWhenUsed/>
    <w:qFormat/>
    <w:rsid w:val="003B5425"/>
    <w:pPr>
      <w:keepNext/>
      <w:keepLines/>
      <w:spacing w:before="40" w:after="0"/>
      <w:outlineLvl w:val="3"/>
    </w:pPr>
    <w:rPr>
      <w:rFonts w:asciiTheme="minorHAnsi" w:eastAsiaTheme="majorEastAsia" w:hAnsiTheme="minorHAnsi" w:cstheme="majorBidi"/>
      <w:iCs/>
      <w:u w:val="single"/>
    </w:rPr>
  </w:style>
  <w:style w:type="paragraph" w:styleId="Heading5">
    <w:name w:val="heading 5"/>
    <w:basedOn w:val="Normal"/>
    <w:next w:val="Normal"/>
    <w:link w:val="Heading5Char"/>
    <w:uiPriority w:val="9"/>
    <w:unhideWhenUsed/>
    <w:qFormat/>
    <w:rsid w:val="003B542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AB605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uiPriority w:val="59"/>
    <w:rsid w:val="003B54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5425"/>
    <w:rPr>
      <w:rFonts w:ascii="Calibri" w:eastAsia="Calibri" w:hAnsi="Calibri" w:cs="Times New Roman"/>
      <w:b/>
      <w:bCs/>
      <w:i/>
      <w:color w:val="548DD4"/>
      <w:sz w:val="26"/>
    </w:rPr>
  </w:style>
  <w:style w:type="character" w:customStyle="1" w:styleId="Heading2Char">
    <w:name w:val="Heading 2 Char"/>
    <w:basedOn w:val="DefaultParagraphFont"/>
    <w:link w:val="Heading2"/>
    <w:uiPriority w:val="9"/>
    <w:rsid w:val="003B5425"/>
    <w:rPr>
      <w:rFonts w:ascii="Calibri" w:eastAsia="Calibri" w:hAnsi="Calibri" w:cs="Times New Roman"/>
      <w:b/>
      <w:sz w:val="26"/>
    </w:rPr>
  </w:style>
  <w:style w:type="character" w:customStyle="1" w:styleId="Heading3Char">
    <w:name w:val="Heading 3 Char"/>
    <w:basedOn w:val="DefaultParagraphFont"/>
    <w:link w:val="Heading3"/>
    <w:uiPriority w:val="9"/>
    <w:rsid w:val="003B5425"/>
    <w:rPr>
      <w:rFonts w:ascii="Calibri" w:eastAsia="Calibri" w:hAnsi="Calibri" w:cs="Times New Roman"/>
      <w:i/>
      <w:u w:val="single"/>
    </w:rPr>
  </w:style>
  <w:style w:type="character" w:customStyle="1" w:styleId="Heading4Char">
    <w:name w:val="Heading 4 Char"/>
    <w:basedOn w:val="DefaultParagraphFont"/>
    <w:link w:val="Heading4"/>
    <w:uiPriority w:val="9"/>
    <w:rsid w:val="003B5425"/>
    <w:rPr>
      <w:rFonts w:eastAsiaTheme="majorEastAsia" w:cstheme="majorBidi"/>
      <w:iCs/>
      <w:u w:val="single"/>
    </w:rPr>
  </w:style>
  <w:style w:type="character" w:customStyle="1" w:styleId="Heading5Char">
    <w:name w:val="Heading 5 Char"/>
    <w:basedOn w:val="DefaultParagraphFont"/>
    <w:link w:val="Heading5"/>
    <w:uiPriority w:val="9"/>
    <w:rsid w:val="003B5425"/>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3B5425"/>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3B5425"/>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3B5425"/>
    <w:rPr>
      <w:rFonts w:cs="Times New Roman"/>
      <w:color w:val="0000FF"/>
      <w:u w:val="single"/>
    </w:rPr>
  </w:style>
  <w:style w:type="paragraph" w:styleId="BalloonText">
    <w:name w:val="Balloon Text"/>
    <w:basedOn w:val="Normal"/>
    <w:link w:val="BalloonTextChar"/>
    <w:uiPriority w:val="99"/>
    <w:semiHidden/>
    <w:unhideWhenUsed/>
    <w:rsid w:val="003B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25"/>
    <w:rPr>
      <w:rFonts w:ascii="Tahoma" w:eastAsia="Calibri" w:hAnsi="Tahoma" w:cs="Tahoma"/>
      <w:sz w:val="16"/>
      <w:szCs w:val="16"/>
    </w:rPr>
  </w:style>
  <w:style w:type="paragraph" w:customStyle="1" w:styleId="Heading10">
    <w:name w:val="Heading1"/>
    <w:rsid w:val="003B5425"/>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3B5425"/>
    <w:rPr>
      <w:sz w:val="16"/>
      <w:szCs w:val="16"/>
    </w:rPr>
  </w:style>
  <w:style w:type="paragraph" w:styleId="CommentText">
    <w:name w:val="annotation text"/>
    <w:basedOn w:val="Normal"/>
    <w:link w:val="CommentTextChar"/>
    <w:uiPriority w:val="99"/>
    <w:unhideWhenUsed/>
    <w:rsid w:val="003B5425"/>
    <w:pPr>
      <w:spacing w:line="240" w:lineRule="auto"/>
    </w:pPr>
    <w:rPr>
      <w:sz w:val="20"/>
      <w:szCs w:val="20"/>
    </w:rPr>
  </w:style>
  <w:style w:type="character" w:customStyle="1" w:styleId="CommentTextChar">
    <w:name w:val="Comment Text Char"/>
    <w:basedOn w:val="DefaultParagraphFont"/>
    <w:link w:val="CommentText"/>
    <w:uiPriority w:val="99"/>
    <w:rsid w:val="003B54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5425"/>
    <w:rPr>
      <w:b/>
      <w:bCs/>
    </w:rPr>
  </w:style>
  <w:style w:type="character" w:customStyle="1" w:styleId="CommentSubjectChar">
    <w:name w:val="Comment Subject Char"/>
    <w:basedOn w:val="CommentTextChar"/>
    <w:link w:val="CommentSubject"/>
    <w:uiPriority w:val="99"/>
    <w:semiHidden/>
    <w:rsid w:val="003B5425"/>
    <w:rPr>
      <w:rFonts w:ascii="Calibri" w:eastAsia="Calibri" w:hAnsi="Calibri" w:cs="Times New Roman"/>
      <w:b/>
      <w:bCs/>
      <w:sz w:val="20"/>
      <w:szCs w:val="20"/>
    </w:rPr>
  </w:style>
  <w:style w:type="paragraph" w:styleId="Header">
    <w:name w:val="header"/>
    <w:basedOn w:val="Normal"/>
    <w:link w:val="HeaderChar"/>
    <w:uiPriority w:val="99"/>
    <w:unhideWhenUsed/>
    <w:rsid w:val="003B5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25"/>
    <w:rPr>
      <w:rFonts w:ascii="Calibri" w:eastAsia="Calibri" w:hAnsi="Calibri" w:cs="Times New Roman"/>
    </w:rPr>
  </w:style>
  <w:style w:type="paragraph" w:styleId="Footer">
    <w:name w:val="footer"/>
    <w:basedOn w:val="Normal"/>
    <w:link w:val="FooterChar"/>
    <w:uiPriority w:val="99"/>
    <w:unhideWhenUsed/>
    <w:rsid w:val="003B5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25"/>
    <w:rPr>
      <w:rFonts w:ascii="Calibri" w:eastAsia="Calibri" w:hAnsi="Calibri" w:cs="Times New Roman"/>
    </w:rPr>
  </w:style>
  <w:style w:type="paragraph" w:styleId="Subtitle">
    <w:name w:val="Subtitle"/>
    <w:basedOn w:val="Normal"/>
    <w:next w:val="Normal"/>
    <w:link w:val="SubtitleChar"/>
    <w:uiPriority w:val="11"/>
    <w:qFormat/>
    <w:rsid w:val="003B5425"/>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3B5425"/>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3B5425"/>
    <w:rPr>
      <w:color w:val="800080" w:themeColor="followedHyperlink"/>
      <w:u w:val="single"/>
    </w:rPr>
  </w:style>
  <w:style w:type="table" w:customStyle="1" w:styleId="TableGrid1">
    <w:name w:val="Table Grid1"/>
    <w:basedOn w:val="TableNormal"/>
    <w:next w:val="TableGrid"/>
    <w:uiPriority w:val="59"/>
    <w:rsid w:val="003B5425"/>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3B5425"/>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B5425"/>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3B5425"/>
    <w:rPr>
      <w:color w:val="605E5C"/>
      <w:shd w:val="clear" w:color="auto" w:fill="E1DFDD"/>
    </w:rPr>
  </w:style>
  <w:style w:type="paragraph" w:customStyle="1" w:styleId="Default">
    <w:name w:val="Default"/>
    <w:rsid w:val="003B54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Heading"/>
    <w:basedOn w:val="Normal"/>
    <w:link w:val="TableHeadingChar"/>
    <w:qFormat/>
    <w:rsid w:val="003B5425"/>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3B5425"/>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3B5425"/>
    <w:pPr>
      <w:spacing w:before="40" w:after="40" w:line="240" w:lineRule="auto"/>
      <w:ind w:left="176"/>
    </w:pPr>
    <w:rPr>
      <w:rFonts w:ascii="Arial Narrow" w:eastAsia="Times New Roman" w:hAnsi="Arial Narrow" w:cs="Tahoma"/>
      <w:sz w:val="20"/>
      <w:szCs w:val="20"/>
      <w:lang w:eastAsia="en-AU"/>
    </w:rPr>
  </w:style>
  <w:style w:type="character" w:customStyle="1" w:styleId="TabletextChar">
    <w:name w:val="Table text Char"/>
    <w:link w:val="Tabletext"/>
    <w:rsid w:val="003B5425"/>
    <w:rPr>
      <w:rFonts w:ascii="Arial Narrow" w:eastAsia="Times New Roman" w:hAnsi="Arial Narrow" w:cs="Tahoma"/>
      <w:sz w:val="20"/>
      <w:szCs w:val="20"/>
      <w:lang w:eastAsia="en-AU"/>
    </w:rPr>
  </w:style>
  <w:style w:type="table" w:customStyle="1" w:styleId="PlainTable21">
    <w:name w:val="Plain Table 21"/>
    <w:basedOn w:val="TableNormal"/>
    <w:uiPriority w:val="42"/>
    <w:rsid w:val="003B5425"/>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0">
    <w:name w:val="Table heading"/>
    <w:basedOn w:val="Normal"/>
    <w:link w:val="TableheadingChar0"/>
    <w:qFormat/>
    <w:rsid w:val="003B5425"/>
    <w:pPr>
      <w:spacing w:after="0" w:line="240" w:lineRule="auto"/>
    </w:pPr>
    <w:rPr>
      <w:rFonts w:ascii="Arial Narrow" w:hAnsi="Arial Narrow"/>
      <w:b/>
      <w:sz w:val="20"/>
      <w:szCs w:val="20"/>
    </w:rPr>
  </w:style>
  <w:style w:type="paragraph" w:customStyle="1" w:styleId="Tablecontents">
    <w:name w:val="Table contents"/>
    <w:basedOn w:val="Normal"/>
    <w:link w:val="TablecontentsChar"/>
    <w:qFormat/>
    <w:rsid w:val="003B5425"/>
    <w:pPr>
      <w:spacing w:before="60" w:after="60" w:line="240" w:lineRule="auto"/>
      <w:contextualSpacing/>
    </w:pPr>
    <w:rPr>
      <w:rFonts w:ascii="Arial Narrow" w:hAnsi="Arial Narrow"/>
      <w:sz w:val="20"/>
      <w:szCs w:val="20"/>
    </w:rPr>
  </w:style>
  <w:style w:type="character" w:customStyle="1" w:styleId="TableheadingChar0">
    <w:name w:val="Table heading Char"/>
    <w:basedOn w:val="DefaultParagraphFont"/>
    <w:link w:val="Tableheading0"/>
    <w:rsid w:val="003B5425"/>
    <w:rPr>
      <w:rFonts w:ascii="Arial Narrow" w:eastAsia="Calibri" w:hAnsi="Arial Narrow" w:cs="Times New Roman"/>
      <w:b/>
      <w:sz w:val="20"/>
      <w:szCs w:val="20"/>
    </w:rPr>
  </w:style>
  <w:style w:type="paragraph" w:customStyle="1" w:styleId="Tablenotes">
    <w:name w:val="Table notes"/>
    <w:basedOn w:val="Normal"/>
    <w:link w:val="TablenotesChar"/>
    <w:qFormat/>
    <w:rsid w:val="003B5425"/>
    <w:pPr>
      <w:spacing w:line="240" w:lineRule="auto"/>
      <w:contextualSpacing/>
    </w:pPr>
    <w:rPr>
      <w:rFonts w:ascii="Arial Narrow" w:hAnsi="Arial Narrow"/>
      <w:sz w:val="18"/>
      <w:szCs w:val="18"/>
    </w:rPr>
  </w:style>
  <w:style w:type="character" w:customStyle="1" w:styleId="TablecontentsChar">
    <w:name w:val="Table contents Char"/>
    <w:basedOn w:val="DefaultParagraphFont"/>
    <w:link w:val="Tablecontents"/>
    <w:rsid w:val="003B5425"/>
    <w:rPr>
      <w:rFonts w:ascii="Arial Narrow" w:eastAsia="Calibri" w:hAnsi="Arial Narrow" w:cs="Times New Roman"/>
      <w:sz w:val="20"/>
      <w:szCs w:val="20"/>
    </w:rPr>
  </w:style>
  <w:style w:type="character" w:customStyle="1" w:styleId="TablenotesChar">
    <w:name w:val="Table notes Char"/>
    <w:basedOn w:val="DefaultParagraphFont"/>
    <w:link w:val="Tablenotes"/>
    <w:rsid w:val="003B5425"/>
    <w:rPr>
      <w:rFonts w:ascii="Arial Narrow" w:eastAsia="Calibri" w:hAnsi="Arial Narrow" w:cs="Times New Roman"/>
      <w:sz w:val="18"/>
      <w:szCs w:val="18"/>
    </w:rPr>
  </w:style>
  <w:style w:type="paragraph" w:customStyle="1" w:styleId="EndNoteBibliographyTitle">
    <w:name w:val="EndNote Bibliography Title"/>
    <w:basedOn w:val="Normal"/>
    <w:link w:val="EndNoteBibliographyTitleChar"/>
    <w:rsid w:val="003B542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B5425"/>
    <w:rPr>
      <w:rFonts w:ascii="Calibri" w:eastAsia="Calibri" w:hAnsi="Calibri" w:cs="Times New Roman"/>
      <w:noProof/>
      <w:lang w:val="en-US"/>
    </w:rPr>
  </w:style>
  <w:style w:type="paragraph" w:customStyle="1" w:styleId="EndNoteBibliography">
    <w:name w:val="EndNote Bibliography"/>
    <w:basedOn w:val="Normal"/>
    <w:link w:val="EndNoteBibliographyChar"/>
    <w:rsid w:val="003B5425"/>
    <w:pPr>
      <w:spacing w:line="240" w:lineRule="auto"/>
    </w:pPr>
    <w:rPr>
      <w:noProof/>
      <w:lang w:val="en-US"/>
    </w:rPr>
  </w:style>
  <w:style w:type="character" w:customStyle="1" w:styleId="EndNoteBibliographyChar">
    <w:name w:val="EndNote Bibliography Char"/>
    <w:basedOn w:val="DefaultParagraphFont"/>
    <w:link w:val="EndNoteBibliography"/>
    <w:rsid w:val="003B5425"/>
    <w:rPr>
      <w:rFonts w:ascii="Calibri" w:eastAsia="Calibri" w:hAnsi="Calibri" w:cs="Times New Roman"/>
      <w:noProof/>
      <w:lang w:val="en-US"/>
    </w:rPr>
  </w:style>
  <w:style w:type="paragraph" w:styleId="Revision">
    <w:name w:val="Revision"/>
    <w:hidden/>
    <w:uiPriority w:val="99"/>
    <w:semiHidden/>
    <w:rsid w:val="003B5425"/>
    <w:pPr>
      <w:spacing w:after="0" w:line="240" w:lineRule="auto"/>
    </w:pPr>
    <w:rPr>
      <w:rFonts w:ascii="Calibri" w:eastAsia="Calibri" w:hAnsi="Calibri" w:cs="Times New Roman"/>
    </w:rPr>
  </w:style>
  <w:style w:type="character" w:customStyle="1" w:styleId="captionChar">
    <w:name w:val="caption Char"/>
    <w:basedOn w:val="DefaultParagraphFont"/>
    <w:link w:val="Caption1"/>
    <w:locked/>
    <w:rsid w:val="003B5425"/>
    <w:rPr>
      <w:rFonts w:ascii="Arial Narrow" w:hAnsi="Arial Narrow"/>
      <w:b/>
      <w:bCs/>
    </w:rPr>
  </w:style>
  <w:style w:type="paragraph" w:customStyle="1" w:styleId="Caption1">
    <w:name w:val="Caption1"/>
    <w:basedOn w:val="Normal"/>
    <w:link w:val="captionChar"/>
    <w:rsid w:val="003B5425"/>
    <w:pPr>
      <w:autoSpaceDE w:val="0"/>
      <w:autoSpaceDN w:val="0"/>
      <w:spacing w:after="240" w:line="240" w:lineRule="auto"/>
      <w:ind w:right="86"/>
    </w:pPr>
    <w:rPr>
      <w:rFonts w:ascii="Arial Narrow" w:eastAsiaTheme="minorHAnsi" w:hAnsi="Arial Narrow" w:cstheme="minorBidi"/>
      <w:b/>
      <w:bCs/>
    </w:rPr>
  </w:style>
  <w:style w:type="paragraph" w:styleId="FootnoteText">
    <w:name w:val="footnote text"/>
    <w:basedOn w:val="Normal"/>
    <w:link w:val="FootnoteTextChar"/>
    <w:uiPriority w:val="99"/>
    <w:semiHidden/>
    <w:unhideWhenUsed/>
    <w:rsid w:val="003B5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4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B5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8869">
      <w:bodyDiv w:val="1"/>
      <w:marLeft w:val="0"/>
      <w:marRight w:val="0"/>
      <w:marTop w:val="0"/>
      <w:marBottom w:val="0"/>
      <w:divBdr>
        <w:top w:val="none" w:sz="0" w:space="0" w:color="auto"/>
        <w:left w:val="none" w:sz="0" w:space="0" w:color="auto"/>
        <w:bottom w:val="none" w:sz="0" w:space="0" w:color="auto"/>
        <w:right w:val="none" w:sz="0" w:space="0" w:color="auto"/>
      </w:divBdr>
    </w:div>
    <w:div w:id="1075131517">
      <w:bodyDiv w:val="1"/>
      <w:marLeft w:val="0"/>
      <w:marRight w:val="0"/>
      <w:marTop w:val="0"/>
      <w:marBottom w:val="0"/>
      <w:divBdr>
        <w:top w:val="none" w:sz="0" w:space="0" w:color="auto"/>
        <w:left w:val="none" w:sz="0" w:space="0" w:color="auto"/>
        <w:bottom w:val="none" w:sz="0" w:space="0" w:color="auto"/>
        <w:right w:val="none" w:sz="0" w:space="0" w:color="auto"/>
      </w:divBdr>
    </w:div>
    <w:div w:id="1421024450">
      <w:bodyDiv w:val="1"/>
      <w:marLeft w:val="0"/>
      <w:marRight w:val="0"/>
      <w:marTop w:val="0"/>
      <w:marBottom w:val="0"/>
      <w:divBdr>
        <w:top w:val="none" w:sz="0" w:space="0" w:color="auto"/>
        <w:left w:val="none" w:sz="0" w:space="0" w:color="auto"/>
        <w:bottom w:val="none" w:sz="0" w:space="0" w:color="auto"/>
        <w:right w:val="none" w:sz="0" w:space="0" w:color="auto"/>
      </w:divBdr>
    </w:div>
    <w:div w:id="1427851128">
      <w:bodyDiv w:val="1"/>
      <w:marLeft w:val="0"/>
      <w:marRight w:val="0"/>
      <w:marTop w:val="0"/>
      <w:marBottom w:val="0"/>
      <w:divBdr>
        <w:top w:val="none" w:sz="0" w:space="0" w:color="auto"/>
        <w:left w:val="none" w:sz="0" w:space="0" w:color="auto"/>
        <w:bottom w:val="none" w:sz="0" w:space="0" w:color="auto"/>
        <w:right w:val="none" w:sz="0" w:space="0" w:color="auto"/>
      </w:divBdr>
    </w:div>
    <w:div w:id="17805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B34-80BC-4EC6-8F3A-13F34533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10634</Words>
  <Characters>60617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1564-Ratified PICO</vt:lpstr>
    </vt:vector>
  </TitlesOfParts>
  <Company/>
  <LinksUpToDate>false</LinksUpToDate>
  <CharactersWithSpaces>71109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1564-Ratified PICO</dc:title>
  <dc:subject/>
  <dc:creator/>
  <cp:keywords/>
  <dc:description/>
  <cp:lastModifiedBy/>
  <cp:revision>1</cp:revision>
  <dcterms:created xsi:type="dcterms:W3CDTF">2021-04-19T04:19:00Z</dcterms:created>
  <dcterms:modified xsi:type="dcterms:W3CDTF">2021-04-19T04:19:00Z</dcterms:modified>
</cp:coreProperties>
</file>