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B80" w:rsidRPr="00F637B3" w:rsidRDefault="00E44B80" w:rsidP="00E44B80">
      <w:pPr>
        <w:jc w:val="center"/>
        <w:rPr>
          <w:b/>
          <w:szCs w:val="20"/>
        </w:rPr>
      </w:pPr>
      <w:r w:rsidRPr="00F637B3">
        <w:rPr>
          <w:b/>
          <w:noProof/>
          <w:szCs w:val="20"/>
          <w:lang w:eastAsia="en-AU"/>
        </w:rPr>
        <w:drawing>
          <wp:inline distT="0" distB="0" distL="0" distR="0" wp14:anchorId="3712ADFF" wp14:editId="62A9DFBC">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rsidR="008B2610" w:rsidRPr="006F20CF" w:rsidRDefault="008B2610" w:rsidP="00F971CC">
      <w:pPr>
        <w:pStyle w:val="Title"/>
        <w:spacing w:before="2600"/>
      </w:pPr>
      <w:r w:rsidRPr="001906CD">
        <w:t>Application Form</w:t>
      </w:r>
    </w:p>
    <w:p w:rsidR="00661CB6" w:rsidRPr="00661CB6" w:rsidRDefault="00661CB6" w:rsidP="00661CB6">
      <w:pPr>
        <w:pStyle w:val="TitleBlue"/>
        <w:rPr>
          <w:sz w:val="36"/>
          <w:szCs w:val="36"/>
        </w:rPr>
      </w:pPr>
      <w:r w:rsidRPr="00661CB6">
        <w:rPr>
          <w:sz w:val="36"/>
          <w:szCs w:val="36"/>
        </w:rPr>
        <w:t xml:space="preserve">Germline BRCA mutation testing to determine eligibility for </w:t>
      </w:r>
      <w:proofErr w:type="spellStart"/>
      <w:r w:rsidRPr="00661CB6">
        <w:rPr>
          <w:sz w:val="36"/>
          <w:szCs w:val="36"/>
        </w:rPr>
        <w:t>talazoparib</w:t>
      </w:r>
      <w:proofErr w:type="spellEnd"/>
      <w:r w:rsidRPr="00661CB6">
        <w:rPr>
          <w:sz w:val="36"/>
          <w:szCs w:val="36"/>
        </w:rPr>
        <w:t xml:space="preserve"> treatment in patients with locally advanced or metastatic HER2-negative breast cancer (either hormone receptor positive or triple negative)</w:t>
      </w:r>
    </w:p>
    <w:p w:rsidR="00661CB6" w:rsidRDefault="00661CB6" w:rsidP="00661CB6">
      <w:pPr>
        <w:pStyle w:val="Title"/>
        <w:spacing w:before="240"/>
        <w:rPr>
          <w:sz w:val="28"/>
          <w:szCs w:val="28"/>
        </w:rPr>
      </w:pPr>
      <w:r w:rsidRPr="00D73646">
        <w:rPr>
          <w:sz w:val="28"/>
          <w:szCs w:val="28"/>
        </w:rPr>
        <w:t>(New and Amended</w:t>
      </w:r>
      <w:r>
        <w:rPr>
          <w:sz w:val="28"/>
          <w:szCs w:val="28"/>
        </w:rPr>
        <w:t xml:space="preserve"> </w:t>
      </w:r>
      <w:r w:rsidRPr="00D73646">
        <w:rPr>
          <w:sz w:val="28"/>
          <w:szCs w:val="28"/>
        </w:rPr>
        <w:t>Requests for Public Funding)</w:t>
      </w:r>
    </w:p>
    <w:p w:rsidR="00661CB6" w:rsidRDefault="00661CB6" w:rsidP="003F7CB9"/>
    <w:p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 xml:space="preserve">Medicare Benefits Schedule </w:t>
      </w:r>
      <w:r w:rsidR="008B2610" w:rsidRPr="00154B00">
        <w:lastRenderedPageBreak/>
        <w:t>(MBS)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rsidR="008B2610" w:rsidRPr="00154B00" w:rsidRDefault="009F5758" w:rsidP="003F7CB9">
      <w:pPr>
        <w:spacing w:before="0" w:after="0"/>
      </w:pPr>
      <w:r w:rsidRPr="00154B00">
        <w:t>Phone:  +61 2 6289 7550</w:t>
      </w:r>
    </w:p>
    <w:p w:rsidR="009F5758" w:rsidRPr="00154B00" w:rsidRDefault="009F5758" w:rsidP="003F7CB9">
      <w:pPr>
        <w:spacing w:before="0" w:after="0"/>
      </w:pPr>
      <w:r w:rsidRPr="00154B00">
        <w:t>Fax:  +61 2 6289 5540</w:t>
      </w:r>
    </w:p>
    <w:p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rsidR="00E04FB3" w:rsidRPr="00C776B1" w:rsidRDefault="00D73646" w:rsidP="00415C74">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rsidR="00392F00" w:rsidRDefault="00D57F88" w:rsidP="004A0BF4">
      <w:pPr>
        <w:pStyle w:val="Heading2"/>
      </w:pPr>
      <w:r w:rsidRPr="00A8732C">
        <w:t>Applicant d</w:t>
      </w:r>
      <w:r w:rsidR="00392F00" w:rsidRPr="00A8732C">
        <w:t>etails</w:t>
      </w:r>
      <w:r w:rsidR="000D066E" w:rsidRPr="00A8732C">
        <w:t xml:space="preserve"> (primary and alternative contacts)</w:t>
      </w:r>
    </w:p>
    <w:p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p>
    <w:p w:rsidR="00236E20" w:rsidRDefault="00C171FB" w:rsidP="00236E20">
      <w:pPr>
        <w:pBdr>
          <w:top w:val="single" w:sz="4" w:space="1" w:color="auto"/>
          <w:left w:val="single" w:sz="4" w:space="4" w:color="auto"/>
          <w:bottom w:val="single" w:sz="4" w:space="1" w:color="auto"/>
          <w:right w:val="single" w:sz="4" w:space="4" w:color="auto"/>
        </w:pBdr>
      </w:pPr>
      <w:r>
        <w:t xml:space="preserve">Corporation name: </w:t>
      </w:r>
      <w:r w:rsidR="00236E20">
        <w:t>Pfizer Australia Pty Ltd</w:t>
      </w:r>
    </w:p>
    <w:p w:rsidR="00236E20" w:rsidRDefault="00C171FB" w:rsidP="00236E20">
      <w:pPr>
        <w:pBdr>
          <w:top w:val="single" w:sz="4" w:space="1" w:color="auto"/>
          <w:left w:val="single" w:sz="4" w:space="4" w:color="auto"/>
          <w:bottom w:val="single" w:sz="4" w:space="1" w:color="auto"/>
          <w:right w:val="single" w:sz="4" w:space="4" w:color="auto"/>
        </w:pBdr>
      </w:pPr>
      <w:r>
        <w:t xml:space="preserve">ABN: </w:t>
      </w:r>
      <w:r w:rsidR="00661CB6" w:rsidRPr="00661CB6">
        <w:rPr>
          <w:b/>
        </w:rPr>
        <w:t>REDACTED</w:t>
      </w:r>
    </w:p>
    <w:p w:rsidR="00C171FB" w:rsidRPr="00C171FB" w:rsidRDefault="00C171FB" w:rsidP="00236E20">
      <w:pPr>
        <w:pBdr>
          <w:top w:val="single" w:sz="4" w:space="1" w:color="auto"/>
          <w:left w:val="single" w:sz="4" w:space="4" w:color="auto"/>
          <w:bottom w:val="single" w:sz="4" w:space="1" w:color="auto"/>
          <w:right w:val="single" w:sz="4" w:space="4" w:color="auto"/>
        </w:pBdr>
      </w:pPr>
      <w:r>
        <w:t xml:space="preserve">Business trading name: </w:t>
      </w:r>
      <w:r w:rsidR="00236E20" w:rsidRPr="00236E20">
        <w:t>Pfizer Australia Pty Ltd</w:t>
      </w:r>
    </w:p>
    <w:p w:rsidR="00C171FB" w:rsidRPr="00C171FB" w:rsidRDefault="00C171FB" w:rsidP="00C171FB">
      <w:pPr>
        <w:rPr>
          <w:b/>
        </w:rPr>
      </w:pPr>
      <w:r>
        <w:rPr>
          <w:b/>
        </w:rPr>
        <w:t xml:space="preserve">Primary contact name: </w:t>
      </w:r>
      <w:r w:rsidR="00661CB6" w:rsidRPr="00661CB6">
        <w:rPr>
          <w:b/>
        </w:rPr>
        <w:t>REDACTED</w:t>
      </w:r>
    </w:p>
    <w:p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661CB6" w:rsidRPr="00661CB6">
        <w:rPr>
          <w:b/>
        </w:rPr>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661CB6" w:rsidRPr="00661CB6">
        <w:rPr>
          <w:b/>
        </w:rPr>
        <w:t>REDACTED</w:t>
      </w:r>
    </w:p>
    <w:p w:rsidR="00C171FB" w:rsidRDefault="00C171FB" w:rsidP="00C171FB">
      <w:pPr>
        <w:rPr>
          <w:b/>
        </w:rPr>
      </w:pPr>
    </w:p>
    <w:p w:rsidR="00C171FB" w:rsidRPr="00C171FB" w:rsidRDefault="00C171FB" w:rsidP="00C171FB">
      <w:pPr>
        <w:rPr>
          <w:b/>
        </w:rPr>
      </w:pPr>
      <w:r>
        <w:rPr>
          <w:b/>
        </w:rPr>
        <w:t xml:space="preserve">Alternative contact name: </w:t>
      </w:r>
      <w:r w:rsidR="00661CB6" w:rsidRPr="00661CB6">
        <w:rPr>
          <w:b/>
        </w:rPr>
        <w:t>REDACTED</w:t>
      </w:r>
    </w:p>
    <w:p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661CB6" w:rsidRPr="00661CB6">
        <w:rPr>
          <w:b/>
        </w:rPr>
        <w:t>REDACTED</w:t>
      </w:r>
    </w:p>
    <w:p w:rsidR="00C171FB" w:rsidRPr="00C171FB" w:rsidRDefault="00C171FB" w:rsidP="00C171FB"/>
    <w:p w:rsidR="00534C5F" w:rsidRPr="00154B00" w:rsidRDefault="00494011" w:rsidP="004A0BF4">
      <w:pPr>
        <w:pStyle w:val="Heading2"/>
      </w:pPr>
      <w:r>
        <w:t xml:space="preserve">(a) </w:t>
      </w:r>
      <w:r w:rsidR="00534C5F">
        <w:t>Are you a lobbyist acting on behalf of an Applicant?</w:t>
      </w:r>
    </w:p>
    <w:p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661CB6">
        <w:rPr>
          <w:szCs w:val="20"/>
        </w:rPr>
      </w:r>
      <w:r w:rsidR="00661CB6">
        <w:rPr>
          <w:szCs w:val="20"/>
        </w:rPr>
        <w:fldChar w:fldCharType="separate"/>
      </w:r>
      <w:r w:rsidRPr="00753C44">
        <w:rPr>
          <w:szCs w:val="20"/>
        </w:rPr>
        <w:fldChar w:fldCharType="end"/>
      </w:r>
      <w:r>
        <w:rPr>
          <w:szCs w:val="20"/>
        </w:rPr>
        <w:t xml:space="preserve"> Yes</w:t>
      </w:r>
    </w:p>
    <w:p w:rsidR="00A6491A" w:rsidRPr="00753C44" w:rsidRDefault="00236E20" w:rsidP="00A6491A">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661CB6">
        <w:rPr>
          <w:szCs w:val="20"/>
        </w:rPr>
      </w:r>
      <w:r w:rsidR="00661CB6">
        <w:rPr>
          <w:szCs w:val="20"/>
        </w:rPr>
        <w:fldChar w:fldCharType="separate"/>
      </w:r>
      <w:r>
        <w:rPr>
          <w:szCs w:val="20"/>
        </w:rPr>
        <w:fldChar w:fldCharType="end"/>
      </w:r>
      <w:bookmarkEnd w:id="1"/>
      <w:r w:rsidR="00A6491A">
        <w:rPr>
          <w:szCs w:val="20"/>
        </w:rPr>
        <w:t xml:space="preserve"> No</w:t>
      </w:r>
      <w:r w:rsidR="00A6491A" w:rsidRPr="00753C44">
        <w:rPr>
          <w:szCs w:val="20"/>
        </w:rPr>
        <w:t xml:space="preserve">  </w:t>
      </w:r>
    </w:p>
    <w:p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661CB6">
        <w:rPr>
          <w:szCs w:val="20"/>
        </w:rPr>
      </w:r>
      <w:r w:rsidR="00661CB6">
        <w:rPr>
          <w:szCs w:val="20"/>
        </w:rPr>
        <w:fldChar w:fldCharType="separate"/>
      </w:r>
      <w:r w:rsidRPr="00753C44">
        <w:rPr>
          <w:szCs w:val="20"/>
        </w:rPr>
        <w:fldChar w:fldCharType="end"/>
      </w:r>
      <w:r>
        <w:rPr>
          <w:szCs w:val="20"/>
        </w:rPr>
        <w:t xml:space="preserve"> Yes</w:t>
      </w:r>
    </w:p>
    <w:p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661CB6">
        <w:rPr>
          <w:szCs w:val="20"/>
        </w:rPr>
      </w:r>
      <w:r w:rsidR="00661CB6">
        <w:rPr>
          <w:szCs w:val="20"/>
        </w:rPr>
        <w:fldChar w:fldCharType="separate"/>
      </w:r>
      <w:r w:rsidRPr="00753C44">
        <w:rPr>
          <w:szCs w:val="20"/>
        </w:rPr>
        <w:fldChar w:fldCharType="end"/>
      </w:r>
      <w:r>
        <w:rPr>
          <w:szCs w:val="20"/>
        </w:rPr>
        <w:t xml:space="preserve"> No</w:t>
      </w:r>
      <w:r w:rsidRPr="00753C44">
        <w:rPr>
          <w:szCs w:val="20"/>
        </w:rPr>
        <w:t xml:space="preserve">  </w:t>
      </w:r>
    </w:p>
    <w:p w:rsidR="00E04FB3" w:rsidRDefault="00E04FB3" w:rsidP="005C333E">
      <w:pPr>
        <w:spacing w:before="0" w:after="0"/>
        <w:ind w:left="426"/>
        <w:rPr>
          <w:b/>
          <w:szCs w:val="20"/>
        </w:rPr>
      </w:pPr>
      <w:r w:rsidRPr="00154B00">
        <w:rPr>
          <w:b/>
          <w:szCs w:val="20"/>
        </w:rPr>
        <w:br w:type="page"/>
      </w:r>
    </w:p>
    <w:p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rsidR="000B3CD0" w:rsidRDefault="000B3CD0" w:rsidP="00730C04">
      <w:pPr>
        <w:pStyle w:val="Heading2"/>
      </w:pPr>
      <w:r w:rsidRPr="00154B00">
        <w:t>Application title</w:t>
      </w:r>
      <w:r w:rsidR="00A8732C">
        <w:t xml:space="preserve"> </w:t>
      </w:r>
    </w:p>
    <w:p w:rsidR="00BB55DC" w:rsidRDefault="00025978" w:rsidP="00025978">
      <w:pPr>
        <w:spacing w:before="0" w:after="0"/>
        <w:ind w:left="360"/>
        <w:jc w:val="both"/>
      </w:pPr>
      <w:r w:rsidRPr="00624644">
        <w:rPr>
          <w:bCs/>
          <w:iCs/>
        </w:rPr>
        <w:t>Germline</w:t>
      </w:r>
      <w:r w:rsidRPr="004E31D8">
        <w:rPr>
          <w:bCs/>
          <w:i/>
          <w:iCs/>
        </w:rPr>
        <w:t xml:space="preserve"> </w:t>
      </w:r>
      <w:r w:rsidRPr="005C567E">
        <w:rPr>
          <w:bCs/>
          <w:iCs/>
        </w:rPr>
        <w:t xml:space="preserve">BRCA </w:t>
      </w:r>
      <w:r w:rsidRPr="00624644">
        <w:rPr>
          <w:bCs/>
          <w:iCs/>
        </w:rPr>
        <w:t>mutation te</w:t>
      </w:r>
      <w:r>
        <w:rPr>
          <w:bCs/>
          <w:iCs/>
        </w:rPr>
        <w:t xml:space="preserve">sting </w:t>
      </w:r>
      <w:r w:rsidRPr="00624644">
        <w:rPr>
          <w:bCs/>
          <w:iCs/>
        </w:rPr>
        <w:t xml:space="preserve">to determine eligibility for </w:t>
      </w:r>
      <w:r>
        <w:rPr>
          <w:bCs/>
          <w:iCs/>
        </w:rPr>
        <w:t xml:space="preserve">talazoparib </w:t>
      </w:r>
      <w:r w:rsidRPr="00624644">
        <w:rPr>
          <w:bCs/>
          <w:iCs/>
        </w:rPr>
        <w:t xml:space="preserve">treatment in </w:t>
      </w:r>
      <w:r>
        <w:rPr>
          <w:bCs/>
          <w:iCs/>
        </w:rPr>
        <w:t>patients</w:t>
      </w:r>
      <w:r w:rsidRPr="00624644">
        <w:rPr>
          <w:bCs/>
          <w:iCs/>
        </w:rPr>
        <w:t xml:space="preserve"> with </w:t>
      </w:r>
      <w:r>
        <w:t>locally advanced or metastatic HER2-negative breast cancer (either hormone receptor positive or triple negative).</w:t>
      </w:r>
    </w:p>
    <w:p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rsidR="00915CD3" w:rsidRDefault="00F0425E" w:rsidP="00915CD3">
      <w:pPr>
        <w:spacing w:before="0" w:after="0"/>
        <w:ind w:left="360"/>
        <w:jc w:val="both"/>
        <w:rPr>
          <w:bCs/>
          <w:iCs/>
        </w:rPr>
      </w:pPr>
      <w:r w:rsidRPr="00F0425E">
        <w:rPr>
          <w:bCs/>
          <w:iCs/>
          <w:lang w:val="en-US"/>
        </w:rPr>
        <w:t xml:space="preserve">Breast cancer is a major health burden worldwide, including in </w:t>
      </w:r>
      <w:r>
        <w:rPr>
          <w:bCs/>
          <w:iCs/>
          <w:lang w:val="en-US"/>
        </w:rPr>
        <w:t xml:space="preserve">Australia, </w:t>
      </w:r>
      <w:r w:rsidRPr="00F0425E">
        <w:rPr>
          <w:bCs/>
          <w:iCs/>
          <w:lang w:val="en-US"/>
        </w:rPr>
        <w:t xml:space="preserve">where over </w:t>
      </w:r>
      <w:r>
        <w:rPr>
          <w:bCs/>
          <w:iCs/>
          <w:lang w:val="en-US"/>
        </w:rPr>
        <w:t>16</w:t>
      </w:r>
      <w:r w:rsidRPr="00F0425E">
        <w:rPr>
          <w:bCs/>
          <w:iCs/>
          <w:lang w:val="en-US"/>
        </w:rPr>
        <w:t>,</w:t>
      </w:r>
      <w:r>
        <w:rPr>
          <w:bCs/>
          <w:iCs/>
          <w:lang w:val="en-US"/>
        </w:rPr>
        <w:t>5</w:t>
      </w:r>
      <w:r w:rsidRPr="00F0425E">
        <w:rPr>
          <w:bCs/>
          <w:iCs/>
          <w:lang w:val="en-US"/>
        </w:rPr>
        <w:t xml:space="preserve">00 </w:t>
      </w:r>
      <w:r>
        <w:rPr>
          <w:bCs/>
          <w:iCs/>
          <w:lang w:val="en-US"/>
        </w:rPr>
        <w:t xml:space="preserve">new cases </w:t>
      </w:r>
      <w:r w:rsidRPr="00F0425E">
        <w:rPr>
          <w:bCs/>
          <w:iCs/>
          <w:lang w:val="en-US"/>
        </w:rPr>
        <w:t>were diagnosed in 2014</w:t>
      </w:r>
      <w:r>
        <w:rPr>
          <w:bCs/>
          <w:iCs/>
          <w:lang w:val="en-US"/>
        </w:rPr>
        <w:t xml:space="preserve">. </w:t>
      </w:r>
      <w:r w:rsidR="00915CD3" w:rsidRPr="00915CD3">
        <w:rPr>
          <w:bCs/>
          <w:iCs/>
        </w:rPr>
        <w:t>In 2018, it is estimated that 18,235 new cases of breast cancer will be diagnosed in Australia (148 males and 18,087 females).</w:t>
      </w:r>
      <w:r w:rsidRPr="00F0425E">
        <w:rPr>
          <w:bCs/>
          <w:iCs/>
          <w:vertAlign w:val="superscript"/>
        </w:rPr>
        <w:t>1</w:t>
      </w:r>
      <w:r w:rsidR="00915CD3" w:rsidRPr="00915CD3">
        <w:rPr>
          <w:bCs/>
          <w:iCs/>
        </w:rPr>
        <w:t xml:space="preserve"> </w:t>
      </w:r>
    </w:p>
    <w:p w:rsidR="00232B76" w:rsidRDefault="00232B76" w:rsidP="00915CD3">
      <w:pPr>
        <w:spacing w:before="0" w:after="0"/>
        <w:ind w:left="360"/>
        <w:jc w:val="both"/>
        <w:rPr>
          <w:bCs/>
          <w:iCs/>
          <w:lang w:val="en-US"/>
        </w:rPr>
      </w:pPr>
    </w:p>
    <w:p w:rsidR="00232B76" w:rsidRDefault="0095467E" w:rsidP="00232B76">
      <w:pPr>
        <w:spacing w:before="0" w:after="0"/>
        <w:ind w:left="360"/>
        <w:jc w:val="both"/>
        <w:rPr>
          <w:bCs/>
          <w:iCs/>
        </w:rPr>
      </w:pPr>
      <w:r>
        <w:rPr>
          <w:bCs/>
          <w:iCs/>
          <w:lang w:val="en-US"/>
        </w:rPr>
        <w:t xml:space="preserve">Breast cancer is </w:t>
      </w:r>
      <w:r w:rsidR="00232B76" w:rsidRPr="00232B76">
        <w:rPr>
          <w:bCs/>
          <w:iCs/>
          <w:lang w:val="en-US"/>
        </w:rPr>
        <w:t>multifactorial and thought to result from interactions between a number of different environmental, lifestyle, hormonal and genetic factors, including a family history of breast cancer.</w:t>
      </w:r>
      <w:r w:rsidR="00232B76">
        <w:rPr>
          <w:bCs/>
          <w:iCs/>
          <w:lang w:val="en-US"/>
        </w:rPr>
        <w:t xml:space="preserve"> </w:t>
      </w:r>
      <w:r w:rsidR="00C21E79" w:rsidRPr="00915CD3">
        <w:rPr>
          <w:bCs/>
          <w:iCs/>
        </w:rPr>
        <w:t xml:space="preserve"> </w:t>
      </w:r>
      <w:r w:rsidR="00232B76" w:rsidRPr="00232B76">
        <w:rPr>
          <w:bCs/>
          <w:iCs/>
        </w:rPr>
        <w:t>“</w:t>
      </w:r>
      <w:r w:rsidR="00232B76">
        <w:rPr>
          <w:bCs/>
          <w:iCs/>
        </w:rPr>
        <w:t>H</w:t>
      </w:r>
      <w:r w:rsidR="00232B76" w:rsidRPr="00232B76">
        <w:rPr>
          <w:bCs/>
          <w:iCs/>
        </w:rPr>
        <w:t xml:space="preserve">ereditary” </w:t>
      </w:r>
      <w:r w:rsidR="00232B76">
        <w:rPr>
          <w:bCs/>
          <w:iCs/>
        </w:rPr>
        <w:t xml:space="preserve">or </w:t>
      </w:r>
      <w:r w:rsidR="00C21E79" w:rsidRPr="00915CD3">
        <w:rPr>
          <w:bCs/>
          <w:iCs/>
        </w:rPr>
        <w:t>“</w:t>
      </w:r>
      <w:r w:rsidR="00232B76">
        <w:rPr>
          <w:bCs/>
          <w:iCs/>
        </w:rPr>
        <w:t>f</w:t>
      </w:r>
      <w:r w:rsidR="00C21E79" w:rsidRPr="00915CD3">
        <w:rPr>
          <w:bCs/>
          <w:iCs/>
        </w:rPr>
        <w:t xml:space="preserve">amilial breast cancer” breast cancer </w:t>
      </w:r>
      <w:r w:rsidR="00232B76">
        <w:rPr>
          <w:bCs/>
          <w:iCs/>
        </w:rPr>
        <w:t xml:space="preserve">suggests </w:t>
      </w:r>
      <w:r w:rsidR="00C21E79" w:rsidRPr="00915CD3">
        <w:rPr>
          <w:bCs/>
          <w:iCs/>
        </w:rPr>
        <w:t xml:space="preserve">that there is a genetic predisposition to breast cancer associated with a particular gene or set of genes, within family groups. Within this group of high risk genes are mutations in the key tumour suppressor genes - the </w:t>
      </w:r>
      <w:proofErr w:type="spellStart"/>
      <w:r w:rsidR="00C21E79" w:rsidRPr="00915CD3">
        <w:rPr>
          <w:bCs/>
          <w:iCs/>
        </w:rPr>
        <w:t>BReast</w:t>
      </w:r>
      <w:proofErr w:type="spellEnd"/>
      <w:r w:rsidR="00C21E79" w:rsidRPr="00915CD3">
        <w:rPr>
          <w:bCs/>
          <w:iCs/>
        </w:rPr>
        <w:t xml:space="preserve"> </w:t>
      </w:r>
      <w:proofErr w:type="spellStart"/>
      <w:r w:rsidR="00C21E79" w:rsidRPr="00915CD3">
        <w:rPr>
          <w:bCs/>
          <w:iCs/>
        </w:rPr>
        <w:t>CAncer</w:t>
      </w:r>
      <w:proofErr w:type="spellEnd"/>
      <w:r w:rsidR="00C21E79" w:rsidRPr="00915CD3">
        <w:rPr>
          <w:bCs/>
          <w:iCs/>
        </w:rPr>
        <w:t xml:space="preserve"> susceptibility genes 1 or 2 (BRCA1/2). Such mutations may be inherited (germline) or arise de novo (somatic) as a result of combinatorial genetic and environmental factors.</w:t>
      </w:r>
      <w:r w:rsidR="004A4DAA" w:rsidRPr="004A4DAA">
        <w:rPr>
          <w:bCs/>
          <w:iCs/>
          <w:vertAlign w:val="superscript"/>
        </w:rPr>
        <w:t>2</w:t>
      </w:r>
      <w:r w:rsidR="00C21E79" w:rsidRPr="004A4DAA">
        <w:rPr>
          <w:bCs/>
          <w:iCs/>
          <w:vertAlign w:val="superscript"/>
        </w:rPr>
        <w:t xml:space="preserve"> </w:t>
      </w:r>
    </w:p>
    <w:p w:rsidR="0095467E" w:rsidRDefault="0095467E" w:rsidP="00232B76">
      <w:pPr>
        <w:spacing w:before="0" w:after="0"/>
        <w:ind w:left="360"/>
        <w:jc w:val="both"/>
        <w:rPr>
          <w:bCs/>
          <w:iCs/>
        </w:rPr>
      </w:pPr>
    </w:p>
    <w:p w:rsidR="002C3345" w:rsidRPr="009056C5" w:rsidRDefault="00C21E79" w:rsidP="00232B76">
      <w:pPr>
        <w:spacing w:before="0" w:after="0"/>
        <w:ind w:left="360"/>
        <w:jc w:val="both"/>
      </w:pPr>
      <w:r w:rsidRPr="00915CD3">
        <w:rPr>
          <w:bCs/>
          <w:iCs/>
        </w:rPr>
        <w:t>Specific subgroups of individuals have been identified as having a higher proportion of individuals who carry a</w:t>
      </w:r>
      <w:r w:rsidR="00D919B3">
        <w:rPr>
          <w:bCs/>
          <w:iCs/>
        </w:rPr>
        <w:t xml:space="preserve"> </w:t>
      </w:r>
      <w:r w:rsidRPr="00915CD3">
        <w:rPr>
          <w:bCs/>
          <w:iCs/>
        </w:rPr>
        <w:t>BRCA mutation, including those who have been diagnosed with triple negative breast cancer (TNBC), men and those from different ethnic groups,</w:t>
      </w:r>
      <w:r w:rsidR="00D919B3">
        <w:rPr>
          <w:bCs/>
          <w:iCs/>
        </w:rPr>
        <w:t xml:space="preserve"> </w:t>
      </w:r>
      <w:r w:rsidRPr="00915CD3">
        <w:rPr>
          <w:bCs/>
          <w:iCs/>
        </w:rPr>
        <w:t>including Black populations and those of Ashkenazi Jewish heritage.</w:t>
      </w:r>
      <w:r w:rsidR="004A4DAA" w:rsidRPr="004A4DAA">
        <w:rPr>
          <w:bCs/>
          <w:iCs/>
          <w:vertAlign w:val="superscript"/>
        </w:rPr>
        <w:t>3-5</w:t>
      </w:r>
      <w:r w:rsidRPr="00915CD3">
        <w:rPr>
          <w:bCs/>
          <w:iCs/>
        </w:rPr>
        <w:t xml:space="preserve"> </w:t>
      </w:r>
    </w:p>
    <w:p w:rsidR="000955E7" w:rsidRDefault="000955E7" w:rsidP="004A0BF4">
      <w:pPr>
        <w:pStyle w:val="Heading2"/>
      </w:pPr>
      <w:r w:rsidRPr="00381284">
        <w:lastRenderedPageBreak/>
        <w:t>Prov</w:t>
      </w:r>
      <w:r w:rsidR="00D11EB1" w:rsidRPr="00381284">
        <w:t>i</w:t>
      </w:r>
      <w:r w:rsidRPr="00381284">
        <w:t>de a succinct description of the proposed medical service (no more</w:t>
      </w:r>
      <w:r w:rsidRPr="00154B00">
        <w:t xml:space="preserv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rsidR="004C4CE5" w:rsidRDefault="004C4CE5" w:rsidP="005C567E">
      <w:pPr>
        <w:ind w:left="360"/>
      </w:pPr>
      <w:r w:rsidRPr="004C4CE5">
        <w:t>Germline BRCA mutation testing is currently well established in Australia especially for familial risk assessment and more recently to determine patient eligibility for olaparib in the ovarian cancer population</w:t>
      </w:r>
      <w:r>
        <w:t>.</w:t>
      </w:r>
      <w:r w:rsidR="005C567E">
        <w:t xml:space="preserve"> </w:t>
      </w:r>
      <w:r w:rsidR="00381284">
        <w:t xml:space="preserve">Pfizer notes a recent PICO confirmation for germline BRCA mutation testing to determine eligibility </w:t>
      </w:r>
      <w:r>
        <w:t xml:space="preserve">for olaparib in the metastatic </w:t>
      </w:r>
      <w:r w:rsidR="005C567E">
        <w:t xml:space="preserve">HER2-negative </w:t>
      </w:r>
      <w:r>
        <w:t>breast cancer population</w:t>
      </w:r>
      <w:r w:rsidR="00381284">
        <w:t>.</w:t>
      </w:r>
      <w:r w:rsidR="00381284" w:rsidRPr="00381284">
        <w:rPr>
          <w:vertAlign w:val="superscript"/>
        </w:rPr>
        <w:t>6</w:t>
      </w:r>
      <w:r w:rsidR="00381284">
        <w:t xml:space="preserve"> </w:t>
      </w:r>
    </w:p>
    <w:p w:rsidR="00CB12EC" w:rsidRPr="00CB12EC" w:rsidRDefault="004C4CE5" w:rsidP="005C567E">
      <w:pPr>
        <w:ind w:left="360"/>
      </w:pPr>
      <w:r w:rsidRPr="004C4CE5">
        <w:t xml:space="preserve">Publically (state) funded BRCA genetic testing </w:t>
      </w:r>
      <w:r w:rsidR="005C567E">
        <w:t xml:space="preserve">and private </w:t>
      </w:r>
      <w:r w:rsidRPr="004C4CE5">
        <w:t xml:space="preserve">Familial Cancer Centres (FCC) </w:t>
      </w:r>
      <w:r w:rsidR="005C567E">
        <w:t xml:space="preserve">are available across </w:t>
      </w:r>
      <w:r w:rsidRPr="004C4CE5">
        <w:t>Australia to those families who meet certain criteria. Self-funded gene testing can be arranged through a patient’s general practitioner and available through private laboratories.</w:t>
      </w:r>
      <w:r w:rsidR="00381284" w:rsidRPr="00381284">
        <w:rPr>
          <w:vertAlign w:val="superscript"/>
        </w:rPr>
        <w:t>6</w:t>
      </w:r>
      <w:r w:rsidRPr="00381284">
        <w:rPr>
          <w:vertAlign w:val="superscript"/>
        </w:rPr>
        <w:t> </w:t>
      </w:r>
      <w:r w:rsidR="00381284" w:rsidRPr="00381284">
        <w:rPr>
          <w:vertAlign w:val="superscript"/>
        </w:rPr>
        <w:t xml:space="preserve"> </w:t>
      </w:r>
    </w:p>
    <w:p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rsidR="00753C44" w:rsidRDefault="00961804" w:rsidP="005C567E">
      <w:pPr>
        <w:spacing w:before="0" w:after="0"/>
        <w:ind w:left="284" w:firstLine="76"/>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661CB6">
        <w:rPr>
          <w:szCs w:val="20"/>
        </w:rPr>
      </w:r>
      <w:r w:rsidR="00661CB6">
        <w:rPr>
          <w:szCs w:val="20"/>
        </w:rPr>
        <w:fldChar w:fldCharType="separate"/>
      </w:r>
      <w:r>
        <w:rPr>
          <w:szCs w:val="20"/>
        </w:rPr>
        <w:fldChar w:fldCharType="end"/>
      </w:r>
      <w:bookmarkEnd w:id="2"/>
      <w:r w:rsidR="006B6390">
        <w:rPr>
          <w:szCs w:val="20"/>
        </w:rPr>
        <w:t xml:space="preserve"> Yes</w:t>
      </w:r>
    </w:p>
    <w:p w:rsidR="00753C44" w:rsidRPr="00753C44" w:rsidRDefault="006B6390" w:rsidP="005C567E">
      <w:pPr>
        <w:spacing w:before="0" w:after="0"/>
        <w:ind w:left="284" w:firstLine="7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661CB6">
        <w:rPr>
          <w:szCs w:val="20"/>
        </w:rPr>
      </w:r>
      <w:r w:rsidR="00661CB6">
        <w:rPr>
          <w:szCs w:val="20"/>
        </w:rPr>
        <w:fldChar w:fldCharType="separate"/>
      </w:r>
      <w:r w:rsidRPr="00753C44">
        <w:rPr>
          <w:szCs w:val="20"/>
        </w:rPr>
        <w:fldChar w:fldCharType="end"/>
      </w:r>
      <w:r>
        <w:rPr>
          <w:szCs w:val="20"/>
        </w:rPr>
        <w:t xml:space="preserve"> No</w:t>
      </w:r>
      <w:r w:rsidR="00753C44" w:rsidRPr="00753C44">
        <w:rPr>
          <w:szCs w:val="20"/>
        </w:rPr>
        <w:t xml:space="preserve">  </w:t>
      </w:r>
    </w:p>
    <w:p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rsidR="00753C44" w:rsidRDefault="00961804" w:rsidP="005C567E">
      <w:pPr>
        <w:spacing w:before="0" w:after="0"/>
        <w:ind w:left="284" w:firstLine="7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61CB6">
        <w:rPr>
          <w:szCs w:val="20"/>
        </w:rPr>
      </w:r>
      <w:r w:rsidR="00661CB6">
        <w:rPr>
          <w:szCs w:val="20"/>
        </w:rPr>
        <w:fldChar w:fldCharType="separate"/>
      </w:r>
      <w:r>
        <w:rPr>
          <w:szCs w:val="20"/>
        </w:rPr>
        <w:fldChar w:fldCharType="end"/>
      </w:r>
      <w:r w:rsidR="006B6390">
        <w:rPr>
          <w:szCs w:val="20"/>
        </w:rPr>
        <w:t xml:space="preserve"> </w:t>
      </w:r>
      <w:r w:rsidR="00753C44" w:rsidRPr="00154B00">
        <w:rPr>
          <w:szCs w:val="20"/>
        </w:rPr>
        <w:t>Amendment to existing MBS item</w:t>
      </w:r>
      <w:r w:rsidR="00753C44">
        <w:rPr>
          <w:szCs w:val="20"/>
        </w:rPr>
        <w:t>(s)</w:t>
      </w:r>
    </w:p>
    <w:p w:rsidR="00753C44" w:rsidRPr="00753C44" w:rsidRDefault="00415067" w:rsidP="005C567E">
      <w:pPr>
        <w:spacing w:before="0" w:after="0"/>
        <w:ind w:left="284" w:firstLine="7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661CB6">
        <w:rPr>
          <w:szCs w:val="20"/>
        </w:rPr>
      </w:r>
      <w:r w:rsidR="00661CB6">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rsidR="00A8369F"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p>
    <w:p w:rsidR="000B3CD0" w:rsidRPr="00A8369F" w:rsidRDefault="00A8369F" w:rsidP="00A8369F">
      <w:pPr>
        <w:pStyle w:val="Heading2"/>
        <w:numPr>
          <w:ilvl w:val="0"/>
          <w:numId w:val="0"/>
        </w:numPr>
        <w:ind w:left="720"/>
        <w:rPr>
          <w:b w:val="0"/>
          <w:szCs w:val="22"/>
        </w:rPr>
      </w:pPr>
      <w:r w:rsidRPr="00A8369F">
        <w:rPr>
          <w:b w:val="0"/>
          <w:szCs w:val="22"/>
        </w:rPr>
        <w:t xml:space="preserve">Amendment to MBS item number </w:t>
      </w:r>
      <w:r>
        <w:rPr>
          <w:b w:val="0"/>
          <w:szCs w:val="22"/>
        </w:rPr>
        <w:t>73295</w:t>
      </w:r>
      <w:r w:rsidR="00E06102" w:rsidRPr="00A8369F">
        <w:rPr>
          <w:b w:val="0"/>
          <w:szCs w:val="22"/>
        </w:rPr>
        <w:t xml:space="preserve"> </w:t>
      </w:r>
    </w:p>
    <w:p w:rsidR="00661CB6" w:rsidRDefault="00661CB6">
      <w:pPr>
        <w:spacing w:before="0" w:after="200" w:line="276" w:lineRule="auto"/>
        <w:rPr>
          <w:rStyle w:val="Strong"/>
          <w:rFonts w:asciiTheme="minorHAnsi" w:eastAsiaTheme="minorHAnsi" w:hAnsiTheme="minorHAnsi" w:cstheme="minorBidi"/>
          <w:szCs w:val="20"/>
        </w:rPr>
      </w:pPr>
      <w:r>
        <w:rPr>
          <w:rStyle w:val="Strong"/>
          <w:rFonts w:asciiTheme="minorHAnsi" w:eastAsiaTheme="minorHAnsi" w:hAnsiTheme="minorHAnsi" w:cstheme="minorBidi"/>
          <w:b w:val="0"/>
        </w:rPr>
        <w:br w:type="page"/>
      </w:r>
    </w:p>
    <w:p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61CB6">
        <w:rPr>
          <w:b/>
          <w:szCs w:val="20"/>
        </w:rPr>
      </w:r>
      <w:r w:rsidR="00661CB6">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rsidR="002A270B" w:rsidRPr="004A263B" w:rsidRDefault="00A8369F" w:rsidP="004A263B">
      <w:pPr>
        <w:pStyle w:val="ListParagraph"/>
        <w:numPr>
          <w:ilvl w:val="0"/>
          <w:numId w:val="34"/>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661CB6">
        <w:rPr>
          <w:b/>
          <w:szCs w:val="20"/>
        </w:rPr>
      </w:r>
      <w:r w:rsidR="00661CB6">
        <w:rPr>
          <w:b/>
          <w:szCs w:val="20"/>
        </w:rPr>
        <w:fldChar w:fldCharType="separate"/>
      </w:r>
      <w:r>
        <w:rPr>
          <w:b/>
          <w:szCs w:val="20"/>
        </w:rPr>
        <w:fldChar w:fldCharType="end"/>
      </w:r>
      <w:r w:rsidR="002A270B" w:rsidRPr="004A263B">
        <w:rPr>
          <w:b/>
          <w:szCs w:val="20"/>
        </w:rPr>
        <w:t xml:space="preserve"> </w:t>
      </w:r>
      <w:r w:rsidR="002A270B" w:rsidRPr="004A263B">
        <w:rPr>
          <w:rStyle w:val="Strong"/>
          <w:b w:val="0"/>
        </w:rPr>
        <w:t>An amendment to the patient population under the existing item(s)</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lastRenderedPageBreak/>
        <w:fldChar w:fldCharType="begin">
          <w:ffData>
            <w:name w:val="Check2"/>
            <w:enabled/>
            <w:calcOnExit w:val="0"/>
            <w:checkBox>
              <w:sizeAuto/>
              <w:default w:val="0"/>
            </w:checkBox>
          </w:ffData>
        </w:fldChar>
      </w:r>
      <w:r w:rsidRPr="004A263B">
        <w:rPr>
          <w:b/>
          <w:szCs w:val="20"/>
        </w:rPr>
        <w:instrText xml:space="preserve"> FORMCHECKBOX </w:instrText>
      </w:r>
      <w:r w:rsidR="00661CB6">
        <w:rPr>
          <w:b/>
          <w:szCs w:val="20"/>
        </w:rPr>
      </w:r>
      <w:r w:rsidR="00661CB6">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61CB6">
        <w:rPr>
          <w:b/>
          <w:szCs w:val="20"/>
        </w:rPr>
      </w:r>
      <w:r w:rsidR="00661CB6">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61CB6">
        <w:rPr>
          <w:b/>
          <w:szCs w:val="20"/>
        </w:rPr>
      </w:r>
      <w:r w:rsidR="00661CB6">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rsidR="002A270B" w:rsidRPr="004A263B" w:rsidRDefault="00415067" w:rsidP="004A263B">
      <w:pPr>
        <w:pStyle w:val="ListParagraph"/>
        <w:numPr>
          <w:ilvl w:val="0"/>
          <w:numId w:val="34"/>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661CB6">
        <w:rPr>
          <w:b/>
          <w:szCs w:val="20"/>
        </w:rPr>
      </w:r>
      <w:r w:rsidR="00661CB6">
        <w:rPr>
          <w:b/>
          <w:szCs w:val="20"/>
        </w:rPr>
        <w:fldChar w:fldCharType="separate"/>
      </w:r>
      <w:r>
        <w:rPr>
          <w:b/>
          <w:szCs w:val="20"/>
        </w:rPr>
        <w:fldChar w:fldCharType="end"/>
      </w:r>
      <w:r w:rsidR="002A270B" w:rsidRPr="004A263B">
        <w:rPr>
          <w:b/>
          <w:szCs w:val="20"/>
        </w:rPr>
        <w:t xml:space="preserve"> </w:t>
      </w:r>
      <w:r w:rsidR="002A270B" w:rsidRPr="004A263B">
        <w:rPr>
          <w:rStyle w:val="Strong"/>
          <w:b w:val="0"/>
        </w:rPr>
        <w:t>Minor amendments to the item descriptor that does not affect how the service is delivered</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61CB6">
        <w:rPr>
          <w:b/>
          <w:szCs w:val="20"/>
        </w:rPr>
      </w:r>
      <w:r w:rsidR="00661CB6">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61CB6">
        <w:rPr>
          <w:b/>
          <w:szCs w:val="20"/>
        </w:rPr>
      </w:r>
      <w:r w:rsidR="00661CB6">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61CB6">
        <w:rPr>
          <w:b/>
          <w:szCs w:val="20"/>
        </w:rPr>
      </w:r>
      <w:r w:rsidR="00661CB6">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661CB6">
        <w:rPr>
          <w:b/>
          <w:szCs w:val="20"/>
        </w:rPr>
      </w:r>
      <w:r w:rsidR="00661CB6">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661CB6">
        <w:rPr>
          <w:b/>
          <w:szCs w:val="20"/>
        </w:rPr>
      </w:r>
      <w:r w:rsidR="00661CB6">
        <w:rPr>
          <w:b/>
          <w:szCs w:val="20"/>
        </w:rPr>
        <w:fldChar w:fldCharType="separate"/>
      </w:r>
      <w:r w:rsidRPr="00AA2CFE">
        <w:rPr>
          <w:b/>
          <w:szCs w:val="20"/>
        </w:rPr>
        <w:fldChar w:fldCharType="end"/>
      </w:r>
      <w:r w:rsidRPr="00AA2CFE">
        <w:rPr>
          <w:b/>
          <w:szCs w:val="20"/>
        </w:rPr>
        <w:t xml:space="preserve"> </w:t>
      </w:r>
      <w:r w:rsidRPr="00AA2CFE">
        <w:rPr>
          <w:rStyle w:val="Strong"/>
          <w:b w:val="0"/>
        </w:rPr>
        <w:t>A new item that is proposing a way of clinically delivering a service that is new to the MBS (in terms of new technology and / or population)</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661CB6">
        <w:rPr>
          <w:b/>
          <w:szCs w:val="20"/>
        </w:rPr>
      </w:r>
      <w:r w:rsidR="00661CB6">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661CB6">
        <w:rPr>
          <w:b/>
          <w:szCs w:val="20"/>
        </w:rPr>
      </w:r>
      <w:r w:rsidR="00661CB6">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rsidR="000A5B32" w:rsidRDefault="000A5B32" w:rsidP="00A8369F">
      <w:pPr>
        <w:spacing w:before="0" w:after="0"/>
        <w:ind w:left="284" w:firstLine="43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61CB6">
        <w:rPr>
          <w:szCs w:val="20"/>
        </w:rPr>
      </w:r>
      <w:r w:rsidR="00661CB6">
        <w:rPr>
          <w:szCs w:val="20"/>
        </w:rPr>
        <w:fldChar w:fldCharType="separate"/>
      </w:r>
      <w:r w:rsidRPr="000A5B32">
        <w:rPr>
          <w:szCs w:val="20"/>
        </w:rPr>
        <w:fldChar w:fldCharType="end"/>
      </w:r>
      <w:r w:rsidRPr="000A5B32">
        <w:rPr>
          <w:szCs w:val="20"/>
        </w:rPr>
        <w:t xml:space="preserve"> Yes</w:t>
      </w:r>
    </w:p>
    <w:p w:rsidR="00626365" w:rsidRDefault="00415067" w:rsidP="00A8369F">
      <w:pPr>
        <w:spacing w:before="0" w:after="0"/>
        <w:ind w:left="284" w:firstLine="43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61CB6">
        <w:rPr>
          <w:szCs w:val="20"/>
        </w:rPr>
      </w:r>
      <w:r w:rsidR="00661CB6">
        <w:rPr>
          <w:szCs w:val="20"/>
        </w:rPr>
        <w:fldChar w:fldCharType="separate"/>
      </w:r>
      <w:r>
        <w:rPr>
          <w:szCs w:val="20"/>
        </w:rPr>
        <w:fldChar w:fldCharType="end"/>
      </w:r>
      <w:r w:rsidR="000A5B32" w:rsidRPr="000A5B32">
        <w:rPr>
          <w:szCs w:val="20"/>
        </w:rPr>
        <w:t xml:space="preserve"> No</w:t>
      </w:r>
    </w:p>
    <w:p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rsidR="000A5B32" w:rsidRPr="00855944" w:rsidRDefault="00A6594E" w:rsidP="00A6491A">
      <w:pPr>
        <w:ind w:left="284"/>
        <w:rPr>
          <w:rStyle w:val="Strong"/>
        </w:rPr>
      </w:pPr>
      <w:r>
        <w:fldChar w:fldCharType="begin">
          <w:ffData>
            <w:name w:val=""/>
            <w:enabled/>
            <w:calcOnExit w:val="0"/>
            <w:textInput>
              <w:default w:val="Insert description of other public funding mechanism here"/>
            </w:textInput>
          </w:ffData>
        </w:fldChar>
      </w:r>
      <w:r>
        <w:instrText xml:space="preserve"> FORMTEXT </w:instrText>
      </w:r>
      <w:r>
        <w:fldChar w:fldCharType="separate"/>
      </w:r>
      <w:r>
        <w:rPr>
          <w:noProof/>
        </w:rPr>
        <w:t>Insert description of other public funding mechanism here</w:t>
      </w:r>
      <w:r>
        <w:fldChar w:fldCharType="end"/>
      </w:r>
    </w:p>
    <w:p w:rsidR="000B3CD0" w:rsidRDefault="000B3CD0" w:rsidP="00730C04">
      <w:pPr>
        <w:pStyle w:val="Heading2"/>
      </w:pPr>
      <w:r w:rsidRPr="00154B00">
        <w:t xml:space="preserve">What is the type of </w:t>
      </w:r>
      <w:proofErr w:type="gramStart"/>
      <w:r w:rsidRPr="00154B00">
        <w:t>service:</w:t>
      </w:r>
      <w:proofErr w:type="gramEnd"/>
    </w:p>
    <w:p w:rsidR="00A6594E" w:rsidRDefault="00A6594E" w:rsidP="00A8369F">
      <w:pPr>
        <w:spacing w:before="0" w:after="0"/>
        <w:ind w:left="284" w:firstLine="436"/>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61CB6">
        <w:rPr>
          <w:b/>
          <w:szCs w:val="20"/>
        </w:rPr>
      </w:r>
      <w:r w:rsidR="00661CB6">
        <w:rPr>
          <w:b/>
          <w:szCs w:val="20"/>
        </w:rPr>
        <w:fldChar w:fldCharType="separate"/>
      </w:r>
      <w:r w:rsidRPr="0027105F">
        <w:rPr>
          <w:b/>
          <w:szCs w:val="20"/>
        </w:rPr>
        <w:fldChar w:fldCharType="end"/>
      </w:r>
      <w:r w:rsidRPr="0027105F">
        <w:rPr>
          <w:b/>
          <w:szCs w:val="20"/>
        </w:rPr>
        <w:t xml:space="preserve"> </w:t>
      </w:r>
      <w:r>
        <w:t>Therapeutic medical service</w:t>
      </w:r>
    </w:p>
    <w:p w:rsidR="00A6594E" w:rsidRDefault="00A6594E" w:rsidP="00A8369F">
      <w:pPr>
        <w:spacing w:before="0" w:after="0"/>
        <w:ind w:left="284" w:firstLine="436"/>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61CB6">
        <w:rPr>
          <w:b/>
          <w:szCs w:val="20"/>
        </w:rPr>
      </w:r>
      <w:r w:rsidR="00661CB6">
        <w:rPr>
          <w:b/>
          <w:szCs w:val="20"/>
        </w:rPr>
        <w:fldChar w:fldCharType="separate"/>
      </w:r>
      <w:r w:rsidRPr="0027105F">
        <w:rPr>
          <w:b/>
          <w:szCs w:val="20"/>
        </w:rPr>
        <w:fldChar w:fldCharType="end"/>
      </w:r>
      <w:r w:rsidRPr="0027105F">
        <w:rPr>
          <w:b/>
          <w:szCs w:val="20"/>
        </w:rPr>
        <w:t xml:space="preserve"> </w:t>
      </w:r>
      <w:r>
        <w:t>Investigative medical service</w:t>
      </w:r>
    </w:p>
    <w:p w:rsidR="00A6594E" w:rsidRDefault="00A6594E" w:rsidP="00A8369F">
      <w:pPr>
        <w:spacing w:before="0" w:after="0"/>
        <w:ind w:left="284" w:firstLine="436"/>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61CB6">
        <w:rPr>
          <w:b/>
          <w:szCs w:val="20"/>
        </w:rPr>
      </w:r>
      <w:r w:rsidR="00661CB6">
        <w:rPr>
          <w:b/>
          <w:szCs w:val="20"/>
        </w:rPr>
        <w:fldChar w:fldCharType="separate"/>
      </w:r>
      <w:r w:rsidRPr="0027105F">
        <w:rPr>
          <w:b/>
          <w:szCs w:val="20"/>
        </w:rPr>
        <w:fldChar w:fldCharType="end"/>
      </w:r>
      <w:r w:rsidRPr="0027105F">
        <w:rPr>
          <w:b/>
          <w:szCs w:val="20"/>
        </w:rPr>
        <w:t xml:space="preserve"> </w:t>
      </w:r>
      <w:r>
        <w:t>Single consultation medical service</w:t>
      </w:r>
    </w:p>
    <w:p w:rsidR="00A6594E" w:rsidRDefault="00A6594E" w:rsidP="00A8369F">
      <w:pPr>
        <w:spacing w:before="0" w:after="0"/>
        <w:ind w:left="284" w:firstLine="436"/>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61CB6">
        <w:rPr>
          <w:b/>
          <w:szCs w:val="20"/>
        </w:rPr>
      </w:r>
      <w:r w:rsidR="00661CB6">
        <w:rPr>
          <w:b/>
          <w:szCs w:val="20"/>
        </w:rPr>
        <w:fldChar w:fldCharType="separate"/>
      </w:r>
      <w:r w:rsidRPr="0027105F">
        <w:rPr>
          <w:b/>
          <w:szCs w:val="20"/>
        </w:rPr>
        <w:fldChar w:fldCharType="end"/>
      </w:r>
      <w:r w:rsidRPr="0027105F">
        <w:rPr>
          <w:b/>
          <w:szCs w:val="20"/>
        </w:rPr>
        <w:t xml:space="preserve"> </w:t>
      </w:r>
      <w:r>
        <w:t>Global consultation medical service</w:t>
      </w:r>
    </w:p>
    <w:p w:rsidR="00A6594E" w:rsidRDefault="00A6594E" w:rsidP="00A8369F">
      <w:pPr>
        <w:spacing w:before="0" w:after="0"/>
        <w:ind w:left="284" w:firstLine="436"/>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61CB6">
        <w:rPr>
          <w:b/>
          <w:szCs w:val="20"/>
        </w:rPr>
      </w:r>
      <w:r w:rsidR="00661CB6">
        <w:rPr>
          <w:b/>
          <w:szCs w:val="20"/>
        </w:rPr>
        <w:fldChar w:fldCharType="separate"/>
      </w:r>
      <w:r w:rsidRPr="0027105F">
        <w:rPr>
          <w:b/>
          <w:szCs w:val="20"/>
        </w:rPr>
        <w:fldChar w:fldCharType="end"/>
      </w:r>
      <w:r w:rsidRPr="0027105F">
        <w:rPr>
          <w:b/>
          <w:szCs w:val="20"/>
        </w:rPr>
        <w:t xml:space="preserve"> </w:t>
      </w:r>
      <w:r>
        <w:t>Allied health service</w:t>
      </w:r>
    </w:p>
    <w:p w:rsidR="00A6594E" w:rsidRDefault="00415067" w:rsidP="00A8369F">
      <w:pPr>
        <w:spacing w:before="0" w:after="0"/>
        <w:ind w:left="284" w:firstLine="436"/>
      </w:pPr>
      <w:r>
        <w:rPr>
          <w:b/>
          <w:szCs w:val="20"/>
        </w:rPr>
        <w:fldChar w:fldCharType="begin">
          <w:ffData>
            <w:name w:val=""/>
            <w:enabled/>
            <w:calcOnExit w:val="0"/>
            <w:checkBox>
              <w:sizeAuto/>
              <w:default w:val="1"/>
            </w:checkBox>
          </w:ffData>
        </w:fldChar>
      </w:r>
      <w:r>
        <w:rPr>
          <w:b/>
          <w:szCs w:val="20"/>
        </w:rPr>
        <w:instrText xml:space="preserve"> FORMCHECKBOX </w:instrText>
      </w:r>
      <w:r w:rsidR="00661CB6">
        <w:rPr>
          <w:b/>
          <w:szCs w:val="20"/>
        </w:rPr>
      </w:r>
      <w:r w:rsidR="00661CB6">
        <w:rPr>
          <w:b/>
          <w:szCs w:val="20"/>
        </w:rPr>
        <w:fldChar w:fldCharType="separate"/>
      </w:r>
      <w:r>
        <w:rPr>
          <w:b/>
          <w:szCs w:val="20"/>
        </w:rPr>
        <w:fldChar w:fldCharType="end"/>
      </w:r>
      <w:r w:rsidR="00A6594E" w:rsidRPr="0027105F">
        <w:rPr>
          <w:b/>
          <w:szCs w:val="20"/>
        </w:rPr>
        <w:t xml:space="preserve"> </w:t>
      </w:r>
      <w:r w:rsidR="00A6594E">
        <w:t>Co-dependent technology</w:t>
      </w:r>
    </w:p>
    <w:p w:rsidR="00A6594E" w:rsidRPr="00A6594E" w:rsidRDefault="00A6594E" w:rsidP="00A8369F">
      <w:pPr>
        <w:spacing w:before="0" w:after="0"/>
        <w:ind w:left="284" w:firstLine="436"/>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61CB6">
        <w:rPr>
          <w:b/>
          <w:szCs w:val="20"/>
        </w:rPr>
      </w:r>
      <w:r w:rsidR="00661CB6">
        <w:rPr>
          <w:b/>
          <w:szCs w:val="20"/>
        </w:rPr>
        <w:fldChar w:fldCharType="separate"/>
      </w:r>
      <w:r w:rsidRPr="0027105F">
        <w:rPr>
          <w:b/>
          <w:szCs w:val="20"/>
        </w:rPr>
        <w:fldChar w:fldCharType="end"/>
      </w:r>
      <w:r w:rsidRPr="0027105F">
        <w:rPr>
          <w:b/>
          <w:szCs w:val="20"/>
        </w:rPr>
        <w:t xml:space="preserve"> </w:t>
      </w:r>
      <w:r>
        <w:t>Hybrid health technology</w:t>
      </w:r>
    </w:p>
    <w:p w:rsidR="0054594B" w:rsidRDefault="0054594B" w:rsidP="00730C04">
      <w:pPr>
        <w:pStyle w:val="Heading2"/>
      </w:pPr>
      <w:r w:rsidRPr="00154B00">
        <w:lastRenderedPageBreak/>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661CB6">
        <w:rPr>
          <w:b/>
          <w:szCs w:val="20"/>
        </w:rPr>
      </w:r>
      <w:r w:rsidR="00661CB6">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661CB6">
        <w:rPr>
          <w:b/>
          <w:szCs w:val="20"/>
        </w:rPr>
      </w:r>
      <w:r w:rsidR="00661CB6">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661CB6">
        <w:rPr>
          <w:b/>
          <w:szCs w:val="20"/>
        </w:rPr>
      </w:r>
      <w:r w:rsidR="00661CB6">
        <w:rPr>
          <w:b/>
          <w:szCs w:val="20"/>
        </w:rPr>
        <w:fldChar w:fldCharType="separate"/>
      </w:r>
      <w:r w:rsidRPr="00AF4466">
        <w:rPr>
          <w:b/>
          <w:szCs w:val="20"/>
        </w:rPr>
        <w:fldChar w:fldCharType="end"/>
      </w:r>
      <w:r w:rsidRPr="00AF4466">
        <w:rPr>
          <w:b/>
          <w:szCs w:val="20"/>
        </w:rPr>
        <w:t xml:space="preserve"> </w:t>
      </w:r>
      <w:r>
        <w:t>Provides information about prognosis</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661CB6">
        <w:rPr>
          <w:b/>
          <w:szCs w:val="20"/>
        </w:rPr>
      </w:r>
      <w:r w:rsidR="00661CB6">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rsidR="00A6594E" w:rsidRP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661CB6">
        <w:rPr>
          <w:b/>
          <w:szCs w:val="20"/>
        </w:rPr>
      </w:r>
      <w:r w:rsidR="00661CB6">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rsidR="00FE16C1" w:rsidRDefault="00415067" w:rsidP="00246279">
      <w:pPr>
        <w:spacing w:before="0" w:after="0"/>
        <w:ind w:left="284" w:firstLine="436"/>
      </w:pPr>
      <w:r>
        <w:rPr>
          <w:b/>
          <w:szCs w:val="20"/>
        </w:rPr>
        <w:fldChar w:fldCharType="begin">
          <w:ffData>
            <w:name w:val=""/>
            <w:enabled/>
            <w:calcOnExit w:val="0"/>
            <w:checkBox>
              <w:sizeAuto/>
              <w:default w:val="1"/>
            </w:checkBox>
          </w:ffData>
        </w:fldChar>
      </w:r>
      <w:r>
        <w:rPr>
          <w:b/>
          <w:szCs w:val="20"/>
        </w:rPr>
        <w:instrText xml:space="preserve"> FORMCHECKBOX </w:instrText>
      </w:r>
      <w:r w:rsidR="00661CB6">
        <w:rPr>
          <w:b/>
          <w:szCs w:val="20"/>
        </w:rPr>
      </w:r>
      <w:r w:rsidR="00661CB6">
        <w:rPr>
          <w:b/>
          <w:szCs w:val="20"/>
        </w:rPr>
        <w:fldChar w:fldCharType="separate"/>
      </w:r>
      <w:r>
        <w:rPr>
          <w:b/>
          <w:szCs w:val="20"/>
        </w:rPr>
        <w:fldChar w:fldCharType="end"/>
      </w:r>
      <w:r w:rsidR="00FE16C1" w:rsidRPr="0027105F">
        <w:rPr>
          <w:b/>
          <w:szCs w:val="20"/>
        </w:rPr>
        <w:t xml:space="preserve"> </w:t>
      </w:r>
      <w:r w:rsidR="00FE16C1">
        <w:t>Pharmaceutical / Biological</w:t>
      </w:r>
    </w:p>
    <w:p w:rsidR="00FE16C1" w:rsidRDefault="00FE16C1" w:rsidP="00246279">
      <w:pPr>
        <w:spacing w:before="0" w:after="0"/>
        <w:ind w:left="284" w:firstLine="436"/>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61CB6">
        <w:rPr>
          <w:b/>
          <w:szCs w:val="20"/>
        </w:rPr>
      </w:r>
      <w:r w:rsidR="00661CB6">
        <w:rPr>
          <w:b/>
          <w:szCs w:val="20"/>
        </w:rPr>
        <w:fldChar w:fldCharType="separate"/>
      </w:r>
      <w:r w:rsidRPr="0027105F">
        <w:rPr>
          <w:b/>
          <w:szCs w:val="20"/>
        </w:rPr>
        <w:fldChar w:fldCharType="end"/>
      </w:r>
      <w:r w:rsidRPr="0027105F">
        <w:rPr>
          <w:b/>
          <w:szCs w:val="20"/>
        </w:rPr>
        <w:t xml:space="preserve"> </w:t>
      </w:r>
      <w:r>
        <w:t>Prosthesis or device</w:t>
      </w:r>
    </w:p>
    <w:p w:rsidR="00FE16C1" w:rsidRPr="00FE16C1" w:rsidRDefault="00FE16C1" w:rsidP="00246279">
      <w:pPr>
        <w:spacing w:before="0" w:after="0"/>
        <w:ind w:left="284" w:firstLine="436"/>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61CB6">
        <w:rPr>
          <w:b/>
          <w:szCs w:val="20"/>
        </w:rPr>
      </w:r>
      <w:r w:rsidR="00661CB6">
        <w:rPr>
          <w:b/>
          <w:szCs w:val="20"/>
        </w:rPr>
        <w:fldChar w:fldCharType="separate"/>
      </w:r>
      <w:r w:rsidRPr="0027105F">
        <w:rPr>
          <w:b/>
          <w:szCs w:val="20"/>
        </w:rPr>
        <w:fldChar w:fldCharType="end"/>
      </w:r>
      <w:r w:rsidRPr="0027105F">
        <w:rPr>
          <w:b/>
          <w:szCs w:val="20"/>
        </w:rPr>
        <w:t xml:space="preserve"> </w:t>
      </w:r>
      <w:r>
        <w:t>No</w:t>
      </w:r>
    </w:p>
    <w:p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rsidR="00FE16C1" w:rsidRDefault="00FE16C1" w:rsidP="00246279">
      <w:pPr>
        <w:spacing w:before="0" w:after="0"/>
        <w:ind w:left="284" w:firstLine="43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61CB6">
        <w:rPr>
          <w:szCs w:val="20"/>
        </w:rPr>
      </w:r>
      <w:r w:rsidR="00661CB6">
        <w:rPr>
          <w:szCs w:val="20"/>
        </w:rPr>
        <w:fldChar w:fldCharType="separate"/>
      </w:r>
      <w:r w:rsidRPr="000A5B32">
        <w:rPr>
          <w:szCs w:val="20"/>
        </w:rPr>
        <w:fldChar w:fldCharType="end"/>
      </w:r>
      <w:r w:rsidRPr="000A5B32">
        <w:rPr>
          <w:szCs w:val="20"/>
        </w:rPr>
        <w:t xml:space="preserve"> Yes</w:t>
      </w:r>
    </w:p>
    <w:p w:rsidR="00FE16C1" w:rsidRPr="00FE16C1" w:rsidRDefault="00415067" w:rsidP="00246279">
      <w:pPr>
        <w:spacing w:before="0" w:after="0"/>
        <w:ind w:left="284" w:firstLine="43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61CB6">
        <w:rPr>
          <w:szCs w:val="20"/>
        </w:rPr>
      </w:r>
      <w:r w:rsidR="00661CB6">
        <w:rPr>
          <w:szCs w:val="20"/>
        </w:rPr>
        <w:fldChar w:fldCharType="separate"/>
      </w:r>
      <w:r>
        <w:rPr>
          <w:szCs w:val="20"/>
        </w:rPr>
        <w:fldChar w:fldCharType="end"/>
      </w:r>
      <w:r w:rsidR="00FE16C1">
        <w:rPr>
          <w:szCs w:val="20"/>
        </w:rPr>
        <w:t xml:space="preserve"> No  </w:t>
      </w:r>
    </w:p>
    <w:p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rsidR="007E39E4" w:rsidRPr="007E39E4" w:rsidRDefault="007E39E4" w:rsidP="00A6491A">
      <w:pPr>
        <w:ind w:left="284"/>
        <w:rPr>
          <w:b/>
          <w:szCs w:val="20"/>
        </w:rPr>
      </w:pPr>
      <w:r>
        <w:fldChar w:fldCharType="begin">
          <w:ffData>
            <w:name w:val=""/>
            <w:enabled/>
            <w:calcOnExit w:val="0"/>
            <w:textInput>
              <w:default w:val="Insert PBS item code(s) here"/>
            </w:textInput>
          </w:ffData>
        </w:fldChar>
      </w:r>
      <w:r>
        <w:instrText xml:space="preserve"> FORMTEXT </w:instrText>
      </w:r>
      <w:r>
        <w:fldChar w:fldCharType="separate"/>
      </w:r>
      <w:r>
        <w:rPr>
          <w:noProof/>
        </w:rPr>
        <w:t>Insert PBS item code(s) here</w:t>
      </w:r>
      <w:r>
        <w:fldChar w:fldCharType="end"/>
      </w:r>
    </w:p>
    <w:p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61CB6">
        <w:rPr>
          <w:szCs w:val="20"/>
        </w:rPr>
      </w:r>
      <w:r w:rsidR="00661CB6">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rsidR="001E6919" w:rsidRDefault="00415067" w:rsidP="001E6919">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61CB6">
        <w:rPr>
          <w:szCs w:val="20"/>
        </w:rPr>
      </w:r>
      <w:r w:rsidR="00661CB6">
        <w:rPr>
          <w:szCs w:val="20"/>
        </w:rPr>
        <w:fldChar w:fldCharType="separate"/>
      </w:r>
      <w:r>
        <w:rPr>
          <w:szCs w:val="20"/>
        </w:rPr>
        <w:fldChar w:fldCharType="end"/>
      </w:r>
      <w:r w:rsidR="001E6919">
        <w:rPr>
          <w:szCs w:val="20"/>
        </w:rPr>
        <w:t xml:space="preserve"> No</w:t>
      </w:r>
    </w:p>
    <w:p w:rsidR="001E6919" w:rsidRPr="007E39E4" w:rsidRDefault="001E6919" w:rsidP="00A6491A">
      <w:pPr>
        <w:spacing w:before="0" w:after="0"/>
        <w:ind w:left="284"/>
        <w:rPr>
          <w:szCs w:val="20"/>
        </w:rPr>
      </w:pPr>
      <w:r>
        <w:fldChar w:fldCharType="begin">
          <w:ffData>
            <w:name w:val=""/>
            <w:enabled/>
            <w:calcOnExit w:val="0"/>
            <w:textInput>
              <w:default w:val="Insert PBAC submission item number here"/>
            </w:textInput>
          </w:ffData>
        </w:fldChar>
      </w:r>
      <w:r>
        <w:instrText xml:space="preserve"> FORMTEXT </w:instrText>
      </w:r>
      <w:r>
        <w:fldChar w:fldCharType="separate"/>
      </w:r>
      <w:r>
        <w:rPr>
          <w:noProof/>
        </w:rPr>
        <w:t>Insert PBAC submission item number here</w:t>
      </w:r>
      <w:r>
        <w:fldChar w:fldCharType="end"/>
      </w:r>
    </w:p>
    <w:p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rsidR="001E6958" w:rsidRDefault="001E6958" w:rsidP="00A6491A">
      <w:pPr>
        <w:spacing w:before="0" w:after="0"/>
        <w:ind w:left="284"/>
      </w:pPr>
      <w:r>
        <w:t xml:space="preserve">Trade name: </w:t>
      </w:r>
      <w:r w:rsidR="00C358B2">
        <w:t>TALZENNA</w:t>
      </w:r>
    </w:p>
    <w:p w:rsidR="001E6958" w:rsidRPr="001E6958" w:rsidRDefault="001E6958" w:rsidP="00A6491A">
      <w:pPr>
        <w:spacing w:before="0" w:after="0"/>
        <w:ind w:left="284"/>
      </w:pPr>
      <w:r>
        <w:lastRenderedPageBreak/>
        <w:t xml:space="preserve">Generic name: </w:t>
      </w:r>
      <w:r w:rsidR="00415067">
        <w:t>Talazoparib</w:t>
      </w:r>
    </w:p>
    <w:p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r w:rsidR="00264AF9">
        <w:t xml:space="preserve"> </w:t>
      </w:r>
      <w:r w:rsidR="00264AF9" w:rsidRPr="00264AF9">
        <w:rPr>
          <w:b w:val="0"/>
        </w:rPr>
        <w:t>N</w:t>
      </w:r>
      <w:r w:rsidR="002A2BEA">
        <w:rPr>
          <w:b w:val="0"/>
        </w:rPr>
        <w:t>ot applicable</w:t>
      </w:r>
    </w:p>
    <w:p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61CB6">
        <w:rPr>
          <w:szCs w:val="20"/>
        </w:rPr>
      </w:r>
      <w:r w:rsidR="00661CB6">
        <w:rPr>
          <w:szCs w:val="20"/>
        </w:rPr>
        <w:fldChar w:fldCharType="separate"/>
      </w:r>
      <w:r w:rsidRPr="000A5B32">
        <w:rPr>
          <w:szCs w:val="20"/>
        </w:rPr>
        <w:fldChar w:fldCharType="end"/>
      </w:r>
      <w:r w:rsidRPr="000A5B32">
        <w:rPr>
          <w:szCs w:val="20"/>
        </w:rPr>
        <w:t xml:space="preserve"> Yes</w:t>
      </w:r>
    </w:p>
    <w:p w:rsidR="001E6958" w:rsidRDefault="00264AF9" w:rsidP="00A6491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661CB6">
        <w:rPr>
          <w:szCs w:val="20"/>
        </w:rPr>
      </w:r>
      <w:r w:rsidR="00661CB6">
        <w:rPr>
          <w:szCs w:val="20"/>
        </w:rPr>
        <w:fldChar w:fldCharType="separate"/>
      </w:r>
      <w:r>
        <w:rPr>
          <w:szCs w:val="20"/>
        </w:rPr>
        <w:fldChar w:fldCharType="end"/>
      </w:r>
      <w:r w:rsidR="001E6958">
        <w:rPr>
          <w:szCs w:val="20"/>
        </w:rPr>
        <w:t xml:space="preserve"> No  </w:t>
      </w:r>
    </w:p>
    <w:p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r w:rsidR="00264AF9" w:rsidRPr="00264AF9">
        <w:rPr>
          <w:b w:val="0"/>
        </w:rPr>
        <w:t>N/A</w:t>
      </w:r>
    </w:p>
    <w:p w:rsidR="001E6958" w:rsidRDefault="001E6958" w:rsidP="00A6491A">
      <w:pPr>
        <w:spacing w:before="0" w:after="0"/>
        <w:ind w:left="284"/>
      </w:pPr>
      <w:r>
        <w:t xml:space="preserve">Billing code(s): </w:t>
      </w:r>
      <w:r w:rsidR="009939DC">
        <w:fldChar w:fldCharType="begin">
          <w:ffData>
            <w:name w:val=""/>
            <w:enabled/>
            <w:calcOnExit w:val="0"/>
            <w:textInput>
              <w:default w:val="Insert billing code(s) here"/>
            </w:textInput>
          </w:ffData>
        </w:fldChar>
      </w:r>
      <w:r w:rsidR="009939DC">
        <w:instrText xml:space="preserve"> FORMTEXT </w:instrText>
      </w:r>
      <w:r w:rsidR="009939DC">
        <w:fldChar w:fldCharType="separate"/>
      </w:r>
      <w:r w:rsidR="009939DC">
        <w:rPr>
          <w:noProof/>
        </w:rPr>
        <w:t>Insert billing code(s) here</w:t>
      </w:r>
      <w:r w:rsidR="009939DC">
        <w:fldChar w:fldCharType="end"/>
      </w:r>
    </w:p>
    <w:p w:rsidR="001E6958" w:rsidRDefault="001E6958" w:rsidP="00A6491A">
      <w:pPr>
        <w:spacing w:before="0" w:after="0"/>
        <w:ind w:left="284"/>
      </w:pPr>
      <w:r>
        <w:t xml:space="preserve">Trade name of prostheses: </w:t>
      </w:r>
      <w:r w:rsidR="009939DC">
        <w:fldChar w:fldCharType="begin">
          <w:ffData>
            <w:name w:val=""/>
            <w:enabled/>
            <w:calcOnExit w:val="0"/>
            <w:textInput>
              <w:default w:val="Insert trade name here"/>
            </w:textInput>
          </w:ffData>
        </w:fldChar>
      </w:r>
      <w:r w:rsidR="009939DC">
        <w:instrText xml:space="preserve"> FORMTEXT </w:instrText>
      </w:r>
      <w:r w:rsidR="009939DC">
        <w:fldChar w:fldCharType="separate"/>
      </w:r>
      <w:r w:rsidR="009939DC">
        <w:rPr>
          <w:noProof/>
        </w:rPr>
        <w:t>Insert trade name here</w:t>
      </w:r>
      <w:r w:rsidR="009939DC">
        <w:fldChar w:fldCharType="end"/>
      </w:r>
    </w:p>
    <w:p w:rsidR="001E6958" w:rsidRDefault="001E6958" w:rsidP="00A6491A">
      <w:pPr>
        <w:spacing w:before="0" w:after="0"/>
        <w:ind w:left="284"/>
      </w:pPr>
      <w:r>
        <w:t xml:space="preserve">Clinical name of prostheses: </w:t>
      </w:r>
      <w:r w:rsidR="009939DC">
        <w:fldChar w:fldCharType="begin">
          <w:ffData>
            <w:name w:val=""/>
            <w:enabled/>
            <w:calcOnExit w:val="0"/>
            <w:textInput>
              <w:default w:val="Insert clinical name here"/>
            </w:textInput>
          </w:ffData>
        </w:fldChar>
      </w:r>
      <w:r w:rsidR="009939DC">
        <w:instrText xml:space="preserve"> FORMTEXT </w:instrText>
      </w:r>
      <w:r w:rsidR="009939DC">
        <w:fldChar w:fldCharType="separate"/>
      </w:r>
      <w:r w:rsidR="009939DC">
        <w:rPr>
          <w:noProof/>
        </w:rPr>
        <w:t>Insert clinical name here</w:t>
      </w:r>
      <w:r w:rsidR="009939DC">
        <w:fldChar w:fldCharType="end"/>
      </w:r>
    </w:p>
    <w:p w:rsidR="001E6958" w:rsidRPr="001E6958" w:rsidRDefault="001E6958" w:rsidP="00A6491A">
      <w:pPr>
        <w:spacing w:before="0" w:after="0"/>
        <w:ind w:left="284"/>
      </w:pPr>
      <w:r>
        <w:t xml:space="preserve">Other device components delivered as part of the service: </w:t>
      </w:r>
      <w:r w:rsidR="009939DC">
        <w:fldChar w:fldCharType="begin">
          <w:ffData>
            <w:name w:val=""/>
            <w:enabled/>
            <w:calcOnExit w:val="0"/>
            <w:textInput>
              <w:default w:val="Insert description of device components here"/>
            </w:textInput>
          </w:ffData>
        </w:fldChar>
      </w:r>
      <w:r w:rsidR="009939DC">
        <w:instrText xml:space="preserve"> FORMTEXT </w:instrText>
      </w:r>
      <w:r w:rsidR="009939DC">
        <w:fldChar w:fldCharType="separate"/>
      </w:r>
      <w:r w:rsidR="009939DC">
        <w:rPr>
          <w:noProof/>
        </w:rPr>
        <w:t>Insert description of device components here</w:t>
      </w:r>
      <w:r w:rsidR="009939DC">
        <w:fldChar w:fldCharType="end"/>
      </w:r>
    </w:p>
    <w:p w:rsidR="00411735" w:rsidRPr="00C47805" w:rsidRDefault="00411735" w:rsidP="00530204">
      <w:pPr>
        <w:pStyle w:val="Heading2"/>
        <w:numPr>
          <w:ilvl w:val="0"/>
          <w:numId w:val="26"/>
        </w:numPr>
        <w:rPr>
          <w:b w:val="0"/>
        </w:rPr>
      </w:pPr>
      <w:r w:rsidRPr="00661CB6">
        <w:t>If no,</w:t>
      </w:r>
      <w:r w:rsidRPr="001E6958">
        <w:t xml:space="preserve">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r w:rsidR="00264AF9">
        <w:t xml:space="preserve"> </w:t>
      </w:r>
      <w:r w:rsidR="00C47805" w:rsidRPr="00C47805">
        <w:rPr>
          <w:b w:val="0"/>
        </w:rPr>
        <w:t>Not applicable</w:t>
      </w:r>
    </w:p>
    <w:p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61CB6">
        <w:rPr>
          <w:szCs w:val="20"/>
        </w:rPr>
      </w:r>
      <w:r w:rsidR="00661CB6">
        <w:rPr>
          <w:szCs w:val="20"/>
        </w:rPr>
        <w:fldChar w:fldCharType="separate"/>
      </w:r>
      <w:r w:rsidRPr="000A5B32">
        <w:rPr>
          <w:szCs w:val="20"/>
        </w:rPr>
        <w:fldChar w:fldCharType="end"/>
      </w:r>
      <w:r w:rsidRPr="000A5B32">
        <w:rPr>
          <w:szCs w:val="20"/>
        </w:rPr>
        <w:t xml:space="preserve"> Yes</w:t>
      </w:r>
    </w:p>
    <w:p w:rsidR="001E6958" w:rsidRPr="009939DC" w:rsidRDefault="00C47805" w:rsidP="00A6491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661CB6">
        <w:rPr>
          <w:szCs w:val="20"/>
        </w:rPr>
      </w:r>
      <w:r w:rsidR="00661CB6">
        <w:rPr>
          <w:szCs w:val="20"/>
        </w:rPr>
        <w:fldChar w:fldCharType="separate"/>
      </w:r>
      <w:r>
        <w:rPr>
          <w:szCs w:val="20"/>
        </w:rPr>
        <w:fldChar w:fldCharType="end"/>
      </w:r>
      <w:r w:rsidR="009939DC">
        <w:rPr>
          <w:szCs w:val="20"/>
        </w:rPr>
        <w:t xml:space="preserve"> No  </w:t>
      </w:r>
    </w:p>
    <w:p w:rsidR="00016B6E" w:rsidRPr="009939DC" w:rsidRDefault="00016B6E" w:rsidP="00C47805">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r w:rsidR="00264AF9">
        <w:t xml:space="preserve"> </w:t>
      </w:r>
      <w:r w:rsidR="00C47805" w:rsidRPr="00C47805">
        <w:rPr>
          <w:b w:val="0"/>
        </w:rPr>
        <w:t>Not applicable</w:t>
      </w:r>
    </w:p>
    <w:p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61CB6">
        <w:rPr>
          <w:szCs w:val="20"/>
        </w:rPr>
      </w:r>
      <w:r w:rsidR="00661CB6">
        <w:rPr>
          <w:szCs w:val="20"/>
        </w:rPr>
        <w:fldChar w:fldCharType="separate"/>
      </w:r>
      <w:r w:rsidRPr="000A5B32">
        <w:rPr>
          <w:szCs w:val="20"/>
        </w:rPr>
        <w:fldChar w:fldCharType="end"/>
      </w:r>
      <w:r w:rsidRPr="000A5B32">
        <w:rPr>
          <w:szCs w:val="20"/>
        </w:rPr>
        <w:t xml:space="preserve"> Yes</w:t>
      </w:r>
    </w:p>
    <w:p w:rsidR="009939DC" w:rsidRPr="001E6958"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661CB6">
        <w:rPr>
          <w:szCs w:val="20"/>
        </w:rPr>
      </w:r>
      <w:r w:rsidR="00661CB6">
        <w:rPr>
          <w:szCs w:val="20"/>
        </w:rPr>
        <w:fldChar w:fldCharType="separate"/>
      </w:r>
      <w:r w:rsidRPr="000A5B32">
        <w:rPr>
          <w:szCs w:val="20"/>
        </w:rPr>
        <w:fldChar w:fldCharType="end"/>
      </w:r>
      <w:r>
        <w:rPr>
          <w:szCs w:val="20"/>
        </w:rPr>
        <w:t xml:space="preserve"> No  </w:t>
      </w:r>
    </w:p>
    <w:p w:rsidR="009939DC" w:rsidRDefault="00016B6E" w:rsidP="00530204">
      <w:pPr>
        <w:pStyle w:val="Heading2"/>
        <w:numPr>
          <w:ilvl w:val="0"/>
          <w:numId w:val="26"/>
        </w:numPr>
      </w:pPr>
      <w:r w:rsidRPr="009939DC">
        <w:t>If yes, please provide the name(s) of the spon</w:t>
      </w:r>
      <w:r w:rsidR="009939DC">
        <w:t>sor(s) and / or manufacturer(s):</w:t>
      </w:r>
    </w:p>
    <w:p w:rsidR="00016B6E" w:rsidRPr="009939DC" w:rsidRDefault="009939DC" w:rsidP="00A6491A">
      <w:pPr>
        <w:ind w:left="284"/>
      </w:pPr>
      <w:r w:rsidRPr="009939DC">
        <w:fldChar w:fldCharType="begin">
          <w:ffData>
            <w:name w:val=""/>
            <w:enabled/>
            <w:calcOnExit w:val="0"/>
            <w:textInput>
              <w:default w:val="Insert sponsor and/or manufacturer name(s) here"/>
            </w:textInput>
          </w:ffData>
        </w:fldChar>
      </w:r>
      <w:r w:rsidRPr="009939DC">
        <w:instrText xml:space="preserve"> FORMTEXT </w:instrText>
      </w:r>
      <w:r w:rsidRPr="009939DC">
        <w:fldChar w:fldCharType="separate"/>
      </w:r>
      <w:r w:rsidRPr="009939DC">
        <w:rPr>
          <w:noProof/>
        </w:rPr>
        <w:t>Insert sponsor and/or manufacturer name(s) here</w:t>
      </w:r>
      <w:r w:rsidRPr="009939DC">
        <w:fldChar w:fldCharType="end"/>
      </w:r>
    </w:p>
    <w:p w:rsidR="0084657B" w:rsidRPr="00D543F0" w:rsidRDefault="00A9062D" w:rsidP="00530204">
      <w:pPr>
        <w:pStyle w:val="Heading2"/>
      </w:pPr>
      <w:r w:rsidRPr="00D543F0">
        <w:t>P</w:t>
      </w:r>
      <w:r w:rsidR="0084657B" w:rsidRPr="00D543F0">
        <w:t xml:space="preserve">lease identify </w:t>
      </w:r>
      <w:r w:rsidR="00E8649B" w:rsidRPr="00D543F0">
        <w:t xml:space="preserve">any single </w:t>
      </w:r>
      <w:r w:rsidR="00016B6E" w:rsidRPr="00D543F0">
        <w:t>and / or multi-</w:t>
      </w:r>
      <w:r w:rsidR="00E8649B" w:rsidRPr="00D543F0">
        <w:t>use consumables</w:t>
      </w:r>
      <w:r w:rsidR="0084657B" w:rsidRPr="00D543F0">
        <w:t xml:space="preserve"> </w:t>
      </w:r>
      <w:r w:rsidR="00E8649B" w:rsidRPr="00D543F0">
        <w:t>delivered as part of the service?</w:t>
      </w:r>
    </w:p>
    <w:p w:rsidR="009939DC" w:rsidRDefault="009939DC" w:rsidP="00A6491A">
      <w:pPr>
        <w:spacing w:before="0" w:after="0"/>
        <w:ind w:left="284"/>
      </w:pPr>
      <w:r>
        <w:t xml:space="preserve">Single use consumables: </w:t>
      </w:r>
      <w:r w:rsidR="00D543F0">
        <w:t>B</w:t>
      </w:r>
      <w:r w:rsidR="00D543F0" w:rsidRPr="00D543F0">
        <w:t xml:space="preserve">lood sample collected in a single use </w:t>
      </w:r>
      <w:r w:rsidR="00D543F0">
        <w:t xml:space="preserve">disposable </w:t>
      </w:r>
      <w:r w:rsidR="00D543F0" w:rsidRPr="00D543F0">
        <w:t xml:space="preserve">syringe </w:t>
      </w:r>
    </w:p>
    <w:p w:rsidR="00F301F1" w:rsidRPr="00855944" w:rsidRDefault="009939DC" w:rsidP="00A6491A">
      <w:pPr>
        <w:spacing w:before="0" w:after="0"/>
        <w:ind w:left="284"/>
      </w:pPr>
      <w:r>
        <w:lastRenderedPageBreak/>
        <w:t>Multi-use consumables:</w:t>
      </w:r>
      <w:r w:rsidRPr="009939DC">
        <w:t xml:space="preserve"> </w:t>
      </w:r>
      <w:r w:rsidR="00D543F0">
        <w:t>Not applicable</w:t>
      </w:r>
      <w:r w:rsidR="00F301F1" w:rsidRPr="00855944">
        <w:br w:type="page"/>
      </w:r>
    </w:p>
    <w:p w:rsidR="00226777" w:rsidRPr="00C776B1" w:rsidRDefault="00530204" w:rsidP="00B5731D">
      <w:pPr>
        <w:pStyle w:val="Heading1"/>
      </w:pPr>
      <w:r>
        <w:lastRenderedPageBreak/>
        <w:t>PART 3</w:t>
      </w:r>
      <w:r w:rsidR="00F93784">
        <w:t xml:space="preserve"> – </w:t>
      </w:r>
      <w:r w:rsidR="00226777" w:rsidRPr="00C776B1">
        <w:t>INFORMATION ABOUT REGULATORY REQUIREMENTS</w:t>
      </w:r>
    </w:p>
    <w:p w:rsidR="001A1ADF" w:rsidRPr="0041530C" w:rsidRDefault="0011369B" w:rsidP="0011369B">
      <w:pPr>
        <w:pStyle w:val="Heading2"/>
      </w:pPr>
      <w:r w:rsidRPr="0041530C">
        <w:t xml:space="preserve">(a) </w:t>
      </w:r>
      <w:r w:rsidR="0054594B" w:rsidRPr="0041530C">
        <w:t>If</w:t>
      </w:r>
      <w:r w:rsidR="00226777" w:rsidRPr="0041530C">
        <w:t xml:space="preserve"> the </w:t>
      </w:r>
      <w:r w:rsidR="001A1ADF" w:rsidRPr="0041530C">
        <w:t>p</w:t>
      </w:r>
      <w:r w:rsidR="00226777" w:rsidRPr="0041530C">
        <w:t>roposed medical service involve</w:t>
      </w:r>
      <w:r w:rsidR="009C03FB" w:rsidRPr="0041530C">
        <w:t>s</w:t>
      </w:r>
      <w:r w:rsidR="001A1ADF" w:rsidRPr="0041530C">
        <w:t xml:space="preserve"> the use of a medical device, in-vitro diagnostic test, </w:t>
      </w:r>
      <w:r w:rsidR="00226777" w:rsidRPr="0041530C">
        <w:t xml:space="preserve">pharmaceutical product, </w:t>
      </w:r>
      <w:r w:rsidR="001A1ADF" w:rsidRPr="0041530C">
        <w:t>radioactive tracer or any other type of therape</w:t>
      </w:r>
      <w:r w:rsidR="008127C0" w:rsidRPr="0041530C">
        <w:t xml:space="preserve">utic good, please </w:t>
      </w:r>
      <w:r w:rsidR="001A1ADF" w:rsidRPr="0041530C">
        <w:t xml:space="preserve">provide </w:t>
      </w:r>
      <w:r w:rsidR="008127C0" w:rsidRPr="0041530C">
        <w:t>the following details</w:t>
      </w:r>
      <w:r w:rsidR="001A1ADF" w:rsidRPr="0041530C">
        <w:t>:</w:t>
      </w:r>
    </w:p>
    <w:p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980BB9">
        <w:rPr>
          <w:szCs w:val="20"/>
        </w:rPr>
        <w:t>Pharmaceutical</w:t>
      </w:r>
    </w:p>
    <w:p w:rsidR="00A26343" w:rsidRPr="00A26343" w:rsidRDefault="00A26343" w:rsidP="00A6491A">
      <w:pPr>
        <w:spacing w:before="0" w:after="0"/>
        <w:ind w:left="284"/>
        <w:rPr>
          <w:szCs w:val="20"/>
        </w:rPr>
      </w:pPr>
      <w:r w:rsidRPr="00A26343">
        <w:rPr>
          <w:szCs w:val="20"/>
        </w:rPr>
        <w:t>Manufacturer’s name</w:t>
      </w:r>
      <w:r>
        <w:rPr>
          <w:szCs w:val="20"/>
        </w:rPr>
        <w:t xml:space="preserve">: </w:t>
      </w:r>
      <w:r w:rsidR="00980BB9" w:rsidRPr="00980BB9">
        <w:rPr>
          <w:szCs w:val="20"/>
        </w:rPr>
        <w:t>Pfizer Australia Pty Ltd</w:t>
      </w:r>
    </w:p>
    <w:p w:rsidR="00A26343" w:rsidRPr="00980BB9" w:rsidRDefault="00A26343" w:rsidP="00A6491A">
      <w:pPr>
        <w:spacing w:before="0" w:after="0"/>
        <w:ind w:left="284"/>
        <w:rPr>
          <w:b/>
          <w:szCs w:val="20"/>
        </w:rPr>
      </w:pPr>
      <w:r w:rsidRPr="00A26343">
        <w:rPr>
          <w:szCs w:val="20"/>
        </w:rPr>
        <w:t>Sponsor’s name</w:t>
      </w:r>
      <w:r>
        <w:rPr>
          <w:szCs w:val="20"/>
        </w:rPr>
        <w:t xml:space="preserve">: </w:t>
      </w:r>
      <w:r w:rsidR="00980BB9" w:rsidRPr="00980BB9">
        <w:rPr>
          <w:szCs w:val="20"/>
        </w:rPr>
        <w:t>Pfizer Australia Pty Ltd</w:t>
      </w:r>
    </w:p>
    <w:p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rsidR="00615F42" w:rsidRPr="00615F42" w:rsidRDefault="00980BB9" w:rsidP="00A6491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661CB6">
        <w:rPr>
          <w:szCs w:val="20"/>
        </w:rPr>
      </w:r>
      <w:r w:rsidR="00661CB6">
        <w:rPr>
          <w:szCs w:val="20"/>
        </w:rPr>
        <w:fldChar w:fldCharType="separate"/>
      </w:r>
      <w:r>
        <w:rPr>
          <w:szCs w:val="20"/>
        </w:rPr>
        <w:fldChar w:fldCharType="end"/>
      </w:r>
      <w:r w:rsidR="00615F42" w:rsidRPr="000A5B32">
        <w:rPr>
          <w:szCs w:val="20"/>
        </w:rPr>
        <w:t xml:space="preserve"> </w:t>
      </w:r>
      <w:r w:rsidR="00615F42" w:rsidRPr="00615F42">
        <w:rPr>
          <w:szCs w:val="20"/>
        </w:rPr>
        <w:t>Class III</w:t>
      </w:r>
    </w:p>
    <w:p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61CB6">
        <w:rPr>
          <w:szCs w:val="20"/>
        </w:rPr>
      </w:r>
      <w:r w:rsidR="00661CB6">
        <w:rPr>
          <w:szCs w:val="20"/>
        </w:rPr>
        <w:fldChar w:fldCharType="separate"/>
      </w:r>
      <w:r w:rsidRPr="000A5B32">
        <w:rPr>
          <w:szCs w:val="20"/>
        </w:rPr>
        <w:fldChar w:fldCharType="end"/>
      </w:r>
      <w:r w:rsidRPr="000A5B32">
        <w:rPr>
          <w:szCs w:val="20"/>
        </w:rPr>
        <w:t xml:space="preserve"> </w:t>
      </w:r>
      <w:r w:rsidRPr="00615F42">
        <w:rPr>
          <w:szCs w:val="20"/>
        </w:rPr>
        <w:t>AIMD</w:t>
      </w:r>
    </w:p>
    <w:p w:rsidR="005E2CE3" w:rsidRPr="00154B00" w:rsidRDefault="00980BB9"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61CB6">
        <w:rPr>
          <w:szCs w:val="20"/>
        </w:rPr>
      </w:r>
      <w:r w:rsidR="00661CB6">
        <w:rPr>
          <w:szCs w:val="20"/>
        </w:rPr>
        <w:fldChar w:fldCharType="separate"/>
      </w:r>
      <w:r>
        <w:rPr>
          <w:szCs w:val="20"/>
        </w:rPr>
        <w:fldChar w:fldCharType="end"/>
      </w:r>
      <w:r w:rsidR="00615F42" w:rsidRPr="000A5B32">
        <w:rPr>
          <w:szCs w:val="20"/>
        </w:rPr>
        <w:t xml:space="preserve"> </w:t>
      </w:r>
      <w:r w:rsidR="00615F42" w:rsidRPr="00615F42">
        <w:rPr>
          <w:szCs w:val="20"/>
        </w:rPr>
        <w:t>N/A</w:t>
      </w:r>
    </w:p>
    <w:p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r w:rsidR="00F22991">
        <w:t xml:space="preserve"> </w:t>
      </w:r>
    </w:p>
    <w:p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61CB6">
        <w:rPr>
          <w:szCs w:val="20"/>
        </w:rPr>
      </w:r>
      <w:r w:rsidR="00661CB6">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rsidR="003421AE" w:rsidRPr="00615F42" w:rsidRDefault="002357D4"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61CB6">
        <w:rPr>
          <w:szCs w:val="20"/>
        </w:rPr>
      </w:r>
      <w:r w:rsidR="00661CB6">
        <w:rPr>
          <w:szCs w:val="20"/>
        </w:rPr>
        <w:fldChar w:fldCharType="separate"/>
      </w:r>
      <w:r>
        <w:rPr>
          <w:szCs w:val="20"/>
        </w:rPr>
        <w:fldChar w:fldCharType="end"/>
      </w:r>
      <w:r w:rsidR="00615F42">
        <w:rPr>
          <w:szCs w:val="20"/>
        </w:rPr>
        <w:t xml:space="preserve"> No</w:t>
      </w:r>
    </w:p>
    <w:p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61CB6">
        <w:rPr>
          <w:szCs w:val="20"/>
        </w:rPr>
      </w:r>
      <w:r w:rsidR="00661CB6">
        <w:rPr>
          <w:szCs w:val="20"/>
        </w:rPr>
        <w:fldChar w:fldCharType="separate"/>
      </w:r>
      <w:r w:rsidRPr="000A5B32">
        <w:rPr>
          <w:szCs w:val="20"/>
        </w:rPr>
        <w:fldChar w:fldCharType="end"/>
      </w:r>
      <w:r>
        <w:rPr>
          <w:szCs w:val="20"/>
        </w:rPr>
        <w:t xml:space="preserve"> Yes (if yes, please provide details below)</w:t>
      </w:r>
    </w:p>
    <w:p w:rsidR="0043654D" w:rsidRDefault="002357D4"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61CB6">
        <w:rPr>
          <w:szCs w:val="20"/>
        </w:rPr>
      </w:r>
      <w:r w:rsidR="00661CB6">
        <w:rPr>
          <w:szCs w:val="20"/>
        </w:rPr>
        <w:fldChar w:fldCharType="separate"/>
      </w:r>
      <w:r>
        <w:rPr>
          <w:szCs w:val="20"/>
        </w:rPr>
        <w:fldChar w:fldCharType="end"/>
      </w:r>
      <w:r w:rsidR="0043654D">
        <w:rPr>
          <w:szCs w:val="20"/>
        </w:rPr>
        <w:t xml:space="preserve"> No</w:t>
      </w:r>
    </w:p>
    <w:p w:rsidR="0043654D" w:rsidRPr="00615F42" w:rsidRDefault="0043654D" w:rsidP="0043654D">
      <w:pPr>
        <w:spacing w:before="0" w:after="0"/>
        <w:ind w:left="284"/>
        <w:rPr>
          <w:b/>
          <w:szCs w:val="20"/>
        </w:rPr>
      </w:pPr>
    </w:p>
    <w:p w:rsidR="0043654D" w:rsidRPr="0043654D" w:rsidRDefault="0043654D" w:rsidP="0043654D">
      <w:pPr>
        <w:spacing w:before="0" w:after="0"/>
        <w:ind w:left="284"/>
        <w:rPr>
          <w:szCs w:val="20"/>
        </w:rPr>
      </w:pPr>
      <w:r w:rsidRPr="0043654D">
        <w:rPr>
          <w:szCs w:val="20"/>
        </w:rPr>
        <w:t>ARTG listing, registration or inclusion number:</w:t>
      </w:r>
      <w:r>
        <w:rPr>
          <w:szCs w:val="20"/>
        </w:rPr>
        <w:t xml:space="preserve">  </w:t>
      </w:r>
      <w:r>
        <w:fldChar w:fldCharType="begin">
          <w:ffData>
            <w:name w:val=""/>
            <w:enabled/>
            <w:calcOnExit w:val="0"/>
            <w:textInput>
              <w:default w:val="Insert ARTG number here"/>
            </w:textInput>
          </w:ffData>
        </w:fldChar>
      </w:r>
      <w:r>
        <w:instrText xml:space="preserve"> FORMTEXT </w:instrText>
      </w:r>
      <w:r>
        <w:fldChar w:fldCharType="separate"/>
      </w:r>
      <w:r>
        <w:rPr>
          <w:noProof/>
        </w:rPr>
        <w:t>Insert ARTG number here</w:t>
      </w:r>
      <w:r>
        <w:fldChar w:fldCharType="end"/>
      </w:r>
    </w:p>
    <w:p w:rsidR="0043654D" w:rsidRPr="0043654D" w:rsidRDefault="0043654D" w:rsidP="0043654D">
      <w:pPr>
        <w:spacing w:before="0" w:after="0"/>
        <w:ind w:left="284"/>
        <w:rPr>
          <w:szCs w:val="20"/>
        </w:rPr>
      </w:pPr>
      <w:r w:rsidRPr="0043654D">
        <w:rPr>
          <w:szCs w:val="20"/>
        </w:rPr>
        <w:lastRenderedPageBreak/>
        <w:t>TGA approved indication(s), if applicable:</w:t>
      </w:r>
      <w:r>
        <w:rPr>
          <w:szCs w:val="20"/>
        </w:rPr>
        <w:t xml:space="preserve">  </w:t>
      </w:r>
      <w:r>
        <w:fldChar w:fldCharType="begin">
          <w:ffData>
            <w:name w:val=""/>
            <w:enabled/>
            <w:calcOnExit w:val="0"/>
            <w:textInput>
              <w:default w:val="Insert approved indication(s) here"/>
            </w:textInput>
          </w:ffData>
        </w:fldChar>
      </w:r>
      <w:r>
        <w:instrText xml:space="preserve"> FORMTEXT </w:instrText>
      </w:r>
      <w:r>
        <w:fldChar w:fldCharType="separate"/>
      </w:r>
      <w:r>
        <w:rPr>
          <w:noProof/>
        </w:rPr>
        <w:t>Insert approved indication(s) here</w:t>
      </w:r>
      <w:r>
        <w:fldChar w:fldCharType="end"/>
      </w:r>
    </w:p>
    <w:p w:rsidR="00F301F1" w:rsidRPr="0043654D" w:rsidRDefault="0043654D" w:rsidP="0043654D">
      <w:pPr>
        <w:spacing w:before="0" w:after="0"/>
        <w:ind w:left="284"/>
        <w:rPr>
          <w:szCs w:val="20"/>
        </w:rPr>
      </w:pPr>
      <w:r w:rsidRPr="0043654D">
        <w:rPr>
          <w:szCs w:val="20"/>
        </w:rPr>
        <w:t>TGA approved purpose(s), if applicable:</w:t>
      </w:r>
      <w:r>
        <w:rPr>
          <w:szCs w:val="20"/>
        </w:rPr>
        <w:t xml:space="preserve">  </w:t>
      </w:r>
      <w:r>
        <w:fldChar w:fldCharType="begin">
          <w:ffData>
            <w:name w:val=""/>
            <w:enabled/>
            <w:calcOnExit w:val="0"/>
            <w:textInput>
              <w:default w:val="Insert approved purpose(s) here"/>
            </w:textInput>
          </w:ffData>
        </w:fldChar>
      </w:r>
      <w:r>
        <w:instrText xml:space="preserve"> FORMTEXT </w:instrText>
      </w:r>
      <w:r>
        <w:fldChar w:fldCharType="separate"/>
      </w:r>
      <w:r>
        <w:rPr>
          <w:noProof/>
        </w:rPr>
        <w:t>Insert approved purpose(s) here</w:t>
      </w:r>
      <w:r>
        <w:fldChar w:fldCharType="end"/>
      </w:r>
    </w:p>
    <w:p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rsidR="0047581D" w:rsidRDefault="002357D4" w:rsidP="0047581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61CB6">
        <w:rPr>
          <w:szCs w:val="20"/>
        </w:rPr>
      </w:r>
      <w:r w:rsidR="00661CB6">
        <w:rPr>
          <w:szCs w:val="20"/>
        </w:rPr>
        <w:fldChar w:fldCharType="separate"/>
      </w:r>
      <w:r>
        <w:rPr>
          <w:szCs w:val="20"/>
        </w:rPr>
        <w:fldChar w:fldCharType="end"/>
      </w:r>
      <w:r w:rsidR="0047581D">
        <w:rPr>
          <w:szCs w:val="20"/>
        </w:rPr>
        <w:t xml:space="preserve"> Yes (please provide details below)</w:t>
      </w:r>
    </w:p>
    <w:p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61CB6">
        <w:rPr>
          <w:szCs w:val="20"/>
        </w:rPr>
      </w:r>
      <w:r w:rsidR="00661CB6">
        <w:rPr>
          <w:szCs w:val="20"/>
        </w:rPr>
        <w:fldChar w:fldCharType="separate"/>
      </w:r>
      <w:r w:rsidRPr="000A5B32">
        <w:rPr>
          <w:szCs w:val="20"/>
        </w:rPr>
        <w:fldChar w:fldCharType="end"/>
      </w:r>
      <w:r>
        <w:rPr>
          <w:szCs w:val="20"/>
        </w:rPr>
        <w:t xml:space="preserve"> No</w:t>
      </w:r>
    </w:p>
    <w:p w:rsidR="0047581D" w:rsidRDefault="0047581D" w:rsidP="0047581D">
      <w:pPr>
        <w:spacing w:before="0" w:after="0"/>
        <w:rPr>
          <w:b/>
          <w:szCs w:val="20"/>
        </w:rPr>
      </w:pPr>
    </w:p>
    <w:p w:rsidR="0047581D" w:rsidRPr="003944A2" w:rsidRDefault="0047581D" w:rsidP="0047581D">
      <w:pPr>
        <w:spacing w:before="0" w:after="0"/>
        <w:rPr>
          <w:szCs w:val="20"/>
        </w:rPr>
      </w:pPr>
      <w:r w:rsidRPr="003944A2">
        <w:rPr>
          <w:szCs w:val="20"/>
        </w:rPr>
        <w:t xml:space="preserve">Date of submission to TGA:  </w:t>
      </w:r>
      <w:r w:rsidR="00661CB6" w:rsidRPr="00661CB6">
        <w:rPr>
          <w:b/>
        </w:rPr>
        <w:t>REDACTED</w:t>
      </w:r>
    </w:p>
    <w:p w:rsidR="0047581D" w:rsidRPr="003944A2" w:rsidRDefault="0047581D" w:rsidP="0047581D">
      <w:pPr>
        <w:spacing w:before="0" w:after="0"/>
        <w:rPr>
          <w:szCs w:val="20"/>
        </w:rPr>
      </w:pPr>
      <w:r w:rsidRPr="003944A2">
        <w:rPr>
          <w:szCs w:val="20"/>
        </w:rPr>
        <w:t xml:space="preserve">Estimated date by which TGA approval can be expected:  </w:t>
      </w:r>
      <w:r w:rsidR="00661CB6" w:rsidRPr="00661CB6">
        <w:rPr>
          <w:b/>
        </w:rPr>
        <w:t>REDACTED</w:t>
      </w:r>
    </w:p>
    <w:p w:rsidR="0047581D" w:rsidRPr="0041530C" w:rsidRDefault="0047581D" w:rsidP="0047581D">
      <w:pPr>
        <w:spacing w:before="0" w:after="0"/>
        <w:rPr>
          <w:szCs w:val="20"/>
        </w:rPr>
      </w:pPr>
      <w:r w:rsidRPr="0041530C">
        <w:rPr>
          <w:szCs w:val="20"/>
        </w:rPr>
        <w:t xml:space="preserve">TGA Application ID:  </w:t>
      </w:r>
      <w:r w:rsidR="00661CB6" w:rsidRPr="00661CB6">
        <w:rPr>
          <w:b/>
        </w:rPr>
        <w:t>REDACTED</w:t>
      </w:r>
    </w:p>
    <w:p w:rsidR="0047581D" w:rsidRPr="0047581D" w:rsidRDefault="0047581D" w:rsidP="0047581D">
      <w:pPr>
        <w:spacing w:before="0" w:after="0"/>
        <w:rPr>
          <w:szCs w:val="20"/>
        </w:rPr>
      </w:pPr>
      <w:r w:rsidRPr="003944A2">
        <w:rPr>
          <w:szCs w:val="20"/>
        </w:rPr>
        <w:t>TGA approved indication(s), if applicable:</w:t>
      </w:r>
      <w:r w:rsidR="00BC3530">
        <w:rPr>
          <w:szCs w:val="20"/>
        </w:rPr>
        <w:t xml:space="preserve"> </w:t>
      </w:r>
      <w:proofErr w:type="spellStart"/>
      <w:r w:rsidR="002357D4" w:rsidRPr="003944A2">
        <w:rPr>
          <w:szCs w:val="20"/>
          <w:lang w:val="en-GB"/>
        </w:rPr>
        <w:t>Talzenna</w:t>
      </w:r>
      <w:proofErr w:type="spellEnd"/>
      <w:r w:rsidR="0041530C">
        <w:rPr>
          <w:szCs w:val="20"/>
          <w:lang w:val="en-GB"/>
        </w:rPr>
        <w:t xml:space="preserve"> (</w:t>
      </w:r>
      <w:proofErr w:type="spellStart"/>
      <w:r w:rsidR="0041530C">
        <w:rPr>
          <w:szCs w:val="20"/>
          <w:lang w:val="en-GB"/>
        </w:rPr>
        <w:t>talazoparib</w:t>
      </w:r>
      <w:proofErr w:type="spellEnd"/>
      <w:r w:rsidR="0041530C">
        <w:rPr>
          <w:szCs w:val="20"/>
          <w:lang w:val="en-GB"/>
        </w:rPr>
        <w:t>)</w:t>
      </w:r>
      <w:r w:rsidR="002357D4" w:rsidRPr="003944A2">
        <w:rPr>
          <w:szCs w:val="20"/>
          <w:lang w:val="en-GB"/>
        </w:rPr>
        <w:t xml:space="preserve"> is indicated for the treatment</w:t>
      </w:r>
      <w:r w:rsidR="002357D4" w:rsidRPr="002357D4">
        <w:rPr>
          <w:szCs w:val="20"/>
          <w:lang w:val="en-GB"/>
        </w:rPr>
        <w:t xml:space="preserve"> of patients with germline </w:t>
      </w:r>
      <w:r w:rsidR="002357D4" w:rsidRPr="002357D4">
        <w:rPr>
          <w:szCs w:val="20"/>
        </w:rPr>
        <w:t xml:space="preserve">breast cancer susceptibility gene </w:t>
      </w:r>
      <w:r w:rsidR="002357D4" w:rsidRPr="002357D4">
        <w:rPr>
          <w:szCs w:val="20"/>
          <w:lang w:val="en-GB"/>
        </w:rPr>
        <w:t>(BRCA) mutated human epidermal growth factor receptor 2 (HER2)</w:t>
      </w:r>
      <w:r w:rsidR="0041530C">
        <w:rPr>
          <w:szCs w:val="20"/>
          <w:lang w:val="en-GB"/>
        </w:rPr>
        <w:t xml:space="preserve"> </w:t>
      </w:r>
      <w:r w:rsidR="002357D4" w:rsidRPr="002357D4">
        <w:rPr>
          <w:szCs w:val="20"/>
          <w:lang w:val="en-GB"/>
        </w:rPr>
        <w:noBreakHyphen/>
        <w:t>negative locally advanced or metastatic breast cancer.</w:t>
      </w:r>
    </w:p>
    <w:p w:rsidR="003433D1" w:rsidRPr="0047581D" w:rsidRDefault="0047581D" w:rsidP="0047581D">
      <w:pPr>
        <w:spacing w:before="0" w:after="0"/>
        <w:rPr>
          <w:szCs w:val="20"/>
        </w:rPr>
      </w:pPr>
      <w:r w:rsidRPr="0047581D">
        <w:rPr>
          <w:szCs w:val="20"/>
        </w:rPr>
        <w:t>TGA approved purpose(s), if applicable</w:t>
      </w:r>
      <w:r>
        <w:rPr>
          <w:szCs w:val="20"/>
        </w:rPr>
        <w:t xml:space="preserve">:  </w:t>
      </w:r>
      <w:r w:rsidR="0041530C">
        <w:rPr>
          <w:szCs w:val="20"/>
        </w:rPr>
        <w:t>N/A</w:t>
      </w:r>
      <w:r w:rsidR="0041530C" w:rsidRPr="0047581D">
        <w:rPr>
          <w:szCs w:val="20"/>
        </w:rPr>
        <w:t xml:space="preserve"> </w:t>
      </w:r>
    </w:p>
    <w:p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61CB6">
        <w:rPr>
          <w:szCs w:val="20"/>
        </w:rPr>
      </w:r>
      <w:r w:rsidR="00661CB6">
        <w:rPr>
          <w:szCs w:val="20"/>
        </w:rPr>
        <w:fldChar w:fldCharType="separate"/>
      </w:r>
      <w:r w:rsidRPr="000A5B32">
        <w:rPr>
          <w:szCs w:val="20"/>
        </w:rPr>
        <w:fldChar w:fldCharType="end"/>
      </w:r>
      <w:r>
        <w:rPr>
          <w:szCs w:val="20"/>
        </w:rPr>
        <w:t xml:space="preserve"> Yes (please provide details below)</w:t>
      </w:r>
    </w:p>
    <w:p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61CB6">
        <w:rPr>
          <w:szCs w:val="20"/>
        </w:rPr>
      </w:r>
      <w:r w:rsidR="00661CB6">
        <w:rPr>
          <w:szCs w:val="20"/>
        </w:rPr>
        <w:fldChar w:fldCharType="separate"/>
      </w:r>
      <w:r w:rsidRPr="000A5B32">
        <w:rPr>
          <w:szCs w:val="20"/>
        </w:rPr>
        <w:fldChar w:fldCharType="end"/>
      </w:r>
      <w:r>
        <w:rPr>
          <w:szCs w:val="20"/>
        </w:rPr>
        <w:t xml:space="preserve"> No</w:t>
      </w:r>
    </w:p>
    <w:p w:rsidR="000A110D" w:rsidRDefault="000A110D" w:rsidP="00971EDB">
      <w:pPr>
        <w:spacing w:before="0" w:after="0"/>
        <w:rPr>
          <w:szCs w:val="20"/>
        </w:rPr>
      </w:pPr>
    </w:p>
    <w:p w:rsidR="00971EDB" w:rsidRPr="00971EDB" w:rsidRDefault="00971EDB" w:rsidP="00971EDB">
      <w:pPr>
        <w:spacing w:before="0" w:after="0"/>
        <w:rPr>
          <w:szCs w:val="20"/>
        </w:rPr>
      </w:pPr>
      <w:r w:rsidRPr="00971EDB">
        <w:rPr>
          <w:szCs w:val="20"/>
        </w:rPr>
        <w:t>Estimated date of submission to TGA</w:t>
      </w:r>
      <w:r>
        <w:rPr>
          <w:szCs w:val="20"/>
        </w:rPr>
        <w:t xml:space="preserve">: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rsidR="00971EDB" w:rsidRPr="00971EDB" w:rsidRDefault="00971EDB" w:rsidP="00971EDB">
      <w:pPr>
        <w:spacing w:before="0" w:after="0"/>
        <w:rPr>
          <w:szCs w:val="20"/>
        </w:rPr>
      </w:pPr>
      <w:r w:rsidRPr="00971EDB">
        <w:rPr>
          <w:szCs w:val="20"/>
        </w:rPr>
        <w:t>Proposed indication(s), if applicable</w:t>
      </w:r>
      <w:r>
        <w:rPr>
          <w:szCs w:val="20"/>
        </w:rPr>
        <w:t xml:space="preserve">:  </w:t>
      </w:r>
      <w:r>
        <w:fldChar w:fldCharType="begin">
          <w:ffData>
            <w:name w:val=""/>
            <w:enabled/>
            <w:calcOnExit w:val="0"/>
            <w:textInput>
              <w:default w:val="If applicable, insert description of proposed indication(s)"/>
            </w:textInput>
          </w:ffData>
        </w:fldChar>
      </w:r>
      <w:r>
        <w:instrText xml:space="preserve"> FORMTEXT </w:instrText>
      </w:r>
      <w:r>
        <w:fldChar w:fldCharType="separate"/>
      </w:r>
      <w:r>
        <w:rPr>
          <w:noProof/>
        </w:rPr>
        <w:t>If applicable, insert description of proposed indication(s)</w:t>
      </w:r>
      <w:r>
        <w:fldChar w:fldCharType="end"/>
      </w:r>
    </w:p>
    <w:p w:rsidR="00971EDB" w:rsidRPr="00971EDB" w:rsidRDefault="00971EDB" w:rsidP="00971EDB">
      <w:pPr>
        <w:spacing w:before="0" w:after="0"/>
        <w:rPr>
          <w:szCs w:val="20"/>
        </w:rPr>
      </w:pPr>
      <w:r w:rsidRPr="00971EDB">
        <w:rPr>
          <w:szCs w:val="20"/>
        </w:rPr>
        <w:t>Proposed purpose(s), if applicable</w:t>
      </w:r>
      <w:r>
        <w:rPr>
          <w:szCs w:val="20"/>
        </w:rPr>
        <w:t xml:space="preserve">:  </w:t>
      </w:r>
      <w:r>
        <w:fldChar w:fldCharType="begin">
          <w:ffData>
            <w:name w:val=""/>
            <w:enabled/>
            <w:calcOnExit w:val="0"/>
            <w:textInput>
              <w:default w:val="If applicable, insert description of proposed purpose(s) here"/>
            </w:textInput>
          </w:ffData>
        </w:fldChar>
      </w:r>
      <w:r>
        <w:instrText xml:space="preserve"> FORMTEXT </w:instrText>
      </w:r>
      <w:r>
        <w:fldChar w:fldCharType="separate"/>
      </w:r>
      <w:r>
        <w:rPr>
          <w:noProof/>
        </w:rPr>
        <w:t>If applicable, insert description of proposed purpose(s) here</w:t>
      </w:r>
      <w:r>
        <w:fldChar w:fldCharType="end"/>
      </w:r>
    </w:p>
    <w:p w:rsidR="00F83A9D" w:rsidRPr="00154B00" w:rsidRDefault="00F83A9D" w:rsidP="00F83A9D">
      <w:pPr>
        <w:rPr>
          <w:szCs w:val="20"/>
        </w:rPr>
      </w:pPr>
    </w:p>
    <w:p w:rsidR="00DD308E" w:rsidRDefault="00DD308E">
      <w:pPr>
        <w:rPr>
          <w:b/>
          <w:sz w:val="32"/>
          <w:szCs w:val="32"/>
        </w:rPr>
        <w:sectPr w:rsidR="00DD308E" w:rsidSect="00991E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p>
    <w:p w:rsidR="00DD308E" w:rsidRPr="00C776B1" w:rsidRDefault="00B17CBE" w:rsidP="00F222BE">
      <w:pPr>
        <w:pStyle w:val="Heading1"/>
      </w:pPr>
      <w:r>
        <w:lastRenderedPageBreak/>
        <w:t>PART 4</w:t>
      </w:r>
      <w:r w:rsidR="00DD308E">
        <w:t xml:space="preserve"> – SUMMARY</w:t>
      </w:r>
      <w:r w:rsidR="00DD308E" w:rsidRPr="00C776B1">
        <w:t xml:space="preserve"> OF EVIDENCE</w:t>
      </w:r>
    </w:p>
    <w:p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00" w:type="pct"/>
        <w:tblLayout w:type="fixed"/>
        <w:tblLook w:val="04A0" w:firstRow="1" w:lastRow="0" w:firstColumn="1" w:lastColumn="0" w:noHBand="0" w:noVBand="1"/>
        <w:tblCaption w:val="Summary of Evidence - Published"/>
      </w:tblPr>
      <w:tblGrid>
        <w:gridCol w:w="525"/>
        <w:gridCol w:w="1117"/>
        <w:gridCol w:w="1814"/>
        <w:gridCol w:w="5441"/>
        <w:gridCol w:w="3361"/>
        <w:gridCol w:w="1690"/>
      </w:tblGrid>
      <w:tr w:rsidR="0014560E" w:rsidTr="00BB5250">
        <w:trPr>
          <w:trHeight w:val="747"/>
          <w:tblHeader/>
        </w:trPr>
        <w:tc>
          <w:tcPr>
            <w:tcW w:w="188" w:type="pct"/>
          </w:tcPr>
          <w:p w:rsidR="00DD308E" w:rsidRPr="005C6247" w:rsidRDefault="00DD308E" w:rsidP="00855944">
            <w:pPr>
              <w:pStyle w:val="TableHEADER"/>
              <w:rPr>
                <w:sz w:val="18"/>
                <w:szCs w:val="18"/>
              </w:rPr>
            </w:pPr>
          </w:p>
        </w:tc>
        <w:tc>
          <w:tcPr>
            <w:tcW w:w="400" w:type="pct"/>
          </w:tcPr>
          <w:p w:rsidR="00DD308E" w:rsidRPr="005C6247" w:rsidRDefault="00DD308E" w:rsidP="00855944">
            <w:pPr>
              <w:pStyle w:val="TableHEADER"/>
              <w:rPr>
                <w:sz w:val="18"/>
                <w:szCs w:val="18"/>
              </w:rPr>
            </w:pPr>
            <w:r w:rsidRPr="005C6247">
              <w:rPr>
                <w:sz w:val="18"/>
                <w:szCs w:val="18"/>
              </w:rPr>
              <w:t>Type of study design*</w:t>
            </w:r>
          </w:p>
        </w:tc>
        <w:tc>
          <w:tcPr>
            <w:tcW w:w="650" w:type="pct"/>
          </w:tcPr>
          <w:p w:rsidR="00DD308E" w:rsidRPr="005C6247" w:rsidRDefault="00DD308E" w:rsidP="005C6247">
            <w:pPr>
              <w:pStyle w:val="TableHEADER"/>
              <w:rPr>
                <w:sz w:val="18"/>
                <w:szCs w:val="18"/>
              </w:rPr>
            </w:pPr>
            <w:r w:rsidRPr="005C6247">
              <w:rPr>
                <w:sz w:val="18"/>
                <w:szCs w:val="18"/>
              </w:rPr>
              <w:t xml:space="preserve">Title of journal article  or research project </w:t>
            </w:r>
          </w:p>
        </w:tc>
        <w:tc>
          <w:tcPr>
            <w:tcW w:w="1950" w:type="pct"/>
          </w:tcPr>
          <w:p w:rsidR="00DD308E" w:rsidRPr="005C6247" w:rsidRDefault="00DD308E" w:rsidP="00855944">
            <w:pPr>
              <w:pStyle w:val="TableHEADER"/>
              <w:rPr>
                <w:sz w:val="18"/>
                <w:szCs w:val="18"/>
              </w:rPr>
            </w:pPr>
            <w:r w:rsidRPr="005C6247">
              <w:rPr>
                <w:sz w:val="18"/>
                <w:szCs w:val="18"/>
              </w:rPr>
              <w:t>Short description of research  (max 50 words)**</w:t>
            </w:r>
          </w:p>
        </w:tc>
        <w:tc>
          <w:tcPr>
            <w:tcW w:w="1205" w:type="pct"/>
          </w:tcPr>
          <w:p w:rsidR="00DD308E" w:rsidRPr="005C6247" w:rsidRDefault="00DD308E" w:rsidP="005C6247">
            <w:pPr>
              <w:pStyle w:val="TableHEADER"/>
              <w:rPr>
                <w:sz w:val="18"/>
                <w:szCs w:val="18"/>
              </w:rPr>
            </w:pPr>
            <w:r w:rsidRPr="005C6247">
              <w:rPr>
                <w:sz w:val="18"/>
                <w:szCs w:val="18"/>
              </w:rPr>
              <w:t>Website link to journal article or research</w:t>
            </w:r>
          </w:p>
        </w:tc>
        <w:tc>
          <w:tcPr>
            <w:tcW w:w="606" w:type="pct"/>
          </w:tcPr>
          <w:p w:rsidR="00DD308E" w:rsidRPr="005C6247" w:rsidRDefault="00DD308E" w:rsidP="00855944">
            <w:pPr>
              <w:pStyle w:val="TableHEADER"/>
              <w:rPr>
                <w:sz w:val="18"/>
                <w:szCs w:val="18"/>
              </w:rPr>
            </w:pPr>
            <w:r w:rsidRPr="005C6247">
              <w:rPr>
                <w:sz w:val="18"/>
                <w:szCs w:val="18"/>
              </w:rPr>
              <w:t>Date of publication***</w:t>
            </w:r>
          </w:p>
        </w:tc>
      </w:tr>
      <w:tr w:rsidR="0014560E" w:rsidTr="00BB5250">
        <w:trPr>
          <w:trHeight w:val="2531"/>
        </w:trPr>
        <w:tc>
          <w:tcPr>
            <w:tcW w:w="188" w:type="pct"/>
          </w:tcPr>
          <w:p w:rsidR="00DD308E" w:rsidRPr="00EC23A7" w:rsidRDefault="005C6247" w:rsidP="00467D59">
            <w:pPr>
              <w:rPr>
                <w:sz w:val="18"/>
                <w:szCs w:val="18"/>
              </w:rPr>
            </w:pPr>
            <w:r>
              <w:rPr>
                <w:sz w:val="18"/>
                <w:szCs w:val="18"/>
              </w:rPr>
              <w:t>1</w:t>
            </w:r>
          </w:p>
        </w:tc>
        <w:tc>
          <w:tcPr>
            <w:tcW w:w="400" w:type="pct"/>
          </w:tcPr>
          <w:p w:rsidR="00DD308E" w:rsidRDefault="00EC23A7" w:rsidP="00DD308E">
            <w:pPr>
              <w:rPr>
                <w:sz w:val="18"/>
                <w:szCs w:val="18"/>
              </w:rPr>
            </w:pPr>
            <w:r w:rsidRPr="00EC23A7">
              <w:rPr>
                <w:sz w:val="18"/>
                <w:szCs w:val="18"/>
              </w:rPr>
              <w:t>Study of diagnostic accuracy</w:t>
            </w:r>
          </w:p>
          <w:p w:rsidR="005C6247" w:rsidRPr="00EC23A7" w:rsidRDefault="005C6247" w:rsidP="00DD308E">
            <w:pPr>
              <w:rPr>
                <w:sz w:val="18"/>
                <w:szCs w:val="18"/>
              </w:rPr>
            </w:pPr>
            <w:r>
              <w:rPr>
                <w:sz w:val="18"/>
                <w:szCs w:val="18"/>
              </w:rPr>
              <w:t>Meta- analysis</w:t>
            </w:r>
          </w:p>
        </w:tc>
        <w:tc>
          <w:tcPr>
            <w:tcW w:w="650" w:type="pct"/>
          </w:tcPr>
          <w:p w:rsidR="00DD308E" w:rsidRPr="00EC23A7" w:rsidRDefault="00EC23A7" w:rsidP="00DD308E">
            <w:pPr>
              <w:rPr>
                <w:sz w:val="18"/>
                <w:szCs w:val="18"/>
              </w:rPr>
            </w:pPr>
            <w:r w:rsidRPr="00EC23A7">
              <w:rPr>
                <w:sz w:val="18"/>
                <w:szCs w:val="18"/>
              </w:rPr>
              <w:t>Next-Generation Sequencing-Based Detection of Germline Copy Number Variations in BRCA1/BRCA2: Validation of a One-Step Diagnostic Workflow.</w:t>
            </w:r>
          </w:p>
        </w:tc>
        <w:tc>
          <w:tcPr>
            <w:tcW w:w="1950" w:type="pct"/>
          </w:tcPr>
          <w:p w:rsidR="00DD308E" w:rsidRPr="00EC23A7" w:rsidRDefault="00EC23A7" w:rsidP="00704E6A">
            <w:pPr>
              <w:rPr>
                <w:sz w:val="18"/>
                <w:szCs w:val="18"/>
              </w:rPr>
            </w:pPr>
            <w:r>
              <w:rPr>
                <w:sz w:val="18"/>
                <w:szCs w:val="18"/>
              </w:rPr>
              <w:t xml:space="preserve">This meta-analysis </w:t>
            </w:r>
            <w:r w:rsidRPr="00EC23A7">
              <w:rPr>
                <w:sz w:val="18"/>
                <w:szCs w:val="18"/>
              </w:rPr>
              <w:t>report</w:t>
            </w:r>
            <w:r>
              <w:rPr>
                <w:sz w:val="18"/>
                <w:szCs w:val="18"/>
              </w:rPr>
              <w:t>s</w:t>
            </w:r>
            <w:r w:rsidRPr="00EC23A7">
              <w:rPr>
                <w:sz w:val="18"/>
                <w:szCs w:val="18"/>
              </w:rPr>
              <w:t xml:space="preserve"> the use of NGS gene panel sequencing on the Illumina </w:t>
            </w:r>
            <w:proofErr w:type="spellStart"/>
            <w:r w:rsidRPr="00EC23A7">
              <w:rPr>
                <w:sz w:val="18"/>
                <w:szCs w:val="18"/>
              </w:rPr>
              <w:t>MiSeq</w:t>
            </w:r>
            <w:proofErr w:type="spellEnd"/>
            <w:r w:rsidRPr="00EC23A7">
              <w:rPr>
                <w:sz w:val="18"/>
                <w:szCs w:val="18"/>
              </w:rPr>
              <w:t xml:space="preserve"> platform and JSI </w:t>
            </w:r>
            <w:proofErr w:type="spellStart"/>
            <w:r w:rsidRPr="00EC23A7">
              <w:rPr>
                <w:sz w:val="18"/>
                <w:szCs w:val="18"/>
              </w:rPr>
              <w:t>SeqPilot</w:t>
            </w:r>
            <w:proofErr w:type="spellEnd"/>
            <w:r w:rsidRPr="00EC23A7">
              <w:rPr>
                <w:sz w:val="18"/>
                <w:szCs w:val="18"/>
              </w:rPr>
              <w:t xml:space="preserve"> </w:t>
            </w:r>
            <w:proofErr w:type="spellStart"/>
            <w:r w:rsidRPr="00EC23A7">
              <w:rPr>
                <w:sz w:val="18"/>
                <w:szCs w:val="18"/>
              </w:rPr>
              <w:t>SeqNext</w:t>
            </w:r>
            <w:proofErr w:type="spellEnd"/>
            <w:r w:rsidRPr="00EC23A7">
              <w:rPr>
                <w:sz w:val="18"/>
                <w:szCs w:val="18"/>
              </w:rPr>
              <w:t xml:space="preserve"> software to call germline CNVs in BRCA1 and BRCA2. For validation 18 different BRCA1/BRCA2 CNVs previously identified by MLPA in 48 Danish breast and/or ovarian cancer families were </w:t>
            </w:r>
            <w:proofErr w:type="spellStart"/>
            <w:r w:rsidRPr="00EC23A7">
              <w:rPr>
                <w:sz w:val="18"/>
                <w:szCs w:val="18"/>
              </w:rPr>
              <w:t>analyzed</w:t>
            </w:r>
            <w:proofErr w:type="spellEnd"/>
            <w:r w:rsidRPr="00EC23A7">
              <w:rPr>
                <w:sz w:val="18"/>
                <w:szCs w:val="18"/>
              </w:rPr>
              <w:t>. 120 patient samples previously determined as negative for BRCA1/BRCA2 CNVs by MLPA were included in the analysis. Comparison of the NGS data with the data from MLPA revealed that the sensitivity was 100%, whereas the specificity was 95%. Taken together, this study validates a one-step bioinformatics work-flow to call germline BRCA1/2 CNVs using data obtained by NGS of a breast cancer gene panel.</w:t>
            </w:r>
          </w:p>
        </w:tc>
        <w:tc>
          <w:tcPr>
            <w:tcW w:w="1205" w:type="pct"/>
          </w:tcPr>
          <w:p w:rsidR="00DD308E" w:rsidRPr="00704E6A" w:rsidRDefault="00661CB6" w:rsidP="00DD308E">
            <w:pPr>
              <w:rPr>
                <w:sz w:val="18"/>
                <w:szCs w:val="18"/>
              </w:rPr>
            </w:pPr>
            <w:hyperlink r:id="rId17" w:history="1">
              <w:r w:rsidR="00704E6A" w:rsidRPr="00704E6A">
                <w:rPr>
                  <w:rStyle w:val="Hyperlink"/>
                  <w:sz w:val="18"/>
                  <w:szCs w:val="18"/>
                </w:rPr>
                <w:t>https://www.sciencedirect.com/science/article/pii/S1525157817300776</w:t>
              </w:r>
            </w:hyperlink>
          </w:p>
        </w:tc>
        <w:tc>
          <w:tcPr>
            <w:tcW w:w="606" w:type="pct"/>
          </w:tcPr>
          <w:p w:rsidR="003E4687" w:rsidRDefault="00EC23A7" w:rsidP="00EC23A7">
            <w:pPr>
              <w:rPr>
                <w:sz w:val="18"/>
                <w:szCs w:val="18"/>
              </w:rPr>
            </w:pPr>
            <w:r w:rsidRPr="00EC23A7">
              <w:rPr>
                <w:sz w:val="18"/>
                <w:szCs w:val="18"/>
              </w:rPr>
              <w:t>Schmidt et al</w:t>
            </w:r>
            <w:r w:rsidR="003E4687">
              <w:rPr>
                <w:sz w:val="18"/>
                <w:szCs w:val="18"/>
              </w:rPr>
              <w:t xml:space="preserve">, </w:t>
            </w:r>
            <w:r w:rsidR="003E4687" w:rsidRPr="003E4687">
              <w:rPr>
                <w:sz w:val="18"/>
                <w:szCs w:val="18"/>
              </w:rPr>
              <w:t>2017 Nov.</w:t>
            </w:r>
          </w:p>
          <w:p w:rsidR="00DD308E" w:rsidRPr="00EC23A7" w:rsidRDefault="00EC23A7" w:rsidP="00EC724A">
            <w:pPr>
              <w:rPr>
                <w:sz w:val="18"/>
                <w:szCs w:val="18"/>
              </w:rPr>
            </w:pPr>
            <w:r w:rsidRPr="00EC23A7">
              <w:rPr>
                <w:sz w:val="18"/>
                <w:szCs w:val="18"/>
              </w:rPr>
              <w:t>Journal of Molecular Diagnostics. 19(6):809-816</w:t>
            </w:r>
            <w:r w:rsidR="00EC724A">
              <w:rPr>
                <w:sz w:val="18"/>
                <w:szCs w:val="18"/>
              </w:rPr>
              <w:t>.</w:t>
            </w:r>
          </w:p>
        </w:tc>
      </w:tr>
      <w:tr w:rsidR="0014560E" w:rsidTr="00BB5250">
        <w:trPr>
          <w:trHeight w:val="1988"/>
        </w:trPr>
        <w:tc>
          <w:tcPr>
            <w:tcW w:w="188" w:type="pct"/>
          </w:tcPr>
          <w:p w:rsidR="00DD308E" w:rsidRPr="00EC23A7" w:rsidRDefault="005C6247" w:rsidP="00467D59">
            <w:pPr>
              <w:rPr>
                <w:sz w:val="18"/>
                <w:szCs w:val="18"/>
              </w:rPr>
            </w:pPr>
            <w:r>
              <w:rPr>
                <w:sz w:val="18"/>
                <w:szCs w:val="18"/>
              </w:rPr>
              <w:t>2</w:t>
            </w:r>
          </w:p>
        </w:tc>
        <w:tc>
          <w:tcPr>
            <w:tcW w:w="400" w:type="pct"/>
          </w:tcPr>
          <w:p w:rsidR="00DD308E" w:rsidRPr="00937127" w:rsidRDefault="002873FE" w:rsidP="00DD308E">
            <w:pPr>
              <w:rPr>
                <w:sz w:val="18"/>
                <w:szCs w:val="18"/>
              </w:rPr>
            </w:pPr>
            <w:r w:rsidRPr="00937127">
              <w:rPr>
                <w:sz w:val="18"/>
                <w:szCs w:val="18"/>
              </w:rPr>
              <w:t>Study of diagnostic accuracy</w:t>
            </w:r>
          </w:p>
        </w:tc>
        <w:tc>
          <w:tcPr>
            <w:tcW w:w="650" w:type="pct"/>
          </w:tcPr>
          <w:p w:rsidR="00DD308E" w:rsidRPr="00EC23A7" w:rsidRDefault="002873FE" w:rsidP="00467D59">
            <w:pPr>
              <w:rPr>
                <w:b/>
                <w:sz w:val="18"/>
                <w:szCs w:val="18"/>
              </w:rPr>
            </w:pPr>
            <w:r w:rsidRPr="00937127">
              <w:rPr>
                <w:sz w:val="18"/>
                <w:szCs w:val="18"/>
              </w:rPr>
              <w:t>Development and validation of a variant detection workflow for BRCA1 and BRCA2 genes and its clinical application based on the Ion Torrent</w:t>
            </w:r>
            <w:r w:rsidR="005C6247">
              <w:rPr>
                <w:sz w:val="18"/>
                <w:szCs w:val="18"/>
              </w:rPr>
              <w:t xml:space="preserve"> technology.</w:t>
            </w:r>
          </w:p>
        </w:tc>
        <w:tc>
          <w:tcPr>
            <w:tcW w:w="1950" w:type="pct"/>
          </w:tcPr>
          <w:p w:rsidR="00DD308E" w:rsidRPr="002873FE" w:rsidRDefault="002873FE" w:rsidP="002873FE">
            <w:pPr>
              <w:rPr>
                <w:sz w:val="18"/>
                <w:szCs w:val="18"/>
              </w:rPr>
            </w:pPr>
            <w:r>
              <w:rPr>
                <w:sz w:val="18"/>
                <w:szCs w:val="18"/>
              </w:rPr>
              <w:t xml:space="preserve">This study </w:t>
            </w:r>
            <w:r w:rsidRPr="002873FE">
              <w:rPr>
                <w:sz w:val="18"/>
                <w:szCs w:val="18"/>
              </w:rPr>
              <w:t xml:space="preserve">evaluated the performance of a panel for BRCA1 and BRCA2, using the Ion Torrent PGM (Life Technologies) platform in a customized workflow and multiplex ligation-dependent probe amplification for detection of mutations, insertions, and deletions in these genes. </w:t>
            </w:r>
            <w:r>
              <w:rPr>
                <w:sz w:val="18"/>
                <w:szCs w:val="18"/>
              </w:rPr>
              <w:t>T</w:t>
            </w:r>
            <w:r w:rsidRPr="002873FE">
              <w:rPr>
                <w:sz w:val="18"/>
                <w:szCs w:val="18"/>
              </w:rPr>
              <w:t>he panel</w:t>
            </w:r>
            <w:r>
              <w:rPr>
                <w:sz w:val="18"/>
                <w:szCs w:val="18"/>
              </w:rPr>
              <w:t xml:space="preserve"> was validated </w:t>
            </w:r>
            <w:r w:rsidRPr="002873FE">
              <w:rPr>
                <w:sz w:val="18"/>
                <w:szCs w:val="18"/>
              </w:rPr>
              <w:t xml:space="preserve">with 26 samples previously </w:t>
            </w:r>
            <w:proofErr w:type="spellStart"/>
            <w:r w:rsidRPr="002873FE">
              <w:rPr>
                <w:sz w:val="18"/>
                <w:szCs w:val="18"/>
              </w:rPr>
              <w:t>analyzed</w:t>
            </w:r>
            <w:proofErr w:type="spellEnd"/>
            <w:r w:rsidRPr="002873FE">
              <w:rPr>
                <w:sz w:val="18"/>
                <w:szCs w:val="18"/>
              </w:rPr>
              <w:t xml:space="preserve"> by Myriad Genetics Laboratory, and our workflow showed 95.6% sensitivity and 100% agreement with Myriad reports, with 85% sensitivity on the positive control sample from NIST. 68 clinical samples</w:t>
            </w:r>
            <w:r>
              <w:rPr>
                <w:sz w:val="18"/>
                <w:szCs w:val="18"/>
              </w:rPr>
              <w:t xml:space="preserve"> were also screened </w:t>
            </w:r>
            <w:r w:rsidRPr="002873FE">
              <w:rPr>
                <w:sz w:val="18"/>
                <w:szCs w:val="18"/>
              </w:rPr>
              <w:t>and found 22 distinct mutations.</w:t>
            </w:r>
          </w:p>
        </w:tc>
        <w:tc>
          <w:tcPr>
            <w:tcW w:w="1205" w:type="pct"/>
          </w:tcPr>
          <w:p w:rsidR="00DD308E" w:rsidRPr="000E4955" w:rsidRDefault="00661CB6" w:rsidP="00DD308E">
            <w:pPr>
              <w:rPr>
                <w:sz w:val="18"/>
                <w:szCs w:val="18"/>
              </w:rPr>
            </w:pPr>
            <w:hyperlink r:id="rId18" w:history="1">
              <w:r w:rsidR="000E4955" w:rsidRPr="000E4955">
                <w:rPr>
                  <w:rStyle w:val="Hyperlink"/>
                  <w:sz w:val="18"/>
                  <w:szCs w:val="18"/>
                </w:rPr>
                <w:t>https://humgenomics.biomedcentral.com/articles/10.1186/s40246-017-0110-x</w:t>
              </w:r>
            </w:hyperlink>
          </w:p>
        </w:tc>
        <w:tc>
          <w:tcPr>
            <w:tcW w:w="606" w:type="pct"/>
          </w:tcPr>
          <w:p w:rsidR="00EC724A" w:rsidRPr="00EC724A" w:rsidRDefault="002873FE" w:rsidP="00EC724A">
            <w:pPr>
              <w:rPr>
                <w:sz w:val="18"/>
                <w:szCs w:val="18"/>
              </w:rPr>
            </w:pPr>
            <w:proofErr w:type="spellStart"/>
            <w:r w:rsidRPr="002873FE">
              <w:rPr>
                <w:sz w:val="18"/>
                <w:szCs w:val="18"/>
              </w:rPr>
              <w:t>Buzolin</w:t>
            </w:r>
            <w:proofErr w:type="spellEnd"/>
            <w:r w:rsidRPr="002873FE">
              <w:rPr>
                <w:sz w:val="18"/>
                <w:szCs w:val="18"/>
              </w:rPr>
              <w:t xml:space="preserve"> et al</w:t>
            </w:r>
            <w:r w:rsidR="00EC724A">
              <w:rPr>
                <w:sz w:val="18"/>
                <w:szCs w:val="18"/>
              </w:rPr>
              <w:t xml:space="preserve">, </w:t>
            </w:r>
            <w:r w:rsidR="00EC724A" w:rsidRPr="00EC724A">
              <w:rPr>
                <w:sz w:val="18"/>
                <w:szCs w:val="18"/>
              </w:rPr>
              <w:t>2017 Jun</w:t>
            </w:r>
            <w:r w:rsidR="005C6247">
              <w:rPr>
                <w:sz w:val="18"/>
                <w:szCs w:val="18"/>
              </w:rPr>
              <w:t>e</w:t>
            </w:r>
            <w:r w:rsidR="00EC724A" w:rsidRPr="00EC724A">
              <w:rPr>
                <w:sz w:val="18"/>
                <w:szCs w:val="18"/>
              </w:rPr>
              <w:t xml:space="preserve">. </w:t>
            </w:r>
          </w:p>
          <w:p w:rsidR="002873FE" w:rsidRPr="00EC23A7" w:rsidRDefault="002873FE" w:rsidP="00467D59">
            <w:pPr>
              <w:rPr>
                <w:b/>
                <w:sz w:val="18"/>
                <w:szCs w:val="18"/>
              </w:rPr>
            </w:pPr>
            <w:r w:rsidRPr="002873FE">
              <w:rPr>
                <w:sz w:val="18"/>
                <w:szCs w:val="18"/>
              </w:rPr>
              <w:t>Human Genomics. 11(1):14, 2017 Jun 26.</w:t>
            </w:r>
          </w:p>
        </w:tc>
      </w:tr>
      <w:tr w:rsidR="0014560E" w:rsidTr="00BB5250">
        <w:tc>
          <w:tcPr>
            <w:tcW w:w="188" w:type="pct"/>
          </w:tcPr>
          <w:p w:rsidR="00DD308E" w:rsidRPr="00EC23A7" w:rsidRDefault="005C6247" w:rsidP="00467D59">
            <w:pPr>
              <w:rPr>
                <w:sz w:val="18"/>
                <w:szCs w:val="18"/>
              </w:rPr>
            </w:pPr>
            <w:r>
              <w:rPr>
                <w:sz w:val="18"/>
                <w:szCs w:val="18"/>
              </w:rPr>
              <w:t>3</w:t>
            </w:r>
          </w:p>
        </w:tc>
        <w:tc>
          <w:tcPr>
            <w:tcW w:w="400" w:type="pct"/>
          </w:tcPr>
          <w:p w:rsidR="00DD308E" w:rsidRPr="005C6247" w:rsidRDefault="00BF1BE5" w:rsidP="00DD308E">
            <w:pPr>
              <w:rPr>
                <w:sz w:val="18"/>
                <w:szCs w:val="18"/>
              </w:rPr>
            </w:pPr>
            <w:r w:rsidRPr="005C6247">
              <w:rPr>
                <w:sz w:val="18"/>
                <w:szCs w:val="18"/>
              </w:rPr>
              <w:t>Study of diagnostic accuracy</w:t>
            </w:r>
          </w:p>
        </w:tc>
        <w:tc>
          <w:tcPr>
            <w:tcW w:w="650" w:type="pct"/>
          </w:tcPr>
          <w:p w:rsidR="00DD308E" w:rsidRPr="00BF1BE5" w:rsidRDefault="00BF1BE5" w:rsidP="00DD308E">
            <w:pPr>
              <w:rPr>
                <w:sz w:val="18"/>
                <w:szCs w:val="18"/>
              </w:rPr>
            </w:pPr>
            <w:r w:rsidRPr="00BF1BE5">
              <w:rPr>
                <w:sz w:val="18"/>
                <w:szCs w:val="18"/>
              </w:rPr>
              <w:t>Current guidelines for BRCA testing of breast cancer patients are insufficient to detect all mutation carriers.</w:t>
            </w:r>
          </w:p>
        </w:tc>
        <w:tc>
          <w:tcPr>
            <w:tcW w:w="1950" w:type="pct"/>
          </w:tcPr>
          <w:p w:rsidR="00DD308E" w:rsidRPr="00BF1BE5" w:rsidRDefault="00BF1BE5" w:rsidP="00BF1BE5">
            <w:pPr>
              <w:rPr>
                <w:sz w:val="18"/>
                <w:szCs w:val="18"/>
              </w:rPr>
            </w:pPr>
            <w:r w:rsidRPr="00BF1BE5">
              <w:rPr>
                <w:sz w:val="18"/>
                <w:szCs w:val="18"/>
                <w:lang w:val="en-US"/>
              </w:rPr>
              <w:t>1371 newly diagnosed BC patients were tested with sequencing and Multi Ligation Probe Amplification (MLPA). A pathogenic BRCA mutation was identified in 3.1%. Carriers differed from non-carriers in terms of age at diagnosis, family history, grade, ER/PR-status, triple negativity (TNBC) and Ki67, but not in HER2 and TNM status. One mutation positive female relative was identified per mutation positive BC patient. Using age of onset below 40 or TNBC as criteria for testing identified 32-34% of carriers. Common guidelines for testing identified 45-90%, and testing all below 60 years identified 90%. Thirty-seven percent of carriers had a family history of cancer that would have qualified for predictive BRCA testing. A Variant of Uncertain Significance (VUS) was identified in 4.9%.</w:t>
            </w:r>
          </w:p>
        </w:tc>
        <w:tc>
          <w:tcPr>
            <w:tcW w:w="1205" w:type="pct"/>
          </w:tcPr>
          <w:p w:rsidR="00DD308E" w:rsidRPr="00A31964" w:rsidRDefault="00661CB6" w:rsidP="00DD308E">
            <w:pPr>
              <w:rPr>
                <w:sz w:val="18"/>
                <w:szCs w:val="18"/>
              </w:rPr>
            </w:pPr>
            <w:hyperlink r:id="rId19" w:history="1">
              <w:r w:rsidR="00A31964" w:rsidRPr="00A31964">
                <w:rPr>
                  <w:rStyle w:val="Hyperlink"/>
                  <w:sz w:val="18"/>
                  <w:szCs w:val="18"/>
                </w:rPr>
                <w:t>https://bmccancer.biomedcentral.com/articles/10.1186/s12885-017-3422-2</w:t>
              </w:r>
            </w:hyperlink>
          </w:p>
        </w:tc>
        <w:tc>
          <w:tcPr>
            <w:tcW w:w="606" w:type="pct"/>
          </w:tcPr>
          <w:p w:rsidR="00DD308E" w:rsidRPr="00A31964" w:rsidRDefault="00A31964" w:rsidP="00DD308E">
            <w:pPr>
              <w:rPr>
                <w:sz w:val="18"/>
                <w:szCs w:val="18"/>
                <w:lang w:val="en-US"/>
              </w:rPr>
            </w:pPr>
            <w:proofErr w:type="spellStart"/>
            <w:r w:rsidRPr="00A31964">
              <w:rPr>
                <w:sz w:val="18"/>
                <w:szCs w:val="18"/>
                <w:lang w:val="en-US"/>
              </w:rPr>
              <w:t>Grindedal</w:t>
            </w:r>
            <w:proofErr w:type="spellEnd"/>
            <w:r w:rsidRPr="00A31964">
              <w:rPr>
                <w:sz w:val="18"/>
                <w:szCs w:val="18"/>
                <w:lang w:val="en-US"/>
              </w:rPr>
              <w:t xml:space="preserve"> et al</w:t>
            </w:r>
            <w:r w:rsidR="00EC724A">
              <w:rPr>
                <w:sz w:val="18"/>
                <w:szCs w:val="18"/>
                <w:lang w:val="en-US"/>
              </w:rPr>
              <w:t xml:space="preserve">, </w:t>
            </w:r>
            <w:r w:rsidR="00EC724A" w:rsidRPr="00EC724A">
              <w:rPr>
                <w:sz w:val="18"/>
                <w:szCs w:val="18"/>
              </w:rPr>
              <w:t>2017 Jun</w:t>
            </w:r>
            <w:r w:rsidR="005C6247">
              <w:rPr>
                <w:sz w:val="18"/>
                <w:szCs w:val="18"/>
              </w:rPr>
              <w:t>e</w:t>
            </w:r>
            <w:r w:rsidR="00EC724A" w:rsidRPr="00EC724A">
              <w:rPr>
                <w:sz w:val="18"/>
                <w:szCs w:val="18"/>
              </w:rPr>
              <w:t>.</w:t>
            </w:r>
          </w:p>
          <w:p w:rsidR="00EC724A" w:rsidRDefault="00A31964" w:rsidP="00DD308E">
            <w:pPr>
              <w:rPr>
                <w:sz w:val="18"/>
                <w:szCs w:val="18"/>
              </w:rPr>
            </w:pPr>
            <w:r w:rsidRPr="00A31964">
              <w:rPr>
                <w:sz w:val="18"/>
                <w:szCs w:val="18"/>
              </w:rPr>
              <w:t>BMC Cancer. 17(1):438</w:t>
            </w:r>
            <w:r w:rsidR="00EC724A">
              <w:rPr>
                <w:sz w:val="18"/>
                <w:szCs w:val="18"/>
              </w:rPr>
              <w:t>.</w:t>
            </w:r>
          </w:p>
          <w:p w:rsidR="00A31964" w:rsidRPr="00EC23A7" w:rsidRDefault="00A31964" w:rsidP="00DD308E">
            <w:pPr>
              <w:rPr>
                <w:b/>
                <w:sz w:val="18"/>
                <w:szCs w:val="18"/>
              </w:rPr>
            </w:pPr>
          </w:p>
        </w:tc>
      </w:tr>
      <w:tr w:rsidR="005C6247" w:rsidTr="00BB5250">
        <w:tc>
          <w:tcPr>
            <w:tcW w:w="188" w:type="pct"/>
          </w:tcPr>
          <w:p w:rsidR="005C6247" w:rsidRPr="00EC23A7" w:rsidRDefault="007171E4" w:rsidP="00467D59">
            <w:pPr>
              <w:rPr>
                <w:sz w:val="18"/>
                <w:szCs w:val="18"/>
              </w:rPr>
            </w:pPr>
            <w:r>
              <w:rPr>
                <w:sz w:val="18"/>
                <w:szCs w:val="18"/>
              </w:rPr>
              <w:t>4</w:t>
            </w:r>
          </w:p>
        </w:tc>
        <w:tc>
          <w:tcPr>
            <w:tcW w:w="400" w:type="pct"/>
          </w:tcPr>
          <w:p w:rsidR="005C6247" w:rsidRPr="00455475" w:rsidRDefault="005C6247" w:rsidP="00895CFF">
            <w:pPr>
              <w:rPr>
                <w:sz w:val="18"/>
                <w:szCs w:val="18"/>
              </w:rPr>
            </w:pPr>
            <w:r w:rsidRPr="00455475">
              <w:rPr>
                <w:sz w:val="18"/>
                <w:szCs w:val="18"/>
              </w:rPr>
              <w:t>Study of diagnostic accuracy</w:t>
            </w:r>
          </w:p>
        </w:tc>
        <w:tc>
          <w:tcPr>
            <w:tcW w:w="650" w:type="pct"/>
          </w:tcPr>
          <w:p w:rsidR="005C6247" w:rsidRPr="00D00417" w:rsidRDefault="005C6247" w:rsidP="00895CFF">
            <w:pPr>
              <w:rPr>
                <w:sz w:val="18"/>
                <w:szCs w:val="18"/>
              </w:rPr>
            </w:pPr>
            <w:r w:rsidRPr="00D00417">
              <w:rPr>
                <w:sz w:val="18"/>
                <w:szCs w:val="18"/>
                <w:lang w:val="en-US"/>
              </w:rPr>
              <w:t xml:space="preserve">Validation and optimization of the Ion Torrent S5 XL sequencer and </w:t>
            </w:r>
            <w:proofErr w:type="spellStart"/>
            <w:r w:rsidRPr="00D00417">
              <w:rPr>
                <w:sz w:val="18"/>
                <w:szCs w:val="18"/>
                <w:lang w:val="en-US"/>
              </w:rPr>
              <w:t>Oncomine</w:t>
            </w:r>
            <w:proofErr w:type="spellEnd"/>
            <w:r w:rsidRPr="00D00417">
              <w:rPr>
                <w:sz w:val="18"/>
                <w:szCs w:val="18"/>
                <w:lang w:val="en-US"/>
              </w:rPr>
              <w:t xml:space="preserve"> workflow for BRCA1 and BRCA2 genetic testing</w:t>
            </w:r>
          </w:p>
        </w:tc>
        <w:tc>
          <w:tcPr>
            <w:tcW w:w="1950" w:type="pct"/>
          </w:tcPr>
          <w:p w:rsidR="005C6247" w:rsidRPr="00D00417" w:rsidRDefault="005C6247" w:rsidP="00895CFF">
            <w:pPr>
              <w:rPr>
                <w:sz w:val="18"/>
                <w:szCs w:val="18"/>
              </w:rPr>
            </w:pPr>
            <w:r>
              <w:rPr>
                <w:sz w:val="18"/>
                <w:szCs w:val="18"/>
                <w:lang w:val="en-US"/>
              </w:rPr>
              <w:t xml:space="preserve">This study </w:t>
            </w:r>
            <w:r w:rsidRPr="009A2BF6">
              <w:rPr>
                <w:sz w:val="18"/>
                <w:szCs w:val="18"/>
                <w:lang w:val="en-US"/>
              </w:rPr>
              <w:t xml:space="preserve">validated the analytical performance of BRCA1/2 sequencing using Ion Torrent's new bench-top sequencer with amplicon panel with optimized bioinformatics pipelines. Using 43 samples that were previously validated by Illumina's </w:t>
            </w:r>
            <w:proofErr w:type="spellStart"/>
            <w:r w:rsidRPr="009A2BF6">
              <w:rPr>
                <w:sz w:val="18"/>
                <w:szCs w:val="18"/>
                <w:lang w:val="en-US"/>
              </w:rPr>
              <w:t>MiSeq</w:t>
            </w:r>
            <w:proofErr w:type="spellEnd"/>
            <w:r w:rsidRPr="009A2BF6">
              <w:rPr>
                <w:sz w:val="18"/>
                <w:szCs w:val="18"/>
                <w:lang w:val="en-US"/>
              </w:rPr>
              <w:t xml:space="preserve"> platform and/or by Sanger sequencing/multiplex ligation-dependent probe amplification, we amplified the target with the </w:t>
            </w:r>
            <w:proofErr w:type="spellStart"/>
            <w:r w:rsidRPr="009A2BF6">
              <w:rPr>
                <w:sz w:val="18"/>
                <w:szCs w:val="18"/>
                <w:lang w:val="en-US"/>
              </w:rPr>
              <w:t>OncomineTM</w:t>
            </w:r>
            <w:proofErr w:type="spellEnd"/>
            <w:r w:rsidRPr="009A2BF6">
              <w:rPr>
                <w:sz w:val="18"/>
                <w:szCs w:val="18"/>
                <w:lang w:val="en-US"/>
              </w:rPr>
              <w:t xml:space="preserve"> BRCA Research Assay and sequenced on Ion Torrent S5 XL (</w:t>
            </w:r>
            <w:proofErr w:type="spellStart"/>
            <w:r w:rsidRPr="009A2BF6">
              <w:rPr>
                <w:sz w:val="18"/>
                <w:szCs w:val="18"/>
                <w:lang w:val="en-US"/>
              </w:rPr>
              <w:t>Thermo</w:t>
            </w:r>
            <w:proofErr w:type="spellEnd"/>
            <w:r w:rsidRPr="009A2BF6">
              <w:rPr>
                <w:sz w:val="18"/>
                <w:szCs w:val="18"/>
                <w:lang w:val="en-US"/>
              </w:rPr>
              <w:t xml:space="preserve"> Fisher Scientific, Waltham, MA, USA).</w:t>
            </w:r>
            <w:r>
              <w:rPr>
                <w:sz w:val="18"/>
                <w:szCs w:val="18"/>
                <w:lang w:val="en-US"/>
              </w:rPr>
              <w:t xml:space="preserve"> The study </w:t>
            </w:r>
            <w:r w:rsidRPr="009A2BF6">
              <w:rPr>
                <w:sz w:val="18"/>
                <w:szCs w:val="18"/>
                <w:lang w:val="en-US"/>
              </w:rPr>
              <w:t>compared two bioinformatics pipelines for optimal processing of S5 XL sequence data: the Torrent Suite with a plug-in Torrent Variant Caller (</w:t>
            </w:r>
            <w:proofErr w:type="spellStart"/>
            <w:r w:rsidRPr="009A2BF6">
              <w:rPr>
                <w:sz w:val="18"/>
                <w:szCs w:val="18"/>
                <w:lang w:val="en-US"/>
              </w:rPr>
              <w:t>Thermo</w:t>
            </w:r>
            <w:proofErr w:type="spellEnd"/>
            <w:r w:rsidRPr="009A2BF6">
              <w:rPr>
                <w:sz w:val="18"/>
                <w:szCs w:val="18"/>
                <w:lang w:val="en-US"/>
              </w:rPr>
              <w:t xml:space="preserve"> Fisher Scientific), and commercial </w:t>
            </w:r>
            <w:proofErr w:type="spellStart"/>
            <w:r w:rsidRPr="009A2BF6">
              <w:rPr>
                <w:sz w:val="18"/>
                <w:szCs w:val="18"/>
                <w:lang w:val="en-US"/>
              </w:rPr>
              <w:t>NextGENe</w:t>
            </w:r>
            <w:proofErr w:type="spellEnd"/>
            <w:r w:rsidRPr="009A2BF6">
              <w:rPr>
                <w:sz w:val="18"/>
                <w:szCs w:val="18"/>
                <w:lang w:val="en-US"/>
              </w:rPr>
              <w:t xml:space="preserve"> software (</w:t>
            </w:r>
            <w:proofErr w:type="spellStart"/>
            <w:r w:rsidRPr="009A2BF6">
              <w:rPr>
                <w:sz w:val="18"/>
                <w:szCs w:val="18"/>
                <w:lang w:val="en-US"/>
              </w:rPr>
              <w:t>Softgenetics</w:t>
            </w:r>
            <w:proofErr w:type="spellEnd"/>
            <w:r w:rsidRPr="009A2BF6">
              <w:rPr>
                <w:sz w:val="18"/>
                <w:szCs w:val="18"/>
                <w:lang w:val="en-US"/>
              </w:rPr>
              <w:t>, State College, PA, USA).</w:t>
            </w:r>
            <w:r w:rsidRPr="009A2BF6">
              <w:rPr>
                <w:rFonts w:ascii="Arial Unicode MS" w:eastAsia="Arial Unicode MS" w:hAnsi="Arial Unicode MS" w:cs="Arial Unicode MS"/>
                <w:szCs w:val="24"/>
                <w:lang w:val="en-US"/>
              </w:rPr>
              <w:t xml:space="preserve"> </w:t>
            </w:r>
            <w:r w:rsidRPr="009A2BF6">
              <w:rPr>
                <w:sz w:val="18"/>
                <w:szCs w:val="18"/>
                <w:lang w:val="en-US"/>
              </w:rPr>
              <w:t xml:space="preserve">The sensitivity, specificity, false positive rate, and accuracy for detection of single nucleotide variant and small </w:t>
            </w:r>
            <w:proofErr w:type="spellStart"/>
            <w:r w:rsidRPr="009A2BF6">
              <w:rPr>
                <w:sz w:val="18"/>
                <w:szCs w:val="18"/>
                <w:lang w:val="en-US"/>
              </w:rPr>
              <w:t>indels</w:t>
            </w:r>
            <w:proofErr w:type="spellEnd"/>
            <w:r w:rsidRPr="009A2BF6">
              <w:rPr>
                <w:sz w:val="18"/>
                <w:szCs w:val="18"/>
                <w:lang w:val="en-US"/>
              </w:rPr>
              <w:t xml:space="preserve"> of S5 XL sequencing were 99.85%, 100%, 0%, and 99.99% for the Torrent Variant Caller and 99.85%, 99.99%, 0.14%, and 99.99% for </w:t>
            </w:r>
            <w:proofErr w:type="spellStart"/>
            <w:r w:rsidRPr="009A2BF6">
              <w:rPr>
                <w:sz w:val="18"/>
                <w:szCs w:val="18"/>
                <w:lang w:val="en-US"/>
              </w:rPr>
              <w:t>NextGENe</w:t>
            </w:r>
            <w:proofErr w:type="spellEnd"/>
            <w:r w:rsidRPr="009A2BF6">
              <w:rPr>
                <w:sz w:val="18"/>
                <w:szCs w:val="18"/>
                <w:lang w:val="en-US"/>
              </w:rPr>
              <w:t>, respectively. The reproducibility of variant calling was 100%, and the precision of variant frequency also showed good performance with coefficients of variation between 0.32 and 5.29%.</w:t>
            </w:r>
          </w:p>
        </w:tc>
        <w:tc>
          <w:tcPr>
            <w:tcW w:w="1205" w:type="pct"/>
          </w:tcPr>
          <w:p w:rsidR="005C6247" w:rsidRPr="00D00417" w:rsidRDefault="00661CB6" w:rsidP="00895CFF">
            <w:pPr>
              <w:rPr>
                <w:sz w:val="18"/>
                <w:szCs w:val="18"/>
              </w:rPr>
            </w:pPr>
            <w:hyperlink r:id="rId20" w:history="1">
              <w:r w:rsidR="005C6247" w:rsidRPr="006E0957">
                <w:rPr>
                  <w:rStyle w:val="Hyperlink"/>
                  <w:sz w:val="18"/>
                  <w:szCs w:val="18"/>
                </w:rPr>
                <w:t>https://www.ncbi.nlm.nih.gov/pmc/articles/PMC5471017/pdf/oncotarget-08-34858.pdf</w:t>
              </w:r>
            </w:hyperlink>
          </w:p>
        </w:tc>
        <w:tc>
          <w:tcPr>
            <w:tcW w:w="606" w:type="pct"/>
          </w:tcPr>
          <w:p w:rsidR="005C6247" w:rsidRPr="00D00417" w:rsidRDefault="005C6247" w:rsidP="00895CFF">
            <w:pPr>
              <w:rPr>
                <w:sz w:val="18"/>
                <w:szCs w:val="18"/>
                <w:lang w:val="en-US"/>
              </w:rPr>
            </w:pPr>
            <w:r w:rsidRPr="00D00417">
              <w:rPr>
                <w:sz w:val="18"/>
                <w:szCs w:val="18"/>
                <w:lang w:val="en-US"/>
              </w:rPr>
              <w:t>Shin</w:t>
            </w:r>
            <w:r>
              <w:rPr>
                <w:sz w:val="18"/>
                <w:szCs w:val="18"/>
                <w:lang w:val="en-US"/>
              </w:rPr>
              <w:t xml:space="preserve"> et al, 2017 May.</w:t>
            </w:r>
          </w:p>
          <w:p w:rsidR="005C6247" w:rsidRPr="00D00417" w:rsidRDefault="005C6247" w:rsidP="00895CFF">
            <w:pPr>
              <w:rPr>
                <w:sz w:val="18"/>
                <w:szCs w:val="18"/>
              </w:rPr>
            </w:pPr>
            <w:proofErr w:type="spellStart"/>
            <w:r w:rsidRPr="00D00417">
              <w:rPr>
                <w:sz w:val="18"/>
                <w:szCs w:val="18"/>
                <w:lang w:val="en-US"/>
              </w:rPr>
              <w:t>Oncotarget</w:t>
            </w:r>
            <w:proofErr w:type="spellEnd"/>
            <w:r w:rsidRPr="00D00417">
              <w:rPr>
                <w:sz w:val="18"/>
                <w:szCs w:val="18"/>
                <w:lang w:val="en-US"/>
              </w:rPr>
              <w:t>. 8(21):34858-34866</w:t>
            </w:r>
            <w:r>
              <w:rPr>
                <w:sz w:val="18"/>
                <w:szCs w:val="18"/>
                <w:lang w:val="en-US"/>
              </w:rPr>
              <w:t>.</w:t>
            </w:r>
          </w:p>
        </w:tc>
      </w:tr>
      <w:tr w:rsidR="005C6247" w:rsidTr="00BB5250">
        <w:tc>
          <w:tcPr>
            <w:tcW w:w="188" w:type="pct"/>
          </w:tcPr>
          <w:p w:rsidR="005C6247" w:rsidRPr="00EC23A7" w:rsidRDefault="007171E4" w:rsidP="00467D59">
            <w:pPr>
              <w:rPr>
                <w:sz w:val="18"/>
                <w:szCs w:val="18"/>
              </w:rPr>
            </w:pPr>
            <w:r>
              <w:rPr>
                <w:sz w:val="18"/>
                <w:szCs w:val="18"/>
              </w:rPr>
              <w:lastRenderedPageBreak/>
              <w:t>5</w:t>
            </w:r>
          </w:p>
        </w:tc>
        <w:tc>
          <w:tcPr>
            <w:tcW w:w="400" w:type="pct"/>
          </w:tcPr>
          <w:p w:rsidR="005C6247" w:rsidRPr="00A577FD" w:rsidRDefault="005C6247" w:rsidP="00895CFF">
            <w:pPr>
              <w:rPr>
                <w:sz w:val="18"/>
                <w:szCs w:val="18"/>
              </w:rPr>
            </w:pPr>
            <w:r w:rsidRPr="00A577FD">
              <w:rPr>
                <w:sz w:val="18"/>
                <w:szCs w:val="18"/>
              </w:rPr>
              <w:t>Study of diagnostic accuracy</w:t>
            </w:r>
          </w:p>
        </w:tc>
        <w:tc>
          <w:tcPr>
            <w:tcW w:w="650" w:type="pct"/>
          </w:tcPr>
          <w:p w:rsidR="005C6247" w:rsidRPr="00A577FD" w:rsidRDefault="005C6247" w:rsidP="00895CFF">
            <w:pPr>
              <w:rPr>
                <w:rFonts w:ascii="Calibri" w:eastAsia="Arial Unicode MS" w:hAnsi="Calibri" w:cs="Arial Unicode MS"/>
                <w:sz w:val="18"/>
                <w:szCs w:val="18"/>
              </w:rPr>
            </w:pPr>
            <w:r w:rsidRPr="00A577FD">
              <w:rPr>
                <w:rFonts w:ascii="Calibri" w:eastAsia="Arial Unicode MS" w:hAnsi="Calibri" w:cs="Arial Unicode MS"/>
                <w:sz w:val="18"/>
                <w:szCs w:val="18"/>
              </w:rPr>
              <w:t xml:space="preserve">Evaluation of the Ion Torrent PGM sequencing workflow for the routine rapid detection of BRCA1 and BRCA2 germline mutations. </w:t>
            </w:r>
          </w:p>
          <w:p w:rsidR="005C6247" w:rsidRDefault="005C6247" w:rsidP="00895CFF">
            <w:pPr>
              <w:rPr>
                <w:b/>
                <w:szCs w:val="20"/>
              </w:rPr>
            </w:pPr>
          </w:p>
        </w:tc>
        <w:tc>
          <w:tcPr>
            <w:tcW w:w="1950" w:type="pct"/>
          </w:tcPr>
          <w:p w:rsidR="005C6247" w:rsidRDefault="005C6247" w:rsidP="00895CFF">
            <w:pPr>
              <w:rPr>
                <w:b/>
                <w:szCs w:val="20"/>
              </w:rPr>
            </w:pPr>
            <w:r w:rsidRPr="00A577FD">
              <w:rPr>
                <w:rFonts w:ascii="Calibri" w:eastAsia="Arial Unicode MS" w:hAnsi="Calibri" w:cs="Arial Unicode MS"/>
                <w:sz w:val="18"/>
                <w:szCs w:val="18"/>
              </w:rPr>
              <w:t>The study validated the NGS approach in a cohort of 33 patients who had previously undergone genetic diagnosis in our laboratory by conventional methods. 29 newly diagnosed and uncharacterized patients by NGS, and Sanger sequencing was used to confirm results from the NGS platform.</w:t>
            </w:r>
            <w:r>
              <w:rPr>
                <w:rFonts w:ascii="Calibri" w:eastAsia="Arial Unicode MS" w:hAnsi="Calibri" w:cs="Arial Unicode MS"/>
                <w:sz w:val="18"/>
                <w:szCs w:val="18"/>
              </w:rPr>
              <w:t xml:space="preserve"> </w:t>
            </w:r>
            <w:r w:rsidRPr="00A577FD">
              <w:rPr>
                <w:rFonts w:ascii="Calibri" w:eastAsia="Arial Unicode MS" w:hAnsi="Calibri" w:cs="Arial Unicode MS"/>
                <w:sz w:val="18"/>
                <w:szCs w:val="18"/>
                <w:lang w:val="en-US"/>
              </w:rPr>
              <w:t>In the validation cohort, all previously identified single nucleotide variants, insertions and deletions</w:t>
            </w:r>
            <w:r>
              <w:rPr>
                <w:rFonts w:ascii="Calibri" w:eastAsia="Arial Unicode MS" w:hAnsi="Calibri" w:cs="Arial Unicode MS"/>
                <w:sz w:val="18"/>
                <w:szCs w:val="18"/>
                <w:lang w:val="en-US"/>
              </w:rPr>
              <w:t xml:space="preserve"> </w:t>
            </w:r>
            <w:r w:rsidRPr="00A577FD">
              <w:rPr>
                <w:rFonts w:ascii="Calibri" w:eastAsia="Arial Unicode MS" w:hAnsi="Calibri" w:cs="Arial Unicode MS"/>
                <w:sz w:val="18"/>
                <w:szCs w:val="18"/>
                <w:lang w:val="en-US"/>
              </w:rPr>
              <w:t xml:space="preserve">were identified by NGS in their correct </w:t>
            </w:r>
            <w:proofErr w:type="spellStart"/>
            <w:r w:rsidRPr="00A577FD">
              <w:rPr>
                <w:rFonts w:ascii="Calibri" w:eastAsia="Arial Unicode MS" w:hAnsi="Calibri" w:cs="Arial Unicode MS"/>
                <w:sz w:val="18"/>
                <w:szCs w:val="18"/>
                <w:lang w:val="en-US"/>
              </w:rPr>
              <w:t>zygosity</w:t>
            </w:r>
            <w:proofErr w:type="spellEnd"/>
            <w:r w:rsidRPr="00A577FD">
              <w:rPr>
                <w:rFonts w:ascii="Calibri" w:eastAsia="Arial Unicode MS" w:hAnsi="Calibri" w:cs="Arial Unicode MS"/>
                <w:sz w:val="18"/>
                <w:szCs w:val="18"/>
                <w:lang w:val="en-US"/>
              </w:rPr>
              <w:t xml:space="preserve"> status except for variants in a complex </w:t>
            </w:r>
            <w:proofErr w:type="spellStart"/>
            <w:r w:rsidRPr="00A577FD">
              <w:rPr>
                <w:rFonts w:ascii="Calibri" w:eastAsia="Arial Unicode MS" w:hAnsi="Calibri" w:cs="Arial Unicode MS"/>
                <w:sz w:val="18"/>
                <w:szCs w:val="18"/>
                <w:lang w:val="en-US"/>
              </w:rPr>
              <w:t>multinucleotide</w:t>
            </w:r>
            <w:proofErr w:type="spellEnd"/>
            <w:r w:rsidRPr="00A577FD">
              <w:rPr>
                <w:rFonts w:ascii="Calibri" w:eastAsia="Arial Unicode MS" w:hAnsi="Calibri" w:cs="Arial Unicode MS"/>
                <w:sz w:val="18"/>
                <w:szCs w:val="18"/>
                <w:lang w:val="en-US"/>
              </w:rPr>
              <w:t xml:space="preserve"> region within intron 7 of BRCA1 gene. NGS approach was further able to identify previously undetected variants. In the prospective cohort, almost all (99.3%) called variants were confirmed by Sanger. In both cohorts, in addition to the false positive (31) and false negative (110) results in the intron 7 of BRCA1 gene, the NGS method detected 10 false </w:t>
            </w:r>
            <w:proofErr w:type="gramStart"/>
            <w:r w:rsidRPr="00A577FD">
              <w:rPr>
                <w:rFonts w:ascii="Calibri" w:eastAsia="Arial Unicode MS" w:hAnsi="Calibri" w:cs="Arial Unicode MS"/>
                <w:sz w:val="18"/>
                <w:szCs w:val="18"/>
                <w:lang w:val="en-US"/>
              </w:rPr>
              <w:t>positives,</w:t>
            </w:r>
            <w:r>
              <w:rPr>
                <w:rFonts w:ascii="Calibri" w:eastAsia="Arial Unicode MS" w:hAnsi="Calibri" w:cs="Arial Unicode MS"/>
                <w:sz w:val="18"/>
                <w:szCs w:val="18"/>
                <w:lang w:val="en-US"/>
              </w:rPr>
              <w:t xml:space="preserve"> </w:t>
            </w:r>
            <w:r w:rsidRPr="00A577FD">
              <w:rPr>
                <w:rFonts w:ascii="Calibri" w:eastAsia="Arial Unicode MS" w:hAnsi="Calibri" w:cs="Arial Unicode MS"/>
                <w:sz w:val="18"/>
                <w:szCs w:val="18"/>
                <w:lang w:val="en-US"/>
              </w:rPr>
              <w:t>that</w:t>
            </w:r>
            <w:proofErr w:type="gramEnd"/>
            <w:r w:rsidRPr="00A577FD">
              <w:rPr>
                <w:rFonts w:ascii="Calibri" w:eastAsia="Arial Unicode MS" w:hAnsi="Calibri" w:cs="Arial Unicode MS"/>
                <w:sz w:val="18"/>
                <w:szCs w:val="18"/>
                <w:lang w:val="en-US"/>
              </w:rPr>
              <w:t xml:space="preserve"> were solved by Sanger.</w:t>
            </w:r>
          </w:p>
        </w:tc>
        <w:tc>
          <w:tcPr>
            <w:tcW w:w="1205" w:type="pct"/>
          </w:tcPr>
          <w:p w:rsidR="005C6247" w:rsidRPr="00A577FD" w:rsidRDefault="00661CB6" w:rsidP="00895CFF">
            <w:pPr>
              <w:rPr>
                <w:sz w:val="18"/>
                <w:szCs w:val="18"/>
              </w:rPr>
            </w:pPr>
            <w:hyperlink r:id="rId21" w:history="1">
              <w:r w:rsidR="005C6247" w:rsidRPr="00A577FD">
                <w:rPr>
                  <w:rStyle w:val="Hyperlink"/>
                  <w:sz w:val="18"/>
                  <w:szCs w:val="18"/>
                </w:rPr>
                <w:t>https://www.sciencedirect.com/science/article/pii/S0014480016302970</w:t>
              </w:r>
            </w:hyperlink>
          </w:p>
        </w:tc>
        <w:tc>
          <w:tcPr>
            <w:tcW w:w="606" w:type="pct"/>
          </w:tcPr>
          <w:p w:rsidR="005C6247" w:rsidRPr="00A577FD" w:rsidRDefault="005C6247" w:rsidP="00895CFF">
            <w:pPr>
              <w:rPr>
                <w:sz w:val="18"/>
                <w:szCs w:val="18"/>
                <w:lang w:val="en-US"/>
              </w:rPr>
            </w:pPr>
            <w:proofErr w:type="spellStart"/>
            <w:r w:rsidRPr="00A577FD">
              <w:rPr>
                <w:sz w:val="18"/>
                <w:szCs w:val="18"/>
                <w:lang w:val="en-US"/>
              </w:rPr>
              <w:t>Zanella</w:t>
            </w:r>
            <w:proofErr w:type="spellEnd"/>
            <w:r>
              <w:rPr>
                <w:sz w:val="18"/>
                <w:szCs w:val="18"/>
                <w:lang w:val="en-US"/>
              </w:rPr>
              <w:t xml:space="preserve"> et al, 2017 April</w:t>
            </w:r>
          </w:p>
          <w:p w:rsidR="005C6247" w:rsidRPr="00E82F54" w:rsidRDefault="005C6247" w:rsidP="00895CFF">
            <w:pPr>
              <w:rPr>
                <w:b/>
                <w:szCs w:val="20"/>
              </w:rPr>
            </w:pPr>
            <w:r w:rsidRPr="00A577FD">
              <w:rPr>
                <w:sz w:val="18"/>
                <w:szCs w:val="18"/>
              </w:rPr>
              <w:t>Experimental &amp; Molecular Pathology. 102(2):314-320</w:t>
            </w:r>
            <w:r>
              <w:rPr>
                <w:sz w:val="18"/>
                <w:szCs w:val="18"/>
              </w:rPr>
              <w:t>.</w:t>
            </w:r>
            <w:r w:rsidRPr="00A577FD">
              <w:rPr>
                <w:sz w:val="18"/>
                <w:szCs w:val="18"/>
              </w:rPr>
              <w:t xml:space="preserve"> </w:t>
            </w:r>
          </w:p>
        </w:tc>
      </w:tr>
      <w:tr w:rsidR="005C6247" w:rsidTr="00BB5250">
        <w:tc>
          <w:tcPr>
            <w:tcW w:w="188" w:type="pct"/>
          </w:tcPr>
          <w:p w:rsidR="005C6247" w:rsidRPr="00EC23A7" w:rsidRDefault="007171E4" w:rsidP="00467D59">
            <w:pPr>
              <w:rPr>
                <w:sz w:val="18"/>
                <w:szCs w:val="18"/>
              </w:rPr>
            </w:pPr>
            <w:r>
              <w:rPr>
                <w:sz w:val="18"/>
                <w:szCs w:val="18"/>
              </w:rPr>
              <w:t>6</w:t>
            </w:r>
          </w:p>
        </w:tc>
        <w:tc>
          <w:tcPr>
            <w:tcW w:w="400" w:type="pct"/>
          </w:tcPr>
          <w:p w:rsidR="005C6247" w:rsidRPr="002464F7" w:rsidRDefault="005C6247" w:rsidP="00895CFF">
            <w:pPr>
              <w:rPr>
                <w:sz w:val="18"/>
                <w:szCs w:val="18"/>
              </w:rPr>
            </w:pPr>
            <w:r w:rsidRPr="002464F7">
              <w:rPr>
                <w:sz w:val="18"/>
                <w:szCs w:val="18"/>
              </w:rPr>
              <w:t>Study of diagnostic accuracy</w:t>
            </w:r>
          </w:p>
        </w:tc>
        <w:tc>
          <w:tcPr>
            <w:tcW w:w="650" w:type="pct"/>
          </w:tcPr>
          <w:p w:rsidR="005C6247" w:rsidRPr="00A662F2" w:rsidRDefault="005C6247" w:rsidP="00895CFF">
            <w:pPr>
              <w:rPr>
                <w:sz w:val="18"/>
                <w:szCs w:val="18"/>
                <w:lang w:val="en-US"/>
              </w:rPr>
            </w:pPr>
            <w:r w:rsidRPr="00A662F2">
              <w:rPr>
                <w:sz w:val="18"/>
                <w:szCs w:val="18"/>
                <w:lang w:val="en-US"/>
              </w:rPr>
              <w:t xml:space="preserve">BRCA1/2 missense mutations and the value of in-silico analyses. </w:t>
            </w:r>
          </w:p>
          <w:p w:rsidR="005C6247" w:rsidRPr="00A662F2" w:rsidRDefault="005C6247" w:rsidP="00895CFF">
            <w:pPr>
              <w:rPr>
                <w:b/>
                <w:sz w:val="18"/>
                <w:szCs w:val="18"/>
              </w:rPr>
            </w:pPr>
          </w:p>
        </w:tc>
        <w:tc>
          <w:tcPr>
            <w:tcW w:w="1950" w:type="pct"/>
          </w:tcPr>
          <w:p w:rsidR="005C6247" w:rsidRPr="00A662F2" w:rsidRDefault="005C6247" w:rsidP="00895CFF">
            <w:pPr>
              <w:rPr>
                <w:sz w:val="18"/>
                <w:szCs w:val="18"/>
              </w:rPr>
            </w:pPr>
            <w:r w:rsidRPr="00A662F2">
              <w:rPr>
                <w:sz w:val="18"/>
                <w:szCs w:val="18"/>
              </w:rPr>
              <w:t xml:space="preserve">This single-centre study aimed to evaluate the impact of in-silico analyses in a spectrum of different BRCA1/2 missense variants. </w:t>
            </w:r>
            <w:r w:rsidRPr="00A662F2">
              <w:rPr>
                <w:sz w:val="18"/>
                <w:szCs w:val="18"/>
                <w:lang w:val="en-US"/>
              </w:rPr>
              <w:t>Overall 201 different variants, 68 of which constituted missense variants were ranked as pathogenic, neutral, or unknown. The classification of missense variants by in-silico tools resulted in a higher amount of pathogenic mutations (25% vs. 13.2%) compared to the GC-HBOC-classification. Altogether, more than fifty percent (38/68, 55.9%) of missense variants were ranked differently. Sensitivity of in-silico-tools for mutation prediction was 88.9% (PPH2), 100% (SIFT) and 100% (MT2).</w:t>
            </w:r>
          </w:p>
        </w:tc>
        <w:tc>
          <w:tcPr>
            <w:tcW w:w="1205" w:type="pct"/>
          </w:tcPr>
          <w:p w:rsidR="005C6247" w:rsidRPr="00A662F2" w:rsidRDefault="00661CB6" w:rsidP="00895CFF">
            <w:pPr>
              <w:rPr>
                <w:sz w:val="18"/>
                <w:szCs w:val="18"/>
              </w:rPr>
            </w:pPr>
            <w:hyperlink r:id="rId22" w:history="1">
              <w:r w:rsidR="005C6247" w:rsidRPr="00A662F2">
                <w:rPr>
                  <w:rStyle w:val="Hyperlink"/>
                  <w:sz w:val="18"/>
                  <w:szCs w:val="18"/>
                </w:rPr>
                <w:t>https://www.sciencedirect.com/science/article/pii/S1769721216305687</w:t>
              </w:r>
            </w:hyperlink>
          </w:p>
        </w:tc>
        <w:tc>
          <w:tcPr>
            <w:tcW w:w="606" w:type="pct"/>
          </w:tcPr>
          <w:p w:rsidR="005C6247" w:rsidRPr="00A662F2" w:rsidRDefault="005C6247" w:rsidP="00895CFF">
            <w:pPr>
              <w:rPr>
                <w:sz w:val="18"/>
                <w:szCs w:val="18"/>
                <w:lang w:val="en-US"/>
              </w:rPr>
            </w:pPr>
            <w:proofErr w:type="spellStart"/>
            <w:r w:rsidRPr="00A662F2">
              <w:rPr>
                <w:sz w:val="18"/>
                <w:szCs w:val="18"/>
                <w:lang w:val="en-US"/>
              </w:rPr>
              <w:t>Sadowski</w:t>
            </w:r>
            <w:proofErr w:type="spellEnd"/>
            <w:r>
              <w:rPr>
                <w:sz w:val="18"/>
                <w:szCs w:val="18"/>
                <w:lang w:val="en-US"/>
              </w:rPr>
              <w:t xml:space="preserve"> et al, 2017 Nov.</w:t>
            </w:r>
          </w:p>
          <w:p w:rsidR="005C6247" w:rsidRPr="00A662F2" w:rsidRDefault="005C6247" w:rsidP="00895CFF">
            <w:pPr>
              <w:rPr>
                <w:rFonts w:ascii="Calibri" w:eastAsia="Arial Unicode MS" w:hAnsi="Calibri" w:cs="Arial Unicode MS"/>
                <w:sz w:val="18"/>
                <w:szCs w:val="18"/>
              </w:rPr>
            </w:pPr>
            <w:r w:rsidRPr="00A662F2">
              <w:rPr>
                <w:rFonts w:ascii="Calibri" w:eastAsia="Arial Unicode MS" w:hAnsi="Calibri" w:cs="Arial Unicode MS"/>
                <w:sz w:val="18"/>
                <w:szCs w:val="18"/>
              </w:rPr>
              <w:t>European Journal of Medical Genetics. 60(11):572-577</w:t>
            </w:r>
            <w:r>
              <w:rPr>
                <w:rFonts w:ascii="Calibri" w:eastAsia="Arial Unicode MS" w:hAnsi="Calibri" w:cs="Arial Unicode MS"/>
                <w:sz w:val="18"/>
                <w:szCs w:val="18"/>
              </w:rPr>
              <w:t>.</w:t>
            </w:r>
            <w:r w:rsidRPr="00A662F2">
              <w:rPr>
                <w:rFonts w:ascii="Calibri" w:eastAsia="Arial Unicode MS" w:hAnsi="Calibri" w:cs="Arial Unicode MS"/>
                <w:sz w:val="18"/>
                <w:szCs w:val="18"/>
              </w:rPr>
              <w:t xml:space="preserve"> </w:t>
            </w:r>
          </w:p>
          <w:p w:rsidR="005C6247" w:rsidRPr="00A662F2" w:rsidRDefault="005C6247" w:rsidP="00895CFF">
            <w:pPr>
              <w:rPr>
                <w:b/>
                <w:sz w:val="18"/>
                <w:szCs w:val="18"/>
              </w:rPr>
            </w:pPr>
          </w:p>
        </w:tc>
      </w:tr>
      <w:tr w:rsidR="00970AC4" w:rsidTr="00BB5250">
        <w:trPr>
          <w:trHeight w:val="1083"/>
        </w:trPr>
        <w:tc>
          <w:tcPr>
            <w:tcW w:w="188" w:type="pct"/>
          </w:tcPr>
          <w:p w:rsidR="00970AC4" w:rsidRDefault="003567DF" w:rsidP="00DD308E">
            <w:pPr>
              <w:rPr>
                <w:sz w:val="18"/>
                <w:szCs w:val="18"/>
              </w:rPr>
            </w:pPr>
            <w:r>
              <w:rPr>
                <w:sz w:val="18"/>
                <w:szCs w:val="18"/>
              </w:rPr>
              <w:t>7</w:t>
            </w:r>
          </w:p>
        </w:tc>
        <w:tc>
          <w:tcPr>
            <w:tcW w:w="400" w:type="pct"/>
          </w:tcPr>
          <w:p w:rsidR="00970AC4" w:rsidRPr="009063CD" w:rsidRDefault="00970AC4" w:rsidP="00895CFF">
            <w:pPr>
              <w:spacing w:before="0"/>
              <w:rPr>
                <w:sz w:val="18"/>
                <w:szCs w:val="18"/>
              </w:rPr>
            </w:pPr>
            <w:r>
              <w:rPr>
                <w:sz w:val="18"/>
                <w:szCs w:val="18"/>
              </w:rPr>
              <w:t>S</w:t>
            </w:r>
            <w:r w:rsidRPr="009063CD">
              <w:rPr>
                <w:sz w:val="18"/>
                <w:szCs w:val="18"/>
              </w:rPr>
              <w:t>tudy of diagnostic accuracy</w:t>
            </w:r>
          </w:p>
        </w:tc>
        <w:tc>
          <w:tcPr>
            <w:tcW w:w="650" w:type="pct"/>
          </w:tcPr>
          <w:p w:rsidR="00970AC4" w:rsidRPr="009063CD" w:rsidRDefault="00970AC4" w:rsidP="00647D91">
            <w:pPr>
              <w:pStyle w:val="Heading1"/>
              <w:shd w:val="clear" w:color="auto" w:fill="FFFFFF"/>
              <w:spacing w:after="120"/>
              <w:outlineLvl w:val="0"/>
              <w:rPr>
                <w:sz w:val="18"/>
                <w:szCs w:val="18"/>
              </w:rPr>
            </w:pPr>
            <w:r w:rsidRPr="009063CD">
              <w:rPr>
                <w:bCs w:val="0"/>
                <w:color w:val="auto"/>
                <w:sz w:val="18"/>
                <w:szCs w:val="18"/>
              </w:rPr>
              <w:t>Detection of false</w:t>
            </w:r>
            <w:r w:rsidR="00647D91">
              <w:rPr>
                <w:bCs w:val="0"/>
                <w:color w:val="auto"/>
                <w:sz w:val="18"/>
                <w:szCs w:val="18"/>
              </w:rPr>
              <w:t xml:space="preserve"> </w:t>
            </w:r>
            <w:r w:rsidRPr="009063CD">
              <w:rPr>
                <w:bCs w:val="0"/>
                <w:color w:val="auto"/>
                <w:sz w:val="18"/>
                <w:szCs w:val="18"/>
              </w:rPr>
              <w:t>positive mutations in BRCA gene by next generation sequencing.</w:t>
            </w:r>
          </w:p>
        </w:tc>
        <w:tc>
          <w:tcPr>
            <w:tcW w:w="1950" w:type="pct"/>
          </w:tcPr>
          <w:p w:rsidR="00970AC4" w:rsidRPr="009063CD" w:rsidRDefault="00970AC4" w:rsidP="00895CFF">
            <w:pPr>
              <w:spacing w:before="0"/>
              <w:rPr>
                <w:sz w:val="18"/>
                <w:szCs w:val="18"/>
              </w:rPr>
            </w:pPr>
            <w:r w:rsidRPr="009063CD">
              <w:rPr>
                <w:sz w:val="18"/>
                <w:szCs w:val="18"/>
              </w:rPr>
              <w:t xml:space="preserve">New age sequencing platforms have revolutionized massively parallel sequencing in clinical practice by providing cost effective, rapid, and sensitive sequencing. This study critically evaluates the false positives in multiplex panels and suggests the need for careful analysis.  </w:t>
            </w:r>
          </w:p>
        </w:tc>
        <w:tc>
          <w:tcPr>
            <w:tcW w:w="1205" w:type="pct"/>
          </w:tcPr>
          <w:p w:rsidR="00970AC4" w:rsidRDefault="00661CB6" w:rsidP="00895CFF">
            <w:pPr>
              <w:spacing w:before="0"/>
              <w:rPr>
                <w:sz w:val="18"/>
                <w:szCs w:val="18"/>
              </w:rPr>
            </w:pPr>
            <w:hyperlink r:id="rId23" w:tooltip="Website link to article" w:history="1">
              <w:r w:rsidR="00970AC4" w:rsidRPr="009413B9">
                <w:rPr>
                  <w:rStyle w:val="Hyperlink"/>
                  <w:sz w:val="18"/>
                  <w:szCs w:val="18"/>
                </w:rPr>
                <w:t>https://www.ncbi.nlm.nih.gov/pubmed/27848044</w:t>
              </w:r>
            </w:hyperlink>
          </w:p>
          <w:p w:rsidR="00970AC4" w:rsidRPr="009063CD" w:rsidRDefault="00970AC4" w:rsidP="00895CFF">
            <w:pPr>
              <w:spacing w:before="0"/>
              <w:rPr>
                <w:sz w:val="18"/>
                <w:szCs w:val="18"/>
              </w:rPr>
            </w:pPr>
          </w:p>
        </w:tc>
        <w:tc>
          <w:tcPr>
            <w:tcW w:w="606" w:type="pct"/>
          </w:tcPr>
          <w:p w:rsidR="004A2571" w:rsidRDefault="004A2571" w:rsidP="00895CFF">
            <w:pPr>
              <w:shd w:val="clear" w:color="auto" w:fill="FFFFFF"/>
              <w:spacing w:before="0" w:after="0"/>
              <w:textAlignment w:val="baseline"/>
              <w:rPr>
                <w:sz w:val="18"/>
                <w:szCs w:val="18"/>
              </w:rPr>
            </w:pPr>
            <w:proofErr w:type="spellStart"/>
            <w:r w:rsidRPr="004A2571">
              <w:rPr>
                <w:sz w:val="18"/>
                <w:szCs w:val="18"/>
              </w:rPr>
              <w:t>Suryavanshi</w:t>
            </w:r>
            <w:proofErr w:type="spellEnd"/>
            <w:r>
              <w:rPr>
                <w:sz w:val="18"/>
                <w:szCs w:val="18"/>
              </w:rPr>
              <w:t xml:space="preserve"> et al, 2017.</w:t>
            </w:r>
          </w:p>
          <w:p w:rsidR="00970AC4" w:rsidRPr="009063CD" w:rsidRDefault="00970AC4" w:rsidP="000935FE">
            <w:pPr>
              <w:shd w:val="clear" w:color="auto" w:fill="FFFFFF"/>
              <w:spacing w:before="0" w:after="0"/>
              <w:textAlignment w:val="baseline"/>
              <w:rPr>
                <w:sz w:val="18"/>
                <w:szCs w:val="18"/>
              </w:rPr>
            </w:pPr>
            <w:r w:rsidRPr="009063CD">
              <w:rPr>
                <w:sz w:val="18"/>
                <w:szCs w:val="18"/>
              </w:rPr>
              <w:t>Fam Cancer</w:t>
            </w:r>
            <w:proofErr w:type="gramStart"/>
            <w:r w:rsidRPr="009063CD">
              <w:rPr>
                <w:sz w:val="18"/>
                <w:szCs w:val="18"/>
              </w:rPr>
              <w:t>;16</w:t>
            </w:r>
            <w:proofErr w:type="gramEnd"/>
            <w:r w:rsidRPr="009063CD">
              <w:rPr>
                <w:sz w:val="18"/>
                <w:szCs w:val="18"/>
              </w:rPr>
              <w:t>(3):311-317.</w:t>
            </w:r>
          </w:p>
        </w:tc>
      </w:tr>
      <w:tr w:rsidR="00970AC4" w:rsidTr="00BB5250">
        <w:trPr>
          <w:trHeight w:val="2763"/>
        </w:trPr>
        <w:tc>
          <w:tcPr>
            <w:tcW w:w="188" w:type="pct"/>
          </w:tcPr>
          <w:p w:rsidR="00970AC4" w:rsidRPr="00EC23A7" w:rsidRDefault="003567DF" w:rsidP="00467D59">
            <w:pPr>
              <w:rPr>
                <w:sz w:val="18"/>
                <w:szCs w:val="18"/>
              </w:rPr>
            </w:pPr>
            <w:r>
              <w:rPr>
                <w:sz w:val="18"/>
                <w:szCs w:val="18"/>
              </w:rPr>
              <w:t>8</w:t>
            </w:r>
          </w:p>
        </w:tc>
        <w:tc>
          <w:tcPr>
            <w:tcW w:w="400" w:type="pct"/>
          </w:tcPr>
          <w:p w:rsidR="00970AC4" w:rsidRPr="00B35AEF" w:rsidRDefault="00970AC4" w:rsidP="00DD308E">
            <w:pPr>
              <w:rPr>
                <w:sz w:val="18"/>
                <w:szCs w:val="18"/>
              </w:rPr>
            </w:pPr>
            <w:r w:rsidRPr="00B35AEF">
              <w:rPr>
                <w:sz w:val="18"/>
                <w:szCs w:val="18"/>
              </w:rPr>
              <w:t>Study of diagnostic accuracy</w:t>
            </w:r>
          </w:p>
        </w:tc>
        <w:tc>
          <w:tcPr>
            <w:tcW w:w="650" w:type="pct"/>
          </w:tcPr>
          <w:p w:rsidR="00970AC4" w:rsidRPr="00B35AEF" w:rsidRDefault="00970AC4" w:rsidP="00DD308E">
            <w:pPr>
              <w:rPr>
                <w:sz w:val="18"/>
                <w:szCs w:val="18"/>
              </w:rPr>
            </w:pPr>
            <w:r w:rsidRPr="00B35AEF">
              <w:rPr>
                <w:sz w:val="18"/>
                <w:szCs w:val="18"/>
                <w:lang w:val="en-US"/>
              </w:rPr>
              <w:t>Simultaneous detection of BRCA mutations and large genomic rearrangements in germline DNA and FFPE tumor samples</w:t>
            </w:r>
          </w:p>
        </w:tc>
        <w:tc>
          <w:tcPr>
            <w:tcW w:w="1950" w:type="pct"/>
          </w:tcPr>
          <w:p w:rsidR="00970AC4" w:rsidRPr="00EC23A7" w:rsidRDefault="00970AC4" w:rsidP="002464F7">
            <w:pPr>
              <w:rPr>
                <w:b/>
                <w:sz w:val="18"/>
                <w:szCs w:val="18"/>
              </w:rPr>
            </w:pPr>
            <w:r w:rsidRPr="00B35AEF">
              <w:rPr>
                <w:sz w:val="18"/>
                <w:szCs w:val="18"/>
                <w:lang w:val="en-US"/>
              </w:rPr>
              <w:t>This study describes the development</w:t>
            </w:r>
            <w:r>
              <w:rPr>
                <w:sz w:val="18"/>
                <w:szCs w:val="18"/>
                <w:lang w:val="en-US"/>
              </w:rPr>
              <w:t xml:space="preserve"> </w:t>
            </w:r>
            <w:r w:rsidRPr="00B35AEF">
              <w:rPr>
                <w:sz w:val="18"/>
                <w:szCs w:val="18"/>
                <w:lang w:val="en-US"/>
              </w:rPr>
              <w:t>of a methodology based on next-generation sequencing and a</w:t>
            </w:r>
            <w:r>
              <w:rPr>
                <w:sz w:val="18"/>
                <w:szCs w:val="18"/>
                <w:lang w:val="en-US"/>
              </w:rPr>
              <w:t xml:space="preserve"> </w:t>
            </w:r>
            <w:r w:rsidRPr="00B35AEF">
              <w:rPr>
                <w:sz w:val="18"/>
                <w:szCs w:val="18"/>
                <w:lang w:val="en-US"/>
              </w:rPr>
              <w:t xml:space="preserve">new bioinformatics software for data analysis. The diagnostic method was initially developed on an Illumina </w:t>
            </w:r>
            <w:proofErr w:type="spellStart"/>
            <w:r w:rsidRPr="00B35AEF">
              <w:rPr>
                <w:sz w:val="18"/>
                <w:szCs w:val="18"/>
                <w:lang w:val="en-US"/>
              </w:rPr>
              <w:t>MiSeq</w:t>
            </w:r>
            <w:proofErr w:type="spellEnd"/>
            <w:r w:rsidRPr="00B35AEF">
              <w:rPr>
                <w:sz w:val="18"/>
                <w:szCs w:val="18"/>
                <w:lang w:val="en-US"/>
              </w:rPr>
              <w:t xml:space="preserve"> NGS platform using germline-mutated stem cell lines and then adapted for the Ion Torrent PGM NGS platform as well. They also investigated the usability of NGS coverage data for the detection of copy number variations and exon deletions as a replacement of the conventional MLPA technique. They also tested the developed workflow on FFPE samples from breast and ovarian cancer patients. The method meets the sensitivity and specificity requirements for the genetic diagnosis of breast and ovarian cancers both from germline and FFPE samples</w:t>
            </w:r>
            <w:r w:rsidRPr="00B35AEF">
              <w:rPr>
                <w:b/>
                <w:sz w:val="18"/>
                <w:szCs w:val="18"/>
                <w:lang w:val="en-US"/>
              </w:rPr>
              <w:t>.</w:t>
            </w:r>
          </w:p>
        </w:tc>
        <w:tc>
          <w:tcPr>
            <w:tcW w:w="1205" w:type="pct"/>
          </w:tcPr>
          <w:p w:rsidR="00970AC4" w:rsidRPr="00B35AEF" w:rsidRDefault="00661CB6" w:rsidP="00DD308E">
            <w:pPr>
              <w:rPr>
                <w:sz w:val="18"/>
                <w:szCs w:val="18"/>
              </w:rPr>
            </w:pPr>
            <w:hyperlink r:id="rId24" w:history="1">
              <w:r w:rsidR="00970AC4" w:rsidRPr="00B35AEF">
                <w:rPr>
                  <w:rStyle w:val="Hyperlink"/>
                  <w:sz w:val="18"/>
                  <w:szCs w:val="18"/>
                </w:rPr>
                <w:t>https://www.ncbi.nlm.nih.gov/pmc/articles/PMC5308695/pdf/oncotarget-07-61845.pdf</w:t>
              </w:r>
            </w:hyperlink>
          </w:p>
        </w:tc>
        <w:tc>
          <w:tcPr>
            <w:tcW w:w="606" w:type="pct"/>
          </w:tcPr>
          <w:p w:rsidR="00970AC4" w:rsidRPr="00B35AEF" w:rsidRDefault="00970AC4" w:rsidP="00DD308E">
            <w:pPr>
              <w:rPr>
                <w:sz w:val="18"/>
                <w:szCs w:val="18"/>
                <w:lang w:val="en-US"/>
              </w:rPr>
            </w:pPr>
            <w:proofErr w:type="spellStart"/>
            <w:r>
              <w:rPr>
                <w:sz w:val="18"/>
                <w:szCs w:val="18"/>
                <w:lang w:val="en-US"/>
              </w:rPr>
              <w:t>Enyedi</w:t>
            </w:r>
            <w:proofErr w:type="spellEnd"/>
            <w:r>
              <w:rPr>
                <w:sz w:val="18"/>
                <w:szCs w:val="18"/>
                <w:lang w:val="en-US"/>
              </w:rPr>
              <w:t xml:space="preserve"> et al, 2016 September</w:t>
            </w:r>
          </w:p>
          <w:p w:rsidR="00970AC4" w:rsidRPr="00EC23A7" w:rsidRDefault="00970AC4" w:rsidP="00EC724A">
            <w:pPr>
              <w:rPr>
                <w:b/>
                <w:sz w:val="18"/>
                <w:szCs w:val="18"/>
              </w:rPr>
            </w:pPr>
            <w:proofErr w:type="spellStart"/>
            <w:r w:rsidRPr="00B35AEF">
              <w:rPr>
                <w:sz w:val="18"/>
                <w:szCs w:val="18"/>
              </w:rPr>
              <w:t>Oncotarget</w:t>
            </w:r>
            <w:proofErr w:type="spellEnd"/>
            <w:r w:rsidRPr="00B35AEF">
              <w:rPr>
                <w:sz w:val="18"/>
                <w:szCs w:val="18"/>
              </w:rPr>
              <w:t>. 7(38):61845-61859</w:t>
            </w:r>
            <w:r>
              <w:rPr>
                <w:sz w:val="18"/>
                <w:szCs w:val="18"/>
              </w:rPr>
              <w:t>.</w:t>
            </w:r>
            <w:r w:rsidRPr="00B35AEF">
              <w:rPr>
                <w:sz w:val="18"/>
                <w:szCs w:val="18"/>
              </w:rPr>
              <w:t xml:space="preserve"> </w:t>
            </w:r>
          </w:p>
        </w:tc>
      </w:tr>
      <w:tr w:rsidR="00970AC4" w:rsidTr="00BB5250">
        <w:tc>
          <w:tcPr>
            <w:tcW w:w="188" w:type="pct"/>
          </w:tcPr>
          <w:p w:rsidR="00970AC4" w:rsidRPr="00467D59" w:rsidRDefault="003567DF" w:rsidP="00DD308E">
            <w:pPr>
              <w:rPr>
                <w:sz w:val="18"/>
                <w:szCs w:val="18"/>
              </w:rPr>
            </w:pPr>
            <w:r w:rsidRPr="00467D59">
              <w:rPr>
                <w:sz w:val="18"/>
                <w:szCs w:val="18"/>
              </w:rPr>
              <w:t>9</w:t>
            </w:r>
          </w:p>
        </w:tc>
        <w:tc>
          <w:tcPr>
            <w:tcW w:w="400" w:type="pct"/>
          </w:tcPr>
          <w:p w:rsidR="00970AC4" w:rsidRPr="00455475" w:rsidRDefault="00970AC4" w:rsidP="00DD308E">
            <w:pPr>
              <w:rPr>
                <w:sz w:val="18"/>
                <w:szCs w:val="18"/>
              </w:rPr>
            </w:pPr>
            <w:r w:rsidRPr="00455475">
              <w:rPr>
                <w:sz w:val="18"/>
                <w:szCs w:val="18"/>
              </w:rPr>
              <w:t>Study of diagnostic accuracy</w:t>
            </w:r>
          </w:p>
        </w:tc>
        <w:tc>
          <w:tcPr>
            <w:tcW w:w="650" w:type="pct"/>
          </w:tcPr>
          <w:p w:rsidR="00970AC4" w:rsidRPr="00455475" w:rsidRDefault="00970AC4" w:rsidP="00DD308E">
            <w:pPr>
              <w:rPr>
                <w:sz w:val="18"/>
                <w:szCs w:val="18"/>
              </w:rPr>
            </w:pPr>
            <w:r w:rsidRPr="00455475">
              <w:rPr>
                <w:sz w:val="18"/>
                <w:szCs w:val="18"/>
                <w:lang w:val="en-US"/>
              </w:rPr>
              <w:t xml:space="preserve">Performance of </w:t>
            </w:r>
            <w:proofErr w:type="spellStart"/>
            <w:r w:rsidRPr="00455475">
              <w:rPr>
                <w:sz w:val="18"/>
                <w:szCs w:val="18"/>
                <w:lang w:val="en-US"/>
              </w:rPr>
              <w:t>multiplicom's</w:t>
            </w:r>
            <w:proofErr w:type="spellEnd"/>
            <w:r w:rsidRPr="00455475">
              <w:rPr>
                <w:sz w:val="18"/>
                <w:szCs w:val="18"/>
                <w:lang w:val="en-US"/>
              </w:rPr>
              <w:t xml:space="preserve"> BRCA MASTR </w:t>
            </w:r>
            <w:proofErr w:type="spellStart"/>
            <w:r w:rsidRPr="00455475">
              <w:rPr>
                <w:sz w:val="18"/>
                <w:szCs w:val="18"/>
                <w:lang w:val="en-US"/>
              </w:rPr>
              <w:t>Dx</w:t>
            </w:r>
            <w:proofErr w:type="spellEnd"/>
            <w:r w:rsidRPr="00455475">
              <w:rPr>
                <w:sz w:val="18"/>
                <w:szCs w:val="18"/>
                <w:lang w:val="en-US"/>
              </w:rPr>
              <w:t xml:space="preserve"> kit on the detection of BRCA1 and BRCA2 mutations in fresh frozen ovarian and breast tumor samples.</w:t>
            </w:r>
          </w:p>
        </w:tc>
        <w:tc>
          <w:tcPr>
            <w:tcW w:w="1950" w:type="pct"/>
          </w:tcPr>
          <w:p w:rsidR="00970AC4" w:rsidRPr="00455475" w:rsidRDefault="00970AC4" w:rsidP="00455475">
            <w:pPr>
              <w:rPr>
                <w:sz w:val="18"/>
                <w:szCs w:val="18"/>
              </w:rPr>
            </w:pPr>
            <w:r w:rsidRPr="00455475">
              <w:rPr>
                <w:sz w:val="18"/>
                <w:szCs w:val="18"/>
              </w:rPr>
              <w:t xml:space="preserve">This study evaluated </w:t>
            </w:r>
            <w:proofErr w:type="spellStart"/>
            <w:r w:rsidRPr="00455475">
              <w:rPr>
                <w:sz w:val="18"/>
                <w:szCs w:val="18"/>
              </w:rPr>
              <w:t>Multiplicom's</w:t>
            </w:r>
            <w:proofErr w:type="spellEnd"/>
            <w:r w:rsidRPr="00455475">
              <w:rPr>
                <w:sz w:val="18"/>
                <w:szCs w:val="18"/>
              </w:rPr>
              <w:t xml:space="preserve"> BRCA MASTR </w:t>
            </w:r>
            <w:proofErr w:type="spellStart"/>
            <w:r w:rsidRPr="00455475">
              <w:rPr>
                <w:sz w:val="18"/>
                <w:szCs w:val="18"/>
              </w:rPr>
              <w:t>Dx</w:t>
            </w:r>
            <w:proofErr w:type="spellEnd"/>
            <w:r w:rsidRPr="00455475">
              <w:rPr>
                <w:sz w:val="18"/>
                <w:szCs w:val="18"/>
              </w:rPr>
              <w:t xml:space="preserve"> assay on a set of 97 FFT derived DNA samples, in combination with the MID for Illumina </w:t>
            </w:r>
            <w:proofErr w:type="spellStart"/>
            <w:r w:rsidRPr="00455475">
              <w:rPr>
                <w:sz w:val="18"/>
                <w:szCs w:val="18"/>
              </w:rPr>
              <w:t>MiSeq</w:t>
            </w:r>
            <w:proofErr w:type="spellEnd"/>
            <w:r w:rsidRPr="00455475">
              <w:rPr>
                <w:sz w:val="18"/>
                <w:szCs w:val="18"/>
              </w:rPr>
              <w:t xml:space="preserve"> for BRCA1 and BRCA2 mutation detection. We obtained interpretable NGS results for all tested samples and showed &gt; 99.7% sensitivity, specificity and accuracy.</w:t>
            </w:r>
          </w:p>
        </w:tc>
        <w:tc>
          <w:tcPr>
            <w:tcW w:w="1205" w:type="pct"/>
          </w:tcPr>
          <w:p w:rsidR="00970AC4" w:rsidRPr="00455475" w:rsidRDefault="00661CB6" w:rsidP="00DD308E">
            <w:pPr>
              <w:rPr>
                <w:sz w:val="18"/>
                <w:szCs w:val="18"/>
              </w:rPr>
            </w:pPr>
            <w:hyperlink r:id="rId25" w:history="1">
              <w:r w:rsidR="00970AC4" w:rsidRPr="00455475">
                <w:rPr>
                  <w:rStyle w:val="Hyperlink"/>
                  <w:sz w:val="18"/>
                  <w:szCs w:val="18"/>
                </w:rPr>
                <w:t>https://www.ncbi.nlm.nih.gov/pmc/articles/PMC5348397/pdf/oncotarget-07-81357.pdf</w:t>
              </w:r>
            </w:hyperlink>
          </w:p>
        </w:tc>
        <w:tc>
          <w:tcPr>
            <w:tcW w:w="606" w:type="pct"/>
          </w:tcPr>
          <w:p w:rsidR="00970AC4" w:rsidRPr="00455475" w:rsidRDefault="00970AC4" w:rsidP="00DD308E">
            <w:pPr>
              <w:rPr>
                <w:sz w:val="18"/>
                <w:szCs w:val="18"/>
                <w:lang w:val="en-US"/>
              </w:rPr>
            </w:pPr>
            <w:r w:rsidRPr="00455475">
              <w:rPr>
                <w:sz w:val="18"/>
                <w:szCs w:val="18"/>
                <w:lang w:val="en-US"/>
              </w:rPr>
              <w:t>Badoer</w:t>
            </w:r>
            <w:r>
              <w:rPr>
                <w:sz w:val="18"/>
                <w:szCs w:val="18"/>
                <w:lang w:val="en-US"/>
              </w:rPr>
              <w:t xml:space="preserve"> et al, 2016 Dec.</w:t>
            </w:r>
          </w:p>
          <w:p w:rsidR="00970AC4" w:rsidRPr="00455475" w:rsidRDefault="00970AC4" w:rsidP="00EC724A">
            <w:pPr>
              <w:rPr>
                <w:b/>
                <w:sz w:val="18"/>
                <w:szCs w:val="18"/>
              </w:rPr>
            </w:pPr>
            <w:proofErr w:type="spellStart"/>
            <w:r w:rsidRPr="00455475">
              <w:rPr>
                <w:sz w:val="18"/>
                <w:szCs w:val="18"/>
              </w:rPr>
              <w:t>Oncotarget</w:t>
            </w:r>
            <w:proofErr w:type="spellEnd"/>
            <w:r w:rsidRPr="00455475">
              <w:rPr>
                <w:sz w:val="18"/>
                <w:szCs w:val="18"/>
              </w:rPr>
              <w:t>. 7(49):81357-81366</w:t>
            </w:r>
            <w:r>
              <w:rPr>
                <w:sz w:val="18"/>
                <w:szCs w:val="18"/>
              </w:rPr>
              <w:t xml:space="preserve">. </w:t>
            </w:r>
          </w:p>
        </w:tc>
      </w:tr>
      <w:tr w:rsidR="00970AC4" w:rsidTr="00BB5250">
        <w:tc>
          <w:tcPr>
            <w:tcW w:w="188" w:type="pct"/>
          </w:tcPr>
          <w:p w:rsidR="00970AC4" w:rsidRPr="00467D59" w:rsidRDefault="003567DF" w:rsidP="00DD308E">
            <w:pPr>
              <w:rPr>
                <w:sz w:val="18"/>
                <w:szCs w:val="18"/>
              </w:rPr>
            </w:pPr>
            <w:r w:rsidRPr="00467D59">
              <w:rPr>
                <w:sz w:val="18"/>
                <w:szCs w:val="18"/>
              </w:rPr>
              <w:t>10</w:t>
            </w:r>
          </w:p>
        </w:tc>
        <w:tc>
          <w:tcPr>
            <w:tcW w:w="400" w:type="pct"/>
          </w:tcPr>
          <w:p w:rsidR="00970AC4" w:rsidRPr="002464F7" w:rsidRDefault="00970AC4" w:rsidP="002464F7">
            <w:pPr>
              <w:rPr>
                <w:sz w:val="18"/>
                <w:szCs w:val="18"/>
              </w:rPr>
            </w:pPr>
            <w:r w:rsidRPr="002464F7">
              <w:rPr>
                <w:sz w:val="18"/>
                <w:szCs w:val="18"/>
              </w:rPr>
              <w:t>Study</w:t>
            </w:r>
            <w:r>
              <w:rPr>
                <w:sz w:val="18"/>
                <w:szCs w:val="18"/>
              </w:rPr>
              <w:t xml:space="preserve"> </w:t>
            </w:r>
            <w:r w:rsidRPr="002464F7">
              <w:rPr>
                <w:sz w:val="18"/>
                <w:szCs w:val="18"/>
              </w:rPr>
              <w:t>of diagnostic accuracy</w:t>
            </w:r>
          </w:p>
        </w:tc>
        <w:tc>
          <w:tcPr>
            <w:tcW w:w="650" w:type="pct"/>
          </w:tcPr>
          <w:p w:rsidR="00970AC4" w:rsidRPr="002464F7" w:rsidRDefault="00970AC4" w:rsidP="00DD308E">
            <w:pPr>
              <w:rPr>
                <w:sz w:val="18"/>
                <w:szCs w:val="18"/>
              </w:rPr>
            </w:pPr>
            <w:r w:rsidRPr="002464F7">
              <w:rPr>
                <w:sz w:val="18"/>
                <w:szCs w:val="18"/>
                <w:lang w:val="en-US"/>
              </w:rPr>
              <w:t>Implementation of next-generation sequencing for molecular diagnosis of hereditary breast and ovarian cancer highlights its genetic heterogeneity</w:t>
            </w:r>
          </w:p>
        </w:tc>
        <w:tc>
          <w:tcPr>
            <w:tcW w:w="1950" w:type="pct"/>
          </w:tcPr>
          <w:p w:rsidR="00970AC4" w:rsidRPr="002464F7" w:rsidRDefault="00970AC4" w:rsidP="00DD308E">
            <w:pPr>
              <w:rPr>
                <w:sz w:val="18"/>
                <w:szCs w:val="18"/>
              </w:rPr>
            </w:pPr>
            <w:r w:rsidRPr="002464F7">
              <w:rPr>
                <w:sz w:val="18"/>
                <w:szCs w:val="18"/>
                <w:lang w:val="en-US"/>
              </w:rPr>
              <w:t>The aim of this work was to validate the use of next-generation sequencing (NGS) for the detection of BRCA1/BRCA2 point mutations in a diagnostic setting and to study the role of other genes associated with HBOC in Portuguese families</w:t>
            </w:r>
            <w:r>
              <w:rPr>
                <w:sz w:val="18"/>
                <w:szCs w:val="18"/>
                <w:lang w:val="en-US"/>
              </w:rPr>
              <w:t xml:space="preserve">. </w:t>
            </w:r>
            <w:r w:rsidRPr="002464F7">
              <w:rPr>
                <w:sz w:val="18"/>
                <w:szCs w:val="18"/>
                <w:lang w:val="en-US"/>
              </w:rPr>
              <w:t>. A total of 506 variants in the BRCA1/BRCA2 genes were detected by both methodologies, with a 100 % concordance between them. This strategy allowed the detection of a total of 39 deleterious mutations in the 94 index patients, namely 10 in BRCA1 (25.6 %), 21 in BRCA2 (53.8 %), four in PALB2 (10.3 %), two in ATM (5.1 %), one in CHEK2 (2.6 %), and one in TP53 (2.6 %), with 20.5 % of the deleterious mutations being found in genes other than BRCA1/BRCA2. These results demonstrate the efficiency of NGS for the detection of BRCA1/BRCA2 point mutations and highlight the genetic heterogeneity of HBOC</w:t>
            </w:r>
            <w:r>
              <w:rPr>
                <w:sz w:val="18"/>
                <w:szCs w:val="18"/>
                <w:lang w:val="en-US"/>
              </w:rPr>
              <w:t>.</w:t>
            </w:r>
          </w:p>
        </w:tc>
        <w:tc>
          <w:tcPr>
            <w:tcW w:w="1205" w:type="pct"/>
          </w:tcPr>
          <w:p w:rsidR="00970AC4" w:rsidRPr="002464F7" w:rsidRDefault="00661CB6" w:rsidP="00DD308E">
            <w:pPr>
              <w:rPr>
                <w:sz w:val="18"/>
                <w:szCs w:val="18"/>
              </w:rPr>
            </w:pPr>
            <w:hyperlink r:id="rId26" w:history="1">
              <w:r w:rsidR="00970AC4" w:rsidRPr="002464F7">
                <w:rPr>
                  <w:rStyle w:val="Hyperlink"/>
                  <w:sz w:val="18"/>
                  <w:szCs w:val="18"/>
                </w:rPr>
                <w:t>https://link.springer.com/article/10.1007%2Fs10549-016-3948-z</w:t>
              </w:r>
            </w:hyperlink>
          </w:p>
        </w:tc>
        <w:tc>
          <w:tcPr>
            <w:tcW w:w="606" w:type="pct"/>
          </w:tcPr>
          <w:p w:rsidR="00970AC4" w:rsidRPr="002464F7" w:rsidRDefault="00970AC4" w:rsidP="00DD308E">
            <w:pPr>
              <w:rPr>
                <w:sz w:val="18"/>
                <w:szCs w:val="18"/>
                <w:lang w:val="en-US"/>
              </w:rPr>
            </w:pPr>
            <w:r w:rsidRPr="002464F7">
              <w:rPr>
                <w:sz w:val="18"/>
                <w:szCs w:val="18"/>
                <w:lang w:val="en-US"/>
              </w:rPr>
              <w:t>Pinto</w:t>
            </w:r>
            <w:r>
              <w:rPr>
                <w:sz w:val="18"/>
                <w:szCs w:val="18"/>
                <w:lang w:val="en-US"/>
              </w:rPr>
              <w:t xml:space="preserve"> et al, 2016 Sep.</w:t>
            </w:r>
          </w:p>
          <w:p w:rsidR="00970AC4" w:rsidRPr="002464F7" w:rsidRDefault="00970AC4" w:rsidP="00EC724A">
            <w:pPr>
              <w:rPr>
                <w:sz w:val="18"/>
                <w:szCs w:val="18"/>
              </w:rPr>
            </w:pPr>
            <w:r w:rsidRPr="002464F7">
              <w:rPr>
                <w:sz w:val="18"/>
                <w:szCs w:val="18"/>
              </w:rPr>
              <w:t>Breast Cancer Research &amp; Treatment. 159(2):245-56</w:t>
            </w:r>
          </w:p>
        </w:tc>
      </w:tr>
      <w:tr w:rsidR="00970AC4" w:rsidTr="00BB5250">
        <w:tc>
          <w:tcPr>
            <w:tcW w:w="188" w:type="pct"/>
          </w:tcPr>
          <w:p w:rsidR="00970AC4" w:rsidRPr="00467D59" w:rsidRDefault="003567DF" w:rsidP="007171E4">
            <w:pPr>
              <w:rPr>
                <w:sz w:val="18"/>
                <w:szCs w:val="18"/>
              </w:rPr>
            </w:pPr>
            <w:r w:rsidRPr="00467D59">
              <w:rPr>
                <w:sz w:val="18"/>
                <w:szCs w:val="18"/>
              </w:rPr>
              <w:t>11</w:t>
            </w:r>
          </w:p>
        </w:tc>
        <w:tc>
          <w:tcPr>
            <w:tcW w:w="400" w:type="pct"/>
          </w:tcPr>
          <w:p w:rsidR="00970AC4" w:rsidRPr="007875EB" w:rsidRDefault="00970AC4" w:rsidP="00DD308E">
            <w:pPr>
              <w:rPr>
                <w:sz w:val="18"/>
                <w:szCs w:val="18"/>
              </w:rPr>
            </w:pPr>
            <w:r w:rsidRPr="007875EB">
              <w:rPr>
                <w:sz w:val="18"/>
                <w:szCs w:val="18"/>
              </w:rPr>
              <w:t>Study of diagnostic accuracy</w:t>
            </w:r>
          </w:p>
        </w:tc>
        <w:tc>
          <w:tcPr>
            <w:tcW w:w="650" w:type="pct"/>
          </w:tcPr>
          <w:p w:rsidR="00970AC4" w:rsidRPr="007875EB" w:rsidRDefault="00970AC4" w:rsidP="00DD308E">
            <w:pPr>
              <w:rPr>
                <w:sz w:val="18"/>
                <w:szCs w:val="18"/>
              </w:rPr>
            </w:pPr>
            <w:r w:rsidRPr="007875EB">
              <w:rPr>
                <w:sz w:val="18"/>
                <w:szCs w:val="18"/>
              </w:rPr>
              <w:t xml:space="preserve">Evaluation of an amplicon-based next-generation sequencing panel for detection of </w:t>
            </w:r>
            <w:r w:rsidRPr="007875EB">
              <w:rPr>
                <w:sz w:val="18"/>
                <w:szCs w:val="18"/>
              </w:rPr>
              <w:lastRenderedPageBreak/>
              <w:t>BRCA1 and BRCA2 genetic variants.</w:t>
            </w:r>
          </w:p>
        </w:tc>
        <w:tc>
          <w:tcPr>
            <w:tcW w:w="1950" w:type="pct"/>
          </w:tcPr>
          <w:p w:rsidR="00970AC4" w:rsidRPr="007875EB" w:rsidRDefault="00970AC4" w:rsidP="007875EB">
            <w:pPr>
              <w:rPr>
                <w:sz w:val="18"/>
                <w:szCs w:val="18"/>
              </w:rPr>
            </w:pPr>
            <w:r w:rsidRPr="007875EB">
              <w:rPr>
                <w:sz w:val="18"/>
                <w:szCs w:val="18"/>
              </w:rPr>
              <w:lastRenderedPageBreak/>
              <w:t xml:space="preserve">This study tested samples from 88 patients using the </w:t>
            </w:r>
            <w:proofErr w:type="spellStart"/>
            <w:r w:rsidRPr="007875EB">
              <w:rPr>
                <w:sz w:val="18"/>
                <w:szCs w:val="18"/>
              </w:rPr>
              <w:t>TruSeq</w:t>
            </w:r>
            <w:proofErr w:type="spellEnd"/>
            <w:r w:rsidRPr="007875EB">
              <w:rPr>
                <w:sz w:val="18"/>
                <w:szCs w:val="18"/>
              </w:rPr>
              <w:t xml:space="preserve"> custom panel (Illumina </w:t>
            </w:r>
            <w:proofErr w:type="spellStart"/>
            <w:r w:rsidRPr="007875EB">
              <w:rPr>
                <w:sz w:val="18"/>
                <w:szCs w:val="18"/>
              </w:rPr>
              <w:t>Inc</w:t>
            </w:r>
            <w:proofErr w:type="spellEnd"/>
            <w:r w:rsidRPr="007875EB">
              <w:rPr>
                <w:sz w:val="18"/>
                <w:szCs w:val="18"/>
              </w:rPr>
              <w:t xml:space="preserve">, USA) and a </w:t>
            </w:r>
            <w:proofErr w:type="spellStart"/>
            <w:r w:rsidRPr="007875EB">
              <w:rPr>
                <w:sz w:val="18"/>
                <w:szCs w:val="18"/>
              </w:rPr>
              <w:t>MiSeq</w:t>
            </w:r>
            <w:proofErr w:type="spellEnd"/>
            <w:r w:rsidRPr="007875EB">
              <w:rPr>
                <w:sz w:val="18"/>
                <w:szCs w:val="18"/>
              </w:rPr>
              <w:t xml:space="preserve"> sequencer (Illumina) and compared the results to the outcomes of conventional Sanger sequencing. All 1015 sequence variations identified by Sanger sequencing were detected by NGS, except for one missense variant </w:t>
            </w:r>
            <w:r w:rsidRPr="007875EB">
              <w:rPr>
                <w:sz w:val="18"/>
                <w:szCs w:val="18"/>
              </w:rPr>
              <w:lastRenderedPageBreak/>
              <w:t xml:space="preserve">that might have been missed due to a rare mutation on a primer-binding site. One deletion variation, c.1909 + 12delT of BRCA2, was falsely called in all samples due to a </w:t>
            </w:r>
            <w:proofErr w:type="spellStart"/>
            <w:r w:rsidRPr="007875EB">
              <w:rPr>
                <w:sz w:val="18"/>
                <w:szCs w:val="18"/>
              </w:rPr>
              <w:t>homopolymer</w:t>
            </w:r>
            <w:proofErr w:type="spellEnd"/>
            <w:r w:rsidRPr="007875EB">
              <w:rPr>
                <w:sz w:val="18"/>
                <w:szCs w:val="18"/>
              </w:rPr>
              <w:t xml:space="preserve"> error. In addition, seven different single-nucleotide substitutions with low variant frequencies were falsely called by NGS. In a separate batch, 10 different false-positive variations were found in five samples. The overall sensitivity and positive predictive value of NGS were estimated to be 99.9 and 87.5 %, respectively. Targeted NGS panel for BRCA1 and BRCA2 showed an excellent agreement with Sanger sequencing results. </w:t>
            </w:r>
          </w:p>
        </w:tc>
        <w:tc>
          <w:tcPr>
            <w:tcW w:w="1205" w:type="pct"/>
          </w:tcPr>
          <w:p w:rsidR="00970AC4" w:rsidRPr="007875EB" w:rsidRDefault="00661CB6" w:rsidP="00DD308E">
            <w:pPr>
              <w:rPr>
                <w:sz w:val="18"/>
                <w:szCs w:val="18"/>
              </w:rPr>
            </w:pPr>
            <w:hyperlink r:id="rId27" w:history="1">
              <w:r w:rsidR="00970AC4" w:rsidRPr="007875EB">
                <w:rPr>
                  <w:rStyle w:val="Hyperlink"/>
                  <w:sz w:val="18"/>
                  <w:szCs w:val="18"/>
                </w:rPr>
                <w:t>https://link.springer.com/article/10.1007%2Fs10549-016-3891-z</w:t>
              </w:r>
            </w:hyperlink>
          </w:p>
        </w:tc>
        <w:tc>
          <w:tcPr>
            <w:tcW w:w="606" w:type="pct"/>
          </w:tcPr>
          <w:p w:rsidR="00970AC4" w:rsidRDefault="00970AC4" w:rsidP="007875EB">
            <w:pPr>
              <w:rPr>
                <w:sz w:val="18"/>
                <w:szCs w:val="18"/>
              </w:rPr>
            </w:pPr>
            <w:r w:rsidRPr="007875EB">
              <w:rPr>
                <w:sz w:val="18"/>
                <w:szCs w:val="18"/>
              </w:rPr>
              <w:t xml:space="preserve">Shin </w:t>
            </w:r>
            <w:r>
              <w:rPr>
                <w:sz w:val="18"/>
                <w:szCs w:val="18"/>
              </w:rPr>
              <w:t>et al, 2016 Aug.</w:t>
            </w:r>
          </w:p>
          <w:p w:rsidR="00970AC4" w:rsidRPr="00E82F54" w:rsidRDefault="00970AC4" w:rsidP="00EC724A">
            <w:pPr>
              <w:rPr>
                <w:b/>
                <w:szCs w:val="20"/>
              </w:rPr>
            </w:pPr>
            <w:r w:rsidRPr="007875EB">
              <w:rPr>
                <w:sz w:val="18"/>
                <w:szCs w:val="18"/>
              </w:rPr>
              <w:t>Breast Cancer Research &amp; Treatment. 158(3):433-40</w:t>
            </w:r>
          </w:p>
        </w:tc>
      </w:tr>
      <w:tr w:rsidR="00D66B16" w:rsidTr="00647D91">
        <w:trPr>
          <w:trHeight w:val="1351"/>
        </w:trPr>
        <w:tc>
          <w:tcPr>
            <w:tcW w:w="188" w:type="pct"/>
          </w:tcPr>
          <w:p w:rsidR="00D66B16" w:rsidRDefault="00D66B16" w:rsidP="007171E4">
            <w:pPr>
              <w:rPr>
                <w:szCs w:val="20"/>
              </w:rPr>
            </w:pPr>
          </w:p>
        </w:tc>
        <w:tc>
          <w:tcPr>
            <w:tcW w:w="400" w:type="pct"/>
          </w:tcPr>
          <w:p w:rsidR="00D66B16" w:rsidRPr="009063CD" w:rsidRDefault="00D66B16" w:rsidP="00895CFF">
            <w:pPr>
              <w:spacing w:before="0"/>
              <w:rPr>
                <w:sz w:val="18"/>
                <w:szCs w:val="18"/>
              </w:rPr>
            </w:pPr>
            <w:r>
              <w:rPr>
                <w:sz w:val="18"/>
                <w:szCs w:val="18"/>
              </w:rPr>
              <w:t>S</w:t>
            </w:r>
            <w:r w:rsidRPr="009063CD">
              <w:rPr>
                <w:sz w:val="18"/>
                <w:szCs w:val="18"/>
              </w:rPr>
              <w:t>tudy of diagnostic accuracy</w:t>
            </w:r>
          </w:p>
        </w:tc>
        <w:tc>
          <w:tcPr>
            <w:tcW w:w="650" w:type="pct"/>
          </w:tcPr>
          <w:p w:rsidR="00D66B16" w:rsidRPr="00245B37" w:rsidRDefault="00D66B16" w:rsidP="00895CFF">
            <w:pPr>
              <w:pStyle w:val="Heading2"/>
              <w:numPr>
                <w:ilvl w:val="0"/>
                <w:numId w:val="0"/>
              </w:numPr>
              <w:shd w:val="clear" w:color="auto" w:fill="FFFFFF"/>
              <w:spacing w:before="0"/>
              <w:ind w:left="357" w:hanging="357"/>
              <w:jc w:val="both"/>
              <w:outlineLvl w:val="1"/>
              <w:rPr>
                <w:b w:val="0"/>
                <w:sz w:val="18"/>
                <w:szCs w:val="18"/>
              </w:rPr>
            </w:pPr>
            <w:r w:rsidRPr="00245B37">
              <w:rPr>
                <w:b w:val="0"/>
                <w:sz w:val="18"/>
                <w:szCs w:val="18"/>
              </w:rPr>
              <w:t xml:space="preserve">Validation of an </w:t>
            </w:r>
          </w:p>
          <w:p w:rsidR="00D66B16" w:rsidRPr="00245B37" w:rsidRDefault="00D66B16" w:rsidP="00647D91">
            <w:pPr>
              <w:pStyle w:val="Heading2"/>
              <w:numPr>
                <w:ilvl w:val="0"/>
                <w:numId w:val="0"/>
              </w:numPr>
              <w:shd w:val="clear" w:color="auto" w:fill="FFFFFF"/>
              <w:spacing w:before="0"/>
              <w:jc w:val="both"/>
              <w:outlineLvl w:val="1"/>
              <w:rPr>
                <w:b w:val="0"/>
                <w:sz w:val="18"/>
                <w:szCs w:val="18"/>
              </w:rPr>
            </w:pPr>
            <w:r w:rsidRPr="00245B37">
              <w:rPr>
                <w:b w:val="0"/>
                <w:sz w:val="18"/>
                <w:szCs w:val="18"/>
              </w:rPr>
              <w:t>NGS Approach</w:t>
            </w:r>
            <w:r w:rsidR="00647D91">
              <w:rPr>
                <w:b w:val="0"/>
                <w:sz w:val="18"/>
                <w:szCs w:val="18"/>
              </w:rPr>
              <w:t xml:space="preserve"> </w:t>
            </w:r>
            <w:r w:rsidRPr="00245B37">
              <w:rPr>
                <w:b w:val="0"/>
                <w:sz w:val="18"/>
                <w:szCs w:val="18"/>
              </w:rPr>
              <w:t>for</w:t>
            </w:r>
            <w:r w:rsidR="00647D91">
              <w:rPr>
                <w:b w:val="0"/>
                <w:sz w:val="18"/>
                <w:szCs w:val="18"/>
              </w:rPr>
              <w:t xml:space="preserve"> d</w:t>
            </w:r>
            <w:r w:rsidRPr="00245B37">
              <w:rPr>
                <w:b w:val="0"/>
                <w:sz w:val="18"/>
                <w:szCs w:val="18"/>
              </w:rPr>
              <w:t xml:space="preserve">iagnostic </w:t>
            </w:r>
          </w:p>
          <w:p w:rsidR="00D66B16" w:rsidRPr="00245B37" w:rsidRDefault="00D66B16" w:rsidP="00895CFF">
            <w:pPr>
              <w:pStyle w:val="Heading2"/>
              <w:numPr>
                <w:ilvl w:val="0"/>
                <w:numId w:val="0"/>
              </w:numPr>
              <w:shd w:val="clear" w:color="auto" w:fill="FFFFFF"/>
              <w:spacing w:before="0"/>
              <w:ind w:left="357" w:hanging="357"/>
              <w:jc w:val="both"/>
              <w:outlineLvl w:val="1"/>
              <w:rPr>
                <w:b w:val="0"/>
                <w:sz w:val="18"/>
                <w:szCs w:val="18"/>
              </w:rPr>
            </w:pPr>
            <w:r w:rsidRPr="00245B37">
              <w:rPr>
                <w:b w:val="0"/>
                <w:sz w:val="18"/>
                <w:szCs w:val="18"/>
              </w:rPr>
              <w:t xml:space="preserve">BRCA1/BRCA2 </w:t>
            </w:r>
          </w:p>
          <w:p w:rsidR="00D66B16" w:rsidRPr="00245B37" w:rsidRDefault="00D66B16" w:rsidP="00895CFF">
            <w:pPr>
              <w:pStyle w:val="Heading2"/>
              <w:numPr>
                <w:ilvl w:val="0"/>
                <w:numId w:val="0"/>
              </w:numPr>
              <w:shd w:val="clear" w:color="auto" w:fill="FFFFFF"/>
              <w:spacing w:before="0"/>
              <w:ind w:left="357" w:hanging="357"/>
              <w:jc w:val="both"/>
              <w:outlineLvl w:val="1"/>
              <w:rPr>
                <w:b w:val="0"/>
                <w:sz w:val="18"/>
                <w:szCs w:val="18"/>
              </w:rPr>
            </w:pPr>
            <w:r w:rsidRPr="00245B37">
              <w:rPr>
                <w:b w:val="0"/>
                <w:sz w:val="18"/>
                <w:szCs w:val="18"/>
              </w:rPr>
              <w:t>Mutation Testing</w:t>
            </w:r>
          </w:p>
          <w:p w:rsidR="00D66B16" w:rsidRPr="009063CD" w:rsidRDefault="00D66B16" w:rsidP="00895CFF">
            <w:pPr>
              <w:spacing w:before="0"/>
              <w:rPr>
                <w:sz w:val="18"/>
                <w:szCs w:val="18"/>
              </w:rPr>
            </w:pPr>
          </w:p>
        </w:tc>
        <w:tc>
          <w:tcPr>
            <w:tcW w:w="1950" w:type="pct"/>
          </w:tcPr>
          <w:p w:rsidR="00D66B16" w:rsidRPr="009063CD" w:rsidRDefault="00D66B16" w:rsidP="00895CFF">
            <w:pPr>
              <w:spacing w:before="0"/>
              <w:rPr>
                <w:sz w:val="18"/>
                <w:szCs w:val="18"/>
              </w:rPr>
            </w:pPr>
            <w:r w:rsidRPr="009063CD">
              <w:rPr>
                <w:sz w:val="18"/>
                <w:szCs w:val="18"/>
              </w:rPr>
              <w:t xml:space="preserve">The aim of the study was to evaluate the sensitivity and specificity of the Ion Torrent PGM™ for diagnostic mutation screening of BRCA1/2 genes.  The study validated a quick and accurate diagnostic test, with an overall specificity of 95.9% and sensitivity of up to 100% followed by confirmation of the identified variants by Sanger sequencing.  The results showed that the Ion </w:t>
            </w:r>
            <w:proofErr w:type="spellStart"/>
            <w:r w:rsidRPr="009063CD">
              <w:rPr>
                <w:sz w:val="18"/>
                <w:szCs w:val="18"/>
              </w:rPr>
              <w:t>AmpliSeq</w:t>
            </w:r>
            <w:proofErr w:type="spellEnd"/>
            <w:r w:rsidRPr="009063CD">
              <w:rPr>
                <w:sz w:val="18"/>
                <w:szCs w:val="18"/>
              </w:rPr>
              <w:t>™ BRCA1/2 Community Panel used with the PGM™ platform was able to detect all sequence variants discovered by Sanger sequencing.</w:t>
            </w:r>
          </w:p>
        </w:tc>
        <w:tc>
          <w:tcPr>
            <w:tcW w:w="1205" w:type="pct"/>
          </w:tcPr>
          <w:p w:rsidR="00D66B16" w:rsidRDefault="00661CB6" w:rsidP="00895CFF">
            <w:pPr>
              <w:spacing w:before="0"/>
              <w:rPr>
                <w:sz w:val="18"/>
                <w:szCs w:val="18"/>
              </w:rPr>
            </w:pPr>
            <w:hyperlink r:id="rId28" w:tooltip="Website link to article" w:history="1">
              <w:r w:rsidR="00D66B16" w:rsidRPr="009413B9">
                <w:rPr>
                  <w:rStyle w:val="Hyperlink"/>
                  <w:sz w:val="18"/>
                  <w:szCs w:val="18"/>
                </w:rPr>
                <w:t>https://www.ncbi.nlm.nih.gov/labs/articles/25893891/</w:t>
              </w:r>
            </w:hyperlink>
          </w:p>
          <w:p w:rsidR="00D66B16" w:rsidRPr="009063CD" w:rsidRDefault="00D66B16" w:rsidP="00895CFF">
            <w:pPr>
              <w:spacing w:before="0"/>
              <w:rPr>
                <w:sz w:val="18"/>
                <w:szCs w:val="18"/>
              </w:rPr>
            </w:pPr>
          </w:p>
        </w:tc>
        <w:tc>
          <w:tcPr>
            <w:tcW w:w="606" w:type="pct"/>
          </w:tcPr>
          <w:p w:rsidR="00D66B16" w:rsidRPr="009063CD" w:rsidRDefault="00D66B16" w:rsidP="00895CFF">
            <w:pPr>
              <w:spacing w:before="0"/>
              <w:rPr>
                <w:sz w:val="18"/>
                <w:szCs w:val="18"/>
              </w:rPr>
            </w:pPr>
            <w:proofErr w:type="spellStart"/>
            <w:r w:rsidRPr="009063CD">
              <w:rPr>
                <w:sz w:val="18"/>
                <w:szCs w:val="18"/>
              </w:rPr>
              <w:t>Dacheva</w:t>
            </w:r>
            <w:proofErr w:type="spellEnd"/>
            <w:r w:rsidRPr="009063CD">
              <w:rPr>
                <w:sz w:val="18"/>
                <w:szCs w:val="18"/>
              </w:rPr>
              <w:t xml:space="preserve"> D. et al. </w:t>
            </w:r>
            <w:proofErr w:type="spellStart"/>
            <w:r w:rsidRPr="009063CD">
              <w:rPr>
                <w:sz w:val="18"/>
                <w:szCs w:val="18"/>
              </w:rPr>
              <w:t>Mol</w:t>
            </w:r>
            <w:proofErr w:type="spellEnd"/>
            <w:r w:rsidRPr="009063CD">
              <w:rPr>
                <w:sz w:val="18"/>
                <w:szCs w:val="18"/>
              </w:rPr>
              <w:t xml:space="preserve"> </w:t>
            </w:r>
            <w:proofErr w:type="spellStart"/>
            <w:r w:rsidRPr="009063CD">
              <w:rPr>
                <w:sz w:val="18"/>
                <w:szCs w:val="18"/>
              </w:rPr>
              <w:t>Diagn</w:t>
            </w:r>
            <w:proofErr w:type="spellEnd"/>
            <w:r w:rsidRPr="009063CD">
              <w:rPr>
                <w:sz w:val="18"/>
                <w:szCs w:val="18"/>
              </w:rPr>
              <w:t xml:space="preserve"> </w:t>
            </w:r>
            <w:proofErr w:type="spellStart"/>
            <w:r w:rsidRPr="009063CD">
              <w:rPr>
                <w:sz w:val="18"/>
                <w:szCs w:val="18"/>
              </w:rPr>
              <w:t>Ther</w:t>
            </w:r>
            <w:proofErr w:type="spellEnd"/>
            <w:r w:rsidRPr="009063CD">
              <w:rPr>
                <w:sz w:val="18"/>
                <w:szCs w:val="18"/>
              </w:rPr>
              <w:t>. 2015 19(2):119-30</w:t>
            </w:r>
          </w:p>
        </w:tc>
      </w:tr>
      <w:tr w:rsidR="00D66B16" w:rsidTr="00BB5250">
        <w:trPr>
          <w:trHeight w:val="1589"/>
        </w:trPr>
        <w:tc>
          <w:tcPr>
            <w:tcW w:w="188" w:type="pct"/>
          </w:tcPr>
          <w:p w:rsidR="00D66B16" w:rsidRPr="00467D59" w:rsidRDefault="003567DF" w:rsidP="007171E4">
            <w:pPr>
              <w:rPr>
                <w:sz w:val="18"/>
                <w:szCs w:val="18"/>
              </w:rPr>
            </w:pPr>
            <w:r w:rsidRPr="00467D59">
              <w:rPr>
                <w:sz w:val="18"/>
                <w:szCs w:val="18"/>
              </w:rPr>
              <w:t>12</w:t>
            </w:r>
          </w:p>
        </w:tc>
        <w:tc>
          <w:tcPr>
            <w:tcW w:w="400" w:type="pct"/>
          </w:tcPr>
          <w:p w:rsidR="00D66B16" w:rsidRPr="009063CD" w:rsidRDefault="00D66B16" w:rsidP="00895CFF">
            <w:pPr>
              <w:spacing w:before="0"/>
              <w:rPr>
                <w:b/>
                <w:sz w:val="18"/>
                <w:szCs w:val="18"/>
              </w:rPr>
            </w:pPr>
            <w:r w:rsidRPr="009063CD">
              <w:rPr>
                <w:sz w:val="18"/>
                <w:szCs w:val="18"/>
              </w:rPr>
              <w:t>Observational</w:t>
            </w:r>
            <w:r w:rsidR="007F17A8">
              <w:rPr>
                <w:sz w:val="18"/>
                <w:szCs w:val="18"/>
              </w:rPr>
              <w:t xml:space="preserve"> study</w:t>
            </w:r>
          </w:p>
        </w:tc>
        <w:tc>
          <w:tcPr>
            <w:tcW w:w="650" w:type="pct"/>
          </w:tcPr>
          <w:p w:rsidR="00D66B16" w:rsidRPr="009063CD" w:rsidRDefault="00D66B16" w:rsidP="000935FE">
            <w:pPr>
              <w:pStyle w:val="Heading1"/>
              <w:shd w:val="clear" w:color="auto" w:fill="FCFCFC"/>
              <w:spacing w:after="120"/>
              <w:outlineLvl w:val="0"/>
              <w:rPr>
                <w:b/>
                <w:sz w:val="18"/>
                <w:szCs w:val="18"/>
              </w:rPr>
            </w:pPr>
            <w:r w:rsidRPr="009063CD">
              <w:rPr>
                <w:bCs w:val="0"/>
                <w:color w:val="333333"/>
                <w:spacing w:val="2"/>
                <w:sz w:val="18"/>
                <w:szCs w:val="18"/>
                <w:lang w:val="en"/>
              </w:rPr>
              <w:t>Detection of inherited mutations for hereditary cancer using target enrichment and next generation sequencing</w:t>
            </w:r>
          </w:p>
        </w:tc>
        <w:tc>
          <w:tcPr>
            <w:tcW w:w="1950" w:type="pct"/>
          </w:tcPr>
          <w:p w:rsidR="00D66B16" w:rsidRPr="009063CD" w:rsidRDefault="00D66B16" w:rsidP="000935FE">
            <w:pPr>
              <w:spacing w:before="0"/>
              <w:rPr>
                <w:color w:val="333333"/>
                <w:spacing w:val="2"/>
                <w:sz w:val="18"/>
                <w:szCs w:val="18"/>
                <w:lang w:val="en"/>
              </w:rPr>
            </w:pPr>
            <w:r w:rsidRPr="009063CD">
              <w:rPr>
                <w:color w:val="333333"/>
                <w:spacing w:val="2"/>
                <w:sz w:val="18"/>
                <w:szCs w:val="18"/>
                <w:shd w:val="clear" w:color="auto" w:fill="FCFCFC"/>
              </w:rPr>
              <w:t>Next generation sequencing (NGS) has been rapidly evolving to increase testing sensitivity and throughput. It can be potentially used to identify inherited mutation in clinical diagnostic setting. This</w:t>
            </w:r>
            <w:r w:rsidR="000935FE">
              <w:rPr>
                <w:color w:val="333333"/>
                <w:spacing w:val="2"/>
                <w:sz w:val="18"/>
                <w:szCs w:val="18"/>
                <w:shd w:val="clear" w:color="auto" w:fill="FCFCFC"/>
              </w:rPr>
              <w:t xml:space="preserve"> </w:t>
            </w:r>
            <w:r w:rsidRPr="009063CD">
              <w:rPr>
                <w:color w:val="333333"/>
                <w:spacing w:val="2"/>
                <w:sz w:val="18"/>
                <w:szCs w:val="18"/>
                <w:lang w:val="en"/>
              </w:rPr>
              <w:t>demonstrate</w:t>
            </w:r>
            <w:r w:rsidR="000935FE">
              <w:rPr>
                <w:color w:val="333333"/>
                <w:spacing w:val="2"/>
                <w:sz w:val="18"/>
                <w:szCs w:val="18"/>
                <w:lang w:val="en"/>
              </w:rPr>
              <w:t xml:space="preserve">s </w:t>
            </w:r>
            <w:r w:rsidRPr="009063CD">
              <w:rPr>
                <w:color w:val="333333"/>
                <w:spacing w:val="2"/>
                <w:sz w:val="18"/>
                <w:szCs w:val="18"/>
                <w:lang w:val="en"/>
              </w:rPr>
              <w:t>that the target enrichment combined with NGS method provides the accuracy, sensitivity, and high throughput for genetic testing for patients with high risk of hereditary or familial cancer</w:t>
            </w:r>
            <w:r w:rsidR="000935FE">
              <w:rPr>
                <w:color w:val="333333"/>
                <w:spacing w:val="2"/>
                <w:sz w:val="18"/>
                <w:szCs w:val="18"/>
                <w:lang w:val="en"/>
              </w:rPr>
              <w:t>.</w:t>
            </w:r>
          </w:p>
        </w:tc>
        <w:tc>
          <w:tcPr>
            <w:tcW w:w="1205" w:type="pct"/>
          </w:tcPr>
          <w:p w:rsidR="00D66B16" w:rsidRDefault="00661CB6" w:rsidP="00895CFF">
            <w:pPr>
              <w:spacing w:before="0"/>
              <w:rPr>
                <w:sz w:val="18"/>
                <w:szCs w:val="18"/>
              </w:rPr>
            </w:pPr>
            <w:hyperlink r:id="rId29" w:tooltip="Website link to article" w:history="1">
              <w:r w:rsidR="00D66B16" w:rsidRPr="009413B9">
                <w:rPr>
                  <w:rStyle w:val="Hyperlink"/>
                  <w:sz w:val="18"/>
                  <w:szCs w:val="18"/>
                </w:rPr>
                <w:t>https://rd.springer.com/article/10.1007/s10689-014-9749-9</w:t>
              </w:r>
            </w:hyperlink>
          </w:p>
          <w:p w:rsidR="00D66B16" w:rsidRPr="009063CD" w:rsidRDefault="00D66B16" w:rsidP="00895CFF">
            <w:pPr>
              <w:spacing w:before="0"/>
              <w:rPr>
                <w:sz w:val="18"/>
                <w:szCs w:val="18"/>
              </w:rPr>
            </w:pPr>
          </w:p>
        </w:tc>
        <w:tc>
          <w:tcPr>
            <w:tcW w:w="606" w:type="pct"/>
          </w:tcPr>
          <w:p w:rsidR="00D66B16" w:rsidRDefault="00D66B16" w:rsidP="00895CFF">
            <w:pPr>
              <w:spacing w:before="0"/>
              <w:rPr>
                <w:sz w:val="18"/>
                <w:szCs w:val="18"/>
              </w:rPr>
            </w:pPr>
            <w:r w:rsidRPr="009063CD">
              <w:rPr>
                <w:sz w:val="18"/>
                <w:szCs w:val="18"/>
              </w:rPr>
              <w:t xml:space="preserve">Guan Y. </w:t>
            </w:r>
            <w:r w:rsidRPr="009063CD">
              <w:rPr>
                <w:i/>
                <w:sz w:val="18"/>
                <w:szCs w:val="18"/>
              </w:rPr>
              <w:t>et al.</w:t>
            </w:r>
            <w:r w:rsidRPr="009063CD">
              <w:rPr>
                <w:sz w:val="18"/>
                <w:szCs w:val="18"/>
              </w:rPr>
              <w:t xml:space="preserve"> </w:t>
            </w:r>
            <w:r>
              <w:rPr>
                <w:sz w:val="18"/>
                <w:szCs w:val="18"/>
              </w:rPr>
              <w:t>2015</w:t>
            </w:r>
          </w:p>
          <w:p w:rsidR="00D66B16" w:rsidRPr="009063CD" w:rsidRDefault="00D66B16" w:rsidP="00970AC4">
            <w:pPr>
              <w:spacing w:before="0"/>
              <w:rPr>
                <w:b/>
                <w:sz w:val="18"/>
                <w:szCs w:val="18"/>
              </w:rPr>
            </w:pPr>
            <w:r w:rsidRPr="009063CD">
              <w:rPr>
                <w:sz w:val="18"/>
                <w:szCs w:val="18"/>
              </w:rPr>
              <w:t>Fam Cancer. 14(1):9-18</w:t>
            </w:r>
          </w:p>
        </w:tc>
      </w:tr>
      <w:tr w:rsidR="00D66B16" w:rsidTr="00BB5250">
        <w:tc>
          <w:tcPr>
            <w:tcW w:w="188" w:type="pct"/>
          </w:tcPr>
          <w:p w:rsidR="00D66B16" w:rsidRPr="00467D59" w:rsidRDefault="003567DF" w:rsidP="007171E4">
            <w:pPr>
              <w:rPr>
                <w:sz w:val="18"/>
                <w:szCs w:val="18"/>
              </w:rPr>
            </w:pPr>
            <w:r w:rsidRPr="00467D59">
              <w:rPr>
                <w:sz w:val="18"/>
                <w:szCs w:val="18"/>
              </w:rPr>
              <w:t>13</w:t>
            </w:r>
          </w:p>
        </w:tc>
        <w:tc>
          <w:tcPr>
            <w:tcW w:w="400" w:type="pct"/>
          </w:tcPr>
          <w:p w:rsidR="00D66B16" w:rsidRPr="007875EB" w:rsidRDefault="00D66B16" w:rsidP="00895CFF">
            <w:pPr>
              <w:rPr>
                <w:sz w:val="18"/>
                <w:szCs w:val="18"/>
              </w:rPr>
            </w:pPr>
            <w:r w:rsidRPr="007875EB">
              <w:rPr>
                <w:sz w:val="18"/>
                <w:szCs w:val="18"/>
              </w:rPr>
              <w:t>Study of diagnostic accuracy</w:t>
            </w:r>
          </w:p>
        </w:tc>
        <w:tc>
          <w:tcPr>
            <w:tcW w:w="650" w:type="pct"/>
          </w:tcPr>
          <w:p w:rsidR="00D66B16" w:rsidRPr="00D14C5D" w:rsidRDefault="00D66B16" w:rsidP="00D14C5D">
            <w:pPr>
              <w:rPr>
                <w:sz w:val="18"/>
                <w:szCs w:val="18"/>
              </w:rPr>
            </w:pPr>
            <w:r w:rsidRPr="00D14C5D">
              <w:rPr>
                <w:sz w:val="18"/>
                <w:szCs w:val="18"/>
                <w:lang w:val="en-US"/>
              </w:rPr>
              <w:t>Massive Parallel Sequencing for Diagnostic Genetic Testing of BRCA Genes--a Single Center Experience</w:t>
            </w:r>
          </w:p>
        </w:tc>
        <w:tc>
          <w:tcPr>
            <w:tcW w:w="1950" w:type="pct"/>
          </w:tcPr>
          <w:p w:rsidR="00D66B16" w:rsidRPr="00D14C5D" w:rsidRDefault="00D66B16" w:rsidP="00DD308E">
            <w:pPr>
              <w:rPr>
                <w:sz w:val="18"/>
                <w:szCs w:val="18"/>
              </w:rPr>
            </w:pPr>
            <w:r w:rsidRPr="00D14C5D">
              <w:rPr>
                <w:sz w:val="18"/>
                <w:szCs w:val="18"/>
                <w:lang w:val="en-US"/>
              </w:rPr>
              <w:t>The aim of this study was to implement massive parallel sequencing (MPS) technology in clinical genetics testing. A total of 16 random DNA samples were characterized using standard Sanger sequencing and applied to optimize the variant calling process and evaluate the accuracy of the MPS-method. The best bioinformatics workflow included the filtration of variants using GATK with the following cut-offs: variant frequency &gt;14%, coverage (&gt;25x) and presence in both the forward and reverse reads. The MPS method had 100% sensitivity and 94.4% specificity. Similar accuracy levels were achieved for DNA obtained from the different sample types</w:t>
            </w:r>
          </w:p>
        </w:tc>
        <w:tc>
          <w:tcPr>
            <w:tcW w:w="1205" w:type="pct"/>
          </w:tcPr>
          <w:p w:rsidR="00D66B16" w:rsidRPr="000D62DB" w:rsidRDefault="00661CB6" w:rsidP="00DD308E">
            <w:pPr>
              <w:rPr>
                <w:sz w:val="18"/>
                <w:szCs w:val="18"/>
              </w:rPr>
            </w:pPr>
            <w:hyperlink r:id="rId30" w:history="1">
              <w:r w:rsidR="00D66B16" w:rsidRPr="000D62DB">
                <w:rPr>
                  <w:rStyle w:val="Hyperlink"/>
                  <w:sz w:val="18"/>
                  <w:szCs w:val="18"/>
                </w:rPr>
                <w:t>http://journal.waocp.org/?sid=Entrez:PubMed&amp;id=pmid:26625824&amp;key=2015.16.17.7935</w:t>
              </w:r>
            </w:hyperlink>
          </w:p>
        </w:tc>
        <w:tc>
          <w:tcPr>
            <w:tcW w:w="606" w:type="pct"/>
          </w:tcPr>
          <w:p w:rsidR="00D66B16" w:rsidRPr="00D14C5D" w:rsidRDefault="00D66B16" w:rsidP="00DD308E">
            <w:pPr>
              <w:rPr>
                <w:sz w:val="18"/>
                <w:szCs w:val="18"/>
                <w:lang w:val="en-US"/>
              </w:rPr>
            </w:pPr>
            <w:proofErr w:type="spellStart"/>
            <w:r w:rsidRPr="00D14C5D">
              <w:rPr>
                <w:sz w:val="18"/>
                <w:szCs w:val="18"/>
                <w:lang w:val="en-US"/>
              </w:rPr>
              <w:t>Ermolenko</w:t>
            </w:r>
            <w:proofErr w:type="spellEnd"/>
            <w:r>
              <w:rPr>
                <w:sz w:val="18"/>
                <w:szCs w:val="18"/>
                <w:lang w:val="en-US"/>
              </w:rPr>
              <w:t xml:space="preserve"> et al, 2015 </w:t>
            </w:r>
          </w:p>
          <w:p w:rsidR="00D66B16" w:rsidRPr="00E82F54" w:rsidRDefault="00D66B16" w:rsidP="00EC724A">
            <w:pPr>
              <w:rPr>
                <w:b/>
                <w:szCs w:val="20"/>
              </w:rPr>
            </w:pPr>
            <w:r w:rsidRPr="00D14C5D">
              <w:rPr>
                <w:sz w:val="18"/>
                <w:szCs w:val="18"/>
                <w:lang w:val="en-US"/>
              </w:rPr>
              <w:t>Asian Pacific Journal of Cancer Pre</w:t>
            </w:r>
            <w:r>
              <w:rPr>
                <w:sz w:val="18"/>
                <w:szCs w:val="18"/>
                <w:lang w:val="en-US"/>
              </w:rPr>
              <w:t xml:space="preserve">vention: </w:t>
            </w:r>
            <w:proofErr w:type="spellStart"/>
            <w:r>
              <w:rPr>
                <w:sz w:val="18"/>
                <w:szCs w:val="18"/>
                <w:lang w:val="en-US"/>
              </w:rPr>
              <w:t>Apjcp</w:t>
            </w:r>
            <w:proofErr w:type="spellEnd"/>
            <w:r>
              <w:rPr>
                <w:sz w:val="18"/>
                <w:szCs w:val="18"/>
                <w:lang w:val="en-US"/>
              </w:rPr>
              <w:t>. 16(17):7935-41.</w:t>
            </w:r>
          </w:p>
        </w:tc>
      </w:tr>
      <w:tr w:rsidR="00D66B16" w:rsidTr="00BB5250">
        <w:tc>
          <w:tcPr>
            <w:tcW w:w="188" w:type="pct"/>
          </w:tcPr>
          <w:p w:rsidR="00D66B16" w:rsidRPr="00467D59" w:rsidRDefault="003567DF" w:rsidP="007171E4">
            <w:pPr>
              <w:rPr>
                <w:sz w:val="18"/>
                <w:szCs w:val="18"/>
              </w:rPr>
            </w:pPr>
            <w:r w:rsidRPr="00467D59">
              <w:rPr>
                <w:sz w:val="18"/>
                <w:szCs w:val="18"/>
              </w:rPr>
              <w:t>14</w:t>
            </w:r>
          </w:p>
        </w:tc>
        <w:tc>
          <w:tcPr>
            <w:tcW w:w="400" w:type="pct"/>
          </w:tcPr>
          <w:p w:rsidR="00D66B16" w:rsidRPr="007875EB" w:rsidRDefault="00D66B16" w:rsidP="00895CFF">
            <w:pPr>
              <w:rPr>
                <w:sz w:val="18"/>
                <w:szCs w:val="18"/>
              </w:rPr>
            </w:pPr>
            <w:r w:rsidRPr="007875EB">
              <w:rPr>
                <w:sz w:val="18"/>
                <w:szCs w:val="18"/>
              </w:rPr>
              <w:t>Study of diagnostic accuracy</w:t>
            </w:r>
          </w:p>
        </w:tc>
        <w:tc>
          <w:tcPr>
            <w:tcW w:w="650" w:type="pct"/>
          </w:tcPr>
          <w:p w:rsidR="00D66B16" w:rsidRPr="00DF7B98" w:rsidRDefault="00D66B16" w:rsidP="00DD308E">
            <w:pPr>
              <w:rPr>
                <w:sz w:val="18"/>
                <w:szCs w:val="18"/>
              </w:rPr>
            </w:pPr>
            <w:r w:rsidRPr="00DF7B98">
              <w:rPr>
                <w:sz w:val="18"/>
                <w:szCs w:val="18"/>
                <w:lang w:val="en-US"/>
              </w:rPr>
              <w:t>Development and Validation of a Next-Generation Sequencing Assay for BRCA1 and BRCA2 Variants for the Clinical Laboratory.</w:t>
            </w:r>
          </w:p>
        </w:tc>
        <w:tc>
          <w:tcPr>
            <w:tcW w:w="1950" w:type="pct"/>
          </w:tcPr>
          <w:p w:rsidR="00D66B16" w:rsidRPr="00DF7B98" w:rsidRDefault="00D66B16" w:rsidP="00DD308E">
            <w:pPr>
              <w:rPr>
                <w:sz w:val="18"/>
                <w:szCs w:val="18"/>
              </w:rPr>
            </w:pPr>
            <w:r w:rsidRPr="00DF7B98">
              <w:rPr>
                <w:sz w:val="18"/>
                <w:szCs w:val="18"/>
              </w:rPr>
              <w:t>The objective of this study was to design and validate a next-generation sequencing assay (NGS) to detect BRCA1 and BRCA2 mutations.</w:t>
            </w:r>
            <w:r>
              <w:t xml:space="preserve"> </w:t>
            </w:r>
            <w:r w:rsidRPr="00DF7B98">
              <w:rPr>
                <w:sz w:val="18"/>
                <w:szCs w:val="18"/>
              </w:rPr>
              <w:t xml:space="preserve">Both the </w:t>
            </w:r>
            <w:proofErr w:type="spellStart"/>
            <w:r w:rsidRPr="00DF7B98">
              <w:rPr>
                <w:sz w:val="18"/>
                <w:szCs w:val="18"/>
              </w:rPr>
              <w:t>MiSeq</w:t>
            </w:r>
            <w:proofErr w:type="spellEnd"/>
            <w:r w:rsidRPr="00DF7B98">
              <w:rPr>
                <w:sz w:val="18"/>
                <w:szCs w:val="18"/>
              </w:rPr>
              <w:t xml:space="preserve">/QSAP combination and PGM/Torrent Suite combination had 100% sensitivity for the 379 known variants in the validation series. However, the PGM/Torrent Suite combination had a lower intra- and inter-assay precision of 96.2% and 96.7%, respectively when compared to the </w:t>
            </w:r>
            <w:proofErr w:type="spellStart"/>
            <w:r w:rsidRPr="00DF7B98">
              <w:rPr>
                <w:sz w:val="18"/>
                <w:szCs w:val="18"/>
              </w:rPr>
              <w:t>MiSeq</w:t>
            </w:r>
            <w:proofErr w:type="spellEnd"/>
            <w:r w:rsidRPr="00DF7B98">
              <w:rPr>
                <w:sz w:val="18"/>
                <w:szCs w:val="18"/>
              </w:rPr>
              <w:t xml:space="preserve">/QSAP combination of 100% and 99.4%, respectively. All PGM/Torrent Suite inconsistencies were false-positive variant assignments. We began commercial testing using both platforms and in the first 521 clinical samples </w:t>
            </w:r>
            <w:proofErr w:type="spellStart"/>
            <w:r w:rsidRPr="00DF7B98">
              <w:rPr>
                <w:sz w:val="18"/>
                <w:szCs w:val="18"/>
              </w:rPr>
              <w:t>MiSeq</w:t>
            </w:r>
            <w:proofErr w:type="spellEnd"/>
            <w:r w:rsidRPr="00DF7B98">
              <w:rPr>
                <w:sz w:val="18"/>
                <w:szCs w:val="18"/>
              </w:rPr>
              <w:t xml:space="preserve">/QSAP had 100% sensitivity for BRCA1/2 variants, including a 64-bp deletion and a 10-bp insertion not identified by PGM/Torrent Suite, which also suffered from a high false-positive rate. Neither the </w:t>
            </w:r>
            <w:proofErr w:type="spellStart"/>
            <w:r w:rsidRPr="00DF7B98">
              <w:rPr>
                <w:sz w:val="18"/>
                <w:szCs w:val="18"/>
              </w:rPr>
              <w:t>MiSeq</w:t>
            </w:r>
            <w:proofErr w:type="spellEnd"/>
            <w:r w:rsidRPr="00DF7B98">
              <w:rPr>
                <w:sz w:val="18"/>
                <w:szCs w:val="18"/>
              </w:rPr>
              <w:t xml:space="preserve"> nor PGM platform with their supplied alignment and variant calling software are appropriate for a clinical laboratory BRCA sequencing test. We have developed an NGS BRCA1/2 sequencing assay, </w:t>
            </w:r>
            <w:proofErr w:type="spellStart"/>
            <w:r w:rsidRPr="00DF7B98">
              <w:rPr>
                <w:sz w:val="18"/>
                <w:szCs w:val="18"/>
              </w:rPr>
              <w:t>MiSeq</w:t>
            </w:r>
            <w:proofErr w:type="spellEnd"/>
            <w:r w:rsidRPr="00DF7B98">
              <w:rPr>
                <w:sz w:val="18"/>
                <w:szCs w:val="18"/>
              </w:rPr>
              <w:t>/QSAP, with 100% analytic sensitivity and specificity in the validation set consisting of 379 variants</w:t>
            </w:r>
            <w:r>
              <w:rPr>
                <w:sz w:val="18"/>
                <w:szCs w:val="18"/>
              </w:rPr>
              <w:t xml:space="preserve">. </w:t>
            </w:r>
          </w:p>
        </w:tc>
        <w:tc>
          <w:tcPr>
            <w:tcW w:w="1205" w:type="pct"/>
          </w:tcPr>
          <w:p w:rsidR="00D66B16" w:rsidRPr="00DF7B98" w:rsidRDefault="00661CB6" w:rsidP="00DD308E">
            <w:pPr>
              <w:rPr>
                <w:sz w:val="18"/>
                <w:szCs w:val="18"/>
              </w:rPr>
            </w:pPr>
            <w:hyperlink r:id="rId31" w:history="1">
              <w:r w:rsidR="00D66B16" w:rsidRPr="00DF7B98">
                <w:rPr>
                  <w:rStyle w:val="Hyperlink"/>
                  <w:sz w:val="18"/>
                  <w:szCs w:val="18"/>
                </w:rPr>
                <w:t>https://www.ncbi.nlm.nih.gov/pmc/articles/PMC4546651/</w:t>
              </w:r>
            </w:hyperlink>
          </w:p>
        </w:tc>
        <w:tc>
          <w:tcPr>
            <w:tcW w:w="606" w:type="pct"/>
          </w:tcPr>
          <w:p w:rsidR="00D66B16" w:rsidRDefault="00D66B16" w:rsidP="00DF7B98">
            <w:pPr>
              <w:rPr>
                <w:rFonts w:ascii="Calibri" w:eastAsia="Arial Unicode MS" w:hAnsi="Calibri" w:cs="Arial Unicode MS"/>
                <w:sz w:val="18"/>
                <w:szCs w:val="18"/>
              </w:rPr>
            </w:pPr>
            <w:r>
              <w:rPr>
                <w:rFonts w:ascii="Calibri" w:eastAsia="Arial Unicode MS" w:hAnsi="Calibri" w:cs="Arial Unicode MS"/>
                <w:sz w:val="18"/>
                <w:szCs w:val="18"/>
              </w:rPr>
              <w:t>Strom et al, 2015</w:t>
            </w:r>
          </w:p>
          <w:p w:rsidR="00D66B16" w:rsidRPr="00DF7B98" w:rsidRDefault="00D66B16" w:rsidP="00DF7B98">
            <w:pPr>
              <w:rPr>
                <w:rFonts w:ascii="Calibri" w:eastAsia="Arial Unicode MS" w:hAnsi="Calibri" w:cs="Arial Unicode MS"/>
                <w:sz w:val="18"/>
                <w:szCs w:val="18"/>
              </w:rPr>
            </w:pPr>
            <w:proofErr w:type="spellStart"/>
            <w:r w:rsidRPr="00DF7B98">
              <w:rPr>
                <w:rFonts w:ascii="Calibri" w:eastAsia="Arial Unicode MS" w:hAnsi="Calibri" w:cs="Arial Unicode MS"/>
                <w:sz w:val="18"/>
                <w:szCs w:val="18"/>
              </w:rPr>
              <w:t>PLoS</w:t>
            </w:r>
            <w:proofErr w:type="spellEnd"/>
            <w:r w:rsidRPr="00DF7B98">
              <w:rPr>
                <w:rFonts w:ascii="Calibri" w:eastAsia="Arial Unicode MS" w:hAnsi="Calibri" w:cs="Arial Unicode MS"/>
                <w:sz w:val="18"/>
                <w:szCs w:val="18"/>
              </w:rPr>
              <w:t xml:space="preserve"> ONE [Elect</w:t>
            </w:r>
            <w:r>
              <w:rPr>
                <w:rFonts w:ascii="Calibri" w:eastAsia="Arial Unicode MS" w:hAnsi="Calibri" w:cs="Arial Unicode MS"/>
                <w:sz w:val="18"/>
                <w:szCs w:val="18"/>
              </w:rPr>
              <w:t xml:space="preserve">ronic Resource]. 10(8):e0136419. </w:t>
            </w:r>
          </w:p>
          <w:p w:rsidR="00D66B16" w:rsidRPr="00E82F54" w:rsidRDefault="00D66B16" w:rsidP="00DD308E">
            <w:pPr>
              <w:rPr>
                <w:b/>
                <w:szCs w:val="20"/>
              </w:rPr>
            </w:pPr>
          </w:p>
        </w:tc>
      </w:tr>
      <w:tr w:rsidR="00467D59" w:rsidTr="00BB5250">
        <w:tc>
          <w:tcPr>
            <w:tcW w:w="188" w:type="pct"/>
          </w:tcPr>
          <w:p w:rsidR="00467D59" w:rsidRPr="00467D59" w:rsidRDefault="00467D59" w:rsidP="007171E4">
            <w:pPr>
              <w:rPr>
                <w:sz w:val="18"/>
                <w:szCs w:val="18"/>
              </w:rPr>
            </w:pPr>
            <w:r w:rsidRPr="00467D59">
              <w:rPr>
                <w:sz w:val="18"/>
                <w:szCs w:val="18"/>
              </w:rPr>
              <w:t>15</w:t>
            </w:r>
          </w:p>
        </w:tc>
        <w:tc>
          <w:tcPr>
            <w:tcW w:w="400" w:type="pct"/>
          </w:tcPr>
          <w:p w:rsidR="00467D59" w:rsidRPr="007875EB" w:rsidRDefault="00467D59" w:rsidP="00895CFF">
            <w:pPr>
              <w:rPr>
                <w:sz w:val="18"/>
                <w:szCs w:val="18"/>
              </w:rPr>
            </w:pPr>
            <w:r w:rsidRPr="007875EB">
              <w:rPr>
                <w:sz w:val="18"/>
                <w:szCs w:val="18"/>
              </w:rPr>
              <w:t>Study of diagnostic accuracy</w:t>
            </w:r>
          </w:p>
        </w:tc>
        <w:tc>
          <w:tcPr>
            <w:tcW w:w="650" w:type="pct"/>
          </w:tcPr>
          <w:p w:rsidR="00467D59" w:rsidRPr="00115974" w:rsidRDefault="00467D59" w:rsidP="00115974">
            <w:pPr>
              <w:rPr>
                <w:rFonts w:eastAsia="Arial Unicode MS" w:cs="Arial Unicode MS"/>
                <w:sz w:val="18"/>
                <w:szCs w:val="18"/>
              </w:rPr>
            </w:pPr>
            <w:r w:rsidRPr="00115974">
              <w:rPr>
                <w:rFonts w:eastAsia="Arial Unicode MS" w:cs="Arial Unicode MS"/>
                <w:sz w:val="18"/>
                <w:szCs w:val="18"/>
              </w:rPr>
              <w:t>Genetic testing in hereditary breast and ovarian cancer usi</w:t>
            </w:r>
            <w:r>
              <w:rPr>
                <w:rFonts w:eastAsia="Arial Unicode MS" w:cs="Arial Unicode MS"/>
                <w:sz w:val="18"/>
                <w:szCs w:val="18"/>
              </w:rPr>
              <w:t>ng massive parallel sequencing</w:t>
            </w:r>
          </w:p>
          <w:p w:rsidR="00467D59" w:rsidRDefault="00467D59" w:rsidP="00DD308E">
            <w:pPr>
              <w:rPr>
                <w:b/>
                <w:szCs w:val="20"/>
              </w:rPr>
            </w:pPr>
          </w:p>
        </w:tc>
        <w:tc>
          <w:tcPr>
            <w:tcW w:w="1950" w:type="pct"/>
          </w:tcPr>
          <w:p w:rsidR="00467D59" w:rsidRPr="00115974" w:rsidRDefault="00467D59" w:rsidP="00115974">
            <w:pPr>
              <w:rPr>
                <w:sz w:val="18"/>
                <w:szCs w:val="18"/>
              </w:rPr>
            </w:pPr>
            <w:r w:rsidRPr="00115974">
              <w:rPr>
                <w:sz w:val="18"/>
                <w:szCs w:val="18"/>
                <w:lang w:val="en-US"/>
              </w:rPr>
              <w:t xml:space="preserve">The aim of this study was to develop a workflow for the detection of BRCA1 and BRCA2 mutations using massive parallel sequencing in a 454 GS Junior bench top sequencer. </w:t>
            </w:r>
            <w:r>
              <w:rPr>
                <w:sz w:val="18"/>
                <w:szCs w:val="18"/>
                <w:lang w:val="en-US"/>
              </w:rPr>
              <w:t xml:space="preserve">This </w:t>
            </w:r>
            <w:r w:rsidRPr="00115974">
              <w:rPr>
                <w:sz w:val="18"/>
                <w:szCs w:val="18"/>
                <w:lang w:val="en-US"/>
              </w:rPr>
              <w:t>approach was first validated in a panel of 23 patients containing 62 unique variants that had been previously Sanger sequenced. Subsequently, 101 patients with familial breast and ovarian cancer were studied. BRCA1 and BRCA2 exon enrichment has been performed by PCR amplification using the BRCA MASTR kit (</w:t>
            </w:r>
            <w:proofErr w:type="spellStart"/>
            <w:r w:rsidRPr="00115974">
              <w:rPr>
                <w:sz w:val="18"/>
                <w:szCs w:val="18"/>
                <w:lang w:val="en-US"/>
              </w:rPr>
              <w:t>Multiplicom</w:t>
            </w:r>
            <w:proofErr w:type="spellEnd"/>
            <w:r w:rsidRPr="00115974">
              <w:rPr>
                <w:sz w:val="18"/>
                <w:szCs w:val="18"/>
                <w:lang w:val="en-US"/>
              </w:rPr>
              <w:t xml:space="preserve">). In total, all 62 variants were detected resulting in a sensitivity of 100%. 71 false positives were called resulting in a specificity of 97.35%. All of them correspond to deletions located in </w:t>
            </w:r>
            <w:proofErr w:type="spellStart"/>
            <w:r w:rsidRPr="00115974">
              <w:rPr>
                <w:sz w:val="18"/>
                <w:szCs w:val="18"/>
                <w:lang w:val="en-US"/>
              </w:rPr>
              <w:t>homopolymeric</w:t>
            </w:r>
            <w:proofErr w:type="spellEnd"/>
            <w:r w:rsidRPr="00115974">
              <w:rPr>
                <w:sz w:val="18"/>
                <w:szCs w:val="18"/>
                <w:lang w:val="en-US"/>
              </w:rPr>
              <w:t xml:space="preserve"> stretches. The analysis of the </w:t>
            </w:r>
            <w:proofErr w:type="spellStart"/>
            <w:r w:rsidRPr="00115974">
              <w:rPr>
                <w:sz w:val="18"/>
                <w:szCs w:val="18"/>
                <w:lang w:val="en-US"/>
              </w:rPr>
              <w:t>homopolymers</w:t>
            </w:r>
            <w:proofErr w:type="spellEnd"/>
            <w:r w:rsidRPr="00115974">
              <w:rPr>
                <w:sz w:val="18"/>
                <w:szCs w:val="18"/>
                <w:lang w:val="en-US"/>
              </w:rPr>
              <w:t xml:space="preserve"> stretches of 6bp or longer using the BRCA HP kit (</w:t>
            </w:r>
            <w:proofErr w:type="spellStart"/>
            <w:r w:rsidRPr="00115974">
              <w:rPr>
                <w:sz w:val="18"/>
                <w:szCs w:val="18"/>
                <w:lang w:val="en-US"/>
              </w:rPr>
              <w:t>Multiplicom</w:t>
            </w:r>
            <w:proofErr w:type="spellEnd"/>
            <w:r w:rsidRPr="00115974">
              <w:rPr>
                <w:sz w:val="18"/>
                <w:szCs w:val="18"/>
                <w:lang w:val="en-US"/>
              </w:rPr>
              <w:t>)</w:t>
            </w:r>
            <w:r>
              <w:rPr>
                <w:sz w:val="18"/>
                <w:szCs w:val="18"/>
                <w:lang w:val="en-US"/>
              </w:rPr>
              <w:t xml:space="preserve"> </w:t>
            </w:r>
            <w:r w:rsidRPr="00115974">
              <w:rPr>
                <w:sz w:val="18"/>
                <w:szCs w:val="18"/>
                <w:lang w:val="en-US"/>
              </w:rPr>
              <w:t xml:space="preserve">increased the specificity of the detection of BRCA1 and BRCA2 mutations to 99.99%. </w:t>
            </w:r>
          </w:p>
        </w:tc>
        <w:tc>
          <w:tcPr>
            <w:tcW w:w="1205" w:type="pct"/>
          </w:tcPr>
          <w:p w:rsidR="00467D59" w:rsidRPr="00550882" w:rsidRDefault="00661CB6" w:rsidP="00DD308E">
            <w:pPr>
              <w:rPr>
                <w:sz w:val="18"/>
                <w:szCs w:val="18"/>
              </w:rPr>
            </w:pPr>
            <w:hyperlink r:id="rId32" w:history="1">
              <w:r w:rsidR="00467D59" w:rsidRPr="00550882">
                <w:rPr>
                  <w:rStyle w:val="Hyperlink"/>
                  <w:sz w:val="18"/>
                  <w:szCs w:val="18"/>
                </w:rPr>
                <w:t>https://www.ncbi.nlm.nih.gov/pmc/articles/PMC4098986/pdf/BMRI2014-542541.pdf</w:t>
              </w:r>
            </w:hyperlink>
          </w:p>
        </w:tc>
        <w:tc>
          <w:tcPr>
            <w:tcW w:w="606" w:type="pct"/>
          </w:tcPr>
          <w:p w:rsidR="00467D59" w:rsidRPr="00EC724A" w:rsidRDefault="00467D59" w:rsidP="00EC724A">
            <w:pPr>
              <w:rPr>
                <w:sz w:val="18"/>
                <w:szCs w:val="18"/>
              </w:rPr>
            </w:pPr>
            <w:r w:rsidRPr="00EC724A">
              <w:rPr>
                <w:sz w:val="18"/>
                <w:szCs w:val="18"/>
              </w:rPr>
              <w:t xml:space="preserve">Ruiz A et al, 2014. </w:t>
            </w:r>
          </w:p>
          <w:p w:rsidR="00467D59" w:rsidRPr="00E82F54" w:rsidRDefault="00467D59" w:rsidP="00EC724A">
            <w:pPr>
              <w:rPr>
                <w:b/>
                <w:szCs w:val="20"/>
              </w:rPr>
            </w:pPr>
            <w:proofErr w:type="spellStart"/>
            <w:r w:rsidRPr="00EC724A">
              <w:rPr>
                <w:sz w:val="18"/>
                <w:szCs w:val="18"/>
              </w:rPr>
              <w:t>BioMed</w:t>
            </w:r>
            <w:proofErr w:type="spellEnd"/>
            <w:r w:rsidRPr="00EC724A">
              <w:rPr>
                <w:sz w:val="18"/>
                <w:szCs w:val="18"/>
              </w:rPr>
              <w:t xml:space="preserve"> Research International. 2014:542541.</w:t>
            </w:r>
            <w:r w:rsidRPr="00EC724A">
              <w:rPr>
                <w:b/>
                <w:szCs w:val="20"/>
              </w:rPr>
              <w:t xml:space="preserve"> </w:t>
            </w:r>
          </w:p>
        </w:tc>
      </w:tr>
      <w:tr w:rsidR="00467D59" w:rsidTr="00BB5250">
        <w:trPr>
          <w:trHeight w:val="642"/>
        </w:trPr>
        <w:tc>
          <w:tcPr>
            <w:tcW w:w="188" w:type="pct"/>
          </w:tcPr>
          <w:p w:rsidR="00467D59" w:rsidRPr="00467D59" w:rsidRDefault="00467D59" w:rsidP="007171E4">
            <w:pPr>
              <w:rPr>
                <w:sz w:val="18"/>
                <w:szCs w:val="18"/>
              </w:rPr>
            </w:pPr>
            <w:r w:rsidRPr="00467D59">
              <w:rPr>
                <w:sz w:val="18"/>
                <w:szCs w:val="18"/>
              </w:rPr>
              <w:lastRenderedPageBreak/>
              <w:t>16</w:t>
            </w:r>
          </w:p>
        </w:tc>
        <w:tc>
          <w:tcPr>
            <w:tcW w:w="400" w:type="pct"/>
          </w:tcPr>
          <w:p w:rsidR="00467D59" w:rsidRPr="007875EB" w:rsidRDefault="00467D59" w:rsidP="00895CFF">
            <w:pPr>
              <w:rPr>
                <w:sz w:val="18"/>
                <w:szCs w:val="18"/>
              </w:rPr>
            </w:pPr>
            <w:r w:rsidRPr="007875EB">
              <w:rPr>
                <w:sz w:val="18"/>
                <w:szCs w:val="18"/>
              </w:rPr>
              <w:t>Study of diagnostic accuracy</w:t>
            </w:r>
          </w:p>
        </w:tc>
        <w:tc>
          <w:tcPr>
            <w:tcW w:w="650" w:type="pct"/>
          </w:tcPr>
          <w:p w:rsidR="00467D59" w:rsidRPr="00550882" w:rsidRDefault="00467D59" w:rsidP="00550882">
            <w:pPr>
              <w:rPr>
                <w:rFonts w:ascii="Calibri" w:eastAsia="Arial Unicode MS" w:hAnsi="Calibri" w:cs="Arial Unicode MS"/>
                <w:sz w:val="18"/>
                <w:szCs w:val="18"/>
              </w:rPr>
            </w:pPr>
            <w:r w:rsidRPr="00550882">
              <w:rPr>
                <w:rFonts w:ascii="Calibri" w:eastAsia="Arial Unicode MS" w:hAnsi="Calibri" w:cs="Arial Unicode MS"/>
                <w:sz w:val="18"/>
                <w:szCs w:val="18"/>
              </w:rPr>
              <w:t xml:space="preserve">Streamlined ion torrent PGM-based diagnostics: BRCA1 and BRCA2 genes as a model. </w:t>
            </w:r>
          </w:p>
          <w:p w:rsidR="00467D59" w:rsidRPr="00550882" w:rsidRDefault="00467D59" w:rsidP="00115974">
            <w:pPr>
              <w:rPr>
                <w:rFonts w:ascii="Calibri" w:eastAsia="Arial Unicode MS" w:hAnsi="Calibri" w:cs="Arial Unicode MS"/>
                <w:sz w:val="18"/>
                <w:szCs w:val="18"/>
              </w:rPr>
            </w:pPr>
          </w:p>
        </w:tc>
        <w:tc>
          <w:tcPr>
            <w:tcW w:w="1950" w:type="pct"/>
          </w:tcPr>
          <w:p w:rsidR="00467D59" w:rsidRPr="00550882" w:rsidRDefault="00467D59" w:rsidP="00550882">
            <w:pPr>
              <w:rPr>
                <w:rFonts w:ascii="Calibri" w:hAnsi="Calibri"/>
                <w:sz w:val="18"/>
                <w:szCs w:val="18"/>
                <w:lang w:val="en-US"/>
              </w:rPr>
            </w:pPr>
            <w:r w:rsidRPr="00550882">
              <w:rPr>
                <w:rFonts w:ascii="Calibri" w:hAnsi="Calibri"/>
                <w:sz w:val="18"/>
                <w:szCs w:val="18"/>
                <w:lang w:val="en-US"/>
              </w:rPr>
              <w:t xml:space="preserve">Many diagnostic laboratories are shifting from Sanger sequencing to higher throughput next-generation sequencing (NGS) platforms. Bearing in mind that the performance and quality criteria expected from NGS in diagnostic or research settings are strikingly different, we have developed an Ion Torrent's PGM-based routine diagnostic procedure for BRCA1/2 sequencing. </w:t>
            </w:r>
            <w:proofErr w:type="spellStart"/>
            <w:r w:rsidRPr="00550882">
              <w:rPr>
                <w:rFonts w:ascii="Calibri" w:hAnsi="Calibri"/>
                <w:sz w:val="18"/>
                <w:szCs w:val="18"/>
                <w:lang w:val="en-US"/>
              </w:rPr>
              <w:t>NextGene</w:t>
            </w:r>
            <w:proofErr w:type="spellEnd"/>
            <w:r w:rsidRPr="00550882">
              <w:rPr>
                <w:rFonts w:ascii="Calibri" w:hAnsi="Calibri"/>
                <w:sz w:val="18"/>
                <w:szCs w:val="18"/>
                <w:lang w:val="en-US"/>
              </w:rPr>
              <w:t xml:space="preserve"> analysis provided higher sensitivity, as four previously undetected single-nucleotide variations were found. Regarding specificity, an average of 1.5 confirmatory Sanger sequencings per patient was needed for complete BRCA1/2 screening.</w:t>
            </w:r>
          </w:p>
        </w:tc>
        <w:tc>
          <w:tcPr>
            <w:tcW w:w="1205" w:type="pct"/>
          </w:tcPr>
          <w:p w:rsidR="00467D59" w:rsidRPr="00550882" w:rsidRDefault="00661CB6" w:rsidP="00DD308E">
            <w:pPr>
              <w:rPr>
                <w:rFonts w:ascii="Calibri" w:hAnsi="Calibri"/>
                <w:sz w:val="18"/>
                <w:szCs w:val="18"/>
              </w:rPr>
            </w:pPr>
            <w:hyperlink r:id="rId33" w:history="1">
              <w:r w:rsidR="00467D59" w:rsidRPr="00550882">
                <w:rPr>
                  <w:rStyle w:val="Hyperlink"/>
                  <w:rFonts w:ascii="Calibri" w:hAnsi="Calibri"/>
                  <w:sz w:val="18"/>
                  <w:szCs w:val="18"/>
                </w:rPr>
                <w:t>https://www.nature.com/articles/ejhg2013181</w:t>
              </w:r>
            </w:hyperlink>
          </w:p>
        </w:tc>
        <w:tc>
          <w:tcPr>
            <w:tcW w:w="606" w:type="pct"/>
          </w:tcPr>
          <w:p w:rsidR="00467D59" w:rsidRPr="00550882" w:rsidRDefault="00467D59" w:rsidP="00DD308E">
            <w:pPr>
              <w:rPr>
                <w:rFonts w:ascii="Calibri" w:hAnsi="Calibri"/>
                <w:sz w:val="18"/>
                <w:szCs w:val="18"/>
                <w:lang w:val="en-US"/>
              </w:rPr>
            </w:pPr>
            <w:proofErr w:type="spellStart"/>
            <w:r w:rsidRPr="00550882">
              <w:rPr>
                <w:rFonts w:ascii="Calibri" w:hAnsi="Calibri"/>
                <w:sz w:val="18"/>
                <w:szCs w:val="18"/>
                <w:lang w:val="en-US"/>
              </w:rPr>
              <w:t>Tarabeux</w:t>
            </w:r>
            <w:proofErr w:type="spellEnd"/>
            <w:r w:rsidRPr="00550882">
              <w:rPr>
                <w:rFonts w:ascii="Calibri" w:hAnsi="Calibri"/>
                <w:sz w:val="18"/>
                <w:szCs w:val="18"/>
                <w:lang w:val="en-US"/>
              </w:rPr>
              <w:t xml:space="preserve"> et al. </w:t>
            </w:r>
            <w:r>
              <w:rPr>
                <w:rFonts w:ascii="Calibri" w:hAnsi="Calibri"/>
                <w:sz w:val="18"/>
                <w:szCs w:val="18"/>
                <w:lang w:val="en-US"/>
              </w:rPr>
              <w:t>2014 Apr.</w:t>
            </w:r>
          </w:p>
          <w:p w:rsidR="00467D59" w:rsidRPr="00550882" w:rsidRDefault="00467D59" w:rsidP="00EC724A">
            <w:pPr>
              <w:rPr>
                <w:rFonts w:ascii="Calibri" w:hAnsi="Calibri"/>
                <w:b/>
                <w:sz w:val="18"/>
                <w:szCs w:val="18"/>
              </w:rPr>
            </w:pPr>
            <w:r w:rsidRPr="00550882">
              <w:rPr>
                <w:rFonts w:ascii="Calibri" w:eastAsia="Arial Unicode MS" w:hAnsi="Calibri" w:cs="Arial Unicode MS"/>
                <w:sz w:val="18"/>
                <w:szCs w:val="18"/>
              </w:rPr>
              <w:t>European Journal of Human Genetics. 22(4):535-41</w:t>
            </w:r>
            <w:r>
              <w:rPr>
                <w:rFonts w:ascii="Calibri" w:eastAsia="Arial Unicode MS" w:hAnsi="Calibri" w:cs="Arial Unicode MS"/>
                <w:sz w:val="18"/>
                <w:szCs w:val="18"/>
              </w:rPr>
              <w:t xml:space="preserve">. </w:t>
            </w:r>
          </w:p>
        </w:tc>
      </w:tr>
      <w:tr w:rsidR="00467D59" w:rsidTr="00BB5250">
        <w:trPr>
          <w:trHeight w:val="2485"/>
        </w:trPr>
        <w:tc>
          <w:tcPr>
            <w:tcW w:w="188" w:type="pct"/>
          </w:tcPr>
          <w:p w:rsidR="00467D59" w:rsidRPr="00467D59" w:rsidRDefault="00467D59" w:rsidP="007171E4">
            <w:pPr>
              <w:rPr>
                <w:sz w:val="18"/>
                <w:szCs w:val="18"/>
              </w:rPr>
            </w:pPr>
            <w:r w:rsidRPr="00467D59">
              <w:rPr>
                <w:sz w:val="18"/>
                <w:szCs w:val="18"/>
              </w:rPr>
              <w:t>17</w:t>
            </w:r>
          </w:p>
        </w:tc>
        <w:tc>
          <w:tcPr>
            <w:tcW w:w="400" w:type="pct"/>
          </w:tcPr>
          <w:p w:rsidR="00467D59" w:rsidRPr="007875EB" w:rsidRDefault="00467D59" w:rsidP="00895CFF">
            <w:pPr>
              <w:rPr>
                <w:sz w:val="18"/>
                <w:szCs w:val="18"/>
              </w:rPr>
            </w:pPr>
            <w:r w:rsidRPr="007875EB">
              <w:rPr>
                <w:sz w:val="18"/>
                <w:szCs w:val="18"/>
              </w:rPr>
              <w:t>Study of diagnostic accuracy</w:t>
            </w:r>
          </w:p>
        </w:tc>
        <w:tc>
          <w:tcPr>
            <w:tcW w:w="650" w:type="pct"/>
          </w:tcPr>
          <w:p w:rsidR="00467D59" w:rsidRPr="008220F5" w:rsidRDefault="00467D59" w:rsidP="008220F5">
            <w:pPr>
              <w:rPr>
                <w:rFonts w:ascii="Calibri" w:eastAsia="Arial Unicode MS" w:hAnsi="Calibri" w:cs="Arial Unicode MS"/>
                <w:sz w:val="18"/>
                <w:szCs w:val="18"/>
              </w:rPr>
            </w:pPr>
            <w:r w:rsidRPr="008220F5">
              <w:rPr>
                <w:rFonts w:ascii="Calibri" w:eastAsia="Arial Unicode MS" w:hAnsi="Calibri" w:cs="Arial Unicode MS"/>
                <w:sz w:val="18"/>
                <w:szCs w:val="18"/>
              </w:rPr>
              <w:t xml:space="preserve">Molecular analysis of the breast cancer genes BRCA1 and BRCA2 using amplicon-based massive parallel pyrosequencing. </w:t>
            </w:r>
          </w:p>
          <w:p w:rsidR="00467D59" w:rsidRPr="00550882" w:rsidRDefault="00467D59" w:rsidP="00550882">
            <w:pPr>
              <w:rPr>
                <w:rFonts w:ascii="Calibri" w:eastAsia="Arial Unicode MS" w:hAnsi="Calibri" w:cs="Arial Unicode MS"/>
                <w:sz w:val="18"/>
                <w:szCs w:val="18"/>
              </w:rPr>
            </w:pPr>
          </w:p>
        </w:tc>
        <w:tc>
          <w:tcPr>
            <w:tcW w:w="1950" w:type="pct"/>
          </w:tcPr>
          <w:p w:rsidR="00467D59" w:rsidRPr="00550882" w:rsidRDefault="00467D59" w:rsidP="00550882">
            <w:pPr>
              <w:rPr>
                <w:rFonts w:ascii="Calibri" w:hAnsi="Calibri"/>
                <w:sz w:val="18"/>
                <w:szCs w:val="18"/>
                <w:lang w:val="en-US"/>
              </w:rPr>
            </w:pPr>
            <w:r w:rsidRPr="008220F5">
              <w:rPr>
                <w:rFonts w:ascii="Calibri" w:hAnsi="Calibri"/>
                <w:sz w:val="18"/>
                <w:szCs w:val="18"/>
                <w:lang w:val="en-US"/>
              </w:rPr>
              <w:t>The aim of this study was to implement the massively parallel sequencing technology for diagnostic applications. We evaluated an amplicon-based method for the analysis of the BRCA1 and BRCA2 genes on the Roche 454 GS-FLX sequencer, to identify disease-causing mutations in breast and/or ovarian cancer patients</w:t>
            </w:r>
            <w:r>
              <w:rPr>
                <w:rFonts w:ascii="Calibri" w:hAnsi="Calibri"/>
                <w:sz w:val="18"/>
                <w:szCs w:val="18"/>
                <w:lang w:val="en-US"/>
              </w:rPr>
              <w:t xml:space="preserve">. </w:t>
            </w:r>
            <w:r w:rsidRPr="008220F5">
              <w:rPr>
                <w:rFonts w:ascii="Calibri" w:hAnsi="Calibri"/>
                <w:sz w:val="18"/>
                <w:szCs w:val="18"/>
                <w:lang w:val="en-US"/>
              </w:rPr>
              <w:t xml:space="preserve">Variants were filtered on the basis of their frequency (20%) and sequencing depth (&gt;25x). Special attention was given to sequencing accuracy in </w:t>
            </w:r>
            <w:proofErr w:type="spellStart"/>
            <w:r w:rsidRPr="008220F5">
              <w:rPr>
                <w:rFonts w:ascii="Calibri" w:hAnsi="Calibri"/>
                <w:sz w:val="18"/>
                <w:szCs w:val="18"/>
                <w:lang w:val="en-US"/>
              </w:rPr>
              <w:t>homopolymers</w:t>
            </w:r>
            <w:proofErr w:type="spellEnd"/>
            <w:r w:rsidRPr="008220F5">
              <w:rPr>
                <w:rFonts w:ascii="Calibri" w:hAnsi="Calibri"/>
                <w:sz w:val="18"/>
                <w:szCs w:val="18"/>
                <w:lang w:val="en-US"/>
              </w:rPr>
              <w:t>. In the initial evaluation, all known heterozygous mutations were detected. The percentage of mutant reads ranged from 22% to 62%. For the multiplex assay, 95% sensitivity and 91% specificity were obtained.</w:t>
            </w:r>
          </w:p>
        </w:tc>
        <w:tc>
          <w:tcPr>
            <w:tcW w:w="1205" w:type="pct"/>
          </w:tcPr>
          <w:p w:rsidR="00467D59" w:rsidRPr="00550882" w:rsidRDefault="00661CB6" w:rsidP="00DD308E">
            <w:pPr>
              <w:rPr>
                <w:rFonts w:ascii="Calibri" w:hAnsi="Calibri"/>
                <w:sz w:val="18"/>
                <w:szCs w:val="18"/>
              </w:rPr>
            </w:pPr>
            <w:hyperlink r:id="rId34" w:history="1">
              <w:r w:rsidR="00467D59" w:rsidRPr="008220F5">
                <w:rPr>
                  <w:rStyle w:val="Hyperlink"/>
                  <w:rFonts w:ascii="Calibri" w:hAnsi="Calibri"/>
                  <w:sz w:val="18"/>
                  <w:szCs w:val="18"/>
                </w:rPr>
                <w:t>https://www.sciencedirect.com/science/article/pii/S1525157812001833</w:t>
              </w:r>
            </w:hyperlink>
          </w:p>
        </w:tc>
        <w:tc>
          <w:tcPr>
            <w:tcW w:w="606" w:type="pct"/>
          </w:tcPr>
          <w:p w:rsidR="00467D59" w:rsidRPr="008220F5" w:rsidRDefault="00467D59" w:rsidP="00DD308E">
            <w:pPr>
              <w:rPr>
                <w:sz w:val="18"/>
                <w:szCs w:val="18"/>
                <w:lang w:val="en-US"/>
              </w:rPr>
            </w:pPr>
            <w:proofErr w:type="spellStart"/>
            <w:r w:rsidRPr="008220F5">
              <w:rPr>
                <w:sz w:val="18"/>
                <w:szCs w:val="18"/>
                <w:lang w:val="en-US"/>
              </w:rPr>
              <w:t>Michils</w:t>
            </w:r>
            <w:proofErr w:type="spellEnd"/>
            <w:r>
              <w:rPr>
                <w:sz w:val="18"/>
                <w:szCs w:val="18"/>
                <w:lang w:val="en-US"/>
              </w:rPr>
              <w:t xml:space="preserve"> et al, 2012 Nov.</w:t>
            </w:r>
          </w:p>
          <w:p w:rsidR="00467D59" w:rsidRPr="00550882" w:rsidRDefault="00467D59" w:rsidP="00BB5250">
            <w:pPr>
              <w:rPr>
                <w:rFonts w:ascii="Calibri" w:hAnsi="Calibri"/>
                <w:sz w:val="18"/>
                <w:szCs w:val="18"/>
                <w:lang w:val="en-US"/>
              </w:rPr>
            </w:pPr>
            <w:r w:rsidRPr="008220F5">
              <w:rPr>
                <w:rFonts w:eastAsia="Arial Unicode MS" w:cs="Arial Unicode MS"/>
                <w:sz w:val="18"/>
                <w:szCs w:val="18"/>
              </w:rPr>
              <w:t>Journal of Molecular Diagnostics. 14(6):623-30</w:t>
            </w:r>
            <w:r>
              <w:rPr>
                <w:rFonts w:eastAsia="Arial Unicode MS" w:cs="Arial Unicode MS"/>
                <w:sz w:val="18"/>
                <w:szCs w:val="18"/>
              </w:rPr>
              <w:t>.</w:t>
            </w:r>
          </w:p>
        </w:tc>
      </w:tr>
      <w:tr w:rsidR="00BB5250" w:rsidTr="00BB5250">
        <w:trPr>
          <w:trHeight w:val="1798"/>
        </w:trPr>
        <w:tc>
          <w:tcPr>
            <w:tcW w:w="188" w:type="pct"/>
          </w:tcPr>
          <w:p w:rsidR="00BB5250" w:rsidRPr="00467D59" w:rsidRDefault="00BB5250" w:rsidP="007171E4">
            <w:pPr>
              <w:rPr>
                <w:sz w:val="18"/>
                <w:szCs w:val="18"/>
              </w:rPr>
            </w:pPr>
            <w:r>
              <w:rPr>
                <w:sz w:val="18"/>
                <w:szCs w:val="18"/>
              </w:rPr>
              <w:t>18</w:t>
            </w:r>
          </w:p>
        </w:tc>
        <w:tc>
          <w:tcPr>
            <w:tcW w:w="400" w:type="pct"/>
          </w:tcPr>
          <w:p w:rsidR="00BB5250" w:rsidRPr="00BB5250" w:rsidRDefault="00BB5250" w:rsidP="00BB5250">
            <w:pPr>
              <w:rPr>
                <w:sz w:val="18"/>
                <w:szCs w:val="18"/>
              </w:rPr>
            </w:pPr>
            <w:r>
              <w:rPr>
                <w:sz w:val="18"/>
                <w:szCs w:val="18"/>
              </w:rPr>
              <w:t>Randomised trial</w:t>
            </w:r>
          </w:p>
        </w:tc>
        <w:tc>
          <w:tcPr>
            <w:tcW w:w="650" w:type="pct"/>
          </w:tcPr>
          <w:p w:rsidR="00BB5250" w:rsidRPr="008220F5" w:rsidRDefault="00BB5250" w:rsidP="008220F5">
            <w:pPr>
              <w:rPr>
                <w:rFonts w:ascii="Calibri" w:eastAsia="Arial Unicode MS" w:hAnsi="Calibri" w:cs="Arial Unicode MS"/>
                <w:sz w:val="18"/>
                <w:szCs w:val="18"/>
              </w:rPr>
            </w:pPr>
            <w:r w:rsidRPr="00BB5250">
              <w:rPr>
                <w:rFonts w:ascii="Calibri" w:eastAsia="Arial Unicode MS" w:hAnsi="Calibri" w:cs="Arial Unicode MS"/>
                <w:sz w:val="18"/>
                <w:szCs w:val="18"/>
                <w:lang w:val="en"/>
              </w:rPr>
              <w:t xml:space="preserve">Talazoparib in Patients with Advanced Breast Cancer and a Germline </w:t>
            </w:r>
            <w:r w:rsidRPr="00BB5250">
              <w:rPr>
                <w:rFonts w:ascii="Calibri" w:eastAsia="Arial Unicode MS" w:hAnsi="Calibri" w:cs="Arial Unicode MS"/>
                <w:i/>
                <w:iCs/>
                <w:sz w:val="18"/>
                <w:szCs w:val="18"/>
                <w:lang w:val="en"/>
              </w:rPr>
              <w:t>BRCA</w:t>
            </w:r>
            <w:r w:rsidRPr="00BB5250">
              <w:rPr>
                <w:rFonts w:ascii="Calibri" w:eastAsia="Arial Unicode MS" w:hAnsi="Calibri" w:cs="Arial Unicode MS"/>
                <w:sz w:val="18"/>
                <w:szCs w:val="18"/>
                <w:lang w:val="en"/>
              </w:rPr>
              <w:t xml:space="preserve"> Mutation</w:t>
            </w:r>
            <w:r w:rsidR="00393922">
              <w:rPr>
                <w:rFonts w:ascii="Calibri" w:eastAsia="Arial Unicode MS" w:hAnsi="Calibri" w:cs="Arial Unicode MS"/>
                <w:sz w:val="18"/>
                <w:szCs w:val="18"/>
                <w:lang w:val="en"/>
              </w:rPr>
              <w:t xml:space="preserve"> (EMBRACA)</w:t>
            </w:r>
            <w:r w:rsidR="001D2FFA">
              <w:rPr>
                <w:rFonts w:ascii="Calibri" w:eastAsia="Arial Unicode MS" w:hAnsi="Calibri" w:cs="Arial Unicode MS"/>
                <w:sz w:val="18"/>
                <w:szCs w:val="18"/>
                <w:lang w:val="en"/>
              </w:rPr>
              <w:t>.</w:t>
            </w:r>
          </w:p>
        </w:tc>
        <w:tc>
          <w:tcPr>
            <w:tcW w:w="1950" w:type="pct"/>
          </w:tcPr>
          <w:p w:rsidR="00BB5250" w:rsidRPr="008220F5" w:rsidRDefault="00BB5250" w:rsidP="00BB5250">
            <w:pPr>
              <w:rPr>
                <w:rFonts w:ascii="Calibri" w:hAnsi="Calibri"/>
                <w:sz w:val="18"/>
                <w:szCs w:val="18"/>
                <w:lang w:val="en-US"/>
              </w:rPr>
            </w:pPr>
            <w:r>
              <w:rPr>
                <w:rFonts w:ascii="Calibri" w:hAnsi="Calibri"/>
                <w:sz w:val="18"/>
                <w:szCs w:val="18"/>
                <w:lang w:val="en"/>
              </w:rPr>
              <w:t xml:space="preserve">A </w:t>
            </w:r>
            <w:r w:rsidRPr="00BB5250">
              <w:rPr>
                <w:rFonts w:ascii="Calibri" w:hAnsi="Calibri"/>
                <w:sz w:val="18"/>
                <w:szCs w:val="18"/>
                <w:lang w:val="en"/>
              </w:rPr>
              <w:t>randomized, open-label, phase 3 trial in which patients with advanced</w:t>
            </w:r>
            <w:r>
              <w:rPr>
                <w:rFonts w:ascii="Calibri" w:hAnsi="Calibri"/>
                <w:sz w:val="18"/>
                <w:szCs w:val="18"/>
                <w:lang w:val="en"/>
              </w:rPr>
              <w:t xml:space="preserve"> </w:t>
            </w:r>
            <w:r w:rsidRPr="00BB5250">
              <w:rPr>
                <w:rFonts w:ascii="Calibri" w:hAnsi="Calibri"/>
                <w:sz w:val="18"/>
                <w:szCs w:val="18"/>
                <w:lang w:val="en"/>
              </w:rPr>
              <w:t>(locally advanced and metastatic)  breast cancer</w:t>
            </w:r>
            <w:r>
              <w:rPr>
                <w:rFonts w:ascii="Calibri" w:hAnsi="Calibri"/>
                <w:sz w:val="18"/>
                <w:szCs w:val="18"/>
                <w:lang w:val="en"/>
              </w:rPr>
              <w:t xml:space="preserve"> </w:t>
            </w:r>
            <w:r w:rsidRPr="00BB5250">
              <w:rPr>
                <w:rFonts w:ascii="Calibri" w:hAnsi="Calibri"/>
                <w:sz w:val="18"/>
                <w:szCs w:val="18"/>
                <w:lang w:val="en"/>
              </w:rPr>
              <w:t xml:space="preserve">and a germline </w:t>
            </w:r>
            <w:r w:rsidRPr="00BB5250">
              <w:rPr>
                <w:rFonts w:ascii="Calibri" w:hAnsi="Calibri"/>
                <w:i/>
                <w:iCs/>
                <w:sz w:val="18"/>
                <w:szCs w:val="18"/>
                <w:lang w:val="en"/>
              </w:rPr>
              <w:t>BRCA1/2</w:t>
            </w:r>
            <w:r w:rsidRPr="00BB5250">
              <w:rPr>
                <w:rFonts w:ascii="Calibri" w:hAnsi="Calibri"/>
                <w:sz w:val="18"/>
                <w:szCs w:val="18"/>
                <w:lang w:val="en"/>
              </w:rPr>
              <w:t xml:space="preserve"> mutation were assigned, in a 2:1 ratio, to receive talazoparib (1 mg once daily) or standard single-agent therapy of the physician’s choice (</w:t>
            </w:r>
            <w:proofErr w:type="spellStart"/>
            <w:r w:rsidRPr="00BB5250">
              <w:rPr>
                <w:rFonts w:ascii="Calibri" w:hAnsi="Calibri"/>
                <w:sz w:val="18"/>
                <w:szCs w:val="18"/>
                <w:lang w:val="en"/>
              </w:rPr>
              <w:t>capecitabine</w:t>
            </w:r>
            <w:proofErr w:type="spellEnd"/>
            <w:r w:rsidRPr="00BB5250">
              <w:rPr>
                <w:rFonts w:ascii="Calibri" w:hAnsi="Calibri"/>
                <w:sz w:val="18"/>
                <w:szCs w:val="18"/>
                <w:lang w:val="en"/>
              </w:rPr>
              <w:t xml:space="preserve">, </w:t>
            </w:r>
            <w:proofErr w:type="spellStart"/>
            <w:r w:rsidRPr="00BB5250">
              <w:rPr>
                <w:rFonts w:ascii="Calibri" w:hAnsi="Calibri"/>
                <w:sz w:val="18"/>
                <w:szCs w:val="18"/>
                <w:lang w:val="en"/>
              </w:rPr>
              <w:t>eribulin</w:t>
            </w:r>
            <w:proofErr w:type="spellEnd"/>
            <w:r w:rsidRPr="00BB5250">
              <w:rPr>
                <w:rFonts w:ascii="Calibri" w:hAnsi="Calibri"/>
                <w:sz w:val="18"/>
                <w:szCs w:val="18"/>
                <w:lang w:val="en"/>
              </w:rPr>
              <w:t>, gemcitabine, or vinorelbine in continuous 21-day cycles). The primary end point was progression-free survival, which was assessed by blinded independent central review.</w:t>
            </w:r>
          </w:p>
        </w:tc>
        <w:tc>
          <w:tcPr>
            <w:tcW w:w="1205" w:type="pct"/>
          </w:tcPr>
          <w:p w:rsidR="00BB5250" w:rsidRPr="00BB5250" w:rsidRDefault="00661CB6" w:rsidP="00DD308E">
            <w:pPr>
              <w:rPr>
                <w:sz w:val="18"/>
                <w:szCs w:val="18"/>
              </w:rPr>
            </w:pPr>
            <w:hyperlink r:id="rId35" w:history="1">
              <w:r w:rsidR="00BB5250" w:rsidRPr="00BB5250">
                <w:rPr>
                  <w:rStyle w:val="Hyperlink"/>
                  <w:sz w:val="18"/>
                  <w:szCs w:val="18"/>
                </w:rPr>
                <w:t>https://www.nejm.org/doi/full/10.1056/NEJMoa1802905</w:t>
              </w:r>
            </w:hyperlink>
          </w:p>
        </w:tc>
        <w:tc>
          <w:tcPr>
            <w:tcW w:w="606" w:type="pct"/>
          </w:tcPr>
          <w:p w:rsidR="00BB5250" w:rsidRDefault="00BB5250" w:rsidP="00DD308E">
            <w:pPr>
              <w:rPr>
                <w:sz w:val="18"/>
                <w:szCs w:val="18"/>
                <w:lang w:val="en-US"/>
              </w:rPr>
            </w:pPr>
            <w:r>
              <w:rPr>
                <w:sz w:val="18"/>
                <w:szCs w:val="18"/>
                <w:lang w:val="en-US"/>
              </w:rPr>
              <w:t>Litton et al, 2018.</w:t>
            </w:r>
          </w:p>
          <w:p w:rsidR="00BB5250" w:rsidRPr="008220F5" w:rsidRDefault="00BB5250" w:rsidP="00DD308E">
            <w:pPr>
              <w:rPr>
                <w:sz w:val="18"/>
                <w:szCs w:val="18"/>
                <w:lang w:val="en-US"/>
              </w:rPr>
            </w:pPr>
            <w:r w:rsidRPr="00BB5250">
              <w:rPr>
                <w:sz w:val="18"/>
                <w:szCs w:val="18"/>
                <w:lang w:val="en"/>
              </w:rPr>
              <w:t xml:space="preserve">N </w:t>
            </w:r>
            <w:proofErr w:type="spellStart"/>
            <w:r w:rsidRPr="00BB5250">
              <w:rPr>
                <w:sz w:val="18"/>
                <w:szCs w:val="18"/>
                <w:lang w:val="en"/>
              </w:rPr>
              <w:t>Engl</w:t>
            </w:r>
            <w:proofErr w:type="spellEnd"/>
            <w:r w:rsidRPr="00BB5250">
              <w:rPr>
                <w:sz w:val="18"/>
                <w:szCs w:val="18"/>
                <w:lang w:val="en"/>
              </w:rPr>
              <w:t xml:space="preserve"> J Med 2018; 379:753-763</w:t>
            </w:r>
            <w:r>
              <w:rPr>
                <w:sz w:val="18"/>
                <w:szCs w:val="18"/>
                <w:lang w:val="en-US"/>
              </w:rPr>
              <w:t xml:space="preserve"> </w:t>
            </w:r>
          </w:p>
        </w:tc>
      </w:tr>
      <w:tr w:rsidR="00BB5250" w:rsidTr="00BB5250">
        <w:trPr>
          <w:trHeight w:val="2485"/>
        </w:trPr>
        <w:tc>
          <w:tcPr>
            <w:tcW w:w="188" w:type="pct"/>
          </w:tcPr>
          <w:p w:rsidR="00BB5250" w:rsidRDefault="00BB5250" w:rsidP="007171E4">
            <w:pPr>
              <w:rPr>
                <w:sz w:val="18"/>
                <w:szCs w:val="18"/>
              </w:rPr>
            </w:pPr>
            <w:r>
              <w:rPr>
                <w:sz w:val="18"/>
                <w:szCs w:val="18"/>
              </w:rPr>
              <w:t>19</w:t>
            </w:r>
          </w:p>
        </w:tc>
        <w:tc>
          <w:tcPr>
            <w:tcW w:w="400" w:type="pct"/>
          </w:tcPr>
          <w:p w:rsidR="00BB5250" w:rsidRDefault="00393922" w:rsidP="00BB5250">
            <w:pPr>
              <w:rPr>
                <w:sz w:val="18"/>
                <w:szCs w:val="18"/>
              </w:rPr>
            </w:pPr>
            <w:r w:rsidRPr="00393922">
              <w:rPr>
                <w:sz w:val="18"/>
                <w:szCs w:val="18"/>
              </w:rPr>
              <w:t>Randomised trial</w:t>
            </w:r>
          </w:p>
        </w:tc>
        <w:tc>
          <w:tcPr>
            <w:tcW w:w="650" w:type="pct"/>
          </w:tcPr>
          <w:p w:rsidR="00BB5250" w:rsidRPr="008220F5" w:rsidRDefault="00393922" w:rsidP="00393922">
            <w:pPr>
              <w:rPr>
                <w:rFonts w:ascii="Calibri" w:eastAsia="Arial Unicode MS" w:hAnsi="Calibri" w:cs="Arial Unicode MS"/>
                <w:sz w:val="18"/>
                <w:szCs w:val="18"/>
              </w:rPr>
            </w:pPr>
            <w:r w:rsidRPr="00393922">
              <w:rPr>
                <w:rFonts w:ascii="Calibri" w:eastAsia="Arial Unicode MS" w:hAnsi="Calibri" w:cs="Arial Unicode MS"/>
                <w:sz w:val="18"/>
                <w:szCs w:val="18"/>
                <w:lang w:val="en-US"/>
              </w:rPr>
              <w:t>Quality of life with talazoparib versus physician’s</w:t>
            </w:r>
            <w:r>
              <w:rPr>
                <w:rFonts w:ascii="Calibri" w:eastAsia="Arial Unicode MS" w:hAnsi="Calibri" w:cs="Arial Unicode MS"/>
                <w:sz w:val="18"/>
                <w:szCs w:val="18"/>
                <w:lang w:val="en-US"/>
              </w:rPr>
              <w:t xml:space="preserve"> </w:t>
            </w:r>
            <w:r w:rsidRPr="00393922">
              <w:rPr>
                <w:rFonts w:ascii="Calibri" w:eastAsia="Arial Unicode MS" w:hAnsi="Calibri" w:cs="Arial Unicode MS"/>
                <w:sz w:val="18"/>
                <w:szCs w:val="18"/>
                <w:lang w:val="en-US"/>
              </w:rPr>
              <w:t>choice of chemotherapy in patients with</w:t>
            </w:r>
            <w:r>
              <w:rPr>
                <w:rFonts w:ascii="Calibri" w:eastAsia="Arial Unicode MS" w:hAnsi="Calibri" w:cs="Arial Unicode MS"/>
                <w:sz w:val="18"/>
                <w:szCs w:val="18"/>
                <w:lang w:val="en-US"/>
              </w:rPr>
              <w:t xml:space="preserve"> </w:t>
            </w:r>
            <w:r w:rsidRPr="00393922">
              <w:rPr>
                <w:rFonts w:ascii="Calibri" w:eastAsia="Arial Unicode MS" w:hAnsi="Calibri" w:cs="Arial Unicode MS"/>
                <w:sz w:val="18"/>
                <w:szCs w:val="18"/>
                <w:lang w:val="en-US"/>
              </w:rPr>
              <w:t>advanced</w:t>
            </w:r>
            <w:r>
              <w:rPr>
                <w:rFonts w:ascii="Calibri" w:eastAsia="Arial Unicode MS" w:hAnsi="Calibri" w:cs="Arial Unicode MS"/>
                <w:sz w:val="18"/>
                <w:szCs w:val="18"/>
                <w:lang w:val="en-US"/>
              </w:rPr>
              <w:t xml:space="preserve"> </w:t>
            </w:r>
            <w:r w:rsidRPr="00393922">
              <w:rPr>
                <w:rFonts w:ascii="Calibri" w:eastAsia="Arial Unicode MS" w:hAnsi="Calibri" w:cs="Arial Unicode MS"/>
                <w:sz w:val="18"/>
                <w:szCs w:val="18"/>
                <w:lang w:val="en-US"/>
              </w:rPr>
              <w:t>breast cancer and germline BRCA1/2 mutation:</w:t>
            </w:r>
            <w:r>
              <w:rPr>
                <w:rFonts w:ascii="Calibri" w:eastAsia="Arial Unicode MS" w:hAnsi="Calibri" w:cs="Arial Unicode MS"/>
                <w:sz w:val="18"/>
                <w:szCs w:val="18"/>
                <w:lang w:val="en-US"/>
              </w:rPr>
              <w:t xml:space="preserve"> </w:t>
            </w:r>
            <w:r w:rsidRPr="00393922">
              <w:rPr>
                <w:rFonts w:ascii="Calibri" w:eastAsia="Arial Unicode MS" w:hAnsi="Calibri" w:cs="Arial Unicode MS"/>
                <w:sz w:val="18"/>
                <w:szCs w:val="18"/>
                <w:lang w:val="en-US"/>
              </w:rPr>
              <w:t>patient-reported outcomes from the EMBRACA phase</w:t>
            </w:r>
            <w:r>
              <w:rPr>
                <w:rFonts w:ascii="Calibri" w:eastAsia="Arial Unicode MS" w:hAnsi="Calibri" w:cs="Arial Unicode MS"/>
                <w:sz w:val="18"/>
                <w:szCs w:val="18"/>
                <w:lang w:val="en-US"/>
              </w:rPr>
              <w:t xml:space="preserve"> </w:t>
            </w:r>
            <w:r w:rsidRPr="00393922">
              <w:rPr>
                <w:rFonts w:ascii="Calibri" w:eastAsia="Arial Unicode MS" w:hAnsi="Calibri" w:cs="Arial Unicode MS"/>
                <w:sz w:val="18"/>
                <w:szCs w:val="18"/>
                <w:lang w:val="en-US"/>
              </w:rPr>
              <w:t>III trial</w:t>
            </w:r>
          </w:p>
        </w:tc>
        <w:tc>
          <w:tcPr>
            <w:tcW w:w="1950" w:type="pct"/>
          </w:tcPr>
          <w:p w:rsidR="00BB5250" w:rsidRPr="008220F5" w:rsidRDefault="00393922" w:rsidP="00550882">
            <w:pPr>
              <w:rPr>
                <w:rFonts w:ascii="Calibri" w:hAnsi="Calibri"/>
                <w:sz w:val="18"/>
                <w:szCs w:val="18"/>
                <w:lang w:val="en-US"/>
              </w:rPr>
            </w:pPr>
            <w:r w:rsidRPr="00393922">
              <w:rPr>
                <w:rFonts w:ascii="Calibri" w:hAnsi="Calibri"/>
                <w:sz w:val="18"/>
                <w:szCs w:val="18"/>
                <w:lang w:val="en"/>
              </w:rPr>
              <w:t xml:space="preserve">In the EMBRACA phase III trial, talazoparib (1 mg daily, orally) demonstrated a statistically significant improvement in PFS versus physician’s choice of chemotherapy (PCT; </w:t>
            </w:r>
            <w:proofErr w:type="spellStart"/>
            <w:r w:rsidRPr="00393922">
              <w:rPr>
                <w:rFonts w:ascii="Calibri" w:hAnsi="Calibri"/>
                <w:sz w:val="18"/>
                <w:szCs w:val="18"/>
                <w:lang w:val="en"/>
              </w:rPr>
              <w:t>capecitabine</w:t>
            </w:r>
            <w:proofErr w:type="spellEnd"/>
            <w:r w:rsidRPr="00393922">
              <w:rPr>
                <w:rFonts w:ascii="Calibri" w:hAnsi="Calibri"/>
                <w:sz w:val="18"/>
                <w:szCs w:val="18"/>
                <w:lang w:val="en"/>
              </w:rPr>
              <w:t xml:space="preserve">, </w:t>
            </w:r>
            <w:proofErr w:type="spellStart"/>
            <w:r w:rsidRPr="00393922">
              <w:rPr>
                <w:rFonts w:ascii="Calibri" w:hAnsi="Calibri"/>
                <w:sz w:val="18"/>
                <w:szCs w:val="18"/>
                <w:lang w:val="en"/>
              </w:rPr>
              <w:t>eribulin</w:t>
            </w:r>
            <w:proofErr w:type="spellEnd"/>
            <w:r w:rsidRPr="00393922">
              <w:rPr>
                <w:rFonts w:ascii="Calibri" w:hAnsi="Calibri"/>
                <w:sz w:val="18"/>
                <w:szCs w:val="18"/>
                <w:lang w:val="en"/>
              </w:rPr>
              <w:t xml:space="preserve">, gemcitabine, or vinorelbine) in patients with HER2-negative advanced breast cancer carrying a germline </w:t>
            </w:r>
            <w:r w:rsidRPr="00393922">
              <w:rPr>
                <w:rFonts w:ascii="Calibri" w:hAnsi="Calibri"/>
                <w:i/>
                <w:iCs/>
                <w:sz w:val="18"/>
                <w:szCs w:val="18"/>
                <w:lang w:val="en"/>
              </w:rPr>
              <w:t>BRCA1/2</w:t>
            </w:r>
            <w:r w:rsidRPr="00393922">
              <w:rPr>
                <w:rFonts w:ascii="Calibri" w:hAnsi="Calibri"/>
                <w:sz w:val="18"/>
                <w:szCs w:val="18"/>
                <w:lang w:val="en"/>
              </w:rPr>
              <w:t xml:space="preserve"> mutation; we evaluated patient-reported outcomes (PROs).</w:t>
            </w:r>
          </w:p>
        </w:tc>
        <w:tc>
          <w:tcPr>
            <w:tcW w:w="1205" w:type="pct"/>
          </w:tcPr>
          <w:p w:rsidR="00BB5250" w:rsidRPr="00393922" w:rsidRDefault="00661CB6" w:rsidP="00DD308E">
            <w:pPr>
              <w:rPr>
                <w:sz w:val="18"/>
                <w:szCs w:val="18"/>
              </w:rPr>
            </w:pPr>
            <w:hyperlink r:id="rId36" w:history="1">
              <w:r w:rsidR="00393922" w:rsidRPr="00393922">
                <w:rPr>
                  <w:rStyle w:val="Hyperlink"/>
                  <w:sz w:val="18"/>
                  <w:szCs w:val="18"/>
                </w:rPr>
                <w:t>https://academic.oup.com/annonc/article/29/9/1939/5074207</w:t>
              </w:r>
            </w:hyperlink>
          </w:p>
        </w:tc>
        <w:tc>
          <w:tcPr>
            <w:tcW w:w="606" w:type="pct"/>
          </w:tcPr>
          <w:p w:rsidR="00393922" w:rsidRPr="00393922" w:rsidRDefault="00393922" w:rsidP="00393922">
            <w:pPr>
              <w:rPr>
                <w:sz w:val="18"/>
                <w:szCs w:val="18"/>
                <w:lang w:val="en-US"/>
              </w:rPr>
            </w:pPr>
            <w:proofErr w:type="spellStart"/>
            <w:r>
              <w:rPr>
                <w:sz w:val="18"/>
                <w:szCs w:val="18"/>
                <w:lang w:val="en-US"/>
              </w:rPr>
              <w:t>Ettl</w:t>
            </w:r>
            <w:proofErr w:type="spellEnd"/>
            <w:r>
              <w:rPr>
                <w:sz w:val="18"/>
                <w:szCs w:val="18"/>
                <w:lang w:val="en-US"/>
              </w:rPr>
              <w:t xml:space="preserve"> et al, 2018 September.</w:t>
            </w:r>
            <w:r w:rsidRPr="00393922">
              <w:rPr>
                <w:rFonts w:ascii="AdvOT0d9ab1db.I" w:hAnsi="AdvOT0d9ab1db.I" w:cs="AdvOT0d9ab1db.I"/>
                <w:sz w:val="14"/>
                <w:szCs w:val="14"/>
                <w:lang w:val="en-US"/>
              </w:rPr>
              <w:t xml:space="preserve"> </w:t>
            </w:r>
            <w:r w:rsidRPr="00393922">
              <w:rPr>
                <w:sz w:val="18"/>
                <w:szCs w:val="18"/>
                <w:lang w:val="en-US"/>
              </w:rPr>
              <w:t>Annals of Oncology 29: 1939–1947, 2018</w:t>
            </w:r>
          </w:p>
          <w:p w:rsidR="00393922" w:rsidRPr="00393922" w:rsidRDefault="00393922" w:rsidP="00393922">
            <w:pPr>
              <w:rPr>
                <w:sz w:val="18"/>
                <w:szCs w:val="18"/>
                <w:lang w:val="en-US"/>
              </w:rPr>
            </w:pPr>
            <w:r w:rsidRPr="00393922">
              <w:rPr>
                <w:sz w:val="18"/>
                <w:szCs w:val="18"/>
                <w:lang w:val="en-US"/>
              </w:rPr>
              <w:t>doi:10.1093/</w:t>
            </w:r>
            <w:proofErr w:type="spellStart"/>
            <w:r w:rsidRPr="00393922">
              <w:rPr>
                <w:sz w:val="18"/>
                <w:szCs w:val="18"/>
                <w:lang w:val="en-US"/>
              </w:rPr>
              <w:t>annonc</w:t>
            </w:r>
            <w:proofErr w:type="spellEnd"/>
            <w:r w:rsidRPr="00393922">
              <w:rPr>
                <w:sz w:val="18"/>
                <w:szCs w:val="18"/>
                <w:lang w:val="en-US"/>
              </w:rPr>
              <w:t>/mdy257</w:t>
            </w:r>
          </w:p>
          <w:p w:rsidR="00BB5250" w:rsidRDefault="00393922" w:rsidP="00393922">
            <w:pPr>
              <w:rPr>
                <w:sz w:val="18"/>
                <w:szCs w:val="18"/>
                <w:lang w:val="en-US"/>
              </w:rPr>
            </w:pPr>
            <w:r w:rsidRPr="00393922">
              <w:rPr>
                <w:sz w:val="18"/>
                <w:szCs w:val="18"/>
                <w:lang w:val="en-US"/>
              </w:rPr>
              <w:t>Published online 15 August 2018</w:t>
            </w:r>
          </w:p>
        </w:tc>
      </w:tr>
      <w:tr w:rsidR="001D2FFA" w:rsidTr="00BB5250">
        <w:trPr>
          <w:trHeight w:val="2485"/>
        </w:trPr>
        <w:tc>
          <w:tcPr>
            <w:tcW w:w="188" w:type="pct"/>
          </w:tcPr>
          <w:p w:rsidR="001D2FFA" w:rsidRDefault="00162AB2" w:rsidP="007171E4">
            <w:pPr>
              <w:rPr>
                <w:sz w:val="18"/>
                <w:szCs w:val="18"/>
              </w:rPr>
            </w:pPr>
            <w:r>
              <w:rPr>
                <w:sz w:val="18"/>
                <w:szCs w:val="18"/>
              </w:rPr>
              <w:t>20</w:t>
            </w:r>
          </w:p>
        </w:tc>
        <w:tc>
          <w:tcPr>
            <w:tcW w:w="400" w:type="pct"/>
          </w:tcPr>
          <w:p w:rsidR="001D2FFA" w:rsidRPr="00393922" w:rsidRDefault="00162AB2" w:rsidP="00BB5250">
            <w:pPr>
              <w:rPr>
                <w:sz w:val="18"/>
                <w:szCs w:val="18"/>
              </w:rPr>
            </w:pPr>
            <w:r>
              <w:rPr>
                <w:sz w:val="18"/>
                <w:szCs w:val="18"/>
              </w:rPr>
              <w:t>Phase 2 study</w:t>
            </w:r>
          </w:p>
        </w:tc>
        <w:tc>
          <w:tcPr>
            <w:tcW w:w="650" w:type="pct"/>
          </w:tcPr>
          <w:p w:rsidR="001D2FFA" w:rsidRPr="00393922" w:rsidRDefault="001D2FFA" w:rsidP="00162AB2">
            <w:pPr>
              <w:rPr>
                <w:rFonts w:ascii="Calibri" w:eastAsia="Arial Unicode MS" w:hAnsi="Calibri" w:cs="Arial Unicode MS"/>
                <w:sz w:val="18"/>
                <w:szCs w:val="18"/>
                <w:lang w:val="en-US"/>
              </w:rPr>
            </w:pPr>
            <w:r w:rsidRPr="001D2FFA">
              <w:rPr>
                <w:rFonts w:ascii="Calibri" w:eastAsia="Arial Unicode MS" w:hAnsi="Calibri" w:cs="Arial Unicode MS"/>
                <w:sz w:val="18"/>
                <w:szCs w:val="18"/>
                <w:lang w:val="en-US"/>
              </w:rPr>
              <w:t>Final</w:t>
            </w:r>
            <w:r w:rsidR="00162AB2">
              <w:rPr>
                <w:rFonts w:ascii="Calibri" w:eastAsia="Arial Unicode MS" w:hAnsi="Calibri" w:cs="Arial Unicode MS"/>
                <w:sz w:val="18"/>
                <w:szCs w:val="18"/>
                <w:lang w:val="en-US"/>
              </w:rPr>
              <w:t xml:space="preserve"> </w:t>
            </w:r>
            <w:r w:rsidRPr="001D2FFA">
              <w:rPr>
                <w:rFonts w:ascii="Calibri" w:eastAsia="Arial Unicode MS" w:hAnsi="Calibri" w:cs="Arial Unicode MS"/>
                <w:sz w:val="18"/>
                <w:szCs w:val="18"/>
                <w:lang w:val="en-US"/>
              </w:rPr>
              <w:t>results of a phase 2 study of talazoparib following platinum or multiple cytotoxic regimens in advanced breast cancer patients (pts) with germline BRCA1/2 mutations (ABRAZO).</w:t>
            </w:r>
          </w:p>
        </w:tc>
        <w:tc>
          <w:tcPr>
            <w:tcW w:w="1950" w:type="pct"/>
          </w:tcPr>
          <w:p w:rsidR="001D2FFA" w:rsidRPr="00393922" w:rsidRDefault="00162AB2" w:rsidP="00162AB2">
            <w:pPr>
              <w:rPr>
                <w:rFonts w:ascii="Calibri" w:hAnsi="Calibri"/>
                <w:sz w:val="18"/>
                <w:szCs w:val="18"/>
                <w:lang w:val="en"/>
              </w:rPr>
            </w:pPr>
            <w:r w:rsidRPr="00162AB2">
              <w:rPr>
                <w:rFonts w:ascii="Calibri" w:hAnsi="Calibri"/>
                <w:sz w:val="18"/>
                <w:szCs w:val="18"/>
                <w:lang w:val="en"/>
              </w:rPr>
              <w:t>ABRAZO</w:t>
            </w:r>
            <w:r>
              <w:rPr>
                <w:rFonts w:ascii="Calibri" w:hAnsi="Calibri"/>
                <w:sz w:val="18"/>
                <w:szCs w:val="18"/>
                <w:lang w:val="en"/>
              </w:rPr>
              <w:t xml:space="preserve"> </w:t>
            </w:r>
            <w:r w:rsidRPr="00162AB2">
              <w:rPr>
                <w:rFonts w:ascii="Calibri" w:hAnsi="Calibri"/>
                <w:sz w:val="18"/>
                <w:szCs w:val="18"/>
                <w:lang w:val="en"/>
              </w:rPr>
              <w:t>is a 2-cohort, 2-stage phase 2 study of TALA (1 mg/d) following platinum-based therapy (Cohort 1 [C1]) or ≥ 3 platinum-free cytotoxic-based regimens (Cohort 2 [C2]) in pts with locally advanced or metastatic breast cancer (MBC) and gBRCA1/2mutation</w:t>
            </w:r>
            <w:r>
              <w:rPr>
                <w:rFonts w:ascii="Calibri" w:hAnsi="Calibri"/>
                <w:sz w:val="18"/>
                <w:szCs w:val="18"/>
                <w:lang w:val="en"/>
              </w:rPr>
              <w:t xml:space="preserve">. </w:t>
            </w:r>
            <w:r w:rsidRPr="00162AB2">
              <w:rPr>
                <w:rFonts w:ascii="Calibri" w:hAnsi="Calibri"/>
                <w:noProof/>
                <w:sz w:val="18"/>
                <w:szCs w:val="18"/>
                <w:lang w:eastAsia="en-AU"/>
              </w:rPr>
              <mc:AlternateContent>
                <mc:Choice Requires="wps">
                  <w:drawing>
                    <wp:inline distT="0" distB="0" distL="0" distR="0" wp14:anchorId="236423CE" wp14:editId="53BE511A">
                      <wp:extent cx="9525" cy="9525"/>
                      <wp:effectExtent l="0" t="0" r="0" b="0"/>
                      <wp:docPr id="11" name="Rectangle 11" descr="https://d.adroll.com/cm/aol/out?advertisable=LLPQ5HHSUVEWFM7V47PQJ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54C6DF" id="Rectangle 11" o:spid="_x0000_s1026" alt="https://d.adroll.com/cm/aol/out?advertisable=LLPQ5HHSUVEWFM7V47PQJU"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" filled="f" stroked="f">
                      <o:lock v:ext="edit" aspectratio="t"/>
                      <w10:anchorlock/>
                    </v:rect>
                  </w:pict>
                </mc:Fallback>
              </mc:AlternateContent>
            </w:r>
            <w:r>
              <w:t xml:space="preserve"> </w:t>
            </w:r>
            <w:r w:rsidRPr="00162AB2">
              <w:rPr>
                <w:rFonts w:ascii="Calibri" w:hAnsi="Calibri"/>
                <w:sz w:val="18"/>
                <w:szCs w:val="18"/>
                <w:lang w:val="en"/>
              </w:rPr>
              <w:t xml:space="preserve">From May 2014 to Feb 2016, 84 pts were enrolled (C1, n = 49; C2, n = 35). At data cutoff (1 Sep 2016), 9 pts continued on treatment. Both cohorts proceeded to stage 2 before enrollment closed. Median age was 50 (range, 31–75) years; 58% of pts had an ECOG PS of 0. TNBC/HR+ incidence in C1 and C2 was 59%/41% and 17%/83%, respectively. Median number of prior cytotoxic regimens administered for advanced disease was 2 in C1 and 4 in C2. ORR by IRF for BRCA1/BRCA2 was 24%/34%, and ORR by IRF for TNBC/HR+ was 26%/29%. Common all grade AEs: anemia (52%), fatigue (45%), nausea (42%), diarrhea (33%), thrombocytopenia (33%), and neutropenia (27%). Grade ≥ 3 AEs: anemia (35%), thrombocytopenia (19%), and neutropenia (15%). </w:t>
            </w:r>
            <w:proofErr w:type="spellStart"/>
            <w:r w:rsidRPr="00162AB2">
              <w:rPr>
                <w:rFonts w:ascii="Calibri" w:hAnsi="Calibri"/>
                <w:sz w:val="18"/>
                <w:szCs w:val="18"/>
                <w:lang w:val="en"/>
              </w:rPr>
              <w:t>Nonhematological</w:t>
            </w:r>
            <w:proofErr w:type="spellEnd"/>
            <w:r w:rsidRPr="00162AB2">
              <w:rPr>
                <w:rFonts w:ascii="Calibri" w:hAnsi="Calibri"/>
                <w:sz w:val="18"/>
                <w:szCs w:val="18"/>
                <w:lang w:val="en"/>
              </w:rPr>
              <w:t xml:space="preserve"> AEs grade ≥ 3 did not occur. AEs related to TALA led to drug discontinuation in 3 pts (4%); 4 AEs resulted in death, none related to TALA</w:t>
            </w:r>
            <w:r>
              <w:rPr>
                <w:rFonts w:ascii="Calibri" w:hAnsi="Calibri"/>
                <w:sz w:val="18"/>
                <w:szCs w:val="18"/>
                <w:lang w:val="en"/>
              </w:rPr>
              <w:t xml:space="preserve">. </w:t>
            </w:r>
          </w:p>
        </w:tc>
        <w:tc>
          <w:tcPr>
            <w:tcW w:w="1205" w:type="pct"/>
          </w:tcPr>
          <w:p w:rsidR="001D2FFA" w:rsidRPr="00393922" w:rsidRDefault="00661CB6" w:rsidP="00DD308E">
            <w:pPr>
              <w:rPr>
                <w:sz w:val="18"/>
                <w:szCs w:val="18"/>
              </w:rPr>
            </w:pPr>
            <w:hyperlink r:id="rId37" w:anchor="affiliationsContainer" w:history="1">
              <w:r w:rsidR="00162AB2" w:rsidRPr="00162AB2">
                <w:rPr>
                  <w:rStyle w:val="Hyperlink"/>
                  <w:sz w:val="18"/>
                  <w:szCs w:val="18"/>
                </w:rPr>
                <w:t>http://ascopubs.org/doi/abs/10.1200/JCO.2017.35.15_suppl.1007#affiliationsContainer</w:t>
              </w:r>
            </w:hyperlink>
          </w:p>
        </w:tc>
        <w:tc>
          <w:tcPr>
            <w:tcW w:w="606" w:type="pct"/>
          </w:tcPr>
          <w:p w:rsidR="001D2FFA" w:rsidRDefault="001D2FFA" w:rsidP="00393922">
            <w:pPr>
              <w:rPr>
                <w:sz w:val="18"/>
                <w:szCs w:val="18"/>
                <w:lang w:val="en-US"/>
              </w:rPr>
            </w:pPr>
            <w:r>
              <w:rPr>
                <w:sz w:val="18"/>
                <w:szCs w:val="18"/>
                <w:lang w:val="en-US"/>
              </w:rPr>
              <w:t xml:space="preserve">Turner et al, 2017. </w:t>
            </w:r>
            <w:r w:rsidRPr="001D2FFA">
              <w:rPr>
                <w:sz w:val="18"/>
                <w:szCs w:val="18"/>
                <w:lang w:val="en-US"/>
              </w:rPr>
              <w:t>NCT02034916.</w:t>
            </w:r>
          </w:p>
          <w:p w:rsidR="001D2FFA" w:rsidRDefault="001D2FFA" w:rsidP="00393922">
            <w:pPr>
              <w:rPr>
                <w:sz w:val="18"/>
                <w:szCs w:val="18"/>
                <w:lang w:val="en-US"/>
              </w:rPr>
            </w:pPr>
            <w:r w:rsidRPr="001D2FFA">
              <w:rPr>
                <w:sz w:val="18"/>
                <w:szCs w:val="18"/>
                <w:lang w:val="en-US"/>
              </w:rPr>
              <w:t>DOI: 10.1200/JCO.2017.35.15_suppl.1007 Journal of Clinical Oncology 35, no. 15_suppl (May 20 2017) 1007-1007.</w:t>
            </w:r>
          </w:p>
        </w:tc>
      </w:tr>
    </w:tbl>
    <w:p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rsidR="00DD308E" w:rsidRDefault="00DD308E" w:rsidP="00DD308E">
      <w:pPr>
        <w:spacing w:after="0"/>
        <w:ind w:left="426"/>
        <w:rPr>
          <w:i/>
          <w:szCs w:val="20"/>
        </w:rPr>
      </w:pPr>
      <w:r>
        <w:rPr>
          <w:i/>
          <w:szCs w:val="20"/>
        </w:rPr>
        <w:lastRenderedPageBreak/>
        <w:t>**Provide high level information including population numbers and whether patients are being recruited or in post-recruitment, including providing the trial registration number to allow for tracking purposes.</w:t>
      </w:r>
    </w:p>
    <w:p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w:t>
      </w:r>
      <w:proofErr w:type="gramStart"/>
      <w:r>
        <w:rPr>
          <w:i/>
          <w:szCs w:val="20"/>
        </w:rPr>
        <w:t>advise</w:t>
      </w:r>
      <w:proofErr w:type="gramEnd"/>
      <w:r>
        <w:rPr>
          <w:i/>
          <w:szCs w:val="20"/>
        </w:rPr>
        <w:t>.</w:t>
      </w:r>
    </w:p>
    <w:p w:rsidR="00DD308E" w:rsidRDefault="00DD308E" w:rsidP="00DD308E">
      <w:pPr>
        <w:rPr>
          <w:i/>
          <w:szCs w:val="20"/>
        </w:rPr>
      </w:pPr>
      <w:r>
        <w:rPr>
          <w:i/>
          <w:szCs w:val="20"/>
        </w:rPr>
        <w:br w:type="page"/>
      </w:r>
    </w:p>
    <w:p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r w:rsidR="00DE02E9">
        <w:rPr>
          <w:b w:val="0"/>
        </w:rPr>
        <w:t xml:space="preserve"> </w:t>
      </w:r>
      <w:r w:rsidR="000E0F02">
        <w:rPr>
          <w:b w:val="0"/>
        </w:rPr>
        <w:t>Not applicable at this point in time</w:t>
      </w:r>
    </w:p>
    <w:tbl>
      <w:tblPr>
        <w:tblStyle w:val="TableGrid"/>
        <w:tblW w:w="5000" w:type="pct"/>
        <w:tblLook w:val="04A0" w:firstRow="1" w:lastRow="0" w:firstColumn="1" w:lastColumn="0" w:noHBand="0" w:noVBand="1"/>
        <w:tblCaption w:val="Summary of Evidence - Yet to be Published"/>
      </w:tblPr>
      <w:tblGrid>
        <w:gridCol w:w="909"/>
        <w:gridCol w:w="2497"/>
        <w:gridCol w:w="3138"/>
        <w:gridCol w:w="2466"/>
        <w:gridCol w:w="3476"/>
        <w:gridCol w:w="1462"/>
      </w:tblGrid>
      <w:tr w:rsidR="004C49EF" w:rsidTr="004C49EF">
        <w:trPr>
          <w:cantSplit/>
          <w:tblHeader/>
        </w:trPr>
        <w:tc>
          <w:tcPr>
            <w:tcW w:w="326" w:type="pct"/>
          </w:tcPr>
          <w:p w:rsidR="004C49EF" w:rsidRDefault="004C49EF" w:rsidP="00855944">
            <w:pPr>
              <w:pStyle w:val="TableHEADER"/>
            </w:pPr>
          </w:p>
        </w:tc>
        <w:tc>
          <w:tcPr>
            <w:tcW w:w="895" w:type="pct"/>
          </w:tcPr>
          <w:p w:rsidR="004C49EF" w:rsidRDefault="004C49EF" w:rsidP="00855944">
            <w:pPr>
              <w:pStyle w:val="TableHEADER"/>
            </w:pPr>
            <w:r>
              <w:t>Type of study design*</w:t>
            </w:r>
          </w:p>
        </w:tc>
        <w:tc>
          <w:tcPr>
            <w:tcW w:w="1125" w:type="pct"/>
          </w:tcPr>
          <w:p w:rsidR="004C49EF" w:rsidRDefault="004C49EF" w:rsidP="00855944">
            <w:pPr>
              <w:pStyle w:val="TableHEADER"/>
            </w:pPr>
            <w:r>
              <w:t>Title of research (including any trial identifier if relevant)</w:t>
            </w:r>
          </w:p>
        </w:tc>
        <w:tc>
          <w:tcPr>
            <w:tcW w:w="884" w:type="pct"/>
          </w:tcPr>
          <w:p w:rsidR="004C49EF" w:rsidRDefault="00367C1B" w:rsidP="00855944">
            <w:pPr>
              <w:pStyle w:val="TableHEADER"/>
            </w:pPr>
            <w:r>
              <w:t xml:space="preserve">Short description of research </w:t>
            </w:r>
            <w:r w:rsidR="004C49EF">
              <w:t>(max 50 words)**</w:t>
            </w:r>
          </w:p>
        </w:tc>
        <w:tc>
          <w:tcPr>
            <w:tcW w:w="1246" w:type="pct"/>
          </w:tcPr>
          <w:p w:rsidR="004C49EF" w:rsidRDefault="004C49EF" w:rsidP="00855944">
            <w:pPr>
              <w:pStyle w:val="TableHEADER"/>
            </w:pPr>
            <w:r w:rsidRPr="00E82F54">
              <w:t xml:space="preserve">Website link to </w:t>
            </w:r>
            <w:r>
              <w:t>research (if available)</w:t>
            </w:r>
          </w:p>
        </w:tc>
        <w:tc>
          <w:tcPr>
            <w:tcW w:w="524" w:type="pct"/>
          </w:tcPr>
          <w:p w:rsidR="004C49EF" w:rsidRDefault="004C49EF" w:rsidP="00855944">
            <w:pPr>
              <w:pStyle w:val="TableHEADER"/>
            </w:pPr>
            <w:r w:rsidRPr="00E82F54">
              <w:t>Date*</w:t>
            </w:r>
            <w:r>
              <w:t>**</w:t>
            </w:r>
          </w:p>
        </w:tc>
      </w:tr>
      <w:tr w:rsidR="004C49EF" w:rsidTr="004C49EF">
        <w:trPr>
          <w:cantSplit/>
        </w:trPr>
        <w:tc>
          <w:tcPr>
            <w:tcW w:w="326" w:type="pct"/>
          </w:tcPr>
          <w:p w:rsidR="004C49EF" w:rsidRPr="00965B6B" w:rsidRDefault="004C49EF" w:rsidP="00526478">
            <w:pPr>
              <w:rPr>
                <w:szCs w:val="20"/>
              </w:rPr>
            </w:pPr>
            <w:r w:rsidRPr="00965B6B">
              <w:rPr>
                <w:szCs w:val="20"/>
              </w:rPr>
              <w:t>1</w:t>
            </w:r>
            <w:r>
              <w:rPr>
                <w:szCs w:val="20"/>
              </w:rPr>
              <w:t>.</w:t>
            </w:r>
          </w:p>
        </w:tc>
        <w:tc>
          <w:tcPr>
            <w:tcW w:w="895" w:type="pct"/>
          </w:tcPr>
          <w:p w:rsidR="004C49EF" w:rsidRDefault="004C49EF" w:rsidP="00526478">
            <w:pPr>
              <w:rPr>
                <w:b/>
                <w:szCs w:val="20"/>
              </w:rPr>
            </w:pPr>
          </w:p>
        </w:tc>
        <w:tc>
          <w:tcPr>
            <w:tcW w:w="1125" w:type="pct"/>
          </w:tcPr>
          <w:p w:rsidR="004C49EF" w:rsidRDefault="004C49EF" w:rsidP="00526478">
            <w:pPr>
              <w:rPr>
                <w:b/>
                <w:szCs w:val="20"/>
              </w:rPr>
            </w:pPr>
          </w:p>
        </w:tc>
        <w:tc>
          <w:tcPr>
            <w:tcW w:w="884" w:type="pct"/>
          </w:tcPr>
          <w:p w:rsidR="004C49EF" w:rsidRDefault="004C49EF" w:rsidP="00526478">
            <w:pPr>
              <w:rPr>
                <w:b/>
                <w:szCs w:val="20"/>
              </w:rPr>
            </w:pPr>
          </w:p>
        </w:tc>
        <w:tc>
          <w:tcPr>
            <w:tcW w:w="1246" w:type="pct"/>
          </w:tcPr>
          <w:p w:rsidR="004C49EF" w:rsidRPr="00E82F54" w:rsidRDefault="004C49EF" w:rsidP="00526478">
            <w:pPr>
              <w:rPr>
                <w:b/>
                <w:szCs w:val="20"/>
              </w:rPr>
            </w:pPr>
          </w:p>
        </w:tc>
        <w:tc>
          <w:tcPr>
            <w:tcW w:w="524" w:type="pct"/>
          </w:tcPr>
          <w:p w:rsidR="004C49EF" w:rsidRPr="00E82F54" w:rsidRDefault="004C49EF" w:rsidP="00526478">
            <w:pPr>
              <w:rPr>
                <w:b/>
                <w:szCs w:val="20"/>
              </w:rPr>
            </w:pPr>
          </w:p>
        </w:tc>
      </w:tr>
      <w:tr w:rsidR="004C49EF" w:rsidTr="004C49EF">
        <w:trPr>
          <w:cantSplit/>
        </w:trPr>
        <w:tc>
          <w:tcPr>
            <w:tcW w:w="326" w:type="pct"/>
          </w:tcPr>
          <w:p w:rsidR="004C49EF" w:rsidRPr="00965B6B" w:rsidRDefault="004C49EF" w:rsidP="00526478">
            <w:pPr>
              <w:rPr>
                <w:szCs w:val="20"/>
              </w:rPr>
            </w:pPr>
            <w:r>
              <w:rPr>
                <w:szCs w:val="20"/>
              </w:rPr>
              <w:t>2.</w:t>
            </w:r>
          </w:p>
        </w:tc>
        <w:tc>
          <w:tcPr>
            <w:tcW w:w="895" w:type="pct"/>
          </w:tcPr>
          <w:p w:rsidR="004C49EF" w:rsidRDefault="004C49EF" w:rsidP="00526478">
            <w:pPr>
              <w:rPr>
                <w:b/>
                <w:szCs w:val="20"/>
              </w:rPr>
            </w:pPr>
          </w:p>
        </w:tc>
        <w:tc>
          <w:tcPr>
            <w:tcW w:w="1125" w:type="pct"/>
          </w:tcPr>
          <w:p w:rsidR="004C49EF" w:rsidRDefault="004C49EF" w:rsidP="00526478">
            <w:pPr>
              <w:rPr>
                <w:b/>
                <w:szCs w:val="20"/>
              </w:rPr>
            </w:pPr>
          </w:p>
        </w:tc>
        <w:tc>
          <w:tcPr>
            <w:tcW w:w="884" w:type="pct"/>
          </w:tcPr>
          <w:p w:rsidR="004C49EF" w:rsidRDefault="004C49EF" w:rsidP="00526478">
            <w:pPr>
              <w:rPr>
                <w:b/>
                <w:szCs w:val="20"/>
              </w:rPr>
            </w:pPr>
          </w:p>
        </w:tc>
        <w:tc>
          <w:tcPr>
            <w:tcW w:w="1246" w:type="pct"/>
          </w:tcPr>
          <w:p w:rsidR="004C49EF" w:rsidRPr="00E82F54" w:rsidRDefault="004C49EF" w:rsidP="00526478">
            <w:pPr>
              <w:rPr>
                <w:b/>
                <w:szCs w:val="20"/>
              </w:rPr>
            </w:pPr>
          </w:p>
        </w:tc>
        <w:tc>
          <w:tcPr>
            <w:tcW w:w="524" w:type="pct"/>
          </w:tcPr>
          <w:p w:rsidR="004C49EF" w:rsidRPr="00E82F54" w:rsidRDefault="004C49EF" w:rsidP="00526478">
            <w:pPr>
              <w:rPr>
                <w:b/>
                <w:szCs w:val="20"/>
              </w:rPr>
            </w:pPr>
          </w:p>
        </w:tc>
      </w:tr>
      <w:tr w:rsidR="004C49EF" w:rsidTr="004C49EF">
        <w:trPr>
          <w:cantSplit/>
        </w:trPr>
        <w:tc>
          <w:tcPr>
            <w:tcW w:w="326" w:type="pct"/>
          </w:tcPr>
          <w:p w:rsidR="004C49EF" w:rsidRDefault="004C49EF" w:rsidP="00526478">
            <w:pPr>
              <w:rPr>
                <w:szCs w:val="20"/>
              </w:rPr>
            </w:pPr>
            <w:r>
              <w:rPr>
                <w:szCs w:val="20"/>
              </w:rPr>
              <w:t>3.</w:t>
            </w:r>
          </w:p>
        </w:tc>
        <w:tc>
          <w:tcPr>
            <w:tcW w:w="895" w:type="pct"/>
          </w:tcPr>
          <w:p w:rsidR="004C49EF" w:rsidRDefault="004C49EF" w:rsidP="00526478">
            <w:pPr>
              <w:rPr>
                <w:b/>
                <w:szCs w:val="20"/>
              </w:rPr>
            </w:pPr>
          </w:p>
        </w:tc>
        <w:tc>
          <w:tcPr>
            <w:tcW w:w="1125" w:type="pct"/>
          </w:tcPr>
          <w:p w:rsidR="004C49EF" w:rsidRDefault="004C49EF" w:rsidP="00526478">
            <w:pPr>
              <w:rPr>
                <w:b/>
                <w:szCs w:val="20"/>
              </w:rPr>
            </w:pPr>
          </w:p>
        </w:tc>
        <w:tc>
          <w:tcPr>
            <w:tcW w:w="884" w:type="pct"/>
          </w:tcPr>
          <w:p w:rsidR="004C49EF" w:rsidRDefault="004C49EF" w:rsidP="00526478">
            <w:pPr>
              <w:rPr>
                <w:b/>
                <w:szCs w:val="20"/>
              </w:rPr>
            </w:pPr>
          </w:p>
        </w:tc>
        <w:tc>
          <w:tcPr>
            <w:tcW w:w="1246" w:type="pct"/>
          </w:tcPr>
          <w:p w:rsidR="004C49EF" w:rsidRPr="00E82F54" w:rsidRDefault="004C49EF" w:rsidP="00526478">
            <w:pPr>
              <w:rPr>
                <w:b/>
                <w:szCs w:val="20"/>
              </w:rPr>
            </w:pPr>
          </w:p>
        </w:tc>
        <w:tc>
          <w:tcPr>
            <w:tcW w:w="524" w:type="pct"/>
          </w:tcPr>
          <w:p w:rsidR="004C49EF" w:rsidRPr="00E82F54" w:rsidRDefault="004C49EF" w:rsidP="00526478">
            <w:pPr>
              <w:rPr>
                <w:b/>
                <w:szCs w:val="20"/>
              </w:rPr>
            </w:pPr>
          </w:p>
        </w:tc>
      </w:tr>
      <w:tr w:rsidR="004C49EF" w:rsidTr="004C49EF">
        <w:trPr>
          <w:cantSplit/>
        </w:trPr>
        <w:tc>
          <w:tcPr>
            <w:tcW w:w="326" w:type="pct"/>
          </w:tcPr>
          <w:p w:rsidR="004C49EF" w:rsidRDefault="004C49EF" w:rsidP="00526478">
            <w:pPr>
              <w:rPr>
                <w:szCs w:val="20"/>
              </w:rPr>
            </w:pPr>
            <w:r>
              <w:rPr>
                <w:szCs w:val="20"/>
              </w:rPr>
              <w:t>4.</w:t>
            </w:r>
          </w:p>
        </w:tc>
        <w:tc>
          <w:tcPr>
            <w:tcW w:w="895" w:type="pct"/>
          </w:tcPr>
          <w:p w:rsidR="004C49EF" w:rsidRDefault="004C49EF" w:rsidP="00526478">
            <w:pPr>
              <w:rPr>
                <w:b/>
                <w:szCs w:val="20"/>
              </w:rPr>
            </w:pPr>
          </w:p>
        </w:tc>
        <w:tc>
          <w:tcPr>
            <w:tcW w:w="1125" w:type="pct"/>
          </w:tcPr>
          <w:p w:rsidR="004C49EF" w:rsidRDefault="004C49EF" w:rsidP="00526478">
            <w:pPr>
              <w:rPr>
                <w:b/>
                <w:szCs w:val="20"/>
              </w:rPr>
            </w:pPr>
          </w:p>
        </w:tc>
        <w:tc>
          <w:tcPr>
            <w:tcW w:w="884" w:type="pct"/>
          </w:tcPr>
          <w:p w:rsidR="004C49EF" w:rsidRDefault="004C49EF" w:rsidP="00526478">
            <w:pPr>
              <w:rPr>
                <w:b/>
                <w:szCs w:val="20"/>
              </w:rPr>
            </w:pPr>
          </w:p>
        </w:tc>
        <w:tc>
          <w:tcPr>
            <w:tcW w:w="1246" w:type="pct"/>
          </w:tcPr>
          <w:p w:rsidR="004C49EF" w:rsidRPr="00E82F54" w:rsidRDefault="004C49EF" w:rsidP="00526478">
            <w:pPr>
              <w:rPr>
                <w:b/>
                <w:szCs w:val="20"/>
              </w:rPr>
            </w:pPr>
          </w:p>
        </w:tc>
        <w:tc>
          <w:tcPr>
            <w:tcW w:w="524" w:type="pct"/>
          </w:tcPr>
          <w:p w:rsidR="004C49EF" w:rsidRPr="00E82F54" w:rsidRDefault="004C49EF" w:rsidP="00526478">
            <w:pPr>
              <w:rPr>
                <w:b/>
                <w:szCs w:val="20"/>
              </w:rPr>
            </w:pPr>
          </w:p>
        </w:tc>
      </w:tr>
      <w:tr w:rsidR="004C49EF" w:rsidTr="004C49EF">
        <w:trPr>
          <w:cantSplit/>
        </w:trPr>
        <w:tc>
          <w:tcPr>
            <w:tcW w:w="326" w:type="pct"/>
          </w:tcPr>
          <w:p w:rsidR="004C49EF" w:rsidRDefault="004C49EF" w:rsidP="00526478">
            <w:pPr>
              <w:rPr>
                <w:szCs w:val="20"/>
              </w:rPr>
            </w:pPr>
            <w:r>
              <w:rPr>
                <w:szCs w:val="20"/>
              </w:rPr>
              <w:t>5.</w:t>
            </w:r>
          </w:p>
        </w:tc>
        <w:tc>
          <w:tcPr>
            <w:tcW w:w="895" w:type="pct"/>
          </w:tcPr>
          <w:p w:rsidR="004C49EF" w:rsidRDefault="004C49EF" w:rsidP="00526478">
            <w:pPr>
              <w:rPr>
                <w:b/>
                <w:szCs w:val="20"/>
              </w:rPr>
            </w:pPr>
          </w:p>
        </w:tc>
        <w:tc>
          <w:tcPr>
            <w:tcW w:w="1125" w:type="pct"/>
          </w:tcPr>
          <w:p w:rsidR="004C49EF" w:rsidRDefault="004C49EF" w:rsidP="00526478">
            <w:pPr>
              <w:rPr>
                <w:b/>
                <w:szCs w:val="20"/>
              </w:rPr>
            </w:pPr>
          </w:p>
        </w:tc>
        <w:tc>
          <w:tcPr>
            <w:tcW w:w="884" w:type="pct"/>
          </w:tcPr>
          <w:p w:rsidR="004C49EF" w:rsidRDefault="004C49EF" w:rsidP="00526478">
            <w:pPr>
              <w:rPr>
                <w:b/>
                <w:szCs w:val="20"/>
              </w:rPr>
            </w:pPr>
          </w:p>
        </w:tc>
        <w:tc>
          <w:tcPr>
            <w:tcW w:w="1246" w:type="pct"/>
          </w:tcPr>
          <w:p w:rsidR="004C49EF" w:rsidRPr="00E82F54" w:rsidRDefault="004C49EF" w:rsidP="00526478">
            <w:pPr>
              <w:rPr>
                <w:b/>
                <w:szCs w:val="20"/>
              </w:rPr>
            </w:pPr>
          </w:p>
        </w:tc>
        <w:tc>
          <w:tcPr>
            <w:tcW w:w="524" w:type="pct"/>
          </w:tcPr>
          <w:p w:rsidR="004C49EF" w:rsidRPr="00E82F54" w:rsidRDefault="004C49EF" w:rsidP="00526478">
            <w:pPr>
              <w:rPr>
                <w:b/>
                <w:szCs w:val="20"/>
              </w:rPr>
            </w:pPr>
          </w:p>
        </w:tc>
      </w:tr>
      <w:tr w:rsidR="004C49EF" w:rsidTr="004C49EF">
        <w:trPr>
          <w:cantSplit/>
        </w:trPr>
        <w:tc>
          <w:tcPr>
            <w:tcW w:w="326" w:type="pct"/>
          </w:tcPr>
          <w:p w:rsidR="004C49EF" w:rsidRDefault="004C49EF" w:rsidP="00526478">
            <w:pPr>
              <w:rPr>
                <w:szCs w:val="20"/>
              </w:rPr>
            </w:pPr>
            <w:r>
              <w:rPr>
                <w:szCs w:val="20"/>
              </w:rPr>
              <w:t>6.</w:t>
            </w:r>
          </w:p>
        </w:tc>
        <w:tc>
          <w:tcPr>
            <w:tcW w:w="895" w:type="pct"/>
          </w:tcPr>
          <w:p w:rsidR="004C49EF" w:rsidRDefault="004C49EF" w:rsidP="00526478">
            <w:pPr>
              <w:rPr>
                <w:b/>
                <w:szCs w:val="20"/>
              </w:rPr>
            </w:pPr>
          </w:p>
        </w:tc>
        <w:tc>
          <w:tcPr>
            <w:tcW w:w="1125" w:type="pct"/>
          </w:tcPr>
          <w:p w:rsidR="004C49EF" w:rsidRDefault="004C49EF" w:rsidP="00526478">
            <w:pPr>
              <w:rPr>
                <w:b/>
                <w:szCs w:val="20"/>
              </w:rPr>
            </w:pPr>
          </w:p>
        </w:tc>
        <w:tc>
          <w:tcPr>
            <w:tcW w:w="884" w:type="pct"/>
          </w:tcPr>
          <w:p w:rsidR="004C49EF" w:rsidRDefault="004C49EF" w:rsidP="00526478">
            <w:pPr>
              <w:rPr>
                <w:b/>
                <w:szCs w:val="20"/>
              </w:rPr>
            </w:pPr>
          </w:p>
        </w:tc>
        <w:tc>
          <w:tcPr>
            <w:tcW w:w="1246" w:type="pct"/>
          </w:tcPr>
          <w:p w:rsidR="004C49EF" w:rsidRPr="00E82F54" w:rsidRDefault="004C49EF" w:rsidP="00526478">
            <w:pPr>
              <w:rPr>
                <w:b/>
                <w:szCs w:val="20"/>
              </w:rPr>
            </w:pPr>
          </w:p>
        </w:tc>
        <w:tc>
          <w:tcPr>
            <w:tcW w:w="524" w:type="pct"/>
          </w:tcPr>
          <w:p w:rsidR="004C49EF" w:rsidRPr="00E82F54" w:rsidRDefault="004C49EF" w:rsidP="00526478">
            <w:pPr>
              <w:rPr>
                <w:b/>
                <w:szCs w:val="20"/>
              </w:rPr>
            </w:pPr>
          </w:p>
        </w:tc>
      </w:tr>
      <w:tr w:rsidR="004C49EF" w:rsidTr="004C49EF">
        <w:trPr>
          <w:cantSplit/>
        </w:trPr>
        <w:tc>
          <w:tcPr>
            <w:tcW w:w="326" w:type="pct"/>
          </w:tcPr>
          <w:p w:rsidR="004C49EF" w:rsidRDefault="004C49EF" w:rsidP="00526478">
            <w:pPr>
              <w:rPr>
                <w:szCs w:val="20"/>
              </w:rPr>
            </w:pPr>
            <w:r>
              <w:rPr>
                <w:szCs w:val="20"/>
              </w:rPr>
              <w:t>7.</w:t>
            </w:r>
          </w:p>
        </w:tc>
        <w:tc>
          <w:tcPr>
            <w:tcW w:w="895" w:type="pct"/>
          </w:tcPr>
          <w:p w:rsidR="004C49EF" w:rsidRDefault="004C49EF" w:rsidP="00526478">
            <w:pPr>
              <w:rPr>
                <w:b/>
                <w:szCs w:val="20"/>
              </w:rPr>
            </w:pPr>
          </w:p>
        </w:tc>
        <w:tc>
          <w:tcPr>
            <w:tcW w:w="1125" w:type="pct"/>
          </w:tcPr>
          <w:p w:rsidR="004C49EF" w:rsidRDefault="004C49EF" w:rsidP="00526478">
            <w:pPr>
              <w:rPr>
                <w:b/>
                <w:szCs w:val="20"/>
              </w:rPr>
            </w:pPr>
          </w:p>
        </w:tc>
        <w:tc>
          <w:tcPr>
            <w:tcW w:w="884" w:type="pct"/>
          </w:tcPr>
          <w:p w:rsidR="004C49EF" w:rsidRDefault="004C49EF" w:rsidP="00526478">
            <w:pPr>
              <w:rPr>
                <w:b/>
                <w:szCs w:val="20"/>
              </w:rPr>
            </w:pPr>
          </w:p>
        </w:tc>
        <w:tc>
          <w:tcPr>
            <w:tcW w:w="1246" w:type="pct"/>
          </w:tcPr>
          <w:p w:rsidR="004C49EF" w:rsidRPr="00E82F54" w:rsidRDefault="004C49EF" w:rsidP="00526478">
            <w:pPr>
              <w:rPr>
                <w:b/>
                <w:szCs w:val="20"/>
              </w:rPr>
            </w:pPr>
          </w:p>
        </w:tc>
        <w:tc>
          <w:tcPr>
            <w:tcW w:w="524" w:type="pct"/>
          </w:tcPr>
          <w:p w:rsidR="004C49EF" w:rsidRPr="00E82F54" w:rsidRDefault="004C49EF" w:rsidP="00526478">
            <w:pPr>
              <w:rPr>
                <w:b/>
                <w:szCs w:val="20"/>
              </w:rPr>
            </w:pPr>
          </w:p>
        </w:tc>
      </w:tr>
      <w:tr w:rsidR="004C49EF" w:rsidTr="004C49EF">
        <w:trPr>
          <w:cantSplit/>
        </w:trPr>
        <w:tc>
          <w:tcPr>
            <w:tcW w:w="326" w:type="pct"/>
          </w:tcPr>
          <w:p w:rsidR="004C49EF" w:rsidRDefault="004C49EF" w:rsidP="00526478">
            <w:pPr>
              <w:rPr>
                <w:szCs w:val="20"/>
              </w:rPr>
            </w:pPr>
            <w:r>
              <w:rPr>
                <w:szCs w:val="20"/>
              </w:rPr>
              <w:t>8.</w:t>
            </w:r>
          </w:p>
        </w:tc>
        <w:tc>
          <w:tcPr>
            <w:tcW w:w="895" w:type="pct"/>
          </w:tcPr>
          <w:p w:rsidR="004C49EF" w:rsidRDefault="004C49EF" w:rsidP="00526478">
            <w:pPr>
              <w:rPr>
                <w:b/>
                <w:szCs w:val="20"/>
              </w:rPr>
            </w:pPr>
          </w:p>
        </w:tc>
        <w:tc>
          <w:tcPr>
            <w:tcW w:w="1125" w:type="pct"/>
          </w:tcPr>
          <w:p w:rsidR="004C49EF" w:rsidRDefault="004C49EF" w:rsidP="00526478">
            <w:pPr>
              <w:rPr>
                <w:b/>
                <w:szCs w:val="20"/>
              </w:rPr>
            </w:pPr>
          </w:p>
        </w:tc>
        <w:tc>
          <w:tcPr>
            <w:tcW w:w="884" w:type="pct"/>
          </w:tcPr>
          <w:p w:rsidR="004C49EF" w:rsidRDefault="004C49EF" w:rsidP="00526478">
            <w:pPr>
              <w:rPr>
                <w:b/>
                <w:szCs w:val="20"/>
              </w:rPr>
            </w:pPr>
          </w:p>
        </w:tc>
        <w:tc>
          <w:tcPr>
            <w:tcW w:w="1246" w:type="pct"/>
          </w:tcPr>
          <w:p w:rsidR="004C49EF" w:rsidRPr="00E82F54" w:rsidRDefault="004C49EF" w:rsidP="00526478">
            <w:pPr>
              <w:rPr>
                <w:b/>
                <w:szCs w:val="20"/>
              </w:rPr>
            </w:pPr>
          </w:p>
        </w:tc>
        <w:tc>
          <w:tcPr>
            <w:tcW w:w="524" w:type="pct"/>
          </w:tcPr>
          <w:p w:rsidR="004C49EF" w:rsidRPr="00E82F54" w:rsidRDefault="004C49EF" w:rsidP="00526478">
            <w:pPr>
              <w:rPr>
                <w:b/>
                <w:szCs w:val="20"/>
              </w:rPr>
            </w:pPr>
          </w:p>
        </w:tc>
      </w:tr>
      <w:tr w:rsidR="004C49EF" w:rsidTr="004C49EF">
        <w:trPr>
          <w:cantSplit/>
        </w:trPr>
        <w:tc>
          <w:tcPr>
            <w:tcW w:w="326" w:type="pct"/>
          </w:tcPr>
          <w:p w:rsidR="004C49EF" w:rsidRDefault="004C49EF" w:rsidP="00526478">
            <w:pPr>
              <w:rPr>
                <w:szCs w:val="20"/>
              </w:rPr>
            </w:pPr>
            <w:r>
              <w:rPr>
                <w:szCs w:val="20"/>
              </w:rPr>
              <w:t>9.</w:t>
            </w:r>
          </w:p>
        </w:tc>
        <w:tc>
          <w:tcPr>
            <w:tcW w:w="895" w:type="pct"/>
          </w:tcPr>
          <w:p w:rsidR="004C49EF" w:rsidRDefault="004C49EF" w:rsidP="00526478">
            <w:pPr>
              <w:rPr>
                <w:b/>
                <w:szCs w:val="20"/>
              </w:rPr>
            </w:pPr>
          </w:p>
        </w:tc>
        <w:tc>
          <w:tcPr>
            <w:tcW w:w="1125" w:type="pct"/>
          </w:tcPr>
          <w:p w:rsidR="004C49EF" w:rsidRDefault="004C49EF" w:rsidP="00526478">
            <w:pPr>
              <w:rPr>
                <w:b/>
                <w:szCs w:val="20"/>
              </w:rPr>
            </w:pPr>
          </w:p>
        </w:tc>
        <w:tc>
          <w:tcPr>
            <w:tcW w:w="884" w:type="pct"/>
          </w:tcPr>
          <w:p w:rsidR="004C49EF" w:rsidRDefault="004C49EF" w:rsidP="00526478">
            <w:pPr>
              <w:rPr>
                <w:b/>
                <w:szCs w:val="20"/>
              </w:rPr>
            </w:pPr>
          </w:p>
        </w:tc>
        <w:tc>
          <w:tcPr>
            <w:tcW w:w="1246" w:type="pct"/>
          </w:tcPr>
          <w:p w:rsidR="004C49EF" w:rsidRPr="00E82F54" w:rsidRDefault="004C49EF" w:rsidP="00526478">
            <w:pPr>
              <w:rPr>
                <w:b/>
                <w:szCs w:val="20"/>
              </w:rPr>
            </w:pPr>
          </w:p>
        </w:tc>
        <w:tc>
          <w:tcPr>
            <w:tcW w:w="524" w:type="pct"/>
          </w:tcPr>
          <w:p w:rsidR="004C49EF" w:rsidRPr="00E82F54" w:rsidRDefault="004C49EF" w:rsidP="00526478">
            <w:pPr>
              <w:rPr>
                <w:b/>
                <w:szCs w:val="20"/>
              </w:rPr>
            </w:pPr>
          </w:p>
        </w:tc>
      </w:tr>
      <w:tr w:rsidR="004C49EF" w:rsidTr="004C49EF">
        <w:trPr>
          <w:cantSplit/>
        </w:trPr>
        <w:tc>
          <w:tcPr>
            <w:tcW w:w="326" w:type="pct"/>
          </w:tcPr>
          <w:p w:rsidR="004C49EF" w:rsidRDefault="004C49EF" w:rsidP="00526478">
            <w:pPr>
              <w:rPr>
                <w:szCs w:val="20"/>
              </w:rPr>
            </w:pPr>
            <w:r>
              <w:rPr>
                <w:szCs w:val="20"/>
              </w:rPr>
              <w:t>10.</w:t>
            </w:r>
          </w:p>
        </w:tc>
        <w:tc>
          <w:tcPr>
            <w:tcW w:w="895" w:type="pct"/>
          </w:tcPr>
          <w:p w:rsidR="004C49EF" w:rsidRDefault="004C49EF" w:rsidP="00526478">
            <w:pPr>
              <w:rPr>
                <w:b/>
                <w:szCs w:val="20"/>
              </w:rPr>
            </w:pPr>
          </w:p>
        </w:tc>
        <w:tc>
          <w:tcPr>
            <w:tcW w:w="1125" w:type="pct"/>
          </w:tcPr>
          <w:p w:rsidR="004C49EF" w:rsidRDefault="004C49EF" w:rsidP="00526478">
            <w:pPr>
              <w:rPr>
                <w:b/>
                <w:szCs w:val="20"/>
              </w:rPr>
            </w:pPr>
          </w:p>
        </w:tc>
        <w:tc>
          <w:tcPr>
            <w:tcW w:w="884" w:type="pct"/>
          </w:tcPr>
          <w:p w:rsidR="004C49EF" w:rsidRDefault="004C49EF" w:rsidP="00526478">
            <w:pPr>
              <w:rPr>
                <w:b/>
                <w:szCs w:val="20"/>
              </w:rPr>
            </w:pPr>
          </w:p>
        </w:tc>
        <w:tc>
          <w:tcPr>
            <w:tcW w:w="1246" w:type="pct"/>
          </w:tcPr>
          <w:p w:rsidR="004C49EF" w:rsidRPr="00E82F54" w:rsidRDefault="004C49EF" w:rsidP="00526478">
            <w:pPr>
              <w:rPr>
                <w:b/>
                <w:szCs w:val="20"/>
              </w:rPr>
            </w:pPr>
          </w:p>
        </w:tc>
        <w:tc>
          <w:tcPr>
            <w:tcW w:w="524" w:type="pct"/>
          </w:tcPr>
          <w:p w:rsidR="004C49EF" w:rsidRPr="00E82F54" w:rsidRDefault="004C49EF" w:rsidP="00526478">
            <w:pPr>
              <w:rPr>
                <w:b/>
                <w:szCs w:val="20"/>
              </w:rPr>
            </w:pPr>
          </w:p>
        </w:tc>
      </w:tr>
      <w:tr w:rsidR="004C49EF" w:rsidRPr="00E82F54" w:rsidTr="004C49EF">
        <w:trPr>
          <w:cantSplit/>
        </w:trPr>
        <w:tc>
          <w:tcPr>
            <w:tcW w:w="326" w:type="pct"/>
          </w:tcPr>
          <w:p w:rsidR="004C49EF" w:rsidRDefault="004C49EF" w:rsidP="00526478">
            <w:pPr>
              <w:rPr>
                <w:szCs w:val="20"/>
              </w:rPr>
            </w:pPr>
            <w:r>
              <w:rPr>
                <w:szCs w:val="20"/>
              </w:rPr>
              <w:t>11.</w:t>
            </w:r>
          </w:p>
        </w:tc>
        <w:tc>
          <w:tcPr>
            <w:tcW w:w="895" w:type="pct"/>
          </w:tcPr>
          <w:p w:rsidR="004C49EF" w:rsidRDefault="004C49EF" w:rsidP="00526478">
            <w:pPr>
              <w:rPr>
                <w:b/>
                <w:szCs w:val="20"/>
              </w:rPr>
            </w:pPr>
          </w:p>
        </w:tc>
        <w:tc>
          <w:tcPr>
            <w:tcW w:w="1125" w:type="pct"/>
          </w:tcPr>
          <w:p w:rsidR="004C49EF" w:rsidRDefault="004C49EF" w:rsidP="00526478">
            <w:pPr>
              <w:rPr>
                <w:b/>
                <w:szCs w:val="20"/>
              </w:rPr>
            </w:pPr>
          </w:p>
        </w:tc>
        <w:tc>
          <w:tcPr>
            <w:tcW w:w="884" w:type="pct"/>
          </w:tcPr>
          <w:p w:rsidR="004C49EF" w:rsidRDefault="004C49EF" w:rsidP="00526478">
            <w:pPr>
              <w:rPr>
                <w:b/>
                <w:szCs w:val="20"/>
              </w:rPr>
            </w:pPr>
          </w:p>
        </w:tc>
        <w:tc>
          <w:tcPr>
            <w:tcW w:w="1246" w:type="pct"/>
          </w:tcPr>
          <w:p w:rsidR="004C49EF" w:rsidRPr="00E82F54" w:rsidRDefault="004C49EF" w:rsidP="00526478">
            <w:pPr>
              <w:rPr>
                <w:b/>
                <w:szCs w:val="20"/>
              </w:rPr>
            </w:pPr>
          </w:p>
        </w:tc>
        <w:tc>
          <w:tcPr>
            <w:tcW w:w="524" w:type="pct"/>
          </w:tcPr>
          <w:p w:rsidR="004C49EF" w:rsidRPr="00E82F54" w:rsidRDefault="004C49EF" w:rsidP="00526478">
            <w:pPr>
              <w:rPr>
                <w:b/>
                <w:szCs w:val="20"/>
              </w:rPr>
            </w:pPr>
          </w:p>
        </w:tc>
      </w:tr>
    </w:tbl>
    <w:p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rsidR="00487C36" w:rsidRDefault="00487C36" w:rsidP="00487C36">
      <w:pPr>
        <w:ind w:left="426"/>
      </w:pPr>
      <w:r>
        <w:t>The Royal College of Pathologist of Australasia</w:t>
      </w:r>
    </w:p>
    <w:p w:rsidR="00487C36" w:rsidRDefault="00487C36" w:rsidP="00487C36">
      <w:pPr>
        <w:ind w:left="426"/>
      </w:pPr>
      <w:r w:rsidRPr="009E52DC">
        <w:t>A statement of clinical relevance f</w:t>
      </w:r>
      <w:r w:rsidR="003944A2" w:rsidRPr="009E52DC">
        <w:t>rom RCPA f</w:t>
      </w:r>
      <w:r w:rsidRPr="009E52DC">
        <w:t xml:space="preserve">or the proposed medical service </w:t>
      </w:r>
      <w:r w:rsidR="00FC081B" w:rsidRPr="009E52DC">
        <w:t xml:space="preserve">is </w:t>
      </w:r>
      <w:r w:rsidR="00E77867" w:rsidRPr="009E52DC">
        <w:t>attached</w:t>
      </w:r>
      <w:r w:rsidR="00FC081B" w:rsidRPr="009E52DC">
        <w:t xml:space="preserve"> to this application</w:t>
      </w:r>
      <w:r w:rsidR="00E77867" w:rsidRPr="009E52DC">
        <w:t>.</w:t>
      </w:r>
    </w:p>
    <w:p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rsidR="00EA173C" w:rsidRDefault="00BD78B3" w:rsidP="00A727B6">
      <w:pPr>
        <w:ind w:left="426"/>
      </w:pPr>
      <w:r>
        <w:t xml:space="preserve">Not applicable </w:t>
      </w:r>
    </w:p>
    <w:p w:rsidR="00E82F54" w:rsidRPr="00154B00"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rsidR="00FC081B" w:rsidRDefault="00FC081B" w:rsidP="00FC081B">
      <w:pPr>
        <w:ind w:left="360"/>
      </w:pPr>
      <w:r>
        <w:t xml:space="preserve">The Breast Cancer Network of Australia (BCNA). </w:t>
      </w:r>
    </w:p>
    <w:p w:rsidR="003944A2" w:rsidRDefault="003944A2" w:rsidP="003944A2">
      <w:pPr>
        <w:ind w:left="426"/>
      </w:pPr>
      <w:r w:rsidRPr="00EE7D04">
        <w:t>A statement of clinical relevance from BCNA for the proposed medical service is attached to this application.</w:t>
      </w:r>
      <w:r>
        <w:t xml:space="preserve"> </w:t>
      </w:r>
    </w:p>
    <w:p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rsidR="003944A2" w:rsidRDefault="003944A2" w:rsidP="003944A2">
      <w:pPr>
        <w:ind w:left="426"/>
      </w:pPr>
      <w:r>
        <w:t xml:space="preserve">There is no single sponsor for germline </w:t>
      </w:r>
      <w:proofErr w:type="spellStart"/>
      <w:r>
        <w:rPr>
          <w:i/>
        </w:rPr>
        <w:t>BRCA</w:t>
      </w:r>
      <w:r>
        <w:t>m</w:t>
      </w:r>
      <w:proofErr w:type="spellEnd"/>
      <w:r>
        <w:t xml:space="preserve"> testing in Australia.  </w:t>
      </w:r>
    </w:p>
    <w:p w:rsidR="00E82F54" w:rsidRDefault="00E82F54" w:rsidP="00530204">
      <w:pPr>
        <w:pStyle w:val="Heading2"/>
      </w:pPr>
      <w:r w:rsidRPr="00154B00">
        <w:t>Nominate two experts who could be approached about the proposed medical service and the current clinical management of the service(s):</w:t>
      </w:r>
    </w:p>
    <w:p w:rsidR="00987ABE" w:rsidRPr="00987ABE" w:rsidRDefault="00987ABE" w:rsidP="00987ABE">
      <w:pPr>
        <w:ind w:left="426"/>
        <w:rPr>
          <w:szCs w:val="20"/>
        </w:rPr>
      </w:pPr>
      <w:r>
        <w:rPr>
          <w:szCs w:val="20"/>
        </w:rPr>
        <w:t xml:space="preserve">Name of expert 1: </w:t>
      </w:r>
      <w:r w:rsidR="00661CB6" w:rsidRPr="00661CB6">
        <w:rPr>
          <w:b/>
        </w:rPr>
        <w:t>REDACTED</w:t>
      </w:r>
    </w:p>
    <w:p w:rsidR="00987ABE" w:rsidRPr="00987ABE" w:rsidRDefault="00987ABE" w:rsidP="00987ABE">
      <w:pPr>
        <w:ind w:left="426"/>
        <w:rPr>
          <w:szCs w:val="20"/>
        </w:rPr>
      </w:pPr>
      <w:r>
        <w:rPr>
          <w:szCs w:val="20"/>
        </w:rPr>
        <w:t xml:space="preserve">Email address: </w:t>
      </w:r>
      <w:r w:rsidR="00661CB6" w:rsidRPr="00661CB6">
        <w:rPr>
          <w:b/>
        </w:rPr>
        <w:t>REDACTED</w:t>
      </w:r>
    </w:p>
    <w:p w:rsidR="00987ABE" w:rsidRPr="00987ABE" w:rsidRDefault="00987ABE" w:rsidP="00987ABE">
      <w:pPr>
        <w:ind w:left="426"/>
        <w:rPr>
          <w:szCs w:val="20"/>
        </w:rPr>
      </w:pPr>
      <w:r>
        <w:rPr>
          <w:szCs w:val="20"/>
        </w:rPr>
        <w:t xml:space="preserve">Justification of expertise: </w:t>
      </w:r>
      <w:r w:rsidR="00316F8F" w:rsidRPr="00316F8F">
        <w:rPr>
          <w:szCs w:val="20"/>
        </w:rPr>
        <w:t>EMBRACA investigator and leading recruiter, KOL in TNBC / BRCA breast cancer</w:t>
      </w:r>
    </w:p>
    <w:p w:rsidR="00987ABE" w:rsidRDefault="00987ABE" w:rsidP="00987ABE">
      <w:pPr>
        <w:ind w:left="426"/>
        <w:rPr>
          <w:szCs w:val="20"/>
        </w:rPr>
      </w:pPr>
      <w:r>
        <w:rPr>
          <w:szCs w:val="20"/>
        </w:rPr>
        <w:lastRenderedPageBreak/>
        <w:t xml:space="preserve">Name of expert 2: </w:t>
      </w:r>
      <w:r w:rsidR="00661CB6" w:rsidRPr="00661CB6">
        <w:rPr>
          <w:b/>
        </w:rPr>
        <w:t>REDACTED</w:t>
      </w:r>
    </w:p>
    <w:p w:rsidR="00316F8F" w:rsidRPr="00316F8F" w:rsidRDefault="00316F8F" w:rsidP="00316F8F">
      <w:pPr>
        <w:ind w:left="426"/>
        <w:rPr>
          <w:szCs w:val="20"/>
        </w:rPr>
      </w:pPr>
      <w:r>
        <w:rPr>
          <w:szCs w:val="20"/>
        </w:rPr>
        <w:t xml:space="preserve">Phone number: </w:t>
      </w:r>
      <w:r w:rsidR="00661CB6" w:rsidRPr="00661CB6">
        <w:rPr>
          <w:b/>
        </w:rPr>
        <w:t>REDACTED</w:t>
      </w:r>
    </w:p>
    <w:p w:rsidR="00316F8F" w:rsidRPr="00316F8F" w:rsidRDefault="00987ABE" w:rsidP="00316F8F">
      <w:pPr>
        <w:ind w:left="426"/>
        <w:rPr>
          <w:szCs w:val="20"/>
        </w:rPr>
      </w:pPr>
      <w:r>
        <w:rPr>
          <w:szCs w:val="20"/>
        </w:rPr>
        <w:t xml:space="preserve">Email address: </w:t>
      </w:r>
      <w:r w:rsidR="00661CB6" w:rsidRPr="00661CB6">
        <w:rPr>
          <w:b/>
        </w:rPr>
        <w:t>REDACTED</w:t>
      </w:r>
    </w:p>
    <w:p w:rsidR="00316F8F" w:rsidRPr="00316F8F" w:rsidRDefault="00987ABE" w:rsidP="00316F8F">
      <w:pPr>
        <w:ind w:left="426"/>
        <w:rPr>
          <w:szCs w:val="20"/>
        </w:rPr>
      </w:pPr>
      <w:r>
        <w:rPr>
          <w:szCs w:val="20"/>
        </w:rPr>
        <w:t xml:space="preserve">Justification of expertise: </w:t>
      </w:r>
      <w:r w:rsidR="00316F8F" w:rsidRPr="00316F8F">
        <w:rPr>
          <w:szCs w:val="20"/>
        </w:rPr>
        <w:t xml:space="preserve">One of Australia’s leading breast cancer research </w:t>
      </w:r>
      <w:r w:rsidR="00316F8F">
        <w:rPr>
          <w:szCs w:val="20"/>
        </w:rPr>
        <w:t xml:space="preserve">expert </w:t>
      </w:r>
      <w:r w:rsidR="00316F8F" w:rsidRPr="00316F8F">
        <w:rPr>
          <w:szCs w:val="20"/>
        </w:rPr>
        <w:t>with a special interest in TNBC</w:t>
      </w:r>
    </w:p>
    <w:p w:rsidR="00316F8F" w:rsidRDefault="00316F8F" w:rsidP="00E82F54">
      <w:pPr>
        <w:ind w:left="426"/>
        <w:rPr>
          <w:i/>
          <w:szCs w:val="20"/>
        </w:rPr>
      </w:pPr>
    </w:p>
    <w:p w:rsidR="00E82F54" w:rsidRPr="00154B00" w:rsidRDefault="00E82F54" w:rsidP="00E82F54">
      <w:pPr>
        <w:ind w:left="426"/>
        <w:rPr>
          <w:i/>
          <w:szCs w:val="20"/>
        </w:rPr>
      </w:pPr>
      <w:r w:rsidRPr="00154B00">
        <w:rPr>
          <w:i/>
          <w:szCs w:val="20"/>
        </w:rPr>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p>
    <w:p w:rsidR="003433D1" w:rsidRDefault="003433D1">
      <w:pPr>
        <w:rPr>
          <w:b/>
          <w:sz w:val="32"/>
          <w:szCs w:val="32"/>
        </w:rPr>
      </w:pPr>
      <w:r>
        <w:rPr>
          <w:b/>
          <w:sz w:val="32"/>
          <w:szCs w:val="32"/>
        </w:rPr>
        <w:br w:type="page"/>
      </w:r>
    </w:p>
    <w:p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rsidR="0021185D" w:rsidRPr="005C3AE7" w:rsidRDefault="005C3AE7" w:rsidP="005C3AE7">
      <w:pPr>
        <w:pStyle w:val="Subtitle"/>
      </w:pPr>
      <w:r w:rsidRPr="005C3AE7">
        <w:t xml:space="preserve">PART 6a – </w:t>
      </w:r>
      <w:r w:rsidR="0021185D" w:rsidRPr="005C3AE7">
        <w:t>INFORMATION ABOUT THE PROPOSED POPULATION</w:t>
      </w:r>
    </w:p>
    <w:p w:rsidR="0021185D"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rsidR="00246346" w:rsidRDefault="00246346" w:rsidP="00246346">
      <w:pPr>
        <w:ind w:left="360"/>
        <w:rPr>
          <w:vertAlign w:val="superscript"/>
          <w:lang w:val="en"/>
        </w:rPr>
      </w:pPr>
      <w:r w:rsidRPr="00246346">
        <w:rPr>
          <w:lang w:val="en"/>
        </w:rPr>
        <w:t>Breast cancer was the second most commonly diagnosed cancer in Australia in 2014. It is estimated that it will be the most commonly diagnosed cancer in 2018 among both persons and females</w:t>
      </w:r>
      <w:r>
        <w:rPr>
          <w:lang w:val="en"/>
        </w:rPr>
        <w:t>.</w:t>
      </w:r>
      <w:r w:rsidRPr="00246346">
        <w:rPr>
          <w:vertAlign w:val="superscript"/>
          <w:lang w:val="en"/>
        </w:rPr>
        <w:t>7</w:t>
      </w:r>
    </w:p>
    <w:p w:rsidR="00212428" w:rsidRPr="00212428" w:rsidRDefault="00212428" w:rsidP="00212428">
      <w:pPr>
        <w:ind w:left="360"/>
        <w:rPr>
          <w:vertAlign w:val="superscript"/>
          <w:lang w:val="en"/>
        </w:rPr>
      </w:pPr>
      <w:r w:rsidRPr="00212428">
        <w:rPr>
          <w:lang w:val="en"/>
        </w:rPr>
        <w:t xml:space="preserve">The number of new cases of breast cancer diagnosed increased from 5,372 in 1982 (61 males and 5,311 females) to 16,753 in 2014. Over the same period, the age–standardised incidence rate increased from 44 cases per 100,000 persons (1.2 for males and 81 for females) in 1982 to 65 cases per 100,000 persons in 2014. In 2018, it is estimated that 18,235 new cases of breast cancer will be diagnosed in Australia (148 males and 18,087 females). </w:t>
      </w:r>
      <w:r w:rsidRPr="00212428">
        <w:rPr>
          <w:vertAlign w:val="superscript"/>
          <w:lang w:val="en"/>
        </w:rPr>
        <w:t>7</w:t>
      </w:r>
    </w:p>
    <w:p w:rsidR="00A37EC0" w:rsidRDefault="00246346" w:rsidP="00246346">
      <w:pPr>
        <w:ind w:left="360"/>
        <w:rPr>
          <w:lang w:val="en"/>
        </w:rPr>
      </w:pPr>
      <w:r w:rsidRPr="00246346">
        <w:rPr>
          <w:lang w:val="en"/>
        </w:rPr>
        <w:t>In 2016, breast cancer was the fourth leading cause of cancer death in Australia</w:t>
      </w:r>
      <w:r w:rsidR="00A37EC0">
        <w:rPr>
          <w:lang w:val="en"/>
        </w:rPr>
        <w:t>.</w:t>
      </w:r>
      <w:r w:rsidR="00212428">
        <w:rPr>
          <w:lang w:val="en"/>
        </w:rPr>
        <w:t xml:space="preserve"> </w:t>
      </w:r>
      <w:r w:rsidR="00A37EC0" w:rsidRPr="00A37EC0">
        <w:rPr>
          <w:lang w:val="en"/>
        </w:rPr>
        <w:t>The number of deaths from breast cancer increased from 1,435 (19 males and 1,416 females) in 1968 to 3,004 in 2016. Over the same period, the age–standardised mortality rate decreased from 17 deaths per 100,000 persons (0.5 for males and 30 for females) in 1968 to 11 deaths per 100,000 persons in 2016.</w:t>
      </w:r>
      <w:r w:rsidR="00212428">
        <w:rPr>
          <w:lang w:val="en"/>
        </w:rPr>
        <w:t xml:space="preserve"> </w:t>
      </w:r>
      <w:r w:rsidRPr="00246346">
        <w:rPr>
          <w:lang w:val="en"/>
        </w:rPr>
        <w:t xml:space="preserve">In 2018, it is estimated that </w:t>
      </w:r>
      <w:r w:rsidR="00212428">
        <w:rPr>
          <w:lang w:val="en"/>
        </w:rPr>
        <w:t xml:space="preserve">the </w:t>
      </w:r>
      <w:r w:rsidR="00212428" w:rsidRPr="00212428">
        <w:rPr>
          <w:lang w:val="en"/>
        </w:rPr>
        <w:t xml:space="preserve">number of deaths from breast cancer </w:t>
      </w:r>
      <w:r w:rsidRPr="00246346">
        <w:rPr>
          <w:lang w:val="en"/>
        </w:rPr>
        <w:t xml:space="preserve">will increase to 3,157 deaths (28 males and 3,128 females). </w:t>
      </w:r>
    </w:p>
    <w:p w:rsidR="00246346" w:rsidRPr="00246346" w:rsidRDefault="00246346" w:rsidP="00246346">
      <w:pPr>
        <w:ind w:left="360"/>
        <w:rPr>
          <w:lang w:val="en"/>
        </w:rPr>
      </w:pPr>
      <w:r w:rsidRPr="00246346">
        <w:rPr>
          <w:lang w:val="en"/>
        </w:rPr>
        <w:t>In 2010–2014, individuals diagnosed with breast cancer had a 91% chance (84% for males and 91% for females) of surviving for 5 years com</w:t>
      </w:r>
      <w:r w:rsidRPr="00246346">
        <w:rPr>
          <w:lang w:val="en"/>
        </w:rPr>
        <w:lastRenderedPageBreak/>
        <w:t>pared to their counterparts in the general Australian population. Between 1985–1989 and 2010–2014, 5–year relative survival from breast cancer improved from 73% to 91%.</w:t>
      </w:r>
      <w:r w:rsidRPr="00246346">
        <w:rPr>
          <w:vertAlign w:val="superscript"/>
          <w:lang w:val="en"/>
        </w:rPr>
        <w:t>7</w:t>
      </w:r>
    </w:p>
    <w:p w:rsidR="00274193" w:rsidRDefault="00AA5FDA" w:rsidP="00530204">
      <w:pPr>
        <w:pStyle w:val="Heading2"/>
      </w:pPr>
      <w:r w:rsidRPr="00154B00">
        <w:t>Specify any characteristics of patients with the medical condition</w:t>
      </w:r>
      <w:r w:rsidR="00707D4D">
        <w:t>, or suspected of,</w:t>
      </w:r>
      <w:r w:rsidRPr="00154B00">
        <w:t xml:space="preserve"> who are proposed to </w:t>
      </w:r>
      <w:r w:rsidRPr="004469AF">
        <w:t>be eligible for the proposed medical service</w:t>
      </w:r>
      <w:r w:rsidR="00102686" w:rsidRPr="004469AF">
        <w:t>, including any details of how a patient w</w:t>
      </w:r>
      <w:r w:rsidR="0054594B" w:rsidRPr="004469AF">
        <w:t>ould be</w:t>
      </w:r>
      <w:r w:rsidR="00102686" w:rsidRPr="004469AF">
        <w:t xml:space="preserve"> </w:t>
      </w:r>
      <w:r w:rsidR="0018630F" w:rsidRPr="004469AF">
        <w:t>investigated</w:t>
      </w:r>
      <w:r w:rsidR="0054594B" w:rsidRPr="004469AF">
        <w:t>,</w:t>
      </w:r>
      <w:r w:rsidR="0018630F" w:rsidRPr="004469AF">
        <w:t xml:space="preserve"> managed </w:t>
      </w:r>
      <w:r w:rsidR="0054594B" w:rsidRPr="004469AF">
        <w:t xml:space="preserve">and referred </w:t>
      </w:r>
      <w:r w:rsidR="007D2358" w:rsidRPr="004469AF">
        <w:t xml:space="preserve">within the Australian health care system </w:t>
      </w:r>
      <w:r w:rsidR="0018630F" w:rsidRPr="004469AF">
        <w:t xml:space="preserve">in the lead up to being considered </w:t>
      </w:r>
      <w:r w:rsidR="00DF6D37" w:rsidRPr="004469AF">
        <w:t xml:space="preserve">eligible </w:t>
      </w:r>
      <w:r w:rsidR="0018630F" w:rsidRPr="004469AF">
        <w:t>for the service</w:t>
      </w:r>
      <w:r w:rsidR="00197D29" w:rsidRPr="004469AF">
        <w:t>:</w:t>
      </w:r>
      <w:r w:rsidR="00274193">
        <w:t xml:space="preserve"> </w:t>
      </w:r>
    </w:p>
    <w:p w:rsidR="00274193" w:rsidRDefault="00274193" w:rsidP="00274193">
      <w:pPr>
        <w:pStyle w:val="Heading2"/>
        <w:numPr>
          <w:ilvl w:val="0"/>
          <w:numId w:val="0"/>
        </w:numPr>
        <w:ind w:left="360"/>
      </w:pPr>
    </w:p>
    <w:p w:rsidR="009B5A81" w:rsidRDefault="00274193" w:rsidP="00274193">
      <w:pPr>
        <w:pStyle w:val="Heading2"/>
        <w:numPr>
          <w:ilvl w:val="0"/>
          <w:numId w:val="0"/>
        </w:numPr>
        <w:ind w:left="360"/>
        <w:rPr>
          <w:b w:val="0"/>
        </w:rPr>
      </w:pPr>
      <w:r w:rsidRPr="00274193">
        <w:rPr>
          <w:b w:val="0"/>
        </w:rPr>
        <w:t>Breast cancer is a biologically diverse and genetically heterogeneous disease</w:t>
      </w:r>
      <w:r w:rsidR="009B5A81">
        <w:rPr>
          <w:b w:val="0"/>
        </w:rPr>
        <w:t>.</w:t>
      </w:r>
      <w:r w:rsidR="009B5A81" w:rsidRPr="009B5A81">
        <w:rPr>
          <w:b w:val="0"/>
          <w:vertAlign w:val="superscript"/>
        </w:rPr>
        <w:t>16</w:t>
      </w:r>
      <w:r w:rsidRPr="00274193">
        <w:rPr>
          <w:b w:val="0"/>
        </w:rPr>
        <w:t xml:space="preserve"> Breast cancer susceptibility (BRCA) genes 1</w:t>
      </w:r>
      <w:r>
        <w:rPr>
          <w:b w:val="0"/>
        </w:rPr>
        <w:t xml:space="preserve"> </w:t>
      </w:r>
      <w:r w:rsidRPr="00274193">
        <w:rPr>
          <w:b w:val="0"/>
        </w:rPr>
        <w:t>and 2 (BRCA1 and BRCA2) are key components in the repair pathway for deoxyribonucleic</w:t>
      </w:r>
      <w:r>
        <w:rPr>
          <w:b w:val="0"/>
        </w:rPr>
        <w:t xml:space="preserve"> </w:t>
      </w:r>
      <w:r w:rsidRPr="00274193">
        <w:rPr>
          <w:b w:val="0"/>
        </w:rPr>
        <w:t xml:space="preserve">acid (DNA) double strand breaks, and </w:t>
      </w:r>
      <w:r w:rsidR="00F95FD1">
        <w:rPr>
          <w:b w:val="0"/>
        </w:rPr>
        <w:t>w</w:t>
      </w:r>
      <w:r w:rsidR="00F95FD1" w:rsidRPr="00F95FD1">
        <w:rPr>
          <w:b w:val="0"/>
        </w:rPr>
        <w:t>omen who carry a fault in BRCA1 or BRCA2 have a high lifetime risk of breast cancer, estimated to be in the range of 30-60%</w:t>
      </w:r>
      <w:r w:rsidR="00F95FD1">
        <w:rPr>
          <w:b w:val="0"/>
        </w:rPr>
        <w:t xml:space="preserve">. </w:t>
      </w:r>
      <w:r w:rsidR="00F95FD1" w:rsidRPr="00F95FD1">
        <w:rPr>
          <w:b w:val="0"/>
        </w:rPr>
        <w:t>Men who carry a fault in BRCA1 or BRCA2 may be at some increased risk of prostate cancer and male breast cancer. A person with a cancer-predisposing gene fault has a 50% chance of passing on the faulty gene to any child (male or female).</w:t>
      </w:r>
      <w:r w:rsidR="00F95FD1" w:rsidRPr="00F95FD1">
        <w:rPr>
          <w:b w:val="0"/>
          <w:vertAlign w:val="superscript"/>
        </w:rPr>
        <w:t>14</w:t>
      </w:r>
      <w:r w:rsidR="00F95FD1" w:rsidRPr="00F95FD1">
        <w:rPr>
          <w:b w:val="0"/>
        </w:rPr>
        <w:t xml:space="preserve"> Such mutations may be inherited (germline) or arise de novo (somatic) as a result of combinatorial genetic and environmental factors.</w:t>
      </w:r>
      <w:r w:rsidR="00F95FD1" w:rsidRPr="00F95FD1">
        <w:rPr>
          <w:b w:val="0"/>
          <w:vertAlign w:val="superscript"/>
        </w:rPr>
        <w:t>3</w:t>
      </w:r>
      <w:r w:rsidR="00F95FD1" w:rsidRPr="00F95FD1">
        <w:rPr>
          <w:b w:val="0"/>
        </w:rPr>
        <w:t xml:space="preserve"> Specific subgroups of individuals have been identified as having a higher proportion of individuals who carry a </w:t>
      </w:r>
      <w:proofErr w:type="spellStart"/>
      <w:r w:rsidR="00F95FD1" w:rsidRPr="00F95FD1">
        <w:rPr>
          <w:b w:val="0"/>
        </w:rPr>
        <w:t>BRCAm</w:t>
      </w:r>
      <w:proofErr w:type="spellEnd"/>
      <w:r w:rsidR="00F95FD1" w:rsidRPr="00F95FD1">
        <w:rPr>
          <w:b w:val="0"/>
        </w:rPr>
        <w:t>, including those who have been diagnosed with triple negative breast cancer (TNBC) and those from different ethnic groups, including Black populations and those of Ashkenazi Jewish heritage.</w:t>
      </w:r>
      <w:r w:rsidR="00F95FD1" w:rsidRPr="00F95FD1">
        <w:rPr>
          <w:b w:val="0"/>
          <w:vertAlign w:val="superscript"/>
        </w:rPr>
        <w:t>4-6</w:t>
      </w:r>
    </w:p>
    <w:p w:rsidR="002F2241" w:rsidRDefault="00274193" w:rsidP="00274193">
      <w:pPr>
        <w:pStyle w:val="Heading2"/>
        <w:numPr>
          <w:ilvl w:val="0"/>
          <w:numId w:val="0"/>
        </w:numPr>
        <w:ind w:left="360"/>
        <w:rPr>
          <w:b w:val="0"/>
        </w:rPr>
      </w:pPr>
      <w:r w:rsidRPr="00274193">
        <w:rPr>
          <w:b w:val="0"/>
        </w:rPr>
        <w:t xml:space="preserve"> </w:t>
      </w:r>
    </w:p>
    <w:p w:rsidR="00AA5FDA" w:rsidRDefault="00274193" w:rsidP="00274193">
      <w:pPr>
        <w:pStyle w:val="Heading2"/>
        <w:numPr>
          <w:ilvl w:val="0"/>
          <w:numId w:val="0"/>
        </w:numPr>
        <w:ind w:left="360"/>
        <w:rPr>
          <w:b w:val="0"/>
        </w:rPr>
      </w:pPr>
      <w:r w:rsidRPr="00274193">
        <w:rPr>
          <w:b w:val="0"/>
        </w:rPr>
        <w:t>Well-known prognostic and predictive factors for breast cancer include hormone receptors</w:t>
      </w:r>
      <w:r>
        <w:rPr>
          <w:b w:val="0"/>
        </w:rPr>
        <w:t xml:space="preserve"> </w:t>
      </w:r>
      <w:r w:rsidRPr="00274193">
        <w:rPr>
          <w:b w:val="0"/>
        </w:rPr>
        <w:t>and human epidermal growth factor receptor-2 (HER2) expression</w:t>
      </w:r>
      <w:r w:rsidR="009B5A81">
        <w:rPr>
          <w:b w:val="0"/>
        </w:rPr>
        <w:t xml:space="preserve">. </w:t>
      </w:r>
      <w:r w:rsidR="009B5A81" w:rsidRPr="009B5A81">
        <w:rPr>
          <w:b w:val="0"/>
          <w:vertAlign w:val="superscript"/>
        </w:rPr>
        <w:t>19,20</w:t>
      </w:r>
      <w:r w:rsidRPr="00274193">
        <w:rPr>
          <w:b w:val="0"/>
        </w:rPr>
        <w:t xml:space="preserve"> Estrogen receptor (ER)-negative, progesterone receptor (</w:t>
      </w:r>
      <w:proofErr w:type="spellStart"/>
      <w:r w:rsidRPr="00274193">
        <w:rPr>
          <w:b w:val="0"/>
        </w:rPr>
        <w:t>PgR</w:t>
      </w:r>
      <w:proofErr w:type="spellEnd"/>
      <w:r w:rsidRPr="00274193">
        <w:rPr>
          <w:b w:val="0"/>
        </w:rPr>
        <w:t>)-negative,</w:t>
      </w:r>
      <w:r>
        <w:rPr>
          <w:b w:val="0"/>
        </w:rPr>
        <w:t xml:space="preserve"> </w:t>
      </w:r>
      <w:r w:rsidRPr="00274193">
        <w:rPr>
          <w:b w:val="0"/>
        </w:rPr>
        <w:t>HER2-negative tumo</w:t>
      </w:r>
      <w:r w:rsidR="009B5A81">
        <w:rPr>
          <w:b w:val="0"/>
        </w:rPr>
        <w:t>u</w:t>
      </w:r>
      <w:r w:rsidRPr="00274193">
        <w:rPr>
          <w:b w:val="0"/>
        </w:rPr>
        <w:t>rs, known as TNBC, are associated with</w:t>
      </w:r>
      <w:r>
        <w:rPr>
          <w:b w:val="0"/>
        </w:rPr>
        <w:t xml:space="preserve"> </w:t>
      </w:r>
      <w:r w:rsidRPr="00274193">
        <w:rPr>
          <w:b w:val="0"/>
        </w:rPr>
        <w:t>a poor prognosis. Metastatic TNBC has the worst prognosis of all breast cancer subtypes,</w:t>
      </w:r>
      <w:r>
        <w:rPr>
          <w:b w:val="0"/>
        </w:rPr>
        <w:t xml:space="preserve"> </w:t>
      </w:r>
      <w:r w:rsidRPr="00274193">
        <w:rPr>
          <w:b w:val="0"/>
        </w:rPr>
        <w:t>with a median progression-free survival (PFS) of 3 to 5 months and a median overall survival</w:t>
      </w:r>
      <w:r>
        <w:rPr>
          <w:b w:val="0"/>
        </w:rPr>
        <w:t xml:space="preserve"> </w:t>
      </w:r>
      <w:r w:rsidRPr="00274193">
        <w:rPr>
          <w:b w:val="0"/>
        </w:rPr>
        <w:t>of &lt;12 months with currently available therapies</w:t>
      </w:r>
      <w:r w:rsidR="009B5A81">
        <w:rPr>
          <w:b w:val="0"/>
        </w:rPr>
        <w:t>.</w:t>
      </w:r>
      <w:r w:rsidR="009B5A81" w:rsidRPr="009B5A81">
        <w:rPr>
          <w:b w:val="0"/>
          <w:vertAlign w:val="superscript"/>
        </w:rPr>
        <w:t>20,21</w:t>
      </w:r>
      <w:r w:rsidRPr="009B5A81">
        <w:rPr>
          <w:b w:val="0"/>
          <w:vertAlign w:val="superscript"/>
        </w:rPr>
        <w:t xml:space="preserve"> </w:t>
      </w:r>
      <w:r w:rsidR="009B5A81">
        <w:rPr>
          <w:b w:val="0"/>
          <w:vertAlign w:val="superscript"/>
        </w:rPr>
        <w:t xml:space="preserve"> </w:t>
      </w:r>
    </w:p>
    <w:p w:rsidR="000D0452" w:rsidRPr="00F95FD1" w:rsidRDefault="000D0452" w:rsidP="000A40B3">
      <w:pPr>
        <w:ind w:left="360"/>
        <w:rPr>
          <w:szCs w:val="20"/>
        </w:rPr>
      </w:pPr>
      <w:r w:rsidRPr="00F95FD1">
        <w:rPr>
          <w:szCs w:val="20"/>
          <w:lang w:val="en-US"/>
        </w:rPr>
        <w:lastRenderedPageBreak/>
        <w:t xml:space="preserve">The identification of such </w:t>
      </w:r>
      <w:proofErr w:type="spellStart"/>
      <w:r w:rsidRPr="00F95FD1">
        <w:rPr>
          <w:szCs w:val="20"/>
          <w:lang w:val="en-US"/>
        </w:rPr>
        <w:t>BRCAm</w:t>
      </w:r>
      <w:proofErr w:type="spellEnd"/>
      <w:r w:rsidRPr="00F95FD1">
        <w:rPr>
          <w:szCs w:val="20"/>
          <w:lang w:val="en-US"/>
        </w:rPr>
        <w:t xml:space="preserve"> carriers through genetic testing, offers the opportunity to increase monitoring and surveillance for breast and other cancers, in addition to offering such individuals prophylactic, risk reducing interventions.</w:t>
      </w:r>
    </w:p>
    <w:p w:rsidR="00661CB6" w:rsidRDefault="00661CB6">
      <w:pPr>
        <w:spacing w:before="0" w:after="200" w:line="276" w:lineRule="auto"/>
        <w:rPr>
          <w:szCs w:val="20"/>
        </w:rPr>
      </w:pPr>
      <w:r>
        <w:rPr>
          <w:szCs w:val="20"/>
        </w:rPr>
        <w:br w:type="page"/>
      </w:r>
    </w:p>
    <w:p w:rsidR="000A40B3" w:rsidRDefault="000A40B3" w:rsidP="000A40B3">
      <w:pPr>
        <w:ind w:left="360"/>
      </w:pPr>
      <w:r w:rsidRPr="00F95FD1">
        <w:rPr>
          <w:szCs w:val="20"/>
        </w:rPr>
        <w:t xml:space="preserve">In Australia, the </w:t>
      </w:r>
      <w:proofErr w:type="spellStart"/>
      <w:r w:rsidRPr="00F95FD1">
        <w:rPr>
          <w:szCs w:val="20"/>
        </w:rPr>
        <w:t>eviQ</w:t>
      </w:r>
      <w:proofErr w:type="spellEnd"/>
      <w:r w:rsidRPr="00F95FD1">
        <w:rPr>
          <w:szCs w:val="20"/>
        </w:rPr>
        <w:t xml:space="preserve"> ‘Guidelines for genetic testing for heritable mutations in the BRCA1 and BRCA2 genes’</w:t>
      </w:r>
      <w:r w:rsidR="00F95FD1">
        <w:rPr>
          <w:szCs w:val="20"/>
        </w:rPr>
        <w:t xml:space="preserve">, are most commonly used </w:t>
      </w:r>
      <w:r w:rsidRPr="00F95FD1">
        <w:rPr>
          <w:szCs w:val="20"/>
        </w:rPr>
        <w:t xml:space="preserve">to identify suitable candidates for </w:t>
      </w:r>
      <w:proofErr w:type="spellStart"/>
      <w:r w:rsidRPr="00F95FD1">
        <w:rPr>
          <w:szCs w:val="20"/>
        </w:rPr>
        <w:t>BRCAm</w:t>
      </w:r>
      <w:proofErr w:type="spellEnd"/>
      <w:r w:rsidRPr="00F95FD1">
        <w:rPr>
          <w:szCs w:val="20"/>
        </w:rPr>
        <w:t xml:space="preserve"> testing for the purpose of familial cancer risk assessment</w:t>
      </w:r>
      <w:r w:rsidR="00DC743C">
        <w:rPr>
          <w:szCs w:val="20"/>
        </w:rPr>
        <w:t xml:space="preserve">. </w:t>
      </w:r>
      <w:r w:rsidRPr="00F95FD1">
        <w:rPr>
          <w:szCs w:val="20"/>
        </w:rPr>
        <w:t xml:space="preserve">The </w:t>
      </w:r>
      <w:proofErr w:type="spellStart"/>
      <w:r w:rsidRPr="00F95FD1">
        <w:rPr>
          <w:szCs w:val="20"/>
        </w:rPr>
        <w:t>eviQ</w:t>
      </w:r>
      <w:proofErr w:type="spellEnd"/>
      <w:r w:rsidRPr="00F95FD1">
        <w:rPr>
          <w:szCs w:val="20"/>
        </w:rPr>
        <w:t xml:space="preserve"> guidelines currently recommend </w:t>
      </w:r>
      <w:proofErr w:type="spellStart"/>
      <w:r w:rsidRPr="00F95FD1">
        <w:rPr>
          <w:szCs w:val="20"/>
        </w:rPr>
        <w:t>BRCAm</w:t>
      </w:r>
      <w:proofErr w:type="spellEnd"/>
      <w:r w:rsidRPr="00F95FD1">
        <w:rPr>
          <w:szCs w:val="20"/>
        </w:rPr>
        <w:t xml:space="preserve"> testing for the purpose of familial cancer risk assessment in individuals with a greater than 10% probability of carrying a mutation, based on their personal or family history of cancer. This includes a recommendation for </w:t>
      </w:r>
      <w:proofErr w:type="spellStart"/>
      <w:r w:rsidRPr="00F95FD1">
        <w:rPr>
          <w:szCs w:val="20"/>
        </w:rPr>
        <w:t>BRCAm</w:t>
      </w:r>
      <w:proofErr w:type="spellEnd"/>
      <w:r w:rsidRPr="00F95FD1">
        <w:rPr>
          <w:szCs w:val="20"/>
        </w:rPr>
        <w:t xml:space="preserve"> testing in individuals with: TNBC age ≤ 50; high-grade non-mucinous ovarian cancer age ≤ 70; non-mucinous ovarian cancer, any age + family history; OR known BRCA mutation in a relative</w:t>
      </w:r>
      <w:r w:rsidRPr="00F95FD1">
        <w:t>.</w:t>
      </w:r>
      <w:r w:rsidR="00DC743C" w:rsidRPr="00DC743C">
        <w:rPr>
          <w:szCs w:val="20"/>
          <w:vertAlign w:val="superscript"/>
        </w:rPr>
        <w:t xml:space="preserve"> </w:t>
      </w:r>
      <w:r w:rsidR="00DC743C" w:rsidRPr="00DC743C">
        <w:rPr>
          <w:vertAlign w:val="superscript"/>
        </w:rPr>
        <w:t>13</w:t>
      </w:r>
    </w:p>
    <w:p w:rsidR="0018630F" w:rsidRDefault="0018630F" w:rsidP="00E24B6A">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r w:rsidR="00E24B6A">
        <w:t xml:space="preserve"> </w:t>
      </w:r>
    </w:p>
    <w:p w:rsidR="00623608" w:rsidRPr="007F6B3A" w:rsidRDefault="00623608" w:rsidP="00623608">
      <w:pPr>
        <w:keepNext/>
        <w:ind w:firstLine="357"/>
        <w:rPr>
          <w:szCs w:val="20"/>
          <w:u w:val="single"/>
        </w:rPr>
      </w:pPr>
      <w:r w:rsidRPr="007F6B3A">
        <w:rPr>
          <w:szCs w:val="20"/>
          <w:u w:val="single"/>
        </w:rPr>
        <w:t>Locally advanced or metastatic HER2-negative/hormone receptor positive breast cancer</w:t>
      </w:r>
    </w:p>
    <w:p w:rsidR="00623608" w:rsidRPr="007F6B3A" w:rsidRDefault="008F06D4" w:rsidP="008F06D4">
      <w:pPr>
        <w:ind w:left="357"/>
        <w:rPr>
          <w:szCs w:val="20"/>
        </w:rPr>
      </w:pPr>
      <w:r>
        <w:rPr>
          <w:szCs w:val="20"/>
        </w:rPr>
        <w:t>As in previous advanced breast cancer guidelines</w:t>
      </w:r>
      <w:r w:rsidR="0026098A">
        <w:rPr>
          <w:szCs w:val="20"/>
        </w:rPr>
        <w:t>, t</w:t>
      </w:r>
      <w:r w:rsidR="00623608" w:rsidRPr="007F6B3A">
        <w:rPr>
          <w:szCs w:val="20"/>
        </w:rPr>
        <w:t>he 201</w:t>
      </w:r>
      <w:r w:rsidR="007F6B3A" w:rsidRPr="007F6B3A">
        <w:rPr>
          <w:szCs w:val="20"/>
        </w:rPr>
        <w:t>8</w:t>
      </w:r>
      <w:r w:rsidR="00623608" w:rsidRPr="007F6B3A">
        <w:rPr>
          <w:szCs w:val="20"/>
        </w:rPr>
        <w:t xml:space="preserve"> NCCN</w:t>
      </w:r>
      <w:r w:rsidR="002C2ED7" w:rsidRPr="002C2ED7">
        <w:rPr>
          <w:szCs w:val="20"/>
          <w:vertAlign w:val="superscript"/>
        </w:rPr>
        <w:t>10</w:t>
      </w:r>
      <w:r w:rsidR="0026098A">
        <w:rPr>
          <w:szCs w:val="20"/>
        </w:rPr>
        <w:t xml:space="preserve"> </w:t>
      </w:r>
      <w:r w:rsidR="00623608" w:rsidRPr="007F6B3A">
        <w:rPr>
          <w:szCs w:val="20"/>
        </w:rPr>
        <w:t>and 201</w:t>
      </w:r>
      <w:r>
        <w:rPr>
          <w:szCs w:val="20"/>
        </w:rPr>
        <w:t>8</w:t>
      </w:r>
      <w:r w:rsidR="00623608" w:rsidRPr="007F6B3A">
        <w:rPr>
          <w:szCs w:val="20"/>
        </w:rPr>
        <w:t xml:space="preserve"> ESMO consensus guidelines</w:t>
      </w:r>
      <w:r w:rsidR="002C2ED7" w:rsidRPr="002C2ED7">
        <w:rPr>
          <w:szCs w:val="20"/>
          <w:vertAlign w:val="superscript"/>
        </w:rPr>
        <w:t>9</w:t>
      </w:r>
      <w:r w:rsidR="0026098A" w:rsidRPr="002C2ED7">
        <w:rPr>
          <w:szCs w:val="20"/>
          <w:vertAlign w:val="superscript"/>
        </w:rPr>
        <w:t xml:space="preserve"> </w:t>
      </w:r>
      <w:r w:rsidR="00623608" w:rsidRPr="007F6B3A">
        <w:rPr>
          <w:szCs w:val="20"/>
        </w:rPr>
        <w:t xml:space="preserve">recommend endocrine therapy as the preferred </w:t>
      </w:r>
      <w:r w:rsidR="00A022BB">
        <w:rPr>
          <w:szCs w:val="20"/>
        </w:rPr>
        <w:t xml:space="preserve">treatment for </w:t>
      </w:r>
      <w:r>
        <w:rPr>
          <w:szCs w:val="20"/>
        </w:rPr>
        <w:t xml:space="preserve">advanced (locally advanced or </w:t>
      </w:r>
      <w:r w:rsidR="00623608" w:rsidRPr="007F6B3A">
        <w:rPr>
          <w:szCs w:val="20"/>
        </w:rPr>
        <w:t>metastatic</w:t>
      </w:r>
      <w:r>
        <w:rPr>
          <w:szCs w:val="20"/>
        </w:rPr>
        <w:t xml:space="preserve">) </w:t>
      </w:r>
      <w:r w:rsidR="00623608" w:rsidRPr="007F6B3A">
        <w:rPr>
          <w:szCs w:val="20"/>
        </w:rPr>
        <w:t>HER2-negative/HR positive breast cancer</w:t>
      </w:r>
      <w:r w:rsidR="00A022BB">
        <w:rPr>
          <w:szCs w:val="20"/>
        </w:rPr>
        <w:t xml:space="preserve">  in the majority of cases, excluding only those with visceral crisis or concern or proof for endocrine resistance. </w:t>
      </w:r>
    </w:p>
    <w:p w:rsidR="007D312B" w:rsidRPr="007D312B" w:rsidRDefault="007D312B" w:rsidP="007D312B">
      <w:pPr>
        <w:ind w:left="357"/>
        <w:rPr>
          <w:szCs w:val="20"/>
        </w:rPr>
      </w:pPr>
      <w:r w:rsidRPr="007D312B">
        <w:rPr>
          <w:szCs w:val="20"/>
        </w:rPr>
        <w:t>For pre-menopausal women, this would include a SERM or ovarian ablation/suppression and endocrine therapy as per post-menopausal women.</w:t>
      </w:r>
    </w:p>
    <w:p w:rsidR="00701107" w:rsidRDefault="00701107" w:rsidP="003444FA">
      <w:pPr>
        <w:ind w:left="357"/>
        <w:rPr>
          <w:szCs w:val="20"/>
        </w:rPr>
      </w:pPr>
      <w:r>
        <w:rPr>
          <w:szCs w:val="20"/>
        </w:rPr>
        <w:t xml:space="preserve">The ESMO guidelines recommend that the choice among different available agents as well as their sequence largely </w:t>
      </w:r>
      <w:r w:rsidR="003444FA" w:rsidRPr="003444FA">
        <w:rPr>
          <w:szCs w:val="20"/>
        </w:rPr>
        <w:t xml:space="preserve">depends </w:t>
      </w:r>
      <w:r>
        <w:rPr>
          <w:szCs w:val="20"/>
        </w:rPr>
        <w:t xml:space="preserve">on which agents </w:t>
      </w:r>
      <w:r>
        <w:rPr>
          <w:szCs w:val="20"/>
        </w:rPr>
        <w:lastRenderedPageBreak/>
        <w:t>were previously administered and the response obtained, due to the link with endocrine resistance. Hence, previous exposure, and not only line of treatment, should guide the recommendations.</w:t>
      </w:r>
      <w:r w:rsidR="00074CBF">
        <w:rPr>
          <w:szCs w:val="20"/>
        </w:rPr>
        <w:t xml:space="preserve"> </w:t>
      </w:r>
      <w:r w:rsidR="003444FA" w:rsidRPr="003444FA">
        <w:rPr>
          <w:szCs w:val="20"/>
          <w:lang w:val="en-US"/>
        </w:rPr>
        <w:t>Available</w:t>
      </w:r>
      <w:r w:rsidR="005523F9">
        <w:rPr>
          <w:szCs w:val="20"/>
          <w:lang w:val="en-US"/>
        </w:rPr>
        <w:t xml:space="preserve"> </w:t>
      </w:r>
      <w:r w:rsidR="003444FA" w:rsidRPr="003444FA">
        <w:rPr>
          <w:szCs w:val="20"/>
          <w:lang w:val="en-US"/>
        </w:rPr>
        <w:t>options</w:t>
      </w:r>
      <w:r w:rsidR="00074CBF">
        <w:rPr>
          <w:szCs w:val="20"/>
          <w:lang w:val="en-US"/>
        </w:rPr>
        <w:t xml:space="preserve"> i</w:t>
      </w:r>
      <w:r w:rsidR="003444FA" w:rsidRPr="003444FA">
        <w:rPr>
          <w:szCs w:val="20"/>
          <w:lang w:val="en-US"/>
        </w:rPr>
        <w:t xml:space="preserve">nclude </w:t>
      </w:r>
      <w:r w:rsidR="008270C7">
        <w:rPr>
          <w:szCs w:val="20"/>
          <w:lang w:val="en-US"/>
        </w:rPr>
        <w:t>aromatase inhibitor</w:t>
      </w:r>
      <w:r w:rsidR="00D2409B">
        <w:rPr>
          <w:szCs w:val="20"/>
          <w:lang w:val="en-US"/>
        </w:rPr>
        <w:t xml:space="preserve"> </w:t>
      </w:r>
      <w:r w:rsidR="008270C7">
        <w:rPr>
          <w:szCs w:val="20"/>
          <w:lang w:val="en-US"/>
        </w:rPr>
        <w:t>(AI)</w:t>
      </w:r>
      <w:r w:rsidR="003444FA" w:rsidRPr="003444FA">
        <w:rPr>
          <w:szCs w:val="20"/>
          <w:lang w:val="en-US"/>
        </w:rPr>
        <w:t>, tamoxifen,</w:t>
      </w:r>
      <w:r w:rsidR="005523F9">
        <w:rPr>
          <w:szCs w:val="20"/>
          <w:lang w:val="en-US"/>
        </w:rPr>
        <w:t xml:space="preserve"> </w:t>
      </w:r>
      <w:r w:rsidR="003444FA" w:rsidRPr="003444FA">
        <w:rPr>
          <w:szCs w:val="20"/>
          <w:lang w:val="en-US"/>
        </w:rPr>
        <w:t>fulvestrant, AI/fulvestrant</w:t>
      </w:r>
      <w:r w:rsidR="008270C7">
        <w:rPr>
          <w:szCs w:val="20"/>
          <w:lang w:val="en-US"/>
        </w:rPr>
        <w:t xml:space="preserve"> + </w:t>
      </w:r>
      <w:r w:rsidR="003444FA" w:rsidRPr="003444FA">
        <w:rPr>
          <w:szCs w:val="20"/>
          <w:lang w:val="en-US"/>
        </w:rPr>
        <w:t>CDK 4/6 inhibitor,</w:t>
      </w:r>
      <w:r w:rsidR="005523F9">
        <w:rPr>
          <w:szCs w:val="20"/>
          <w:lang w:val="en-US"/>
        </w:rPr>
        <w:t xml:space="preserve"> </w:t>
      </w:r>
      <w:r w:rsidR="003444FA" w:rsidRPr="003444FA">
        <w:rPr>
          <w:szCs w:val="20"/>
          <w:lang w:val="en-US"/>
        </w:rPr>
        <w:t xml:space="preserve">AI/tamoxifen/fulvestrant </w:t>
      </w:r>
      <w:r w:rsidR="008270C7">
        <w:rPr>
          <w:szCs w:val="20"/>
          <w:lang w:val="en-US"/>
        </w:rPr>
        <w:t xml:space="preserve">+ </w:t>
      </w:r>
      <w:r w:rsidR="003444FA" w:rsidRPr="003444FA">
        <w:rPr>
          <w:szCs w:val="20"/>
          <w:lang w:val="en-US"/>
        </w:rPr>
        <w:t>everolimus.</w:t>
      </w:r>
      <w:r w:rsidR="005523F9">
        <w:rPr>
          <w:szCs w:val="20"/>
          <w:lang w:val="en-US"/>
        </w:rPr>
        <w:t xml:space="preserve"> </w:t>
      </w:r>
      <w:r w:rsidR="003444FA" w:rsidRPr="003444FA">
        <w:rPr>
          <w:szCs w:val="20"/>
          <w:lang w:val="en-US"/>
        </w:rPr>
        <w:t>In later lines, also megestrol</w:t>
      </w:r>
      <w:r w:rsidR="005523F9">
        <w:rPr>
          <w:szCs w:val="20"/>
          <w:lang w:val="en-US"/>
        </w:rPr>
        <w:t xml:space="preserve"> </w:t>
      </w:r>
      <w:r w:rsidR="003444FA" w:rsidRPr="003444FA">
        <w:rPr>
          <w:szCs w:val="20"/>
          <w:lang w:val="en-US"/>
        </w:rPr>
        <w:t>acetate and oestradiol, as well as repetition</w:t>
      </w:r>
      <w:r w:rsidR="005523F9">
        <w:rPr>
          <w:szCs w:val="20"/>
          <w:lang w:val="en-US"/>
        </w:rPr>
        <w:t xml:space="preserve"> </w:t>
      </w:r>
      <w:r w:rsidR="003444FA" w:rsidRPr="003444FA">
        <w:rPr>
          <w:szCs w:val="20"/>
          <w:lang w:val="en-US"/>
        </w:rPr>
        <w:t>of previously used agents, may be</w:t>
      </w:r>
      <w:r w:rsidR="005523F9">
        <w:rPr>
          <w:szCs w:val="20"/>
          <w:lang w:val="en-US"/>
        </w:rPr>
        <w:t xml:space="preserve"> </w:t>
      </w:r>
      <w:r w:rsidR="003444FA" w:rsidRPr="003444FA">
        <w:rPr>
          <w:szCs w:val="20"/>
          <w:lang w:val="en-US"/>
        </w:rPr>
        <w:t>used.</w:t>
      </w:r>
      <w:r>
        <w:rPr>
          <w:szCs w:val="20"/>
        </w:rPr>
        <w:t xml:space="preserve"> </w:t>
      </w:r>
    </w:p>
    <w:p w:rsidR="00623608" w:rsidRPr="00EA79E9" w:rsidRDefault="00623608" w:rsidP="00070D05">
      <w:pPr>
        <w:ind w:left="357"/>
        <w:rPr>
          <w:szCs w:val="20"/>
        </w:rPr>
      </w:pPr>
      <w:r w:rsidRPr="00EA79E9">
        <w:rPr>
          <w:szCs w:val="20"/>
        </w:rPr>
        <w:t>The NCCN guidelines</w:t>
      </w:r>
      <w:r w:rsidR="002C2ED7" w:rsidRPr="002C2ED7">
        <w:rPr>
          <w:szCs w:val="20"/>
          <w:vertAlign w:val="superscript"/>
        </w:rPr>
        <w:t>10</w:t>
      </w:r>
      <w:r w:rsidR="00070D05" w:rsidRPr="00EA79E9">
        <w:rPr>
          <w:szCs w:val="20"/>
        </w:rPr>
        <w:t xml:space="preserve"> </w:t>
      </w:r>
      <w:r w:rsidRPr="00EA79E9">
        <w:rPr>
          <w:szCs w:val="20"/>
        </w:rPr>
        <w:t xml:space="preserve">recommend </w:t>
      </w:r>
      <w:r w:rsidR="00070D05" w:rsidRPr="00EA79E9">
        <w:rPr>
          <w:szCs w:val="20"/>
        </w:rPr>
        <w:t xml:space="preserve">an additional line of endocrine therapy </w:t>
      </w:r>
      <w:r w:rsidRPr="00EA79E9">
        <w:rPr>
          <w:szCs w:val="20"/>
        </w:rPr>
        <w:t xml:space="preserve">following progression unless there is symptomatic visceral disease or no clinical benefit after three endocrine therapy regimens. </w:t>
      </w:r>
    </w:p>
    <w:p w:rsidR="00623608" w:rsidRPr="00EA79E9" w:rsidRDefault="007B3C7D" w:rsidP="00534CEC">
      <w:pPr>
        <w:ind w:left="357"/>
        <w:rPr>
          <w:szCs w:val="20"/>
        </w:rPr>
      </w:pPr>
      <w:r w:rsidRPr="00EA79E9">
        <w:rPr>
          <w:szCs w:val="20"/>
        </w:rPr>
        <w:t>Chemotherapy is recommended where there is visceral crisis, immediate need for rapid disease control, or endocrine resist</w:t>
      </w:r>
      <w:r w:rsidR="00762FB2">
        <w:rPr>
          <w:szCs w:val="20"/>
        </w:rPr>
        <w:t>a</w:t>
      </w:r>
      <w:r w:rsidRPr="00EA79E9">
        <w:rPr>
          <w:szCs w:val="20"/>
          <w:lang w:val="en-US"/>
        </w:rPr>
        <w:t>nce</w:t>
      </w:r>
      <w:r w:rsidR="002C2ED7">
        <w:rPr>
          <w:szCs w:val="20"/>
          <w:lang w:val="en-US"/>
        </w:rPr>
        <w:t>.</w:t>
      </w:r>
      <w:r w:rsidR="002C2ED7" w:rsidRPr="002C2ED7">
        <w:rPr>
          <w:szCs w:val="20"/>
          <w:vertAlign w:val="superscript"/>
          <w:lang w:val="en-US"/>
        </w:rPr>
        <w:t>9</w:t>
      </w:r>
      <w:proofErr w:type="gramStart"/>
      <w:r w:rsidR="002C2ED7" w:rsidRPr="002C2ED7">
        <w:rPr>
          <w:szCs w:val="20"/>
          <w:vertAlign w:val="superscript"/>
          <w:lang w:val="en-US"/>
        </w:rPr>
        <w:t>,10</w:t>
      </w:r>
      <w:proofErr w:type="gramEnd"/>
      <w:r w:rsidRPr="00EA79E9">
        <w:rPr>
          <w:szCs w:val="20"/>
          <w:lang w:val="en-US"/>
        </w:rPr>
        <w:t xml:space="preserve"> </w:t>
      </w:r>
      <w:r w:rsidR="00623608" w:rsidRPr="00EA79E9">
        <w:rPr>
          <w:szCs w:val="20"/>
        </w:rPr>
        <w:t>The preferred single-agents recommended in the 201</w:t>
      </w:r>
      <w:r w:rsidR="00EA79E9">
        <w:rPr>
          <w:szCs w:val="20"/>
        </w:rPr>
        <w:t>8</w:t>
      </w:r>
      <w:r w:rsidR="00623608" w:rsidRPr="00EA79E9">
        <w:rPr>
          <w:szCs w:val="20"/>
        </w:rPr>
        <w:t xml:space="preserve"> NCCN guidelines</w:t>
      </w:r>
      <w:r w:rsidR="00EA79E9">
        <w:rPr>
          <w:szCs w:val="20"/>
        </w:rPr>
        <w:t xml:space="preserve"> (Version 2.2018) </w:t>
      </w:r>
      <w:r w:rsidR="00623608" w:rsidRPr="00EA79E9">
        <w:rPr>
          <w:szCs w:val="20"/>
        </w:rPr>
        <w:t>were:</w:t>
      </w:r>
    </w:p>
    <w:p w:rsidR="00623608" w:rsidRPr="00EA79E9" w:rsidRDefault="00623608" w:rsidP="00623608">
      <w:pPr>
        <w:pStyle w:val="ListParagraph"/>
        <w:numPr>
          <w:ilvl w:val="0"/>
          <w:numId w:val="39"/>
        </w:numPr>
        <w:spacing w:before="0" w:after="200" w:line="276" w:lineRule="auto"/>
        <w:rPr>
          <w:szCs w:val="20"/>
        </w:rPr>
      </w:pPr>
      <w:r w:rsidRPr="00EA79E9">
        <w:rPr>
          <w:szCs w:val="20"/>
        </w:rPr>
        <w:t>Anthracyclines: doxorubicin (including peglyated liposomal formulation),</w:t>
      </w:r>
    </w:p>
    <w:p w:rsidR="00623608" w:rsidRPr="00EA79E9" w:rsidRDefault="00623608" w:rsidP="00623608">
      <w:pPr>
        <w:pStyle w:val="ListParagraph"/>
        <w:numPr>
          <w:ilvl w:val="0"/>
          <w:numId w:val="39"/>
        </w:numPr>
        <w:spacing w:before="0" w:after="200" w:line="276" w:lineRule="auto"/>
        <w:rPr>
          <w:szCs w:val="20"/>
        </w:rPr>
      </w:pPr>
      <w:proofErr w:type="spellStart"/>
      <w:r w:rsidRPr="00EA79E9">
        <w:rPr>
          <w:szCs w:val="20"/>
        </w:rPr>
        <w:t>Taxanes</w:t>
      </w:r>
      <w:proofErr w:type="spellEnd"/>
      <w:r w:rsidRPr="00EA79E9">
        <w:rPr>
          <w:szCs w:val="20"/>
        </w:rPr>
        <w:t>: paclitaxel,</w:t>
      </w:r>
    </w:p>
    <w:p w:rsidR="00623608" w:rsidRPr="00EA79E9" w:rsidRDefault="00623608" w:rsidP="00623608">
      <w:pPr>
        <w:pStyle w:val="ListParagraph"/>
        <w:numPr>
          <w:ilvl w:val="0"/>
          <w:numId w:val="39"/>
        </w:numPr>
        <w:spacing w:before="0" w:after="200" w:line="276" w:lineRule="auto"/>
        <w:rPr>
          <w:szCs w:val="20"/>
        </w:rPr>
      </w:pPr>
      <w:r w:rsidRPr="00EA79E9">
        <w:rPr>
          <w:szCs w:val="20"/>
        </w:rPr>
        <w:t xml:space="preserve">Anti-metabolites: </w:t>
      </w:r>
      <w:proofErr w:type="spellStart"/>
      <w:r w:rsidRPr="00EA79E9">
        <w:rPr>
          <w:szCs w:val="20"/>
        </w:rPr>
        <w:t>capecitabine</w:t>
      </w:r>
      <w:proofErr w:type="spellEnd"/>
      <w:r w:rsidRPr="00EA79E9">
        <w:rPr>
          <w:szCs w:val="20"/>
        </w:rPr>
        <w:t xml:space="preserve"> and gemcitabine,</w:t>
      </w:r>
    </w:p>
    <w:p w:rsidR="00623608" w:rsidRPr="00EA79E9" w:rsidRDefault="00623608" w:rsidP="00623608">
      <w:pPr>
        <w:pStyle w:val="ListParagraph"/>
        <w:numPr>
          <w:ilvl w:val="0"/>
          <w:numId w:val="39"/>
        </w:numPr>
        <w:spacing w:before="0" w:after="200" w:line="276" w:lineRule="auto"/>
        <w:rPr>
          <w:szCs w:val="20"/>
        </w:rPr>
      </w:pPr>
      <w:r w:rsidRPr="00EA79E9">
        <w:rPr>
          <w:szCs w:val="20"/>
        </w:rPr>
        <w:t>Other microtubule inhib</w:t>
      </w:r>
      <w:r w:rsidR="000C7195" w:rsidRPr="00EA79E9">
        <w:rPr>
          <w:szCs w:val="20"/>
        </w:rPr>
        <w:t xml:space="preserve">itors: </w:t>
      </w:r>
      <w:proofErr w:type="spellStart"/>
      <w:r w:rsidR="000C7195" w:rsidRPr="00EA79E9">
        <w:rPr>
          <w:szCs w:val="20"/>
        </w:rPr>
        <w:t>vinorelbine</w:t>
      </w:r>
      <w:proofErr w:type="spellEnd"/>
      <w:r w:rsidR="000C7195" w:rsidRPr="00EA79E9">
        <w:rPr>
          <w:szCs w:val="20"/>
        </w:rPr>
        <w:t xml:space="preserve"> and </w:t>
      </w:r>
      <w:proofErr w:type="spellStart"/>
      <w:r w:rsidR="000C7195" w:rsidRPr="00EA79E9">
        <w:rPr>
          <w:szCs w:val="20"/>
        </w:rPr>
        <w:t>eribulin</w:t>
      </w:r>
      <w:proofErr w:type="spellEnd"/>
      <w:r w:rsidR="00EA79E9">
        <w:rPr>
          <w:szCs w:val="20"/>
        </w:rPr>
        <w:t xml:space="preserve"> and</w:t>
      </w:r>
      <w:r w:rsidR="00D03C5D">
        <w:rPr>
          <w:szCs w:val="20"/>
        </w:rPr>
        <w:t xml:space="preserve"> a</w:t>
      </w:r>
      <w:r w:rsidR="00EA79E9">
        <w:rPr>
          <w:szCs w:val="20"/>
        </w:rPr>
        <w:t>;</w:t>
      </w:r>
    </w:p>
    <w:p w:rsidR="000C7195" w:rsidRPr="00EA79E9" w:rsidRDefault="00EA79E9" w:rsidP="00623608">
      <w:pPr>
        <w:pStyle w:val="ListParagraph"/>
        <w:numPr>
          <w:ilvl w:val="0"/>
          <w:numId w:val="39"/>
        </w:numPr>
        <w:spacing w:before="0" w:after="200" w:line="276" w:lineRule="auto"/>
        <w:rPr>
          <w:szCs w:val="20"/>
        </w:rPr>
      </w:pPr>
      <w:r>
        <w:rPr>
          <w:szCs w:val="20"/>
        </w:rPr>
        <w:t>PARP inhibitor as an option for patients with HER2-negative tumours and germline BRCA-1/2 mutation</w:t>
      </w:r>
    </w:p>
    <w:p w:rsidR="00397920" w:rsidRDefault="00623608" w:rsidP="00534CEC">
      <w:pPr>
        <w:ind w:left="360"/>
        <w:rPr>
          <w:szCs w:val="20"/>
        </w:rPr>
      </w:pPr>
      <w:r w:rsidRPr="00762FB2">
        <w:rPr>
          <w:szCs w:val="20"/>
        </w:rPr>
        <w:t>The 201</w:t>
      </w:r>
      <w:r w:rsidR="00EA79E9" w:rsidRPr="00762FB2">
        <w:rPr>
          <w:szCs w:val="20"/>
        </w:rPr>
        <w:t xml:space="preserve">8 </w:t>
      </w:r>
      <w:r w:rsidRPr="00762FB2">
        <w:rPr>
          <w:szCs w:val="20"/>
        </w:rPr>
        <w:t xml:space="preserve">NCCN guidelines </w:t>
      </w:r>
      <w:r w:rsidR="00D03C5D">
        <w:rPr>
          <w:szCs w:val="20"/>
        </w:rPr>
        <w:t>state</w:t>
      </w:r>
      <w:r w:rsidR="007457D3">
        <w:rPr>
          <w:szCs w:val="20"/>
        </w:rPr>
        <w:t xml:space="preserve"> </w:t>
      </w:r>
      <w:r w:rsidR="00D03C5D">
        <w:rPr>
          <w:szCs w:val="20"/>
        </w:rPr>
        <w:t>that sequential single agents are preferred however</w:t>
      </w:r>
      <w:r w:rsidR="00703053">
        <w:rPr>
          <w:szCs w:val="20"/>
        </w:rPr>
        <w:t xml:space="preserve"> </w:t>
      </w:r>
      <w:r w:rsidRPr="00762FB2">
        <w:rPr>
          <w:szCs w:val="20"/>
        </w:rPr>
        <w:t>also listed several combination chemotherapy r</w:t>
      </w:r>
      <w:r w:rsidR="00EA79E9" w:rsidRPr="00762FB2">
        <w:rPr>
          <w:szCs w:val="20"/>
        </w:rPr>
        <w:t xml:space="preserve">egimens for locally advanced or metastatic disease with the caveat that they </w:t>
      </w:r>
      <w:r w:rsidR="00EA79E9" w:rsidRPr="007457D3">
        <w:rPr>
          <w:szCs w:val="20"/>
        </w:rPr>
        <w:t>may be used in select patients</w:t>
      </w:r>
      <w:r w:rsidR="007457D3" w:rsidRPr="007457D3">
        <w:rPr>
          <w:szCs w:val="20"/>
        </w:rPr>
        <w:t xml:space="preserve"> </w:t>
      </w:r>
      <w:r w:rsidR="00EA79E9" w:rsidRPr="007457D3">
        <w:rPr>
          <w:szCs w:val="20"/>
        </w:rPr>
        <w:t>with high tumour burden</w:t>
      </w:r>
      <w:r w:rsidR="00D03C5D" w:rsidRPr="007457D3">
        <w:rPr>
          <w:szCs w:val="20"/>
        </w:rPr>
        <w:t xml:space="preserve">, rapidly progressing disease </w:t>
      </w:r>
      <w:r w:rsidR="002C2ED7">
        <w:rPr>
          <w:szCs w:val="20"/>
        </w:rPr>
        <w:t xml:space="preserve">or </w:t>
      </w:r>
      <w:r w:rsidR="00D03C5D" w:rsidRPr="007457D3">
        <w:rPr>
          <w:szCs w:val="20"/>
        </w:rPr>
        <w:t>visceral crisis.</w:t>
      </w:r>
      <w:r w:rsidR="007457D3" w:rsidRPr="007457D3">
        <w:rPr>
          <w:szCs w:val="20"/>
        </w:rPr>
        <w:t xml:space="preserve"> </w:t>
      </w:r>
    </w:p>
    <w:p w:rsidR="008E5E14" w:rsidRDefault="00CD6733" w:rsidP="00534CEC">
      <w:pPr>
        <w:ind w:left="360"/>
        <w:rPr>
          <w:szCs w:val="20"/>
        </w:rPr>
      </w:pPr>
      <w:r>
        <w:rPr>
          <w:szCs w:val="20"/>
        </w:rPr>
        <w:t xml:space="preserve">In </w:t>
      </w:r>
      <w:r w:rsidR="007457D3" w:rsidRPr="007457D3">
        <w:rPr>
          <w:szCs w:val="20"/>
        </w:rPr>
        <w:t>patients diagnosed with hormone</w:t>
      </w:r>
      <w:r w:rsidR="00397920">
        <w:rPr>
          <w:szCs w:val="20"/>
        </w:rPr>
        <w:t xml:space="preserve"> </w:t>
      </w:r>
      <w:r w:rsidR="007457D3" w:rsidRPr="007457D3">
        <w:rPr>
          <w:szCs w:val="20"/>
        </w:rPr>
        <w:t>receptor positive</w:t>
      </w:r>
      <w:r w:rsidR="00AD0F3B">
        <w:rPr>
          <w:szCs w:val="20"/>
        </w:rPr>
        <w:t xml:space="preserve"> locally advanced or </w:t>
      </w:r>
      <w:r w:rsidR="007457D3" w:rsidRPr="007457D3">
        <w:rPr>
          <w:szCs w:val="20"/>
        </w:rPr>
        <w:t>metastatic breast</w:t>
      </w:r>
      <w:r w:rsidR="00AD0F3B">
        <w:rPr>
          <w:szCs w:val="20"/>
        </w:rPr>
        <w:t xml:space="preserve"> cancer</w:t>
      </w:r>
      <w:r w:rsidR="00CD49C7">
        <w:rPr>
          <w:szCs w:val="20"/>
        </w:rPr>
        <w:t>,</w:t>
      </w:r>
      <w:r w:rsidR="00AD0F3B">
        <w:rPr>
          <w:szCs w:val="20"/>
        </w:rPr>
        <w:t xml:space="preserve"> </w:t>
      </w:r>
      <w:r w:rsidR="007457D3" w:rsidRPr="007457D3">
        <w:rPr>
          <w:szCs w:val="20"/>
        </w:rPr>
        <w:t xml:space="preserve">and who have not received prior chemotherapy, </w:t>
      </w:r>
      <w:r w:rsidR="00CD49C7">
        <w:rPr>
          <w:szCs w:val="20"/>
        </w:rPr>
        <w:t xml:space="preserve">a PARP inhibitor is likely to be </w:t>
      </w:r>
      <w:r w:rsidR="007457D3" w:rsidRPr="007457D3">
        <w:rPr>
          <w:szCs w:val="20"/>
        </w:rPr>
        <w:t xml:space="preserve">fourth or later line treatment </w:t>
      </w:r>
      <w:r w:rsidR="007457D3" w:rsidRPr="002F5CFB">
        <w:rPr>
          <w:szCs w:val="20"/>
        </w:rPr>
        <w:t xml:space="preserve">following at least one line of endocrine therapy, a </w:t>
      </w:r>
      <w:proofErr w:type="spellStart"/>
      <w:r w:rsidR="007457D3" w:rsidRPr="002F5CFB">
        <w:rPr>
          <w:szCs w:val="20"/>
        </w:rPr>
        <w:t>taxane</w:t>
      </w:r>
      <w:proofErr w:type="spellEnd"/>
      <w:r w:rsidR="007457D3" w:rsidRPr="002F5CFB">
        <w:rPr>
          <w:szCs w:val="20"/>
        </w:rPr>
        <w:t xml:space="preserve"> and an </w:t>
      </w:r>
      <w:proofErr w:type="spellStart"/>
      <w:r w:rsidR="007457D3" w:rsidRPr="002F5CFB">
        <w:rPr>
          <w:szCs w:val="20"/>
        </w:rPr>
        <w:t>anthracycline</w:t>
      </w:r>
      <w:proofErr w:type="spellEnd"/>
      <w:r w:rsidR="007457D3" w:rsidRPr="002F5CFB">
        <w:rPr>
          <w:szCs w:val="20"/>
        </w:rPr>
        <w:t>.</w:t>
      </w:r>
      <w:r w:rsidR="00397920" w:rsidRPr="002F5CFB">
        <w:rPr>
          <w:szCs w:val="20"/>
        </w:rPr>
        <w:t xml:space="preserve"> </w:t>
      </w:r>
      <w:r w:rsidR="002F5CFB" w:rsidRPr="002C2ED7">
        <w:rPr>
          <w:szCs w:val="20"/>
        </w:rPr>
        <w:t>I</w:t>
      </w:r>
      <w:r w:rsidR="00AD0F3B" w:rsidRPr="002C2ED7">
        <w:rPr>
          <w:szCs w:val="20"/>
        </w:rPr>
        <w:t>n patients pre</w:t>
      </w:r>
      <w:r w:rsidR="008E5E14" w:rsidRPr="002C2ED7">
        <w:rPr>
          <w:szCs w:val="20"/>
        </w:rPr>
        <w:t xml:space="preserve">viously treated </w:t>
      </w:r>
      <w:r w:rsidR="00AD0F3B" w:rsidRPr="002C2ED7">
        <w:rPr>
          <w:szCs w:val="20"/>
        </w:rPr>
        <w:t xml:space="preserve">(adjuvant and/or metastatic setting) </w:t>
      </w:r>
      <w:r w:rsidR="00AD0F3B" w:rsidRPr="002C2ED7">
        <w:rPr>
          <w:szCs w:val="20"/>
        </w:rPr>
        <w:lastRenderedPageBreak/>
        <w:t xml:space="preserve">with an </w:t>
      </w:r>
      <w:proofErr w:type="spellStart"/>
      <w:r w:rsidR="00AD0F3B" w:rsidRPr="002C2ED7">
        <w:rPr>
          <w:szCs w:val="20"/>
        </w:rPr>
        <w:t>anthracycline</w:t>
      </w:r>
      <w:proofErr w:type="spellEnd"/>
      <w:r w:rsidR="00AD0F3B" w:rsidRPr="002C2ED7">
        <w:rPr>
          <w:szCs w:val="20"/>
        </w:rPr>
        <w:t xml:space="preserve"> and a </w:t>
      </w:r>
      <w:proofErr w:type="spellStart"/>
      <w:r w:rsidR="00AD0F3B" w:rsidRPr="002C2ED7">
        <w:rPr>
          <w:szCs w:val="20"/>
        </w:rPr>
        <w:t>taxane</w:t>
      </w:r>
      <w:proofErr w:type="spellEnd"/>
      <w:r w:rsidR="00AD0F3B" w:rsidRPr="002C2ED7">
        <w:rPr>
          <w:szCs w:val="20"/>
        </w:rPr>
        <w:t xml:space="preserve">, single agent </w:t>
      </w:r>
      <w:proofErr w:type="spellStart"/>
      <w:r w:rsidR="00AD0F3B" w:rsidRPr="002C2ED7">
        <w:rPr>
          <w:szCs w:val="20"/>
        </w:rPr>
        <w:t>capecitabine</w:t>
      </w:r>
      <w:proofErr w:type="spellEnd"/>
      <w:r w:rsidR="00AD0F3B" w:rsidRPr="002C2ED7">
        <w:rPr>
          <w:szCs w:val="20"/>
        </w:rPr>
        <w:t xml:space="preserve">, </w:t>
      </w:r>
      <w:proofErr w:type="spellStart"/>
      <w:r w:rsidR="00AD0F3B" w:rsidRPr="002C2ED7">
        <w:rPr>
          <w:szCs w:val="20"/>
        </w:rPr>
        <w:t>eribulin</w:t>
      </w:r>
      <w:proofErr w:type="spellEnd"/>
      <w:r w:rsidR="00AD0F3B" w:rsidRPr="002C2ED7">
        <w:rPr>
          <w:szCs w:val="20"/>
        </w:rPr>
        <w:t xml:space="preserve"> or </w:t>
      </w:r>
      <w:proofErr w:type="spellStart"/>
      <w:r w:rsidR="00AD0F3B" w:rsidRPr="002C2ED7">
        <w:rPr>
          <w:szCs w:val="20"/>
        </w:rPr>
        <w:t>vinorelbine</w:t>
      </w:r>
      <w:proofErr w:type="spellEnd"/>
      <w:r w:rsidR="00AD0F3B" w:rsidRPr="002C2ED7">
        <w:rPr>
          <w:szCs w:val="20"/>
        </w:rPr>
        <w:t xml:space="preserve"> </w:t>
      </w:r>
      <w:r w:rsidR="00D47F12" w:rsidRPr="002C2ED7">
        <w:rPr>
          <w:szCs w:val="20"/>
        </w:rPr>
        <w:t xml:space="preserve">are preferred choices </w:t>
      </w:r>
      <w:r w:rsidR="007F7BE1" w:rsidRPr="002C2ED7">
        <w:rPr>
          <w:szCs w:val="20"/>
        </w:rPr>
        <w:t>and/</w:t>
      </w:r>
      <w:r w:rsidR="00D47F12" w:rsidRPr="002C2ED7">
        <w:rPr>
          <w:szCs w:val="20"/>
        </w:rPr>
        <w:t>or</w:t>
      </w:r>
      <w:r w:rsidR="00943ABE" w:rsidRPr="002C2ED7">
        <w:rPr>
          <w:szCs w:val="20"/>
        </w:rPr>
        <w:t xml:space="preserve"> earlier-line treatment with a PARP inhibitor.</w:t>
      </w:r>
      <w:r w:rsidR="002C2ED7" w:rsidRPr="002C2ED7">
        <w:rPr>
          <w:szCs w:val="20"/>
          <w:vertAlign w:val="superscript"/>
        </w:rPr>
        <w:t>9</w:t>
      </w:r>
    </w:p>
    <w:p w:rsidR="00661CB6" w:rsidRDefault="00661CB6">
      <w:pPr>
        <w:spacing w:before="0" w:after="200" w:line="276" w:lineRule="auto"/>
        <w:rPr>
          <w:szCs w:val="20"/>
          <w:u w:val="single"/>
        </w:rPr>
      </w:pPr>
      <w:r>
        <w:rPr>
          <w:szCs w:val="20"/>
          <w:u w:val="single"/>
        </w:rPr>
        <w:br w:type="page"/>
      </w:r>
    </w:p>
    <w:p w:rsidR="00623608" w:rsidRPr="0028610E" w:rsidRDefault="0028610E" w:rsidP="00703053">
      <w:pPr>
        <w:ind w:firstLine="360"/>
        <w:rPr>
          <w:szCs w:val="20"/>
          <w:u w:val="single"/>
        </w:rPr>
      </w:pPr>
      <w:r w:rsidRPr="0028610E">
        <w:rPr>
          <w:szCs w:val="20"/>
          <w:u w:val="single"/>
        </w:rPr>
        <w:t>Locally advanced or m</w:t>
      </w:r>
      <w:r w:rsidR="00623608" w:rsidRPr="0028610E">
        <w:rPr>
          <w:szCs w:val="20"/>
          <w:u w:val="single"/>
        </w:rPr>
        <w:t>etastatic triple negative breast cancer</w:t>
      </w:r>
    </w:p>
    <w:p w:rsidR="00774635" w:rsidRDefault="00420714" w:rsidP="00CD6733">
      <w:pPr>
        <w:ind w:left="360"/>
        <w:rPr>
          <w:szCs w:val="20"/>
          <w:lang w:val="en-US"/>
        </w:rPr>
      </w:pPr>
      <w:r>
        <w:rPr>
          <w:szCs w:val="20"/>
          <w:lang w:val="en-US"/>
        </w:rPr>
        <w:t xml:space="preserve">The 2018 ESMO guidelines </w:t>
      </w:r>
      <w:r w:rsidR="008E5E14">
        <w:rPr>
          <w:szCs w:val="20"/>
          <w:lang w:val="en-US"/>
        </w:rPr>
        <w:t xml:space="preserve">state that </w:t>
      </w:r>
      <w:r w:rsidR="00FD73F9">
        <w:rPr>
          <w:szCs w:val="20"/>
          <w:lang w:val="en-US"/>
        </w:rPr>
        <w:t xml:space="preserve">a platinum regimen is the preferred option for </w:t>
      </w:r>
      <w:r w:rsidR="008E5E14">
        <w:rPr>
          <w:szCs w:val="20"/>
          <w:lang w:val="en-US"/>
        </w:rPr>
        <w:t>p</w:t>
      </w:r>
      <w:r w:rsidR="00E63B08" w:rsidRPr="00E63B08">
        <w:rPr>
          <w:szCs w:val="20"/>
          <w:lang w:val="en-US"/>
        </w:rPr>
        <w:t>atients with BRCA-associated advanced</w:t>
      </w:r>
      <w:r w:rsidR="00754CEA">
        <w:rPr>
          <w:szCs w:val="20"/>
          <w:lang w:val="en-US"/>
        </w:rPr>
        <w:t xml:space="preserve"> (locally advanced or metastatic) </w:t>
      </w:r>
      <w:r w:rsidR="00E63B08" w:rsidRPr="00E63B08">
        <w:rPr>
          <w:szCs w:val="20"/>
          <w:lang w:val="en-US"/>
        </w:rPr>
        <w:t>TNBC previously</w:t>
      </w:r>
      <w:r w:rsidR="00E63B08">
        <w:rPr>
          <w:szCs w:val="20"/>
          <w:lang w:val="en-US"/>
        </w:rPr>
        <w:t xml:space="preserve"> </w:t>
      </w:r>
      <w:r w:rsidR="00E63B08" w:rsidRPr="00E63B08">
        <w:rPr>
          <w:szCs w:val="20"/>
          <w:lang w:val="en-US"/>
        </w:rPr>
        <w:t>treated with an anthracycline with or without</w:t>
      </w:r>
      <w:r w:rsidR="00E63B08">
        <w:rPr>
          <w:szCs w:val="20"/>
          <w:lang w:val="en-US"/>
        </w:rPr>
        <w:t xml:space="preserve"> </w:t>
      </w:r>
      <w:r w:rsidR="00E63B08" w:rsidRPr="00E63B08">
        <w:rPr>
          <w:szCs w:val="20"/>
          <w:lang w:val="en-US"/>
        </w:rPr>
        <w:t xml:space="preserve">a </w:t>
      </w:r>
      <w:proofErr w:type="spellStart"/>
      <w:r w:rsidR="00E63B08" w:rsidRPr="00E63B08">
        <w:rPr>
          <w:szCs w:val="20"/>
          <w:lang w:val="en-US"/>
        </w:rPr>
        <w:t>taxane</w:t>
      </w:r>
      <w:proofErr w:type="spellEnd"/>
      <w:r w:rsidR="00E63B08" w:rsidRPr="00E63B08">
        <w:rPr>
          <w:szCs w:val="20"/>
          <w:lang w:val="en-US"/>
        </w:rPr>
        <w:t xml:space="preserve"> (in the adjuvant and/or metastatic</w:t>
      </w:r>
      <w:r w:rsidR="00E63B08">
        <w:rPr>
          <w:szCs w:val="20"/>
          <w:lang w:val="en-US"/>
        </w:rPr>
        <w:t xml:space="preserve"> </w:t>
      </w:r>
      <w:r w:rsidR="00E63B08" w:rsidRPr="00E63B08">
        <w:rPr>
          <w:szCs w:val="20"/>
          <w:lang w:val="en-US"/>
        </w:rPr>
        <w:t>setting)</w:t>
      </w:r>
      <w:r w:rsidR="007F7BE1">
        <w:rPr>
          <w:szCs w:val="20"/>
          <w:lang w:val="en-US"/>
        </w:rPr>
        <w:t xml:space="preserve">, </w:t>
      </w:r>
      <w:r>
        <w:rPr>
          <w:szCs w:val="20"/>
          <w:lang w:val="en-US"/>
        </w:rPr>
        <w:t>consistent with the 2017 guidelines</w:t>
      </w:r>
      <w:r w:rsidR="00E63B08" w:rsidRPr="00E63B08">
        <w:rPr>
          <w:szCs w:val="20"/>
          <w:lang w:val="en-US"/>
        </w:rPr>
        <w:t>.</w:t>
      </w:r>
      <w:r w:rsidR="00B25969">
        <w:rPr>
          <w:szCs w:val="20"/>
          <w:lang w:val="en-US"/>
        </w:rPr>
        <w:t xml:space="preserve"> </w:t>
      </w:r>
      <w:r w:rsidR="00754CEA">
        <w:rPr>
          <w:szCs w:val="20"/>
          <w:lang w:val="en-US"/>
        </w:rPr>
        <w:t xml:space="preserve">Chemotherapy was also </w:t>
      </w:r>
      <w:r w:rsidR="00425904">
        <w:rPr>
          <w:szCs w:val="20"/>
          <w:lang w:val="en-US"/>
        </w:rPr>
        <w:t xml:space="preserve">recommended as an option </w:t>
      </w:r>
      <w:r w:rsidR="00352F1A">
        <w:rPr>
          <w:szCs w:val="20"/>
          <w:lang w:val="en-US"/>
        </w:rPr>
        <w:t>h</w:t>
      </w:r>
      <w:r w:rsidR="00B25969">
        <w:rPr>
          <w:szCs w:val="20"/>
          <w:lang w:val="en-US"/>
        </w:rPr>
        <w:t xml:space="preserve">owever, no specific </w:t>
      </w:r>
      <w:r w:rsidR="00B25969" w:rsidRPr="00083BC6">
        <w:rPr>
          <w:szCs w:val="20"/>
          <w:lang w:val="en-US"/>
        </w:rPr>
        <w:t>chemotherapy regimens were specified in the NCCN guidelines (Version 2.2018).</w:t>
      </w:r>
    </w:p>
    <w:p w:rsidR="00FB30E0" w:rsidRDefault="00420714" w:rsidP="00CD6733">
      <w:pPr>
        <w:ind w:left="360"/>
        <w:rPr>
          <w:szCs w:val="20"/>
          <w:vertAlign w:val="superscript"/>
          <w:lang w:val="en-US"/>
        </w:rPr>
      </w:pPr>
      <w:r w:rsidRPr="00083BC6">
        <w:rPr>
          <w:szCs w:val="20"/>
          <w:lang w:val="en-US"/>
        </w:rPr>
        <w:t xml:space="preserve">In addition, the ESMO 2018 guidelines </w:t>
      </w:r>
      <w:r w:rsidR="000851DF" w:rsidRPr="00083BC6">
        <w:rPr>
          <w:szCs w:val="20"/>
          <w:lang w:val="en-US"/>
        </w:rPr>
        <w:t>state that a</w:t>
      </w:r>
      <w:r w:rsidR="00E63B08" w:rsidRPr="00083BC6">
        <w:rPr>
          <w:szCs w:val="20"/>
          <w:lang w:val="en-US"/>
        </w:rPr>
        <w:t xml:space="preserve"> </w:t>
      </w:r>
      <w:proofErr w:type="spellStart"/>
      <w:r w:rsidR="00E63B08" w:rsidRPr="00083BC6">
        <w:rPr>
          <w:szCs w:val="20"/>
          <w:lang w:val="en-US"/>
        </w:rPr>
        <w:t>PARPi</w:t>
      </w:r>
      <w:proofErr w:type="spellEnd"/>
      <w:r w:rsidR="00E63B08" w:rsidRPr="00083BC6">
        <w:rPr>
          <w:szCs w:val="20"/>
          <w:lang w:val="en-US"/>
        </w:rPr>
        <w:t xml:space="preserve"> (</w:t>
      </w:r>
      <w:proofErr w:type="spellStart"/>
      <w:r w:rsidR="00E63B08" w:rsidRPr="00083BC6">
        <w:rPr>
          <w:szCs w:val="20"/>
          <w:lang w:val="en-US"/>
        </w:rPr>
        <w:t>olaparib</w:t>
      </w:r>
      <w:proofErr w:type="spellEnd"/>
      <w:r w:rsidR="00E63B08" w:rsidRPr="00083BC6">
        <w:rPr>
          <w:szCs w:val="20"/>
          <w:lang w:val="en-US"/>
        </w:rPr>
        <w:t xml:space="preserve"> or </w:t>
      </w:r>
      <w:proofErr w:type="spellStart"/>
      <w:r w:rsidR="00E63B08" w:rsidRPr="00083BC6">
        <w:rPr>
          <w:szCs w:val="20"/>
          <w:lang w:val="en-US"/>
        </w:rPr>
        <w:t>talaz</w:t>
      </w:r>
      <w:r w:rsidR="00EB245E">
        <w:rPr>
          <w:szCs w:val="20"/>
          <w:lang w:val="en-US"/>
        </w:rPr>
        <w:t>o</w:t>
      </w:r>
      <w:r w:rsidR="00E63B08" w:rsidRPr="00083BC6">
        <w:rPr>
          <w:szCs w:val="20"/>
          <w:lang w:val="en-US"/>
        </w:rPr>
        <w:t>parib</w:t>
      </w:r>
      <w:proofErr w:type="spellEnd"/>
      <w:r w:rsidR="00E63B08" w:rsidRPr="00083BC6">
        <w:rPr>
          <w:szCs w:val="20"/>
          <w:lang w:val="en-US"/>
        </w:rPr>
        <w:t xml:space="preserve">) is </w:t>
      </w:r>
      <w:r w:rsidR="000851DF" w:rsidRPr="00083BC6">
        <w:rPr>
          <w:szCs w:val="20"/>
          <w:lang w:val="en-US"/>
        </w:rPr>
        <w:t xml:space="preserve">also </w:t>
      </w:r>
      <w:r w:rsidR="00E63B08" w:rsidRPr="00083BC6">
        <w:rPr>
          <w:szCs w:val="20"/>
          <w:lang w:val="en-US"/>
        </w:rPr>
        <w:t>a reasonable treatment option for patients with BRCA-associated advanced</w:t>
      </w:r>
      <w:r w:rsidR="00754CEA">
        <w:rPr>
          <w:szCs w:val="20"/>
          <w:lang w:val="en-US"/>
        </w:rPr>
        <w:t xml:space="preserve"> (locally advanced or metastatic)</w:t>
      </w:r>
      <w:r w:rsidR="00E63B08" w:rsidRPr="00083BC6">
        <w:rPr>
          <w:szCs w:val="20"/>
          <w:lang w:val="en-US"/>
        </w:rPr>
        <w:t xml:space="preserve"> TNBC, previously treated with an </w:t>
      </w:r>
      <w:proofErr w:type="spellStart"/>
      <w:r w:rsidR="00E63B08" w:rsidRPr="00083BC6">
        <w:rPr>
          <w:szCs w:val="20"/>
          <w:lang w:val="en-US"/>
        </w:rPr>
        <w:t>anthracycline</w:t>
      </w:r>
      <w:proofErr w:type="spellEnd"/>
      <w:r w:rsidR="00E63B08" w:rsidRPr="00083BC6">
        <w:rPr>
          <w:szCs w:val="20"/>
          <w:lang w:val="en-US"/>
        </w:rPr>
        <w:t xml:space="preserve"> with/without a </w:t>
      </w:r>
      <w:proofErr w:type="spellStart"/>
      <w:r w:rsidR="00E63B08" w:rsidRPr="00083BC6">
        <w:rPr>
          <w:szCs w:val="20"/>
          <w:lang w:val="en-US"/>
        </w:rPr>
        <w:t>taxane</w:t>
      </w:r>
      <w:proofErr w:type="spellEnd"/>
      <w:r w:rsidR="00E63B08" w:rsidRPr="00083BC6">
        <w:rPr>
          <w:szCs w:val="20"/>
          <w:lang w:val="en-US"/>
        </w:rPr>
        <w:t xml:space="preserve"> (in the adjuvant and/or metastatic setting), since its use is associated with a PFS</w:t>
      </w:r>
      <w:r w:rsidR="00CD6733" w:rsidRPr="00083BC6">
        <w:rPr>
          <w:szCs w:val="20"/>
          <w:lang w:val="en-US"/>
        </w:rPr>
        <w:t xml:space="preserve"> </w:t>
      </w:r>
      <w:r w:rsidR="00E63B08" w:rsidRPr="00083BC6">
        <w:rPr>
          <w:szCs w:val="20"/>
          <w:lang w:val="en-US"/>
        </w:rPr>
        <w:t xml:space="preserve">benefit, improvement in </w:t>
      </w:r>
      <w:proofErr w:type="spellStart"/>
      <w:r w:rsidR="00E63B08" w:rsidRPr="00083BC6">
        <w:rPr>
          <w:szCs w:val="20"/>
          <w:lang w:val="en-US"/>
        </w:rPr>
        <w:t>QoL</w:t>
      </w:r>
      <w:proofErr w:type="spellEnd"/>
      <w:r w:rsidR="00E63B08" w:rsidRPr="00083BC6">
        <w:rPr>
          <w:szCs w:val="20"/>
          <w:lang w:val="en-US"/>
        </w:rPr>
        <w:t xml:space="preserve"> and a </w:t>
      </w:r>
      <w:proofErr w:type="spellStart"/>
      <w:r w:rsidR="00E63B08" w:rsidRPr="00083BC6">
        <w:rPr>
          <w:szCs w:val="20"/>
          <w:lang w:val="en-US"/>
        </w:rPr>
        <w:t>favourable</w:t>
      </w:r>
      <w:proofErr w:type="spellEnd"/>
      <w:r w:rsidR="00CD6733" w:rsidRPr="00083BC6">
        <w:rPr>
          <w:szCs w:val="20"/>
          <w:lang w:val="en-US"/>
        </w:rPr>
        <w:t xml:space="preserve"> </w:t>
      </w:r>
      <w:r w:rsidR="00EB245E">
        <w:rPr>
          <w:szCs w:val="20"/>
          <w:lang w:val="en-US"/>
        </w:rPr>
        <w:t>toxicity profile.</w:t>
      </w:r>
      <w:r w:rsidR="00EB245E" w:rsidRPr="00EB245E">
        <w:rPr>
          <w:szCs w:val="20"/>
          <w:vertAlign w:val="superscript"/>
          <w:lang w:val="en-US"/>
        </w:rPr>
        <w:t>9</w:t>
      </w:r>
    </w:p>
    <w:p w:rsidR="00FC7F96" w:rsidRPr="00FC7F96" w:rsidRDefault="00FC7F96" w:rsidP="00FC7F96">
      <w:pPr>
        <w:ind w:left="360"/>
        <w:rPr>
          <w:szCs w:val="20"/>
        </w:rPr>
      </w:pPr>
      <w:r w:rsidRPr="00FC7F96">
        <w:rPr>
          <w:szCs w:val="20"/>
        </w:rPr>
        <w:t xml:space="preserve">Current treatment algorithm attached </w:t>
      </w:r>
    </w:p>
    <w:p w:rsidR="002A50FD" w:rsidRPr="00881F93" w:rsidRDefault="005C3AE7" w:rsidP="005C3AE7">
      <w:pPr>
        <w:pStyle w:val="Subtitle"/>
      </w:pPr>
      <w:r>
        <w:t xml:space="preserve">PART 6b – </w:t>
      </w:r>
      <w:r w:rsidR="002A50FD" w:rsidRPr="00881F93">
        <w:t>INFORMATION ABOUT THE INTERVENTION</w:t>
      </w:r>
    </w:p>
    <w:p w:rsidR="002A50FD" w:rsidRPr="0061620B" w:rsidRDefault="002A6753" w:rsidP="00530204">
      <w:pPr>
        <w:pStyle w:val="Heading2"/>
      </w:pPr>
      <w:r w:rsidRPr="0061620B">
        <w:t xml:space="preserve">Describe the </w:t>
      </w:r>
      <w:r w:rsidR="00DF6D37" w:rsidRPr="0061620B">
        <w:t>key components and</w:t>
      </w:r>
      <w:r w:rsidR="00B771AD" w:rsidRPr="0061620B">
        <w:t xml:space="preserve"> clinical</w:t>
      </w:r>
      <w:r w:rsidR="00DF6D37" w:rsidRPr="0061620B">
        <w:t xml:space="preserve"> steps involved in delivering </w:t>
      </w:r>
      <w:r w:rsidR="00C05A45" w:rsidRPr="0061620B">
        <w:t xml:space="preserve">the </w:t>
      </w:r>
      <w:r w:rsidR="00197D29" w:rsidRPr="0061620B">
        <w:t>proposed medical service:</w:t>
      </w:r>
    </w:p>
    <w:p w:rsidR="00001B31" w:rsidRDefault="00001B31" w:rsidP="00BF6FFE">
      <w:pPr>
        <w:shd w:val="clear" w:color="auto" w:fill="FFFFFF"/>
        <w:spacing w:before="0" w:after="0"/>
        <w:ind w:left="360"/>
        <w:jc w:val="both"/>
        <w:rPr>
          <w:rFonts w:ascii="Calibri" w:eastAsia="Calibri" w:hAnsi="Calibri" w:cs="Times New Roman"/>
        </w:rPr>
      </w:pPr>
      <w:r w:rsidRPr="00001B31">
        <w:rPr>
          <w:rFonts w:ascii="Calibri" w:eastAsia="Calibri" w:hAnsi="Calibri" w:cs="Times New Roman"/>
        </w:rPr>
        <w:t>Currently,</w:t>
      </w:r>
      <w:r>
        <w:rPr>
          <w:rFonts w:ascii="Calibri" w:eastAsia="Calibri" w:hAnsi="Calibri" w:cs="Times New Roman"/>
          <w:i/>
        </w:rPr>
        <w:t xml:space="preserve"> </w:t>
      </w:r>
      <w:r w:rsidR="00677925" w:rsidRPr="00001B31">
        <w:rPr>
          <w:rFonts w:ascii="Calibri" w:eastAsia="Calibri" w:hAnsi="Calibri" w:cs="Times New Roman"/>
        </w:rPr>
        <w:t>BRCA</w:t>
      </w:r>
      <w:r w:rsidR="00677925" w:rsidRPr="00677925">
        <w:rPr>
          <w:rFonts w:ascii="Calibri" w:eastAsia="Calibri" w:hAnsi="Calibri" w:cs="Times New Roman"/>
          <w:i/>
        </w:rPr>
        <w:t xml:space="preserve"> </w:t>
      </w:r>
      <w:r w:rsidR="00677925" w:rsidRPr="00677925">
        <w:rPr>
          <w:rFonts w:ascii="Calibri" w:eastAsia="Calibri" w:hAnsi="Calibri" w:cs="Times New Roman"/>
        </w:rPr>
        <w:t xml:space="preserve">testing is generally limited to “high risk” patients (young, family history of breast or ovarian cancer, TNBC) </w:t>
      </w:r>
      <w:r w:rsidR="00677925">
        <w:rPr>
          <w:rFonts w:ascii="Calibri" w:eastAsia="Calibri" w:hAnsi="Calibri" w:cs="Times New Roman"/>
        </w:rPr>
        <w:t>in line with the EVIQ guidelines</w:t>
      </w:r>
      <w:r w:rsidR="00BF6FFE" w:rsidRPr="00BF6FFE">
        <w:rPr>
          <w:rFonts w:ascii="Calibri" w:eastAsia="Calibri" w:hAnsi="Calibri" w:cs="Times New Roman"/>
          <w:vertAlign w:val="superscript"/>
        </w:rPr>
        <w:t>13</w:t>
      </w:r>
      <w:r w:rsidR="00677925">
        <w:rPr>
          <w:rFonts w:ascii="Calibri" w:eastAsia="Calibri" w:hAnsi="Calibri" w:cs="Times New Roman"/>
        </w:rPr>
        <w:t>.</w:t>
      </w:r>
      <w:r w:rsidR="003640F8">
        <w:rPr>
          <w:rFonts w:ascii="Calibri" w:eastAsia="Calibri" w:hAnsi="Calibri" w:cs="Times New Roman"/>
        </w:rPr>
        <w:t xml:space="preserve"> </w:t>
      </w:r>
    </w:p>
    <w:p w:rsidR="00001B31" w:rsidRDefault="00001B31" w:rsidP="00BF6FFE">
      <w:pPr>
        <w:shd w:val="clear" w:color="auto" w:fill="FFFFFF"/>
        <w:spacing w:before="0" w:after="0"/>
        <w:ind w:left="360"/>
        <w:jc w:val="both"/>
        <w:rPr>
          <w:rFonts w:ascii="Calibri" w:eastAsia="Calibri" w:hAnsi="Calibri" w:cs="Times New Roman"/>
        </w:rPr>
      </w:pPr>
    </w:p>
    <w:p w:rsidR="00001B31" w:rsidRDefault="00001B31" w:rsidP="00001B31">
      <w:pPr>
        <w:shd w:val="clear" w:color="auto" w:fill="FFFFFF"/>
        <w:spacing w:before="0" w:after="0"/>
        <w:ind w:left="360"/>
        <w:jc w:val="both"/>
        <w:rPr>
          <w:rFonts w:ascii="Calibri" w:eastAsia="Calibri" w:hAnsi="Calibri" w:cs="Times New Roman"/>
        </w:rPr>
      </w:pPr>
      <w:r>
        <w:rPr>
          <w:rFonts w:ascii="Calibri" w:eastAsia="Calibri" w:hAnsi="Calibri" w:cs="Times New Roman"/>
          <w:lang w:val="en-US"/>
        </w:rPr>
        <w:t>T</w:t>
      </w:r>
      <w:r w:rsidRPr="00001B31">
        <w:rPr>
          <w:rFonts w:ascii="Calibri" w:eastAsia="Calibri" w:hAnsi="Calibri" w:cs="Times New Roman"/>
          <w:lang w:val="en-US"/>
        </w:rPr>
        <w:t>he process of genetic testing in a family begins</w:t>
      </w:r>
      <w:r>
        <w:rPr>
          <w:rFonts w:ascii="Calibri" w:eastAsia="Calibri" w:hAnsi="Calibri" w:cs="Times New Roman"/>
          <w:lang w:val="en-US"/>
        </w:rPr>
        <w:t xml:space="preserve"> </w:t>
      </w:r>
      <w:r w:rsidRPr="00001B31">
        <w:rPr>
          <w:rFonts w:ascii="Calibri" w:eastAsia="Calibri" w:hAnsi="Calibri" w:cs="Times New Roman"/>
          <w:lang w:val="en-US"/>
        </w:rPr>
        <w:t>by testing an individual with cancer (usually with a high</w:t>
      </w:r>
      <w:r w:rsidR="009209E7">
        <w:rPr>
          <w:rFonts w:ascii="Calibri" w:eastAsia="Calibri" w:hAnsi="Calibri" w:cs="Times New Roman"/>
          <w:lang w:val="en-US"/>
        </w:rPr>
        <w:t xml:space="preserve"> </w:t>
      </w:r>
      <w:r w:rsidRPr="00001B31">
        <w:rPr>
          <w:rFonts w:ascii="Calibri" w:eastAsia="Calibri" w:hAnsi="Calibri" w:cs="Times New Roman"/>
          <w:lang w:val="en-US"/>
        </w:rPr>
        <w:t>risk family history) and searching their BRCA1 and</w:t>
      </w:r>
      <w:r>
        <w:rPr>
          <w:rFonts w:ascii="Calibri" w:eastAsia="Calibri" w:hAnsi="Calibri" w:cs="Times New Roman"/>
          <w:lang w:val="en-US"/>
        </w:rPr>
        <w:t xml:space="preserve"> </w:t>
      </w:r>
      <w:r w:rsidRPr="00001B31">
        <w:rPr>
          <w:rFonts w:ascii="Calibri" w:eastAsia="Calibri" w:hAnsi="Calibri" w:cs="Times New Roman"/>
          <w:lang w:val="en-US"/>
        </w:rPr>
        <w:t>BRCA2 genes for a causative mutation. If a mutation is</w:t>
      </w:r>
      <w:r w:rsidR="009209E7">
        <w:rPr>
          <w:rFonts w:ascii="Calibri" w:eastAsia="Calibri" w:hAnsi="Calibri" w:cs="Times New Roman"/>
          <w:lang w:val="en-US"/>
        </w:rPr>
        <w:t xml:space="preserve"> </w:t>
      </w:r>
      <w:r w:rsidRPr="00001B31">
        <w:rPr>
          <w:rFonts w:ascii="Calibri" w:eastAsia="Calibri" w:hAnsi="Calibri" w:cs="Times New Roman"/>
          <w:lang w:val="en-US"/>
        </w:rPr>
        <w:t>found, then other adult at-risk genetic relatives can be offered predictive genetic testing for this</w:t>
      </w:r>
      <w:r>
        <w:rPr>
          <w:rFonts w:ascii="Calibri" w:eastAsia="Calibri" w:hAnsi="Calibri" w:cs="Times New Roman"/>
          <w:lang w:val="en-US"/>
        </w:rPr>
        <w:t xml:space="preserve"> </w:t>
      </w:r>
      <w:r w:rsidRPr="00001B31">
        <w:rPr>
          <w:rFonts w:ascii="Calibri" w:eastAsia="Calibri" w:hAnsi="Calibri" w:cs="Times New Roman"/>
          <w:lang w:val="en-US"/>
        </w:rPr>
        <w:t>family-specific mutation. Relatives who have inherited</w:t>
      </w:r>
      <w:r>
        <w:rPr>
          <w:rFonts w:ascii="Calibri" w:eastAsia="Calibri" w:hAnsi="Calibri" w:cs="Times New Roman"/>
          <w:lang w:val="en-US"/>
        </w:rPr>
        <w:t xml:space="preserve"> </w:t>
      </w:r>
      <w:r w:rsidRPr="00001B31">
        <w:rPr>
          <w:rFonts w:ascii="Calibri" w:eastAsia="Calibri" w:hAnsi="Calibri" w:cs="Times New Roman"/>
          <w:lang w:val="en-US"/>
        </w:rPr>
        <w:t>the family mutation are confirmed to be at higher risk of</w:t>
      </w:r>
      <w:r w:rsidR="009209E7">
        <w:rPr>
          <w:rFonts w:ascii="Calibri" w:eastAsia="Calibri" w:hAnsi="Calibri" w:cs="Times New Roman"/>
          <w:lang w:val="en-US"/>
        </w:rPr>
        <w:t xml:space="preserve"> </w:t>
      </w:r>
      <w:r w:rsidRPr="00001B31">
        <w:rPr>
          <w:rFonts w:ascii="Calibri" w:eastAsia="Calibri" w:hAnsi="Calibri" w:cs="Times New Roman"/>
          <w:lang w:val="en-US"/>
        </w:rPr>
        <w:t>cancer, whereas relatives who have not will usually</w:t>
      </w:r>
      <w:r>
        <w:rPr>
          <w:rFonts w:ascii="Calibri" w:eastAsia="Calibri" w:hAnsi="Calibri" w:cs="Times New Roman"/>
          <w:lang w:val="en-US"/>
        </w:rPr>
        <w:t xml:space="preserve"> </w:t>
      </w:r>
      <w:r w:rsidRPr="00001B31">
        <w:rPr>
          <w:rFonts w:ascii="Calibri" w:eastAsia="Calibri" w:hAnsi="Calibri" w:cs="Times New Roman"/>
          <w:lang w:val="en-US"/>
        </w:rPr>
        <w:t>remain at the background risk for breast and ovarian</w:t>
      </w:r>
      <w:r w:rsidR="009209E7">
        <w:rPr>
          <w:rFonts w:ascii="Calibri" w:eastAsia="Calibri" w:hAnsi="Calibri" w:cs="Times New Roman"/>
          <w:lang w:val="en-US"/>
        </w:rPr>
        <w:t xml:space="preserve"> </w:t>
      </w:r>
      <w:r w:rsidRPr="00001B31">
        <w:rPr>
          <w:rFonts w:ascii="Calibri" w:eastAsia="Calibri" w:hAnsi="Calibri" w:cs="Times New Roman"/>
          <w:lang w:val="en-US"/>
        </w:rPr>
        <w:t>cancer (depending on the cancer history on the other side</w:t>
      </w:r>
      <w:r>
        <w:rPr>
          <w:rFonts w:ascii="Calibri" w:eastAsia="Calibri" w:hAnsi="Calibri" w:cs="Times New Roman"/>
          <w:lang w:val="en-US"/>
        </w:rPr>
        <w:t xml:space="preserve"> </w:t>
      </w:r>
      <w:r w:rsidRPr="00001B31">
        <w:rPr>
          <w:rFonts w:ascii="Calibri" w:eastAsia="Calibri" w:hAnsi="Calibri" w:cs="Times New Roman"/>
          <w:lang w:val="en-US"/>
        </w:rPr>
        <w:t>of the family).</w:t>
      </w:r>
      <w:r w:rsidRPr="00001B31">
        <w:rPr>
          <w:rFonts w:ascii="Calibri" w:eastAsia="Calibri" w:hAnsi="Calibri" w:cs="Times New Roman"/>
          <w:vertAlign w:val="superscript"/>
          <w:lang w:val="en-US"/>
        </w:rPr>
        <w:t>14</w:t>
      </w:r>
    </w:p>
    <w:p w:rsidR="00001B31" w:rsidRDefault="00001B31" w:rsidP="00BF6FFE">
      <w:pPr>
        <w:shd w:val="clear" w:color="auto" w:fill="FFFFFF"/>
        <w:spacing w:before="0" w:after="0"/>
        <w:ind w:left="360"/>
        <w:jc w:val="both"/>
        <w:rPr>
          <w:rFonts w:ascii="Calibri" w:eastAsia="Calibri" w:hAnsi="Calibri" w:cs="Times New Roman"/>
        </w:rPr>
      </w:pPr>
    </w:p>
    <w:p w:rsidR="001B7881" w:rsidRDefault="001B7881" w:rsidP="00BF6FFE">
      <w:pPr>
        <w:shd w:val="clear" w:color="auto" w:fill="FFFFFF"/>
        <w:spacing w:before="0" w:after="0"/>
        <w:ind w:left="360"/>
        <w:jc w:val="both"/>
        <w:rPr>
          <w:rFonts w:ascii="Calibri" w:eastAsia="Calibri" w:hAnsi="Calibri" w:cs="Times New Roman"/>
        </w:rPr>
      </w:pPr>
      <w:r w:rsidRPr="001B7881">
        <w:rPr>
          <w:rFonts w:ascii="Calibri" w:eastAsia="Calibri" w:hAnsi="Calibri" w:cs="Times New Roman"/>
        </w:rPr>
        <w:t xml:space="preserve">Testing is usually performed on a routine blood sample (EDTA) and involves screening the full sequence of the genes </w:t>
      </w:r>
      <w:r w:rsidRPr="001B7881">
        <w:rPr>
          <w:rFonts w:ascii="Calibri" w:eastAsia="Calibri" w:hAnsi="Calibri" w:cs="Times New Roman"/>
          <w:i/>
        </w:rPr>
        <w:t>BRCA1</w:t>
      </w:r>
      <w:r w:rsidRPr="001B7881">
        <w:rPr>
          <w:rFonts w:ascii="Calibri" w:eastAsia="Calibri" w:hAnsi="Calibri" w:cs="Times New Roman"/>
        </w:rPr>
        <w:t xml:space="preserve"> and </w:t>
      </w:r>
      <w:r w:rsidRPr="001B7881">
        <w:rPr>
          <w:rFonts w:ascii="Calibri" w:eastAsia="Calibri" w:hAnsi="Calibri" w:cs="Times New Roman"/>
          <w:i/>
        </w:rPr>
        <w:t>BRCA2</w:t>
      </w:r>
      <w:r w:rsidRPr="001B7881">
        <w:rPr>
          <w:rFonts w:ascii="Calibri" w:eastAsia="Calibri" w:hAnsi="Calibri" w:cs="Times New Roman"/>
        </w:rPr>
        <w:t xml:space="preserve"> along with an additional test for copy number variations</w:t>
      </w:r>
    </w:p>
    <w:p w:rsidR="001B7881" w:rsidRDefault="001B7881" w:rsidP="00BF6FFE">
      <w:pPr>
        <w:shd w:val="clear" w:color="auto" w:fill="FFFFFF"/>
        <w:spacing w:before="0" w:after="0"/>
        <w:ind w:left="360"/>
        <w:jc w:val="both"/>
        <w:rPr>
          <w:rFonts w:ascii="Calibri" w:eastAsia="Calibri" w:hAnsi="Calibri" w:cs="Times New Roman"/>
        </w:rPr>
      </w:pPr>
    </w:p>
    <w:p w:rsidR="001B7881" w:rsidRPr="001B7881" w:rsidRDefault="009209E7" w:rsidP="001B7881">
      <w:pPr>
        <w:shd w:val="clear" w:color="auto" w:fill="FFFFFF"/>
        <w:spacing w:before="0" w:after="0"/>
        <w:ind w:left="360"/>
        <w:jc w:val="both"/>
        <w:rPr>
          <w:rFonts w:ascii="Calibri" w:eastAsia="Calibri" w:hAnsi="Calibri" w:cs="Times New Roman"/>
        </w:rPr>
      </w:pPr>
      <w:r>
        <w:rPr>
          <w:rFonts w:ascii="Calibri" w:eastAsia="Calibri" w:hAnsi="Calibri" w:cs="Times New Roman"/>
          <w:lang w:val="en-US"/>
        </w:rPr>
        <w:t xml:space="preserve">Any </w:t>
      </w:r>
      <w:r w:rsidR="00BF6FFE" w:rsidRPr="00BF6FFE">
        <w:rPr>
          <w:rFonts w:ascii="Calibri" w:eastAsia="Calibri" w:hAnsi="Calibri" w:cs="Times New Roman"/>
          <w:lang w:val="en-US"/>
        </w:rPr>
        <w:t>specialist or consultant</w:t>
      </w:r>
      <w:r w:rsidR="00BF6FFE">
        <w:rPr>
          <w:rFonts w:ascii="Calibri" w:eastAsia="Calibri" w:hAnsi="Calibri" w:cs="Times New Roman"/>
          <w:lang w:val="en-US"/>
        </w:rPr>
        <w:t xml:space="preserve"> </w:t>
      </w:r>
      <w:r w:rsidR="00BF6FFE" w:rsidRPr="00BF6FFE">
        <w:rPr>
          <w:rFonts w:ascii="Calibri" w:eastAsia="Calibri" w:hAnsi="Calibri" w:cs="Times New Roman"/>
          <w:lang w:val="en-US"/>
        </w:rPr>
        <w:t>physician (in public or private practice) can order genetic</w:t>
      </w:r>
      <w:r w:rsidR="00BF6FFE">
        <w:rPr>
          <w:rFonts w:ascii="Calibri" w:eastAsia="Calibri" w:hAnsi="Calibri" w:cs="Times New Roman"/>
          <w:lang w:val="en-US"/>
        </w:rPr>
        <w:t xml:space="preserve"> </w:t>
      </w:r>
      <w:r w:rsidR="00BF6FFE" w:rsidRPr="00BF6FFE">
        <w:rPr>
          <w:rFonts w:ascii="Calibri" w:eastAsia="Calibri" w:hAnsi="Calibri" w:cs="Times New Roman"/>
          <w:lang w:val="en-US"/>
        </w:rPr>
        <w:t xml:space="preserve">testing for breast cancer </w:t>
      </w:r>
      <w:r w:rsidR="00BF6FFE">
        <w:rPr>
          <w:rFonts w:ascii="Calibri" w:eastAsia="Calibri" w:hAnsi="Calibri" w:cs="Times New Roman"/>
          <w:lang w:val="en-US"/>
        </w:rPr>
        <w:t xml:space="preserve">for “high risk” patients </w:t>
      </w:r>
      <w:r w:rsidR="00BF6FFE" w:rsidRPr="00BF6FFE">
        <w:rPr>
          <w:rFonts w:ascii="Calibri" w:eastAsia="Calibri" w:hAnsi="Calibri" w:cs="Times New Roman"/>
          <w:lang w:val="en-US"/>
        </w:rPr>
        <w:t>under certain</w:t>
      </w:r>
      <w:r w:rsidR="00BF6FFE">
        <w:rPr>
          <w:rFonts w:ascii="Calibri" w:eastAsia="Calibri" w:hAnsi="Calibri" w:cs="Times New Roman"/>
          <w:lang w:val="en-US"/>
        </w:rPr>
        <w:t xml:space="preserve"> </w:t>
      </w:r>
      <w:r w:rsidR="00BF6FFE" w:rsidRPr="00BF6FFE">
        <w:rPr>
          <w:rFonts w:ascii="Calibri" w:eastAsia="Calibri" w:hAnsi="Calibri" w:cs="Times New Roman"/>
          <w:lang w:val="en-US"/>
        </w:rPr>
        <w:t>criteria</w:t>
      </w:r>
      <w:r w:rsidR="00BF6FFE">
        <w:rPr>
          <w:rFonts w:ascii="Calibri" w:eastAsia="Calibri" w:hAnsi="Calibri" w:cs="Times New Roman"/>
          <w:lang w:val="en-US"/>
        </w:rPr>
        <w:t xml:space="preserve">, </w:t>
      </w:r>
      <w:r w:rsidR="00BF6FFE" w:rsidRPr="00BF6FFE">
        <w:rPr>
          <w:rFonts w:ascii="Calibri" w:eastAsia="Calibri" w:hAnsi="Calibri" w:cs="Times New Roman"/>
          <w:lang w:val="en-US"/>
        </w:rPr>
        <w:t>covered by the Medicare Benefits Schedule (MBS)</w:t>
      </w:r>
      <w:r w:rsidR="00BF6FFE">
        <w:rPr>
          <w:rFonts w:ascii="Calibri" w:eastAsia="Calibri" w:hAnsi="Calibri" w:cs="Times New Roman"/>
          <w:lang w:val="en-US"/>
        </w:rPr>
        <w:t xml:space="preserve"> </w:t>
      </w:r>
      <w:r w:rsidR="00677925" w:rsidRPr="00677925">
        <w:rPr>
          <w:rFonts w:ascii="Calibri" w:eastAsia="Calibri" w:hAnsi="Calibri" w:cs="Times New Roman"/>
          <w:lang w:val="en-US"/>
        </w:rPr>
        <w:t xml:space="preserve">item numbers </w:t>
      </w:r>
      <w:r w:rsidR="003640F8">
        <w:rPr>
          <w:rFonts w:ascii="Calibri" w:eastAsia="Calibri" w:hAnsi="Calibri" w:cs="Times New Roman"/>
          <w:lang w:val="en-US"/>
        </w:rPr>
        <w:t>73296 and 73297</w:t>
      </w:r>
      <w:r w:rsidR="00BF6FFE">
        <w:rPr>
          <w:rFonts w:ascii="Calibri" w:eastAsia="Calibri" w:hAnsi="Calibri" w:cs="Times New Roman"/>
          <w:lang w:val="en-US"/>
        </w:rPr>
        <w:t xml:space="preserve">. </w:t>
      </w:r>
      <w:r w:rsidR="001B7881" w:rsidRPr="001B7881">
        <w:rPr>
          <w:rFonts w:ascii="Calibri" w:eastAsia="Calibri" w:hAnsi="Calibri" w:cs="Times New Roman"/>
        </w:rPr>
        <w:t xml:space="preserve">Testing is usually performed on a routine blood sample (EDTA) and involves screening the full sequence of the genes </w:t>
      </w:r>
      <w:r w:rsidR="001B7881" w:rsidRPr="001B7881">
        <w:rPr>
          <w:rFonts w:ascii="Calibri" w:eastAsia="Calibri" w:hAnsi="Calibri" w:cs="Times New Roman"/>
          <w:i/>
        </w:rPr>
        <w:t>BRCA1</w:t>
      </w:r>
      <w:r w:rsidR="001B7881" w:rsidRPr="001B7881">
        <w:rPr>
          <w:rFonts w:ascii="Calibri" w:eastAsia="Calibri" w:hAnsi="Calibri" w:cs="Times New Roman"/>
        </w:rPr>
        <w:t xml:space="preserve"> and </w:t>
      </w:r>
      <w:r w:rsidR="001B7881" w:rsidRPr="001B7881">
        <w:rPr>
          <w:rFonts w:ascii="Calibri" w:eastAsia="Calibri" w:hAnsi="Calibri" w:cs="Times New Roman"/>
          <w:i/>
        </w:rPr>
        <w:t>BRCA2</w:t>
      </w:r>
      <w:r w:rsidR="001B7881" w:rsidRPr="001B7881">
        <w:rPr>
          <w:rFonts w:ascii="Calibri" w:eastAsia="Calibri" w:hAnsi="Calibri" w:cs="Times New Roman"/>
        </w:rPr>
        <w:t xml:space="preserve"> along with an additional test for copy number variations</w:t>
      </w:r>
    </w:p>
    <w:p w:rsidR="001B7881" w:rsidRPr="001B7881" w:rsidRDefault="001B7881" w:rsidP="001B7881">
      <w:pPr>
        <w:shd w:val="clear" w:color="auto" w:fill="FFFFFF"/>
        <w:spacing w:before="0" w:after="0"/>
        <w:ind w:left="360"/>
        <w:jc w:val="both"/>
        <w:rPr>
          <w:rFonts w:ascii="Calibri" w:eastAsia="Calibri" w:hAnsi="Calibri" w:cs="Times New Roman"/>
        </w:rPr>
      </w:pPr>
    </w:p>
    <w:p w:rsidR="00C004CA" w:rsidRPr="00C004CA" w:rsidRDefault="00C004CA" w:rsidP="00001B31">
      <w:pPr>
        <w:shd w:val="clear" w:color="auto" w:fill="FFFFFF"/>
        <w:spacing w:before="0" w:after="0"/>
        <w:ind w:left="360"/>
        <w:jc w:val="both"/>
        <w:rPr>
          <w:rFonts w:ascii="Calibri" w:eastAsia="Calibri" w:hAnsi="Calibri" w:cs="Times New Roman"/>
          <w:lang w:val="en-US"/>
        </w:rPr>
      </w:pPr>
      <w:r w:rsidRPr="00C004CA">
        <w:rPr>
          <w:rFonts w:ascii="Calibri" w:eastAsia="Calibri" w:hAnsi="Calibri" w:cs="Times New Roman"/>
          <w:lang w:val="en-US"/>
        </w:rPr>
        <w:t>The clinician who orders the test must be able to interpret the results and communicate the implications of the results, to the patient and their genetic relatives</w:t>
      </w:r>
      <w:r w:rsidR="00001B31">
        <w:rPr>
          <w:rFonts w:ascii="Calibri" w:eastAsia="Calibri" w:hAnsi="Calibri" w:cs="Times New Roman"/>
          <w:lang w:val="en-US"/>
        </w:rPr>
        <w:t xml:space="preserve">. </w:t>
      </w:r>
      <w:r w:rsidR="000D0452">
        <w:rPr>
          <w:rFonts w:ascii="Calibri" w:eastAsia="Calibri" w:hAnsi="Calibri" w:cs="Times New Roman"/>
          <w:lang w:val="en-US"/>
        </w:rPr>
        <w:t>In addition,</w:t>
      </w:r>
      <w:r w:rsidR="001B7881">
        <w:rPr>
          <w:rFonts w:ascii="Calibri" w:eastAsia="Calibri" w:hAnsi="Calibri" w:cs="Times New Roman"/>
          <w:lang w:val="en-US"/>
        </w:rPr>
        <w:t xml:space="preserve"> </w:t>
      </w:r>
      <w:r w:rsidR="000D0452">
        <w:rPr>
          <w:rFonts w:ascii="Calibri" w:eastAsia="Calibri" w:hAnsi="Calibri" w:cs="Times New Roman"/>
          <w:lang w:val="en-US"/>
        </w:rPr>
        <w:t>p</w:t>
      </w:r>
      <w:r w:rsidR="00001B31" w:rsidRPr="00001B31">
        <w:rPr>
          <w:rFonts w:ascii="Calibri" w:eastAsia="Calibri" w:hAnsi="Calibri" w:cs="Times New Roman"/>
          <w:lang w:val="en-US"/>
        </w:rPr>
        <w:t>rofessional genetic</w:t>
      </w:r>
      <w:r w:rsidR="00001B31">
        <w:rPr>
          <w:rFonts w:ascii="Calibri" w:eastAsia="Calibri" w:hAnsi="Calibri" w:cs="Times New Roman"/>
          <w:lang w:val="en-US"/>
        </w:rPr>
        <w:t xml:space="preserve"> </w:t>
      </w:r>
      <w:r w:rsidR="00001B31" w:rsidRPr="00001B31">
        <w:rPr>
          <w:rFonts w:ascii="Calibri" w:eastAsia="Calibri" w:hAnsi="Calibri" w:cs="Times New Roman"/>
          <w:lang w:val="en-US"/>
        </w:rPr>
        <w:t xml:space="preserve">counselling </w:t>
      </w:r>
      <w:r w:rsidR="00001B31">
        <w:rPr>
          <w:rFonts w:ascii="Calibri" w:eastAsia="Calibri" w:hAnsi="Calibri" w:cs="Times New Roman"/>
          <w:lang w:val="en-US"/>
        </w:rPr>
        <w:t xml:space="preserve">usually </w:t>
      </w:r>
      <w:r w:rsidR="00001B31" w:rsidRPr="00001B31">
        <w:rPr>
          <w:rFonts w:ascii="Calibri" w:eastAsia="Calibri" w:hAnsi="Calibri" w:cs="Times New Roman"/>
          <w:lang w:val="en-US"/>
        </w:rPr>
        <w:t>precede</w:t>
      </w:r>
      <w:r w:rsidR="00001B31">
        <w:rPr>
          <w:rFonts w:ascii="Calibri" w:eastAsia="Calibri" w:hAnsi="Calibri" w:cs="Times New Roman"/>
          <w:lang w:val="en-US"/>
        </w:rPr>
        <w:t>s</w:t>
      </w:r>
      <w:r w:rsidR="00001B31" w:rsidRPr="00001B31">
        <w:rPr>
          <w:rFonts w:ascii="Calibri" w:eastAsia="Calibri" w:hAnsi="Calibri" w:cs="Times New Roman"/>
          <w:lang w:val="en-US"/>
        </w:rPr>
        <w:t xml:space="preserve"> and accompan</w:t>
      </w:r>
      <w:r w:rsidR="00001B31">
        <w:rPr>
          <w:rFonts w:ascii="Calibri" w:eastAsia="Calibri" w:hAnsi="Calibri" w:cs="Times New Roman"/>
          <w:lang w:val="en-US"/>
        </w:rPr>
        <w:t>ies</w:t>
      </w:r>
      <w:r w:rsidR="00001B31" w:rsidRPr="00001B31">
        <w:rPr>
          <w:rFonts w:ascii="Calibri" w:eastAsia="Calibri" w:hAnsi="Calibri" w:cs="Times New Roman"/>
          <w:lang w:val="en-US"/>
        </w:rPr>
        <w:t xml:space="preserve"> the test</w:t>
      </w:r>
      <w:r w:rsidR="00001B31">
        <w:rPr>
          <w:rFonts w:ascii="Calibri" w:eastAsia="Calibri" w:hAnsi="Calibri" w:cs="Times New Roman"/>
          <w:lang w:val="en-US"/>
        </w:rPr>
        <w:t>.</w:t>
      </w:r>
      <w:r w:rsidR="00001B31" w:rsidRPr="00001B31">
        <w:rPr>
          <w:rFonts w:ascii="Calibri" w:eastAsia="Calibri" w:hAnsi="Calibri" w:cs="Times New Roman"/>
          <w:vertAlign w:val="superscript"/>
          <w:lang w:val="en-US"/>
        </w:rPr>
        <w:t xml:space="preserve"> 14</w:t>
      </w:r>
    </w:p>
    <w:p w:rsidR="00C004CA" w:rsidRDefault="00C004CA" w:rsidP="003640F8">
      <w:pPr>
        <w:shd w:val="clear" w:color="auto" w:fill="FFFFFF"/>
        <w:spacing w:before="0" w:after="0"/>
        <w:ind w:left="360"/>
        <w:jc w:val="both"/>
        <w:rPr>
          <w:rFonts w:ascii="Calibri" w:eastAsia="Calibri" w:hAnsi="Calibri" w:cs="Times New Roman"/>
          <w:lang w:val="en-US"/>
        </w:rPr>
      </w:pPr>
    </w:p>
    <w:p w:rsidR="00677925" w:rsidRDefault="003640F8" w:rsidP="003640F8">
      <w:pPr>
        <w:shd w:val="clear" w:color="auto" w:fill="FFFFFF"/>
        <w:spacing w:before="0" w:after="0"/>
        <w:ind w:left="360"/>
        <w:jc w:val="both"/>
        <w:rPr>
          <w:rFonts w:ascii="Calibri" w:eastAsia="Calibri" w:hAnsi="Calibri" w:cs="Times New Roman"/>
        </w:rPr>
      </w:pPr>
      <w:r w:rsidRPr="003640F8">
        <w:rPr>
          <w:rFonts w:ascii="Calibri" w:eastAsia="Calibri" w:hAnsi="Calibri" w:cs="Times New Roman"/>
          <w:lang w:val="en-US"/>
        </w:rPr>
        <w:t>When the chance of</w:t>
      </w:r>
      <w:r>
        <w:rPr>
          <w:rFonts w:ascii="Calibri" w:eastAsia="Calibri" w:hAnsi="Calibri" w:cs="Times New Roman"/>
          <w:lang w:val="en-US"/>
        </w:rPr>
        <w:t xml:space="preserve"> </w:t>
      </w:r>
      <w:r w:rsidRPr="003640F8">
        <w:rPr>
          <w:rFonts w:ascii="Calibri" w:eastAsia="Calibri" w:hAnsi="Calibri" w:cs="Times New Roman"/>
          <w:lang w:val="en-US"/>
        </w:rPr>
        <w:t>detecting a mutation is less than 10%, self-funded BRCA1</w:t>
      </w:r>
      <w:r>
        <w:rPr>
          <w:rFonts w:ascii="Calibri" w:eastAsia="Calibri" w:hAnsi="Calibri" w:cs="Times New Roman"/>
          <w:lang w:val="en-US"/>
        </w:rPr>
        <w:t xml:space="preserve"> </w:t>
      </w:r>
      <w:r w:rsidRPr="003640F8">
        <w:rPr>
          <w:rFonts w:ascii="Calibri" w:eastAsia="Calibri" w:hAnsi="Calibri" w:cs="Times New Roman"/>
          <w:lang w:val="en-US"/>
        </w:rPr>
        <w:t xml:space="preserve">and BRCA2 testing </w:t>
      </w:r>
      <w:r w:rsidR="009209E7">
        <w:rPr>
          <w:rFonts w:ascii="Calibri" w:eastAsia="Calibri" w:hAnsi="Calibri" w:cs="Times New Roman"/>
          <w:lang w:val="en-US"/>
        </w:rPr>
        <w:t>is</w:t>
      </w:r>
      <w:r w:rsidR="001F433D">
        <w:rPr>
          <w:rFonts w:ascii="Calibri" w:eastAsia="Calibri" w:hAnsi="Calibri" w:cs="Times New Roman"/>
          <w:lang w:val="en-US"/>
        </w:rPr>
        <w:t xml:space="preserve"> </w:t>
      </w:r>
      <w:r w:rsidRPr="003640F8">
        <w:rPr>
          <w:rFonts w:ascii="Calibri" w:eastAsia="Calibri" w:hAnsi="Calibri" w:cs="Times New Roman"/>
          <w:lang w:val="en-US"/>
        </w:rPr>
        <w:t xml:space="preserve"> available in public or private</w:t>
      </w:r>
      <w:r>
        <w:rPr>
          <w:rFonts w:ascii="Calibri" w:eastAsia="Calibri" w:hAnsi="Calibri" w:cs="Times New Roman"/>
          <w:lang w:val="en-US"/>
        </w:rPr>
        <w:t xml:space="preserve"> </w:t>
      </w:r>
      <w:r w:rsidRPr="003640F8">
        <w:rPr>
          <w:rFonts w:ascii="Calibri" w:eastAsia="Calibri" w:hAnsi="Calibri" w:cs="Times New Roman"/>
          <w:lang w:val="en-US"/>
        </w:rPr>
        <w:t>genetic services.</w:t>
      </w:r>
      <w:r w:rsidR="00B86752" w:rsidRPr="00B86752">
        <w:rPr>
          <w:rFonts w:ascii="Calibri" w:eastAsia="Calibri" w:hAnsi="Calibri" w:cs="Times New Roman"/>
          <w:vertAlign w:val="superscript"/>
          <w:lang w:val="en-US"/>
        </w:rPr>
        <w:t>14</w:t>
      </w:r>
    </w:p>
    <w:p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rsidR="00C553BD" w:rsidRDefault="00C553BD" w:rsidP="00C553BD">
      <w:pPr>
        <w:pStyle w:val="Heading2"/>
        <w:numPr>
          <w:ilvl w:val="0"/>
          <w:numId w:val="0"/>
        </w:numPr>
        <w:ind w:left="360"/>
        <w:rPr>
          <w:b w:val="0"/>
          <w:szCs w:val="22"/>
        </w:rPr>
      </w:pPr>
    </w:p>
    <w:p w:rsidR="00C553BD" w:rsidRDefault="00C553BD" w:rsidP="00C553BD">
      <w:pPr>
        <w:pStyle w:val="Heading2"/>
        <w:numPr>
          <w:ilvl w:val="0"/>
          <w:numId w:val="0"/>
        </w:numPr>
        <w:ind w:left="360"/>
        <w:rPr>
          <w:b w:val="0"/>
          <w:szCs w:val="22"/>
        </w:rPr>
      </w:pPr>
      <w:r>
        <w:rPr>
          <w:b w:val="0"/>
          <w:szCs w:val="22"/>
        </w:rPr>
        <w:t>The test does not have a registered trademark.</w:t>
      </w:r>
    </w:p>
    <w:p w:rsidR="002A6753" w:rsidRPr="00C553BD" w:rsidRDefault="00C553BD" w:rsidP="00C553BD">
      <w:pPr>
        <w:pStyle w:val="Heading2"/>
        <w:numPr>
          <w:ilvl w:val="0"/>
          <w:numId w:val="0"/>
        </w:numPr>
        <w:ind w:left="360"/>
        <w:rPr>
          <w:b w:val="0"/>
          <w:szCs w:val="22"/>
        </w:rPr>
      </w:pPr>
      <w:r w:rsidRPr="00C553BD">
        <w:rPr>
          <w:b w:val="0"/>
          <w:szCs w:val="22"/>
        </w:rPr>
        <w:t>Talazoparib (TALZENNA®) is a registered trademark.</w:t>
      </w:r>
    </w:p>
    <w:p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rsidR="00C553BD" w:rsidRDefault="00C553BD" w:rsidP="00C553BD">
      <w:pPr>
        <w:ind w:left="360"/>
        <w:jc w:val="both"/>
      </w:pPr>
      <w:r>
        <w:t>Yes,</w:t>
      </w:r>
      <w:r w:rsidR="000B11DF">
        <w:t xml:space="preserve"> </w:t>
      </w:r>
      <w:r>
        <w:t xml:space="preserve">inclusion of germline </w:t>
      </w:r>
      <w:r w:rsidRPr="006E484F">
        <w:t xml:space="preserve">BRCA </w:t>
      </w:r>
      <w:r>
        <w:t>mutation testing on the MBS to determine eligibility for access to talazoparib treatment on the Pharmaceutical Benefits Scheme</w:t>
      </w:r>
      <w:r w:rsidR="000B11DF">
        <w:t xml:space="preserve"> </w:t>
      </w:r>
      <w:r>
        <w:t>(PBS) would present a new approach towards the management of locally advanced or metastatic HER2-negative breast cancer patients (</w:t>
      </w:r>
      <w:r w:rsidR="000B11DF" w:rsidRPr="000B11DF">
        <w:t>hormone receptor positive or triple negative</w:t>
      </w:r>
      <w:r w:rsidR="000B11DF">
        <w:t xml:space="preserve">). </w:t>
      </w:r>
    </w:p>
    <w:p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rsidR="00AB4B35" w:rsidRPr="00352F1A" w:rsidRDefault="00AB4B35" w:rsidP="00254BB9">
      <w:pPr>
        <w:ind w:left="426"/>
      </w:pPr>
      <w:r w:rsidRPr="00352F1A">
        <w:t>The BRCA test can be requested by specialists</w:t>
      </w:r>
      <w:r w:rsidR="00293B2B">
        <w:t xml:space="preserve"> or consultant physicians (</w:t>
      </w:r>
      <w:r w:rsidRPr="00352F1A">
        <w:t>familial cancer clinics</w:t>
      </w:r>
      <w:r w:rsidR="00293B2B">
        <w:t xml:space="preserve">, public or private practice) or </w:t>
      </w:r>
      <w:r w:rsidRPr="00352F1A">
        <w:t>clinical geneticists</w:t>
      </w:r>
      <w:r w:rsidR="00293B2B">
        <w:t xml:space="preserve"> </w:t>
      </w:r>
      <w:r w:rsidRPr="00352F1A">
        <w:t xml:space="preserve">if it is considered appropriate and should be accompanied by pre- and post-test genetic counselling. These services are available across Australia, and can be accessed by referral from </w:t>
      </w:r>
      <w:r w:rsidR="00293B2B">
        <w:t xml:space="preserve">a </w:t>
      </w:r>
      <w:r w:rsidRPr="00352F1A">
        <w:t>general practitioner. The blood sample will be sent to a</w:t>
      </w:r>
      <w:r w:rsidR="00775E30">
        <w:t xml:space="preserve">n accredited </w:t>
      </w:r>
      <w:r w:rsidRPr="00352F1A">
        <w:t>laboratory that specialises in genetic testing</w:t>
      </w:r>
      <w:r w:rsidR="00775E30">
        <w:t xml:space="preserve">. </w:t>
      </w:r>
    </w:p>
    <w:p w:rsidR="006C20BA" w:rsidRDefault="00254BB9" w:rsidP="00254BB9">
      <w:pPr>
        <w:ind w:left="426"/>
      </w:pPr>
      <w:r w:rsidRPr="00254BB9">
        <w:rPr>
          <w:i/>
        </w:rPr>
        <w:t>BRCA</w:t>
      </w:r>
      <w:r w:rsidRPr="00254BB9">
        <w:t xml:space="preserve"> testing is well established in Australia</w:t>
      </w:r>
      <w:r>
        <w:t xml:space="preserve">. </w:t>
      </w:r>
      <w:r w:rsidR="006C20BA" w:rsidRPr="006C20BA">
        <w:t xml:space="preserve">It is performed by </w:t>
      </w:r>
      <w:r w:rsidR="003F71E6">
        <w:t xml:space="preserve">many </w:t>
      </w:r>
      <w:r w:rsidR="006C20BA" w:rsidRPr="006C20BA">
        <w:t>public and private pathology laboratories in Australia.</w:t>
      </w:r>
      <w:r w:rsidR="006C20BA">
        <w:t xml:space="preserve"> </w:t>
      </w:r>
    </w:p>
    <w:p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rsidR="00791C8D" w:rsidRPr="00154B00" w:rsidRDefault="003040B1" w:rsidP="00884E69">
      <w:pPr>
        <w:ind w:left="426"/>
        <w:rPr>
          <w:szCs w:val="20"/>
        </w:rPr>
      </w:pPr>
      <w:r w:rsidRPr="003040B1">
        <w:rPr>
          <w:szCs w:val="20"/>
        </w:rPr>
        <w:t xml:space="preserve">No </w:t>
      </w:r>
      <w:r>
        <w:rPr>
          <w:szCs w:val="20"/>
        </w:rPr>
        <w:t xml:space="preserve">additional </w:t>
      </w:r>
      <w:r w:rsidRPr="003040B1">
        <w:rPr>
          <w:szCs w:val="20"/>
        </w:rPr>
        <w:t>healthcare resources</w:t>
      </w:r>
      <w:r>
        <w:rPr>
          <w:szCs w:val="20"/>
        </w:rPr>
        <w:t xml:space="preserve"> or other medical services </w:t>
      </w:r>
      <w:r w:rsidRPr="003040B1">
        <w:rPr>
          <w:szCs w:val="20"/>
        </w:rPr>
        <w:t>need to be delivered at the same time as germline BRCA mutation testing.</w:t>
      </w:r>
    </w:p>
    <w:p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rsidR="00AB4B35" w:rsidRPr="00AB4B35" w:rsidRDefault="00643E68" w:rsidP="00AB4B35">
      <w:pPr>
        <w:ind w:left="426"/>
        <w:rPr>
          <w:szCs w:val="20"/>
          <w:lang w:val="en-US"/>
        </w:rPr>
      </w:pPr>
      <w:r w:rsidRPr="00AB4B35">
        <w:rPr>
          <w:szCs w:val="20"/>
          <w:lang w:val="en-US"/>
        </w:rPr>
        <w:t xml:space="preserve">Any specialist or consultant physician (in public or private practice) can </w:t>
      </w:r>
      <w:r w:rsidR="00AB4B35" w:rsidRPr="00AB4B35">
        <w:rPr>
          <w:szCs w:val="20"/>
          <w:lang w:val="en-US"/>
        </w:rPr>
        <w:t>request the B</w:t>
      </w:r>
      <w:r w:rsidR="00A30628" w:rsidRPr="00AB4B35">
        <w:rPr>
          <w:szCs w:val="20"/>
          <w:lang w:val="en-US"/>
        </w:rPr>
        <w:t xml:space="preserve">RCA </w:t>
      </w:r>
      <w:r w:rsidRPr="00AB4B35">
        <w:rPr>
          <w:szCs w:val="20"/>
          <w:lang w:val="en-US"/>
        </w:rPr>
        <w:t xml:space="preserve">test for </w:t>
      </w:r>
      <w:r w:rsidR="00A30628" w:rsidRPr="00AB4B35">
        <w:rPr>
          <w:szCs w:val="20"/>
          <w:lang w:val="en-US"/>
        </w:rPr>
        <w:t>a patient</w:t>
      </w:r>
      <w:r w:rsidR="00AB4B35" w:rsidRPr="00AB4B35">
        <w:rPr>
          <w:szCs w:val="20"/>
          <w:lang w:val="en-US"/>
        </w:rPr>
        <w:t xml:space="preserve"> if it is considered appropriate and should be accompanied by pre- and post-test genetic counselling</w:t>
      </w:r>
      <w:r w:rsidR="00A30628" w:rsidRPr="00AB4B35">
        <w:rPr>
          <w:szCs w:val="20"/>
          <w:lang w:val="en-US"/>
        </w:rPr>
        <w:t xml:space="preserve">. </w:t>
      </w:r>
      <w:r w:rsidR="00AB4B35" w:rsidRPr="00AB4B35">
        <w:rPr>
          <w:szCs w:val="20"/>
          <w:lang w:val="en-US"/>
        </w:rPr>
        <w:t>The blood sample will be sent to a laboratory that specialises in genetic testing.</w:t>
      </w:r>
    </w:p>
    <w:p w:rsidR="00AB4B35" w:rsidRDefault="00AB4B35" w:rsidP="00AB4B35">
      <w:pPr>
        <w:ind w:left="426"/>
        <w:rPr>
          <w:szCs w:val="20"/>
        </w:rPr>
      </w:pPr>
      <w:r>
        <w:rPr>
          <w:szCs w:val="20"/>
        </w:rPr>
        <w:t>T</w:t>
      </w:r>
      <w:r w:rsidR="00A30628">
        <w:rPr>
          <w:szCs w:val="20"/>
        </w:rPr>
        <w:t xml:space="preserve">he clinician </w:t>
      </w:r>
      <w:r w:rsidR="00A30628" w:rsidRPr="00A30628">
        <w:rPr>
          <w:szCs w:val="20"/>
          <w:lang w:val="en-US"/>
        </w:rPr>
        <w:t xml:space="preserve">who orders </w:t>
      </w:r>
      <w:r w:rsidR="00A30628">
        <w:rPr>
          <w:szCs w:val="20"/>
          <w:lang w:val="en-US"/>
        </w:rPr>
        <w:t xml:space="preserve">the test </w:t>
      </w:r>
      <w:r w:rsidR="00A30628" w:rsidRPr="00A30628">
        <w:rPr>
          <w:szCs w:val="20"/>
          <w:lang w:val="en-US"/>
        </w:rPr>
        <w:t>interpret</w:t>
      </w:r>
      <w:r w:rsidR="00A30628">
        <w:rPr>
          <w:szCs w:val="20"/>
          <w:lang w:val="en-US"/>
        </w:rPr>
        <w:t>s</w:t>
      </w:r>
      <w:r w:rsidR="00A30628" w:rsidRPr="00A30628">
        <w:rPr>
          <w:szCs w:val="20"/>
          <w:lang w:val="en-US"/>
        </w:rPr>
        <w:t xml:space="preserve"> the results and communicate</w:t>
      </w:r>
      <w:r w:rsidR="00A30628">
        <w:rPr>
          <w:szCs w:val="20"/>
          <w:lang w:val="en-US"/>
        </w:rPr>
        <w:t>s</w:t>
      </w:r>
      <w:r w:rsidR="00A30628" w:rsidRPr="00A30628">
        <w:rPr>
          <w:szCs w:val="20"/>
          <w:lang w:val="en-US"/>
        </w:rPr>
        <w:t xml:space="preserve"> the implications of the results</w:t>
      </w:r>
      <w:r w:rsidR="00A30628">
        <w:rPr>
          <w:szCs w:val="20"/>
          <w:lang w:val="en-US"/>
        </w:rPr>
        <w:t xml:space="preserve"> </w:t>
      </w:r>
      <w:r w:rsidR="00A30628" w:rsidRPr="00A30628">
        <w:rPr>
          <w:szCs w:val="20"/>
          <w:lang w:val="en-US"/>
        </w:rPr>
        <w:t>to the patient and their genetic relatives</w:t>
      </w:r>
      <w:r w:rsidR="00A30628">
        <w:rPr>
          <w:szCs w:val="20"/>
        </w:rPr>
        <w:t>.</w:t>
      </w:r>
      <w:r w:rsidR="00925378">
        <w:rPr>
          <w:szCs w:val="20"/>
        </w:rPr>
        <w:t xml:space="preserve"> </w:t>
      </w:r>
    </w:p>
    <w:p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rsidR="00B17E26" w:rsidRPr="00154B00" w:rsidRDefault="00264257" w:rsidP="00884E69">
      <w:pPr>
        <w:ind w:left="426"/>
        <w:rPr>
          <w:szCs w:val="20"/>
        </w:rPr>
      </w:pPr>
      <w:r>
        <w:rPr>
          <w:szCs w:val="20"/>
        </w:rPr>
        <w:t>Not applicable</w:t>
      </w:r>
    </w:p>
    <w:p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rsidR="00EA0E25" w:rsidRPr="00154B00" w:rsidRDefault="00264257" w:rsidP="00BC424B">
      <w:pPr>
        <w:ind w:left="426"/>
        <w:rPr>
          <w:szCs w:val="20"/>
        </w:rPr>
      </w:pPr>
      <w:r>
        <w:rPr>
          <w:szCs w:val="20"/>
        </w:rPr>
        <w:t>Refer to Question 3</w:t>
      </w:r>
      <w:r w:rsidR="00AD360B">
        <w:rPr>
          <w:szCs w:val="20"/>
        </w:rPr>
        <w:t>0 and 32</w:t>
      </w:r>
    </w:p>
    <w:p w:rsidR="00EA0E25" w:rsidRDefault="00EA0E25" w:rsidP="00530204">
      <w:pPr>
        <w:pStyle w:val="Heading2"/>
      </w:pPr>
      <w:r w:rsidRPr="00154B00">
        <w:t xml:space="preserve">If applicable, </w:t>
      </w:r>
      <w:proofErr w:type="gramStart"/>
      <w:r w:rsidRPr="00154B00">
        <w:t>advise</w:t>
      </w:r>
      <w:proofErr w:type="gramEnd"/>
      <w:r w:rsidRPr="00154B00">
        <w:t xml:space="preserv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rsidR="00264257" w:rsidRPr="00264257" w:rsidRDefault="00264257" w:rsidP="00264257">
      <w:pPr>
        <w:ind w:left="426"/>
        <w:rPr>
          <w:szCs w:val="20"/>
        </w:rPr>
      </w:pPr>
      <w:r w:rsidRPr="00264257">
        <w:rPr>
          <w:szCs w:val="20"/>
        </w:rPr>
        <w:t>All laboratories</w:t>
      </w:r>
      <w:r>
        <w:rPr>
          <w:szCs w:val="20"/>
        </w:rPr>
        <w:t xml:space="preserve"> that perform</w:t>
      </w:r>
      <w:r w:rsidRPr="00264257">
        <w:rPr>
          <w:szCs w:val="20"/>
        </w:rPr>
        <w:t xml:space="preserve"> </w:t>
      </w:r>
      <w:r w:rsidR="00931AD9">
        <w:rPr>
          <w:szCs w:val="20"/>
        </w:rPr>
        <w:t xml:space="preserve">BRCA testing </w:t>
      </w:r>
      <w:r w:rsidRPr="00264257">
        <w:rPr>
          <w:szCs w:val="20"/>
        </w:rPr>
        <w:t xml:space="preserve">are accredited to the Royal College of Pathologist of Australasia (RCPA) Quality Assurance Programs. </w:t>
      </w:r>
    </w:p>
    <w:p w:rsidR="005F3F07" w:rsidRDefault="005C3AE7" w:rsidP="00530204">
      <w:pPr>
        <w:pStyle w:val="Heading2"/>
      </w:pPr>
      <w:r>
        <w:t>(</w:t>
      </w:r>
      <w:proofErr w:type="gramStart"/>
      <w:r>
        <w:t>a</w:t>
      </w:r>
      <w:proofErr w:type="gramEnd"/>
      <w:r>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61CB6">
        <w:rPr>
          <w:szCs w:val="20"/>
        </w:rPr>
      </w:r>
      <w:r w:rsidR="00661CB6">
        <w:rPr>
          <w:szCs w:val="20"/>
        </w:rPr>
        <w:fldChar w:fldCharType="separate"/>
      </w:r>
      <w:r w:rsidRPr="000A5B32">
        <w:rPr>
          <w:szCs w:val="20"/>
        </w:rPr>
        <w:fldChar w:fldCharType="end"/>
      </w:r>
      <w:r>
        <w:rPr>
          <w:szCs w:val="20"/>
        </w:rPr>
        <w:t xml:space="preserve"> </w:t>
      </w:r>
      <w:r>
        <w:t>Inpatient private hospital</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61CB6">
        <w:rPr>
          <w:szCs w:val="20"/>
        </w:rPr>
      </w:r>
      <w:r w:rsidR="00661CB6">
        <w:rPr>
          <w:szCs w:val="20"/>
        </w:rPr>
        <w:fldChar w:fldCharType="separate"/>
      </w:r>
      <w:r w:rsidRPr="000A5B32">
        <w:rPr>
          <w:szCs w:val="20"/>
        </w:rPr>
        <w:fldChar w:fldCharType="end"/>
      </w:r>
      <w:r>
        <w:rPr>
          <w:szCs w:val="20"/>
        </w:rPr>
        <w:t xml:space="preserve"> </w:t>
      </w:r>
      <w:r>
        <w:t>Inpatient public hospital</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61CB6">
        <w:rPr>
          <w:szCs w:val="20"/>
        </w:rPr>
      </w:r>
      <w:r w:rsidR="00661CB6">
        <w:rPr>
          <w:szCs w:val="20"/>
        </w:rPr>
        <w:fldChar w:fldCharType="separate"/>
      </w:r>
      <w:r w:rsidRPr="000A5B32">
        <w:rPr>
          <w:szCs w:val="20"/>
        </w:rPr>
        <w:fldChar w:fldCharType="end"/>
      </w:r>
      <w:r>
        <w:rPr>
          <w:szCs w:val="20"/>
        </w:rPr>
        <w:t xml:space="preserve"> </w:t>
      </w:r>
      <w:r>
        <w:t>Outpatient clinic</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61CB6">
        <w:rPr>
          <w:szCs w:val="20"/>
        </w:rPr>
      </w:r>
      <w:r w:rsidR="00661CB6">
        <w:rPr>
          <w:szCs w:val="20"/>
        </w:rPr>
        <w:fldChar w:fldCharType="separate"/>
      </w:r>
      <w:r w:rsidRPr="000A5B32">
        <w:rPr>
          <w:szCs w:val="20"/>
        </w:rPr>
        <w:fldChar w:fldCharType="end"/>
      </w:r>
      <w:r>
        <w:rPr>
          <w:szCs w:val="20"/>
        </w:rPr>
        <w:t xml:space="preserve"> </w:t>
      </w:r>
      <w:r>
        <w:t>Emergency Department</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61CB6">
        <w:rPr>
          <w:szCs w:val="20"/>
        </w:rPr>
      </w:r>
      <w:r w:rsidR="00661CB6">
        <w:rPr>
          <w:szCs w:val="20"/>
        </w:rPr>
        <w:fldChar w:fldCharType="separate"/>
      </w:r>
      <w:r w:rsidRPr="000A5B32">
        <w:rPr>
          <w:szCs w:val="20"/>
        </w:rPr>
        <w:fldChar w:fldCharType="end"/>
      </w:r>
      <w:r>
        <w:rPr>
          <w:szCs w:val="20"/>
        </w:rPr>
        <w:t xml:space="preserve"> </w:t>
      </w:r>
      <w:r>
        <w:t>Consulting rooms</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61CB6">
        <w:rPr>
          <w:szCs w:val="20"/>
        </w:rPr>
      </w:r>
      <w:r w:rsidR="00661CB6">
        <w:rPr>
          <w:szCs w:val="20"/>
        </w:rPr>
        <w:fldChar w:fldCharType="separate"/>
      </w:r>
      <w:r w:rsidRPr="000A5B32">
        <w:rPr>
          <w:szCs w:val="20"/>
        </w:rPr>
        <w:fldChar w:fldCharType="end"/>
      </w:r>
      <w:r>
        <w:rPr>
          <w:szCs w:val="20"/>
        </w:rPr>
        <w:t xml:space="preserve"> </w:t>
      </w:r>
      <w:r>
        <w:t>Day surgery centre</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61CB6">
        <w:rPr>
          <w:szCs w:val="20"/>
        </w:rPr>
      </w:r>
      <w:r w:rsidR="00661CB6">
        <w:rPr>
          <w:szCs w:val="20"/>
        </w:rPr>
        <w:fldChar w:fldCharType="separate"/>
      </w:r>
      <w:r w:rsidRPr="000A5B32">
        <w:rPr>
          <w:szCs w:val="20"/>
        </w:rPr>
        <w:fldChar w:fldCharType="end"/>
      </w:r>
      <w:r>
        <w:rPr>
          <w:szCs w:val="20"/>
        </w:rPr>
        <w:t xml:space="preserve"> </w:t>
      </w:r>
      <w:r>
        <w:t>Residential aged care facility</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61CB6">
        <w:rPr>
          <w:szCs w:val="20"/>
        </w:rPr>
      </w:r>
      <w:r w:rsidR="00661CB6">
        <w:rPr>
          <w:szCs w:val="20"/>
        </w:rPr>
        <w:fldChar w:fldCharType="separate"/>
      </w:r>
      <w:r w:rsidRPr="000A5B32">
        <w:rPr>
          <w:szCs w:val="20"/>
        </w:rPr>
        <w:fldChar w:fldCharType="end"/>
      </w:r>
      <w:r>
        <w:rPr>
          <w:szCs w:val="20"/>
        </w:rPr>
        <w:t xml:space="preserve"> </w:t>
      </w:r>
      <w:r>
        <w:t>Patient’s home</w:t>
      </w:r>
    </w:p>
    <w:p w:rsidR="000A478F" w:rsidRDefault="00F00AD1"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661CB6">
        <w:rPr>
          <w:szCs w:val="20"/>
        </w:rPr>
      </w:r>
      <w:r w:rsidR="00661CB6">
        <w:rPr>
          <w:szCs w:val="20"/>
        </w:rPr>
        <w:fldChar w:fldCharType="separate"/>
      </w:r>
      <w:r>
        <w:rPr>
          <w:szCs w:val="20"/>
        </w:rPr>
        <w:fldChar w:fldCharType="end"/>
      </w:r>
      <w:r w:rsidR="000A478F">
        <w:rPr>
          <w:szCs w:val="20"/>
        </w:rPr>
        <w:t xml:space="preserve"> </w:t>
      </w:r>
      <w:r w:rsidR="000A478F">
        <w:t>Laboratory</w:t>
      </w:r>
    </w:p>
    <w:p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61CB6">
        <w:rPr>
          <w:szCs w:val="20"/>
        </w:rPr>
      </w:r>
      <w:r w:rsidR="00661CB6">
        <w:rPr>
          <w:szCs w:val="20"/>
        </w:rPr>
        <w:fldChar w:fldCharType="separate"/>
      </w:r>
      <w:r w:rsidRPr="000A5B32">
        <w:rPr>
          <w:szCs w:val="20"/>
        </w:rPr>
        <w:fldChar w:fldCharType="end"/>
      </w:r>
      <w:r>
        <w:rPr>
          <w:szCs w:val="20"/>
        </w:rPr>
        <w:t xml:space="preserve"> </w:t>
      </w:r>
      <w:r>
        <w:t>Other – please specify below</w:t>
      </w:r>
    </w:p>
    <w:p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rsidR="0073597B" w:rsidRDefault="009F4561" w:rsidP="0073597B">
      <w:pPr>
        <w:ind w:left="426"/>
        <w:rPr>
          <w:b/>
          <w:szCs w:val="20"/>
        </w:rPr>
      </w:pPr>
      <w:r>
        <w:t>Not applicable</w:t>
      </w:r>
    </w:p>
    <w:p w:rsidR="003E30FB" w:rsidRDefault="003E30FB" w:rsidP="00530204">
      <w:pPr>
        <w:pStyle w:val="Heading2"/>
      </w:pPr>
      <w:r>
        <w:t xml:space="preserve">Is the </w:t>
      </w:r>
      <w:r w:rsidRPr="001B29A1">
        <w:t>proposed</w:t>
      </w:r>
      <w:r>
        <w:t xml:space="preserve"> medical service intended to be entirely rendered in Australia?</w:t>
      </w:r>
    </w:p>
    <w:p w:rsidR="000A478F" w:rsidRDefault="00F00AD1"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61CB6">
        <w:rPr>
          <w:szCs w:val="20"/>
        </w:rPr>
      </w:r>
      <w:r w:rsidR="00661CB6">
        <w:rPr>
          <w:szCs w:val="20"/>
        </w:rPr>
        <w:fldChar w:fldCharType="separate"/>
      </w:r>
      <w:r>
        <w:rPr>
          <w:szCs w:val="20"/>
        </w:rPr>
        <w:fldChar w:fldCharType="end"/>
      </w:r>
      <w:r w:rsidR="000A478F">
        <w:rPr>
          <w:szCs w:val="20"/>
        </w:rPr>
        <w:t xml:space="preserve"> Yes</w:t>
      </w:r>
    </w:p>
    <w:p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661CB6">
        <w:rPr>
          <w:szCs w:val="20"/>
        </w:rPr>
      </w:r>
      <w:r w:rsidR="00661CB6">
        <w:rPr>
          <w:szCs w:val="20"/>
        </w:rPr>
        <w:fldChar w:fldCharType="separate"/>
      </w:r>
      <w:r w:rsidRPr="00753C44">
        <w:rPr>
          <w:szCs w:val="20"/>
        </w:rPr>
        <w:fldChar w:fldCharType="end"/>
      </w:r>
      <w:r>
        <w:rPr>
          <w:szCs w:val="20"/>
        </w:rPr>
        <w:t xml:space="preserve"> No</w:t>
      </w:r>
      <w:r w:rsidR="00C4696B">
        <w:rPr>
          <w:szCs w:val="20"/>
        </w:rPr>
        <w:t xml:space="preserve"> – please specify below</w:t>
      </w:r>
    </w:p>
    <w:p w:rsidR="00E60529" w:rsidRPr="00881F93" w:rsidRDefault="005C3AE7" w:rsidP="005C3AE7">
      <w:pPr>
        <w:pStyle w:val="Subtitle"/>
      </w:pPr>
      <w:r>
        <w:t xml:space="preserve">PART 6c – </w:t>
      </w:r>
      <w:r w:rsidR="00E60529" w:rsidRPr="00881F93">
        <w:t>INFORMATION ABOUT THE COMPARATOR</w:t>
      </w:r>
      <w:r w:rsidR="00A83EC6" w:rsidRPr="00881F93">
        <w:t>(S)</w:t>
      </w:r>
    </w:p>
    <w:p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rsidR="00E60529" w:rsidRPr="00154B00" w:rsidRDefault="00175A35" w:rsidP="001B29A1">
      <w:pPr>
        <w:ind w:left="426"/>
        <w:rPr>
          <w:szCs w:val="20"/>
        </w:rPr>
      </w:pPr>
      <w:r>
        <w:rPr>
          <w:szCs w:val="20"/>
        </w:rPr>
        <w:t xml:space="preserve">The </w:t>
      </w:r>
      <w:r w:rsidR="00BD0057">
        <w:rPr>
          <w:szCs w:val="20"/>
        </w:rPr>
        <w:t xml:space="preserve">nominated </w:t>
      </w:r>
      <w:r>
        <w:rPr>
          <w:szCs w:val="20"/>
        </w:rPr>
        <w:t xml:space="preserve">comparator is no germline BRCA mutation testing. The </w:t>
      </w:r>
      <w:r w:rsidR="00985610">
        <w:rPr>
          <w:szCs w:val="20"/>
        </w:rPr>
        <w:t xml:space="preserve">proposed </w:t>
      </w:r>
      <w:r>
        <w:rPr>
          <w:szCs w:val="20"/>
        </w:rPr>
        <w:t>population</w:t>
      </w:r>
      <w:r w:rsidR="00985610">
        <w:rPr>
          <w:szCs w:val="20"/>
        </w:rPr>
        <w:t xml:space="preserve"> </w:t>
      </w:r>
      <w:r>
        <w:rPr>
          <w:szCs w:val="20"/>
        </w:rPr>
        <w:t>f</w:t>
      </w:r>
      <w:r w:rsidR="00985610">
        <w:rPr>
          <w:szCs w:val="20"/>
        </w:rPr>
        <w:t xml:space="preserve">or </w:t>
      </w:r>
      <w:r>
        <w:rPr>
          <w:szCs w:val="20"/>
        </w:rPr>
        <w:t>the</w:t>
      </w:r>
      <w:r w:rsidR="00A24051">
        <w:rPr>
          <w:szCs w:val="20"/>
        </w:rPr>
        <w:t xml:space="preserve"> B</w:t>
      </w:r>
      <w:r>
        <w:rPr>
          <w:szCs w:val="20"/>
        </w:rPr>
        <w:t xml:space="preserve">RCA test are </w:t>
      </w:r>
      <w:r w:rsidR="00985610">
        <w:rPr>
          <w:szCs w:val="20"/>
        </w:rPr>
        <w:t xml:space="preserve">patients </w:t>
      </w:r>
      <w:r>
        <w:rPr>
          <w:szCs w:val="20"/>
        </w:rPr>
        <w:t>who are ineligible for MBS item number</w:t>
      </w:r>
      <w:r w:rsidR="00985610">
        <w:rPr>
          <w:szCs w:val="20"/>
        </w:rPr>
        <w:t xml:space="preserve"> </w:t>
      </w:r>
      <w:r>
        <w:rPr>
          <w:szCs w:val="20"/>
        </w:rPr>
        <w:t>73296 i.e. not “high risk”</w:t>
      </w:r>
      <w:r w:rsidR="003869CB">
        <w:rPr>
          <w:szCs w:val="20"/>
        </w:rPr>
        <w:t xml:space="preserve"> patients</w:t>
      </w:r>
      <w:r>
        <w:rPr>
          <w:szCs w:val="20"/>
        </w:rPr>
        <w:t>.</w:t>
      </w:r>
      <w:r w:rsidR="00985610">
        <w:rPr>
          <w:szCs w:val="20"/>
        </w:rPr>
        <w:t xml:space="preserve"> </w:t>
      </w:r>
      <w:r>
        <w:rPr>
          <w:szCs w:val="20"/>
        </w:rPr>
        <w:t>Th</w:t>
      </w:r>
      <w:r w:rsidR="00985610">
        <w:rPr>
          <w:szCs w:val="20"/>
        </w:rPr>
        <w:t>e</w:t>
      </w:r>
      <w:r w:rsidR="003869CB">
        <w:rPr>
          <w:szCs w:val="20"/>
        </w:rPr>
        <w:t xml:space="preserve"> proposed patient population </w:t>
      </w:r>
      <w:r>
        <w:rPr>
          <w:szCs w:val="20"/>
        </w:rPr>
        <w:t>have locally advanced</w:t>
      </w:r>
      <w:r w:rsidR="003869CB">
        <w:rPr>
          <w:szCs w:val="20"/>
        </w:rPr>
        <w:t xml:space="preserve"> (Stage III)</w:t>
      </w:r>
      <w:r>
        <w:rPr>
          <w:szCs w:val="20"/>
        </w:rPr>
        <w:t xml:space="preserve"> or metastatic</w:t>
      </w:r>
      <w:r w:rsidR="003869CB">
        <w:rPr>
          <w:szCs w:val="20"/>
        </w:rPr>
        <w:t xml:space="preserve"> (Stage IV)</w:t>
      </w:r>
      <w:r>
        <w:rPr>
          <w:szCs w:val="20"/>
        </w:rPr>
        <w:t xml:space="preserve"> HER2-negative </w:t>
      </w:r>
      <w:r w:rsidRPr="00D608A4">
        <w:rPr>
          <w:szCs w:val="20"/>
        </w:rPr>
        <w:t>breast cancer</w:t>
      </w:r>
      <w:r w:rsidR="00985610" w:rsidRPr="00D608A4">
        <w:rPr>
          <w:szCs w:val="20"/>
        </w:rPr>
        <w:t xml:space="preserve"> and have previously been treated with an </w:t>
      </w:r>
      <w:proofErr w:type="spellStart"/>
      <w:r w:rsidR="00985610" w:rsidRPr="00D608A4">
        <w:rPr>
          <w:szCs w:val="20"/>
        </w:rPr>
        <w:t>anthracycline</w:t>
      </w:r>
      <w:proofErr w:type="spellEnd"/>
      <w:r w:rsidR="00985610" w:rsidRPr="00D608A4">
        <w:rPr>
          <w:szCs w:val="20"/>
        </w:rPr>
        <w:t xml:space="preserve"> and a </w:t>
      </w:r>
      <w:proofErr w:type="spellStart"/>
      <w:r w:rsidR="00985610" w:rsidRPr="00D608A4">
        <w:rPr>
          <w:szCs w:val="20"/>
        </w:rPr>
        <w:t>taxane</w:t>
      </w:r>
      <w:proofErr w:type="spellEnd"/>
      <w:r w:rsidR="00985610" w:rsidRPr="00D608A4">
        <w:rPr>
          <w:szCs w:val="20"/>
        </w:rPr>
        <w:t xml:space="preserve"> and are refractory to or inappropriate for further endocrine therapy.</w:t>
      </w:r>
      <w:bookmarkStart w:id="3" w:name="_GoBack"/>
      <w:bookmarkEnd w:id="3"/>
    </w:p>
    <w:p w:rsidR="00757232" w:rsidRDefault="00AF5D1E" w:rsidP="00530204">
      <w:pPr>
        <w:pStyle w:val="Heading2"/>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rsidR="006A1038" w:rsidRDefault="006A1038" w:rsidP="006A1038">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661CB6">
        <w:rPr>
          <w:szCs w:val="20"/>
        </w:rPr>
      </w:r>
      <w:r w:rsidR="00661CB6">
        <w:rPr>
          <w:szCs w:val="20"/>
        </w:rPr>
        <w:fldChar w:fldCharType="separate"/>
      </w:r>
      <w:r w:rsidRPr="00753C44">
        <w:rPr>
          <w:szCs w:val="20"/>
        </w:rPr>
        <w:fldChar w:fldCharType="end"/>
      </w:r>
      <w:r>
        <w:rPr>
          <w:szCs w:val="20"/>
        </w:rPr>
        <w:t xml:space="preserve"> Yes (please provide all relevant MBS item numbers below)</w:t>
      </w:r>
    </w:p>
    <w:p w:rsidR="000159B9" w:rsidRDefault="00D875C8"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61CB6">
        <w:rPr>
          <w:szCs w:val="20"/>
        </w:rPr>
      </w:r>
      <w:r w:rsidR="00661CB6">
        <w:rPr>
          <w:szCs w:val="20"/>
        </w:rPr>
        <w:fldChar w:fldCharType="separate"/>
      </w:r>
      <w:r>
        <w:rPr>
          <w:szCs w:val="20"/>
        </w:rPr>
        <w:fldChar w:fldCharType="end"/>
      </w:r>
      <w:r w:rsidR="006A1038">
        <w:rPr>
          <w:szCs w:val="20"/>
        </w:rPr>
        <w:t xml:space="preserve"> No  </w:t>
      </w:r>
    </w:p>
    <w:p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rsidR="003433D1" w:rsidRDefault="00BD0057" w:rsidP="001B29A1">
      <w:pPr>
        <w:ind w:left="426"/>
        <w:rPr>
          <w:b/>
          <w:szCs w:val="20"/>
        </w:rPr>
      </w:pPr>
      <w:r w:rsidRPr="00BD0057">
        <w:t xml:space="preserve">The nominated comparator is no </w:t>
      </w:r>
      <w:r>
        <w:t>germline BRCA mutation testing.</w:t>
      </w:r>
      <w:r w:rsidRPr="00BD0057">
        <w:t xml:space="preserve"> </w:t>
      </w:r>
    </w:p>
    <w:p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rsidR="001B29A1" w:rsidRDefault="00246957"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61CB6">
        <w:rPr>
          <w:szCs w:val="20"/>
        </w:rPr>
      </w:r>
      <w:r w:rsidR="00661CB6">
        <w:rPr>
          <w:szCs w:val="20"/>
        </w:rPr>
        <w:fldChar w:fldCharType="separate"/>
      </w:r>
      <w:r>
        <w:rPr>
          <w:szCs w:val="20"/>
        </w:rPr>
        <w:fldChar w:fldCharType="end"/>
      </w:r>
      <w:r w:rsidR="001B29A1">
        <w:rPr>
          <w:szCs w:val="20"/>
        </w:rPr>
        <w:t xml:space="preserve"> Yes </w:t>
      </w:r>
    </w:p>
    <w:p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661CB6">
        <w:rPr>
          <w:szCs w:val="20"/>
        </w:rPr>
      </w:r>
      <w:r w:rsidR="00661CB6">
        <w:rPr>
          <w:szCs w:val="20"/>
        </w:rPr>
        <w:fldChar w:fldCharType="separate"/>
      </w:r>
      <w:r w:rsidRPr="00753C44">
        <w:rPr>
          <w:szCs w:val="20"/>
        </w:rPr>
        <w:fldChar w:fldCharType="end"/>
      </w:r>
      <w:r>
        <w:rPr>
          <w:szCs w:val="20"/>
        </w:rPr>
        <w:t xml:space="preserve"> No  </w:t>
      </w:r>
    </w:p>
    <w:p w:rsidR="00E70D86" w:rsidRDefault="00E70D86" w:rsidP="005C3AE7">
      <w:pPr>
        <w:pStyle w:val="Heading2"/>
        <w:numPr>
          <w:ilvl w:val="0"/>
          <w:numId w:val="30"/>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rsidR="00246957" w:rsidRPr="00246957" w:rsidRDefault="00246957" w:rsidP="00246957">
      <w:pPr>
        <w:ind w:left="360"/>
      </w:pPr>
      <w:r>
        <w:t xml:space="preserve">As discussed in Question 38, the current MBS item 73296 is not expected to be substituted. </w:t>
      </w:r>
      <w:r w:rsidRPr="00246957">
        <w:t>The proposed population for BRCA test</w:t>
      </w:r>
      <w:r w:rsidR="00916D13">
        <w:t>ing</w:t>
      </w:r>
      <w:r w:rsidRPr="00246957">
        <w:t xml:space="preserve"> are patients who are ineligible for MBS item number 73296 i.e. not “high risk” patients. </w:t>
      </w:r>
      <w:r>
        <w:t xml:space="preserve"> </w:t>
      </w:r>
    </w:p>
    <w:p w:rsidR="0054594B" w:rsidRPr="00A2388B" w:rsidRDefault="009C03FB" w:rsidP="00530204">
      <w:pPr>
        <w:pStyle w:val="Heading2"/>
      </w:pPr>
      <w:r w:rsidRPr="00A2388B">
        <w:t>Define and summarise how</w:t>
      </w:r>
      <w:r w:rsidR="00F33F1A" w:rsidRPr="00A2388B">
        <w:t xml:space="preserve"> curr</w:t>
      </w:r>
      <w:r w:rsidRPr="00A2388B">
        <w:t>ent clinical management pathways (from the point of service delivery onwards) are</w:t>
      </w:r>
      <w:r w:rsidR="00F33F1A" w:rsidRPr="00A2388B">
        <w:t xml:space="preserve"> expected to change as a consequence of introducing the proposed medical service </w:t>
      </w:r>
      <w:r w:rsidR="007D2358" w:rsidRPr="00A2388B">
        <w:t xml:space="preserve">including variation in health care resources </w:t>
      </w:r>
      <w:r w:rsidRPr="00A2388B">
        <w:t>(</w:t>
      </w:r>
      <w:r w:rsidR="002053F2" w:rsidRPr="00A2388B">
        <w:t xml:space="preserve">Refer to </w:t>
      </w:r>
      <w:r w:rsidR="00F33F1A" w:rsidRPr="00A2388B">
        <w:t xml:space="preserve">Question </w:t>
      </w:r>
      <w:r w:rsidR="00197D29" w:rsidRPr="00A2388B">
        <w:t>39</w:t>
      </w:r>
      <w:r w:rsidR="00F33F1A" w:rsidRPr="00A2388B">
        <w:t xml:space="preserve"> as baseline)</w:t>
      </w:r>
      <w:r w:rsidR="00AE1188" w:rsidRPr="00A2388B">
        <w:t>:</w:t>
      </w:r>
    </w:p>
    <w:p w:rsidR="0054594B" w:rsidRPr="00A2388B" w:rsidRDefault="00A2388B" w:rsidP="00D10B47">
      <w:pPr>
        <w:pStyle w:val="ListParagraph"/>
        <w:ind w:left="360"/>
        <w:rPr>
          <w:szCs w:val="20"/>
        </w:rPr>
      </w:pPr>
      <w:r w:rsidRPr="00A2388B">
        <w:rPr>
          <w:szCs w:val="20"/>
        </w:rPr>
        <w:t>Please find attached proposed treatment algorithm</w:t>
      </w:r>
      <w:r w:rsidR="007D77B0">
        <w:rPr>
          <w:szCs w:val="20"/>
        </w:rPr>
        <w:t xml:space="preserve"> which presents how the current management pathway is expected to change as a consequence of introducing BRCA mutation testing in locally advanced or metastatic HER2-</w:t>
      </w:r>
      <w:r w:rsidR="00AE0225">
        <w:rPr>
          <w:szCs w:val="20"/>
        </w:rPr>
        <w:t>negative breast cancer patients who are ineligible for MBS item number 73296.</w:t>
      </w:r>
    </w:p>
    <w:p w:rsidR="002053F2" w:rsidRPr="00154B00" w:rsidRDefault="002053F2" w:rsidP="00D10B47">
      <w:pPr>
        <w:pStyle w:val="ListParagraph"/>
        <w:ind w:left="360"/>
        <w:rPr>
          <w:b/>
          <w:szCs w:val="20"/>
        </w:rPr>
      </w:pPr>
    </w:p>
    <w:p w:rsidR="001B29A1" w:rsidRDefault="001B29A1" w:rsidP="00881F93">
      <w:pPr>
        <w:rPr>
          <w:b/>
          <w:i/>
          <w:szCs w:val="20"/>
          <w:u w:val="single"/>
        </w:rPr>
      </w:pPr>
      <w:r>
        <w:rPr>
          <w:b/>
          <w:i/>
          <w:szCs w:val="20"/>
          <w:u w:val="single"/>
        </w:rPr>
        <w:br w:type="page"/>
      </w:r>
    </w:p>
    <w:p w:rsidR="00DF0D47" w:rsidRPr="00881F93" w:rsidRDefault="005C3AE7" w:rsidP="005C3AE7">
      <w:pPr>
        <w:pStyle w:val="Subtitle"/>
      </w:pPr>
      <w:r w:rsidRPr="00192DAB">
        <w:t xml:space="preserve">PART 6d – </w:t>
      </w:r>
      <w:r w:rsidR="00DF0D47" w:rsidRPr="00192DAB">
        <w:t xml:space="preserve">INFORMATION ABOUT THE </w:t>
      </w:r>
      <w:r w:rsidR="00CF5AD8" w:rsidRPr="00192DAB">
        <w:t xml:space="preserve">CLINICAL </w:t>
      </w:r>
      <w:r w:rsidR="00DF0D47" w:rsidRPr="00192DAB">
        <w:t>OUTCOME</w:t>
      </w:r>
    </w:p>
    <w:p w:rsidR="004E3CC7"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rsidR="00192DAB" w:rsidRPr="00BC6835" w:rsidRDefault="00192DAB" w:rsidP="00192DAB">
      <w:pPr>
        <w:ind w:left="360"/>
        <w:jc w:val="both"/>
        <w:rPr>
          <w:b/>
        </w:rPr>
      </w:pPr>
      <w:r w:rsidRPr="00BC6835">
        <w:t>The overall clinical claim is that the proposed co-dependent technologies (</w:t>
      </w:r>
      <w:r>
        <w:t xml:space="preserve">germline </w:t>
      </w:r>
      <w:r w:rsidRPr="00BC6835">
        <w:rPr>
          <w:i/>
        </w:rPr>
        <w:t>BRCA</w:t>
      </w:r>
      <w:r>
        <w:t xml:space="preserve"> </w:t>
      </w:r>
      <w:r w:rsidRPr="00BC6835">
        <w:t>m</w:t>
      </w:r>
      <w:r>
        <w:t>utation</w:t>
      </w:r>
      <w:r w:rsidRPr="00BC6835">
        <w:t xml:space="preserve"> testing and </w:t>
      </w:r>
      <w:r>
        <w:t>talazoparib</w:t>
      </w:r>
      <w:r w:rsidRPr="00BC6835">
        <w:t xml:space="preserve">) are </w:t>
      </w:r>
      <w:r w:rsidRPr="00BC6835">
        <w:rPr>
          <w:u w:val="single"/>
        </w:rPr>
        <w:t>superior</w:t>
      </w:r>
      <w:r w:rsidRPr="00BC6835">
        <w:t xml:space="preserve"> in terms of comparative effectiveness versus the main comparator (no </w:t>
      </w:r>
      <w:r>
        <w:t xml:space="preserve">BRCA </w:t>
      </w:r>
      <w:r w:rsidRPr="00BC6835">
        <w:t xml:space="preserve">testing </w:t>
      </w:r>
      <w:r>
        <w:t xml:space="preserve">and </w:t>
      </w:r>
      <w:r w:rsidRPr="00BC6835">
        <w:t>standard care</w:t>
      </w:r>
      <w:r>
        <w:t xml:space="preserve"> single agent chemotherapy</w:t>
      </w:r>
      <w:r w:rsidRPr="00BC6835">
        <w:t xml:space="preserve">) in patients </w:t>
      </w:r>
      <w:r>
        <w:t xml:space="preserve">who </w:t>
      </w:r>
      <w:r w:rsidR="004C128F">
        <w:t>harbour</w:t>
      </w:r>
      <w:r>
        <w:t xml:space="preserve"> a </w:t>
      </w:r>
      <w:proofErr w:type="spellStart"/>
      <w:r>
        <w:t>g</w:t>
      </w:r>
      <w:r w:rsidRPr="00830001">
        <w:rPr>
          <w:i/>
        </w:rPr>
        <w:t>BRCA</w:t>
      </w:r>
      <w:proofErr w:type="spellEnd"/>
      <w:r w:rsidRPr="00830001">
        <w:rPr>
          <w:i/>
        </w:rPr>
        <w:t xml:space="preserve"> </w:t>
      </w:r>
      <w:r>
        <w:t xml:space="preserve">mutation </w:t>
      </w:r>
      <w:r w:rsidRPr="00BC6835">
        <w:t>with</w:t>
      </w:r>
      <w:r>
        <w:rPr>
          <w:b/>
        </w:rPr>
        <w:t xml:space="preserve"> </w:t>
      </w:r>
      <w:r w:rsidRPr="00BC6835">
        <w:t>locally advanced or metastatic</w:t>
      </w:r>
      <w:r>
        <w:t xml:space="preserve"> HER2-negative </w:t>
      </w:r>
      <w:r w:rsidRPr="00BC6835">
        <w:t>breast cancer which are hormone receptor positive, or triple negative.</w:t>
      </w:r>
    </w:p>
    <w:p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rsidR="001B29A1" w:rsidRPr="001B29A1" w:rsidRDefault="00D15B58"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61CB6">
        <w:rPr>
          <w:szCs w:val="20"/>
        </w:rPr>
      </w:r>
      <w:r w:rsidR="00661CB6">
        <w:rPr>
          <w:szCs w:val="20"/>
        </w:rPr>
        <w:fldChar w:fldCharType="separate"/>
      </w:r>
      <w:r>
        <w:rPr>
          <w:szCs w:val="20"/>
        </w:rPr>
        <w:fldChar w:fldCharType="end"/>
      </w:r>
      <w:r w:rsidR="001B29A1" w:rsidRPr="001B29A1">
        <w:rPr>
          <w:szCs w:val="20"/>
        </w:rPr>
        <w:t xml:space="preserve"> Superiority</w:t>
      </w:r>
      <w:r w:rsidR="001B29A1" w:rsidRPr="001B29A1">
        <w:rPr>
          <w:szCs w:val="20"/>
        </w:rPr>
        <w:tab/>
      </w:r>
    </w:p>
    <w:p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661CB6">
        <w:rPr>
          <w:szCs w:val="20"/>
        </w:rPr>
      </w:r>
      <w:r w:rsidR="00661CB6">
        <w:rPr>
          <w:szCs w:val="20"/>
        </w:rPr>
        <w:fldChar w:fldCharType="separate"/>
      </w:r>
      <w:r w:rsidRPr="001B29A1">
        <w:rPr>
          <w:szCs w:val="20"/>
        </w:rPr>
        <w:fldChar w:fldCharType="end"/>
      </w:r>
      <w:r w:rsidRPr="001B29A1">
        <w:rPr>
          <w:szCs w:val="20"/>
        </w:rPr>
        <w:t xml:space="preserve"> Non-inferiority</w:t>
      </w:r>
      <w:r w:rsidRPr="001B29A1">
        <w:rPr>
          <w:szCs w:val="20"/>
        </w:rPr>
        <w:tab/>
      </w:r>
    </w:p>
    <w:p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rsidR="001B29A1"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Pr>
          <w:b/>
          <w:szCs w:val="20"/>
        </w:rPr>
        <w:t xml:space="preserve">: </w:t>
      </w:r>
    </w:p>
    <w:p w:rsidR="00A751D0" w:rsidRPr="00A751D0" w:rsidRDefault="00A751D0" w:rsidP="00A751D0">
      <w:pPr>
        <w:pBdr>
          <w:top w:val="single" w:sz="4" w:space="1" w:color="auto"/>
          <w:left w:val="single" w:sz="4" w:space="4" w:color="auto"/>
          <w:bottom w:val="single" w:sz="4" w:space="1" w:color="auto"/>
          <w:right w:val="single" w:sz="4" w:space="4" w:color="auto"/>
        </w:pBdr>
        <w:rPr>
          <w:szCs w:val="20"/>
        </w:rPr>
      </w:pPr>
      <w:r>
        <w:rPr>
          <w:szCs w:val="20"/>
          <w:lang w:val="en-US"/>
        </w:rPr>
        <w:t>In the EMBRACA trial, s</w:t>
      </w:r>
      <w:r w:rsidRPr="00A751D0">
        <w:rPr>
          <w:szCs w:val="20"/>
          <w:lang w:val="en-US"/>
        </w:rPr>
        <w:t>afety was assessed according to adverse events, use of concomitant medications, and clinically relevant changes in laboratory values. Adverse events were graded with the use of the National Cancer Institute Common Terminology Criteria for Adverse Events, version 4.03.</w:t>
      </w:r>
    </w:p>
    <w:p w:rsidR="00B25D20"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Clinical Effectiveness Outcomes</w:t>
      </w:r>
      <w:r>
        <w:rPr>
          <w:b/>
          <w:szCs w:val="20"/>
        </w:rPr>
        <w:t xml:space="preserve">: </w:t>
      </w:r>
    </w:p>
    <w:p w:rsidR="00F51E44" w:rsidRPr="00F51E44" w:rsidRDefault="00F51E44" w:rsidP="00F51E44">
      <w:pPr>
        <w:pBdr>
          <w:top w:val="single" w:sz="4" w:space="1" w:color="auto"/>
          <w:left w:val="single" w:sz="4" w:space="4" w:color="auto"/>
          <w:bottom w:val="single" w:sz="4" w:space="1" w:color="auto"/>
          <w:right w:val="single" w:sz="4" w:space="4" w:color="auto"/>
        </w:pBdr>
        <w:rPr>
          <w:u w:val="single"/>
        </w:rPr>
      </w:pPr>
      <w:r w:rsidRPr="00F51E44">
        <w:rPr>
          <w:u w:val="single"/>
        </w:rPr>
        <w:t>Test Outcomes:</w:t>
      </w:r>
    </w:p>
    <w:p w:rsidR="00F51E44" w:rsidRDefault="003850A8" w:rsidP="00F51E44">
      <w:pPr>
        <w:pBdr>
          <w:top w:val="single" w:sz="4" w:space="1" w:color="auto"/>
          <w:left w:val="single" w:sz="4" w:space="4" w:color="auto"/>
          <w:bottom w:val="single" w:sz="4" w:space="1" w:color="auto"/>
          <w:right w:val="single" w:sz="4" w:space="4" w:color="auto"/>
        </w:pBdr>
        <w:rPr>
          <w:szCs w:val="20"/>
        </w:rPr>
      </w:pPr>
      <w:r>
        <w:rPr>
          <w:szCs w:val="20"/>
        </w:rPr>
        <w:t xml:space="preserve">1. </w:t>
      </w:r>
      <w:r w:rsidR="00F51E44">
        <w:rPr>
          <w:szCs w:val="20"/>
        </w:rPr>
        <w:t>Sensitivity</w:t>
      </w:r>
    </w:p>
    <w:p w:rsidR="00F51E44" w:rsidRDefault="003850A8" w:rsidP="00F51E44">
      <w:pPr>
        <w:pBdr>
          <w:top w:val="single" w:sz="4" w:space="1" w:color="auto"/>
          <w:left w:val="single" w:sz="4" w:space="4" w:color="auto"/>
          <w:bottom w:val="single" w:sz="4" w:space="1" w:color="auto"/>
          <w:right w:val="single" w:sz="4" w:space="4" w:color="auto"/>
        </w:pBdr>
        <w:rPr>
          <w:szCs w:val="20"/>
        </w:rPr>
      </w:pPr>
      <w:r>
        <w:rPr>
          <w:szCs w:val="20"/>
        </w:rPr>
        <w:t xml:space="preserve">2. </w:t>
      </w:r>
      <w:r w:rsidR="00F51E44">
        <w:rPr>
          <w:szCs w:val="20"/>
        </w:rPr>
        <w:t>Specificity</w:t>
      </w:r>
    </w:p>
    <w:p w:rsidR="00F51E44" w:rsidRPr="00115EEC" w:rsidRDefault="003850A8" w:rsidP="00F51E44">
      <w:pPr>
        <w:pBdr>
          <w:top w:val="single" w:sz="4" w:space="1" w:color="auto"/>
          <w:left w:val="single" w:sz="4" w:space="4" w:color="auto"/>
          <w:bottom w:val="single" w:sz="4" w:space="1" w:color="auto"/>
          <w:right w:val="single" w:sz="4" w:space="4" w:color="auto"/>
        </w:pBdr>
        <w:rPr>
          <w:szCs w:val="20"/>
        </w:rPr>
      </w:pPr>
      <w:r>
        <w:rPr>
          <w:szCs w:val="20"/>
        </w:rPr>
        <w:t xml:space="preserve">3. </w:t>
      </w:r>
      <w:r w:rsidR="00F51E44">
        <w:rPr>
          <w:szCs w:val="20"/>
        </w:rPr>
        <w:t>Re-testing rates</w:t>
      </w:r>
    </w:p>
    <w:p w:rsidR="00F51E44" w:rsidRDefault="00F51E44" w:rsidP="00F51E44">
      <w:pPr>
        <w:pBdr>
          <w:top w:val="single" w:sz="4" w:space="1" w:color="auto"/>
          <w:left w:val="single" w:sz="4" w:space="4" w:color="auto"/>
          <w:bottom w:val="single" w:sz="4" w:space="1" w:color="auto"/>
          <w:right w:val="single" w:sz="4" w:space="4" w:color="auto"/>
        </w:pBdr>
        <w:rPr>
          <w:i/>
        </w:rPr>
      </w:pPr>
      <w:r w:rsidRPr="00F51E44">
        <w:rPr>
          <w:u w:val="single"/>
        </w:rPr>
        <w:t>Drug Outcomes</w:t>
      </w:r>
      <w:r w:rsidR="00E569D4">
        <w:rPr>
          <w:u w:val="single"/>
        </w:rPr>
        <w:t xml:space="preserve"> (EMBRACA)</w:t>
      </w:r>
      <w:r w:rsidRPr="00F51E44">
        <w:t>:</w:t>
      </w:r>
    </w:p>
    <w:p w:rsidR="00F51E44" w:rsidRPr="00F51E44" w:rsidRDefault="00F51E44" w:rsidP="00F51E44">
      <w:pPr>
        <w:pBdr>
          <w:top w:val="single" w:sz="4" w:space="1" w:color="auto"/>
          <w:left w:val="single" w:sz="4" w:space="4" w:color="auto"/>
          <w:bottom w:val="single" w:sz="4" w:space="1" w:color="auto"/>
          <w:right w:val="single" w:sz="4" w:space="4" w:color="auto"/>
        </w:pBdr>
        <w:rPr>
          <w:i/>
        </w:rPr>
      </w:pPr>
      <w:r w:rsidRPr="00F51E44">
        <w:rPr>
          <w:i/>
        </w:rPr>
        <w:t>Primary outcomes</w:t>
      </w:r>
    </w:p>
    <w:p w:rsidR="009F27EA" w:rsidRDefault="003850A8" w:rsidP="00F51E44">
      <w:pPr>
        <w:pBdr>
          <w:top w:val="single" w:sz="4" w:space="1" w:color="auto"/>
          <w:left w:val="single" w:sz="4" w:space="4" w:color="auto"/>
          <w:bottom w:val="single" w:sz="4" w:space="1" w:color="auto"/>
          <w:right w:val="single" w:sz="4" w:space="4" w:color="auto"/>
        </w:pBdr>
      </w:pPr>
      <w:r>
        <w:t xml:space="preserve">1. </w:t>
      </w:r>
      <w:r w:rsidR="00F51E44">
        <w:t>Progression free survival (PFS)</w:t>
      </w:r>
      <w:r w:rsidR="009F27EA">
        <w:t>, as determined by blinded independent central review (according to RECIST)</w:t>
      </w:r>
    </w:p>
    <w:p w:rsidR="009F27EA" w:rsidRPr="009F27EA" w:rsidRDefault="009F27EA" w:rsidP="009F27EA">
      <w:pPr>
        <w:pBdr>
          <w:top w:val="single" w:sz="4" w:space="1" w:color="auto"/>
          <w:left w:val="single" w:sz="4" w:space="4" w:color="auto"/>
          <w:bottom w:val="single" w:sz="4" w:space="1" w:color="auto"/>
          <w:right w:val="single" w:sz="4" w:space="4" w:color="auto"/>
        </w:pBdr>
        <w:rPr>
          <w:i/>
        </w:rPr>
      </w:pPr>
      <w:r w:rsidRPr="009F27EA">
        <w:rPr>
          <w:i/>
        </w:rPr>
        <w:t>Secondary outcomes</w:t>
      </w:r>
    </w:p>
    <w:p w:rsidR="00F51E44" w:rsidRDefault="003850A8" w:rsidP="00F51E44">
      <w:pPr>
        <w:pBdr>
          <w:top w:val="single" w:sz="4" w:space="1" w:color="auto"/>
          <w:left w:val="single" w:sz="4" w:space="4" w:color="auto"/>
          <w:bottom w:val="single" w:sz="4" w:space="1" w:color="auto"/>
          <w:right w:val="single" w:sz="4" w:space="4" w:color="auto"/>
        </w:pBdr>
      </w:pPr>
      <w:r>
        <w:t xml:space="preserve">1. </w:t>
      </w:r>
      <w:r w:rsidR="00F51E44">
        <w:t>Overall Survival (OS)</w:t>
      </w:r>
    </w:p>
    <w:p w:rsidR="009F27EA" w:rsidRDefault="003850A8" w:rsidP="00F51E44">
      <w:pPr>
        <w:pBdr>
          <w:top w:val="single" w:sz="4" w:space="1" w:color="auto"/>
          <w:left w:val="single" w:sz="4" w:space="4" w:color="auto"/>
          <w:bottom w:val="single" w:sz="4" w:space="1" w:color="auto"/>
          <w:right w:val="single" w:sz="4" w:space="4" w:color="auto"/>
        </w:pBdr>
      </w:pPr>
      <w:r>
        <w:t xml:space="preserve">2. </w:t>
      </w:r>
      <w:r w:rsidR="009F27EA">
        <w:t>Objective response</w:t>
      </w:r>
      <w:r w:rsidR="006D08C6">
        <w:t xml:space="preserve"> </w:t>
      </w:r>
      <w:r w:rsidR="009F27EA">
        <w:t>rate</w:t>
      </w:r>
    </w:p>
    <w:p w:rsidR="009F27EA" w:rsidRDefault="003850A8" w:rsidP="00F51E44">
      <w:pPr>
        <w:pBdr>
          <w:top w:val="single" w:sz="4" w:space="1" w:color="auto"/>
          <w:left w:val="single" w:sz="4" w:space="4" w:color="auto"/>
          <w:bottom w:val="single" w:sz="4" w:space="1" w:color="auto"/>
          <w:right w:val="single" w:sz="4" w:space="4" w:color="auto"/>
        </w:pBdr>
      </w:pPr>
      <w:r>
        <w:t xml:space="preserve">3. </w:t>
      </w:r>
      <w:r w:rsidR="009F27EA">
        <w:t>Clinical benefit rate at 24 weeks (defined as the rate of complete response, partial response, or stable disease at 24 weeks or more)</w:t>
      </w:r>
    </w:p>
    <w:p w:rsidR="00F51E44" w:rsidRDefault="003850A8" w:rsidP="00F51E44">
      <w:pPr>
        <w:pBdr>
          <w:top w:val="single" w:sz="4" w:space="1" w:color="auto"/>
          <w:left w:val="single" w:sz="4" w:space="4" w:color="auto"/>
          <w:bottom w:val="single" w:sz="4" w:space="1" w:color="auto"/>
          <w:right w:val="single" w:sz="4" w:space="4" w:color="auto"/>
        </w:pBdr>
      </w:pPr>
      <w:r>
        <w:t xml:space="preserve">4. </w:t>
      </w:r>
      <w:r w:rsidR="009F27EA">
        <w:t>Duration of response</w:t>
      </w:r>
    </w:p>
    <w:p w:rsidR="007F369F" w:rsidRPr="007F369F" w:rsidRDefault="007F369F" w:rsidP="00F51E44">
      <w:pPr>
        <w:pBdr>
          <w:top w:val="single" w:sz="4" w:space="1" w:color="auto"/>
          <w:left w:val="single" w:sz="4" w:space="4" w:color="auto"/>
          <w:bottom w:val="single" w:sz="4" w:space="1" w:color="auto"/>
          <w:right w:val="single" w:sz="4" w:space="4" w:color="auto"/>
        </w:pBdr>
        <w:rPr>
          <w:i/>
        </w:rPr>
      </w:pPr>
      <w:r w:rsidRPr="007F369F">
        <w:rPr>
          <w:i/>
        </w:rPr>
        <w:t>Patient reported outcomes</w:t>
      </w:r>
    </w:p>
    <w:p w:rsidR="00F51E44" w:rsidRDefault="00F51E44" w:rsidP="00F51E44">
      <w:pPr>
        <w:pBdr>
          <w:top w:val="single" w:sz="4" w:space="1" w:color="auto"/>
          <w:left w:val="single" w:sz="4" w:space="4" w:color="auto"/>
          <w:bottom w:val="single" w:sz="4" w:space="1" w:color="auto"/>
          <w:right w:val="single" w:sz="4" w:space="4" w:color="auto"/>
        </w:pBdr>
      </w:pPr>
      <w:r>
        <w:t>Health related quality of life (according to European Organisation for Research and Treatment of Cancer Quality of Life Questionnaire [EORTC-QLQ-C30])</w:t>
      </w:r>
      <w:r w:rsidR="007F369F">
        <w:t xml:space="preserve"> and the breast cancer-specific QLQ-BR23 at baseline, the beginning of each treatment cycle, and the end of treatment as supportive pre-specified exploratory endpoints.</w:t>
      </w:r>
    </w:p>
    <w:p w:rsidR="00F51E44" w:rsidRPr="001B29A1" w:rsidRDefault="00F51E44" w:rsidP="001B29A1">
      <w:pPr>
        <w:pBdr>
          <w:top w:val="single" w:sz="4" w:space="1" w:color="auto"/>
          <w:left w:val="single" w:sz="4" w:space="4" w:color="auto"/>
          <w:bottom w:val="single" w:sz="4" w:space="1" w:color="auto"/>
          <w:right w:val="single" w:sz="4" w:space="4" w:color="auto"/>
        </w:pBdr>
        <w:rPr>
          <w:szCs w:val="20"/>
        </w:rPr>
      </w:pPr>
    </w:p>
    <w:p w:rsidR="001B29A1" w:rsidRPr="00154B00" w:rsidRDefault="001B29A1" w:rsidP="001B29A1">
      <w:pPr>
        <w:pBdr>
          <w:top w:val="single" w:sz="4" w:space="1" w:color="auto"/>
          <w:left w:val="single" w:sz="4" w:space="4" w:color="auto"/>
          <w:bottom w:val="single" w:sz="4" w:space="1" w:color="auto"/>
          <w:right w:val="single" w:sz="4" w:space="4" w:color="auto"/>
        </w:pBdr>
        <w:rPr>
          <w:b/>
          <w:szCs w:val="20"/>
        </w:rPr>
      </w:pPr>
    </w:p>
    <w:p w:rsidR="00C776B1" w:rsidRPr="00C776B1" w:rsidRDefault="003433D1" w:rsidP="00092580">
      <w:pPr>
        <w:pStyle w:val="Heading1"/>
      </w:pPr>
      <w:r>
        <w:rPr>
          <w:b/>
          <w:sz w:val="32"/>
        </w:rPr>
        <w:br w:type="page"/>
      </w:r>
      <w:r w:rsidR="005C3AE7">
        <w:t>PART 7</w:t>
      </w:r>
      <w:r w:rsidR="00F93784">
        <w:t xml:space="preserve"> – </w:t>
      </w:r>
      <w:r w:rsidR="006C74B1" w:rsidRPr="00C776B1">
        <w:t xml:space="preserve">INFORMATION ABOUT </w:t>
      </w:r>
      <w:r w:rsidR="0018630F" w:rsidRPr="00C776B1">
        <w:t xml:space="preserve">ESTIMATED </w:t>
      </w:r>
      <w:r w:rsidR="00974D50" w:rsidRPr="00C776B1">
        <w:t>UTILISATION</w:t>
      </w:r>
    </w:p>
    <w:p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rsidR="006E53E5" w:rsidRPr="00DA6DFE" w:rsidRDefault="006E53E5" w:rsidP="006E53E5">
      <w:pPr>
        <w:ind w:left="360"/>
      </w:pPr>
      <w:r>
        <w:t xml:space="preserve">The estimated incidence of breast cancer was </w:t>
      </w:r>
      <w:r w:rsidR="00FC11D1">
        <w:t xml:space="preserve">calculated using the actual number of new cases in 2014 (AIHW) </w:t>
      </w:r>
      <w:r>
        <w:t>and extrapolat</w:t>
      </w:r>
      <w:r w:rsidR="00DA6DFE">
        <w:t xml:space="preserve">ed </w:t>
      </w:r>
      <w:r>
        <w:t xml:space="preserve">to 2020 </w:t>
      </w:r>
      <w:r w:rsidR="00FC11D1">
        <w:t>using t</w:t>
      </w:r>
      <w:r>
        <w:t>he</w:t>
      </w:r>
      <w:r w:rsidR="00FC11D1">
        <w:t xml:space="preserve"> </w:t>
      </w:r>
      <w:r w:rsidRPr="006E53E5">
        <w:t xml:space="preserve">AIHW Cancer incidence projections (2011-2020). </w:t>
      </w:r>
      <w:r w:rsidR="00FC11D1">
        <w:t xml:space="preserve">Of these, the proportion of patients with locally advanced disease (Stage III) and metastatic disease (Stage IV) was estimated to be 12% and 5%, respectively based on </w:t>
      </w:r>
      <w:r w:rsidR="00DA6DFE">
        <w:t xml:space="preserve">estimates from </w:t>
      </w:r>
      <w:r w:rsidR="00FC11D1">
        <w:t>Cancer Australia</w:t>
      </w:r>
      <w:r w:rsidR="00E84EAE">
        <w:t>.</w:t>
      </w:r>
      <w:r w:rsidR="00DA6DFE" w:rsidRPr="00DA6DFE">
        <w:rPr>
          <w:vertAlign w:val="superscript"/>
        </w:rPr>
        <w:t>11</w:t>
      </w:r>
      <w:r w:rsidR="009D6C5B">
        <w:t xml:space="preserve"> </w:t>
      </w:r>
      <w:r w:rsidR="009D6C5B" w:rsidRPr="009D6C5B">
        <w:t xml:space="preserve">In addition, it was estimated that ~2% of patients with earlier stage disease would progress to metastatic disease (Lord </w:t>
      </w:r>
      <w:r w:rsidR="009D6C5B" w:rsidRPr="009D6C5B">
        <w:rPr>
          <w:i/>
        </w:rPr>
        <w:t>et al</w:t>
      </w:r>
      <w:r w:rsidR="009D6C5B" w:rsidRPr="009D6C5B">
        <w:t xml:space="preserve"> 2012</w:t>
      </w:r>
      <w:r w:rsidR="009D6C5B">
        <w:t>)</w:t>
      </w:r>
      <w:r w:rsidR="00137C66">
        <w:t>.</w:t>
      </w:r>
    </w:p>
    <w:p w:rsidR="00382407"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rsidR="006275CE" w:rsidRPr="00154B00" w:rsidRDefault="006275CE" w:rsidP="006275CE">
      <w:pPr>
        <w:ind w:left="426"/>
        <w:jc w:val="both"/>
        <w:rPr>
          <w:szCs w:val="20"/>
        </w:rPr>
      </w:pPr>
      <w:r w:rsidRPr="001C3EF0">
        <w:rPr>
          <w:i/>
        </w:rPr>
        <w:t>BRCA</w:t>
      </w:r>
      <w:r>
        <w:t xml:space="preserve"> testing would be delivered only once to a patient to determine eligibility for talazoparib treatment. One lifetime germline </w:t>
      </w:r>
      <w:r w:rsidRPr="001C3EF0">
        <w:rPr>
          <w:i/>
        </w:rPr>
        <w:t>BRCA</w:t>
      </w:r>
      <w:r w:rsidRPr="002A6052">
        <w:t xml:space="preserve"> </w:t>
      </w:r>
      <w:r>
        <w:t>mutation test is required per patient.</w:t>
      </w:r>
    </w:p>
    <w:p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rsidR="006275CE" w:rsidRPr="00154B00" w:rsidRDefault="006275CE" w:rsidP="006275CE">
      <w:pPr>
        <w:ind w:left="426"/>
        <w:jc w:val="both"/>
        <w:rPr>
          <w:szCs w:val="20"/>
        </w:rPr>
      </w:pPr>
      <w:r>
        <w:t xml:space="preserve">One lifetime germline </w:t>
      </w:r>
      <w:r w:rsidRPr="001C3EF0">
        <w:rPr>
          <w:i/>
        </w:rPr>
        <w:t>BRCA</w:t>
      </w:r>
      <w:r w:rsidRPr="002A6052">
        <w:t xml:space="preserve"> </w:t>
      </w:r>
      <w:r>
        <w:t>mutation test is required per patient.</w:t>
      </w:r>
    </w:p>
    <w:p w:rsidR="002A6753" w:rsidRDefault="000E47E7" w:rsidP="00530204">
      <w:pPr>
        <w:pStyle w:val="Heading2"/>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tbl>
      <w:tblPr>
        <w:tblStyle w:val="TableGrid"/>
        <w:tblW w:w="0" w:type="auto"/>
        <w:tblInd w:w="534" w:type="dxa"/>
        <w:tblLook w:val="04A0" w:firstRow="1" w:lastRow="0" w:firstColumn="1" w:lastColumn="0" w:noHBand="0" w:noVBand="1"/>
        <w:tblCaption w:val="Table"/>
        <w:tblDescription w:val="Utilisation estimates"/>
      </w:tblPr>
      <w:tblGrid>
        <w:gridCol w:w="4723"/>
        <w:gridCol w:w="2305"/>
        <w:gridCol w:w="1454"/>
      </w:tblGrid>
      <w:tr w:rsidR="00A51F2C" w:rsidRPr="00A51F2C" w:rsidTr="00774635">
        <w:trPr>
          <w:trHeight w:val="20"/>
          <w:tblHeader/>
        </w:trPr>
        <w:tc>
          <w:tcPr>
            <w:tcW w:w="4853" w:type="dxa"/>
            <w:noWrap/>
            <w:hideMark/>
          </w:tcPr>
          <w:p w:rsidR="00A51F2C" w:rsidRPr="00A51F2C" w:rsidRDefault="00A51F2C" w:rsidP="00A51F2C">
            <w:pPr>
              <w:spacing w:before="0" w:after="0"/>
              <w:rPr>
                <w:rFonts w:ascii="Calibri" w:hAnsi="Calibri"/>
                <w:b/>
                <w:bCs/>
                <w:sz w:val="18"/>
                <w:szCs w:val="18"/>
              </w:rPr>
            </w:pPr>
            <w:r w:rsidRPr="00A51F2C">
              <w:rPr>
                <w:rFonts w:ascii="Calibri" w:hAnsi="Calibri"/>
                <w:b/>
                <w:bCs/>
                <w:sz w:val="18"/>
                <w:szCs w:val="18"/>
              </w:rPr>
              <w:t>Parameter</w:t>
            </w:r>
          </w:p>
        </w:tc>
        <w:tc>
          <w:tcPr>
            <w:tcW w:w="2365" w:type="dxa"/>
            <w:noWrap/>
            <w:hideMark/>
          </w:tcPr>
          <w:p w:rsidR="00A51F2C" w:rsidRPr="00A51F2C" w:rsidRDefault="00A51F2C" w:rsidP="00A51F2C">
            <w:pPr>
              <w:spacing w:before="0" w:after="0"/>
              <w:jc w:val="center"/>
              <w:rPr>
                <w:rFonts w:ascii="Calibri" w:hAnsi="Calibri"/>
                <w:b/>
                <w:bCs/>
                <w:sz w:val="18"/>
                <w:szCs w:val="18"/>
              </w:rPr>
            </w:pPr>
            <w:r w:rsidRPr="00A51F2C">
              <w:rPr>
                <w:rFonts w:ascii="Calibri" w:hAnsi="Calibri"/>
                <w:b/>
                <w:bCs/>
                <w:sz w:val="18"/>
                <w:szCs w:val="18"/>
              </w:rPr>
              <w:t>Estimate</w:t>
            </w:r>
          </w:p>
        </w:tc>
        <w:tc>
          <w:tcPr>
            <w:tcW w:w="1490" w:type="dxa"/>
            <w:noWrap/>
            <w:hideMark/>
          </w:tcPr>
          <w:p w:rsidR="00A51F2C" w:rsidRPr="00A51F2C" w:rsidRDefault="00A51F2C" w:rsidP="00A51F2C">
            <w:pPr>
              <w:spacing w:before="0" w:after="0"/>
              <w:jc w:val="center"/>
              <w:rPr>
                <w:rFonts w:ascii="Calibri" w:hAnsi="Calibri"/>
                <w:b/>
                <w:bCs/>
                <w:sz w:val="18"/>
                <w:szCs w:val="18"/>
              </w:rPr>
            </w:pPr>
            <w:r w:rsidRPr="00A51F2C">
              <w:rPr>
                <w:rFonts w:ascii="Calibri" w:hAnsi="Calibri"/>
                <w:b/>
                <w:bCs/>
                <w:sz w:val="18"/>
                <w:szCs w:val="18"/>
              </w:rPr>
              <w:t>Reference</w:t>
            </w:r>
          </w:p>
        </w:tc>
      </w:tr>
      <w:tr w:rsidR="00A51F2C" w:rsidRPr="00A51F2C" w:rsidTr="00A51F2C">
        <w:trPr>
          <w:trHeight w:val="20"/>
        </w:trPr>
        <w:tc>
          <w:tcPr>
            <w:tcW w:w="4853" w:type="dxa"/>
            <w:noWrap/>
            <w:hideMark/>
          </w:tcPr>
          <w:p w:rsidR="00A51F2C" w:rsidRPr="00A51F2C" w:rsidRDefault="00A51F2C" w:rsidP="00A51F2C">
            <w:pPr>
              <w:spacing w:before="0" w:after="0"/>
              <w:rPr>
                <w:rFonts w:ascii="Calibri" w:hAnsi="Calibri"/>
                <w:sz w:val="18"/>
                <w:szCs w:val="18"/>
              </w:rPr>
            </w:pPr>
            <w:r w:rsidRPr="00A51F2C">
              <w:rPr>
                <w:rFonts w:ascii="Calibri" w:hAnsi="Calibri"/>
                <w:sz w:val="18"/>
                <w:szCs w:val="18"/>
              </w:rPr>
              <w:t>Projected new cases of breast cancer (2020)</w:t>
            </w:r>
          </w:p>
        </w:tc>
        <w:tc>
          <w:tcPr>
            <w:tcW w:w="2365" w:type="dxa"/>
            <w:noWrap/>
            <w:hideMark/>
          </w:tcPr>
          <w:p w:rsidR="00A51F2C" w:rsidRPr="00A51F2C" w:rsidRDefault="00A51F2C" w:rsidP="00A51F2C">
            <w:pPr>
              <w:spacing w:before="0" w:after="0"/>
              <w:jc w:val="center"/>
              <w:rPr>
                <w:rFonts w:ascii="Calibri" w:hAnsi="Calibri"/>
                <w:sz w:val="18"/>
                <w:szCs w:val="18"/>
              </w:rPr>
            </w:pPr>
            <w:r w:rsidRPr="00A51F2C">
              <w:rPr>
                <w:rFonts w:ascii="Calibri" w:hAnsi="Calibri"/>
                <w:sz w:val="18"/>
                <w:szCs w:val="18"/>
              </w:rPr>
              <w:t>18881</w:t>
            </w:r>
          </w:p>
        </w:tc>
        <w:tc>
          <w:tcPr>
            <w:tcW w:w="1490" w:type="dxa"/>
            <w:noWrap/>
            <w:hideMark/>
          </w:tcPr>
          <w:p w:rsidR="00A51F2C" w:rsidRPr="00A51F2C" w:rsidRDefault="00FC11D1" w:rsidP="00A51F2C">
            <w:pPr>
              <w:spacing w:before="0" w:after="0"/>
              <w:jc w:val="center"/>
              <w:rPr>
                <w:rFonts w:ascii="Calibri" w:hAnsi="Calibri"/>
                <w:sz w:val="18"/>
                <w:szCs w:val="18"/>
              </w:rPr>
            </w:pPr>
            <w:r>
              <w:rPr>
                <w:rFonts w:ascii="Calibri" w:hAnsi="Calibri"/>
                <w:sz w:val="18"/>
                <w:szCs w:val="18"/>
              </w:rPr>
              <w:t>AIHW</w:t>
            </w:r>
          </w:p>
        </w:tc>
      </w:tr>
      <w:tr w:rsidR="00A51F2C" w:rsidRPr="00A51F2C" w:rsidTr="00A51F2C">
        <w:trPr>
          <w:trHeight w:val="20"/>
        </w:trPr>
        <w:tc>
          <w:tcPr>
            <w:tcW w:w="4853" w:type="dxa"/>
            <w:noWrap/>
            <w:hideMark/>
          </w:tcPr>
          <w:p w:rsidR="00A51F2C" w:rsidRPr="00A51F2C" w:rsidRDefault="00A51F2C" w:rsidP="00A51F2C">
            <w:pPr>
              <w:spacing w:before="0" w:after="0"/>
              <w:rPr>
                <w:rFonts w:ascii="Calibri" w:hAnsi="Calibri"/>
                <w:sz w:val="18"/>
                <w:szCs w:val="18"/>
              </w:rPr>
            </w:pPr>
            <w:r w:rsidRPr="00A51F2C">
              <w:rPr>
                <w:rFonts w:ascii="Calibri" w:hAnsi="Calibri"/>
                <w:sz w:val="18"/>
                <w:szCs w:val="18"/>
              </w:rPr>
              <w:t>Proportion locally advanced (stage III A, III B or IIIC) at diagnosis</w:t>
            </w:r>
          </w:p>
        </w:tc>
        <w:tc>
          <w:tcPr>
            <w:tcW w:w="2365" w:type="dxa"/>
            <w:noWrap/>
            <w:hideMark/>
          </w:tcPr>
          <w:p w:rsidR="00A51F2C" w:rsidRPr="00A51F2C" w:rsidRDefault="00A51F2C" w:rsidP="00A51F2C">
            <w:pPr>
              <w:spacing w:before="0" w:after="0"/>
              <w:jc w:val="center"/>
              <w:rPr>
                <w:rFonts w:ascii="Calibri" w:hAnsi="Calibri"/>
                <w:sz w:val="18"/>
                <w:szCs w:val="18"/>
              </w:rPr>
            </w:pPr>
            <w:r w:rsidRPr="00A51F2C">
              <w:rPr>
                <w:rFonts w:ascii="Calibri" w:hAnsi="Calibri"/>
                <w:sz w:val="18"/>
                <w:szCs w:val="18"/>
              </w:rPr>
              <w:t>12%</w:t>
            </w:r>
          </w:p>
        </w:tc>
        <w:tc>
          <w:tcPr>
            <w:tcW w:w="1490" w:type="dxa"/>
            <w:noWrap/>
            <w:hideMark/>
          </w:tcPr>
          <w:p w:rsidR="00A51F2C" w:rsidRPr="00A51F2C" w:rsidRDefault="00A51F2C" w:rsidP="006710AF">
            <w:pPr>
              <w:spacing w:before="0" w:after="0"/>
              <w:jc w:val="center"/>
              <w:rPr>
                <w:rFonts w:ascii="Calibri" w:hAnsi="Calibri"/>
                <w:sz w:val="18"/>
                <w:szCs w:val="18"/>
              </w:rPr>
            </w:pPr>
            <w:r w:rsidRPr="00A51F2C">
              <w:rPr>
                <w:rFonts w:ascii="Calibri" w:hAnsi="Calibri"/>
                <w:sz w:val="18"/>
                <w:szCs w:val="18"/>
              </w:rPr>
              <w:t>Cancer Australia</w:t>
            </w:r>
          </w:p>
        </w:tc>
      </w:tr>
      <w:tr w:rsidR="00A51F2C" w:rsidRPr="00A51F2C" w:rsidTr="00A51F2C">
        <w:trPr>
          <w:trHeight w:val="20"/>
        </w:trPr>
        <w:tc>
          <w:tcPr>
            <w:tcW w:w="4853" w:type="dxa"/>
            <w:noWrap/>
            <w:hideMark/>
          </w:tcPr>
          <w:p w:rsidR="00A51F2C" w:rsidRPr="00A51F2C" w:rsidRDefault="00A51F2C" w:rsidP="00A51F2C">
            <w:pPr>
              <w:spacing w:before="0" w:after="0"/>
              <w:rPr>
                <w:rFonts w:ascii="Calibri" w:hAnsi="Calibri"/>
                <w:sz w:val="18"/>
                <w:szCs w:val="18"/>
              </w:rPr>
            </w:pPr>
            <w:r w:rsidRPr="00A51F2C">
              <w:rPr>
                <w:rFonts w:ascii="Calibri" w:hAnsi="Calibri"/>
                <w:sz w:val="18"/>
                <w:szCs w:val="18"/>
              </w:rPr>
              <w:t>Proportion metastatic at diagnosis (stage IV) at diagnosis</w:t>
            </w:r>
          </w:p>
        </w:tc>
        <w:tc>
          <w:tcPr>
            <w:tcW w:w="2365" w:type="dxa"/>
            <w:noWrap/>
            <w:hideMark/>
          </w:tcPr>
          <w:p w:rsidR="00A51F2C" w:rsidRPr="00A51F2C" w:rsidRDefault="00A51F2C" w:rsidP="00A51F2C">
            <w:pPr>
              <w:spacing w:before="0" w:after="0"/>
              <w:jc w:val="center"/>
              <w:rPr>
                <w:rFonts w:ascii="Calibri" w:hAnsi="Calibri"/>
                <w:sz w:val="18"/>
                <w:szCs w:val="18"/>
              </w:rPr>
            </w:pPr>
            <w:r w:rsidRPr="00A51F2C">
              <w:rPr>
                <w:rFonts w:ascii="Calibri" w:hAnsi="Calibri"/>
                <w:sz w:val="18"/>
                <w:szCs w:val="18"/>
              </w:rPr>
              <w:t>5%</w:t>
            </w:r>
          </w:p>
        </w:tc>
        <w:tc>
          <w:tcPr>
            <w:tcW w:w="1490" w:type="dxa"/>
            <w:noWrap/>
            <w:hideMark/>
          </w:tcPr>
          <w:p w:rsidR="00A51F2C" w:rsidRPr="00A51F2C" w:rsidRDefault="00A51F2C" w:rsidP="00A51F2C">
            <w:pPr>
              <w:spacing w:before="0" w:after="0"/>
              <w:jc w:val="center"/>
              <w:rPr>
                <w:rFonts w:ascii="Calibri" w:hAnsi="Calibri"/>
                <w:sz w:val="18"/>
                <w:szCs w:val="18"/>
              </w:rPr>
            </w:pPr>
            <w:r w:rsidRPr="00A51F2C">
              <w:rPr>
                <w:rFonts w:ascii="Calibri" w:hAnsi="Calibri"/>
                <w:sz w:val="18"/>
                <w:szCs w:val="18"/>
              </w:rPr>
              <w:t>Cancer Australia</w:t>
            </w:r>
          </w:p>
        </w:tc>
      </w:tr>
      <w:tr w:rsidR="00A51F2C" w:rsidRPr="00A51F2C" w:rsidTr="00A51F2C">
        <w:trPr>
          <w:trHeight w:val="20"/>
        </w:trPr>
        <w:tc>
          <w:tcPr>
            <w:tcW w:w="4853" w:type="dxa"/>
            <w:noWrap/>
            <w:hideMark/>
          </w:tcPr>
          <w:p w:rsidR="00A51F2C" w:rsidRPr="00A51F2C" w:rsidRDefault="00A51F2C" w:rsidP="00A51F2C">
            <w:pPr>
              <w:spacing w:before="0" w:after="0"/>
              <w:rPr>
                <w:rFonts w:ascii="Calibri" w:hAnsi="Calibri"/>
                <w:sz w:val="18"/>
                <w:szCs w:val="18"/>
              </w:rPr>
            </w:pPr>
            <w:r w:rsidRPr="00A51F2C">
              <w:rPr>
                <w:rFonts w:ascii="Calibri" w:hAnsi="Calibri"/>
                <w:sz w:val="18"/>
                <w:szCs w:val="18"/>
              </w:rPr>
              <w:t>Cases progressing to metastatic disease in 2020</w:t>
            </w:r>
          </w:p>
        </w:tc>
        <w:tc>
          <w:tcPr>
            <w:tcW w:w="2365" w:type="dxa"/>
            <w:hideMark/>
          </w:tcPr>
          <w:p w:rsidR="00A51F2C" w:rsidRPr="00A51F2C" w:rsidRDefault="00A51F2C" w:rsidP="00A51F2C">
            <w:pPr>
              <w:spacing w:before="0" w:after="0"/>
              <w:jc w:val="center"/>
              <w:rPr>
                <w:rFonts w:ascii="Calibri" w:hAnsi="Calibri"/>
                <w:sz w:val="18"/>
                <w:szCs w:val="18"/>
              </w:rPr>
            </w:pPr>
            <w:r w:rsidRPr="00A51F2C">
              <w:rPr>
                <w:rFonts w:ascii="Calibri" w:hAnsi="Calibri"/>
                <w:sz w:val="18"/>
                <w:szCs w:val="18"/>
              </w:rPr>
              <w:t>2.02% of cases diagnosed each year between 2016-2020</w:t>
            </w:r>
          </w:p>
        </w:tc>
        <w:tc>
          <w:tcPr>
            <w:tcW w:w="1490" w:type="dxa"/>
            <w:noWrap/>
            <w:hideMark/>
          </w:tcPr>
          <w:p w:rsidR="00A51F2C" w:rsidRPr="00A51F2C" w:rsidRDefault="00A51F2C" w:rsidP="00A51F2C">
            <w:pPr>
              <w:spacing w:before="0" w:after="0"/>
              <w:jc w:val="center"/>
              <w:rPr>
                <w:rFonts w:ascii="Calibri" w:hAnsi="Calibri"/>
                <w:sz w:val="18"/>
                <w:szCs w:val="18"/>
              </w:rPr>
            </w:pPr>
            <w:r w:rsidRPr="00A51F2C">
              <w:rPr>
                <w:rFonts w:ascii="Calibri" w:hAnsi="Calibri"/>
                <w:sz w:val="18"/>
                <w:szCs w:val="18"/>
              </w:rPr>
              <w:t>Lord 2012</w:t>
            </w:r>
          </w:p>
        </w:tc>
      </w:tr>
      <w:tr w:rsidR="00A51F2C" w:rsidRPr="00A51F2C" w:rsidTr="00A51F2C">
        <w:trPr>
          <w:trHeight w:val="20"/>
        </w:trPr>
        <w:tc>
          <w:tcPr>
            <w:tcW w:w="4853" w:type="dxa"/>
            <w:noWrap/>
            <w:hideMark/>
          </w:tcPr>
          <w:p w:rsidR="00A51F2C" w:rsidRPr="00A51F2C" w:rsidRDefault="00A51F2C" w:rsidP="00A51F2C">
            <w:pPr>
              <w:spacing w:before="0" w:after="0"/>
              <w:rPr>
                <w:rFonts w:ascii="Calibri" w:hAnsi="Calibri"/>
                <w:sz w:val="18"/>
                <w:szCs w:val="18"/>
              </w:rPr>
            </w:pPr>
            <w:r w:rsidRPr="00A51F2C">
              <w:rPr>
                <w:rFonts w:ascii="Calibri" w:hAnsi="Calibri"/>
                <w:sz w:val="18"/>
                <w:szCs w:val="18"/>
              </w:rPr>
              <w:t>Number of locally advanced (stage III A, III B or IIIC) patients</w:t>
            </w:r>
          </w:p>
        </w:tc>
        <w:tc>
          <w:tcPr>
            <w:tcW w:w="2365" w:type="dxa"/>
            <w:hideMark/>
          </w:tcPr>
          <w:p w:rsidR="00A51F2C" w:rsidRPr="00A51F2C" w:rsidRDefault="00A51F2C" w:rsidP="00A51F2C">
            <w:pPr>
              <w:spacing w:before="0" w:after="0"/>
              <w:jc w:val="center"/>
              <w:rPr>
                <w:rFonts w:ascii="Calibri" w:hAnsi="Calibri"/>
                <w:sz w:val="18"/>
                <w:szCs w:val="18"/>
              </w:rPr>
            </w:pPr>
            <w:r w:rsidRPr="00A51F2C">
              <w:rPr>
                <w:rFonts w:ascii="Calibri" w:hAnsi="Calibri"/>
                <w:sz w:val="18"/>
                <w:szCs w:val="18"/>
              </w:rPr>
              <w:t>2266</w:t>
            </w:r>
          </w:p>
        </w:tc>
        <w:tc>
          <w:tcPr>
            <w:tcW w:w="1490" w:type="dxa"/>
            <w:noWrap/>
            <w:hideMark/>
          </w:tcPr>
          <w:p w:rsidR="00A51F2C" w:rsidRPr="00A51F2C" w:rsidRDefault="00A51F2C" w:rsidP="00A51F2C">
            <w:pPr>
              <w:spacing w:before="0" w:after="0"/>
              <w:jc w:val="center"/>
              <w:rPr>
                <w:rFonts w:ascii="Calibri" w:hAnsi="Calibri"/>
                <w:sz w:val="18"/>
                <w:szCs w:val="18"/>
              </w:rPr>
            </w:pPr>
          </w:p>
        </w:tc>
      </w:tr>
      <w:tr w:rsidR="00A51F2C" w:rsidRPr="00A51F2C" w:rsidTr="00A51F2C">
        <w:trPr>
          <w:trHeight w:val="20"/>
        </w:trPr>
        <w:tc>
          <w:tcPr>
            <w:tcW w:w="4853" w:type="dxa"/>
            <w:noWrap/>
            <w:hideMark/>
          </w:tcPr>
          <w:p w:rsidR="00A51F2C" w:rsidRPr="00A51F2C" w:rsidRDefault="00A51F2C" w:rsidP="00A51F2C">
            <w:pPr>
              <w:spacing w:before="0" w:after="0"/>
              <w:rPr>
                <w:rFonts w:ascii="Calibri" w:hAnsi="Calibri"/>
                <w:sz w:val="18"/>
                <w:szCs w:val="18"/>
              </w:rPr>
            </w:pPr>
            <w:r w:rsidRPr="00A51F2C">
              <w:rPr>
                <w:rFonts w:ascii="Calibri" w:hAnsi="Calibri"/>
                <w:sz w:val="18"/>
                <w:szCs w:val="18"/>
              </w:rPr>
              <w:t>Number of metastatic (stage IV) patients</w:t>
            </w:r>
          </w:p>
        </w:tc>
        <w:tc>
          <w:tcPr>
            <w:tcW w:w="2365" w:type="dxa"/>
            <w:hideMark/>
          </w:tcPr>
          <w:p w:rsidR="00A51F2C" w:rsidRPr="00A51F2C" w:rsidRDefault="00A51F2C" w:rsidP="00A51F2C">
            <w:pPr>
              <w:spacing w:before="0" w:after="0"/>
              <w:jc w:val="center"/>
              <w:rPr>
                <w:rFonts w:ascii="Calibri" w:hAnsi="Calibri"/>
                <w:sz w:val="18"/>
                <w:szCs w:val="18"/>
              </w:rPr>
            </w:pPr>
            <w:r w:rsidRPr="00A51F2C">
              <w:rPr>
                <w:rFonts w:ascii="Calibri" w:hAnsi="Calibri"/>
                <w:sz w:val="18"/>
                <w:szCs w:val="18"/>
              </w:rPr>
              <w:t>944</w:t>
            </w:r>
          </w:p>
        </w:tc>
        <w:tc>
          <w:tcPr>
            <w:tcW w:w="1490" w:type="dxa"/>
            <w:noWrap/>
            <w:hideMark/>
          </w:tcPr>
          <w:p w:rsidR="00A51F2C" w:rsidRPr="00A51F2C" w:rsidRDefault="00A51F2C" w:rsidP="00A51F2C">
            <w:pPr>
              <w:spacing w:before="0" w:after="0"/>
              <w:jc w:val="center"/>
              <w:rPr>
                <w:rFonts w:ascii="Calibri" w:hAnsi="Calibri"/>
                <w:sz w:val="18"/>
                <w:szCs w:val="18"/>
              </w:rPr>
            </w:pPr>
          </w:p>
        </w:tc>
      </w:tr>
      <w:tr w:rsidR="00A51F2C" w:rsidRPr="00A51F2C" w:rsidTr="00A51F2C">
        <w:trPr>
          <w:trHeight w:val="20"/>
        </w:trPr>
        <w:tc>
          <w:tcPr>
            <w:tcW w:w="4853" w:type="dxa"/>
            <w:noWrap/>
            <w:hideMark/>
          </w:tcPr>
          <w:p w:rsidR="00A51F2C" w:rsidRPr="00A51F2C" w:rsidRDefault="00A51F2C" w:rsidP="00A51F2C">
            <w:pPr>
              <w:spacing w:before="0" w:after="0"/>
              <w:rPr>
                <w:rFonts w:ascii="Calibri" w:hAnsi="Calibri"/>
                <w:sz w:val="18"/>
                <w:szCs w:val="18"/>
              </w:rPr>
            </w:pPr>
            <w:r w:rsidRPr="00A51F2C">
              <w:rPr>
                <w:rFonts w:ascii="Calibri" w:hAnsi="Calibri"/>
                <w:sz w:val="18"/>
                <w:szCs w:val="18"/>
              </w:rPr>
              <w:t>Total cases of locally advanced or metastatic breast cancer</w:t>
            </w:r>
          </w:p>
        </w:tc>
        <w:tc>
          <w:tcPr>
            <w:tcW w:w="2365" w:type="dxa"/>
            <w:noWrap/>
            <w:hideMark/>
          </w:tcPr>
          <w:p w:rsidR="00A51F2C" w:rsidRPr="00A51F2C" w:rsidRDefault="00A51F2C" w:rsidP="00A51F2C">
            <w:pPr>
              <w:spacing w:before="0" w:after="0"/>
              <w:jc w:val="center"/>
              <w:rPr>
                <w:rFonts w:ascii="Calibri" w:hAnsi="Calibri"/>
                <w:sz w:val="18"/>
                <w:szCs w:val="18"/>
              </w:rPr>
            </w:pPr>
            <w:r w:rsidRPr="00A51F2C">
              <w:rPr>
                <w:rFonts w:ascii="Calibri" w:hAnsi="Calibri"/>
                <w:sz w:val="18"/>
                <w:szCs w:val="18"/>
              </w:rPr>
              <w:t>3591</w:t>
            </w:r>
          </w:p>
        </w:tc>
        <w:tc>
          <w:tcPr>
            <w:tcW w:w="1490" w:type="dxa"/>
            <w:noWrap/>
            <w:hideMark/>
          </w:tcPr>
          <w:p w:rsidR="00A51F2C" w:rsidRPr="00A51F2C" w:rsidRDefault="00A51F2C" w:rsidP="00A51F2C">
            <w:pPr>
              <w:spacing w:before="0" w:after="0"/>
              <w:jc w:val="center"/>
              <w:rPr>
                <w:rFonts w:ascii="Calibri" w:hAnsi="Calibri"/>
                <w:sz w:val="18"/>
                <w:szCs w:val="18"/>
              </w:rPr>
            </w:pPr>
          </w:p>
        </w:tc>
      </w:tr>
      <w:tr w:rsidR="00A51F2C" w:rsidRPr="00A51F2C" w:rsidTr="00A51F2C">
        <w:trPr>
          <w:trHeight w:val="20"/>
        </w:trPr>
        <w:tc>
          <w:tcPr>
            <w:tcW w:w="4853" w:type="dxa"/>
            <w:noWrap/>
            <w:hideMark/>
          </w:tcPr>
          <w:p w:rsidR="00A51F2C" w:rsidRPr="00A51F2C" w:rsidRDefault="00A51F2C" w:rsidP="00A51F2C">
            <w:pPr>
              <w:spacing w:before="0" w:after="0"/>
              <w:rPr>
                <w:rFonts w:ascii="Calibri" w:hAnsi="Calibri"/>
                <w:sz w:val="18"/>
                <w:szCs w:val="18"/>
              </w:rPr>
            </w:pPr>
            <w:r w:rsidRPr="00A51F2C">
              <w:rPr>
                <w:rFonts w:ascii="Calibri" w:hAnsi="Calibri"/>
                <w:sz w:val="18"/>
                <w:szCs w:val="18"/>
              </w:rPr>
              <w:t>Proportion HR+/HER2-negative (average Stage III and stage IV )</w:t>
            </w:r>
          </w:p>
        </w:tc>
        <w:tc>
          <w:tcPr>
            <w:tcW w:w="2365" w:type="dxa"/>
            <w:noWrap/>
            <w:hideMark/>
          </w:tcPr>
          <w:p w:rsidR="00A51F2C" w:rsidRPr="00A51F2C" w:rsidRDefault="00A51F2C" w:rsidP="00A51F2C">
            <w:pPr>
              <w:spacing w:before="0" w:after="0"/>
              <w:jc w:val="center"/>
              <w:rPr>
                <w:rFonts w:ascii="Calibri" w:hAnsi="Calibri"/>
                <w:sz w:val="18"/>
                <w:szCs w:val="18"/>
              </w:rPr>
            </w:pPr>
            <w:r w:rsidRPr="00A51F2C">
              <w:rPr>
                <w:rFonts w:ascii="Calibri" w:hAnsi="Calibri"/>
                <w:sz w:val="18"/>
                <w:szCs w:val="18"/>
              </w:rPr>
              <w:t>61.7%</w:t>
            </w:r>
          </w:p>
        </w:tc>
        <w:tc>
          <w:tcPr>
            <w:tcW w:w="1490" w:type="dxa"/>
            <w:noWrap/>
            <w:hideMark/>
          </w:tcPr>
          <w:p w:rsidR="00A51F2C" w:rsidRPr="00A51F2C" w:rsidRDefault="00A51F2C" w:rsidP="00A51F2C">
            <w:pPr>
              <w:spacing w:before="0" w:after="0"/>
              <w:jc w:val="center"/>
              <w:rPr>
                <w:rFonts w:ascii="Calibri" w:hAnsi="Calibri"/>
                <w:sz w:val="18"/>
                <w:szCs w:val="18"/>
              </w:rPr>
            </w:pPr>
            <w:proofErr w:type="spellStart"/>
            <w:r w:rsidRPr="00A51F2C">
              <w:rPr>
                <w:rFonts w:ascii="Calibri" w:hAnsi="Calibri"/>
                <w:sz w:val="18"/>
                <w:szCs w:val="18"/>
              </w:rPr>
              <w:t>Howlader</w:t>
            </w:r>
            <w:proofErr w:type="spellEnd"/>
            <w:r w:rsidRPr="00A51F2C">
              <w:rPr>
                <w:rFonts w:ascii="Calibri" w:hAnsi="Calibri"/>
                <w:sz w:val="18"/>
                <w:szCs w:val="18"/>
              </w:rPr>
              <w:t xml:space="preserve"> 2014</w:t>
            </w:r>
          </w:p>
        </w:tc>
      </w:tr>
      <w:tr w:rsidR="00A51F2C" w:rsidRPr="00A51F2C" w:rsidTr="00A51F2C">
        <w:trPr>
          <w:trHeight w:val="20"/>
        </w:trPr>
        <w:tc>
          <w:tcPr>
            <w:tcW w:w="4853" w:type="dxa"/>
            <w:noWrap/>
            <w:hideMark/>
          </w:tcPr>
          <w:p w:rsidR="00A51F2C" w:rsidRPr="00A51F2C" w:rsidRDefault="00A51F2C" w:rsidP="00A51F2C">
            <w:pPr>
              <w:spacing w:before="0" w:after="0"/>
              <w:rPr>
                <w:rFonts w:ascii="Calibri" w:hAnsi="Calibri"/>
                <w:sz w:val="18"/>
                <w:szCs w:val="18"/>
              </w:rPr>
            </w:pPr>
            <w:r w:rsidRPr="00A51F2C">
              <w:rPr>
                <w:rFonts w:ascii="Calibri" w:hAnsi="Calibri"/>
                <w:sz w:val="18"/>
                <w:szCs w:val="18"/>
              </w:rPr>
              <w:t>Proportion triple-negative  (average Stage III and stage IV )</w:t>
            </w:r>
          </w:p>
        </w:tc>
        <w:tc>
          <w:tcPr>
            <w:tcW w:w="2365" w:type="dxa"/>
            <w:noWrap/>
            <w:hideMark/>
          </w:tcPr>
          <w:p w:rsidR="00A51F2C" w:rsidRPr="00A51F2C" w:rsidRDefault="00A51F2C" w:rsidP="00A51F2C">
            <w:pPr>
              <w:spacing w:before="0" w:after="0"/>
              <w:jc w:val="center"/>
              <w:rPr>
                <w:rFonts w:ascii="Calibri" w:hAnsi="Calibri"/>
                <w:sz w:val="18"/>
                <w:szCs w:val="18"/>
              </w:rPr>
            </w:pPr>
            <w:r w:rsidRPr="00A51F2C">
              <w:rPr>
                <w:rFonts w:ascii="Calibri" w:hAnsi="Calibri"/>
                <w:sz w:val="18"/>
                <w:szCs w:val="18"/>
              </w:rPr>
              <w:t>16%</w:t>
            </w:r>
          </w:p>
        </w:tc>
        <w:tc>
          <w:tcPr>
            <w:tcW w:w="1490" w:type="dxa"/>
            <w:noWrap/>
            <w:hideMark/>
          </w:tcPr>
          <w:p w:rsidR="00A51F2C" w:rsidRPr="00A51F2C" w:rsidRDefault="00A51F2C" w:rsidP="00A51F2C">
            <w:pPr>
              <w:spacing w:before="0" w:after="0"/>
              <w:jc w:val="center"/>
              <w:rPr>
                <w:rFonts w:ascii="Calibri" w:hAnsi="Calibri"/>
                <w:sz w:val="18"/>
                <w:szCs w:val="18"/>
              </w:rPr>
            </w:pPr>
            <w:proofErr w:type="spellStart"/>
            <w:r w:rsidRPr="00A51F2C">
              <w:rPr>
                <w:rFonts w:ascii="Calibri" w:hAnsi="Calibri"/>
                <w:sz w:val="18"/>
                <w:szCs w:val="18"/>
              </w:rPr>
              <w:t>Howlader</w:t>
            </w:r>
            <w:proofErr w:type="spellEnd"/>
            <w:r w:rsidRPr="00A51F2C">
              <w:rPr>
                <w:rFonts w:ascii="Calibri" w:hAnsi="Calibri"/>
                <w:sz w:val="18"/>
                <w:szCs w:val="18"/>
              </w:rPr>
              <w:t xml:space="preserve"> 2014</w:t>
            </w:r>
          </w:p>
        </w:tc>
      </w:tr>
      <w:tr w:rsidR="00A51F2C" w:rsidRPr="00A51F2C" w:rsidTr="00A51F2C">
        <w:trPr>
          <w:trHeight w:val="20"/>
        </w:trPr>
        <w:tc>
          <w:tcPr>
            <w:tcW w:w="4853" w:type="dxa"/>
            <w:hideMark/>
          </w:tcPr>
          <w:p w:rsidR="00A51F2C" w:rsidRPr="00A51F2C" w:rsidRDefault="00A51F2C" w:rsidP="00A51F2C">
            <w:pPr>
              <w:spacing w:before="0" w:after="0"/>
              <w:rPr>
                <w:rFonts w:ascii="Calibri" w:hAnsi="Calibri"/>
                <w:sz w:val="18"/>
                <w:szCs w:val="18"/>
              </w:rPr>
            </w:pPr>
            <w:r w:rsidRPr="00A51F2C">
              <w:rPr>
                <w:rFonts w:ascii="Calibri" w:hAnsi="Calibri"/>
                <w:sz w:val="18"/>
                <w:szCs w:val="18"/>
              </w:rPr>
              <w:t xml:space="preserve">Proportion with prior treatment with </w:t>
            </w:r>
            <w:proofErr w:type="spellStart"/>
            <w:r w:rsidRPr="00A51F2C">
              <w:rPr>
                <w:rFonts w:ascii="Calibri" w:hAnsi="Calibri"/>
                <w:sz w:val="18"/>
                <w:szCs w:val="18"/>
              </w:rPr>
              <w:t>anthracycline</w:t>
            </w:r>
            <w:proofErr w:type="spellEnd"/>
            <w:r w:rsidRPr="00A51F2C">
              <w:rPr>
                <w:rFonts w:ascii="Calibri" w:hAnsi="Calibri"/>
                <w:sz w:val="18"/>
                <w:szCs w:val="18"/>
              </w:rPr>
              <w:t xml:space="preserve"> and </w:t>
            </w:r>
            <w:proofErr w:type="spellStart"/>
            <w:r w:rsidRPr="00A51F2C">
              <w:rPr>
                <w:rFonts w:ascii="Calibri" w:hAnsi="Calibri"/>
                <w:sz w:val="18"/>
                <w:szCs w:val="18"/>
              </w:rPr>
              <w:t>taxane</w:t>
            </w:r>
            <w:proofErr w:type="spellEnd"/>
            <w:r w:rsidRPr="00A51F2C">
              <w:rPr>
                <w:rFonts w:ascii="Calibri" w:hAnsi="Calibri"/>
                <w:sz w:val="18"/>
                <w:szCs w:val="18"/>
              </w:rPr>
              <w:t xml:space="preserve"> and not suitable for endocrine therapy</w:t>
            </w:r>
          </w:p>
        </w:tc>
        <w:tc>
          <w:tcPr>
            <w:tcW w:w="2365" w:type="dxa"/>
            <w:noWrap/>
            <w:hideMark/>
          </w:tcPr>
          <w:p w:rsidR="00A51F2C" w:rsidRPr="00A51F2C" w:rsidRDefault="00A51F2C" w:rsidP="00A51F2C">
            <w:pPr>
              <w:spacing w:before="0" w:after="0"/>
              <w:jc w:val="center"/>
              <w:rPr>
                <w:rFonts w:ascii="Calibri" w:hAnsi="Calibri"/>
                <w:sz w:val="18"/>
                <w:szCs w:val="18"/>
              </w:rPr>
            </w:pPr>
            <w:r w:rsidRPr="00A51F2C">
              <w:rPr>
                <w:rFonts w:ascii="Calibri" w:hAnsi="Calibri"/>
                <w:sz w:val="18"/>
                <w:szCs w:val="18"/>
              </w:rPr>
              <w:t>80%</w:t>
            </w:r>
          </w:p>
        </w:tc>
        <w:tc>
          <w:tcPr>
            <w:tcW w:w="1490" w:type="dxa"/>
            <w:noWrap/>
            <w:hideMark/>
          </w:tcPr>
          <w:p w:rsidR="00A51F2C" w:rsidRPr="00A51F2C" w:rsidRDefault="006710AF" w:rsidP="006710AF">
            <w:pPr>
              <w:spacing w:before="0" w:after="0"/>
              <w:jc w:val="center"/>
              <w:rPr>
                <w:rFonts w:ascii="Calibri" w:hAnsi="Calibri"/>
                <w:sz w:val="18"/>
                <w:szCs w:val="18"/>
              </w:rPr>
            </w:pPr>
            <w:r>
              <w:rPr>
                <w:rFonts w:ascii="Calibri" w:hAnsi="Calibri"/>
                <w:sz w:val="18"/>
                <w:szCs w:val="18"/>
              </w:rPr>
              <w:t>PICO confirmation (App.1507)</w:t>
            </w:r>
          </w:p>
        </w:tc>
      </w:tr>
      <w:tr w:rsidR="00A51F2C" w:rsidRPr="00A51F2C" w:rsidTr="00A6468C">
        <w:trPr>
          <w:trHeight w:val="20"/>
        </w:trPr>
        <w:tc>
          <w:tcPr>
            <w:tcW w:w="4853" w:type="dxa"/>
            <w:noWrap/>
            <w:hideMark/>
          </w:tcPr>
          <w:p w:rsidR="00A51F2C" w:rsidRPr="00A51F2C" w:rsidRDefault="00A51F2C" w:rsidP="00A51F2C">
            <w:pPr>
              <w:spacing w:before="0" w:after="0"/>
              <w:rPr>
                <w:rFonts w:ascii="Calibri" w:hAnsi="Calibri"/>
                <w:sz w:val="18"/>
                <w:szCs w:val="18"/>
              </w:rPr>
            </w:pPr>
            <w:r w:rsidRPr="00A51F2C">
              <w:rPr>
                <w:rFonts w:ascii="Calibri" w:hAnsi="Calibri"/>
                <w:sz w:val="18"/>
                <w:szCs w:val="18"/>
              </w:rPr>
              <w:t>Patients already tested for BRCA mutations</w:t>
            </w:r>
          </w:p>
        </w:tc>
        <w:tc>
          <w:tcPr>
            <w:tcW w:w="2365" w:type="dxa"/>
            <w:noWrap/>
            <w:hideMark/>
          </w:tcPr>
          <w:p w:rsidR="00A51F2C" w:rsidRPr="00A51F2C" w:rsidRDefault="00A51F2C" w:rsidP="00A51F2C">
            <w:pPr>
              <w:spacing w:before="0" w:after="0"/>
              <w:jc w:val="center"/>
              <w:rPr>
                <w:rFonts w:ascii="Calibri" w:hAnsi="Calibri"/>
                <w:sz w:val="18"/>
                <w:szCs w:val="18"/>
              </w:rPr>
            </w:pPr>
            <w:r w:rsidRPr="00A51F2C">
              <w:rPr>
                <w:rFonts w:ascii="Calibri" w:hAnsi="Calibri"/>
                <w:sz w:val="18"/>
                <w:szCs w:val="18"/>
              </w:rPr>
              <w:t>10%</w:t>
            </w:r>
          </w:p>
        </w:tc>
        <w:tc>
          <w:tcPr>
            <w:tcW w:w="1490" w:type="dxa"/>
            <w:noWrap/>
          </w:tcPr>
          <w:p w:rsidR="00A51F2C" w:rsidRPr="00A51F2C" w:rsidRDefault="00A6468C" w:rsidP="00A51F2C">
            <w:pPr>
              <w:spacing w:before="0" w:after="0"/>
              <w:jc w:val="center"/>
              <w:rPr>
                <w:rFonts w:ascii="Calibri" w:hAnsi="Calibri"/>
                <w:sz w:val="18"/>
                <w:szCs w:val="18"/>
              </w:rPr>
            </w:pPr>
            <w:r>
              <w:rPr>
                <w:rFonts w:ascii="Calibri" w:hAnsi="Calibri"/>
                <w:sz w:val="18"/>
                <w:szCs w:val="18"/>
              </w:rPr>
              <w:t>As above</w:t>
            </w:r>
          </w:p>
        </w:tc>
      </w:tr>
      <w:tr w:rsidR="00A51F2C" w:rsidRPr="00A51F2C" w:rsidTr="00A6468C">
        <w:trPr>
          <w:trHeight w:val="20"/>
        </w:trPr>
        <w:tc>
          <w:tcPr>
            <w:tcW w:w="4853" w:type="dxa"/>
            <w:noWrap/>
            <w:hideMark/>
          </w:tcPr>
          <w:p w:rsidR="00A51F2C" w:rsidRPr="00A51F2C" w:rsidRDefault="00A51F2C" w:rsidP="00A51F2C">
            <w:pPr>
              <w:spacing w:before="0" w:after="0"/>
              <w:rPr>
                <w:rFonts w:ascii="Calibri" w:hAnsi="Calibri"/>
                <w:sz w:val="18"/>
                <w:szCs w:val="18"/>
              </w:rPr>
            </w:pPr>
            <w:r w:rsidRPr="00A51F2C">
              <w:rPr>
                <w:rFonts w:ascii="Calibri" w:hAnsi="Calibri"/>
                <w:sz w:val="18"/>
                <w:szCs w:val="18"/>
              </w:rPr>
              <w:t xml:space="preserve">Uptake of BRCA test in HR+/HER2-negative population </w:t>
            </w:r>
          </w:p>
        </w:tc>
        <w:tc>
          <w:tcPr>
            <w:tcW w:w="2365" w:type="dxa"/>
            <w:noWrap/>
            <w:hideMark/>
          </w:tcPr>
          <w:p w:rsidR="00A51F2C" w:rsidRPr="00A51F2C" w:rsidRDefault="00A51F2C" w:rsidP="00A51F2C">
            <w:pPr>
              <w:spacing w:before="0" w:after="0"/>
              <w:jc w:val="center"/>
              <w:rPr>
                <w:rFonts w:ascii="Calibri" w:hAnsi="Calibri"/>
                <w:sz w:val="18"/>
                <w:szCs w:val="18"/>
              </w:rPr>
            </w:pPr>
            <w:r w:rsidRPr="00A51F2C">
              <w:rPr>
                <w:rFonts w:ascii="Calibri" w:hAnsi="Calibri"/>
                <w:sz w:val="18"/>
                <w:szCs w:val="18"/>
              </w:rPr>
              <w:t>30%</w:t>
            </w:r>
          </w:p>
        </w:tc>
        <w:tc>
          <w:tcPr>
            <w:tcW w:w="1490" w:type="dxa"/>
            <w:noWrap/>
          </w:tcPr>
          <w:p w:rsidR="00A51F2C" w:rsidRPr="00A51F2C" w:rsidRDefault="00A6468C" w:rsidP="00A51F2C">
            <w:pPr>
              <w:spacing w:before="0" w:after="0"/>
              <w:jc w:val="center"/>
              <w:rPr>
                <w:rFonts w:ascii="Calibri" w:hAnsi="Calibri"/>
                <w:sz w:val="18"/>
                <w:szCs w:val="18"/>
              </w:rPr>
            </w:pPr>
            <w:r>
              <w:rPr>
                <w:rFonts w:ascii="Calibri" w:hAnsi="Calibri"/>
                <w:sz w:val="18"/>
                <w:szCs w:val="18"/>
              </w:rPr>
              <w:t>As above</w:t>
            </w:r>
          </w:p>
        </w:tc>
      </w:tr>
      <w:tr w:rsidR="00A51F2C" w:rsidRPr="00A51F2C" w:rsidTr="00A6468C">
        <w:trPr>
          <w:trHeight w:val="20"/>
        </w:trPr>
        <w:tc>
          <w:tcPr>
            <w:tcW w:w="4853" w:type="dxa"/>
            <w:noWrap/>
            <w:hideMark/>
          </w:tcPr>
          <w:p w:rsidR="00A51F2C" w:rsidRPr="00A51F2C" w:rsidRDefault="00A51F2C" w:rsidP="00A51F2C">
            <w:pPr>
              <w:spacing w:before="0" w:after="0"/>
              <w:rPr>
                <w:rFonts w:ascii="Calibri" w:hAnsi="Calibri"/>
                <w:sz w:val="18"/>
                <w:szCs w:val="18"/>
              </w:rPr>
            </w:pPr>
            <w:r w:rsidRPr="00A51F2C">
              <w:rPr>
                <w:rFonts w:ascii="Calibri" w:hAnsi="Calibri"/>
                <w:sz w:val="18"/>
                <w:szCs w:val="18"/>
              </w:rPr>
              <w:t>Uptake of BRCA test in triple-negative population</w:t>
            </w:r>
          </w:p>
        </w:tc>
        <w:tc>
          <w:tcPr>
            <w:tcW w:w="2365" w:type="dxa"/>
            <w:noWrap/>
            <w:hideMark/>
          </w:tcPr>
          <w:p w:rsidR="00A51F2C" w:rsidRPr="00A51F2C" w:rsidRDefault="00A51F2C" w:rsidP="00A51F2C">
            <w:pPr>
              <w:spacing w:before="0" w:after="0"/>
              <w:jc w:val="center"/>
              <w:rPr>
                <w:rFonts w:ascii="Calibri" w:hAnsi="Calibri"/>
                <w:sz w:val="18"/>
                <w:szCs w:val="18"/>
              </w:rPr>
            </w:pPr>
            <w:r w:rsidRPr="00A51F2C">
              <w:rPr>
                <w:rFonts w:ascii="Calibri" w:hAnsi="Calibri"/>
                <w:sz w:val="18"/>
                <w:szCs w:val="18"/>
              </w:rPr>
              <w:t>60%</w:t>
            </w:r>
          </w:p>
        </w:tc>
        <w:tc>
          <w:tcPr>
            <w:tcW w:w="1490" w:type="dxa"/>
            <w:noWrap/>
          </w:tcPr>
          <w:p w:rsidR="00A51F2C" w:rsidRPr="00A51F2C" w:rsidRDefault="00A6468C" w:rsidP="00A51F2C">
            <w:pPr>
              <w:spacing w:before="0" w:after="0"/>
              <w:jc w:val="center"/>
              <w:rPr>
                <w:rFonts w:ascii="Calibri" w:hAnsi="Calibri"/>
                <w:sz w:val="18"/>
                <w:szCs w:val="18"/>
              </w:rPr>
            </w:pPr>
            <w:r>
              <w:rPr>
                <w:rFonts w:ascii="Calibri" w:hAnsi="Calibri"/>
                <w:sz w:val="18"/>
                <w:szCs w:val="18"/>
              </w:rPr>
              <w:t>As above</w:t>
            </w:r>
          </w:p>
        </w:tc>
      </w:tr>
      <w:tr w:rsidR="00A51F2C" w:rsidRPr="00A51F2C" w:rsidTr="00A51F2C">
        <w:trPr>
          <w:trHeight w:val="20"/>
        </w:trPr>
        <w:tc>
          <w:tcPr>
            <w:tcW w:w="4853" w:type="dxa"/>
            <w:noWrap/>
            <w:hideMark/>
          </w:tcPr>
          <w:p w:rsidR="00A51F2C" w:rsidRPr="00A51F2C" w:rsidRDefault="00A51F2C" w:rsidP="00A51F2C">
            <w:pPr>
              <w:spacing w:before="0" w:after="0"/>
              <w:rPr>
                <w:rFonts w:ascii="Calibri" w:hAnsi="Calibri"/>
                <w:sz w:val="18"/>
                <w:szCs w:val="18"/>
              </w:rPr>
            </w:pPr>
            <w:r w:rsidRPr="00A51F2C">
              <w:rPr>
                <w:rFonts w:ascii="Calibri" w:hAnsi="Calibri"/>
                <w:sz w:val="18"/>
                <w:szCs w:val="18"/>
              </w:rPr>
              <w:t>Eligible locally advanced or metastatic HR+/HER2-negative population</w:t>
            </w:r>
          </w:p>
        </w:tc>
        <w:tc>
          <w:tcPr>
            <w:tcW w:w="2365" w:type="dxa"/>
            <w:noWrap/>
            <w:hideMark/>
          </w:tcPr>
          <w:p w:rsidR="00A51F2C" w:rsidRPr="00A51F2C" w:rsidRDefault="00A51F2C" w:rsidP="00A51F2C">
            <w:pPr>
              <w:spacing w:before="0" w:after="0"/>
              <w:jc w:val="center"/>
              <w:rPr>
                <w:rFonts w:ascii="Calibri" w:hAnsi="Calibri"/>
                <w:sz w:val="18"/>
                <w:szCs w:val="18"/>
              </w:rPr>
            </w:pPr>
            <w:r w:rsidRPr="00A51F2C">
              <w:rPr>
                <w:rFonts w:ascii="Calibri" w:hAnsi="Calibri"/>
                <w:sz w:val="18"/>
                <w:szCs w:val="18"/>
              </w:rPr>
              <w:t>1594</w:t>
            </w:r>
          </w:p>
        </w:tc>
        <w:tc>
          <w:tcPr>
            <w:tcW w:w="1490" w:type="dxa"/>
            <w:noWrap/>
            <w:hideMark/>
          </w:tcPr>
          <w:p w:rsidR="00A51F2C" w:rsidRPr="00A51F2C" w:rsidRDefault="00A51F2C" w:rsidP="00A51F2C">
            <w:pPr>
              <w:spacing w:before="0" w:after="0"/>
              <w:jc w:val="center"/>
              <w:rPr>
                <w:rFonts w:ascii="Calibri" w:hAnsi="Calibri"/>
                <w:sz w:val="18"/>
                <w:szCs w:val="18"/>
              </w:rPr>
            </w:pPr>
          </w:p>
        </w:tc>
      </w:tr>
      <w:tr w:rsidR="00A51F2C" w:rsidRPr="00A51F2C" w:rsidTr="00A51F2C">
        <w:trPr>
          <w:trHeight w:val="20"/>
        </w:trPr>
        <w:tc>
          <w:tcPr>
            <w:tcW w:w="4853" w:type="dxa"/>
            <w:noWrap/>
            <w:hideMark/>
          </w:tcPr>
          <w:p w:rsidR="00A51F2C" w:rsidRPr="00A51F2C" w:rsidRDefault="00A51F2C" w:rsidP="00A51F2C">
            <w:pPr>
              <w:spacing w:before="0" w:after="0"/>
              <w:rPr>
                <w:rFonts w:ascii="Calibri" w:hAnsi="Calibri"/>
                <w:sz w:val="18"/>
                <w:szCs w:val="18"/>
              </w:rPr>
            </w:pPr>
            <w:r w:rsidRPr="00A51F2C">
              <w:rPr>
                <w:rFonts w:ascii="Calibri" w:hAnsi="Calibri"/>
                <w:sz w:val="18"/>
                <w:szCs w:val="18"/>
              </w:rPr>
              <w:t>Eligible locally advanced or metastatic triple negative breast population</w:t>
            </w:r>
          </w:p>
        </w:tc>
        <w:tc>
          <w:tcPr>
            <w:tcW w:w="2365" w:type="dxa"/>
            <w:noWrap/>
            <w:hideMark/>
          </w:tcPr>
          <w:p w:rsidR="00A51F2C" w:rsidRPr="00A51F2C" w:rsidRDefault="00A51F2C" w:rsidP="00A51F2C">
            <w:pPr>
              <w:spacing w:before="0" w:after="0"/>
              <w:jc w:val="center"/>
              <w:rPr>
                <w:rFonts w:ascii="Calibri" w:hAnsi="Calibri"/>
                <w:sz w:val="18"/>
                <w:szCs w:val="18"/>
              </w:rPr>
            </w:pPr>
            <w:r w:rsidRPr="00A51F2C">
              <w:rPr>
                <w:rFonts w:ascii="Calibri" w:hAnsi="Calibri"/>
                <w:sz w:val="18"/>
                <w:szCs w:val="18"/>
              </w:rPr>
              <w:t>403</w:t>
            </w:r>
          </w:p>
        </w:tc>
        <w:tc>
          <w:tcPr>
            <w:tcW w:w="1490" w:type="dxa"/>
            <w:noWrap/>
            <w:hideMark/>
          </w:tcPr>
          <w:p w:rsidR="00A51F2C" w:rsidRPr="00A51F2C" w:rsidRDefault="00A51F2C" w:rsidP="00A51F2C">
            <w:pPr>
              <w:spacing w:before="0" w:after="0"/>
              <w:jc w:val="center"/>
              <w:rPr>
                <w:rFonts w:ascii="Calibri" w:hAnsi="Calibri"/>
                <w:sz w:val="18"/>
                <w:szCs w:val="18"/>
              </w:rPr>
            </w:pPr>
          </w:p>
        </w:tc>
      </w:tr>
      <w:tr w:rsidR="00A51F2C" w:rsidRPr="00A51F2C" w:rsidTr="00A51F2C">
        <w:trPr>
          <w:trHeight w:val="20"/>
        </w:trPr>
        <w:tc>
          <w:tcPr>
            <w:tcW w:w="4853" w:type="dxa"/>
            <w:noWrap/>
            <w:hideMark/>
          </w:tcPr>
          <w:p w:rsidR="00A51F2C" w:rsidRPr="00A51F2C" w:rsidRDefault="00A51F2C" w:rsidP="00A51F2C">
            <w:pPr>
              <w:spacing w:before="0" w:after="0"/>
              <w:rPr>
                <w:rFonts w:ascii="Calibri" w:hAnsi="Calibri"/>
                <w:sz w:val="18"/>
                <w:szCs w:val="18"/>
              </w:rPr>
            </w:pPr>
            <w:r w:rsidRPr="00A51F2C">
              <w:rPr>
                <w:rFonts w:ascii="Calibri" w:hAnsi="Calibri"/>
                <w:sz w:val="18"/>
                <w:szCs w:val="18"/>
              </w:rPr>
              <w:t>Uptake in HR+/HER2-negative population</w:t>
            </w:r>
          </w:p>
        </w:tc>
        <w:tc>
          <w:tcPr>
            <w:tcW w:w="2365" w:type="dxa"/>
            <w:noWrap/>
            <w:hideMark/>
          </w:tcPr>
          <w:p w:rsidR="00A51F2C" w:rsidRPr="00A51F2C" w:rsidRDefault="00A51F2C" w:rsidP="00A51F2C">
            <w:pPr>
              <w:spacing w:before="0" w:after="0"/>
              <w:jc w:val="center"/>
              <w:rPr>
                <w:rFonts w:ascii="Calibri" w:hAnsi="Calibri"/>
                <w:sz w:val="18"/>
                <w:szCs w:val="18"/>
              </w:rPr>
            </w:pPr>
            <w:r w:rsidRPr="00A51F2C">
              <w:rPr>
                <w:rFonts w:ascii="Calibri" w:hAnsi="Calibri"/>
                <w:sz w:val="18"/>
                <w:szCs w:val="18"/>
              </w:rPr>
              <w:t>478</w:t>
            </w:r>
          </w:p>
        </w:tc>
        <w:tc>
          <w:tcPr>
            <w:tcW w:w="1490" w:type="dxa"/>
            <w:noWrap/>
            <w:hideMark/>
          </w:tcPr>
          <w:p w:rsidR="00A51F2C" w:rsidRPr="00A51F2C" w:rsidRDefault="00A51F2C" w:rsidP="00A51F2C">
            <w:pPr>
              <w:spacing w:before="0" w:after="0"/>
              <w:jc w:val="center"/>
              <w:rPr>
                <w:rFonts w:ascii="Calibri" w:hAnsi="Calibri"/>
                <w:sz w:val="18"/>
                <w:szCs w:val="18"/>
              </w:rPr>
            </w:pPr>
          </w:p>
        </w:tc>
      </w:tr>
      <w:tr w:rsidR="00A51F2C" w:rsidRPr="00A51F2C" w:rsidTr="00A51F2C">
        <w:trPr>
          <w:trHeight w:val="20"/>
        </w:trPr>
        <w:tc>
          <w:tcPr>
            <w:tcW w:w="4853" w:type="dxa"/>
            <w:noWrap/>
            <w:hideMark/>
          </w:tcPr>
          <w:p w:rsidR="00A51F2C" w:rsidRPr="00A51F2C" w:rsidRDefault="00A51F2C" w:rsidP="00A51F2C">
            <w:pPr>
              <w:spacing w:before="0" w:after="0"/>
              <w:rPr>
                <w:rFonts w:ascii="Calibri" w:hAnsi="Calibri"/>
                <w:sz w:val="18"/>
                <w:szCs w:val="18"/>
              </w:rPr>
            </w:pPr>
            <w:r w:rsidRPr="00A51F2C">
              <w:rPr>
                <w:rFonts w:ascii="Calibri" w:hAnsi="Calibri"/>
                <w:sz w:val="18"/>
                <w:szCs w:val="18"/>
              </w:rPr>
              <w:t>Uptake in BRCA test in triple-negative population</w:t>
            </w:r>
          </w:p>
        </w:tc>
        <w:tc>
          <w:tcPr>
            <w:tcW w:w="2365" w:type="dxa"/>
            <w:noWrap/>
            <w:hideMark/>
          </w:tcPr>
          <w:p w:rsidR="00A51F2C" w:rsidRPr="00A51F2C" w:rsidRDefault="00A51F2C" w:rsidP="00A51F2C">
            <w:pPr>
              <w:spacing w:before="0" w:after="0"/>
              <w:jc w:val="center"/>
              <w:rPr>
                <w:rFonts w:ascii="Calibri" w:hAnsi="Calibri"/>
                <w:sz w:val="18"/>
                <w:szCs w:val="18"/>
              </w:rPr>
            </w:pPr>
            <w:r w:rsidRPr="00A51F2C">
              <w:rPr>
                <w:rFonts w:ascii="Calibri" w:hAnsi="Calibri"/>
                <w:sz w:val="18"/>
                <w:szCs w:val="18"/>
              </w:rPr>
              <w:t>242</w:t>
            </w:r>
          </w:p>
        </w:tc>
        <w:tc>
          <w:tcPr>
            <w:tcW w:w="1490" w:type="dxa"/>
            <w:noWrap/>
            <w:hideMark/>
          </w:tcPr>
          <w:p w:rsidR="00A51F2C" w:rsidRPr="00A51F2C" w:rsidRDefault="00A51F2C" w:rsidP="00A51F2C">
            <w:pPr>
              <w:spacing w:before="0" w:after="0"/>
              <w:jc w:val="center"/>
              <w:rPr>
                <w:rFonts w:ascii="Calibri" w:hAnsi="Calibri"/>
                <w:sz w:val="18"/>
                <w:szCs w:val="18"/>
              </w:rPr>
            </w:pPr>
          </w:p>
        </w:tc>
      </w:tr>
      <w:tr w:rsidR="00A51F2C" w:rsidRPr="00A51F2C" w:rsidTr="00A51F2C">
        <w:trPr>
          <w:trHeight w:val="20"/>
        </w:trPr>
        <w:tc>
          <w:tcPr>
            <w:tcW w:w="4853" w:type="dxa"/>
            <w:noWrap/>
            <w:hideMark/>
          </w:tcPr>
          <w:p w:rsidR="00A51F2C" w:rsidRPr="00A51F2C" w:rsidRDefault="00A51F2C" w:rsidP="00A51F2C">
            <w:pPr>
              <w:spacing w:before="0" w:after="0"/>
              <w:rPr>
                <w:rFonts w:ascii="Calibri" w:hAnsi="Calibri"/>
                <w:b/>
                <w:bCs/>
                <w:sz w:val="18"/>
                <w:szCs w:val="18"/>
              </w:rPr>
            </w:pPr>
            <w:r w:rsidRPr="00A51F2C">
              <w:rPr>
                <w:rFonts w:ascii="Calibri" w:hAnsi="Calibri"/>
                <w:b/>
                <w:bCs/>
                <w:sz w:val="18"/>
                <w:szCs w:val="18"/>
              </w:rPr>
              <w:t>Total patients taking up BRCA test</w:t>
            </w:r>
          </w:p>
        </w:tc>
        <w:tc>
          <w:tcPr>
            <w:tcW w:w="2365" w:type="dxa"/>
            <w:noWrap/>
            <w:hideMark/>
          </w:tcPr>
          <w:p w:rsidR="00A51F2C" w:rsidRPr="00A51F2C" w:rsidRDefault="00A51F2C" w:rsidP="00A51F2C">
            <w:pPr>
              <w:spacing w:before="0" w:after="0"/>
              <w:jc w:val="center"/>
              <w:rPr>
                <w:rFonts w:ascii="Calibri" w:hAnsi="Calibri"/>
                <w:b/>
                <w:bCs/>
                <w:sz w:val="18"/>
                <w:szCs w:val="18"/>
              </w:rPr>
            </w:pPr>
            <w:r w:rsidRPr="00A51F2C">
              <w:rPr>
                <w:rFonts w:ascii="Calibri" w:hAnsi="Calibri"/>
                <w:b/>
                <w:bCs/>
                <w:sz w:val="18"/>
                <w:szCs w:val="18"/>
              </w:rPr>
              <w:t>720</w:t>
            </w:r>
          </w:p>
        </w:tc>
        <w:tc>
          <w:tcPr>
            <w:tcW w:w="1490" w:type="dxa"/>
            <w:noWrap/>
            <w:hideMark/>
          </w:tcPr>
          <w:p w:rsidR="00A51F2C" w:rsidRPr="00A51F2C" w:rsidRDefault="00A51F2C" w:rsidP="00A51F2C">
            <w:pPr>
              <w:spacing w:before="0" w:after="0"/>
              <w:jc w:val="center"/>
              <w:rPr>
                <w:rFonts w:ascii="Calibri" w:hAnsi="Calibri"/>
                <w:sz w:val="18"/>
                <w:szCs w:val="18"/>
              </w:rPr>
            </w:pPr>
          </w:p>
        </w:tc>
      </w:tr>
    </w:tbl>
    <w:p w:rsidR="00974D50" w:rsidRDefault="005A58BA" w:rsidP="00530204">
      <w:pPr>
        <w:pStyle w:val="Heading2"/>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rsidR="00DA5911" w:rsidRPr="00DA5911" w:rsidRDefault="00DA5911" w:rsidP="00DA5911">
      <w:pPr>
        <w:ind w:left="360"/>
      </w:pPr>
      <w:r>
        <w:t xml:space="preserve">Of the patients taking up </w:t>
      </w:r>
      <w:r w:rsidR="00E84EAE">
        <w:t xml:space="preserve">the proposed </w:t>
      </w:r>
      <w:r>
        <w:t>BRCA mutation testing, approximately 13-21% would test positive and therefore be eligible for talazoparib. This assumption is based on the p</w:t>
      </w:r>
      <w:r w:rsidRPr="00DA5911">
        <w:t xml:space="preserve">revalence of germline BRCA mutation in </w:t>
      </w:r>
      <w:r>
        <w:t xml:space="preserve">the </w:t>
      </w:r>
      <w:r w:rsidRPr="00DA5911">
        <w:t>advanced HR+/HER2-negative population</w:t>
      </w:r>
      <w:r>
        <w:t xml:space="preserve"> </w:t>
      </w:r>
      <w:r w:rsidR="00A33BBC">
        <w:t xml:space="preserve">of </w:t>
      </w:r>
      <w:r>
        <w:t xml:space="preserve"> 4.3%</w:t>
      </w:r>
      <w:r w:rsidR="00E84EAE" w:rsidRPr="00E84EAE">
        <w:rPr>
          <w:vertAlign w:val="superscript"/>
        </w:rPr>
        <w:t>12</w:t>
      </w:r>
      <w:r>
        <w:t xml:space="preserve"> and the p</w:t>
      </w:r>
      <w:r w:rsidRPr="00DA5911">
        <w:t xml:space="preserve">revalence of germline BRCA mutation in </w:t>
      </w:r>
      <w:r w:rsidR="00A33BBC">
        <w:t xml:space="preserve">the </w:t>
      </w:r>
      <w:r w:rsidRPr="00DA5911">
        <w:t>TNBC population (all stages)</w:t>
      </w:r>
      <w:r>
        <w:t xml:space="preserve"> </w:t>
      </w:r>
      <w:r w:rsidR="00D9618E">
        <w:t xml:space="preserve">of </w:t>
      </w:r>
      <w:r>
        <w:t>9.3%.</w:t>
      </w:r>
      <w:r w:rsidR="00E84EAE" w:rsidRPr="00E84EAE">
        <w:rPr>
          <w:vertAlign w:val="superscript"/>
        </w:rPr>
        <w:t>22</w:t>
      </w:r>
    </w:p>
    <w:p w:rsidR="00951933" w:rsidRPr="00C776B1" w:rsidRDefault="001B5169" w:rsidP="00AE1188">
      <w:pPr>
        <w:pStyle w:val="Heading1"/>
      </w:pPr>
      <w:r>
        <w:t>PART 8</w:t>
      </w:r>
      <w:r w:rsidR="00F93784">
        <w:t xml:space="preserve"> – </w:t>
      </w:r>
      <w:r w:rsidR="005A58BA">
        <w:t>COST</w:t>
      </w:r>
      <w:r w:rsidR="00951933" w:rsidRPr="00C776B1">
        <w:t xml:space="preserve"> INFORMATION</w:t>
      </w:r>
    </w:p>
    <w:p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rsidR="00951933" w:rsidRPr="00154B00" w:rsidRDefault="005D28CC" w:rsidP="00AE1188">
      <w:pPr>
        <w:ind w:left="426"/>
        <w:rPr>
          <w:szCs w:val="20"/>
        </w:rPr>
      </w:pPr>
      <w:r w:rsidRPr="005D28CC">
        <w:rPr>
          <w:szCs w:val="20"/>
        </w:rPr>
        <w:t xml:space="preserve">The current </w:t>
      </w:r>
      <w:r w:rsidRPr="003B7199">
        <w:rPr>
          <w:szCs w:val="20"/>
        </w:rPr>
        <w:t>cost of the germline BRCA mutation</w:t>
      </w:r>
      <w:r w:rsidRPr="005D28CC">
        <w:rPr>
          <w:szCs w:val="20"/>
        </w:rPr>
        <w:t xml:space="preserve"> test for MBS item 73295 is $1200 per test. It is anticipated that the cost will be the same for </w:t>
      </w:r>
      <w:r>
        <w:rPr>
          <w:szCs w:val="20"/>
        </w:rPr>
        <w:t xml:space="preserve">the proposed medical service. </w:t>
      </w:r>
      <w:r w:rsidRPr="005D28CC">
        <w:rPr>
          <w:szCs w:val="20"/>
        </w:rPr>
        <w:t>Only one test is required per lifetime</w:t>
      </w:r>
      <w:r>
        <w:rPr>
          <w:szCs w:val="20"/>
        </w:rPr>
        <w:t>.</w:t>
      </w:r>
    </w:p>
    <w:p w:rsidR="00951933" w:rsidRDefault="00951933" w:rsidP="00530204">
      <w:pPr>
        <w:pStyle w:val="Heading2"/>
      </w:pPr>
      <w:r w:rsidRPr="00154B00">
        <w:t xml:space="preserve">Specify how </w:t>
      </w:r>
      <w:r w:rsidRPr="00AE1188">
        <w:t>long</w:t>
      </w:r>
      <w:r w:rsidRPr="00154B00">
        <w:t xml:space="preserve"> the proposed medical ser</w:t>
      </w:r>
      <w:r w:rsidR="00AE1188">
        <w:t xml:space="preserve">vice typically </w:t>
      </w:r>
      <w:r w:rsidR="00AE1188" w:rsidRPr="003B7199">
        <w:t>takes to perform:</w:t>
      </w:r>
    </w:p>
    <w:p w:rsidR="00B75417" w:rsidRPr="00B75417" w:rsidRDefault="00B75417" w:rsidP="00B75417">
      <w:pPr>
        <w:ind w:left="360"/>
      </w:pPr>
      <w:r w:rsidRPr="00B75417">
        <w:t xml:space="preserve">Results will typically take a minimum of </w:t>
      </w:r>
      <w:r w:rsidRPr="00B75417">
        <w:rPr>
          <w:bCs/>
        </w:rPr>
        <w:t>8 weeks</w:t>
      </w:r>
      <w:r w:rsidRPr="00B75417">
        <w:t xml:space="preserve"> to become available, but turnaround times will vary between labs.</w:t>
      </w:r>
    </w:p>
    <w:p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rsidR="00B443DF" w:rsidRPr="00B443DF" w:rsidRDefault="00B443DF" w:rsidP="00B443DF">
      <w:pPr>
        <w:ind w:left="360"/>
      </w:pPr>
      <w:r w:rsidRPr="00B443DF">
        <w:t>Th</w:t>
      </w:r>
      <w:r>
        <w:t xml:space="preserve">is application seeks an </w:t>
      </w:r>
      <w:r w:rsidRPr="00B443DF">
        <w:t xml:space="preserve">amendment </w:t>
      </w:r>
      <w:r>
        <w:t xml:space="preserve">to MBS </w:t>
      </w:r>
      <w:r w:rsidRPr="00B443DF">
        <w:t>Item 73295 to</w:t>
      </w:r>
      <w:r>
        <w:t xml:space="preserve"> i</w:t>
      </w:r>
      <w:r w:rsidRPr="00B443DF">
        <w:t xml:space="preserve">nclude human epidermal growth factor-2 (HER2) negative locally advanced or metastatic breast cancer </w:t>
      </w:r>
      <w:r>
        <w:t>patients</w:t>
      </w:r>
      <w:r w:rsidR="007F04DA">
        <w:t xml:space="preserve"> and </w:t>
      </w:r>
      <w:r w:rsidR="00CB795A">
        <w:t xml:space="preserve">to </w:t>
      </w:r>
      <w:r w:rsidR="007F04DA">
        <w:t xml:space="preserve">determine eligibility for talazoparib. </w:t>
      </w:r>
      <w:r w:rsidRPr="00B443DF">
        <w:t xml:space="preserve"> </w:t>
      </w:r>
    </w:p>
    <w:p w:rsidR="00AE1188" w:rsidRPr="00AE1188" w:rsidRDefault="00AE1188" w:rsidP="00B443DF">
      <w:pPr>
        <w:pBdr>
          <w:top w:val="single" w:sz="4" w:space="1" w:color="auto"/>
          <w:left w:val="single" w:sz="4" w:space="0" w:color="auto"/>
          <w:bottom w:val="single" w:sz="4" w:space="1" w:color="auto"/>
          <w:right w:val="single" w:sz="4" w:space="4" w:color="auto"/>
          <w:between w:val="single" w:sz="4" w:space="1" w:color="auto"/>
          <w:bar w:val="single" w:sz="4" w:color="auto"/>
        </w:pBdr>
        <w:rPr>
          <w:szCs w:val="20"/>
        </w:rPr>
      </w:pPr>
      <w:r>
        <w:rPr>
          <w:szCs w:val="20"/>
        </w:rPr>
        <w:t xml:space="preserve">Category </w:t>
      </w:r>
      <w:r w:rsidR="005D28CC">
        <w:t>6</w:t>
      </w:r>
      <w:r w:rsidRPr="00AE1188">
        <w:rPr>
          <w:szCs w:val="20"/>
        </w:rPr>
        <w:t xml:space="preserve"> – </w:t>
      </w:r>
      <w:r w:rsidR="005D28CC">
        <w:rPr>
          <w:szCs w:val="20"/>
        </w:rPr>
        <w:t>PATHOLOGY SERVICES</w:t>
      </w:r>
      <w:r w:rsidRPr="00AE1188">
        <w:rPr>
          <w:szCs w:val="20"/>
        </w:rPr>
        <w:t xml:space="preserve"> </w:t>
      </w:r>
    </w:p>
    <w:p w:rsidR="005D28CC" w:rsidRDefault="005D28CC" w:rsidP="00B443DF">
      <w:pPr>
        <w:pBdr>
          <w:top w:val="single" w:sz="4" w:space="1" w:color="auto"/>
          <w:left w:val="single" w:sz="4" w:space="0" w:color="auto"/>
          <w:bottom w:val="single" w:sz="4" w:space="1" w:color="auto"/>
          <w:right w:val="single" w:sz="4" w:space="4" w:color="auto"/>
        </w:pBdr>
        <w:rPr>
          <w:szCs w:val="20"/>
        </w:rPr>
      </w:pPr>
      <w:r w:rsidRPr="005D28CC">
        <w:rPr>
          <w:szCs w:val="20"/>
        </w:rPr>
        <w:t xml:space="preserve">Proposed item descriptor: </w:t>
      </w:r>
    </w:p>
    <w:p w:rsidR="005D28CC" w:rsidRPr="005D28CC" w:rsidRDefault="005D28CC" w:rsidP="00B443DF">
      <w:pPr>
        <w:pBdr>
          <w:top w:val="single" w:sz="4" w:space="1" w:color="auto"/>
          <w:left w:val="single" w:sz="4" w:space="0" w:color="auto"/>
          <w:bottom w:val="single" w:sz="4" w:space="1" w:color="auto"/>
          <w:right w:val="single" w:sz="4" w:space="4" w:color="auto"/>
        </w:pBdr>
        <w:rPr>
          <w:szCs w:val="20"/>
        </w:rPr>
      </w:pPr>
      <w:r w:rsidRPr="005D28CC">
        <w:rPr>
          <w:szCs w:val="20"/>
        </w:rPr>
        <w:t>Detection of germline BRCA 1 or BRCA 2 mutation, in a patient with human epidermal growth factor-2 (HER2) negative</w:t>
      </w:r>
      <w:r>
        <w:rPr>
          <w:szCs w:val="20"/>
        </w:rPr>
        <w:t xml:space="preserve"> locally advanced or</w:t>
      </w:r>
      <w:r w:rsidR="00F704FA">
        <w:rPr>
          <w:szCs w:val="20"/>
        </w:rPr>
        <w:t xml:space="preserve"> </w:t>
      </w:r>
      <w:r w:rsidRPr="005D28CC">
        <w:rPr>
          <w:szCs w:val="20"/>
        </w:rPr>
        <w:t xml:space="preserve">metastatic breast cancer who have received prior chemotherapy with </w:t>
      </w:r>
      <w:r w:rsidR="00C33EDC">
        <w:rPr>
          <w:szCs w:val="20"/>
        </w:rPr>
        <w:t xml:space="preserve">a </w:t>
      </w:r>
      <w:proofErr w:type="spellStart"/>
      <w:r w:rsidR="00C33EDC" w:rsidRPr="00C33EDC">
        <w:rPr>
          <w:szCs w:val="20"/>
          <w:lang w:val="en-US"/>
        </w:rPr>
        <w:t>taxane</w:t>
      </w:r>
      <w:proofErr w:type="spellEnd"/>
      <w:r w:rsidR="00C33EDC" w:rsidRPr="00C33EDC">
        <w:rPr>
          <w:szCs w:val="20"/>
          <w:lang w:val="en-US"/>
        </w:rPr>
        <w:t xml:space="preserve"> and/or </w:t>
      </w:r>
      <w:proofErr w:type="spellStart"/>
      <w:r w:rsidR="00C33EDC" w:rsidRPr="00C33EDC">
        <w:rPr>
          <w:szCs w:val="20"/>
          <w:lang w:val="en-US"/>
        </w:rPr>
        <w:t>anthracycline</w:t>
      </w:r>
      <w:proofErr w:type="spellEnd"/>
      <w:r w:rsidR="00C33EDC">
        <w:rPr>
          <w:szCs w:val="20"/>
          <w:lang w:val="en-US"/>
        </w:rPr>
        <w:t xml:space="preserve"> </w:t>
      </w:r>
      <w:r w:rsidRPr="005D28CC">
        <w:rPr>
          <w:szCs w:val="20"/>
        </w:rPr>
        <w:t xml:space="preserve">in either the </w:t>
      </w:r>
      <w:r w:rsidR="00C33EDC">
        <w:rPr>
          <w:szCs w:val="20"/>
        </w:rPr>
        <w:t>neo</w:t>
      </w:r>
      <w:r w:rsidRPr="005D28CC">
        <w:rPr>
          <w:szCs w:val="20"/>
        </w:rPr>
        <w:t>adjuvant</w:t>
      </w:r>
      <w:r w:rsidR="00C33EDC">
        <w:rPr>
          <w:szCs w:val="20"/>
        </w:rPr>
        <w:t>, adjuvant</w:t>
      </w:r>
      <w:r w:rsidR="00B76D6B">
        <w:rPr>
          <w:szCs w:val="20"/>
        </w:rPr>
        <w:t xml:space="preserve">, locally </w:t>
      </w:r>
      <w:r>
        <w:rPr>
          <w:szCs w:val="20"/>
        </w:rPr>
        <w:t>advanced</w:t>
      </w:r>
      <w:r w:rsidR="00E47C73">
        <w:rPr>
          <w:szCs w:val="20"/>
        </w:rPr>
        <w:t xml:space="preserve">, </w:t>
      </w:r>
      <w:r w:rsidR="00B76D6B">
        <w:rPr>
          <w:szCs w:val="20"/>
        </w:rPr>
        <w:t xml:space="preserve">or metastatic </w:t>
      </w:r>
      <w:r w:rsidRPr="005D28CC">
        <w:rPr>
          <w:szCs w:val="20"/>
        </w:rPr>
        <w:t>setting. Hormone receptor positive patient</w:t>
      </w:r>
      <w:r w:rsidR="003B7199">
        <w:rPr>
          <w:szCs w:val="20"/>
        </w:rPr>
        <w:t>s</w:t>
      </w:r>
      <w:r w:rsidRPr="005D28CC">
        <w:rPr>
          <w:szCs w:val="20"/>
        </w:rPr>
        <w:t xml:space="preserve"> must be refractory or inappropriate for treatment with endocrine therapy. Request for medical service is by a specialist or consultant physician to determine whether the eligibility criteria for </w:t>
      </w:r>
      <w:r>
        <w:rPr>
          <w:szCs w:val="20"/>
        </w:rPr>
        <w:t xml:space="preserve">talazoparib </w:t>
      </w:r>
      <w:r w:rsidRPr="005D28CC">
        <w:rPr>
          <w:szCs w:val="20"/>
        </w:rPr>
        <w:t>under the Pharmaceutical Benefits Scheme (PBS) are fulfilled.</w:t>
      </w:r>
    </w:p>
    <w:p w:rsidR="005D28CC" w:rsidRPr="005D28CC" w:rsidRDefault="005D28CC" w:rsidP="00B443DF">
      <w:pPr>
        <w:pBdr>
          <w:top w:val="single" w:sz="4" w:space="1" w:color="auto"/>
          <w:left w:val="single" w:sz="4" w:space="0" w:color="auto"/>
          <w:bottom w:val="single" w:sz="4" w:space="1" w:color="auto"/>
          <w:right w:val="single" w:sz="4" w:space="4" w:color="auto"/>
        </w:pBdr>
        <w:rPr>
          <w:szCs w:val="20"/>
        </w:rPr>
      </w:pPr>
      <w:r w:rsidRPr="005D28CC">
        <w:rPr>
          <w:szCs w:val="20"/>
        </w:rPr>
        <w:t>Maximum one test per lifetime</w:t>
      </w:r>
    </w:p>
    <w:p w:rsidR="00AE1188" w:rsidRPr="00AE1188" w:rsidRDefault="005D28CC" w:rsidP="00B443DF">
      <w:pPr>
        <w:pBdr>
          <w:top w:val="single" w:sz="4" w:space="1" w:color="auto"/>
          <w:left w:val="single" w:sz="4" w:space="0" w:color="auto"/>
          <w:bottom w:val="single" w:sz="4" w:space="1" w:color="auto"/>
          <w:right w:val="single" w:sz="4" w:space="4" w:color="auto"/>
        </w:pBdr>
        <w:rPr>
          <w:szCs w:val="20"/>
        </w:rPr>
      </w:pPr>
      <w:r w:rsidRPr="005D28CC">
        <w:rPr>
          <w:szCs w:val="20"/>
        </w:rPr>
        <w:t>Fee: $1,200</w:t>
      </w:r>
    </w:p>
    <w:p w:rsidR="00451840" w:rsidRDefault="00451840" w:rsidP="00661CB6">
      <w:pPr>
        <w:pStyle w:val="Heading2"/>
        <w:numPr>
          <w:ilvl w:val="0"/>
          <w:numId w:val="0"/>
        </w:numPr>
      </w:pPr>
    </w:p>
    <w:sectPr w:rsidR="00451840"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CB6" w:rsidRDefault="00661CB6" w:rsidP="00CF2DFA">
      <w:pPr>
        <w:spacing w:after="0"/>
      </w:pPr>
      <w:r>
        <w:separator/>
      </w:r>
    </w:p>
  </w:endnote>
  <w:endnote w:type="continuationSeparator" w:id="0">
    <w:p w:rsidR="00661CB6" w:rsidRDefault="00661CB6"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dvOT0d9ab1db.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5BB" w:rsidRDefault="00DD2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CB6" w:rsidRPr="00DD25BB" w:rsidRDefault="00661CB6" w:rsidP="00DD25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5BB" w:rsidRDefault="00DD2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CB6" w:rsidRDefault="00661CB6" w:rsidP="00CF2DFA">
      <w:pPr>
        <w:spacing w:after="0"/>
      </w:pPr>
      <w:r>
        <w:separator/>
      </w:r>
    </w:p>
  </w:footnote>
  <w:footnote w:type="continuationSeparator" w:id="0">
    <w:p w:rsidR="00661CB6" w:rsidRDefault="00661CB6" w:rsidP="00CF2D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5BB" w:rsidRDefault="00DD2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5BB" w:rsidRDefault="00DD25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5BB" w:rsidRDefault="00DD2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080AF9"/>
    <w:multiLevelType w:val="hybridMultilevel"/>
    <w:tmpl w:val="5FF232FE"/>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3"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20583A"/>
    <w:multiLevelType w:val="hybridMultilevel"/>
    <w:tmpl w:val="7262A224"/>
    <w:lvl w:ilvl="0" w:tplc="B13C021C">
      <w:start w:val="2"/>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293A6023"/>
    <w:multiLevelType w:val="hybridMultilevel"/>
    <w:tmpl w:val="D88E4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82714B"/>
    <w:multiLevelType w:val="hybridMultilevel"/>
    <w:tmpl w:val="29807394"/>
    <w:lvl w:ilvl="0" w:tplc="8CE24748">
      <w:start w:val="1"/>
      <w:numFmt w:val="bullet"/>
      <w:lvlText w:val="•"/>
      <w:lvlJc w:val="left"/>
      <w:pPr>
        <w:tabs>
          <w:tab w:val="num" w:pos="720"/>
        </w:tabs>
        <w:ind w:left="720" w:hanging="360"/>
      </w:pPr>
      <w:rPr>
        <w:rFonts w:ascii="Arial" w:hAnsi="Arial" w:hint="default"/>
      </w:rPr>
    </w:lvl>
    <w:lvl w:ilvl="1" w:tplc="ED240CEC">
      <w:start w:val="4996"/>
      <w:numFmt w:val="bullet"/>
      <w:lvlText w:val="•"/>
      <w:lvlJc w:val="left"/>
      <w:pPr>
        <w:tabs>
          <w:tab w:val="num" w:pos="1440"/>
        </w:tabs>
        <w:ind w:left="1440" w:hanging="360"/>
      </w:pPr>
      <w:rPr>
        <w:rFonts w:ascii="Arial" w:hAnsi="Arial" w:hint="default"/>
      </w:rPr>
    </w:lvl>
    <w:lvl w:ilvl="2" w:tplc="31086168" w:tentative="1">
      <w:start w:val="1"/>
      <w:numFmt w:val="bullet"/>
      <w:lvlText w:val="•"/>
      <w:lvlJc w:val="left"/>
      <w:pPr>
        <w:tabs>
          <w:tab w:val="num" w:pos="2160"/>
        </w:tabs>
        <w:ind w:left="2160" w:hanging="360"/>
      </w:pPr>
      <w:rPr>
        <w:rFonts w:ascii="Arial" w:hAnsi="Arial" w:hint="default"/>
      </w:rPr>
    </w:lvl>
    <w:lvl w:ilvl="3" w:tplc="3F04E1D0" w:tentative="1">
      <w:start w:val="1"/>
      <w:numFmt w:val="bullet"/>
      <w:lvlText w:val="•"/>
      <w:lvlJc w:val="left"/>
      <w:pPr>
        <w:tabs>
          <w:tab w:val="num" w:pos="2880"/>
        </w:tabs>
        <w:ind w:left="2880" w:hanging="360"/>
      </w:pPr>
      <w:rPr>
        <w:rFonts w:ascii="Arial" w:hAnsi="Arial" w:hint="default"/>
      </w:rPr>
    </w:lvl>
    <w:lvl w:ilvl="4" w:tplc="8864C5AC" w:tentative="1">
      <w:start w:val="1"/>
      <w:numFmt w:val="bullet"/>
      <w:lvlText w:val="•"/>
      <w:lvlJc w:val="left"/>
      <w:pPr>
        <w:tabs>
          <w:tab w:val="num" w:pos="3600"/>
        </w:tabs>
        <w:ind w:left="3600" w:hanging="360"/>
      </w:pPr>
      <w:rPr>
        <w:rFonts w:ascii="Arial" w:hAnsi="Arial" w:hint="default"/>
      </w:rPr>
    </w:lvl>
    <w:lvl w:ilvl="5" w:tplc="1382CF42" w:tentative="1">
      <w:start w:val="1"/>
      <w:numFmt w:val="bullet"/>
      <w:lvlText w:val="•"/>
      <w:lvlJc w:val="left"/>
      <w:pPr>
        <w:tabs>
          <w:tab w:val="num" w:pos="4320"/>
        </w:tabs>
        <w:ind w:left="4320" w:hanging="360"/>
      </w:pPr>
      <w:rPr>
        <w:rFonts w:ascii="Arial" w:hAnsi="Arial" w:hint="default"/>
      </w:rPr>
    </w:lvl>
    <w:lvl w:ilvl="6" w:tplc="BF6ABA56" w:tentative="1">
      <w:start w:val="1"/>
      <w:numFmt w:val="bullet"/>
      <w:lvlText w:val="•"/>
      <w:lvlJc w:val="left"/>
      <w:pPr>
        <w:tabs>
          <w:tab w:val="num" w:pos="5040"/>
        </w:tabs>
        <w:ind w:left="5040" w:hanging="360"/>
      </w:pPr>
      <w:rPr>
        <w:rFonts w:ascii="Arial" w:hAnsi="Arial" w:hint="default"/>
      </w:rPr>
    </w:lvl>
    <w:lvl w:ilvl="7" w:tplc="0270E9AA" w:tentative="1">
      <w:start w:val="1"/>
      <w:numFmt w:val="bullet"/>
      <w:lvlText w:val="•"/>
      <w:lvlJc w:val="left"/>
      <w:pPr>
        <w:tabs>
          <w:tab w:val="num" w:pos="5760"/>
        </w:tabs>
        <w:ind w:left="5760" w:hanging="360"/>
      </w:pPr>
      <w:rPr>
        <w:rFonts w:ascii="Arial" w:hAnsi="Arial" w:hint="default"/>
      </w:rPr>
    </w:lvl>
    <w:lvl w:ilvl="8" w:tplc="DA883ED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10"/>
  </w:num>
  <w:num w:numId="4">
    <w:abstractNumId w:val="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
  </w:num>
  <w:num w:numId="25">
    <w:abstractNumId w:val="18"/>
  </w:num>
  <w:num w:numId="26">
    <w:abstractNumId w:val="4"/>
  </w:num>
  <w:num w:numId="27">
    <w:abstractNumId w:val="15"/>
  </w:num>
  <w:num w:numId="28">
    <w:abstractNumId w:val="11"/>
  </w:num>
  <w:num w:numId="29">
    <w:abstractNumId w:val="20"/>
  </w:num>
  <w:num w:numId="30">
    <w:abstractNumId w:val="3"/>
  </w:num>
  <w:num w:numId="31">
    <w:abstractNumId w:val="17"/>
  </w:num>
  <w:num w:numId="32">
    <w:abstractNumId w:val="7"/>
  </w:num>
  <w:num w:numId="33">
    <w:abstractNumId w:val="16"/>
  </w:num>
  <w:num w:numId="34">
    <w:abstractNumId w:val="6"/>
  </w:num>
  <w:num w:numId="35">
    <w:abstractNumId w:val="12"/>
  </w:num>
  <w:num w:numId="36">
    <w:abstractNumId w:val="0"/>
  </w:num>
  <w:num w:numId="37">
    <w:abstractNumId w:val="19"/>
  </w:num>
  <w:num w:numId="38">
    <w:abstractNumId w:val="2"/>
  </w:num>
  <w:num w:numId="39">
    <w:abstractNumId w:val="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00CD0"/>
    <w:rsid w:val="00001B31"/>
    <w:rsid w:val="000110DC"/>
    <w:rsid w:val="000158AA"/>
    <w:rsid w:val="000159B9"/>
    <w:rsid w:val="00016B6E"/>
    <w:rsid w:val="00023E21"/>
    <w:rsid w:val="00025978"/>
    <w:rsid w:val="00025ABC"/>
    <w:rsid w:val="00026412"/>
    <w:rsid w:val="00031F6F"/>
    <w:rsid w:val="00034D6E"/>
    <w:rsid w:val="000368D8"/>
    <w:rsid w:val="00037016"/>
    <w:rsid w:val="0005089D"/>
    <w:rsid w:val="000525BC"/>
    <w:rsid w:val="000555A0"/>
    <w:rsid w:val="00063C89"/>
    <w:rsid w:val="00070D05"/>
    <w:rsid w:val="00073222"/>
    <w:rsid w:val="00074CBF"/>
    <w:rsid w:val="000770BA"/>
    <w:rsid w:val="0008069D"/>
    <w:rsid w:val="00083BC6"/>
    <w:rsid w:val="00084BD9"/>
    <w:rsid w:val="000851DF"/>
    <w:rsid w:val="00092580"/>
    <w:rsid w:val="000935FE"/>
    <w:rsid w:val="000955E7"/>
    <w:rsid w:val="000A110D"/>
    <w:rsid w:val="000A40B3"/>
    <w:rsid w:val="000A478F"/>
    <w:rsid w:val="000A5B32"/>
    <w:rsid w:val="000B0C71"/>
    <w:rsid w:val="000B11DF"/>
    <w:rsid w:val="000B3CD0"/>
    <w:rsid w:val="000C64AA"/>
    <w:rsid w:val="000C7195"/>
    <w:rsid w:val="000D0452"/>
    <w:rsid w:val="000D066E"/>
    <w:rsid w:val="000D0831"/>
    <w:rsid w:val="000D62DB"/>
    <w:rsid w:val="000E0F02"/>
    <w:rsid w:val="000E47E7"/>
    <w:rsid w:val="000E4955"/>
    <w:rsid w:val="000E5439"/>
    <w:rsid w:val="00102686"/>
    <w:rsid w:val="0011036E"/>
    <w:rsid w:val="001130B0"/>
    <w:rsid w:val="0011369B"/>
    <w:rsid w:val="00115974"/>
    <w:rsid w:val="0011742E"/>
    <w:rsid w:val="00123D10"/>
    <w:rsid w:val="00126B33"/>
    <w:rsid w:val="0013011B"/>
    <w:rsid w:val="00137C66"/>
    <w:rsid w:val="0014560E"/>
    <w:rsid w:val="00153D7B"/>
    <w:rsid w:val="00154B00"/>
    <w:rsid w:val="00162AB2"/>
    <w:rsid w:val="00163983"/>
    <w:rsid w:val="001644E9"/>
    <w:rsid w:val="00175A35"/>
    <w:rsid w:val="001845D9"/>
    <w:rsid w:val="0018630F"/>
    <w:rsid w:val="001906CD"/>
    <w:rsid w:val="00191B99"/>
    <w:rsid w:val="00192DAB"/>
    <w:rsid w:val="0019694B"/>
    <w:rsid w:val="00197D29"/>
    <w:rsid w:val="001A02E3"/>
    <w:rsid w:val="001A1ADF"/>
    <w:rsid w:val="001A365C"/>
    <w:rsid w:val="001A5B0B"/>
    <w:rsid w:val="001B171D"/>
    <w:rsid w:val="001B29A1"/>
    <w:rsid w:val="001B5169"/>
    <w:rsid w:val="001B6164"/>
    <w:rsid w:val="001B7881"/>
    <w:rsid w:val="001D1FEF"/>
    <w:rsid w:val="001D2FFA"/>
    <w:rsid w:val="001D77ED"/>
    <w:rsid w:val="001E1180"/>
    <w:rsid w:val="001E23EA"/>
    <w:rsid w:val="001E6919"/>
    <w:rsid w:val="001E6958"/>
    <w:rsid w:val="001F433D"/>
    <w:rsid w:val="00201924"/>
    <w:rsid w:val="00202473"/>
    <w:rsid w:val="00203B83"/>
    <w:rsid w:val="002053F2"/>
    <w:rsid w:val="00206D63"/>
    <w:rsid w:val="0021185D"/>
    <w:rsid w:val="00212428"/>
    <w:rsid w:val="00226777"/>
    <w:rsid w:val="00232B76"/>
    <w:rsid w:val="002357D4"/>
    <w:rsid w:val="00235BD1"/>
    <w:rsid w:val="0023614E"/>
    <w:rsid w:val="00236E20"/>
    <w:rsid w:val="00242B0E"/>
    <w:rsid w:val="00246279"/>
    <w:rsid w:val="00246346"/>
    <w:rsid w:val="002464F7"/>
    <w:rsid w:val="00246957"/>
    <w:rsid w:val="00247DF0"/>
    <w:rsid w:val="00254813"/>
    <w:rsid w:val="00254BB9"/>
    <w:rsid w:val="00257FF2"/>
    <w:rsid w:val="0026098A"/>
    <w:rsid w:val="00264257"/>
    <w:rsid w:val="00264AF9"/>
    <w:rsid w:val="00265822"/>
    <w:rsid w:val="0027105F"/>
    <w:rsid w:val="002711FB"/>
    <w:rsid w:val="00274193"/>
    <w:rsid w:val="00274FDA"/>
    <w:rsid w:val="00283318"/>
    <w:rsid w:val="00285525"/>
    <w:rsid w:val="0028610E"/>
    <w:rsid w:val="002873FE"/>
    <w:rsid w:val="00293B2B"/>
    <w:rsid w:val="00294CD8"/>
    <w:rsid w:val="002A270B"/>
    <w:rsid w:val="002A2BEA"/>
    <w:rsid w:val="002A50FD"/>
    <w:rsid w:val="002A6753"/>
    <w:rsid w:val="002B28D7"/>
    <w:rsid w:val="002B7EB6"/>
    <w:rsid w:val="002C0B61"/>
    <w:rsid w:val="002C15E6"/>
    <w:rsid w:val="002C247D"/>
    <w:rsid w:val="002C2ED7"/>
    <w:rsid w:val="002C3345"/>
    <w:rsid w:val="002D409A"/>
    <w:rsid w:val="002E2013"/>
    <w:rsid w:val="002E20DB"/>
    <w:rsid w:val="002F1B07"/>
    <w:rsid w:val="002F2241"/>
    <w:rsid w:val="002F30E7"/>
    <w:rsid w:val="002F5CFB"/>
    <w:rsid w:val="002F6CAA"/>
    <w:rsid w:val="00300EEB"/>
    <w:rsid w:val="003013A9"/>
    <w:rsid w:val="003020B5"/>
    <w:rsid w:val="003027BB"/>
    <w:rsid w:val="003040B1"/>
    <w:rsid w:val="00310A10"/>
    <w:rsid w:val="00316F8F"/>
    <w:rsid w:val="00327D25"/>
    <w:rsid w:val="00330FAD"/>
    <w:rsid w:val="003319A7"/>
    <w:rsid w:val="00334FE3"/>
    <w:rsid w:val="003421AE"/>
    <w:rsid w:val="003433D1"/>
    <w:rsid w:val="003444FA"/>
    <w:rsid w:val="00344B24"/>
    <w:rsid w:val="00345211"/>
    <w:rsid w:val="003456B9"/>
    <w:rsid w:val="0035067D"/>
    <w:rsid w:val="00352F1A"/>
    <w:rsid w:val="00353A16"/>
    <w:rsid w:val="0035503F"/>
    <w:rsid w:val="003567DF"/>
    <w:rsid w:val="0035776D"/>
    <w:rsid w:val="003640F8"/>
    <w:rsid w:val="00364FD9"/>
    <w:rsid w:val="00367C1B"/>
    <w:rsid w:val="00376B61"/>
    <w:rsid w:val="00381284"/>
    <w:rsid w:val="00382407"/>
    <w:rsid w:val="003850A8"/>
    <w:rsid w:val="003869CB"/>
    <w:rsid w:val="00386A64"/>
    <w:rsid w:val="00386FA1"/>
    <w:rsid w:val="00387C4B"/>
    <w:rsid w:val="00390142"/>
    <w:rsid w:val="00392F00"/>
    <w:rsid w:val="00393922"/>
    <w:rsid w:val="003944A2"/>
    <w:rsid w:val="00394B59"/>
    <w:rsid w:val="00397377"/>
    <w:rsid w:val="00397920"/>
    <w:rsid w:val="003A22DE"/>
    <w:rsid w:val="003A2860"/>
    <w:rsid w:val="003A3C35"/>
    <w:rsid w:val="003A7D30"/>
    <w:rsid w:val="003B3C5C"/>
    <w:rsid w:val="003B7199"/>
    <w:rsid w:val="003C47CA"/>
    <w:rsid w:val="003D6DE1"/>
    <w:rsid w:val="003D795C"/>
    <w:rsid w:val="003E062F"/>
    <w:rsid w:val="003E30FB"/>
    <w:rsid w:val="003E4687"/>
    <w:rsid w:val="003E77F1"/>
    <w:rsid w:val="003F17D8"/>
    <w:rsid w:val="003F2711"/>
    <w:rsid w:val="003F6C70"/>
    <w:rsid w:val="003F71E6"/>
    <w:rsid w:val="003F7CB9"/>
    <w:rsid w:val="00403333"/>
    <w:rsid w:val="00411735"/>
    <w:rsid w:val="00415067"/>
    <w:rsid w:val="0041530C"/>
    <w:rsid w:val="00415C74"/>
    <w:rsid w:val="00420714"/>
    <w:rsid w:val="00425904"/>
    <w:rsid w:val="004303DF"/>
    <w:rsid w:val="0043654D"/>
    <w:rsid w:val="004469AF"/>
    <w:rsid w:val="00451840"/>
    <w:rsid w:val="00452FD6"/>
    <w:rsid w:val="00455475"/>
    <w:rsid w:val="00457B4F"/>
    <w:rsid w:val="00460C9A"/>
    <w:rsid w:val="00464924"/>
    <w:rsid w:val="00467D59"/>
    <w:rsid w:val="0047581D"/>
    <w:rsid w:val="00480289"/>
    <w:rsid w:val="00481279"/>
    <w:rsid w:val="00483368"/>
    <w:rsid w:val="00487C36"/>
    <w:rsid w:val="00494011"/>
    <w:rsid w:val="00495011"/>
    <w:rsid w:val="004A0BF4"/>
    <w:rsid w:val="004A2571"/>
    <w:rsid w:val="004A263B"/>
    <w:rsid w:val="004A4DAA"/>
    <w:rsid w:val="004B16DB"/>
    <w:rsid w:val="004B4727"/>
    <w:rsid w:val="004B68AE"/>
    <w:rsid w:val="004C128F"/>
    <w:rsid w:val="004C35B0"/>
    <w:rsid w:val="004C49EF"/>
    <w:rsid w:val="004C4A19"/>
    <w:rsid w:val="004C4CE5"/>
    <w:rsid w:val="004C5570"/>
    <w:rsid w:val="004D00C9"/>
    <w:rsid w:val="004D732B"/>
    <w:rsid w:val="004E16F5"/>
    <w:rsid w:val="004E3CC7"/>
    <w:rsid w:val="004E5B69"/>
    <w:rsid w:val="004F2A87"/>
    <w:rsid w:val="00507C56"/>
    <w:rsid w:val="0051509D"/>
    <w:rsid w:val="0052344E"/>
    <w:rsid w:val="00526478"/>
    <w:rsid w:val="00530204"/>
    <w:rsid w:val="005329EE"/>
    <w:rsid w:val="00534C5F"/>
    <w:rsid w:val="00534CEC"/>
    <w:rsid w:val="00540257"/>
    <w:rsid w:val="0054192F"/>
    <w:rsid w:val="00544EB3"/>
    <w:rsid w:val="0054594B"/>
    <w:rsid w:val="0054749B"/>
    <w:rsid w:val="00550882"/>
    <w:rsid w:val="00551CC6"/>
    <w:rsid w:val="005523F9"/>
    <w:rsid w:val="00553FEA"/>
    <w:rsid w:val="00560541"/>
    <w:rsid w:val="0056682C"/>
    <w:rsid w:val="005672D0"/>
    <w:rsid w:val="00572CEB"/>
    <w:rsid w:val="005834C9"/>
    <w:rsid w:val="005A5339"/>
    <w:rsid w:val="005A58BA"/>
    <w:rsid w:val="005A5D30"/>
    <w:rsid w:val="005A655D"/>
    <w:rsid w:val="005A6AB9"/>
    <w:rsid w:val="005C333E"/>
    <w:rsid w:val="005C3AE7"/>
    <w:rsid w:val="005C567E"/>
    <w:rsid w:val="005C6247"/>
    <w:rsid w:val="005D0677"/>
    <w:rsid w:val="005D28CC"/>
    <w:rsid w:val="005E294C"/>
    <w:rsid w:val="005E2CE3"/>
    <w:rsid w:val="005F3F07"/>
    <w:rsid w:val="005F3F2A"/>
    <w:rsid w:val="00603D04"/>
    <w:rsid w:val="0060443B"/>
    <w:rsid w:val="00606857"/>
    <w:rsid w:val="00615F42"/>
    <w:rsid w:val="0061620B"/>
    <w:rsid w:val="00623608"/>
    <w:rsid w:val="006258C2"/>
    <w:rsid w:val="00626365"/>
    <w:rsid w:val="006275CE"/>
    <w:rsid w:val="00630E22"/>
    <w:rsid w:val="006340B7"/>
    <w:rsid w:val="0064168C"/>
    <w:rsid w:val="00643E68"/>
    <w:rsid w:val="00647D91"/>
    <w:rsid w:val="00651C3B"/>
    <w:rsid w:val="00657B46"/>
    <w:rsid w:val="00661CB6"/>
    <w:rsid w:val="006710AF"/>
    <w:rsid w:val="006764EC"/>
    <w:rsid w:val="00677925"/>
    <w:rsid w:val="006835FE"/>
    <w:rsid w:val="00693BFD"/>
    <w:rsid w:val="00693FFD"/>
    <w:rsid w:val="00695065"/>
    <w:rsid w:val="006A1038"/>
    <w:rsid w:val="006A649A"/>
    <w:rsid w:val="006B1B49"/>
    <w:rsid w:val="006B6390"/>
    <w:rsid w:val="006C0356"/>
    <w:rsid w:val="006C0843"/>
    <w:rsid w:val="006C20BA"/>
    <w:rsid w:val="006C74B1"/>
    <w:rsid w:val="006D08C6"/>
    <w:rsid w:val="006E0957"/>
    <w:rsid w:val="006E484F"/>
    <w:rsid w:val="006E53E5"/>
    <w:rsid w:val="006E57AA"/>
    <w:rsid w:val="006F20CF"/>
    <w:rsid w:val="006F38ED"/>
    <w:rsid w:val="00701107"/>
    <w:rsid w:val="00703053"/>
    <w:rsid w:val="00704E6A"/>
    <w:rsid w:val="00707D4D"/>
    <w:rsid w:val="007171E4"/>
    <w:rsid w:val="00723503"/>
    <w:rsid w:val="00730C04"/>
    <w:rsid w:val="0073597B"/>
    <w:rsid w:val="007378F6"/>
    <w:rsid w:val="0074545D"/>
    <w:rsid w:val="007457D3"/>
    <w:rsid w:val="00751781"/>
    <w:rsid w:val="007522E3"/>
    <w:rsid w:val="0075335B"/>
    <w:rsid w:val="00753C44"/>
    <w:rsid w:val="00754383"/>
    <w:rsid w:val="00754CEA"/>
    <w:rsid w:val="007564D1"/>
    <w:rsid w:val="00757232"/>
    <w:rsid w:val="00760679"/>
    <w:rsid w:val="00762FB2"/>
    <w:rsid w:val="00763628"/>
    <w:rsid w:val="00767E99"/>
    <w:rsid w:val="00772E62"/>
    <w:rsid w:val="00774635"/>
    <w:rsid w:val="00775E30"/>
    <w:rsid w:val="0077789B"/>
    <w:rsid w:val="00780D29"/>
    <w:rsid w:val="0078494A"/>
    <w:rsid w:val="007875EB"/>
    <w:rsid w:val="00791C8D"/>
    <w:rsid w:val="00794181"/>
    <w:rsid w:val="007A44A8"/>
    <w:rsid w:val="007A7F6F"/>
    <w:rsid w:val="007B3C7D"/>
    <w:rsid w:val="007B4C76"/>
    <w:rsid w:val="007C2260"/>
    <w:rsid w:val="007C79B8"/>
    <w:rsid w:val="007D1E52"/>
    <w:rsid w:val="007D2358"/>
    <w:rsid w:val="007D312B"/>
    <w:rsid w:val="007D77B0"/>
    <w:rsid w:val="007E39E4"/>
    <w:rsid w:val="007E6FB3"/>
    <w:rsid w:val="007F04DA"/>
    <w:rsid w:val="007F17A8"/>
    <w:rsid w:val="007F21B4"/>
    <w:rsid w:val="007F369F"/>
    <w:rsid w:val="007F6B3A"/>
    <w:rsid w:val="007F7BE1"/>
    <w:rsid w:val="00802553"/>
    <w:rsid w:val="00803EAB"/>
    <w:rsid w:val="008046B5"/>
    <w:rsid w:val="00807A42"/>
    <w:rsid w:val="008127C0"/>
    <w:rsid w:val="00812EDD"/>
    <w:rsid w:val="008139C5"/>
    <w:rsid w:val="0081650F"/>
    <w:rsid w:val="008220F5"/>
    <w:rsid w:val="008270C7"/>
    <w:rsid w:val="0083105F"/>
    <w:rsid w:val="00832B31"/>
    <w:rsid w:val="008403E0"/>
    <w:rsid w:val="00843CCC"/>
    <w:rsid w:val="0084657B"/>
    <w:rsid w:val="008538B3"/>
    <w:rsid w:val="00855944"/>
    <w:rsid w:val="00855A4F"/>
    <w:rsid w:val="00864A18"/>
    <w:rsid w:val="00870833"/>
    <w:rsid w:val="00873BE5"/>
    <w:rsid w:val="00874571"/>
    <w:rsid w:val="00881F93"/>
    <w:rsid w:val="00882CB5"/>
    <w:rsid w:val="00883641"/>
    <w:rsid w:val="00884E69"/>
    <w:rsid w:val="00890082"/>
    <w:rsid w:val="0089555F"/>
    <w:rsid w:val="00895CFF"/>
    <w:rsid w:val="008A48D2"/>
    <w:rsid w:val="008A616D"/>
    <w:rsid w:val="008B2610"/>
    <w:rsid w:val="008B471D"/>
    <w:rsid w:val="008B49E4"/>
    <w:rsid w:val="008B729C"/>
    <w:rsid w:val="008C4A93"/>
    <w:rsid w:val="008D48BA"/>
    <w:rsid w:val="008E0E49"/>
    <w:rsid w:val="008E35FD"/>
    <w:rsid w:val="008E5E14"/>
    <w:rsid w:val="008E6227"/>
    <w:rsid w:val="008E78B9"/>
    <w:rsid w:val="008F06D4"/>
    <w:rsid w:val="0090543D"/>
    <w:rsid w:val="009056C5"/>
    <w:rsid w:val="00912BDB"/>
    <w:rsid w:val="00915CD3"/>
    <w:rsid w:val="00916D13"/>
    <w:rsid w:val="009209E7"/>
    <w:rsid w:val="00925378"/>
    <w:rsid w:val="009262F2"/>
    <w:rsid w:val="00931AD9"/>
    <w:rsid w:val="00937127"/>
    <w:rsid w:val="00937791"/>
    <w:rsid w:val="00943ABE"/>
    <w:rsid w:val="00951933"/>
    <w:rsid w:val="00954343"/>
    <w:rsid w:val="0095467E"/>
    <w:rsid w:val="00955271"/>
    <w:rsid w:val="00957A13"/>
    <w:rsid w:val="00961804"/>
    <w:rsid w:val="00963C9C"/>
    <w:rsid w:val="00965B6B"/>
    <w:rsid w:val="00970AC4"/>
    <w:rsid w:val="00971EDB"/>
    <w:rsid w:val="00974D50"/>
    <w:rsid w:val="00980BB9"/>
    <w:rsid w:val="00985610"/>
    <w:rsid w:val="009871B2"/>
    <w:rsid w:val="0098741D"/>
    <w:rsid w:val="00987ABE"/>
    <w:rsid w:val="00991EE4"/>
    <w:rsid w:val="00992F16"/>
    <w:rsid w:val="009939DC"/>
    <w:rsid w:val="00993B9C"/>
    <w:rsid w:val="009A2BF6"/>
    <w:rsid w:val="009A445D"/>
    <w:rsid w:val="009B2B71"/>
    <w:rsid w:val="009B4E1E"/>
    <w:rsid w:val="009B5A81"/>
    <w:rsid w:val="009C03FB"/>
    <w:rsid w:val="009C4B4F"/>
    <w:rsid w:val="009C769D"/>
    <w:rsid w:val="009D2738"/>
    <w:rsid w:val="009D6C5B"/>
    <w:rsid w:val="009E52DC"/>
    <w:rsid w:val="009F0C02"/>
    <w:rsid w:val="009F27EA"/>
    <w:rsid w:val="009F4561"/>
    <w:rsid w:val="009F5758"/>
    <w:rsid w:val="009F7010"/>
    <w:rsid w:val="009F7D84"/>
    <w:rsid w:val="00A022BB"/>
    <w:rsid w:val="00A0283F"/>
    <w:rsid w:val="00A04F4A"/>
    <w:rsid w:val="00A2388B"/>
    <w:rsid w:val="00A24051"/>
    <w:rsid w:val="00A26343"/>
    <w:rsid w:val="00A30628"/>
    <w:rsid w:val="00A31964"/>
    <w:rsid w:val="00A33BBC"/>
    <w:rsid w:val="00A37EC0"/>
    <w:rsid w:val="00A408B5"/>
    <w:rsid w:val="00A43F5B"/>
    <w:rsid w:val="00A46240"/>
    <w:rsid w:val="00A479EA"/>
    <w:rsid w:val="00A51F2C"/>
    <w:rsid w:val="00A529E2"/>
    <w:rsid w:val="00A539F8"/>
    <w:rsid w:val="00A57191"/>
    <w:rsid w:val="00A577FD"/>
    <w:rsid w:val="00A6021A"/>
    <w:rsid w:val="00A6468C"/>
    <w:rsid w:val="00A6491A"/>
    <w:rsid w:val="00A6594E"/>
    <w:rsid w:val="00A662F2"/>
    <w:rsid w:val="00A727B6"/>
    <w:rsid w:val="00A73448"/>
    <w:rsid w:val="00A751D0"/>
    <w:rsid w:val="00A81CC6"/>
    <w:rsid w:val="00A8369F"/>
    <w:rsid w:val="00A83EC6"/>
    <w:rsid w:val="00A841D8"/>
    <w:rsid w:val="00A8732C"/>
    <w:rsid w:val="00A9062D"/>
    <w:rsid w:val="00A93208"/>
    <w:rsid w:val="00A93F58"/>
    <w:rsid w:val="00A96329"/>
    <w:rsid w:val="00AA134B"/>
    <w:rsid w:val="00AA2CFE"/>
    <w:rsid w:val="00AA5FDA"/>
    <w:rsid w:val="00AA6291"/>
    <w:rsid w:val="00AB4B35"/>
    <w:rsid w:val="00AC0C91"/>
    <w:rsid w:val="00AC3018"/>
    <w:rsid w:val="00AD0B94"/>
    <w:rsid w:val="00AD0F3B"/>
    <w:rsid w:val="00AD286C"/>
    <w:rsid w:val="00AD360B"/>
    <w:rsid w:val="00AD37D4"/>
    <w:rsid w:val="00AD7986"/>
    <w:rsid w:val="00AE0225"/>
    <w:rsid w:val="00AE1188"/>
    <w:rsid w:val="00AE738C"/>
    <w:rsid w:val="00AF1046"/>
    <w:rsid w:val="00AF4466"/>
    <w:rsid w:val="00AF5D1E"/>
    <w:rsid w:val="00B040A9"/>
    <w:rsid w:val="00B1711E"/>
    <w:rsid w:val="00B17CBE"/>
    <w:rsid w:val="00B17E26"/>
    <w:rsid w:val="00B22606"/>
    <w:rsid w:val="00B231A4"/>
    <w:rsid w:val="00B25969"/>
    <w:rsid w:val="00B25D20"/>
    <w:rsid w:val="00B31C99"/>
    <w:rsid w:val="00B35AEF"/>
    <w:rsid w:val="00B443DF"/>
    <w:rsid w:val="00B53BA6"/>
    <w:rsid w:val="00B56277"/>
    <w:rsid w:val="00B5731D"/>
    <w:rsid w:val="00B60DD1"/>
    <w:rsid w:val="00B6378B"/>
    <w:rsid w:val="00B63E3A"/>
    <w:rsid w:val="00B75417"/>
    <w:rsid w:val="00B75965"/>
    <w:rsid w:val="00B75F38"/>
    <w:rsid w:val="00B76D6B"/>
    <w:rsid w:val="00B771AD"/>
    <w:rsid w:val="00B814CB"/>
    <w:rsid w:val="00B86752"/>
    <w:rsid w:val="00BA0CF8"/>
    <w:rsid w:val="00BA1ADF"/>
    <w:rsid w:val="00BA51FC"/>
    <w:rsid w:val="00BB003A"/>
    <w:rsid w:val="00BB3358"/>
    <w:rsid w:val="00BB3382"/>
    <w:rsid w:val="00BB3643"/>
    <w:rsid w:val="00BB5250"/>
    <w:rsid w:val="00BB55DC"/>
    <w:rsid w:val="00BC3530"/>
    <w:rsid w:val="00BC3DA0"/>
    <w:rsid w:val="00BC424B"/>
    <w:rsid w:val="00BC5004"/>
    <w:rsid w:val="00BD0057"/>
    <w:rsid w:val="00BD27A3"/>
    <w:rsid w:val="00BD78B3"/>
    <w:rsid w:val="00BE0FDE"/>
    <w:rsid w:val="00BF1065"/>
    <w:rsid w:val="00BF1BE5"/>
    <w:rsid w:val="00BF6AC5"/>
    <w:rsid w:val="00BF6FFE"/>
    <w:rsid w:val="00C004CA"/>
    <w:rsid w:val="00C01121"/>
    <w:rsid w:val="00C030A5"/>
    <w:rsid w:val="00C05A45"/>
    <w:rsid w:val="00C0796F"/>
    <w:rsid w:val="00C11B34"/>
    <w:rsid w:val="00C12C5C"/>
    <w:rsid w:val="00C171FB"/>
    <w:rsid w:val="00C17912"/>
    <w:rsid w:val="00C209C2"/>
    <w:rsid w:val="00C21E79"/>
    <w:rsid w:val="00C2267F"/>
    <w:rsid w:val="00C22AD8"/>
    <w:rsid w:val="00C33109"/>
    <w:rsid w:val="00C33EDC"/>
    <w:rsid w:val="00C3557E"/>
    <w:rsid w:val="00C358B2"/>
    <w:rsid w:val="00C3594B"/>
    <w:rsid w:val="00C4227B"/>
    <w:rsid w:val="00C43102"/>
    <w:rsid w:val="00C4696B"/>
    <w:rsid w:val="00C47805"/>
    <w:rsid w:val="00C50513"/>
    <w:rsid w:val="00C54503"/>
    <w:rsid w:val="00C553BD"/>
    <w:rsid w:val="00C63055"/>
    <w:rsid w:val="00C63F38"/>
    <w:rsid w:val="00C73B62"/>
    <w:rsid w:val="00C776B1"/>
    <w:rsid w:val="00C815FE"/>
    <w:rsid w:val="00C847AE"/>
    <w:rsid w:val="00CA04C6"/>
    <w:rsid w:val="00CA26DD"/>
    <w:rsid w:val="00CB12EC"/>
    <w:rsid w:val="00CB795A"/>
    <w:rsid w:val="00CC09D7"/>
    <w:rsid w:val="00CC12B8"/>
    <w:rsid w:val="00CD22E3"/>
    <w:rsid w:val="00CD3DA3"/>
    <w:rsid w:val="00CD49C7"/>
    <w:rsid w:val="00CD4E44"/>
    <w:rsid w:val="00CD5AE4"/>
    <w:rsid w:val="00CD6733"/>
    <w:rsid w:val="00CD7A7D"/>
    <w:rsid w:val="00CF2D8E"/>
    <w:rsid w:val="00CF2DFA"/>
    <w:rsid w:val="00CF5AD8"/>
    <w:rsid w:val="00D00122"/>
    <w:rsid w:val="00D00417"/>
    <w:rsid w:val="00D01D2A"/>
    <w:rsid w:val="00D03C5D"/>
    <w:rsid w:val="00D10B47"/>
    <w:rsid w:val="00D11EB1"/>
    <w:rsid w:val="00D14C5D"/>
    <w:rsid w:val="00D15B58"/>
    <w:rsid w:val="00D17F17"/>
    <w:rsid w:val="00D21DFC"/>
    <w:rsid w:val="00D23597"/>
    <w:rsid w:val="00D2409B"/>
    <w:rsid w:val="00D30BDC"/>
    <w:rsid w:val="00D47F12"/>
    <w:rsid w:val="00D52E4C"/>
    <w:rsid w:val="00D543F0"/>
    <w:rsid w:val="00D54739"/>
    <w:rsid w:val="00D57F88"/>
    <w:rsid w:val="00D608A4"/>
    <w:rsid w:val="00D66B16"/>
    <w:rsid w:val="00D7105C"/>
    <w:rsid w:val="00D73646"/>
    <w:rsid w:val="00D777B4"/>
    <w:rsid w:val="00D77A90"/>
    <w:rsid w:val="00D8360B"/>
    <w:rsid w:val="00D85676"/>
    <w:rsid w:val="00D875C8"/>
    <w:rsid w:val="00D919B3"/>
    <w:rsid w:val="00D9618E"/>
    <w:rsid w:val="00D96ADA"/>
    <w:rsid w:val="00DA0467"/>
    <w:rsid w:val="00DA2886"/>
    <w:rsid w:val="00DA5911"/>
    <w:rsid w:val="00DA5E50"/>
    <w:rsid w:val="00DA6DFE"/>
    <w:rsid w:val="00DA7D0C"/>
    <w:rsid w:val="00DB2E60"/>
    <w:rsid w:val="00DB311C"/>
    <w:rsid w:val="00DB432D"/>
    <w:rsid w:val="00DB519B"/>
    <w:rsid w:val="00DC743C"/>
    <w:rsid w:val="00DC7694"/>
    <w:rsid w:val="00DC7FBE"/>
    <w:rsid w:val="00DD130E"/>
    <w:rsid w:val="00DD25BB"/>
    <w:rsid w:val="00DD308E"/>
    <w:rsid w:val="00DE02E9"/>
    <w:rsid w:val="00DF0C51"/>
    <w:rsid w:val="00DF0D47"/>
    <w:rsid w:val="00DF1652"/>
    <w:rsid w:val="00DF5452"/>
    <w:rsid w:val="00DF6D37"/>
    <w:rsid w:val="00DF7B98"/>
    <w:rsid w:val="00E048ED"/>
    <w:rsid w:val="00E04FB3"/>
    <w:rsid w:val="00E058F2"/>
    <w:rsid w:val="00E05D9C"/>
    <w:rsid w:val="00E06102"/>
    <w:rsid w:val="00E21A8B"/>
    <w:rsid w:val="00E23E71"/>
    <w:rsid w:val="00E24B6A"/>
    <w:rsid w:val="00E2677F"/>
    <w:rsid w:val="00E274E7"/>
    <w:rsid w:val="00E2783C"/>
    <w:rsid w:val="00E30522"/>
    <w:rsid w:val="00E30F19"/>
    <w:rsid w:val="00E33C4A"/>
    <w:rsid w:val="00E357B9"/>
    <w:rsid w:val="00E37DFC"/>
    <w:rsid w:val="00E4321E"/>
    <w:rsid w:val="00E44B80"/>
    <w:rsid w:val="00E47623"/>
    <w:rsid w:val="00E47C73"/>
    <w:rsid w:val="00E569D4"/>
    <w:rsid w:val="00E60529"/>
    <w:rsid w:val="00E63B08"/>
    <w:rsid w:val="00E70D86"/>
    <w:rsid w:val="00E7628E"/>
    <w:rsid w:val="00E77867"/>
    <w:rsid w:val="00E82F54"/>
    <w:rsid w:val="00E84EAE"/>
    <w:rsid w:val="00E85FB9"/>
    <w:rsid w:val="00E8649B"/>
    <w:rsid w:val="00E871CD"/>
    <w:rsid w:val="00E90990"/>
    <w:rsid w:val="00E95D3D"/>
    <w:rsid w:val="00EA0E25"/>
    <w:rsid w:val="00EA173C"/>
    <w:rsid w:val="00EA79E9"/>
    <w:rsid w:val="00EB245E"/>
    <w:rsid w:val="00EB294F"/>
    <w:rsid w:val="00EC127A"/>
    <w:rsid w:val="00EC1FF9"/>
    <w:rsid w:val="00EC23A7"/>
    <w:rsid w:val="00EC2737"/>
    <w:rsid w:val="00EC4AE7"/>
    <w:rsid w:val="00EC724A"/>
    <w:rsid w:val="00EE2716"/>
    <w:rsid w:val="00EE6450"/>
    <w:rsid w:val="00EE7D04"/>
    <w:rsid w:val="00EF69D1"/>
    <w:rsid w:val="00F00AD1"/>
    <w:rsid w:val="00F01C2C"/>
    <w:rsid w:val="00F03906"/>
    <w:rsid w:val="00F0425E"/>
    <w:rsid w:val="00F10ED8"/>
    <w:rsid w:val="00F222BE"/>
    <w:rsid w:val="00F22991"/>
    <w:rsid w:val="00F23485"/>
    <w:rsid w:val="00F24179"/>
    <w:rsid w:val="00F301F1"/>
    <w:rsid w:val="00F30C22"/>
    <w:rsid w:val="00F33F1A"/>
    <w:rsid w:val="00F44C3C"/>
    <w:rsid w:val="00F51E44"/>
    <w:rsid w:val="00F547F7"/>
    <w:rsid w:val="00F54CCF"/>
    <w:rsid w:val="00F61D7A"/>
    <w:rsid w:val="00F637B3"/>
    <w:rsid w:val="00F66CF7"/>
    <w:rsid w:val="00F67BCB"/>
    <w:rsid w:val="00F704FA"/>
    <w:rsid w:val="00F7548A"/>
    <w:rsid w:val="00F77C57"/>
    <w:rsid w:val="00F77F1F"/>
    <w:rsid w:val="00F813C7"/>
    <w:rsid w:val="00F83566"/>
    <w:rsid w:val="00F83A9D"/>
    <w:rsid w:val="00F906B5"/>
    <w:rsid w:val="00F93784"/>
    <w:rsid w:val="00F95FD1"/>
    <w:rsid w:val="00F96DAE"/>
    <w:rsid w:val="00F971CC"/>
    <w:rsid w:val="00FA2CAA"/>
    <w:rsid w:val="00FA3DA1"/>
    <w:rsid w:val="00FA6554"/>
    <w:rsid w:val="00FB298D"/>
    <w:rsid w:val="00FB2F26"/>
    <w:rsid w:val="00FB30E0"/>
    <w:rsid w:val="00FB6575"/>
    <w:rsid w:val="00FB6B40"/>
    <w:rsid w:val="00FC081B"/>
    <w:rsid w:val="00FC11D1"/>
    <w:rsid w:val="00FC7F96"/>
    <w:rsid w:val="00FD73F9"/>
    <w:rsid w:val="00FE16C1"/>
    <w:rsid w:val="00FE19FF"/>
    <w:rsid w:val="00FE33A6"/>
    <w:rsid w:val="00FE5452"/>
    <w:rsid w:val="00FF4384"/>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13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NormalWeb">
    <w:name w:val="Normal (Web)"/>
    <w:basedOn w:val="Normal"/>
    <w:uiPriority w:val="99"/>
    <w:semiHidden/>
    <w:unhideWhenUsed/>
    <w:rsid w:val="00915CD3"/>
    <w:pPr>
      <w:spacing w:before="0" w:after="150"/>
    </w:pPr>
    <w:rPr>
      <w:rFonts w:ascii="Times New Roman" w:eastAsia="Times New Roman" w:hAnsi="Times New Roman" w:cs="Times New Roman"/>
      <w:sz w:val="24"/>
      <w:szCs w:val="24"/>
      <w:lang w:val="en-US"/>
    </w:rPr>
  </w:style>
  <w:style w:type="character" w:customStyle="1" w:styleId="ListParagraphChar">
    <w:name w:val="List Paragraph Char"/>
    <w:basedOn w:val="DefaultParagraphFont"/>
    <w:link w:val="ListParagraph"/>
    <w:uiPriority w:val="34"/>
    <w:rsid w:val="00623608"/>
    <w:rPr>
      <w:sz w:val="20"/>
    </w:rPr>
  </w:style>
  <w:style w:type="paragraph" w:styleId="FootnoteText">
    <w:name w:val="footnote text"/>
    <w:basedOn w:val="Normal"/>
    <w:link w:val="FootnoteTextChar"/>
    <w:semiHidden/>
    <w:unhideWhenUsed/>
    <w:rsid w:val="000A40B3"/>
    <w:pPr>
      <w:spacing w:before="0" w:after="0"/>
    </w:pPr>
    <w:rPr>
      <w:rFonts w:ascii="Times New Roman" w:eastAsia="Times New Roman" w:hAnsi="Times New Roman" w:cs="Times New Roman"/>
      <w:szCs w:val="20"/>
      <w:lang w:val="en-US"/>
    </w:rPr>
  </w:style>
  <w:style w:type="character" w:customStyle="1" w:styleId="FootnoteTextChar">
    <w:name w:val="Footnote Text Char"/>
    <w:basedOn w:val="DefaultParagraphFont"/>
    <w:link w:val="FootnoteText"/>
    <w:semiHidden/>
    <w:rsid w:val="000A40B3"/>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0A40B3"/>
    <w:rPr>
      <w:vertAlign w:val="superscript"/>
    </w:rPr>
  </w:style>
  <w:style w:type="paragraph" w:customStyle="1" w:styleId="TitleBlue">
    <w:name w:val="Title Blue"/>
    <w:basedOn w:val="Title"/>
    <w:qFormat/>
    <w:rsid w:val="00661CB6"/>
    <w:pPr>
      <w:spacing w:before="360"/>
    </w:pPr>
    <w:rPr>
      <w:color w:val="548DD4" w:themeColor="text2" w:theme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3524">
      <w:bodyDiv w:val="1"/>
      <w:marLeft w:val="0"/>
      <w:marRight w:val="0"/>
      <w:marTop w:val="0"/>
      <w:marBottom w:val="0"/>
      <w:divBdr>
        <w:top w:val="none" w:sz="0" w:space="0" w:color="auto"/>
        <w:left w:val="none" w:sz="0" w:space="0" w:color="auto"/>
        <w:bottom w:val="none" w:sz="0" w:space="0" w:color="auto"/>
        <w:right w:val="none" w:sz="0" w:space="0" w:color="auto"/>
      </w:divBdr>
      <w:divsChild>
        <w:div w:id="1729768728">
          <w:marLeft w:val="0"/>
          <w:marRight w:val="0"/>
          <w:marTop w:val="0"/>
          <w:marBottom w:val="0"/>
          <w:divBdr>
            <w:top w:val="none" w:sz="0" w:space="0" w:color="auto"/>
            <w:left w:val="none" w:sz="0" w:space="0" w:color="auto"/>
            <w:bottom w:val="none" w:sz="0" w:space="0" w:color="auto"/>
            <w:right w:val="none" w:sz="0" w:space="0" w:color="auto"/>
          </w:divBdr>
          <w:divsChild>
            <w:div w:id="543909057">
              <w:marLeft w:val="-225"/>
              <w:marRight w:val="-225"/>
              <w:marTop w:val="0"/>
              <w:marBottom w:val="0"/>
              <w:divBdr>
                <w:top w:val="none" w:sz="0" w:space="0" w:color="auto"/>
                <w:left w:val="none" w:sz="0" w:space="0" w:color="auto"/>
                <w:bottom w:val="none" w:sz="0" w:space="0" w:color="auto"/>
                <w:right w:val="none" w:sz="0" w:space="0" w:color="auto"/>
              </w:divBdr>
              <w:divsChild>
                <w:div w:id="1496191455">
                  <w:marLeft w:val="0"/>
                  <w:marRight w:val="0"/>
                  <w:marTop w:val="0"/>
                  <w:marBottom w:val="0"/>
                  <w:divBdr>
                    <w:top w:val="none" w:sz="0" w:space="0" w:color="auto"/>
                    <w:left w:val="none" w:sz="0" w:space="0" w:color="auto"/>
                    <w:bottom w:val="none" w:sz="0" w:space="0" w:color="auto"/>
                    <w:right w:val="none" w:sz="0" w:space="0" w:color="auto"/>
                  </w:divBdr>
                  <w:divsChild>
                    <w:div w:id="2055813456">
                      <w:marLeft w:val="0"/>
                      <w:marRight w:val="0"/>
                      <w:marTop w:val="0"/>
                      <w:marBottom w:val="0"/>
                      <w:divBdr>
                        <w:top w:val="none" w:sz="0" w:space="0" w:color="auto"/>
                        <w:left w:val="none" w:sz="0" w:space="0" w:color="auto"/>
                        <w:bottom w:val="none" w:sz="0" w:space="0" w:color="auto"/>
                        <w:right w:val="none" w:sz="0" w:space="0" w:color="auto"/>
                      </w:divBdr>
                      <w:divsChild>
                        <w:div w:id="815343372">
                          <w:marLeft w:val="0"/>
                          <w:marRight w:val="0"/>
                          <w:marTop w:val="0"/>
                          <w:marBottom w:val="0"/>
                          <w:divBdr>
                            <w:top w:val="none" w:sz="0" w:space="0" w:color="auto"/>
                            <w:left w:val="none" w:sz="0" w:space="0" w:color="auto"/>
                            <w:bottom w:val="none" w:sz="0" w:space="0" w:color="auto"/>
                            <w:right w:val="none" w:sz="0" w:space="0" w:color="auto"/>
                          </w:divBdr>
                          <w:divsChild>
                            <w:div w:id="1992246261">
                              <w:marLeft w:val="0"/>
                              <w:marRight w:val="0"/>
                              <w:marTop w:val="0"/>
                              <w:marBottom w:val="0"/>
                              <w:divBdr>
                                <w:top w:val="none" w:sz="0" w:space="0" w:color="auto"/>
                                <w:left w:val="none" w:sz="0" w:space="0" w:color="auto"/>
                                <w:bottom w:val="none" w:sz="0" w:space="0" w:color="auto"/>
                                <w:right w:val="none" w:sz="0" w:space="0" w:color="auto"/>
                              </w:divBdr>
                              <w:divsChild>
                                <w:div w:id="418402960">
                                  <w:marLeft w:val="0"/>
                                  <w:marRight w:val="0"/>
                                  <w:marTop w:val="0"/>
                                  <w:marBottom w:val="0"/>
                                  <w:divBdr>
                                    <w:top w:val="none" w:sz="0" w:space="0" w:color="auto"/>
                                    <w:left w:val="none" w:sz="0" w:space="0" w:color="auto"/>
                                    <w:bottom w:val="none" w:sz="0" w:space="0" w:color="auto"/>
                                    <w:right w:val="none" w:sz="0" w:space="0" w:color="auto"/>
                                  </w:divBdr>
                                  <w:divsChild>
                                    <w:div w:id="1197432302">
                                      <w:marLeft w:val="0"/>
                                      <w:marRight w:val="0"/>
                                      <w:marTop w:val="0"/>
                                      <w:marBottom w:val="0"/>
                                      <w:divBdr>
                                        <w:top w:val="none" w:sz="0" w:space="0" w:color="auto"/>
                                        <w:left w:val="none" w:sz="0" w:space="0" w:color="auto"/>
                                        <w:bottom w:val="none" w:sz="0" w:space="0" w:color="auto"/>
                                        <w:right w:val="none" w:sz="0" w:space="0" w:color="auto"/>
                                      </w:divBdr>
                                      <w:divsChild>
                                        <w:div w:id="9629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844546">
      <w:bodyDiv w:val="1"/>
      <w:marLeft w:val="0"/>
      <w:marRight w:val="0"/>
      <w:marTop w:val="0"/>
      <w:marBottom w:val="0"/>
      <w:divBdr>
        <w:top w:val="none" w:sz="0" w:space="0" w:color="auto"/>
        <w:left w:val="none" w:sz="0" w:space="0" w:color="auto"/>
        <w:bottom w:val="none" w:sz="0" w:space="0" w:color="auto"/>
        <w:right w:val="none" w:sz="0" w:space="0" w:color="auto"/>
      </w:divBdr>
    </w:div>
    <w:div w:id="104272127">
      <w:bodyDiv w:val="1"/>
      <w:marLeft w:val="0"/>
      <w:marRight w:val="0"/>
      <w:marTop w:val="0"/>
      <w:marBottom w:val="0"/>
      <w:divBdr>
        <w:top w:val="none" w:sz="0" w:space="0" w:color="auto"/>
        <w:left w:val="none" w:sz="0" w:space="0" w:color="auto"/>
        <w:bottom w:val="none" w:sz="0" w:space="0" w:color="auto"/>
        <w:right w:val="none" w:sz="0" w:space="0" w:color="auto"/>
      </w:divBdr>
    </w:div>
    <w:div w:id="167796809">
      <w:bodyDiv w:val="1"/>
      <w:marLeft w:val="0"/>
      <w:marRight w:val="0"/>
      <w:marTop w:val="0"/>
      <w:marBottom w:val="0"/>
      <w:divBdr>
        <w:top w:val="none" w:sz="0" w:space="0" w:color="auto"/>
        <w:left w:val="none" w:sz="0" w:space="0" w:color="auto"/>
        <w:bottom w:val="none" w:sz="0" w:space="0" w:color="auto"/>
        <w:right w:val="none" w:sz="0" w:space="0" w:color="auto"/>
      </w:divBdr>
    </w:div>
    <w:div w:id="170880024">
      <w:bodyDiv w:val="1"/>
      <w:marLeft w:val="0"/>
      <w:marRight w:val="0"/>
      <w:marTop w:val="0"/>
      <w:marBottom w:val="0"/>
      <w:divBdr>
        <w:top w:val="none" w:sz="0" w:space="0" w:color="auto"/>
        <w:left w:val="none" w:sz="0" w:space="0" w:color="auto"/>
        <w:bottom w:val="none" w:sz="0" w:space="0" w:color="auto"/>
        <w:right w:val="none" w:sz="0" w:space="0" w:color="auto"/>
      </w:divBdr>
    </w:div>
    <w:div w:id="297609482">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33073203">
      <w:bodyDiv w:val="1"/>
      <w:marLeft w:val="0"/>
      <w:marRight w:val="0"/>
      <w:marTop w:val="0"/>
      <w:marBottom w:val="0"/>
      <w:divBdr>
        <w:top w:val="none" w:sz="0" w:space="0" w:color="auto"/>
        <w:left w:val="none" w:sz="0" w:space="0" w:color="auto"/>
        <w:bottom w:val="none" w:sz="0" w:space="0" w:color="auto"/>
        <w:right w:val="none" w:sz="0" w:space="0" w:color="auto"/>
      </w:divBdr>
    </w:div>
    <w:div w:id="372192490">
      <w:bodyDiv w:val="1"/>
      <w:marLeft w:val="0"/>
      <w:marRight w:val="0"/>
      <w:marTop w:val="0"/>
      <w:marBottom w:val="0"/>
      <w:divBdr>
        <w:top w:val="none" w:sz="0" w:space="0" w:color="auto"/>
        <w:left w:val="none" w:sz="0" w:space="0" w:color="auto"/>
        <w:bottom w:val="none" w:sz="0" w:space="0" w:color="auto"/>
        <w:right w:val="none" w:sz="0" w:space="0" w:color="auto"/>
      </w:divBdr>
    </w:div>
    <w:div w:id="397018888">
      <w:bodyDiv w:val="1"/>
      <w:marLeft w:val="0"/>
      <w:marRight w:val="0"/>
      <w:marTop w:val="0"/>
      <w:marBottom w:val="0"/>
      <w:divBdr>
        <w:top w:val="none" w:sz="0" w:space="0" w:color="auto"/>
        <w:left w:val="none" w:sz="0" w:space="0" w:color="auto"/>
        <w:bottom w:val="none" w:sz="0" w:space="0" w:color="auto"/>
        <w:right w:val="none" w:sz="0" w:space="0" w:color="auto"/>
      </w:divBdr>
    </w:div>
    <w:div w:id="453671546">
      <w:bodyDiv w:val="1"/>
      <w:marLeft w:val="0"/>
      <w:marRight w:val="0"/>
      <w:marTop w:val="0"/>
      <w:marBottom w:val="0"/>
      <w:divBdr>
        <w:top w:val="none" w:sz="0" w:space="0" w:color="auto"/>
        <w:left w:val="none" w:sz="0" w:space="0" w:color="auto"/>
        <w:bottom w:val="none" w:sz="0" w:space="0" w:color="auto"/>
        <w:right w:val="none" w:sz="0" w:space="0" w:color="auto"/>
      </w:divBdr>
      <w:divsChild>
        <w:div w:id="1295913622">
          <w:marLeft w:val="0"/>
          <w:marRight w:val="0"/>
          <w:marTop w:val="0"/>
          <w:marBottom w:val="0"/>
          <w:divBdr>
            <w:top w:val="none" w:sz="0" w:space="0" w:color="auto"/>
            <w:left w:val="none" w:sz="0" w:space="0" w:color="auto"/>
            <w:bottom w:val="none" w:sz="0" w:space="0" w:color="auto"/>
            <w:right w:val="none" w:sz="0" w:space="0" w:color="auto"/>
          </w:divBdr>
          <w:divsChild>
            <w:div w:id="960378609">
              <w:marLeft w:val="-225"/>
              <w:marRight w:val="-225"/>
              <w:marTop w:val="0"/>
              <w:marBottom w:val="0"/>
              <w:divBdr>
                <w:top w:val="none" w:sz="0" w:space="0" w:color="auto"/>
                <w:left w:val="none" w:sz="0" w:space="0" w:color="auto"/>
                <w:bottom w:val="none" w:sz="0" w:space="0" w:color="auto"/>
                <w:right w:val="none" w:sz="0" w:space="0" w:color="auto"/>
              </w:divBdr>
              <w:divsChild>
                <w:div w:id="633222192">
                  <w:marLeft w:val="0"/>
                  <w:marRight w:val="0"/>
                  <w:marTop w:val="0"/>
                  <w:marBottom w:val="0"/>
                  <w:divBdr>
                    <w:top w:val="none" w:sz="0" w:space="0" w:color="auto"/>
                    <w:left w:val="none" w:sz="0" w:space="0" w:color="auto"/>
                    <w:bottom w:val="none" w:sz="0" w:space="0" w:color="auto"/>
                    <w:right w:val="none" w:sz="0" w:space="0" w:color="auto"/>
                  </w:divBdr>
                  <w:divsChild>
                    <w:div w:id="539587730">
                      <w:marLeft w:val="0"/>
                      <w:marRight w:val="0"/>
                      <w:marTop w:val="0"/>
                      <w:marBottom w:val="0"/>
                      <w:divBdr>
                        <w:top w:val="none" w:sz="0" w:space="0" w:color="auto"/>
                        <w:left w:val="none" w:sz="0" w:space="0" w:color="auto"/>
                        <w:bottom w:val="none" w:sz="0" w:space="0" w:color="auto"/>
                        <w:right w:val="none" w:sz="0" w:space="0" w:color="auto"/>
                      </w:divBdr>
                      <w:divsChild>
                        <w:div w:id="765879440">
                          <w:marLeft w:val="0"/>
                          <w:marRight w:val="0"/>
                          <w:marTop w:val="0"/>
                          <w:marBottom w:val="0"/>
                          <w:divBdr>
                            <w:top w:val="none" w:sz="0" w:space="0" w:color="auto"/>
                            <w:left w:val="none" w:sz="0" w:space="0" w:color="auto"/>
                            <w:bottom w:val="none" w:sz="0" w:space="0" w:color="auto"/>
                            <w:right w:val="none" w:sz="0" w:space="0" w:color="auto"/>
                          </w:divBdr>
                          <w:divsChild>
                            <w:div w:id="1498426369">
                              <w:marLeft w:val="0"/>
                              <w:marRight w:val="0"/>
                              <w:marTop w:val="0"/>
                              <w:marBottom w:val="0"/>
                              <w:divBdr>
                                <w:top w:val="none" w:sz="0" w:space="0" w:color="auto"/>
                                <w:left w:val="none" w:sz="0" w:space="0" w:color="auto"/>
                                <w:bottom w:val="none" w:sz="0" w:space="0" w:color="auto"/>
                                <w:right w:val="none" w:sz="0" w:space="0" w:color="auto"/>
                              </w:divBdr>
                              <w:divsChild>
                                <w:div w:id="42461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830861">
      <w:bodyDiv w:val="1"/>
      <w:marLeft w:val="0"/>
      <w:marRight w:val="0"/>
      <w:marTop w:val="0"/>
      <w:marBottom w:val="0"/>
      <w:divBdr>
        <w:top w:val="none" w:sz="0" w:space="0" w:color="auto"/>
        <w:left w:val="none" w:sz="0" w:space="0" w:color="auto"/>
        <w:bottom w:val="none" w:sz="0" w:space="0" w:color="auto"/>
        <w:right w:val="none" w:sz="0" w:space="0" w:color="auto"/>
      </w:divBdr>
    </w:div>
    <w:div w:id="485897931">
      <w:bodyDiv w:val="1"/>
      <w:marLeft w:val="0"/>
      <w:marRight w:val="0"/>
      <w:marTop w:val="0"/>
      <w:marBottom w:val="0"/>
      <w:divBdr>
        <w:top w:val="none" w:sz="0" w:space="0" w:color="auto"/>
        <w:left w:val="none" w:sz="0" w:space="0" w:color="auto"/>
        <w:bottom w:val="none" w:sz="0" w:space="0" w:color="auto"/>
        <w:right w:val="none" w:sz="0" w:space="0" w:color="auto"/>
      </w:divBdr>
    </w:div>
    <w:div w:id="738525944">
      <w:bodyDiv w:val="1"/>
      <w:marLeft w:val="0"/>
      <w:marRight w:val="0"/>
      <w:marTop w:val="0"/>
      <w:marBottom w:val="0"/>
      <w:divBdr>
        <w:top w:val="none" w:sz="0" w:space="0" w:color="auto"/>
        <w:left w:val="none" w:sz="0" w:space="0" w:color="auto"/>
        <w:bottom w:val="none" w:sz="0" w:space="0" w:color="auto"/>
        <w:right w:val="none" w:sz="0" w:space="0" w:color="auto"/>
      </w:divBdr>
    </w:div>
    <w:div w:id="740375326">
      <w:bodyDiv w:val="1"/>
      <w:marLeft w:val="0"/>
      <w:marRight w:val="0"/>
      <w:marTop w:val="0"/>
      <w:marBottom w:val="0"/>
      <w:divBdr>
        <w:top w:val="none" w:sz="0" w:space="0" w:color="auto"/>
        <w:left w:val="none" w:sz="0" w:space="0" w:color="auto"/>
        <w:bottom w:val="none" w:sz="0" w:space="0" w:color="auto"/>
        <w:right w:val="none" w:sz="0" w:space="0" w:color="auto"/>
      </w:divBdr>
    </w:div>
    <w:div w:id="747313679">
      <w:bodyDiv w:val="1"/>
      <w:marLeft w:val="0"/>
      <w:marRight w:val="0"/>
      <w:marTop w:val="0"/>
      <w:marBottom w:val="0"/>
      <w:divBdr>
        <w:top w:val="none" w:sz="0" w:space="0" w:color="auto"/>
        <w:left w:val="none" w:sz="0" w:space="0" w:color="auto"/>
        <w:bottom w:val="none" w:sz="0" w:space="0" w:color="auto"/>
        <w:right w:val="none" w:sz="0" w:space="0" w:color="auto"/>
      </w:divBdr>
    </w:div>
    <w:div w:id="786311168">
      <w:bodyDiv w:val="1"/>
      <w:marLeft w:val="0"/>
      <w:marRight w:val="0"/>
      <w:marTop w:val="0"/>
      <w:marBottom w:val="0"/>
      <w:divBdr>
        <w:top w:val="none" w:sz="0" w:space="0" w:color="auto"/>
        <w:left w:val="none" w:sz="0" w:space="0" w:color="auto"/>
        <w:bottom w:val="none" w:sz="0" w:space="0" w:color="auto"/>
        <w:right w:val="none" w:sz="0" w:space="0" w:color="auto"/>
      </w:divBdr>
    </w:div>
    <w:div w:id="897974692">
      <w:bodyDiv w:val="1"/>
      <w:marLeft w:val="0"/>
      <w:marRight w:val="0"/>
      <w:marTop w:val="0"/>
      <w:marBottom w:val="0"/>
      <w:divBdr>
        <w:top w:val="none" w:sz="0" w:space="0" w:color="auto"/>
        <w:left w:val="none" w:sz="0" w:space="0" w:color="auto"/>
        <w:bottom w:val="none" w:sz="0" w:space="0" w:color="auto"/>
        <w:right w:val="none" w:sz="0" w:space="0" w:color="auto"/>
      </w:divBdr>
      <w:divsChild>
        <w:div w:id="1110197321">
          <w:marLeft w:val="0"/>
          <w:marRight w:val="0"/>
          <w:marTop w:val="0"/>
          <w:marBottom w:val="0"/>
          <w:divBdr>
            <w:top w:val="none" w:sz="0" w:space="0" w:color="auto"/>
            <w:left w:val="none" w:sz="0" w:space="0" w:color="auto"/>
            <w:bottom w:val="none" w:sz="0" w:space="0" w:color="auto"/>
            <w:right w:val="none" w:sz="0" w:space="0" w:color="auto"/>
          </w:divBdr>
          <w:divsChild>
            <w:div w:id="517894831">
              <w:marLeft w:val="-225"/>
              <w:marRight w:val="-225"/>
              <w:marTop w:val="0"/>
              <w:marBottom w:val="0"/>
              <w:divBdr>
                <w:top w:val="none" w:sz="0" w:space="0" w:color="auto"/>
                <w:left w:val="none" w:sz="0" w:space="0" w:color="auto"/>
                <w:bottom w:val="none" w:sz="0" w:space="0" w:color="auto"/>
                <w:right w:val="none" w:sz="0" w:space="0" w:color="auto"/>
              </w:divBdr>
              <w:divsChild>
                <w:div w:id="1349714518">
                  <w:marLeft w:val="0"/>
                  <w:marRight w:val="0"/>
                  <w:marTop w:val="0"/>
                  <w:marBottom w:val="0"/>
                  <w:divBdr>
                    <w:top w:val="none" w:sz="0" w:space="0" w:color="auto"/>
                    <w:left w:val="none" w:sz="0" w:space="0" w:color="auto"/>
                    <w:bottom w:val="none" w:sz="0" w:space="0" w:color="auto"/>
                    <w:right w:val="none" w:sz="0" w:space="0" w:color="auto"/>
                  </w:divBdr>
                  <w:divsChild>
                    <w:div w:id="1960453725">
                      <w:marLeft w:val="0"/>
                      <w:marRight w:val="0"/>
                      <w:marTop w:val="0"/>
                      <w:marBottom w:val="0"/>
                      <w:divBdr>
                        <w:top w:val="none" w:sz="0" w:space="0" w:color="auto"/>
                        <w:left w:val="none" w:sz="0" w:space="0" w:color="auto"/>
                        <w:bottom w:val="none" w:sz="0" w:space="0" w:color="auto"/>
                        <w:right w:val="none" w:sz="0" w:space="0" w:color="auto"/>
                      </w:divBdr>
                      <w:divsChild>
                        <w:div w:id="401801459">
                          <w:marLeft w:val="0"/>
                          <w:marRight w:val="0"/>
                          <w:marTop w:val="0"/>
                          <w:marBottom w:val="0"/>
                          <w:divBdr>
                            <w:top w:val="none" w:sz="0" w:space="0" w:color="auto"/>
                            <w:left w:val="none" w:sz="0" w:space="0" w:color="auto"/>
                            <w:bottom w:val="none" w:sz="0" w:space="0" w:color="auto"/>
                            <w:right w:val="none" w:sz="0" w:space="0" w:color="auto"/>
                          </w:divBdr>
                          <w:divsChild>
                            <w:div w:id="1441338600">
                              <w:marLeft w:val="0"/>
                              <w:marRight w:val="0"/>
                              <w:marTop w:val="0"/>
                              <w:marBottom w:val="0"/>
                              <w:divBdr>
                                <w:top w:val="none" w:sz="0" w:space="0" w:color="auto"/>
                                <w:left w:val="none" w:sz="0" w:space="0" w:color="auto"/>
                                <w:bottom w:val="none" w:sz="0" w:space="0" w:color="auto"/>
                                <w:right w:val="none" w:sz="0" w:space="0" w:color="auto"/>
                              </w:divBdr>
                              <w:divsChild>
                                <w:div w:id="60484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559453">
      <w:bodyDiv w:val="1"/>
      <w:marLeft w:val="0"/>
      <w:marRight w:val="0"/>
      <w:marTop w:val="0"/>
      <w:marBottom w:val="0"/>
      <w:divBdr>
        <w:top w:val="none" w:sz="0" w:space="0" w:color="auto"/>
        <w:left w:val="none" w:sz="0" w:space="0" w:color="auto"/>
        <w:bottom w:val="none" w:sz="0" w:space="0" w:color="auto"/>
        <w:right w:val="none" w:sz="0" w:space="0" w:color="auto"/>
      </w:divBdr>
      <w:divsChild>
        <w:div w:id="1208762030">
          <w:marLeft w:val="0"/>
          <w:marRight w:val="0"/>
          <w:marTop w:val="0"/>
          <w:marBottom w:val="0"/>
          <w:divBdr>
            <w:top w:val="none" w:sz="0" w:space="0" w:color="auto"/>
            <w:left w:val="none" w:sz="0" w:space="0" w:color="auto"/>
            <w:bottom w:val="none" w:sz="0" w:space="0" w:color="auto"/>
            <w:right w:val="none" w:sz="0" w:space="0" w:color="auto"/>
          </w:divBdr>
          <w:divsChild>
            <w:div w:id="133372668">
              <w:marLeft w:val="-225"/>
              <w:marRight w:val="-225"/>
              <w:marTop w:val="0"/>
              <w:marBottom w:val="0"/>
              <w:divBdr>
                <w:top w:val="none" w:sz="0" w:space="0" w:color="auto"/>
                <w:left w:val="none" w:sz="0" w:space="0" w:color="auto"/>
                <w:bottom w:val="none" w:sz="0" w:space="0" w:color="auto"/>
                <w:right w:val="none" w:sz="0" w:space="0" w:color="auto"/>
              </w:divBdr>
              <w:divsChild>
                <w:div w:id="1526169122">
                  <w:marLeft w:val="0"/>
                  <w:marRight w:val="0"/>
                  <w:marTop w:val="0"/>
                  <w:marBottom w:val="0"/>
                  <w:divBdr>
                    <w:top w:val="none" w:sz="0" w:space="0" w:color="auto"/>
                    <w:left w:val="none" w:sz="0" w:space="0" w:color="auto"/>
                    <w:bottom w:val="none" w:sz="0" w:space="0" w:color="auto"/>
                    <w:right w:val="none" w:sz="0" w:space="0" w:color="auto"/>
                  </w:divBdr>
                  <w:divsChild>
                    <w:div w:id="1026709579">
                      <w:marLeft w:val="0"/>
                      <w:marRight w:val="0"/>
                      <w:marTop w:val="0"/>
                      <w:marBottom w:val="0"/>
                      <w:divBdr>
                        <w:top w:val="none" w:sz="0" w:space="0" w:color="auto"/>
                        <w:left w:val="none" w:sz="0" w:space="0" w:color="auto"/>
                        <w:bottom w:val="none" w:sz="0" w:space="0" w:color="auto"/>
                        <w:right w:val="none" w:sz="0" w:space="0" w:color="auto"/>
                      </w:divBdr>
                      <w:divsChild>
                        <w:div w:id="1577671054">
                          <w:marLeft w:val="0"/>
                          <w:marRight w:val="0"/>
                          <w:marTop w:val="0"/>
                          <w:marBottom w:val="0"/>
                          <w:divBdr>
                            <w:top w:val="none" w:sz="0" w:space="0" w:color="auto"/>
                            <w:left w:val="none" w:sz="0" w:space="0" w:color="auto"/>
                            <w:bottom w:val="none" w:sz="0" w:space="0" w:color="auto"/>
                            <w:right w:val="none" w:sz="0" w:space="0" w:color="auto"/>
                          </w:divBdr>
                          <w:divsChild>
                            <w:div w:id="2071272786">
                              <w:marLeft w:val="0"/>
                              <w:marRight w:val="0"/>
                              <w:marTop w:val="0"/>
                              <w:marBottom w:val="0"/>
                              <w:divBdr>
                                <w:top w:val="none" w:sz="0" w:space="0" w:color="auto"/>
                                <w:left w:val="none" w:sz="0" w:space="0" w:color="auto"/>
                                <w:bottom w:val="none" w:sz="0" w:space="0" w:color="auto"/>
                                <w:right w:val="none" w:sz="0" w:space="0" w:color="auto"/>
                              </w:divBdr>
                              <w:divsChild>
                                <w:div w:id="10059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116566">
      <w:bodyDiv w:val="1"/>
      <w:marLeft w:val="0"/>
      <w:marRight w:val="0"/>
      <w:marTop w:val="0"/>
      <w:marBottom w:val="0"/>
      <w:divBdr>
        <w:top w:val="none" w:sz="0" w:space="0" w:color="auto"/>
        <w:left w:val="none" w:sz="0" w:space="0" w:color="auto"/>
        <w:bottom w:val="none" w:sz="0" w:space="0" w:color="auto"/>
        <w:right w:val="none" w:sz="0" w:space="0" w:color="auto"/>
      </w:divBdr>
    </w:div>
    <w:div w:id="993802835">
      <w:bodyDiv w:val="1"/>
      <w:marLeft w:val="0"/>
      <w:marRight w:val="0"/>
      <w:marTop w:val="0"/>
      <w:marBottom w:val="0"/>
      <w:divBdr>
        <w:top w:val="none" w:sz="0" w:space="0" w:color="auto"/>
        <w:left w:val="none" w:sz="0" w:space="0" w:color="auto"/>
        <w:bottom w:val="none" w:sz="0" w:space="0" w:color="auto"/>
        <w:right w:val="none" w:sz="0" w:space="0" w:color="auto"/>
      </w:divBdr>
      <w:divsChild>
        <w:div w:id="1110592726">
          <w:marLeft w:val="0"/>
          <w:marRight w:val="0"/>
          <w:marTop w:val="0"/>
          <w:marBottom w:val="0"/>
          <w:divBdr>
            <w:top w:val="none" w:sz="0" w:space="0" w:color="auto"/>
            <w:left w:val="none" w:sz="0" w:space="0" w:color="auto"/>
            <w:bottom w:val="none" w:sz="0" w:space="0" w:color="auto"/>
            <w:right w:val="none" w:sz="0" w:space="0" w:color="auto"/>
          </w:divBdr>
          <w:divsChild>
            <w:div w:id="1269311015">
              <w:marLeft w:val="-225"/>
              <w:marRight w:val="-225"/>
              <w:marTop w:val="0"/>
              <w:marBottom w:val="0"/>
              <w:divBdr>
                <w:top w:val="none" w:sz="0" w:space="0" w:color="auto"/>
                <w:left w:val="none" w:sz="0" w:space="0" w:color="auto"/>
                <w:bottom w:val="none" w:sz="0" w:space="0" w:color="auto"/>
                <w:right w:val="none" w:sz="0" w:space="0" w:color="auto"/>
              </w:divBdr>
              <w:divsChild>
                <w:div w:id="830752721">
                  <w:marLeft w:val="0"/>
                  <w:marRight w:val="0"/>
                  <w:marTop w:val="0"/>
                  <w:marBottom w:val="0"/>
                  <w:divBdr>
                    <w:top w:val="none" w:sz="0" w:space="0" w:color="auto"/>
                    <w:left w:val="none" w:sz="0" w:space="0" w:color="auto"/>
                    <w:bottom w:val="none" w:sz="0" w:space="0" w:color="auto"/>
                    <w:right w:val="none" w:sz="0" w:space="0" w:color="auto"/>
                  </w:divBdr>
                  <w:divsChild>
                    <w:div w:id="1010717116">
                      <w:marLeft w:val="0"/>
                      <w:marRight w:val="0"/>
                      <w:marTop w:val="0"/>
                      <w:marBottom w:val="0"/>
                      <w:divBdr>
                        <w:top w:val="none" w:sz="0" w:space="0" w:color="auto"/>
                        <w:left w:val="none" w:sz="0" w:space="0" w:color="auto"/>
                        <w:bottom w:val="none" w:sz="0" w:space="0" w:color="auto"/>
                        <w:right w:val="none" w:sz="0" w:space="0" w:color="auto"/>
                      </w:divBdr>
                      <w:divsChild>
                        <w:div w:id="1316490279">
                          <w:marLeft w:val="0"/>
                          <w:marRight w:val="0"/>
                          <w:marTop w:val="0"/>
                          <w:marBottom w:val="0"/>
                          <w:divBdr>
                            <w:top w:val="none" w:sz="0" w:space="0" w:color="auto"/>
                            <w:left w:val="none" w:sz="0" w:space="0" w:color="auto"/>
                            <w:bottom w:val="none" w:sz="0" w:space="0" w:color="auto"/>
                            <w:right w:val="none" w:sz="0" w:space="0" w:color="auto"/>
                          </w:divBdr>
                          <w:divsChild>
                            <w:div w:id="170950597">
                              <w:marLeft w:val="0"/>
                              <w:marRight w:val="0"/>
                              <w:marTop w:val="0"/>
                              <w:marBottom w:val="0"/>
                              <w:divBdr>
                                <w:top w:val="none" w:sz="0" w:space="0" w:color="auto"/>
                                <w:left w:val="none" w:sz="0" w:space="0" w:color="auto"/>
                                <w:bottom w:val="none" w:sz="0" w:space="0" w:color="auto"/>
                                <w:right w:val="none" w:sz="0" w:space="0" w:color="auto"/>
                              </w:divBdr>
                              <w:divsChild>
                                <w:div w:id="1443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081928">
      <w:bodyDiv w:val="1"/>
      <w:marLeft w:val="0"/>
      <w:marRight w:val="0"/>
      <w:marTop w:val="0"/>
      <w:marBottom w:val="0"/>
      <w:divBdr>
        <w:top w:val="none" w:sz="0" w:space="0" w:color="auto"/>
        <w:left w:val="none" w:sz="0" w:space="0" w:color="auto"/>
        <w:bottom w:val="none" w:sz="0" w:space="0" w:color="auto"/>
        <w:right w:val="none" w:sz="0" w:space="0" w:color="auto"/>
      </w:divBdr>
    </w:div>
    <w:div w:id="1090587551">
      <w:bodyDiv w:val="1"/>
      <w:marLeft w:val="0"/>
      <w:marRight w:val="0"/>
      <w:marTop w:val="0"/>
      <w:marBottom w:val="0"/>
      <w:divBdr>
        <w:top w:val="none" w:sz="0" w:space="0" w:color="auto"/>
        <w:left w:val="none" w:sz="0" w:space="0" w:color="auto"/>
        <w:bottom w:val="none" w:sz="0" w:space="0" w:color="auto"/>
        <w:right w:val="none" w:sz="0" w:space="0" w:color="auto"/>
      </w:divBdr>
    </w:div>
    <w:div w:id="1125654520">
      <w:bodyDiv w:val="1"/>
      <w:marLeft w:val="0"/>
      <w:marRight w:val="0"/>
      <w:marTop w:val="0"/>
      <w:marBottom w:val="0"/>
      <w:divBdr>
        <w:top w:val="none" w:sz="0" w:space="0" w:color="auto"/>
        <w:left w:val="none" w:sz="0" w:space="0" w:color="auto"/>
        <w:bottom w:val="none" w:sz="0" w:space="0" w:color="auto"/>
        <w:right w:val="none" w:sz="0" w:space="0" w:color="auto"/>
      </w:divBdr>
    </w:div>
    <w:div w:id="1173229050">
      <w:bodyDiv w:val="1"/>
      <w:marLeft w:val="0"/>
      <w:marRight w:val="0"/>
      <w:marTop w:val="0"/>
      <w:marBottom w:val="0"/>
      <w:divBdr>
        <w:top w:val="none" w:sz="0" w:space="0" w:color="auto"/>
        <w:left w:val="none" w:sz="0" w:space="0" w:color="auto"/>
        <w:bottom w:val="none" w:sz="0" w:space="0" w:color="auto"/>
        <w:right w:val="none" w:sz="0" w:space="0" w:color="auto"/>
      </w:divBdr>
    </w:div>
    <w:div w:id="1205824573">
      <w:bodyDiv w:val="1"/>
      <w:marLeft w:val="0"/>
      <w:marRight w:val="0"/>
      <w:marTop w:val="0"/>
      <w:marBottom w:val="0"/>
      <w:divBdr>
        <w:top w:val="none" w:sz="0" w:space="0" w:color="auto"/>
        <w:left w:val="none" w:sz="0" w:space="0" w:color="auto"/>
        <w:bottom w:val="none" w:sz="0" w:space="0" w:color="auto"/>
        <w:right w:val="none" w:sz="0" w:space="0" w:color="auto"/>
      </w:divBdr>
    </w:div>
    <w:div w:id="1251505521">
      <w:bodyDiv w:val="1"/>
      <w:marLeft w:val="0"/>
      <w:marRight w:val="0"/>
      <w:marTop w:val="0"/>
      <w:marBottom w:val="0"/>
      <w:divBdr>
        <w:top w:val="none" w:sz="0" w:space="0" w:color="auto"/>
        <w:left w:val="none" w:sz="0" w:space="0" w:color="auto"/>
        <w:bottom w:val="none" w:sz="0" w:space="0" w:color="auto"/>
        <w:right w:val="none" w:sz="0" w:space="0" w:color="auto"/>
      </w:divBdr>
    </w:div>
    <w:div w:id="1290207546">
      <w:bodyDiv w:val="1"/>
      <w:marLeft w:val="0"/>
      <w:marRight w:val="0"/>
      <w:marTop w:val="0"/>
      <w:marBottom w:val="0"/>
      <w:divBdr>
        <w:top w:val="none" w:sz="0" w:space="0" w:color="auto"/>
        <w:left w:val="none" w:sz="0" w:space="0" w:color="auto"/>
        <w:bottom w:val="none" w:sz="0" w:space="0" w:color="auto"/>
        <w:right w:val="none" w:sz="0" w:space="0" w:color="auto"/>
      </w:divBdr>
      <w:divsChild>
        <w:div w:id="1390809442">
          <w:marLeft w:val="360"/>
          <w:marRight w:val="0"/>
          <w:marTop w:val="200"/>
          <w:marBottom w:val="0"/>
          <w:divBdr>
            <w:top w:val="none" w:sz="0" w:space="0" w:color="auto"/>
            <w:left w:val="none" w:sz="0" w:space="0" w:color="auto"/>
            <w:bottom w:val="none" w:sz="0" w:space="0" w:color="auto"/>
            <w:right w:val="none" w:sz="0" w:space="0" w:color="auto"/>
          </w:divBdr>
        </w:div>
        <w:div w:id="2131702551">
          <w:marLeft w:val="1080"/>
          <w:marRight w:val="0"/>
          <w:marTop w:val="100"/>
          <w:marBottom w:val="0"/>
          <w:divBdr>
            <w:top w:val="none" w:sz="0" w:space="0" w:color="auto"/>
            <w:left w:val="none" w:sz="0" w:space="0" w:color="auto"/>
            <w:bottom w:val="none" w:sz="0" w:space="0" w:color="auto"/>
            <w:right w:val="none" w:sz="0" w:space="0" w:color="auto"/>
          </w:divBdr>
        </w:div>
        <w:div w:id="1351834009">
          <w:marLeft w:val="1080"/>
          <w:marRight w:val="0"/>
          <w:marTop w:val="100"/>
          <w:marBottom w:val="0"/>
          <w:divBdr>
            <w:top w:val="none" w:sz="0" w:space="0" w:color="auto"/>
            <w:left w:val="none" w:sz="0" w:space="0" w:color="auto"/>
            <w:bottom w:val="none" w:sz="0" w:space="0" w:color="auto"/>
            <w:right w:val="none" w:sz="0" w:space="0" w:color="auto"/>
          </w:divBdr>
        </w:div>
        <w:div w:id="1197474735">
          <w:marLeft w:val="360"/>
          <w:marRight w:val="0"/>
          <w:marTop w:val="200"/>
          <w:marBottom w:val="0"/>
          <w:divBdr>
            <w:top w:val="none" w:sz="0" w:space="0" w:color="auto"/>
            <w:left w:val="none" w:sz="0" w:space="0" w:color="auto"/>
            <w:bottom w:val="none" w:sz="0" w:space="0" w:color="auto"/>
            <w:right w:val="none" w:sz="0" w:space="0" w:color="auto"/>
          </w:divBdr>
        </w:div>
        <w:div w:id="756824893">
          <w:marLeft w:val="1080"/>
          <w:marRight w:val="0"/>
          <w:marTop w:val="100"/>
          <w:marBottom w:val="0"/>
          <w:divBdr>
            <w:top w:val="none" w:sz="0" w:space="0" w:color="auto"/>
            <w:left w:val="none" w:sz="0" w:space="0" w:color="auto"/>
            <w:bottom w:val="none" w:sz="0" w:space="0" w:color="auto"/>
            <w:right w:val="none" w:sz="0" w:space="0" w:color="auto"/>
          </w:divBdr>
        </w:div>
        <w:div w:id="1292832263">
          <w:marLeft w:val="1080"/>
          <w:marRight w:val="0"/>
          <w:marTop w:val="100"/>
          <w:marBottom w:val="0"/>
          <w:divBdr>
            <w:top w:val="none" w:sz="0" w:space="0" w:color="auto"/>
            <w:left w:val="none" w:sz="0" w:space="0" w:color="auto"/>
            <w:bottom w:val="none" w:sz="0" w:space="0" w:color="auto"/>
            <w:right w:val="none" w:sz="0" w:space="0" w:color="auto"/>
          </w:divBdr>
        </w:div>
        <w:div w:id="1820729718">
          <w:marLeft w:val="360"/>
          <w:marRight w:val="0"/>
          <w:marTop w:val="200"/>
          <w:marBottom w:val="0"/>
          <w:divBdr>
            <w:top w:val="none" w:sz="0" w:space="0" w:color="auto"/>
            <w:left w:val="none" w:sz="0" w:space="0" w:color="auto"/>
            <w:bottom w:val="none" w:sz="0" w:space="0" w:color="auto"/>
            <w:right w:val="none" w:sz="0" w:space="0" w:color="auto"/>
          </w:divBdr>
        </w:div>
        <w:div w:id="369572420">
          <w:marLeft w:val="1080"/>
          <w:marRight w:val="0"/>
          <w:marTop w:val="100"/>
          <w:marBottom w:val="0"/>
          <w:divBdr>
            <w:top w:val="none" w:sz="0" w:space="0" w:color="auto"/>
            <w:left w:val="none" w:sz="0" w:space="0" w:color="auto"/>
            <w:bottom w:val="none" w:sz="0" w:space="0" w:color="auto"/>
            <w:right w:val="none" w:sz="0" w:space="0" w:color="auto"/>
          </w:divBdr>
        </w:div>
      </w:divsChild>
    </w:div>
    <w:div w:id="1416711481">
      <w:bodyDiv w:val="1"/>
      <w:marLeft w:val="0"/>
      <w:marRight w:val="0"/>
      <w:marTop w:val="0"/>
      <w:marBottom w:val="0"/>
      <w:divBdr>
        <w:top w:val="none" w:sz="0" w:space="0" w:color="auto"/>
        <w:left w:val="none" w:sz="0" w:space="0" w:color="auto"/>
        <w:bottom w:val="none" w:sz="0" w:space="0" w:color="auto"/>
        <w:right w:val="none" w:sz="0" w:space="0" w:color="auto"/>
      </w:divBdr>
    </w:div>
    <w:div w:id="1469200390">
      <w:bodyDiv w:val="1"/>
      <w:marLeft w:val="0"/>
      <w:marRight w:val="0"/>
      <w:marTop w:val="0"/>
      <w:marBottom w:val="0"/>
      <w:divBdr>
        <w:top w:val="none" w:sz="0" w:space="0" w:color="auto"/>
        <w:left w:val="none" w:sz="0" w:space="0" w:color="auto"/>
        <w:bottom w:val="none" w:sz="0" w:space="0" w:color="auto"/>
        <w:right w:val="none" w:sz="0" w:space="0" w:color="auto"/>
      </w:divBdr>
    </w:div>
    <w:div w:id="1496652934">
      <w:bodyDiv w:val="1"/>
      <w:marLeft w:val="0"/>
      <w:marRight w:val="0"/>
      <w:marTop w:val="0"/>
      <w:marBottom w:val="0"/>
      <w:divBdr>
        <w:top w:val="none" w:sz="0" w:space="0" w:color="auto"/>
        <w:left w:val="none" w:sz="0" w:space="0" w:color="auto"/>
        <w:bottom w:val="none" w:sz="0" w:space="0" w:color="auto"/>
        <w:right w:val="none" w:sz="0" w:space="0" w:color="auto"/>
      </w:divBdr>
      <w:divsChild>
        <w:div w:id="1918829430">
          <w:marLeft w:val="0"/>
          <w:marRight w:val="0"/>
          <w:marTop w:val="0"/>
          <w:marBottom w:val="0"/>
          <w:divBdr>
            <w:top w:val="none" w:sz="0" w:space="0" w:color="auto"/>
            <w:left w:val="none" w:sz="0" w:space="0" w:color="auto"/>
            <w:bottom w:val="none" w:sz="0" w:space="0" w:color="auto"/>
            <w:right w:val="none" w:sz="0" w:space="0" w:color="auto"/>
          </w:divBdr>
          <w:divsChild>
            <w:div w:id="1207568878">
              <w:marLeft w:val="-225"/>
              <w:marRight w:val="-225"/>
              <w:marTop w:val="0"/>
              <w:marBottom w:val="0"/>
              <w:divBdr>
                <w:top w:val="none" w:sz="0" w:space="0" w:color="auto"/>
                <w:left w:val="none" w:sz="0" w:space="0" w:color="auto"/>
                <w:bottom w:val="none" w:sz="0" w:space="0" w:color="auto"/>
                <w:right w:val="none" w:sz="0" w:space="0" w:color="auto"/>
              </w:divBdr>
              <w:divsChild>
                <w:div w:id="470946682">
                  <w:marLeft w:val="0"/>
                  <w:marRight w:val="0"/>
                  <w:marTop w:val="0"/>
                  <w:marBottom w:val="0"/>
                  <w:divBdr>
                    <w:top w:val="none" w:sz="0" w:space="0" w:color="auto"/>
                    <w:left w:val="none" w:sz="0" w:space="0" w:color="auto"/>
                    <w:bottom w:val="none" w:sz="0" w:space="0" w:color="auto"/>
                    <w:right w:val="none" w:sz="0" w:space="0" w:color="auto"/>
                  </w:divBdr>
                  <w:divsChild>
                    <w:div w:id="1070929435">
                      <w:marLeft w:val="0"/>
                      <w:marRight w:val="0"/>
                      <w:marTop w:val="0"/>
                      <w:marBottom w:val="0"/>
                      <w:divBdr>
                        <w:top w:val="none" w:sz="0" w:space="0" w:color="auto"/>
                        <w:left w:val="none" w:sz="0" w:space="0" w:color="auto"/>
                        <w:bottom w:val="none" w:sz="0" w:space="0" w:color="auto"/>
                        <w:right w:val="none" w:sz="0" w:space="0" w:color="auto"/>
                      </w:divBdr>
                      <w:divsChild>
                        <w:div w:id="999306098">
                          <w:marLeft w:val="0"/>
                          <w:marRight w:val="0"/>
                          <w:marTop w:val="0"/>
                          <w:marBottom w:val="0"/>
                          <w:divBdr>
                            <w:top w:val="none" w:sz="0" w:space="0" w:color="auto"/>
                            <w:left w:val="none" w:sz="0" w:space="0" w:color="auto"/>
                            <w:bottom w:val="none" w:sz="0" w:space="0" w:color="auto"/>
                            <w:right w:val="none" w:sz="0" w:space="0" w:color="auto"/>
                          </w:divBdr>
                          <w:divsChild>
                            <w:div w:id="772166543">
                              <w:marLeft w:val="0"/>
                              <w:marRight w:val="0"/>
                              <w:marTop w:val="0"/>
                              <w:marBottom w:val="0"/>
                              <w:divBdr>
                                <w:top w:val="none" w:sz="0" w:space="0" w:color="auto"/>
                                <w:left w:val="none" w:sz="0" w:space="0" w:color="auto"/>
                                <w:bottom w:val="none" w:sz="0" w:space="0" w:color="auto"/>
                                <w:right w:val="none" w:sz="0" w:space="0" w:color="auto"/>
                              </w:divBdr>
                              <w:divsChild>
                                <w:div w:id="10464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155391">
      <w:bodyDiv w:val="1"/>
      <w:marLeft w:val="0"/>
      <w:marRight w:val="0"/>
      <w:marTop w:val="0"/>
      <w:marBottom w:val="0"/>
      <w:divBdr>
        <w:top w:val="none" w:sz="0" w:space="0" w:color="auto"/>
        <w:left w:val="none" w:sz="0" w:space="0" w:color="auto"/>
        <w:bottom w:val="none" w:sz="0" w:space="0" w:color="auto"/>
        <w:right w:val="none" w:sz="0" w:space="0" w:color="auto"/>
      </w:divBdr>
    </w:div>
    <w:div w:id="1624115197">
      <w:bodyDiv w:val="1"/>
      <w:marLeft w:val="0"/>
      <w:marRight w:val="0"/>
      <w:marTop w:val="0"/>
      <w:marBottom w:val="0"/>
      <w:divBdr>
        <w:top w:val="none" w:sz="0" w:space="0" w:color="auto"/>
        <w:left w:val="none" w:sz="0" w:space="0" w:color="auto"/>
        <w:bottom w:val="none" w:sz="0" w:space="0" w:color="auto"/>
        <w:right w:val="none" w:sz="0" w:space="0" w:color="auto"/>
      </w:divBdr>
    </w:div>
    <w:div w:id="1632831144">
      <w:bodyDiv w:val="1"/>
      <w:marLeft w:val="0"/>
      <w:marRight w:val="0"/>
      <w:marTop w:val="0"/>
      <w:marBottom w:val="0"/>
      <w:divBdr>
        <w:top w:val="none" w:sz="0" w:space="0" w:color="auto"/>
        <w:left w:val="none" w:sz="0" w:space="0" w:color="auto"/>
        <w:bottom w:val="none" w:sz="0" w:space="0" w:color="auto"/>
        <w:right w:val="none" w:sz="0" w:space="0" w:color="auto"/>
      </w:divBdr>
    </w:div>
    <w:div w:id="1751268804">
      <w:bodyDiv w:val="1"/>
      <w:marLeft w:val="0"/>
      <w:marRight w:val="0"/>
      <w:marTop w:val="0"/>
      <w:marBottom w:val="0"/>
      <w:divBdr>
        <w:top w:val="none" w:sz="0" w:space="0" w:color="auto"/>
        <w:left w:val="none" w:sz="0" w:space="0" w:color="auto"/>
        <w:bottom w:val="none" w:sz="0" w:space="0" w:color="auto"/>
        <w:right w:val="none" w:sz="0" w:space="0" w:color="auto"/>
      </w:divBdr>
    </w:div>
    <w:div w:id="1780029777">
      <w:bodyDiv w:val="1"/>
      <w:marLeft w:val="0"/>
      <w:marRight w:val="0"/>
      <w:marTop w:val="0"/>
      <w:marBottom w:val="0"/>
      <w:divBdr>
        <w:top w:val="none" w:sz="0" w:space="0" w:color="auto"/>
        <w:left w:val="none" w:sz="0" w:space="0" w:color="auto"/>
        <w:bottom w:val="none" w:sz="0" w:space="0" w:color="auto"/>
        <w:right w:val="none" w:sz="0" w:space="0" w:color="auto"/>
      </w:divBdr>
    </w:div>
    <w:div w:id="1841040755">
      <w:bodyDiv w:val="1"/>
      <w:marLeft w:val="0"/>
      <w:marRight w:val="0"/>
      <w:marTop w:val="0"/>
      <w:marBottom w:val="0"/>
      <w:divBdr>
        <w:top w:val="none" w:sz="0" w:space="0" w:color="auto"/>
        <w:left w:val="none" w:sz="0" w:space="0" w:color="auto"/>
        <w:bottom w:val="none" w:sz="0" w:space="0" w:color="auto"/>
        <w:right w:val="none" w:sz="0" w:space="0" w:color="auto"/>
      </w:divBdr>
    </w:div>
    <w:div w:id="2059821515">
      <w:bodyDiv w:val="1"/>
      <w:marLeft w:val="0"/>
      <w:marRight w:val="0"/>
      <w:marTop w:val="0"/>
      <w:marBottom w:val="0"/>
      <w:divBdr>
        <w:top w:val="none" w:sz="0" w:space="0" w:color="auto"/>
        <w:left w:val="none" w:sz="0" w:space="0" w:color="auto"/>
        <w:bottom w:val="none" w:sz="0" w:space="0" w:color="auto"/>
        <w:right w:val="none" w:sz="0" w:space="0" w:color="auto"/>
      </w:divBdr>
    </w:div>
    <w:div w:id="2065905143">
      <w:bodyDiv w:val="1"/>
      <w:marLeft w:val="0"/>
      <w:marRight w:val="0"/>
      <w:marTop w:val="0"/>
      <w:marBottom w:val="0"/>
      <w:divBdr>
        <w:top w:val="none" w:sz="0" w:space="0" w:color="auto"/>
        <w:left w:val="none" w:sz="0" w:space="0" w:color="auto"/>
        <w:bottom w:val="none" w:sz="0" w:space="0" w:color="auto"/>
        <w:right w:val="none" w:sz="0" w:space="0" w:color="auto"/>
      </w:divBdr>
    </w:div>
    <w:div w:id="2080245060">
      <w:bodyDiv w:val="1"/>
      <w:marLeft w:val="0"/>
      <w:marRight w:val="0"/>
      <w:marTop w:val="0"/>
      <w:marBottom w:val="0"/>
      <w:divBdr>
        <w:top w:val="none" w:sz="0" w:space="0" w:color="auto"/>
        <w:left w:val="none" w:sz="0" w:space="0" w:color="auto"/>
        <w:bottom w:val="none" w:sz="0" w:space="0" w:color="auto"/>
        <w:right w:val="none" w:sz="0" w:space="0" w:color="auto"/>
      </w:divBdr>
    </w:div>
    <w:div w:id="2080976826">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12638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humgenomics.biomedcentral.com/articles/10.1186/s40246-017-0110-x" TargetMode="External"/><Relationship Id="rId26" Type="http://schemas.openxmlformats.org/officeDocument/2006/relationships/hyperlink" Target="https://link.springer.com/article/10.1007%2Fs10549-016-3948-z"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ciencedirect.com/science/article/pii/S0014480016302970" TargetMode="External"/><Relationship Id="rId34" Type="http://schemas.openxmlformats.org/officeDocument/2006/relationships/hyperlink" Target="https://www.sciencedirect.com/science/article/pii/S1525157812001833"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sciencedirect.com/science/article/pii/S1525157817300776" TargetMode="External"/><Relationship Id="rId25" Type="http://schemas.openxmlformats.org/officeDocument/2006/relationships/hyperlink" Target="https://www.ncbi.nlm.nih.gov/pmc/articles/PMC5348397/pdf/oncotarget-07-81357.pdf" TargetMode="External"/><Relationship Id="rId33" Type="http://schemas.openxmlformats.org/officeDocument/2006/relationships/hyperlink" Target="https://www.nature.com/articles/ejhg201318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ncbi.nlm.nih.gov/pmc/articles/PMC5471017/pdf/oncotarget-08-34858.pdf" TargetMode="External"/><Relationship Id="rId29" Type="http://schemas.openxmlformats.org/officeDocument/2006/relationships/hyperlink" Target="https://rd.springer.com/article/10.1007/s10689-014-974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ncbi.nlm.nih.gov/pmc/articles/PMC5308695/pdf/oncotarget-07-61845.pdf" TargetMode="External"/><Relationship Id="rId32" Type="http://schemas.openxmlformats.org/officeDocument/2006/relationships/hyperlink" Target="https://www.ncbi.nlm.nih.gov/pmc/articles/PMC4098986/pdf/BMRI2014-542541.pdf" TargetMode="External"/><Relationship Id="rId37" Type="http://schemas.openxmlformats.org/officeDocument/2006/relationships/hyperlink" Target="http://ascopubs.org/doi/abs/10.1200/JCO.2017.35.15_suppl.1007"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ncbi.nlm.nih.gov/pubmed/27848044" TargetMode="External"/><Relationship Id="rId28" Type="http://schemas.openxmlformats.org/officeDocument/2006/relationships/hyperlink" Target="https://www.ncbi.nlm.nih.gov/labs/articles/25893891/" TargetMode="External"/><Relationship Id="rId36" Type="http://schemas.openxmlformats.org/officeDocument/2006/relationships/hyperlink" Target="https://academic.oup.com/annonc/article/29/9/1939/5074207" TargetMode="External"/><Relationship Id="rId10" Type="http://schemas.openxmlformats.org/officeDocument/2006/relationships/hyperlink" Target="http://www.msac.gov.au/" TargetMode="External"/><Relationship Id="rId19" Type="http://schemas.openxmlformats.org/officeDocument/2006/relationships/hyperlink" Target="https://bmccancer.biomedcentral.com/articles/10.1186/s12885-017-3422-2" TargetMode="External"/><Relationship Id="rId31" Type="http://schemas.openxmlformats.org/officeDocument/2006/relationships/hyperlink" Target="https://www.ncbi.nlm.nih.gov/pmc/articles/PMC4546651/"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footer" Target="footer2.xml"/><Relationship Id="rId22" Type="http://schemas.openxmlformats.org/officeDocument/2006/relationships/hyperlink" Target="https://www.sciencedirect.com/science/article/pii/S1769721216305687" TargetMode="External"/><Relationship Id="rId27" Type="http://schemas.openxmlformats.org/officeDocument/2006/relationships/hyperlink" Target="https://link.springer.com/article/10.1007%2Fs10549-016-3891-z" TargetMode="External"/><Relationship Id="rId30" Type="http://schemas.openxmlformats.org/officeDocument/2006/relationships/hyperlink" Target="http://journal.waocp.org/?sid=Entrez:PubMed&amp;id=pmid:26625824&amp;key=2015.16.17.7935" TargetMode="External"/><Relationship Id="rId35" Type="http://schemas.openxmlformats.org/officeDocument/2006/relationships/hyperlink" Target="https://www.nejm.org/doi/full/10.1056/NEJMoa18029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1170-7339-460A-BAC9-4A12C532C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9392</Words>
  <Characters>53538</Characters>
  <Application>Microsoft Office Word</Application>
  <DocSecurity>0</DocSecurity>
  <Lines>446</Lines>
  <Paragraphs>125</Paragraphs>
  <ScaleCrop>false</ScaleCrop>
  <Company/>
  <LinksUpToDate>false</LinksUpToDate>
  <CharactersWithSpaces>62805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2019-11-06T23:45:00Z</dcterms:created>
  <dcterms:modified xsi:type="dcterms:W3CDTF">2019-11-06T23:45:00Z</dcterms:modified>
</cp:coreProperties>
</file>