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C888AB" w14:textId="737B0693" w:rsidR="00C730C8" w:rsidRPr="00707064" w:rsidRDefault="00C730C8" w:rsidP="00C730C8">
      <w:pPr>
        <w:spacing w:after="240"/>
        <w:jc w:val="center"/>
        <w:rPr>
          <w:b/>
          <w:i/>
          <w:szCs w:val="24"/>
          <w:highlight w:val="yellow"/>
        </w:rPr>
      </w:pPr>
      <w:r>
        <w:rPr>
          <w:rFonts w:ascii="Arial" w:hAnsi="Arial" w:cs="Arial"/>
          <w:b/>
          <w:noProof/>
          <w:color w:val="000080"/>
          <w:sz w:val="28"/>
          <w:szCs w:val="28"/>
        </w:rPr>
        <w:drawing>
          <wp:inline distT="0" distB="0" distL="0" distR="0" wp14:anchorId="59D9ED97" wp14:editId="187C9E56">
            <wp:extent cx="2627630" cy="1078865"/>
            <wp:effectExtent l="0" t="0" r="1270" b="6985"/>
            <wp:docPr id="2" name="Picture 2" descr="Medical Services Advisory Committe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27630" cy="1078865"/>
                    </a:xfrm>
                    <a:prstGeom prst="rect">
                      <a:avLst/>
                    </a:prstGeom>
                    <a:noFill/>
                  </pic:spPr>
                </pic:pic>
              </a:graphicData>
            </a:graphic>
          </wp:inline>
        </w:drawing>
      </w:r>
    </w:p>
    <w:p w14:paraId="5CD743DD" w14:textId="520EFB75" w:rsidR="0050188B" w:rsidRPr="00C730C8" w:rsidRDefault="00C730C8" w:rsidP="00C730C8">
      <w:pPr>
        <w:pStyle w:val="Title"/>
        <w:tabs>
          <w:tab w:val="left" w:pos="1926"/>
          <w:tab w:val="center" w:pos="4513"/>
        </w:tabs>
        <w:jc w:val="left"/>
      </w:pPr>
      <w:r>
        <w:tab/>
      </w:r>
      <w:r>
        <w:tab/>
      </w:r>
      <w:r w:rsidRPr="00F715D1">
        <w:t>Public Summary Document</w:t>
      </w:r>
    </w:p>
    <w:p w14:paraId="4799703B" w14:textId="3A8C3124" w:rsidR="001115D1" w:rsidRPr="00C730C8" w:rsidRDefault="00C730C8" w:rsidP="00C730C8">
      <w:pPr>
        <w:pStyle w:val="Subtitle"/>
      </w:pPr>
      <w:r>
        <w:t xml:space="preserve">Application </w:t>
      </w:r>
      <w:r w:rsidR="00410109" w:rsidRPr="00C730C8">
        <w:t>1585 –Genetic testing for the diagnosis of early-onset or familial neuromuscular disorders</w:t>
      </w:r>
    </w:p>
    <w:p w14:paraId="1F456B50" w14:textId="204CBA1A" w:rsidR="006B241A" w:rsidRPr="00C730C8" w:rsidRDefault="001115D1" w:rsidP="00C730C8">
      <w:pPr>
        <w:tabs>
          <w:tab w:val="left" w:pos="3686"/>
        </w:tabs>
        <w:spacing w:after="240"/>
        <w:rPr>
          <w:rFonts w:ascii="Arial" w:hAnsi="Arial" w:cs="Arial"/>
          <w:b/>
          <w:szCs w:val="24"/>
        </w:rPr>
      </w:pPr>
      <w:r w:rsidRPr="00C730C8">
        <w:rPr>
          <w:rFonts w:ascii="Arial" w:hAnsi="Arial" w:cs="Arial"/>
          <w:b/>
          <w:szCs w:val="24"/>
        </w:rPr>
        <w:t>Applicant: The Royal College of Pathologists of Australasia (RCPA)</w:t>
      </w:r>
    </w:p>
    <w:p w14:paraId="56BB77D3" w14:textId="26319955" w:rsidR="00712EE7" w:rsidRPr="00C730C8" w:rsidRDefault="00676C49" w:rsidP="00C730C8">
      <w:pPr>
        <w:tabs>
          <w:tab w:val="left" w:pos="3686"/>
        </w:tabs>
        <w:spacing w:after="240"/>
        <w:rPr>
          <w:rFonts w:ascii="Arial" w:hAnsi="Arial" w:cs="Arial"/>
          <w:b/>
          <w:szCs w:val="24"/>
        </w:rPr>
      </w:pPr>
      <w:r w:rsidRPr="00C730C8">
        <w:rPr>
          <w:rFonts w:ascii="Arial" w:hAnsi="Arial" w:cs="Arial"/>
          <w:b/>
          <w:szCs w:val="24"/>
        </w:rPr>
        <w:t xml:space="preserve">Date of </w:t>
      </w:r>
      <w:r w:rsidR="000B5F25">
        <w:rPr>
          <w:rFonts w:ascii="Arial" w:hAnsi="Arial" w:cs="Arial"/>
          <w:b/>
          <w:szCs w:val="24"/>
        </w:rPr>
        <w:t>MSAC</w:t>
      </w:r>
      <w:r w:rsidRPr="00C730C8">
        <w:rPr>
          <w:rFonts w:ascii="Arial" w:hAnsi="Arial" w:cs="Arial"/>
          <w:b/>
          <w:szCs w:val="24"/>
        </w:rPr>
        <w:t xml:space="preserve"> </w:t>
      </w:r>
      <w:r w:rsidR="00065623" w:rsidRPr="00C730C8">
        <w:rPr>
          <w:rFonts w:ascii="Arial" w:hAnsi="Arial" w:cs="Arial"/>
          <w:b/>
          <w:szCs w:val="24"/>
        </w:rPr>
        <w:t>consideration:</w:t>
      </w:r>
      <w:r w:rsidR="00471BF1" w:rsidRPr="00C730C8">
        <w:rPr>
          <w:rFonts w:ascii="Arial" w:hAnsi="Arial" w:cs="Arial"/>
          <w:b/>
          <w:szCs w:val="24"/>
        </w:rPr>
        <w:t xml:space="preserve">  </w:t>
      </w:r>
      <w:r w:rsidR="00712EE7">
        <w:rPr>
          <w:rFonts w:ascii="Arial" w:hAnsi="Arial" w:cs="Arial"/>
          <w:b/>
          <w:szCs w:val="24"/>
        </w:rPr>
        <w:tab/>
      </w:r>
      <w:r w:rsidR="006F6993">
        <w:rPr>
          <w:rFonts w:ascii="Arial" w:hAnsi="Arial" w:cs="Arial"/>
          <w:b/>
          <w:szCs w:val="24"/>
        </w:rPr>
        <w:t>MSAC Executive Meeting, 8 December 2021</w:t>
      </w:r>
      <w:r w:rsidR="006F6993">
        <w:rPr>
          <w:rFonts w:ascii="Arial" w:hAnsi="Arial" w:cs="Arial"/>
          <w:b/>
          <w:szCs w:val="24"/>
        </w:rPr>
        <w:br/>
      </w:r>
      <w:r w:rsidR="006F6993">
        <w:rPr>
          <w:rFonts w:ascii="Arial" w:hAnsi="Arial" w:cs="Arial"/>
          <w:b/>
          <w:szCs w:val="24"/>
        </w:rPr>
        <w:tab/>
      </w:r>
      <w:r w:rsidR="00712EE7">
        <w:rPr>
          <w:rFonts w:ascii="Arial" w:hAnsi="Arial" w:cs="Arial"/>
          <w:b/>
          <w:szCs w:val="24"/>
        </w:rPr>
        <w:t>MSAC Executive Meeting, 24 September 2021</w:t>
      </w:r>
      <w:r w:rsidR="00712EE7">
        <w:rPr>
          <w:rFonts w:ascii="Arial" w:hAnsi="Arial" w:cs="Arial"/>
          <w:b/>
          <w:szCs w:val="24"/>
        </w:rPr>
        <w:br/>
      </w:r>
      <w:r w:rsidR="00712EE7">
        <w:rPr>
          <w:rFonts w:ascii="Arial" w:hAnsi="Arial" w:cs="Arial"/>
          <w:b/>
          <w:szCs w:val="24"/>
        </w:rPr>
        <w:tab/>
      </w:r>
      <w:r w:rsidR="00C11F4E">
        <w:rPr>
          <w:rFonts w:ascii="Arial" w:hAnsi="Arial" w:cs="Arial"/>
          <w:b/>
          <w:szCs w:val="24"/>
        </w:rPr>
        <w:t>MSAC 82</w:t>
      </w:r>
      <w:r w:rsidR="00C11F4E" w:rsidRPr="00425371">
        <w:rPr>
          <w:rFonts w:ascii="Arial" w:hAnsi="Arial" w:cs="Arial"/>
          <w:b/>
          <w:szCs w:val="24"/>
          <w:vertAlign w:val="superscript"/>
        </w:rPr>
        <w:t>nd</w:t>
      </w:r>
      <w:r w:rsidR="00C11F4E">
        <w:rPr>
          <w:rFonts w:ascii="Arial" w:hAnsi="Arial" w:cs="Arial"/>
          <w:b/>
          <w:szCs w:val="24"/>
        </w:rPr>
        <w:t xml:space="preserve"> Meeting, </w:t>
      </w:r>
      <w:r w:rsidR="000B5F25">
        <w:rPr>
          <w:rFonts w:ascii="Arial" w:hAnsi="Arial" w:cs="Arial"/>
          <w:b/>
          <w:szCs w:val="24"/>
        </w:rPr>
        <w:t>29-30 July</w:t>
      </w:r>
      <w:r w:rsidR="00471BF1" w:rsidRPr="00C730C8">
        <w:rPr>
          <w:rFonts w:ascii="Arial" w:hAnsi="Arial" w:cs="Arial"/>
          <w:b/>
          <w:szCs w:val="24"/>
        </w:rPr>
        <w:t xml:space="preserve"> 2021 </w:t>
      </w:r>
    </w:p>
    <w:p w14:paraId="1664241F" w14:textId="2660A1B3" w:rsidR="00200816" w:rsidRPr="00C730C8" w:rsidRDefault="00C730C8" w:rsidP="00373328">
      <w:pPr>
        <w:spacing w:after="360"/>
        <w:rPr>
          <w:color w:val="0000FF"/>
          <w:szCs w:val="24"/>
          <w:u w:val="single"/>
        </w:rPr>
      </w:pPr>
      <w:r w:rsidRPr="00F715D1">
        <w:rPr>
          <w:szCs w:val="24"/>
        </w:rPr>
        <w:t>Context for decision: MSAC makes its advice in accordance wit</w:t>
      </w:r>
      <w:r>
        <w:rPr>
          <w:szCs w:val="24"/>
        </w:rPr>
        <w:t>h its Terms of Reference,</w:t>
      </w:r>
      <w:r w:rsidRPr="00F715D1">
        <w:rPr>
          <w:szCs w:val="24"/>
        </w:rPr>
        <w:t xml:space="preserve"> </w:t>
      </w:r>
      <w:hyperlink r:id="rId9" w:tooltip="Link to Medical Services Advisory Committee website" w:history="1">
        <w:r w:rsidRPr="00F715D1">
          <w:rPr>
            <w:rStyle w:val="Hyperlink"/>
            <w:szCs w:val="24"/>
          </w:rPr>
          <w:t>visit the MSAC website</w:t>
        </w:r>
      </w:hyperlink>
    </w:p>
    <w:p w14:paraId="608A48B3" w14:textId="2042DB4F" w:rsidR="00576ED3" w:rsidRPr="00C730C8" w:rsidRDefault="00065623"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t>Purpose of application</w:t>
      </w:r>
    </w:p>
    <w:p w14:paraId="5A88C351" w14:textId="16DA6B1D" w:rsidR="00CF1666" w:rsidRDefault="00CF1666" w:rsidP="00CF1666">
      <w:r>
        <w:t xml:space="preserve">An application requesting the </w:t>
      </w:r>
      <w:r w:rsidRPr="001A5A21">
        <w:t>creation of MBS items for</w:t>
      </w:r>
      <w:r>
        <w:t xml:space="preserve"> genetic testing for the </w:t>
      </w:r>
      <w:r w:rsidRPr="001A5A21">
        <w:t>diagnosis</w:t>
      </w:r>
      <w:r>
        <w:t xml:space="preserve"> of early-onset or familial neuromuscular disorders </w:t>
      </w:r>
      <w:r w:rsidR="00100F91">
        <w:t xml:space="preserve">(NMDs) </w:t>
      </w:r>
      <w:r>
        <w:t xml:space="preserve">was received from the RCPA by the Department of </w:t>
      </w:r>
      <w:r w:rsidRPr="00AE47EE">
        <w:t xml:space="preserve">Health. </w:t>
      </w:r>
    </w:p>
    <w:p w14:paraId="7E72C45F" w14:textId="77777777" w:rsidR="00C730C8" w:rsidRPr="00C730C8" w:rsidRDefault="00C730C8"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t>MSAC’s advice to the Minister</w:t>
      </w:r>
    </w:p>
    <w:p w14:paraId="54792E85" w14:textId="07ED4F4A" w:rsidR="00BB2091" w:rsidRPr="00FA18B6" w:rsidRDefault="00BB2091" w:rsidP="00BB2091">
      <w:pPr>
        <w:spacing w:before="20" w:after="20"/>
        <w:rPr>
          <w:szCs w:val="24"/>
        </w:rPr>
      </w:pPr>
      <w:r w:rsidRPr="001342D1">
        <w:t xml:space="preserve">After considering the strength of the available evidence in relation to comparative safety, </w:t>
      </w:r>
      <w:r>
        <w:t xml:space="preserve">clinical </w:t>
      </w:r>
      <w:proofErr w:type="gramStart"/>
      <w:r>
        <w:t>effectiveness</w:t>
      </w:r>
      <w:proofErr w:type="gramEnd"/>
      <w:r>
        <w:t xml:space="preserve"> and cost-</w:t>
      </w:r>
      <w:r w:rsidRPr="001342D1">
        <w:t xml:space="preserve">effectiveness, MSAC </w:t>
      </w:r>
      <w:r w:rsidRPr="00FA18B6">
        <w:rPr>
          <w:szCs w:val="24"/>
        </w:rPr>
        <w:t xml:space="preserve">supported creation of new Medicare Benefits Schedule (MBS) items for </w:t>
      </w:r>
      <w:r>
        <w:rPr>
          <w:szCs w:val="24"/>
        </w:rPr>
        <w:t xml:space="preserve">the </w:t>
      </w:r>
      <w:r w:rsidRPr="00FA18B6">
        <w:rPr>
          <w:szCs w:val="24"/>
        </w:rPr>
        <w:t xml:space="preserve">genetic testing </w:t>
      </w:r>
      <w:r>
        <w:rPr>
          <w:szCs w:val="24"/>
        </w:rPr>
        <w:t xml:space="preserve">of certain patients with </w:t>
      </w:r>
      <w:r w:rsidRPr="00FA18B6">
        <w:rPr>
          <w:szCs w:val="24"/>
        </w:rPr>
        <w:t>neuromuscular disorders</w:t>
      </w:r>
      <w:r>
        <w:rPr>
          <w:szCs w:val="24"/>
        </w:rPr>
        <w:t xml:space="preserve"> (NMDs)</w:t>
      </w:r>
      <w:r w:rsidRPr="00FA18B6">
        <w:rPr>
          <w:szCs w:val="24"/>
        </w:rPr>
        <w:t>. MSAC recognised the clinical need for this testing</w:t>
      </w:r>
      <w:r>
        <w:rPr>
          <w:szCs w:val="24"/>
        </w:rPr>
        <w:t xml:space="preserve"> but</w:t>
      </w:r>
      <w:r w:rsidRPr="00FA18B6">
        <w:rPr>
          <w:szCs w:val="24"/>
        </w:rPr>
        <w:t xml:space="preserve"> </w:t>
      </w:r>
      <w:r>
        <w:rPr>
          <w:szCs w:val="24"/>
        </w:rPr>
        <w:t xml:space="preserve">considered that some </w:t>
      </w:r>
      <w:r w:rsidRPr="00FA18B6">
        <w:rPr>
          <w:szCs w:val="24"/>
        </w:rPr>
        <w:t xml:space="preserve">uncertainty </w:t>
      </w:r>
      <w:r>
        <w:rPr>
          <w:szCs w:val="24"/>
        </w:rPr>
        <w:t xml:space="preserve">remained </w:t>
      </w:r>
      <w:r w:rsidRPr="00FA18B6">
        <w:rPr>
          <w:szCs w:val="24"/>
        </w:rPr>
        <w:t xml:space="preserve">in the estimated </w:t>
      </w:r>
      <w:r>
        <w:rPr>
          <w:szCs w:val="24"/>
        </w:rPr>
        <w:t xml:space="preserve">cost-effectiveness </w:t>
      </w:r>
      <w:r w:rsidRPr="00FA18B6">
        <w:rPr>
          <w:szCs w:val="24"/>
        </w:rPr>
        <w:t>and financial impact</w:t>
      </w:r>
      <w:r>
        <w:rPr>
          <w:szCs w:val="24"/>
        </w:rPr>
        <w:t>, and so requested further analyses be provided to the MSAC Executive to confirm these are within an acceptable range</w:t>
      </w:r>
      <w:r w:rsidRPr="00FA18B6">
        <w:rPr>
          <w:szCs w:val="24"/>
        </w:rPr>
        <w:t>.</w:t>
      </w:r>
      <w:r w:rsidR="00290BFE">
        <w:rPr>
          <w:szCs w:val="24"/>
        </w:rPr>
        <w:t xml:space="preserve"> The MSAC Executive confirmed both were acceptable, removing the caveat around MSAC’s support.</w:t>
      </w:r>
    </w:p>
    <w:p w14:paraId="4B12232E" w14:textId="787398D1" w:rsidR="00042B86" w:rsidRDefault="00BB2091" w:rsidP="00042B86">
      <w:pPr>
        <w:spacing w:before="240" w:after="240"/>
      </w:pPr>
      <w:r w:rsidRPr="00FA18B6">
        <w:t xml:space="preserve">MSAC supported panel testing of affected individuals, cascade testing of biological relatives, </w:t>
      </w:r>
      <w:proofErr w:type="spellStart"/>
      <w:r w:rsidRPr="00FA18B6">
        <w:t>fetal</w:t>
      </w:r>
      <w:proofErr w:type="spellEnd"/>
      <w:r w:rsidRPr="00FA18B6">
        <w:t xml:space="preserve"> testing for known and unknown variants, reproductive partner testing and data re</w:t>
      </w:r>
      <w:r w:rsidR="006831FB">
        <w:noBreakHyphen/>
      </w:r>
      <w:r w:rsidRPr="00FA18B6">
        <w:t xml:space="preserve">analysis. MSAC advised </w:t>
      </w:r>
      <w:r>
        <w:t xml:space="preserve">that </w:t>
      </w:r>
      <w:r w:rsidRPr="00FA18B6">
        <w:t>panel testing should use next</w:t>
      </w:r>
      <w:r>
        <w:t>-</w:t>
      </w:r>
      <w:r w:rsidRPr="00FA18B6">
        <w:t>generation sequencing</w:t>
      </w:r>
      <w:r>
        <w:t xml:space="preserve"> </w:t>
      </w:r>
      <w:r w:rsidRPr="00FA18B6">
        <w:t xml:space="preserve">(NGS) methods with a full capture and sequencing background to ensure future data re-analysis is possible. MSAC </w:t>
      </w:r>
      <w:r>
        <w:t xml:space="preserve">also advised that </w:t>
      </w:r>
      <w:r w:rsidRPr="00FA18B6">
        <w:t xml:space="preserve">a practice note be added to the panel testing item to ensure single gene tests for variants not detectable using NGS methods are conducted </w:t>
      </w:r>
      <w:r>
        <w:t>before</w:t>
      </w:r>
      <w:r w:rsidRPr="00FA18B6">
        <w:t xml:space="preserve"> panel testing, where </w:t>
      </w:r>
      <w:r w:rsidR="00213288">
        <w:t>a specific</w:t>
      </w:r>
      <w:r>
        <w:t xml:space="preserve"> NMD</w:t>
      </w:r>
      <w:r w:rsidRPr="00FA18B6">
        <w:t xml:space="preserve"> </w:t>
      </w:r>
      <w:r w:rsidR="00213288">
        <w:t xml:space="preserve">best detected by those methods </w:t>
      </w:r>
      <w:r w:rsidRPr="00FA18B6">
        <w:t>is clinically suspected.</w:t>
      </w:r>
    </w:p>
    <w:tbl>
      <w:tblPr>
        <w:tblStyle w:val="TableGrid"/>
        <w:tblW w:w="0" w:type="auto"/>
        <w:tblLook w:val="04A0" w:firstRow="1" w:lastRow="0" w:firstColumn="1" w:lastColumn="0" w:noHBand="0" w:noVBand="1"/>
      </w:tblPr>
      <w:tblGrid>
        <w:gridCol w:w="9016"/>
      </w:tblGrid>
      <w:tr w:rsidR="00042B86" w14:paraId="2130547D" w14:textId="77777777" w:rsidTr="00042B86">
        <w:trPr>
          <w:tblHeader/>
        </w:trPr>
        <w:tc>
          <w:tcPr>
            <w:tcW w:w="9016" w:type="dxa"/>
          </w:tcPr>
          <w:p w14:paraId="650F90BB" w14:textId="788F3B06" w:rsidR="00042B86" w:rsidRPr="00042B86" w:rsidRDefault="00042B86" w:rsidP="00042B86">
            <w:pPr>
              <w:spacing w:before="120" w:after="120"/>
              <w:rPr>
                <w:rFonts w:ascii="Times New Roman" w:hAnsi="Times New Roman"/>
                <w:b/>
                <w:bCs/>
                <w:sz w:val="24"/>
                <w:szCs w:val="24"/>
              </w:rPr>
            </w:pPr>
            <w:r w:rsidRPr="00042B86">
              <w:rPr>
                <w:rFonts w:ascii="Times New Roman" w:hAnsi="Times New Roman"/>
                <w:b/>
                <w:bCs/>
                <w:sz w:val="24"/>
                <w:szCs w:val="24"/>
              </w:rPr>
              <w:lastRenderedPageBreak/>
              <w:t>Consumer summary</w:t>
            </w:r>
          </w:p>
        </w:tc>
      </w:tr>
      <w:tr w:rsidR="00042B86" w14:paraId="0D6FEBC3" w14:textId="77777777" w:rsidTr="00042B86">
        <w:tc>
          <w:tcPr>
            <w:tcW w:w="9016" w:type="dxa"/>
          </w:tcPr>
          <w:p w14:paraId="1F7E5EBF" w14:textId="77777777" w:rsidR="00042B86" w:rsidRDefault="00042B86" w:rsidP="00042B86">
            <w:pPr>
              <w:spacing w:before="120"/>
              <w:rPr>
                <w:rFonts w:ascii="Times New Roman" w:hAnsi="Times New Roman"/>
                <w:sz w:val="24"/>
                <w:szCs w:val="24"/>
              </w:rPr>
            </w:pPr>
            <w:r w:rsidRPr="00042B86">
              <w:rPr>
                <w:rFonts w:ascii="Times New Roman" w:hAnsi="Times New Roman"/>
                <w:sz w:val="24"/>
                <w:szCs w:val="24"/>
              </w:rPr>
              <w:t>The Royal College of Pathologists of Australasia (RCPA) applied to the Medical Services Advisory Committee (MSAC) for public funding through the Medicare Benefits Schedule (MBS) for genetic testing (including a gene panel test) for the diagnosis of specific neuromuscular disorders.</w:t>
            </w:r>
          </w:p>
          <w:p w14:paraId="20EDC69D" w14:textId="537DE31B" w:rsidR="00042B86" w:rsidRPr="00042B86" w:rsidRDefault="00042B86" w:rsidP="00042B86">
            <w:pPr>
              <w:spacing w:before="120"/>
              <w:rPr>
                <w:rFonts w:ascii="Times New Roman" w:hAnsi="Times New Roman"/>
                <w:sz w:val="24"/>
                <w:szCs w:val="24"/>
              </w:rPr>
            </w:pPr>
            <w:r w:rsidRPr="00042B86">
              <w:rPr>
                <w:rFonts w:ascii="Times New Roman" w:hAnsi="Times New Roman"/>
                <w:sz w:val="24"/>
                <w:szCs w:val="24"/>
              </w:rPr>
              <w:t>Neuromuscular disorders affect nerves and/or muscles and how they function. Gene panel tests look for variants in many genes at the same time and can allow diagnosis of some neuromuscular disorders. Diagnosed patients and their clinicians would then have the option to go on with cascade testing to identify any close family members who might also be affected. They could also consider testing reproductive partners, and prenatal testing, so that those planning a baby can make informed reproductive decisions. Later re-analysis of the data from the gene panel would also be done, should new genes be found to be diagnostic for neuromuscular disorders.</w:t>
            </w:r>
          </w:p>
          <w:p w14:paraId="5CE94A87" w14:textId="080C451F" w:rsidR="00042B86" w:rsidRPr="00042B86" w:rsidRDefault="00042B86" w:rsidP="00042B86">
            <w:pPr>
              <w:spacing w:before="240"/>
              <w:rPr>
                <w:rFonts w:ascii="Times New Roman" w:hAnsi="Times New Roman"/>
                <w:sz w:val="24"/>
                <w:szCs w:val="24"/>
              </w:rPr>
            </w:pPr>
            <w:r w:rsidRPr="00042B86">
              <w:rPr>
                <w:rFonts w:ascii="Times New Roman" w:hAnsi="Times New Roman"/>
                <w:sz w:val="24"/>
                <w:szCs w:val="24"/>
              </w:rPr>
              <w:t>MSAC recognised the clinical need for this type of genetic testing. Currently, neuromuscular disorders are diagnosed by imaging studies, muscle and/or nerve biopsies, and nerve conduction studies. MSAC considered genomic panel testing to be safer and more effective than the tests used currently. MSAC considered that funding this testing would likely significantly reduce healthcare costs to the MBS. MSAC considered that the value for money and total cost of this testing were uncertain but would likely be acceptable</w:t>
            </w:r>
            <w:r w:rsidR="00C17EED">
              <w:rPr>
                <w:rFonts w:ascii="Times New Roman" w:hAnsi="Times New Roman"/>
                <w:sz w:val="24"/>
                <w:szCs w:val="24"/>
              </w:rPr>
              <w:t>.</w:t>
            </w:r>
            <w:r w:rsidR="001E33C9">
              <w:rPr>
                <w:rFonts w:ascii="Times New Roman" w:hAnsi="Times New Roman"/>
                <w:sz w:val="24"/>
                <w:szCs w:val="24"/>
              </w:rPr>
              <w:t xml:space="preserve"> </w:t>
            </w:r>
            <w:r w:rsidR="00C17EED">
              <w:rPr>
                <w:rFonts w:ascii="Times New Roman" w:hAnsi="Times New Roman"/>
                <w:sz w:val="24"/>
                <w:szCs w:val="24"/>
              </w:rPr>
              <w:t>MSAC</w:t>
            </w:r>
            <w:r w:rsidRPr="00042B86">
              <w:rPr>
                <w:rFonts w:ascii="Times New Roman" w:hAnsi="Times New Roman"/>
                <w:sz w:val="24"/>
                <w:szCs w:val="24"/>
              </w:rPr>
              <w:t xml:space="preserve"> asked the Department of Health to do further economic and financial analysis to confirm this before </w:t>
            </w:r>
            <w:r w:rsidR="002C7C7C">
              <w:rPr>
                <w:rFonts w:ascii="Times New Roman" w:hAnsi="Times New Roman"/>
                <w:sz w:val="24"/>
                <w:szCs w:val="24"/>
              </w:rPr>
              <w:t xml:space="preserve">finalising the advice to </w:t>
            </w:r>
            <w:r w:rsidRPr="00042B86">
              <w:rPr>
                <w:rFonts w:ascii="Times New Roman" w:hAnsi="Times New Roman"/>
                <w:sz w:val="24"/>
                <w:szCs w:val="24"/>
              </w:rPr>
              <w:t>support all items proposed in this application: gene panel testing, cascade testing, reproductive partner and prenatal testing, and re-analysis.</w:t>
            </w:r>
            <w:r w:rsidR="00290BFE">
              <w:rPr>
                <w:rFonts w:ascii="Times New Roman" w:hAnsi="Times New Roman"/>
                <w:sz w:val="24"/>
                <w:szCs w:val="24"/>
              </w:rPr>
              <w:t xml:space="preserve"> </w:t>
            </w:r>
            <w:r w:rsidR="00290BFE" w:rsidRPr="00290BFE">
              <w:rPr>
                <w:rFonts w:ascii="Times New Roman" w:hAnsi="Times New Roman"/>
                <w:sz w:val="24"/>
                <w:szCs w:val="24"/>
              </w:rPr>
              <w:t xml:space="preserve">The </w:t>
            </w:r>
            <w:r w:rsidR="00290BFE">
              <w:rPr>
                <w:rFonts w:ascii="Times New Roman" w:hAnsi="Times New Roman"/>
                <w:sz w:val="24"/>
                <w:szCs w:val="24"/>
              </w:rPr>
              <w:t xml:space="preserve">Department provided these analyses to the </w:t>
            </w:r>
            <w:r w:rsidR="00290BFE" w:rsidRPr="00290BFE">
              <w:rPr>
                <w:rFonts w:ascii="Times New Roman" w:hAnsi="Times New Roman"/>
                <w:sz w:val="24"/>
                <w:szCs w:val="24"/>
              </w:rPr>
              <w:t>MSAC Executive</w:t>
            </w:r>
            <w:r w:rsidR="00290BFE">
              <w:rPr>
                <w:rFonts w:ascii="Times New Roman" w:hAnsi="Times New Roman"/>
                <w:sz w:val="24"/>
                <w:szCs w:val="24"/>
              </w:rPr>
              <w:t>, which</w:t>
            </w:r>
            <w:r w:rsidR="00290BFE" w:rsidRPr="00290BFE">
              <w:rPr>
                <w:rFonts w:ascii="Times New Roman" w:hAnsi="Times New Roman"/>
                <w:sz w:val="24"/>
                <w:szCs w:val="24"/>
              </w:rPr>
              <w:t xml:space="preserve"> </w:t>
            </w:r>
            <w:r w:rsidR="00290BFE">
              <w:rPr>
                <w:rFonts w:ascii="Times New Roman" w:hAnsi="Times New Roman"/>
                <w:sz w:val="24"/>
                <w:szCs w:val="24"/>
              </w:rPr>
              <w:t>advised</w:t>
            </w:r>
            <w:r w:rsidR="00290BFE" w:rsidRPr="00290BFE">
              <w:rPr>
                <w:rFonts w:ascii="Times New Roman" w:hAnsi="Times New Roman"/>
                <w:sz w:val="24"/>
                <w:szCs w:val="24"/>
              </w:rPr>
              <w:t xml:space="preserve"> both were acceptable,</w:t>
            </w:r>
            <w:r w:rsidR="00290BFE">
              <w:rPr>
                <w:rFonts w:ascii="Times New Roman" w:hAnsi="Times New Roman"/>
                <w:sz w:val="24"/>
                <w:szCs w:val="24"/>
              </w:rPr>
              <w:t xml:space="preserve"> confirming MSAC’s support for all items in this application</w:t>
            </w:r>
            <w:r w:rsidR="00290BFE" w:rsidRPr="00290BFE">
              <w:rPr>
                <w:rFonts w:ascii="Times New Roman" w:hAnsi="Times New Roman"/>
                <w:sz w:val="24"/>
                <w:szCs w:val="24"/>
              </w:rPr>
              <w:t>.</w:t>
            </w:r>
          </w:p>
          <w:p w14:paraId="7CDD008B" w14:textId="77777777" w:rsidR="00042B86" w:rsidRPr="00042B86" w:rsidRDefault="00042B86" w:rsidP="00042B86">
            <w:pPr>
              <w:spacing w:before="240" w:after="120"/>
              <w:rPr>
                <w:rFonts w:ascii="Times New Roman" w:hAnsi="Times New Roman"/>
                <w:b/>
                <w:bCs/>
                <w:sz w:val="24"/>
                <w:szCs w:val="24"/>
              </w:rPr>
            </w:pPr>
            <w:r w:rsidRPr="00042B86">
              <w:rPr>
                <w:rFonts w:ascii="Times New Roman" w:hAnsi="Times New Roman"/>
                <w:b/>
                <w:bCs/>
                <w:sz w:val="24"/>
                <w:szCs w:val="24"/>
              </w:rPr>
              <w:t>MSAC’s advice to the Commonwealth Minister for Health</w:t>
            </w:r>
          </w:p>
          <w:p w14:paraId="5626113B" w14:textId="07E221BD" w:rsidR="00042B86" w:rsidRDefault="00042B86" w:rsidP="00042B86">
            <w:pPr>
              <w:spacing w:after="120"/>
            </w:pPr>
            <w:r w:rsidRPr="00042B86">
              <w:rPr>
                <w:rFonts w:ascii="Times New Roman" w:hAnsi="Times New Roman"/>
                <w:sz w:val="24"/>
                <w:szCs w:val="24"/>
              </w:rPr>
              <w:t xml:space="preserve">MSAC </w:t>
            </w:r>
            <w:r w:rsidR="006831FB">
              <w:rPr>
                <w:rFonts w:ascii="Times New Roman" w:hAnsi="Times New Roman"/>
                <w:sz w:val="24"/>
                <w:szCs w:val="24"/>
              </w:rPr>
              <w:t>supported</w:t>
            </w:r>
            <w:r w:rsidR="006831FB" w:rsidRPr="00042B86">
              <w:rPr>
                <w:rFonts w:ascii="Times New Roman" w:hAnsi="Times New Roman"/>
                <w:sz w:val="24"/>
                <w:szCs w:val="24"/>
              </w:rPr>
              <w:t xml:space="preserve"> </w:t>
            </w:r>
            <w:r w:rsidRPr="00042B86">
              <w:rPr>
                <w:rFonts w:ascii="Times New Roman" w:hAnsi="Times New Roman"/>
                <w:sz w:val="24"/>
                <w:szCs w:val="24"/>
              </w:rPr>
              <w:t>listing genetic testing for neuromuscular disorders on the MBS. MSAC considered the testing to be safe and effective, and likely cost-effective. However, MSAC requested more information to confirm the cost-effectiveness and total financial cost of this testing before it is list</w:t>
            </w:r>
            <w:r w:rsidR="006831FB">
              <w:rPr>
                <w:rFonts w:ascii="Times New Roman" w:hAnsi="Times New Roman"/>
                <w:sz w:val="24"/>
                <w:szCs w:val="24"/>
              </w:rPr>
              <w:t>ed</w:t>
            </w:r>
            <w:r w:rsidRPr="00042B86">
              <w:rPr>
                <w:rFonts w:ascii="Times New Roman" w:hAnsi="Times New Roman"/>
                <w:sz w:val="24"/>
                <w:szCs w:val="24"/>
              </w:rPr>
              <w:t xml:space="preserve"> on the MBS.</w:t>
            </w:r>
            <w:r w:rsidR="00290BFE">
              <w:rPr>
                <w:rFonts w:ascii="Times New Roman" w:hAnsi="Times New Roman"/>
                <w:sz w:val="24"/>
                <w:szCs w:val="24"/>
              </w:rPr>
              <w:t xml:space="preserve"> </w:t>
            </w:r>
            <w:r w:rsidR="00290BFE" w:rsidRPr="00290BFE">
              <w:rPr>
                <w:rFonts w:ascii="Times New Roman" w:hAnsi="Times New Roman"/>
                <w:sz w:val="24"/>
                <w:szCs w:val="24"/>
              </w:rPr>
              <w:t xml:space="preserve">The MSAC Executive confirmed both were acceptable, </w:t>
            </w:r>
            <w:r w:rsidR="00290BFE">
              <w:rPr>
                <w:rFonts w:ascii="Times New Roman" w:hAnsi="Times New Roman"/>
                <w:sz w:val="24"/>
                <w:szCs w:val="24"/>
              </w:rPr>
              <w:t>confirming MSAC’s support for all items in this application</w:t>
            </w:r>
            <w:r w:rsidR="00290BFE" w:rsidRPr="00290BFE">
              <w:rPr>
                <w:rFonts w:ascii="Times New Roman" w:hAnsi="Times New Roman"/>
                <w:sz w:val="24"/>
                <w:szCs w:val="24"/>
              </w:rPr>
              <w:t>.</w:t>
            </w:r>
          </w:p>
        </w:tc>
      </w:tr>
    </w:tbl>
    <w:p w14:paraId="5476EA33" w14:textId="77777777" w:rsidR="00C730C8" w:rsidRPr="00C730C8" w:rsidRDefault="00C730C8"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t xml:space="preserve">Summary of consideration and rationale for MSAC’s advice </w:t>
      </w:r>
    </w:p>
    <w:p w14:paraId="71BF6EA7" w14:textId="337EC08E" w:rsidR="00BB2091" w:rsidRDefault="00BB2091" w:rsidP="00BB2091">
      <w:r>
        <w:t>MSAC noted that this application is for the MBS listing of g</w:t>
      </w:r>
      <w:r w:rsidRPr="00015234">
        <w:t xml:space="preserve">enomic panel testing of patients </w:t>
      </w:r>
      <w:r w:rsidR="002D2CC9">
        <w:t>suspected to have a</w:t>
      </w:r>
      <w:r w:rsidRPr="00015234">
        <w:t xml:space="preserve"> </w:t>
      </w:r>
      <w:r>
        <w:t>NMD</w:t>
      </w:r>
      <w:r w:rsidR="002D2CC9">
        <w:t>, for the purposes of</w:t>
      </w:r>
      <w:r>
        <w:t xml:space="preserve"> </w:t>
      </w:r>
      <w:r w:rsidRPr="00015234">
        <w:t>diagnos</w:t>
      </w:r>
      <w:r w:rsidR="002D2CC9">
        <w:t>is</w:t>
      </w:r>
      <w:r>
        <w:t xml:space="preserve">, </w:t>
      </w:r>
      <w:r w:rsidRPr="00015234">
        <w:t>provid</w:t>
      </w:r>
      <w:r w:rsidR="002D2CC9">
        <w:t>ing</w:t>
      </w:r>
      <w:r w:rsidRPr="00015234">
        <w:t xml:space="preserve"> prognostic information</w:t>
      </w:r>
      <w:r w:rsidR="002D2CC9">
        <w:t>,</w:t>
      </w:r>
      <w:r>
        <w:t xml:space="preserve"> e</w:t>
      </w:r>
      <w:r w:rsidRPr="00015234">
        <w:t>nabl</w:t>
      </w:r>
      <w:r w:rsidR="002D2CC9">
        <w:t>ing</w:t>
      </w:r>
      <w:r w:rsidRPr="00015234">
        <w:t xml:space="preserve"> </w:t>
      </w:r>
      <w:r w:rsidR="002D2CC9">
        <w:t>cascade</w:t>
      </w:r>
      <w:r w:rsidR="002D2CC9" w:rsidRPr="00015234">
        <w:t xml:space="preserve"> </w:t>
      </w:r>
      <w:r w:rsidRPr="00015234">
        <w:t>testing of at-risk family members for what is usually a novel genetic variant</w:t>
      </w:r>
      <w:r w:rsidR="002D2CC9">
        <w:t>, and enabling informed reproductive decision-making</w:t>
      </w:r>
      <w:r>
        <w:t>.</w:t>
      </w:r>
    </w:p>
    <w:p w14:paraId="5804FD2B" w14:textId="34236281" w:rsidR="00BB2091" w:rsidRDefault="00BB2091" w:rsidP="00042B86">
      <w:pPr>
        <w:spacing w:before="240"/>
      </w:pPr>
      <w:r>
        <w:t xml:space="preserve">MSAC noted that there is large clinical heterogeneity </w:t>
      </w:r>
      <w:r w:rsidR="002D2CC9">
        <w:t xml:space="preserve">both </w:t>
      </w:r>
      <w:r>
        <w:t xml:space="preserve">between and within NMDs, as well as genetic heterogeneity. </w:t>
      </w:r>
      <w:r w:rsidR="005A0E14">
        <w:t>MSAC noted that one study</w:t>
      </w:r>
      <w:r w:rsidR="005A0E14">
        <w:rPr>
          <w:rStyle w:val="FootnoteReference"/>
          <w:lang w:val="en-GB"/>
        </w:rPr>
        <w:footnoteReference w:id="1"/>
      </w:r>
      <w:r w:rsidR="005A0E14">
        <w:t xml:space="preserve"> estimated </w:t>
      </w:r>
      <w:r w:rsidR="0050531D">
        <w:t>t</w:t>
      </w:r>
      <w:r>
        <w:t xml:space="preserve">he cumulative prevalence of NMDs to be 37/100,000 people, </w:t>
      </w:r>
      <w:r w:rsidR="005A0E14">
        <w:t>though</w:t>
      </w:r>
      <w:r>
        <w:t xml:space="preserve"> it co</w:t>
      </w:r>
      <w:r w:rsidR="0050531D">
        <w:t>nsidere</w:t>
      </w:r>
      <w:r>
        <w:t>d</w:t>
      </w:r>
      <w:r w:rsidR="0050531D">
        <w:t xml:space="preserve"> the </w:t>
      </w:r>
      <w:r w:rsidR="005A0E14">
        <w:t>true prevalence is likely</w:t>
      </w:r>
      <w:r>
        <w:t xml:space="preserve"> higher because this estimate </w:t>
      </w:r>
      <w:r>
        <w:rPr>
          <w:lang w:val="en-GB"/>
        </w:rPr>
        <w:t>excluded some types of NMDs</w:t>
      </w:r>
      <w:r>
        <w:t>.</w:t>
      </w:r>
    </w:p>
    <w:p w14:paraId="1B16AB7A" w14:textId="73393F63" w:rsidR="00290BFE" w:rsidRDefault="00BB2091" w:rsidP="00042B86">
      <w:pPr>
        <w:spacing w:before="240"/>
      </w:pPr>
      <w:r>
        <w:lastRenderedPageBreak/>
        <w:t>MSAC</w:t>
      </w:r>
      <w:r w:rsidR="00636F1F">
        <w:t xml:space="preserve"> noted that</w:t>
      </w:r>
      <w:r w:rsidR="008A07EB">
        <w:t xml:space="preserve"> the</w:t>
      </w:r>
      <w:r w:rsidR="00636F1F">
        <w:t xml:space="preserve"> </w:t>
      </w:r>
      <w:r w:rsidR="008A07EB" w:rsidRPr="007041CA">
        <w:t>National Pathology Accreditation Advisory Council</w:t>
      </w:r>
      <w:r w:rsidR="008A07EB">
        <w:t xml:space="preserve"> (N</w:t>
      </w:r>
      <w:r w:rsidR="00636F1F">
        <w:t>PAAC</w:t>
      </w:r>
      <w:r w:rsidR="008A07EB">
        <w:t>)</w:t>
      </w:r>
      <w:r w:rsidR="00636F1F">
        <w:t xml:space="preserve"> requirements</w:t>
      </w:r>
      <w:r w:rsidR="007A2F6B">
        <w:rPr>
          <w:rStyle w:val="FootnoteReference"/>
        </w:rPr>
        <w:footnoteReference w:id="2"/>
      </w:r>
      <w:r w:rsidR="00636F1F">
        <w:t xml:space="preserve"> </w:t>
      </w:r>
      <w:r w:rsidR="007A2F6B">
        <w:t xml:space="preserve">already encompass counselling </w:t>
      </w:r>
      <w:proofErr w:type="gramStart"/>
      <w:r w:rsidR="007A2F6B">
        <w:t>requirements, and</w:t>
      </w:r>
      <w:proofErr w:type="gramEnd"/>
      <w:r>
        <w:t xml:space="preserve"> agreed with the applicant’s request to remove “after appropriate genetic counselling” from the item descriptor. </w:t>
      </w:r>
      <w:r w:rsidR="003A1472">
        <w:t xml:space="preserve">MSAC noted that counselling is required if the test has the potential to identify pre-symptomatic individuals. </w:t>
      </w:r>
      <w:r>
        <w:t xml:space="preserve">MSAC noted that specialists can offer genetic counselling, and that pathology laboratories are currently obliged to ensure that the appropriate informed consent </w:t>
      </w:r>
      <w:r w:rsidR="002D2CC9">
        <w:t xml:space="preserve">has been </w:t>
      </w:r>
      <w:r>
        <w:t>obtained from the patient before testing</w:t>
      </w:r>
      <w:r w:rsidR="004672CB">
        <w:t xml:space="preserve"> and analysis</w:t>
      </w:r>
      <w:r>
        <w:t xml:space="preserve">. </w:t>
      </w:r>
    </w:p>
    <w:p w14:paraId="5C9B3B3B" w14:textId="40749F69" w:rsidR="00B24E21" w:rsidRDefault="00BB2091" w:rsidP="001C1094">
      <w:pPr>
        <w:spacing w:before="240"/>
      </w:pPr>
      <w:r>
        <w:t xml:space="preserve">MSAC </w:t>
      </w:r>
      <w:r w:rsidR="008A28E7">
        <w:t>noted that re-analysis would not be possible if AAAA had been done using p</w:t>
      </w:r>
      <w:r w:rsidR="008A28E7" w:rsidRPr="008A28E7">
        <w:t>anel testing</w:t>
      </w:r>
      <w:r w:rsidR="008A28E7">
        <w:t xml:space="preserve"> methods that</w:t>
      </w:r>
      <w:r w:rsidR="008A28E7" w:rsidRPr="008A28E7">
        <w:t xml:space="preserve"> restrict</w:t>
      </w:r>
      <w:r w:rsidR="008A28E7">
        <w:t>ed</w:t>
      </w:r>
      <w:r w:rsidR="008A28E7" w:rsidRPr="008A28E7">
        <w:t xml:space="preserve"> library preparation and sequencing to the genes of interest (selected up front)</w:t>
      </w:r>
      <w:r w:rsidR="008A28E7">
        <w:t xml:space="preserve">, </w:t>
      </w:r>
      <w:proofErr w:type="gramStart"/>
      <w:r w:rsidR="008A28E7">
        <w:t>and also</w:t>
      </w:r>
      <w:proofErr w:type="gramEnd"/>
      <w:r w:rsidR="008A28E7">
        <w:t xml:space="preserve"> that there is a </w:t>
      </w:r>
      <w:r w:rsidR="008A28E7" w:rsidRPr="00D35485">
        <w:t xml:space="preserve">“once per lifetime” restriction </w:t>
      </w:r>
      <w:r w:rsidR="008A28E7">
        <w:t>o</w:t>
      </w:r>
      <w:r w:rsidR="008A28E7" w:rsidRPr="00D35485">
        <w:t>n item AAAA</w:t>
      </w:r>
      <w:r w:rsidR="008A28E7">
        <w:t>. MSAC considered that re-analysis was desirable, and so advised</w:t>
      </w:r>
      <w:r>
        <w:t xml:space="preserve"> that laboratories should be encouraged to use methods that would facilitate the reinterrogation of data f</w:t>
      </w:r>
      <w:r w:rsidRPr="00D35485">
        <w:t xml:space="preserve">or item AAAA, </w:t>
      </w:r>
      <w:proofErr w:type="gramStart"/>
      <w:r w:rsidR="002D2CC9">
        <w:t>i.e.</w:t>
      </w:r>
      <w:proofErr w:type="gramEnd"/>
      <w:r w:rsidR="002D2CC9">
        <w:t xml:space="preserve"> those with a full capture and sequencing background</w:t>
      </w:r>
      <w:r w:rsidRPr="00D35485">
        <w:t>.</w:t>
      </w:r>
      <w:r w:rsidRPr="0047523A">
        <w:t xml:space="preserve"> </w:t>
      </w:r>
      <w:r>
        <w:t xml:space="preserve">MSAC </w:t>
      </w:r>
      <w:r w:rsidR="000C4B3D">
        <w:t xml:space="preserve">considered </w:t>
      </w:r>
      <w:r>
        <w:t xml:space="preserve">that </w:t>
      </w:r>
      <w:r w:rsidR="000C4B3D">
        <w:t xml:space="preserve">a conventional panel or a virtual panel on a full capture and sequencing background is appropriate, and that </w:t>
      </w:r>
      <w:r>
        <w:t xml:space="preserve">whole-genome sequencing (WGS) </w:t>
      </w:r>
      <w:r w:rsidR="000C4B3D">
        <w:t>would also meet requirements of this testing</w:t>
      </w:r>
      <w:r>
        <w:t xml:space="preserve"> but is not currently widely available in laboratories.</w:t>
      </w:r>
      <w:r w:rsidR="00B24E21">
        <w:t xml:space="preserve"> MSAC advised that it intended re-analysis be for genes that were not included on the original virtual panel or where a variant’s pathogenicity has been re-classified in the interim, where AAAA used a method that created exome or genome data. MSAC accordingly revised the item descriptor (see </w:t>
      </w:r>
      <w:r w:rsidR="003E46EE">
        <w:fldChar w:fldCharType="begin"/>
      </w:r>
      <w:r w:rsidR="003E46EE">
        <w:instrText xml:space="preserve"> REF _Ref80083235 </w:instrText>
      </w:r>
      <w:r w:rsidR="003E46EE">
        <w:fldChar w:fldCharType="separate"/>
      </w:r>
      <w:r w:rsidR="004205E1">
        <w:t xml:space="preserve">Table </w:t>
      </w:r>
      <w:r w:rsidR="004205E1">
        <w:rPr>
          <w:noProof/>
        </w:rPr>
        <w:t>2</w:t>
      </w:r>
      <w:r w:rsidR="003E46EE">
        <w:rPr>
          <w:noProof/>
        </w:rPr>
        <w:fldChar w:fldCharType="end"/>
      </w:r>
      <w:r w:rsidR="00B24E21">
        <w:t xml:space="preserve">) and added an explanatory note for item FFFF: </w:t>
      </w:r>
    </w:p>
    <w:p w14:paraId="4A3C2D9C" w14:textId="77777777" w:rsidR="00B24E21" w:rsidRDefault="00B24E21" w:rsidP="00B24E21"/>
    <w:p w14:paraId="01AE9816" w14:textId="77777777" w:rsidR="00B24E21" w:rsidRPr="00EC650C" w:rsidRDefault="00B24E21" w:rsidP="00B24E21">
      <w:pPr>
        <w:ind w:left="720"/>
        <w:rPr>
          <w:sz w:val="20"/>
          <w:szCs w:val="16"/>
        </w:rPr>
      </w:pPr>
      <w:r>
        <w:rPr>
          <w:sz w:val="20"/>
          <w:szCs w:val="16"/>
        </w:rPr>
        <w:t>Variants may be previously unreported because the relevant gene was not included in the original virtual panel, or because the pathogenicity of the variant has been re-classified in the interim.</w:t>
      </w:r>
    </w:p>
    <w:p w14:paraId="220D3260" w14:textId="77777777" w:rsidR="00B24E21" w:rsidRDefault="00B24E21" w:rsidP="00B24E21"/>
    <w:p w14:paraId="5EED4265" w14:textId="7D3ED7B5" w:rsidR="00BB2091" w:rsidRDefault="00B24E21" w:rsidP="00B24E21">
      <w:r>
        <w:t>MSAC also advised requestors for FFFF should be the same as requestors for AAAA.</w:t>
      </w:r>
    </w:p>
    <w:p w14:paraId="4F190EA8" w14:textId="1332C890" w:rsidR="00BB2091" w:rsidRDefault="00BB2091" w:rsidP="00042B86">
      <w:pPr>
        <w:spacing w:before="240"/>
      </w:pPr>
      <w:r w:rsidRPr="00FA18B6">
        <w:t xml:space="preserve">MSAC </w:t>
      </w:r>
      <w:r>
        <w:t xml:space="preserve">also advised that </w:t>
      </w:r>
      <w:r w:rsidRPr="00FA18B6">
        <w:t xml:space="preserve">a practice note be added to the panel testing item to ensure single gene tests for variants </w:t>
      </w:r>
      <w:r w:rsidR="002D2CC9">
        <w:t xml:space="preserve">that are </w:t>
      </w:r>
      <w:r w:rsidRPr="00FA18B6">
        <w:t>not detectable using NGS methods</w:t>
      </w:r>
      <w:r w:rsidR="005A0E14">
        <w:t xml:space="preserve"> </w:t>
      </w:r>
      <w:r w:rsidR="0076532A">
        <w:t>(such as</w:t>
      </w:r>
      <w:r w:rsidR="003E637D">
        <w:t xml:space="preserve"> in</w:t>
      </w:r>
      <w:r w:rsidR="0076532A">
        <w:t xml:space="preserve"> </w:t>
      </w:r>
      <w:r w:rsidR="0076532A">
        <w:rPr>
          <w:i/>
          <w:iCs/>
        </w:rPr>
        <w:t>SMN1</w:t>
      </w:r>
      <w:r w:rsidR="0076532A">
        <w:t xml:space="preserve">, </w:t>
      </w:r>
      <w:r w:rsidR="005A0E14" w:rsidRPr="005A0E14">
        <w:rPr>
          <w:i/>
          <w:iCs/>
        </w:rPr>
        <w:t>DM</w:t>
      </w:r>
      <w:r w:rsidR="00ED5C4C">
        <w:rPr>
          <w:i/>
          <w:iCs/>
        </w:rPr>
        <w:t>PK</w:t>
      </w:r>
      <w:r w:rsidR="005A0E14" w:rsidRPr="005A0E14">
        <w:rPr>
          <w:i/>
          <w:iCs/>
        </w:rPr>
        <w:t>1</w:t>
      </w:r>
      <w:r w:rsidR="005A0E14">
        <w:t xml:space="preserve">, </w:t>
      </w:r>
      <w:r w:rsidR="004672CB">
        <w:rPr>
          <w:i/>
          <w:iCs/>
        </w:rPr>
        <w:t>DUX4</w:t>
      </w:r>
      <w:r w:rsidR="0076532A">
        <w:t xml:space="preserve"> </w:t>
      </w:r>
      <w:r w:rsidR="003E637D">
        <w:t>or</w:t>
      </w:r>
      <w:r w:rsidR="0076532A">
        <w:t xml:space="preserve"> </w:t>
      </w:r>
      <w:r w:rsidR="005A0E14">
        <w:rPr>
          <w:i/>
          <w:iCs/>
        </w:rPr>
        <w:t>D</w:t>
      </w:r>
      <w:r w:rsidR="005E1DFB">
        <w:rPr>
          <w:i/>
          <w:iCs/>
        </w:rPr>
        <w:t>MD</w:t>
      </w:r>
      <w:r w:rsidR="005A0E14">
        <w:t>)</w:t>
      </w:r>
      <w:r w:rsidRPr="00FA18B6">
        <w:t xml:space="preserve"> are conducted </w:t>
      </w:r>
      <w:r>
        <w:t>before</w:t>
      </w:r>
      <w:r w:rsidRPr="00FA18B6">
        <w:t xml:space="preserve"> panel testing, where </w:t>
      </w:r>
      <w:r w:rsidR="00213288">
        <w:t>one of these</w:t>
      </w:r>
      <w:r>
        <w:t xml:space="preserve"> NMD</w:t>
      </w:r>
      <w:r w:rsidR="002E50FE">
        <w:t>s</w:t>
      </w:r>
      <w:r w:rsidRPr="00FA18B6">
        <w:t xml:space="preserve"> is clinically suspected.</w:t>
      </w:r>
    </w:p>
    <w:p w14:paraId="0F542770" w14:textId="462065B1" w:rsidR="00BB2091" w:rsidRDefault="00BB2091" w:rsidP="00042B86">
      <w:pPr>
        <w:spacing w:before="240"/>
      </w:pPr>
      <w:r>
        <w:t>MSAC noted that a genomic panel substitutes for imaging studies, muscle and/or nerve biopsies, nerve conduction studies and sequential single gene testing to diagnose NMDs. MSAC considered there to be a clinical need for a genomic panel to replace these diagnostic options. MSAC considered genomic panels testing to have superior effectiveness and safety compared to these options.</w:t>
      </w:r>
    </w:p>
    <w:p w14:paraId="2A79B673" w14:textId="0F9C0FC2" w:rsidR="00BB2091" w:rsidRDefault="00BB2091" w:rsidP="00042B86">
      <w:pPr>
        <w:spacing w:before="240"/>
      </w:pPr>
      <w:r>
        <w:t xml:space="preserve">MSAC considered the number of genes included on the </w:t>
      </w:r>
      <w:proofErr w:type="gramStart"/>
      <w:r>
        <w:t>panel,</w:t>
      </w:r>
      <w:r w:rsidR="00B24E21">
        <w:t xml:space="preserve"> </w:t>
      </w:r>
      <w:r>
        <w:t>and</w:t>
      </w:r>
      <w:proofErr w:type="gramEnd"/>
      <w:r>
        <w:t xml:space="preserve"> </w:t>
      </w:r>
      <w:r w:rsidR="00992D53">
        <w:t xml:space="preserve">advised </w:t>
      </w:r>
      <w:r>
        <w:t>it not necessary to specify a minimum panel size</w:t>
      </w:r>
      <w:r w:rsidR="00992D53">
        <w:t>, h</w:t>
      </w:r>
      <w:r>
        <w:t xml:space="preserve">owever, the panel should, as a minimum, include the “green” genes from </w:t>
      </w:r>
      <w:proofErr w:type="spellStart"/>
      <w:r>
        <w:t>PanelApp</w:t>
      </w:r>
      <w:proofErr w:type="spellEnd"/>
      <w:r>
        <w:t xml:space="preserve"> UK or </w:t>
      </w:r>
      <w:proofErr w:type="spellStart"/>
      <w:r>
        <w:t>PanelApp</w:t>
      </w:r>
      <w:proofErr w:type="spellEnd"/>
      <w:r>
        <w:t xml:space="preserve"> Australia.</w:t>
      </w:r>
    </w:p>
    <w:p w14:paraId="6A35308B" w14:textId="544F9F98" w:rsidR="00BB2091" w:rsidRDefault="00BB2091" w:rsidP="00042B86">
      <w:pPr>
        <w:spacing w:before="240"/>
      </w:pPr>
      <w:r>
        <w:t>MSAC noted the diagnostic yield</w:t>
      </w:r>
      <w:r w:rsidR="005B517E">
        <w:t>s</w:t>
      </w:r>
      <w:r>
        <w:t xml:space="preserve"> in the</w:t>
      </w:r>
      <w:r w:rsidR="00FB62E3">
        <w:t xml:space="preserve"> second DCAR </w:t>
      </w:r>
      <w:r w:rsidR="0050531D">
        <w:t xml:space="preserve">was </w:t>
      </w:r>
      <w:r w:rsidR="00FB62E3">
        <w:t xml:space="preserve">estimated </w:t>
      </w:r>
      <w:r w:rsidR="0050531D">
        <w:t>to be</w:t>
      </w:r>
      <w:r w:rsidR="00FB62E3">
        <w:t xml:space="preserve"> 20% (based on </w:t>
      </w:r>
      <w:proofErr w:type="spellStart"/>
      <w:r w:rsidR="00FB62E3">
        <w:t>PathWest</w:t>
      </w:r>
      <w:proofErr w:type="spellEnd"/>
      <w:r w:rsidR="00FB62E3">
        <w:t xml:space="preserve"> real world data showing 19.7% in 2019 and 18.3% in 2020), and estimates </w:t>
      </w:r>
      <w:r w:rsidR="0050531D">
        <w:t xml:space="preserve">were also </w:t>
      </w:r>
      <w:r w:rsidR="0067233F">
        <w:t>assessed</w:t>
      </w:r>
      <w:r w:rsidR="0050531D">
        <w:t xml:space="preserve"> </w:t>
      </w:r>
      <w:r w:rsidR="00FB62E3">
        <w:t xml:space="preserve">based on </w:t>
      </w:r>
      <w:r w:rsidR="0067233F">
        <w:t xml:space="preserve">values of </w:t>
      </w:r>
      <w:r w:rsidR="00FB62E3">
        <w:t>26%, 46% and 78% diagnostic yield</w:t>
      </w:r>
      <w:r w:rsidR="004672CB">
        <w:t xml:space="preserve"> from the published literature evidence base</w:t>
      </w:r>
      <w:r w:rsidR="0067233F">
        <w:t>, noting these values are from highly enriched cohort studies</w:t>
      </w:r>
      <w:r>
        <w:t xml:space="preserve">. MSAC accepted the clinical effectiveness of genomic panel testing included targeted disease management and surveillance, avoiding incorrect treatments, accurate family planning and the psychological </w:t>
      </w:r>
      <w:r w:rsidR="00FB62E3">
        <w:t xml:space="preserve">benefit </w:t>
      </w:r>
      <w:r>
        <w:t xml:space="preserve">of having an accurate diagnosis. MSAC noted the clinical utility for at-risk family members, who would </w:t>
      </w:r>
      <w:r w:rsidR="00D559ED">
        <w:t xml:space="preserve">gain </w:t>
      </w:r>
      <w:r>
        <w:t>access to genetic testing</w:t>
      </w:r>
      <w:r w:rsidR="00D559ED">
        <w:t xml:space="preserve"> to inform family planning</w:t>
      </w:r>
      <w:r>
        <w:t>.</w:t>
      </w:r>
      <w:r w:rsidRPr="00521778">
        <w:t xml:space="preserve"> </w:t>
      </w:r>
    </w:p>
    <w:p w14:paraId="5705BF15" w14:textId="4C6320EF" w:rsidR="00290BFE" w:rsidRDefault="00636F1F" w:rsidP="00042B86">
      <w:pPr>
        <w:spacing w:before="240"/>
        <w:rPr>
          <w:szCs w:val="24"/>
        </w:rPr>
      </w:pPr>
      <w:r>
        <w:rPr>
          <w:lang w:val="en-US"/>
        </w:rPr>
        <w:lastRenderedPageBreak/>
        <w:t>MSAC noted</w:t>
      </w:r>
      <w:r w:rsidRPr="00593B11">
        <w:rPr>
          <w:lang w:val="en-US"/>
        </w:rPr>
        <w:t xml:space="preserve"> that the </w:t>
      </w:r>
      <w:r w:rsidR="00EB7936">
        <w:rPr>
          <w:lang w:val="en-US"/>
        </w:rPr>
        <w:t xml:space="preserve">proposed </w:t>
      </w:r>
      <w:r w:rsidRPr="00593B11">
        <w:rPr>
          <w:lang w:val="en-US"/>
        </w:rPr>
        <w:t>fees for BBBB and CCCC are above current market pricing in Australia</w:t>
      </w:r>
      <w:r w:rsidR="00AC1021">
        <w:rPr>
          <w:lang w:val="en-US"/>
        </w:rPr>
        <w:t xml:space="preserve"> (</w:t>
      </w:r>
      <w:proofErr w:type="gramStart"/>
      <w:r w:rsidR="00AC1021">
        <w:rPr>
          <w:lang w:val="en-US"/>
        </w:rPr>
        <w:t>e.g.</w:t>
      </w:r>
      <w:proofErr w:type="gramEnd"/>
      <w:r w:rsidR="00AC1021">
        <w:rPr>
          <w:lang w:val="en-US"/>
        </w:rPr>
        <w:t xml:space="preserve"> laboratories offer cascade testing of biological relatives, comparable to BBBB with proposed fee $450, for $250)</w:t>
      </w:r>
      <w:r w:rsidR="00C3670D">
        <w:rPr>
          <w:lang w:val="en-US"/>
        </w:rPr>
        <w:t xml:space="preserve">, and </w:t>
      </w:r>
      <w:r w:rsidR="000129D7">
        <w:rPr>
          <w:lang w:val="en-US"/>
        </w:rPr>
        <w:t>some</w:t>
      </w:r>
      <w:r w:rsidR="00C3670D">
        <w:rPr>
          <w:lang w:val="en-US"/>
        </w:rPr>
        <w:t xml:space="preserve"> </w:t>
      </w:r>
      <w:r w:rsidR="000129D7">
        <w:rPr>
          <w:lang w:val="en-US"/>
        </w:rPr>
        <w:t xml:space="preserve">fees </w:t>
      </w:r>
      <w:r w:rsidR="00C3670D">
        <w:rPr>
          <w:lang w:val="en-US"/>
        </w:rPr>
        <w:t>proposed in this application are higher than for similar previously supported MBS items</w:t>
      </w:r>
      <w:r>
        <w:rPr>
          <w:lang w:val="en-US"/>
        </w:rPr>
        <w:t>.</w:t>
      </w:r>
      <w:r w:rsidRPr="00593B11">
        <w:t xml:space="preserve"> </w:t>
      </w:r>
      <w:r w:rsidR="00EB7936">
        <w:t xml:space="preserve">However, </w:t>
      </w:r>
      <w:r w:rsidR="00C3670D">
        <w:t xml:space="preserve">MSAC considered </w:t>
      </w:r>
      <w:r w:rsidR="008B685D">
        <w:t xml:space="preserve">that, </w:t>
      </w:r>
      <w:r w:rsidR="00E470FE">
        <w:t>because</w:t>
      </w:r>
      <w:r w:rsidR="008B685D">
        <w:t xml:space="preserve"> </w:t>
      </w:r>
      <w:r w:rsidR="00A827FD">
        <w:t>NMD</w:t>
      </w:r>
      <w:r w:rsidR="008B685D">
        <w:t xml:space="preserve"> variant</w:t>
      </w:r>
      <w:r w:rsidR="00A827FD">
        <w:t>s</w:t>
      </w:r>
      <w:r w:rsidR="008B685D">
        <w:t xml:space="preserve"> </w:t>
      </w:r>
      <w:r w:rsidR="00A827FD">
        <w:t>are</w:t>
      </w:r>
      <w:r w:rsidR="008B685D">
        <w:t xml:space="preserve"> likely to be seen in a single family</w:t>
      </w:r>
      <w:r w:rsidR="00E470FE">
        <w:t xml:space="preserve"> (</w:t>
      </w:r>
      <w:proofErr w:type="gramStart"/>
      <w:r w:rsidR="00E470FE">
        <w:t>i.e.</w:t>
      </w:r>
      <w:proofErr w:type="gramEnd"/>
      <w:r w:rsidR="00E470FE">
        <w:t xml:space="preserve"> ‘private’)</w:t>
      </w:r>
      <w:r w:rsidR="008B685D">
        <w:t xml:space="preserve">, a specific test will </w:t>
      </w:r>
      <w:r w:rsidR="00A827FD">
        <w:t xml:space="preserve">likely </w:t>
      </w:r>
      <w:r w:rsidR="008B685D">
        <w:t>need to be developed for each family’s variant</w:t>
      </w:r>
      <w:r w:rsidR="00E470FE">
        <w:t>, and also that</w:t>
      </w:r>
      <w:r w:rsidR="008B685D">
        <w:t xml:space="preserve"> </w:t>
      </w:r>
      <w:r w:rsidR="00E470FE">
        <w:t>some currently used overseas testing is cheaper only because it is loss leading</w:t>
      </w:r>
      <w:r w:rsidR="00C3670D">
        <w:t xml:space="preserve">. </w:t>
      </w:r>
      <w:r w:rsidR="00E470FE">
        <w:t xml:space="preserve">MSAC therefore </w:t>
      </w:r>
      <w:r w:rsidR="00A827FD">
        <w:t>increased</w:t>
      </w:r>
      <w:r w:rsidR="00E470FE">
        <w:t xml:space="preserve"> the fee for BBBB from $450 to $500. </w:t>
      </w:r>
      <w:r w:rsidR="00EB7936">
        <w:t xml:space="preserve">MSAC </w:t>
      </w:r>
      <w:r w:rsidR="00C3670D">
        <w:t>further</w:t>
      </w:r>
      <w:r w:rsidR="00EB7936">
        <w:t xml:space="preserve"> noted </w:t>
      </w:r>
      <w:r w:rsidR="00C3670D">
        <w:t xml:space="preserve">that </w:t>
      </w:r>
      <w:r w:rsidR="00EB7936">
        <w:t xml:space="preserve">prenatal testing for a known variant (item CCCC) costs $1600 on a cost recovery basis, and so </w:t>
      </w:r>
      <w:r w:rsidR="00A827FD">
        <w:t>increased</w:t>
      </w:r>
      <w:r w:rsidR="005A6D31">
        <w:t xml:space="preserve"> the</w:t>
      </w:r>
      <w:r w:rsidR="00EB7936">
        <w:t xml:space="preserve"> fee</w:t>
      </w:r>
      <w:r w:rsidR="005A6D31">
        <w:t xml:space="preserve"> for CCCC from $1000 to</w:t>
      </w:r>
      <w:r w:rsidR="00EB7936">
        <w:t xml:space="preserve"> $1600. </w:t>
      </w:r>
      <w:r w:rsidR="00BB2091">
        <w:t>MSAC noted that prenatal testing for a</w:t>
      </w:r>
      <w:r w:rsidR="007A2F6B">
        <w:t>n</w:t>
      </w:r>
      <w:r w:rsidR="00BB2091">
        <w:t xml:space="preserve"> </w:t>
      </w:r>
      <w:r w:rsidR="007A2F6B">
        <w:t>un</w:t>
      </w:r>
      <w:r w:rsidR="00BB2091">
        <w:t xml:space="preserve">known variant (item DDDD) </w:t>
      </w:r>
      <w:r w:rsidR="00C638AC">
        <w:t xml:space="preserve">at </w:t>
      </w:r>
      <w:r w:rsidR="00EB7936">
        <w:t>a public state pathology laboratory</w:t>
      </w:r>
      <w:r w:rsidR="00C638AC">
        <w:t xml:space="preserve"> </w:t>
      </w:r>
      <w:r w:rsidR="00AC1021">
        <w:t xml:space="preserve">costs </w:t>
      </w:r>
      <w:r w:rsidR="00BB2091">
        <w:t xml:space="preserve">approximately </w:t>
      </w:r>
      <w:r w:rsidR="00BB2091" w:rsidRPr="008D46EE">
        <w:t>$2</w:t>
      </w:r>
      <w:r w:rsidR="00BB2091">
        <w:t>,</w:t>
      </w:r>
      <w:r w:rsidR="00BB2091" w:rsidRPr="008D46EE">
        <w:t xml:space="preserve">200 for </w:t>
      </w:r>
      <w:r w:rsidR="00BB2091">
        <w:t xml:space="preserve">a </w:t>
      </w:r>
      <w:r w:rsidR="00BB2091" w:rsidRPr="008D46EE">
        <w:t>singleton and $3</w:t>
      </w:r>
      <w:r w:rsidR="00BB2091">
        <w:t>,</w:t>
      </w:r>
      <w:r w:rsidR="00BB2091" w:rsidRPr="008D46EE">
        <w:t xml:space="preserve">000 for </w:t>
      </w:r>
      <w:r w:rsidR="00BB2091">
        <w:t xml:space="preserve">a </w:t>
      </w:r>
      <w:r w:rsidR="00BB2091" w:rsidRPr="008D46EE">
        <w:t>trio</w:t>
      </w:r>
      <w:r w:rsidR="00BB2091">
        <w:t>, making the proposed fee of $1,600 too low.</w:t>
      </w:r>
      <w:r w:rsidR="00E470FE">
        <w:t xml:space="preserve"> </w:t>
      </w:r>
      <w:r w:rsidR="00080993">
        <w:t xml:space="preserve">MSAC noted that whole exome or genome sequencing and analysis is funded on the MBS for $2100 for singleton testing (item 73358) and $2900 for trio testing (item 73359). </w:t>
      </w:r>
      <w:r w:rsidR="00E470FE">
        <w:t xml:space="preserve">MSAC advised a fee of $1800 would be appropriate for singleton prenatal testing for an unknown </w:t>
      </w:r>
      <w:r w:rsidR="00080993">
        <w:t xml:space="preserve">NMD </w:t>
      </w:r>
      <w:r w:rsidR="00E470FE">
        <w:t>variant, and $2</w:t>
      </w:r>
      <w:r w:rsidR="00631D1C">
        <w:t>4</w:t>
      </w:r>
      <w:r w:rsidR="00E470FE">
        <w:t>00 where trio testing is required</w:t>
      </w:r>
      <w:r w:rsidR="00C3670D">
        <w:t>.</w:t>
      </w:r>
      <w:r w:rsidR="00BB2091">
        <w:t xml:space="preserve"> </w:t>
      </w:r>
      <w:r w:rsidR="000129D7">
        <w:t>MSAC supported the proposed fees for AAAA ($1200) and FFFF ($500</w:t>
      </w:r>
      <w:proofErr w:type="gramStart"/>
      <w:r w:rsidR="000129D7">
        <w:t>)</w:t>
      </w:r>
      <w:r w:rsidR="005A6D31">
        <w:t>,</w:t>
      </w:r>
      <w:r w:rsidR="00E470FE">
        <w:t xml:space="preserve"> and</w:t>
      </w:r>
      <w:proofErr w:type="gramEnd"/>
      <w:r w:rsidR="00E470FE">
        <w:t xml:space="preserve"> agreed with ESC’s advice that the fee for EEEE should be $1200</w:t>
      </w:r>
      <w:r w:rsidR="000129D7">
        <w:t xml:space="preserve">. </w:t>
      </w:r>
      <w:r w:rsidR="00BB2091">
        <w:t xml:space="preserve">MSAC </w:t>
      </w:r>
      <w:r w:rsidR="00FB62E3">
        <w:t xml:space="preserve">requested </w:t>
      </w:r>
      <w:r w:rsidR="00BB2091">
        <w:t xml:space="preserve">that the Department </w:t>
      </w:r>
      <w:r w:rsidR="00FB62E3">
        <w:t xml:space="preserve">revise the financial analyses incorporating its </w:t>
      </w:r>
      <w:r w:rsidR="00C638AC">
        <w:t>updated</w:t>
      </w:r>
      <w:r w:rsidR="00BB2091">
        <w:t xml:space="preserve"> </w:t>
      </w:r>
      <w:proofErr w:type="gramStart"/>
      <w:r w:rsidR="00BB2091">
        <w:t>fees</w:t>
      </w:r>
      <w:r w:rsidR="00FB62E3">
        <w:t>, and</w:t>
      </w:r>
      <w:proofErr w:type="gramEnd"/>
      <w:r w:rsidR="00FB62E3">
        <w:t xml:space="preserve"> bring the results for </w:t>
      </w:r>
      <w:r w:rsidR="0052174C">
        <w:t xml:space="preserve">it to confirm the total </w:t>
      </w:r>
      <w:r w:rsidR="000129D7">
        <w:t>budget impact</w:t>
      </w:r>
      <w:r w:rsidR="0052174C">
        <w:t xml:space="preserve"> is within an acceptable range</w:t>
      </w:r>
      <w:r w:rsidR="00BB2091">
        <w:t>.</w:t>
      </w:r>
      <w:r w:rsidR="00AC1021">
        <w:t xml:space="preserve"> </w:t>
      </w:r>
      <w:r w:rsidR="00290BFE" w:rsidRPr="00290BFE">
        <w:rPr>
          <w:szCs w:val="24"/>
        </w:rPr>
        <w:t xml:space="preserve">The </w:t>
      </w:r>
      <w:r w:rsidR="00290BFE">
        <w:rPr>
          <w:szCs w:val="24"/>
        </w:rPr>
        <w:t xml:space="preserve">Department provided these analyses to the </w:t>
      </w:r>
      <w:r w:rsidR="00290BFE" w:rsidRPr="00290BFE">
        <w:rPr>
          <w:szCs w:val="24"/>
        </w:rPr>
        <w:t>MSAC Executive</w:t>
      </w:r>
      <w:r w:rsidR="00290BFE">
        <w:rPr>
          <w:szCs w:val="24"/>
        </w:rPr>
        <w:t>, which</w:t>
      </w:r>
      <w:r w:rsidR="00290BFE" w:rsidRPr="00290BFE">
        <w:rPr>
          <w:szCs w:val="24"/>
        </w:rPr>
        <w:t xml:space="preserve"> </w:t>
      </w:r>
      <w:r w:rsidR="00290BFE">
        <w:rPr>
          <w:szCs w:val="24"/>
        </w:rPr>
        <w:t>advised</w:t>
      </w:r>
      <w:r w:rsidR="00290BFE" w:rsidRPr="00290BFE">
        <w:rPr>
          <w:szCs w:val="24"/>
        </w:rPr>
        <w:t xml:space="preserve"> both were acceptable,</w:t>
      </w:r>
      <w:r w:rsidR="00290BFE">
        <w:rPr>
          <w:szCs w:val="24"/>
        </w:rPr>
        <w:t xml:space="preserve"> confirming MSAC’s support for all items in this application</w:t>
      </w:r>
      <w:r w:rsidR="00290BFE" w:rsidRPr="00290BFE">
        <w:rPr>
          <w:szCs w:val="24"/>
        </w:rPr>
        <w:t>.</w:t>
      </w:r>
    </w:p>
    <w:p w14:paraId="6E1F5AEA" w14:textId="6D342DFA" w:rsidR="00E470FE" w:rsidRDefault="00E470FE" w:rsidP="00042B86">
      <w:pPr>
        <w:spacing w:before="240"/>
      </w:pPr>
      <w:r>
        <w:t>MSAC’s supported fees are summarised below (</w:t>
      </w:r>
      <w:r w:rsidR="003E46EE">
        <w:fldChar w:fldCharType="begin"/>
      </w:r>
      <w:r w:rsidR="003E46EE">
        <w:instrText xml:space="preserve"> REF _Ref80355338 </w:instrText>
      </w:r>
      <w:r w:rsidR="003E46EE">
        <w:fldChar w:fldCharType="separate"/>
      </w:r>
      <w:r w:rsidR="004205E1">
        <w:t xml:space="preserve">Table </w:t>
      </w:r>
      <w:r w:rsidR="004205E1">
        <w:rPr>
          <w:noProof/>
        </w:rPr>
        <w:t>1</w:t>
      </w:r>
      <w:r w:rsidR="003E46EE">
        <w:rPr>
          <w:noProof/>
        </w:rPr>
        <w:fldChar w:fldCharType="end"/>
      </w:r>
      <w:r>
        <w:t>).</w:t>
      </w:r>
    </w:p>
    <w:p w14:paraId="10B46AE6" w14:textId="6BFBEF28" w:rsidR="00E470FE" w:rsidRDefault="00E470FE" w:rsidP="00042B86">
      <w:pPr>
        <w:pStyle w:val="Caption"/>
        <w:spacing w:before="240"/>
      </w:pPr>
      <w:bookmarkStart w:id="0" w:name="_Ref80355338"/>
      <w:r>
        <w:t xml:space="preserve">Table </w:t>
      </w:r>
      <w:r w:rsidR="003E46EE">
        <w:fldChar w:fldCharType="begin"/>
      </w:r>
      <w:r w:rsidR="003E46EE">
        <w:instrText xml:space="preserve"> SEQ Table \* ARABIC </w:instrText>
      </w:r>
      <w:r w:rsidR="003E46EE">
        <w:fldChar w:fldCharType="separate"/>
      </w:r>
      <w:r w:rsidR="004205E1">
        <w:rPr>
          <w:noProof/>
        </w:rPr>
        <w:t>1</w:t>
      </w:r>
      <w:r w:rsidR="003E46EE">
        <w:rPr>
          <w:noProof/>
        </w:rPr>
        <w:fldChar w:fldCharType="end"/>
      </w:r>
      <w:bookmarkEnd w:id="0"/>
      <w:r>
        <w:tab/>
      </w:r>
      <w:r w:rsidR="005A6D31">
        <w:t xml:space="preserve">Fees supported by </w:t>
      </w:r>
      <w:r>
        <w:t>MSAC</w:t>
      </w:r>
    </w:p>
    <w:tbl>
      <w:tblPr>
        <w:tblStyle w:val="TableGrid"/>
        <w:tblW w:w="8748" w:type="dxa"/>
        <w:tblLayout w:type="fixed"/>
        <w:tblLook w:val="04A0" w:firstRow="1" w:lastRow="0" w:firstColumn="1" w:lastColumn="0" w:noHBand="0" w:noVBand="1"/>
        <w:tblDescription w:val="Fees supported by MSAC"/>
      </w:tblPr>
      <w:tblGrid>
        <w:gridCol w:w="1696"/>
        <w:gridCol w:w="3119"/>
        <w:gridCol w:w="1311"/>
        <w:gridCol w:w="1311"/>
        <w:gridCol w:w="1311"/>
      </w:tblGrid>
      <w:tr w:rsidR="005A6D31" w:rsidRPr="00E64CEE" w14:paraId="38CADCAE" w14:textId="77777777" w:rsidTr="009023B5">
        <w:trPr>
          <w:trHeight w:val="339"/>
        </w:trPr>
        <w:tc>
          <w:tcPr>
            <w:tcW w:w="1696" w:type="dxa"/>
            <w:noWrap/>
          </w:tcPr>
          <w:p w14:paraId="7475AF47" w14:textId="77777777" w:rsidR="00E470FE" w:rsidRPr="00E64CEE" w:rsidRDefault="00E470FE" w:rsidP="00820F39">
            <w:pPr>
              <w:rPr>
                <w:rFonts w:ascii="Arial Narrow" w:hAnsi="Arial Narrow" w:cs="Calibri"/>
                <w:b/>
                <w:bCs/>
                <w:color w:val="000000"/>
                <w:sz w:val="20"/>
              </w:rPr>
            </w:pPr>
            <w:r>
              <w:rPr>
                <w:rFonts w:ascii="Arial Narrow" w:hAnsi="Arial Narrow" w:cs="Calibri"/>
                <w:b/>
                <w:bCs/>
                <w:color w:val="000000"/>
                <w:sz w:val="20"/>
              </w:rPr>
              <w:t>MBS Item</w:t>
            </w:r>
          </w:p>
        </w:tc>
        <w:tc>
          <w:tcPr>
            <w:tcW w:w="3119" w:type="dxa"/>
          </w:tcPr>
          <w:p w14:paraId="61D219B2" w14:textId="77777777" w:rsidR="00E470FE" w:rsidRPr="00E64CEE" w:rsidRDefault="00E470FE" w:rsidP="00820F39">
            <w:pPr>
              <w:rPr>
                <w:rFonts w:ascii="Arial Narrow" w:hAnsi="Arial Narrow" w:cs="Calibri"/>
                <w:b/>
                <w:bCs/>
                <w:color w:val="000000"/>
                <w:sz w:val="20"/>
              </w:rPr>
            </w:pPr>
            <w:r>
              <w:rPr>
                <w:rFonts w:ascii="Arial Narrow" w:hAnsi="Arial Narrow" w:cs="Calibri"/>
                <w:b/>
                <w:bCs/>
                <w:color w:val="000000"/>
                <w:sz w:val="20"/>
              </w:rPr>
              <w:t xml:space="preserve">Patient </w:t>
            </w:r>
          </w:p>
        </w:tc>
        <w:tc>
          <w:tcPr>
            <w:tcW w:w="1311" w:type="dxa"/>
            <w:noWrap/>
          </w:tcPr>
          <w:p w14:paraId="5430B8E0" w14:textId="373D4890" w:rsidR="00E470FE" w:rsidRPr="00E64CEE" w:rsidRDefault="00F850C6" w:rsidP="00820F39">
            <w:pPr>
              <w:jc w:val="center"/>
              <w:rPr>
                <w:rFonts w:ascii="Arial Narrow" w:hAnsi="Arial Narrow" w:cs="Calibri"/>
                <w:b/>
                <w:bCs/>
                <w:color w:val="000000"/>
                <w:sz w:val="20"/>
              </w:rPr>
            </w:pPr>
            <w:r>
              <w:rPr>
                <w:rFonts w:ascii="Arial Narrow" w:hAnsi="Arial Narrow" w:cs="Calibri"/>
                <w:b/>
                <w:bCs/>
                <w:color w:val="000000"/>
                <w:sz w:val="20"/>
              </w:rPr>
              <w:t>Supported f</w:t>
            </w:r>
            <w:r w:rsidR="00E470FE" w:rsidRPr="00E64CEE">
              <w:rPr>
                <w:rFonts w:ascii="Arial Narrow" w:hAnsi="Arial Narrow" w:cs="Calibri"/>
                <w:b/>
                <w:bCs/>
                <w:color w:val="000000"/>
                <w:sz w:val="20"/>
              </w:rPr>
              <w:t>ee</w:t>
            </w:r>
          </w:p>
        </w:tc>
        <w:tc>
          <w:tcPr>
            <w:tcW w:w="1311" w:type="dxa"/>
            <w:noWrap/>
          </w:tcPr>
          <w:p w14:paraId="6C3142D6" w14:textId="77777777" w:rsidR="00E470FE" w:rsidRPr="00E64CEE" w:rsidRDefault="00E470FE" w:rsidP="00820F39">
            <w:pPr>
              <w:jc w:val="center"/>
              <w:rPr>
                <w:rFonts w:ascii="Arial Narrow" w:hAnsi="Arial Narrow" w:cs="Calibri"/>
                <w:b/>
                <w:bCs/>
                <w:color w:val="000000"/>
                <w:sz w:val="20"/>
              </w:rPr>
            </w:pPr>
            <w:r w:rsidRPr="00E64CEE">
              <w:rPr>
                <w:rFonts w:ascii="Arial Narrow" w:hAnsi="Arial Narrow" w:cs="Calibri"/>
                <w:b/>
                <w:bCs/>
                <w:color w:val="000000"/>
                <w:sz w:val="20"/>
              </w:rPr>
              <w:t>75</w:t>
            </w:r>
            <w:r>
              <w:rPr>
                <w:rFonts w:ascii="Arial Narrow" w:hAnsi="Arial Narrow" w:cs="Calibri"/>
                <w:b/>
                <w:bCs/>
                <w:color w:val="000000"/>
                <w:sz w:val="20"/>
              </w:rPr>
              <w:t>%</w:t>
            </w:r>
          </w:p>
        </w:tc>
        <w:tc>
          <w:tcPr>
            <w:tcW w:w="1311" w:type="dxa"/>
            <w:noWrap/>
          </w:tcPr>
          <w:p w14:paraId="38DE074D" w14:textId="77777777" w:rsidR="00E470FE" w:rsidRPr="00E64CEE" w:rsidRDefault="00E470FE" w:rsidP="00820F39">
            <w:pPr>
              <w:jc w:val="center"/>
              <w:rPr>
                <w:rFonts w:ascii="Arial Narrow" w:hAnsi="Arial Narrow" w:cs="Calibri"/>
                <w:b/>
                <w:bCs/>
                <w:color w:val="000000"/>
                <w:sz w:val="20"/>
              </w:rPr>
            </w:pPr>
            <w:r w:rsidRPr="00E64CEE">
              <w:rPr>
                <w:rFonts w:ascii="Arial Narrow" w:hAnsi="Arial Narrow" w:cs="Calibri"/>
                <w:b/>
                <w:bCs/>
                <w:color w:val="000000"/>
                <w:sz w:val="20"/>
              </w:rPr>
              <w:t>85</w:t>
            </w:r>
            <w:r>
              <w:rPr>
                <w:rFonts w:ascii="Arial Narrow" w:hAnsi="Arial Narrow" w:cs="Calibri"/>
                <w:b/>
                <w:bCs/>
                <w:color w:val="000000"/>
                <w:sz w:val="20"/>
              </w:rPr>
              <w:t>%</w:t>
            </w:r>
          </w:p>
        </w:tc>
      </w:tr>
      <w:tr w:rsidR="005A6D31" w:rsidRPr="00E64CEE" w14:paraId="1222950E" w14:textId="77777777" w:rsidTr="009023B5">
        <w:trPr>
          <w:trHeight w:val="339"/>
        </w:trPr>
        <w:tc>
          <w:tcPr>
            <w:tcW w:w="1696" w:type="dxa"/>
            <w:noWrap/>
            <w:hideMark/>
          </w:tcPr>
          <w:p w14:paraId="5980D288" w14:textId="77777777" w:rsidR="00E470FE" w:rsidRPr="00E64CEE" w:rsidRDefault="00E470FE" w:rsidP="00820F39">
            <w:pPr>
              <w:rPr>
                <w:rFonts w:ascii="Arial Narrow" w:hAnsi="Arial Narrow" w:cs="Calibri"/>
                <w:color w:val="000000"/>
                <w:sz w:val="20"/>
              </w:rPr>
            </w:pPr>
            <w:r w:rsidRPr="00E64CEE">
              <w:rPr>
                <w:rFonts w:ascii="Arial Narrow" w:hAnsi="Arial Narrow" w:cs="Calibri"/>
                <w:color w:val="000000"/>
                <w:sz w:val="20"/>
              </w:rPr>
              <w:t>MBS item AAAA</w:t>
            </w:r>
          </w:p>
        </w:tc>
        <w:tc>
          <w:tcPr>
            <w:tcW w:w="3119" w:type="dxa"/>
          </w:tcPr>
          <w:p w14:paraId="3E1984A5" w14:textId="12DB838D" w:rsidR="00E470FE" w:rsidRPr="00E64CEE" w:rsidRDefault="00E470FE" w:rsidP="00820F39">
            <w:pPr>
              <w:rPr>
                <w:rFonts w:ascii="Arial Narrow" w:hAnsi="Arial Narrow" w:cs="Calibri"/>
                <w:color w:val="000000"/>
                <w:sz w:val="20"/>
              </w:rPr>
            </w:pPr>
            <w:r>
              <w:rPr>
                <w:rFonts w:ascii="Arial Narrow" w:hAnsi="Arial Narrow" w:cs="Calibri"/>
                <w:color w:val="000000"/>
                <w:sz w:val="20"/>
              </w:rPr>
              <w:t>Affected individual</w:t>
            </w:r>
          </w:p>
        </w:tc>
        <w:tc>
          <w:tcPr>
            <w:tcW w:w="1311" w:type="dxa"/>
            <w:noWrap/>
            <w:hideMark/>
          </w:tcPr>
          <w:p w14:paraId="74029497" w14:textId="77777777" w:rsidR="00E470FE" w:rsidRPr="00E64CEE" w:rsidRDefault="00E470FE" w:rsidP="00820F39">
            <w:pPr>
              <w:jc w:val="center"/>
              <w:rPr>
                <w:rFonts w:ascii="Arial Narrow" w:hAnsi="Arial Narrow" w:cs="Calibri"/>
                <w:color w:val="000000"/>
                <w:sz w:val="20"/>
              </w:rPr>
            </w:pPr>
            <w:r w:rsidRPr="00E64CEE">
              <w:rPr>
                <w:rFonts w:ascii="Arial Narrow" w:hAnsi="Arial Narrow" w:cs="Calibri"/>
                <w:color w:val="000000"/>
                <w:sz w:val="20"/>
              </w:rPr>
              <w:t>$1,200</w:t>
            </w:r>
            <w:r>
              <w:rPr>
                <w:rFonts w:ascii="Arial Narrow" w:hAnsi="Arial Narrow" w:cs="Calibri"/>
                <w:color w:val="000000"/>
                <w:sz w:val="20"/>
              </w:rPr>
              <w:t>.00</w:t>
            </w:r>
          </w:p>
        </w:tc>
        <w:tc>
          <w:tcPr>
            <w:tcW w:w="1311" w:type="dxa"/>
            <w:noWrap/>
            <w:hideMark/>
          </w:tcPr>
          <w:p w14:paraId="220B5F37" w14:textId="77777777" w:rsidR="00E470FE" w:rsidRPr="00E64CEE" w:rsidRDefault="00E470FE" w:rsidP="00820F39">
            <w:pPr>
              <w:jc w:val="center"/>
              <w:rPr>
                <w:rFonts w:ascii="Arial Narrow" w:hAnsi="Arial Narrow" w:cs="Calibri"/>
                <w:color w:val="000000"/>
                <w:sz w:val="20"/>
              </w:rPr>
            </w:pPr>
            <w:r w:rsidRPr="00E64CEE">
              <w:rPr>
                <w:rFonts w:ascii="Arial Narrow" w:hAnsi="Arial Narrow" w:cs="Calibri"/>
                <w:color w:val="000000"/>
                <w:sz w:val="20"/>
              </w:rPr>
              <w:t>$900</w:t>
            </w:r>
            <w:r>
              <w:rPr>
                <w:rFonts w:ascii="Arial Narrow" w:hAnsi="Arial Narrow" w:cs="Calibri"/>
                <w:color w:val="000000"/>
                <w:sz w:val="20"/>
              </w:rPr>
              <w:t>.00</w:t>
            </w:r>
          </w:p>
        </w:tc>
        <w:tc>
          <w:tcPr>
            <w:tcW w:w="1311" w:type="dxa"/>
            <w:noWrap/>
            <w:hideMark/>
          </w:tcPr>
          <w:p w14:paraId="29508C49" w14:textId="77777777" w:rsidR="00E470FE" w:rsidRPr="00E64CEE" w:rsidRDefault="00E470FE" w:rsidP="00820F39">
            <w:pPr>
              <w:jc w:val="center"/>
              <w:rPr>
                <w:rFonts w:ascii="Arial Narrow" w:hAnsi="Arial Narrow" w:cs="Calibri"/>
                <w:color w:val="000000"/>
                <w:sz w:val="20"/>
              </w:rPr>
            </w:pPr>
            <w:r w:rsidRPr="00E64CEE">
              <w:rPr>
                <w:rFonts w:ascii="Arial Narrow" w:hAnsi="Arial Narrow" w:cs="Calibri"/>
                <w:color w:val="000000"/>
                <w:sz w:val="20"/>
              </w:rPr>
              <w:t>$1,</w:t>
            </w:r>
            <w:r>
              <w:rPr>
                <w:rFonts w:ascii="Arial Narrow" w:hAnsi="Arial Narrow" w:cs="Calibri"/>
                <w:color w:val="000000"/>
                <w:sz w:val="20"/>
              </w:rPr>
              <w:t>115.30</w:t>
            </w:r>
          </w:p>
        </w:tc>
      </w:tr>
      <w:tr w:rsidR="005A6D31" w:rsidRPr="00E64CEE" w14:paraId="4672A3A0" w14:textId="77777777" w:rsidTr="009023B5">
        <w:trPr>
          <w:trHeight w:val="339"/>
        </w:trPr>
        <w:tc>
          <w:tcPr>
            <w:tcW w:w="1696" w:type="dxa"/>
            <w:noWrap/>
            <w:hideMark/>
          </w:tcPr>
          <w:p w14:paraId="53BCE6F8" w14:textId="77777777" w:rsidR="00E470FE" w:rsidRPr="00E64CEE" w:rsidRDefault="00E470FE" w:rsidP="00820F39">
            <w:pPr>
              <w:rPr>
                <w:rFonts w:ascii="Arial Narrow" w:hAnsi="Arial Narrow" w:cs="Calibri"/>
                <w:color w:val="000000"/>
                <w:sz w:val="20"/>
              </w:rPr>
            </w:pPr>
            <w:r w:rsidRPr="00E64CEE">
              <w:rPr>
                <w:rFonts w:ascii="Arial Narrow" w:hAnsi="Arial Narrow" w:cs="Calibri"/>
                <w:color w:val="000000"/>
                <w:sz w:val="20"/>
              </w:rPr>
              <w:t>MBS Item BBBB</w:t>
            </w:r>
          </w:p>
        </w:tc>
        <w:tc>
          <w:tcPr>
            <w:tcW w:w="3119" w:type="dxa"/>
          </w:tcPr>
          <w:p w14:paraId="10F58A5E" w14:textId="77777777" w:rsidR="00E470FE" w:rsidRPr="00E64CEE" w:rsidRDefault="00E470FE" w:rsidP="00820F39">
            <w:pPr>
              <w:rPr>
                <w:rFonts w:ascii="Arial Narrow" w:hAnsi="Arial Narrow" w:cs="Calibri"/>
                <w:color w:val="000000"/>
                <w:sz w:val="20"/>
              </w:rPr>
            </w:pPr>
            <w:r>
              <w:rPr>
                <w:rFonts w:ascii="Arial Narrow" w:hAnsi="Arial Narrow" w:cs="Calibri"/>
                <w:color w:val="000000"/>
                <w:sz w:val="20"/>
              </w:rPr>
              <w:t>C</w:t>
            </w:r>
            <w:r w:rsidRPr="00E64CEE">
              <w:rPr>
                <w:rFonts w:ascii="Arial Narrow" w:hAnsi="Arial Narrow" w:cs="Calibri"/>
                <w:color w:val="000000"/>
                <w:sz w:val="20"/>
              </w:rPr>
              <w:t>ascade</w:t>
            </w:r>
          </w:p>
        </w:tc>
        <w:tc>
          <w:tcPr>
            <w:tcW w:w="1311" w:type="dxa"/>
            <w:noWrap/>
            <w:hideMark/>
          </w:tcPr>
          <w:p w14:paraId="36C9FC8F" w14:textId="47D01BC1" w:rsidR="00E470FE" w:rsidRPr="00E64CEE" w:rsidRDefault="00E470FE" w:rsidP="00820F39">
            <w:pPr>
              <w:jc w:val="center"/>
              <w:rPr>
                <w:rFonts w:ascii="Arial Narrow" w:hAnsi="Arial Narrow" w:cs="Calibri"/>
                <w:color w:val="000000"/>
                <w:sz w:val="20"/>
              </w:rPr>
            </w:pPr>
            <w:r w:rsidRPr="00E64CEE">
              <w:rPr>
                <w:rFonts w:ascii="Arial Narrow" w:hAnsi="Arial Narrow" w:cs="Calibri"/>
                <w:color w:val="000000"/>
                <w:sz w:val="20"/>
              </w:rPr>
              <w:t>$</w:t>
            </w:r>
            <w:r>
              <w:rPr>
                <w:rFonts w:ascii="Arial Narrow" w:hAnsi="Arial Narrow" w:cs="Calibri"/>
                <w:color w:val="000000"/>
                <w:sz w:val="20"/>
              </w:rPr>
              <w:t>500</w:t>
            </w:r>
            <w:r w:rsidR="00F850C6">
              <w:rPr>
                <w:rFonts w:ascii="Arial Narrow" w:hAnsi="Arial Narrow" w:cs="Calibri"/>
                <w:color w:val="000000"/>
                <w:sz w:val="20"/>
              </w:rPr>
              <w:t>.00</w:t>
            </w:r>
          </w:p>
        </w:tc>
        <w:tc>
          <w:tcPr>
            <w:tcW w:w="1311" w:type="dxa"/>
            <w:noWrap/>
            <w:hideMark/>
          </w:tcPr>
          <w:p w14:paraId="7DEACD91" w14:textId="4F28D8C1" w:rsidR="00E470FE" w:rsidRPr="00E64CEE" w:rsidRDefault="00E470FE" w:rsidP="00820F39">
            <w:pPr>
              <w:jc w:val="center"/>
              <w:rPr>
                <w:rFonts w:ascii="Arial Narrow" w:hAnsi="Arial Narrow" w:cs="Calibri"/>
                <w:color w:val="000000"/>
                <w:sz w:val="20"/>
              </w:rPr>
            </w:pPr>
            <w:r w:rsidRPr="00E64CEE">
              <w:rPr>
                <w:rFonts w:ascii="Arial Narrow" w:hAnsi="Arial Narrow" w:cs="Calibri"/>
                <w:color w:val="000000"/>
                <w:sz w:val="20"/>
              </w:rPr>
              <w:t>$</w:t>
            </w:r>
            <w:r>
              <w:rPr>
                <w:rFonts w:ascii="Arial Narrow" w:hAnsi="Arial Narrow" w:cs="Calibri"/>
                <w:color w:val="000000"/>
                <w:sz w:val="20"/>
              </w:rPr>
              <w:t>375</w:t>
            </w:r>
            <w:r w:rsidR="00F850C6">
              <w:rPr>
                <w:rFonts w:ascii="Arial Narrow" w:hAnsi="Arial Narrow" w:cs="Calibri"/>
                <w:color w:val="000000"/>
                <w:sz w:val="20"/>
              </w:rPr>
              <w:t>.00</w:t>
            </w:r>
          </w:p>
        </w:tc>
        <w:tc>
          <w:tcPr>
            <w:tcW w:w="1311" w:type="dxa"/>
            <w:noWrap/>
            <w:hideMark/>
          </w:tcPr>
          <w:p w14:paraId="33DD28CA" w14:textId="0FDE9B6B" w:rsidR="00E470FE" w:rsidRPr="00E64CEE" w:rsidRDefault="00E470FE" w:rsidP="00820F39">
            <w:pPr>
              <w:jc w:val="center"/>
              <w:rPr>
                <w:rFonts w:ascii="Arial Narrow" w:hAnsi="Arial Narrow" w:cs="Calibri"/>
                <w:color w:val="000000"/>
                <w:sz w:val="20"/>
              </w:rPr>
            </w:pPr>
            <w:r w:rsidRPr="00E64CEE">
              <w:rPr>
                <w:rFonts w:ascii="Arial Narrow" w:hAnsi="Arial Narrow" w:cs="Calibri"/>
                <w:color w:val="000000"/>
                <w:sz w:val="20"/>
              </w:rPr>
              <w:t>$</w:t>
            </w:r>
            <w:r>
              <w:rPr>
                <w:rFonts w:ascii="Arial Narrow" w:hAnsi="Arial Narrow" w:cs="Calibri"/>
                <w:color w:val="000000"/>
                <w:sz w:val="20"/>
              </w:rPr>
              <w:t>425</w:t>
            </w:r>
            <w:r w:rsidR="00F850C6">
              <w:rPr>
                <w:rFonts w:ascii="Arial Narrow" w:hAnsi="Arial Narrow" w:cs="Calibri"/>
                <w:color w:val="000000"/>
                <w:sz w:val="20"/>
              </w:rPr>
              <w:t>.00</w:t>
            </w:r>
          </w:p>
        </w:tc>
      </w:tr>
      <w:tr w:rsidR="005A6D31" w:rsidRPr="00E64CEE" w14:paraId="6D9CA565" w14:textId="77777777" w:rsidTr="009023B5">
        <w:trPr>
          <w:trHeight w:val="339"/>
        </w:trPr>
        <w:tc>
          <w:tcPr>
            <w:tcW w:w="1696" w:type="dxa"/>
            <w:noWrap/>
            <w:hideMark/>
          </w:tcPr>
          <w:p w14:paraId="36FC0D96" w14:textId="77777777" w:rsidR="00E470FE" w:rsidRPr="00E64CEE" w:rsidRDefault="00E470FE" w:rsidP="00820F39">
            <w:pPr>
              <w:rPr>
                <w:rFonts w:ascii="Arial Narrow" w:hAnsi="Arial Narrow" w:cs="Calibri"/>
                <w:color w:val="000000"/>
                <w:sz w:val="20"/>
              </w:rPr>
            </w:pPr>
            <w:r w:rsidRPr="00E64CEE">
              <w:rPr>
                <w:rFonts w:ascii="Arial Narrow" w:hAnsi="Arial Narrow" w:cs="Calibri"/>
                <w:color w:val="000000"/>
                <w:sz w:val="20"/>
              </w:rPr>
              <w:t>MBS item CCCC</w:t>
            </w:r>
          </w:p>
        </w:tc>
        <w:tc>
          <w:tcPr>
            <w:tcW w:w="3119" w:type="dxa"/>
          </w:tcPr>
          <w:p w14:paraId="7EA212DF" w14:textId="2E83D6FD" w:rsidR="00E470FE" w:rsidRPr="00E64CEE" w:rsidRDefault="00E470FE" w:rsidP="00820F39">
            <w:pPr>
              <w:rPr>
                <w:rFonts w:ascii="Arial Narrow" w:hAnsi="Arial Narrow" w:cs="Calibri"/>
                <w:color w:val="000000"/>
                <w:sz w:val="20"/>
              </w:rPr>
            </w:pPr>
            <w:r>
              <w:rPr>
                <w:rFonts w:ascii="Arial Narrow" w:hAnsi="Arial Narrow" w:cs="Calibri"/>
                <w:color w:val="000000"/>
                <w:sz w:val="20"/>
              </w:rPr>
              <w:t>C</w:t>
            </w:r>
            <w:r w:rsidRPr="00E64CEE">
              <w:rPr>
                <w:rFonts w:ascii="Arial Narrow" w:hAnsi="Arial Narrow" w:cs="Calibri"/>
                <w:color w:val="000000"/>
                <w:sz w:val="20"/>
              </w:rPr>
              <w:t>ascade prenatal</w:t>
            </w:r>
          </w:p>
        </w:tc>
        <w:tc>
          <w:tcPr>
            <w:tcW w:w="1311" w:type="dxa"/>
            <w:noWrap/>
            <w:hideMark/>
          </w:tcPr>
          <w:p w14:paraId="2ABAFDFB" w14:textId="403406E7" w:rsidR="00E470FE" w:rsidRPr="00E64CEE" w:rsidRDefault="00E470FE" w:rsidP="00820F39">
            <w:pPr>
              <w:jc w:val="center"/>
              <w:rPr>
                <w:rFonts w:ascii="Arial Narrow" w:hAnsi="Arial Narrow" w:cs="Calibri"/>
                <w:color w:val="000000"/>
                <w:sz w:val="20"/>
              </w:rPr>
            </w:pPr>
            <w:r w:rsidRPr="00E64CEE">
              <w:rPr>
                <w:rFonts w:ascii="Arial Narrow" w:hAnsi="Arial Narrow" w:cs="Calibri"/>
                <w:color w:val="000000"/>
                <w:sz w:val="20"/>
              </w:rPr>
              <w:t>$</w:t>
            </w:r>
            <w:r>
              <w:rPr>
                <w:rFonts w:ascii="Arial Narrow" w:hAnsi="Arial Narrow" w:cs="Calibri"/>
                <w:color w:val="000000"/>
                <w:sz w:val="20"/>
              </w:rPr>
              <w:t>1</w:t>
            </w:r>
            <w:r w:rsidR="00F850C6">
              <w:rPr>
                <w:rFonts w:ascii="Arial Narrow" w:hAnsi="Arial Narrow" w:cs="Calibri"/>
                <w:color w:val="000000"/>
                <w:sz w:val="20"/>
              </w:rPr>
              <w:t>,6</w:t>
            </w:r>
            <w:r>
              <w:rPr>
                <w:rFonts w:ascii="Arial Narrow" w:hAnsi="Arial Narrow" w:cs="Calibri"/>
                <w:color w:val="000000"/>
                <w:sz w:val="20"/>
              </w:rPr>
              <w:t>00</w:t>
            </w:r>
            <w:r w:rsidR="00F850C6">
              <w:rPr>
                <w:rFonts w:ascii="Arial Narrow" w:hAnsi="Arial Narrow" w:cs="Calibri"/>
                <w:color w:val="000000"/>
                <w:sz w:val="20"/>
              </w:rPr>
              <w:t>.00</w:t>
            </w:r>
          </w:p>
        </w:tc>
        <w:tc>
          <w:tcPr>
            <w:tcW w:w="1311" w:type="dxa"/>
            <w:noWrap/>
          </w:tcPr>
          <w:p w14:paraId="62AE6185" w14:textId="40560CC0" w:rsidR="00E470FE" w:rsidRPr="00E64CEE" w:rsidRDefault="00F850C6" w:rsidP="00820F39">
            <w:pPr>
              <w:jc w:val="center"/>
              <w:rPr>
                <w:rFonts w:ascii="Arial Narrow" w:hAnsi="Arial Narrow" w:cs="Calibri"/>
                <w:color w:val="000000"/>
                <w:sz w:val="20"/>
              </w:rPr>
            </w:pPr>
            <w:r>
              <w:rPr>
                <w:rFonts w:ascii="Arial Narrow" w:hAnsi="Arial Narrow" w:cs="Calibri"/>
                <w:color w:val="000000"/>
                <w:sz w:val="20"/>
              </w:rPr>
              <w:t>$1,200.00</w:t>
            </w:r>
          </w:p>
        </w:tc>
        <w:tc>
          <w:tcPr>
            <w:tcW w:w="1311" w:type="dxa"/>
            <w:noWrap/>
          </w:tcPr>
          <w:p w14:paraId="56E01544" w14:textId="40D885F0" w:rsidR="00E470FE" w:rsidRPr="00E64CEE" w:rsidRDefault="00F850C6" w:rsidP="00820F39">
            <w:pPr>
              <w:jc w:val="center"/>
              <w:rPr>
                <w:rFonts w:ascii="Arial Narrow" w:hAnsi="Arial Narrow" w:cs="Calibri"/>
                <w:color w:val="000000"/>
                <w:sz w:val="20"/>
              </w:rPr>
            </w:pPr>
            <w:r>
              <w:rPr>
                <w:rFonts w:ascii="Arial Narrow" w:hAnsi="Arial Narrow" w:cs="Calibri"/>
                <w:color w:val="000000"/>
                <w:sz w:val="20"/>
              </w:rPr>
              <w:t>$1,515.30</w:t>
            </w:r>
          </w:p>
        </w:tc>
      </w:tr>
      <w:tr w:rsidR="00F850C6" w:rsidRPr="00E64CEE" w14:paraId="07D896EC" w14:textId="77777777" w:rsidTr="009023B5">
        <w:trPr>
          <w:trHeight w:val="339"/>
        </w:trPr>
        <w:tc>
          <w:tcPr>
            <w:tcW w:w="1696" w:type="dxa"/>
            <w:noWrap/>
          </w:tcPr>
          <w:p w14:paraId="32A8D457" w14:textId="1F94415A" w:rsidR="00F850C6" w:rsidRPr="00E64CEE" w:rsidRDefault="005A6D31" w:rsidP="00820F39">
            <w:pPr>
              <w:rPr>
                <w:rFonts w:ascii="Arial Narrow" w:hAnsi="Arial Narrow" w:cs="Calibri"/>
                <w:color w:val="000000"/>
                <w:sz w:val="20"/>
              </w:rPr>
            </w:pPr>
            <w:r w:rsidRPr="00E64CEE">
              <w:rPr>
                <w:rFonts w:ascii="Arial Narrow" w:hAnsi="Arial Narrow" w:cs="Calibri"/>
                <w:color w:val="000000"/>
                <w:sz w:val="20"/>
              </w:rPr>
              <w:t>MBS Item DDDD</w:t>
            </w:r>
            <w:r>
              <w:rPr>
                <w:rFonts w:ascii="Arial Narrow" w:hAnsi="Arial Narrow" w:cs="Calibri"/>
                <w:color w:val="000000"/>
                <w:sz w:val="20"/>
              </w:rPr>
              <w:t>1</w:t>
            </w:r>
          </w:p>
        </w:tc>
        <w:tc>
          <w:tcPr>
            <w:tcW w:w="3119" w:type="dxa"/>
          </w:tcPr>
          <w:p w14:paraId="11E6ED5E" w14:textId="084A6728" w:rsidR="00F850C6" w:rsidRDefault="005A6D31" w:rsidP="00820F39">
            <w:pPr>
              <w:rPr>
                <w:rFonts w:ascii="Arial Narrow" w:hAnsi="Arial Narrow" w:cs="Calibri"/>
                <w:color w:val="000000"/>
                <w:sz w:val="20"/>
              </w:rPr>
            </w:pPr>
            <w:r>
              <w:rPr>
                <w:rFonts w:ascii="Arial Narrow" w:hAnsi="Arial Narrow" w:cs="Calibri"/>
                <w:color w:val="000000"/>
                <w:sz w:val="20"/>
              </w:rPr>
              <w:t>Affected individual</w:t>
            </w:r>
            <w:r w:rsidRPr="00E64CEE">
              <w:rPr>
                <w:rFonts w:ascii="Arial Narrow" w:hAnsi="Arial Narrow" w:cs="Calibri"/>
                <w:color w:val="000000"/>
                <w:sz w:val="20"/>
              </w:rPr>
              <w:t xml:space="preserve"> prenatal</w:t>
            </w:r>
            <w:r>
              <w:rPr>
                <w:rFonts w:ascii="Arial Narrow" w:hAnsi="Arial Narrow" w:cs="Calibri"/>
                <w:color w:val="000000"/>
                <w:sz w:val="20"/>
              </w:rPr>
              <w:t xml:space="preserve"> (s</w:t>
            </w:r>
            <w:r w:rsidR="00F850C6">
              <w:rPr>
                <w:rFonts w:ascii="Arial Narrow" w:hAnsi="Arial Narrow" w:cs="Calibri"/>
                <w:color w:val="000000"/>
                <w:sz w:val="20"/>
              </w:rPr>
              <w:t>ingleton</w:t>
            </w:r>
            <w:r>
              <w:rPr>
                <w:rFonts w:ascii="Arial Narrow" w:hAnsi="Arial Narrow" w:cs="Calibri"/>
                <w:color w:val="000000"/>
                <w:sz w:val="20"/>
              </w:rPr>
              <w:t>)</w:t>
            </w:r>
          </w:p>
        </w:tc>
        <w:tc>
          <w:tcPr>
            <w:tcW w:w="1311" w:type="dxa"/>
            <w:noWrap/>
          </w:tcPr>
          <w:p w14:paraId="632CE7DE" w14:textId="26F9AE00" w:rsidR="00F850C6" w:rsidRPr="00E64CEE" w:rsidRDefault="00F850C6" w:rsidP="00820F39">
            <w:pPr>
              <w:jc w:val="center"/>
              <w:rPr>
                <w:rFonts w:ascii="Arial Narrow" w:hAnsi="Arial Narrow" w:cs="Calibri"/>
                <w:color w:val="000000"/>
                <w:sz w:val="20"/>
              </w:rPr>
            </w:pPr>
            <w:r>
              <w:rPr>
                <w:rFonts w:ascii="Arial Narrow" w:hAnsi="Arial Narrow" w:cs="Calibri"/>
                <w:color w:val="000000"/>
                <w:sz w:val="20"/>
              </w:rPr>
              <w:t>$1,800.00</w:t>
            </w:r>
          </w:p>
        </w:tc>
        <w:tc>
          <w:tcPr>
            <w:tcW w:w="1311" w:type="dxa"/>
            <w:noWrap/>
          </w:tcPr>
          <w:p w14:paraId="4CC81CBE" w14:textId="6ABA756D" w:rsidR="00F850C6" w:rsidRPr="00E64CEE" w:rsidRDefault="00F850C6" w:rsidP="00820F39">
            <w:pPr>
              <w:jc w:val="center"/>
              <w:rPr>
                <w:rFonts w:ascii="Arial Narrow" w:hAnsi="Arial Narrow" w:cs="Calibri"/>
                <w:color w:val="000000"/>
                <w:sz w:val="20"/>
              </w:rPr>
            </w:pPr>
            <w:r>
              <w:rPr>
                <w:rFonts w:ascii="Arial Narrow" w:hAnsi="Arial Narrow" w:cs="Calibri"/>
                <w:color w:val="000000"/>
                <w:sz w:val="20"/>
              </w:rPr>
              <w:t>$1350.00</w:t>
            </w:r>
          </w:p>
        </w:tc>
        <w:tc>
          <w:tcPr>
            <w:tcW w:w="1311" w:type="dxa"/>
            <w:noWrap/>
          </w:tcPr>
          <w:p w14:paraId="340390D9" w14:textId="4926464D" w:rsidR="00F850C6" w:rsidRPr="00E64CEE" w:rsidRDefault="00F850C6" w:rsidP="00820F39">
            <w:pPr>
              <w:jc w:val="center"/>
              <w:rPr>
                <w:rFonts w:ascii="Arial Narrow" w:hAnsi="Arial Narrow" w:cs="Calibri"/>
                <w:color w:val="000000"/>
                <w:sz w:val="20"/>
              </w:rPr>
            </w:pPr>
            <w:r>
              <w:rPr>
                <w:rFonts w:ascii="Arial Narrow" w:hAnsi="Arial Narrow" w:cs="Calibri"/>
                <w:color w:val="000000"/>
                <w:sz w:val="20"/>
              </w:rPr>
              <w:t>$1,715.30</w:t>
            </w:r>
          </w:p>
        </w:tc>
      </w:tr>
      <w:tr w:rsidR="00F850C6" w:rsidRPr="00E64CEE" w14:paraId="291324A3" w14:textId="77777777" w:rsidTr="009023B5">
        <w:trPr>
          <w:trHeight w:val="339"/>
        </w:trPr>
        <w:tc>
          <w:tcPr>
            <w:tcW w:w="1696" w:type="dxa"/>
            <w:noWrap/>
          </w:tcPr>
          <w:p w14:paraId="6491E614" w14:textId="159BEDC5" w:rsidR="00F850C6" w:rsidRPr="00E64CEE" w:rsidRDefault="005A6D31" w:rsidP="00820F39">
            <w:pPr>
              <w:rPr>
                <w:rFonts w:ascii="Arial Narrow" w:hAnsi="Arial Narrow" w:cs="Calibri"/>
                <w:color w:val="000000"/>
                <w:sz w:val="20"/>
              </w:rPr>
            </w:pPr>
            <w:r w:rsidRPr="00E64CEE">
              <w:rPr>
                <w:rFonts w:ascii="Arial Narrow" w:hAnsi="Arial Narrow" w:cs="Calibri"/>
                <w:color w:val="000000"/>
                <w:sz w:val="20"/>
              </w:rPr>
              <w:t>MBS Item DDDD</w:t>
            </w:r>
            <w:r>
              <w:rPr>
                <w:rFonts w:ascii="Arial Narrow" w:hAnsi="Arial Narrow" w:cs="Calibri"/>
                <w:color w:val="000000"/>
                <w:sz w:val="20"/>
              </w:rPr>
              <w:t>2</w:t>
            </w:r>
          </w:p>
        </w:tc>
        <w:tc>
          <w:tcPr>
            <w:tcW w:w="3119" w:type="dxa"/>
          </w:tcPr>
          <w:p w14:paraId="4C3474E4" w14:textId="259EE7D1" w:rsidR="00F850C6" w:rsidRDefault="005A6D31" w:rsidP="00820F39">
            <w:pPr>
              <w:rPr>
                <w:rFonts w:ascii="Arial Narrow" w:hAnsi="Arial Narrow" w:cs="Calibri"/>
                <w:color w:val="000000"/>
                <w:sz w:val="20"/>
              </w:rPr>
            </w:pPr>
            <w:r>
              <w:rPr>
                <w:rFonts w:ascii="Arial Narrow" w:hAnsi="Arial Narrow" w:cs="Calibri"/>
                <w:color w:val="000000"/>
                <w:sz w:val="20"/>
              </w:rPr>
              <w:t>Affected individual</w:t>
            </w:r>
            <w:r w:rsidRPr="00E64CEE">
              <w:rPr>
                <w:rFonts w:ascii="Arial Narrow" w:hAnsi="Arial Narrow" w:cs="Calibri"/>
                <w:color w:val="000000"/>
                <w:sz w:val="20"/>
              </w:rPr>
              <w:t xml:space="preserve"> prenatal</w:t>
            </w:r>
            <w:r>
              <w:rPr>
                <w:rFonts w:ascii="Arial Narrow" w:hAnsi="Arial Narrow" w:cs="Calibri"/>
                <w:color w:val="000000"/>
                <w:sz w:val="20"/>
              </w:rPr>
              <w:t xml:space="preserve"> (t</w:t>
            </w:r>
            <w:r w:rsidR="00F850C6">
              <w:rPr>
                <w:rFonts w:ascii="Arial Narrow" w:hAnsi="Arial Narrow" w:cs="Calibri"/>
                <w:color w:val="000000"/>
                <w:sz w:val="20"/>
              </w:rPr>
              <w:t>rio</w:t>
            </w:r>
            <w:r>
              <w:rPr>
                <w:rFonts w:ascii="Arial Narrow" w:hAnsi="Arial Narrow" w:cs="Calibri"/>
                <w:color w:val="000000"/>
                <w:sz w:val="20"/>
              </w:rPr>
              <w:t>)</w:t>
            </w:r>
          </w:p>
        </w:tc>
        <w:tc>
          <w:tcPr>
            <w:tcW w:w="1311" w:type="dxa"/>
            <w:noWrap/>
          </w:tcPr>
          <w:p w14:paraId="137530B0" w14:textId="3B0E0B03" w:rsidR="00F850C6" w:rsidRPr="00E64CEE" w:rsidRDefault="00F850C6" w:rsidP="00820F39">
            <w:pPr>
              <w:jc w:val="center"/>
              <w:rPr>
                <w:rFonts w:ascii="Arial Narrow" w:hAnsi="Arial Narrow" w:cs="Calibri"/>
                <w:color w:val="000000"/>
                <w:sz w:val="20"/>
              </w:rPr>
            </w:pPr>
            <w:r>
              <w:rPr>
                <w:rFonts w:ascii="Arial Narrow" w:hAnsi="Arial Narrow" w:cs="Calibri"/>
                <w:color w:val="000000"/>
                <w:sz w:val="20"/>
              </w:rPr>
              <w:t>$2,</w:t>
            </w:r>
            <w:r w:rsidR="00631D1C">
              <w:rPr>
                <w:rFonts w:ascii="Arial Narrow" w:hAnsi="Arial Narrow" w:cs="Calibri"/>
                <w:color w:val="000000"/>
                <w:sz w:val="20"/>
              </w:rPr>
              <w:t>4</w:t>
            </w:r>
            <w:r>
              <w:rPr>
                <w:rFonts w:ascii="Arial Narrow" w:hAnsi="Arial Narrow" w:cs="Calibri"/>
                <w:color w:val="000000"/>
                <w:sz w:val="20"/>
              </w:rPr>
              <w:t>00.00</w:t>
            </w:r>
          </w:p>
        </w:tc>
        <w:tc>
          <w:tcPr>
            <w:tcW w:w="1311" w:type="dxa"/>
            <w:noWrap/>
          </w:tcPr>
          <w:p w14:paraId="11D98BF5" w14:textId="5B590353" w:rsidR="00F850C6" w:rsidRPr="00E64CEE" w:rsidRDefault="00F850C6" w:rsidP="00820F39">
            <w:pPr>
              <w:jc w:val="center"/>
              <w:rPr>
                <w:rFonts w:ascii="Arial Narrow" w:hAnsi="Arial Narrow" w:cs="Calibri"/>
                <w:color w:val="000000"/>
                <w:sz w:val="20"/>
              </w:rPr>
            </w:pPr>
            <w:r>
              <w:rPr>
                <w:rFonts w:ascii="Arial Narrow" w:hAnsi="Arial Narrow" w:cs="Calibri"/>
                <w:color w:val="000000"/>
                <w:sz w:val="20"/>
              </w:rPr>
              <w:t>$1,</w:t>
            </w:r>
            <w:r w:rsidR="004034F5">
              <w:rPr>
                <w:rFonts w:ascii="Arial Narrow" w:hAnsi="Arial Narrow" w:cs="Calibri"/>
                <w:color w:val="000000"/>
                <w:sz w:val="20"/>
              </w:rPr>
              <w:t>80</w:t>
            </w:r>
            <w:r>
              <w:rPr>
                <w:rFonts w:ascii="Arial Narrow" w:hAnsi="Arial Narrow" w:cs="Calibri"/>
                <w:color w:val="000000"/>
                <w:sz w:val="20"/>
              </w:rPr>
              <w:t>0.00</w:t>
            </w:r>
          </w:p>
        </w:tc>
        <w:tc>
          <w:tcPr>
            <w:tcW w:w="1311" w:type="dxa"/>
            <w:noWrap/>
          </w:tcPr>
          <w:p w14:paraId="61DAFC6F" w14:textId="6377C93E" w:rsidR="00F850C6" w:rsidRPr="00E64CEE" w:rsidRDefault="00F850C6" w:rsidP="00820F39">
            <w:pPr>
              <w:jc w:val="center"/>
              <w:rPr>
                <w:rFonts w:ascii="Arial Narrow" w:hAnsi="Arial Narrow" w:cs="Calibri"/>
                <w:color w:val="000000"/>
                <w:sz w:val="20"/>
              </w:rPr>
            </w:pPr>
            <w:r>
              <w:rPr>
                <w:rFonts w:ascii="Arial Narrow" w:hAnsi="Arial Narrow" w:cs="Calibri"/>
                <w:color w:val="000000"/>
                <w:sz w:val="20"/>
              </w:rPr>
              <w:t>$2,</w:t>
            </w:r>
            <w:r w:rsidR="004034F5">
              <w:rPr>
                <w:rFonts w:ascii="Arial Narrow" w:hAnsi="Arial Narrow" w:cs="Calibri"/>
                <w:color w:val="000000"/>
                <w:sz w:val="20"/>
              </w:rPr>
              <w:t>3</w:t>
            </w:r>
            <w:r>
              <w:rPr>
                <w:rFonts w:ascii="Arial Narrow" w:hAnsi="Arial Narrow" w:cs="Calibri"/>
                <w:color w:val="000000"/>
                <w:sz w:val="20"/>
              </w:rPr>
              <w:t>15.30</w:t>
            </w:r>
          </w:p>
        </w:tc>
      </w:tr>
      <w:tr w:rsidR="005A6D31" w:rsidRPr="00E64CEE" w14:paraId="69DCF598" w14:textId="77777777" w:rsidTr="009023B5">
        <w:trPr>
          <w:trHeight w:val="339"/>
        </w:trPr>
        <w:tc>
          <w:tcPr>
            <w:tcW w:w="1696" w:type="dxa"/>
            <w:noWrap/>
            <w:hideMark/>
          </w:tcPr>
          <w:p w14:paraId="34CD6185" w14:textId="77777777" w:rsidR="00E470FE" w:rsidRPr="00E64CEE" w:rsidRDefault="00E470FE" w:rsidP="00820F39">
            <w:pPr>
              <w:rPr>
                <w:rFonts w:ascii="Arial Narrow" w:hAnsi="Arial Narrow" w:cs="Calibri"/>
                <w:color w:val="000000"/>
                <w:sz w:val="20"/>
              </w:rPr>
            </w:pPr>
            <w:r w:rsidRPr="00E64CEE">
              <w:rPr>
                <w:rFonts w:ascii="Arial Narrow" w:hAnsi="Arial Narrow" w:cs="Calibri"/>
                <w:color w:val="000000"/>
                <w:sz w:val="20"/>
              </w:rPr>
              <w:t>MBS Item EEEE</w:t>
            </w:r>
          </w:p>
        </w:tc>
        <w:tc>
          <w:tcPr>
            <w:tcW w:w="3119" w:type="dxa"/>
          </w:tcPr>
          <w:p w14:paraId="46230229" w14:textId="77777777" w:rsidR="00E470FE" w:rsidRPr="00E64CEE" w:rsidRDefault="00E470FE" w:rsidP="00820F39">
            <w:pPr>
              <w:rPr>
                <w:rFonts w:ascii="Arial Narrow" w:hAnsi="Arial Narrow" w:cs="Calibri"/>
                <w:color w:val="000000"/>
                <w:sz w:val="20"/>
              </w:rPr>
            </w:pPr>
            <w:r>
              <w:rPr>
                <w:rFonts w:ascii="Arial Narrow" w:hAnsi="Arial Narrow" w:cs="Calibri"/>
                <w:color w:val="000000"/>
                <w:sz w:val="20"/>
              </w:rPr>
              <w:t>R</w:t>
            </w:r>
            <w:r w:rsidRPr="00E64CEE">
              <w:rPr>
                <w:rFonts w:ascii="Arial Narrow" w:hAnsi="Arial Narrow" w:cs="Calibri"/>
                <w:color w:val="000000"/>
                <w:sz w:val="20"/>
              </w:rPr>
              <w:t>eproductive partner</w:t>
            </w:r>
          </w:p>
        </w:tc>
        <w:tc>
          <w:tcPr>
            <w:tcW w:w="1311" w:type="dxa"/>
            <w:noWrap/>
            <w:hideMark/>
          </w:tcPr>
          <w:p w14:paraId="4816A660" w14:textId="77777777" w:rsidR="00E470FE" w:rsidRPr="00E64CEE" w:rsidRDefault="00E470FE" w:rsidP="00820F39">
            <w:pPr>
              <w:jc w:val="center"/>
              <w:rPr>
                <w:rFonts w:ascii="Arial Narrow" w:hAnsi="Arial Narrow" w:cs="Calibri"/>
                <w:color w:val="000000"/>
                <w:sz w:val="20"/>
              </w:rPr>
            </w:pPr>
            <w:r w:rsidRPr="00E64CEE">
              <w:rPr>
                <w:rFonts w:ascii="Arial Narrow" w:hAnsi="Arial Narrow" w:cs="Calibri"/>
                <w:color w:val="000000"/>
                <w:sz w:val="20"/>
              </w:rPr>
              <w:t>$</w:t>
            </w:r>
            <w:r>
              <w:rPr>
                <w:rFonts w:ascii="Arial Narrow" w:hAnsi="Arial Narrow" w:cs="Calibri"/>
                <w:color w:val="000000"/>
                <w:sz w:val="20"/>
              </w:rPr>
              <w:t>1,200.00</w:t>
            </w:r>
          </w:p>
        </w:tc>
        <w:tc>
          <w:tcPr>
            <w:tcW w:w="1311" w:type="dxa"/>
            <w:noWrap/>
            <w:hideMark/>
          </w:tcPr>
          <w:p w14:paraId="27F995A8" w14:textId="77777777" w:rsidR="00E470FE" w:rsidRPr="00E64CEE" w:rsidRDefault="00E470FE" w:rsidP="00820F39">
            <w:pPr>
              <w:jc w:val="center"/>
              <w:rPr>
                <w:rFonts w:ascii="Arial Narrow" w:hAnsi="Arial Narrow" w:cs="Calibri"/>
                <w:color w:val="000000"/>
                <w:sz w:val="20"/>
              </w:rPr>
            </w:pPr>
            <w:r w:rsidRPr="00E64CEE">
              <w:rPr>
                <w:rFonts w:ascii="Arial Narrow" w:hAnsi="Arial Narrow" w:cs="Calibri"/>
                <w:color w:val="000000"/>
                <w:sz w:val="20"/>
              </w:rPr>
              <w:t>$</w:t>
            </w:r>
            <w:r>
              <w:rPr>
                <w:rFonts w:ascii="Arial Narrow" w:hAnsi="Arial Narrow" w:cs="Calibri"/>
                <w:color w:val="000000"/>
                <w:sz w:val="20"/>
              </w:rPr>
              <w:t>900.00</w:t>
            </w:r>
          </w:p>
        </w:tc>
        <w:tc>
          <w:tcPr>
            <w:tcW w:w="1311" w:type="dxa"/>
            <w:noWrap/>
            <w:hideMark/>
          </w:tcPr>
          <w:p w14:paraId="2CEF0D46" w14:textId="77777777" w:rsidR="00E470FE" w:rsidRPr="00E64CEE" w:rsidRDefault="00E470FE" w:rsidP="00820F39">
            <w:pPr>
              <w:jc w:val="center"/>
              <w:rPr>
                <w:rFonts w:ascii="Arial Narrow" w:hAnsi="Arial Narrow" w:cs="Calibri"/>
                <w:color w:val="000000"/>
                <w:sz w:val="20"/>
              </w:rPr>
            </w:pPr>
            <w:r w:rsidRPr="00E64CEE">
              <w:rPr>
                <w:rFonts w:ascii="Arial Narrow" w:hAnsi="Arial Narrow" w:cs="Calibri"/>
                <w:color w:val="000000"/>
                <w:sz w:val="20"/>
              </w:rPr>
              <w:t>$</w:t>
            </w:r>
            <w:r>
              <w:rPr>
                <w:rFonts w:ascii="Arial Narrow" w:hAnsi="Arial Narrow" w:cs="Calibri"/>
                <w:color w:val="000000"/>
                <w:sz w:val="20"/>
              </w:rPr>
              <w:t>1115.30</w:t>
            </w:r>
          </w:p>
        </w:tc>
      </w:tr>
      <w:tr w:rsidR="005A6D31" w:rsidRPr="00E64CEE" w14:paraId="669F7825" w14:textId="77777777" w:rsidTr="009023B5">
        <w:trPr>
          <w:trHeight w:val="339"/>
        </w:trPr>
        <w:tc>
          <w:tcPr>
            <w:tcW w:w="1696" w:type="dxa"/>
            <w:noWrap/>
            <w:hideMark/>
          </w:tcPr>
          <w:p w14:paraId="5CC6A6C7" w14:textId="77777777" w:rsidR="00E470FE" w:rsidRPr="00E64CEE" w:rsidRDefault="00E470FE" w:rsidP="00820F39">
            <w:pPr>
              <w:rPr>
                <w:rFonts w:ascii="Arial Narrow" w:hAnsi="Arial Narrow" w:cs="Calibri"/>
                <w:color w:val="000000"/>
                <w:sz w:val="20"/>
              </w:rPr>
            </w:pPr>
            <w:r w:rsidRPr="00E64CEE">
              <w:rPr>
                <w:rFonts w:ascii="Arial Narrow" w:hAnsi="Arial Narrow" w:cs="Calibri"/>
                <w:color w:val="000000"/>
                <w:sz w:val="20"/>
              </w:rPr>
              <w:t>MBS item FFFF</w:t>
            </w:r>
          </w:p>
        </w:tc>
        <w:tc>
          <w:tcPr>
            <w:tcW w:w="3119" w:type="dxa"/>
          </w:tcPr>
          <w:p w14:paraId="4BF902F9" w14:textId="77777777" w:rsidR="00E470FE" w:rsidRPr="00E64CEE" w:rsidRDefault="00E470FE" w:rsidP="00820F39">
            <w:pPr>
              <w:rPr>
                <w:rFonts w:ascii="Arial Narrow" w:hAnsi="Arial Narrow" w:cs="Calibri"/>
                <w:color w:val="000000"/>
                <w:sz w:val="20"/>
              </w:rPr>
            </w:pPr>
            <w:r>
              <w:rPr>
                <w:rFonts w:ascii="Arial Narrow" w:hAnsi="Arial Narrow" w:cs="Calibri"/>
                <w:color w:val="000000"/>
                <w:sz w:val="20"/>
              </w:rPr>
              <w:t>R</w:t>
            </w:r>
            <w:r w:rsidRPr="00E64CEE">
              <w:rPr>
                <w:rFonts w:ascii="Arial Narrow" w:hAnsi="Arial Narrow" w:cs="Calibri"/>
                <w:color w:val="000000"/>
                <w:sz w:val="20"/>
              </w:rPr>
              <w:t>e-analysis</w:t>
            </w:r>
          </w:p>
        </w:tc>
        <w:tc>
          <w:tcPr>
            <w:tcW w:w="1311" w:type="dxa"/>
            <w:noWrap/>
            <w:hideMark/>
          </w:tcPr>
          <w:p w14:paraId="2AF3ECC4" w14:textId="77777777" w:rsidR="00E470FE" w:rsidRPr="00E64CEE" w:rsidRDefault="00E470FE" w:rsidP="00820F39">
            <w:pPr>
              <w:jc w:val="center"/>
              <w:rPr>
                <w:rFonts w:ascii="Arial Narrow" w:hAnsi="Arial Narrow" w:cs="Calibri"/>
                <w:color w:val="000000"/>
                <w:sz w:val="20"/>
              </w:rPr>
            </w:pPr>
            <w:r w:rsidRPr="00E64CEE">
              <w:rPr>
                <w:rFonts w:ascii="Arial Narrow" w:hAnsi="Arial Narrow" w:cs="Calibri"/>
                <w:color w:val="000000"/>
                <w:sz w:val="20"/>
              </w:rPr>
              <w:t>$500</w:t>
            </w:r>
            <w:r>
              <w:rPr>
                <w:rFonts w:ascii="Arial Narrow" w:hAnsi="Arial Narrow" w:cs="Calibri"/>
                <w:color w:val="000000"/>
                <w:sz w:val="20"/>
              </w:rPr>
              <w:t>.00</w:t>
            </w:r>
          </w:p>
        </w:tc>
        <w:tc>
          <w:tcPr>
            <w:tcW w:w="1311" w:type="dxa"/>
            <w:noWrap/>
            <w:hideMark/>
          </w:tcPr>
          <w:p w14:paraId="6ACEDAAA" w14:textId="77777777" w:rsidR="00E470FE" w:rsidRPr="00E64CEE" w:rsidRDefault="00E470FE" w:rsidP="00820F39">
            <w:pPr>
              <w:jc w:val="center"/>
              <w:rPr>
                <w:rFonts w:ascii="Arial Narrow" w:hAnsi="Arial Narrow" w:cs="Calibri"/>
                <w:color w:val="000000"/>
                <w:sz w:val="20"/>
              </w:rPr>
            </w:pPr>
            <w:r w:rsidRPr="00E64CEE">
              <w:rPr>
                <w:rFonts w:ascii="Arial Narrow" w:hAnsi="Arial Narrow" w:cs="Calibri"/>
                <w:color w:val="000000"/>
                <w:sz w:val="20"/>
              </w:rPr>
              <w:t>$375</w:t>
            </w:r>
            <w:r>
              <w:rPr>
                <w:rFonts w:ascii="Arial Narrow" w:hAnsi="Arial Narrow" w:cs="Calibri"/>
                <w:color w:val="000000"/>
                <w:sz w:val="20"/>
              </w:rPr>
              <w:t>.00</w:t>
            </w:r>
          </w:p>
        </w:tc>
        <w:tc>
          <w:tcPr>
            <w:tcW w:w="1311" w:type="dxa"/>
            <w:noWrap/>
            <w:hideMark/>
          </w:tcPr>
          <w:p w14:paraId="1CA7A631" w14:textId="77777777" w:rsidR="00E470FE" w:rsidRPr="00E64CEE" w:rsidRDefault="00E470FE" w:rsidP="00820F39">
            <w:pPr>
              <w:jc w:val="center"/>
              <w:rPr>
                <w:rFonts w:ascii="Arial Narrow" w:hAnsi="Arial Narrow" w:cs="Calibri"/>
                <w:color w:val="000000"/>
                <w:sz w:val="20"/>
              </w:rPr>
            </w:pPr>
            <w:r w:rsidRPr="00E64CEE">
              <w:rPr>
                <w:rFonts w:ascii="Arial Narrow" w:hAnsi="Arial Narrow" w:cs="Calibri"/>
                <w:color w:val="000000"/>
                <w:sz w:val="20"/>
              </w:rPr>
              <w:t>$425</w:t>
            </w:r>
            <w:r>
              <w:rPr>
                <w:rFonts w:ascii="Arial Narrow" w:hAnsi="Arial Narrow" w:cs="Calibri"/>
                <w:color w:val="000000"/>
                <w:sz w:val="20"/>
              </w:rPr>
              <w:t>.00</w:t>
            </w:r>
          </w:p>
        </w:tc>
      </w:tr>
    </w:tbl>
    <w:p w14:paraId="05332564" w14:textId="09674D84" w:rsidR="00C638AC" w:rsidRDefault="00E470FE" w:rsidP="00F850C6">
      <w:pPr>
        <w:pStyle w:val="Tablenotes"/>
      </w:pPr>
      <w:r>
        <w:t>Source: MSAC</w:t>
      </w:r>
    </w:p>
    <w:p w14:paraId="2F869E95" w14:textId="7B6204C1" w:rsidR="0071734F" w:rsidRDefault="00C75124" w:rsidP="00BB2091">
      <w:r>
        <w:t xml:space="preserve">MSAC noted that not only actionable pathogenic variants, but also likely pathogenic variants can cause </w:t>
      </w:r>
      <w:proofErr w:type="gramStart"/>
      <w:r>
        <w:t>NMDs</w:t>
      </w:r>
      <w:proofErr w:type="gramEnd"/>
      <w:r w:rsidR="0067233F">
        <w:t xml:space="preserve"> and variants of unknown significance (VUS) may later be re-categorised into either of these categories</w:t>
      </w:r>
      <w:r>
        <w:t>, illustrating the importance of segregation studies</w:t>
      </w:r>
      <w:r w:rsidR="00ED4E8D">
        <w:t xml:space="preserve"> for establishing pathogenicity of those variants</w:t>
      </w:r>
      <w:r>
        <w:t>.</w:t>
      </w:r>
      <w:r w:rsidR="00ED4E8D">
        <w:t xml:space="preserve"> Segregation testing is especially relevant to NMDs as many variants are ‘private’ (</w:t>
      </w:r>
      <w:proofErr w:type="gramStart"/>
      <w:r w:rsidR="00ED4E8D">
        <w:t>i.e.</w:t>
      </w:r>
      <w:proofErr w:type="gramEnd"/>
      <w:r w:rsidR="00ED4E8D">
        <w:t xml:space="preserve"> unique to that family).</w:t>
      </w:r>
      <w:r>
        <w:t xml:space="preserve"> </w:t>
      </w:r>
      <w:r w:rsidR="0071734F">
        <w:t xml:space="preserve">MSAC </w:t>
      </w:r>
      <w:r>
        <w:t>noted that</w:t>
      </w:r>
      <w:r w:rsidR="0071734F">
        <w:t xml:space="preserve"> item BBBB</w:t>
      </w:r>
      <w:r>
        <w:t xml:space="preserve"> as supported would also </w:t>
      </w:r>
      <w:r w:rsidR="0071734F">
        <w:t>encompass segregation testing of relatives for variant classification</w:t>
      </w:r>
      <w:r w:rsidR="00ED4E8D">
        <w:t>, though MSAC revised the item descriptor to also include likely pathogenic variants and VUSs</w:t>
      </w:r>
      <w:r w:rsidR="006F6993">
        <w:t>.</w:t>
      </w:r>
      <w:r>
        <w:t xml:space="preserve"> </w:t>
      </w:r>
      <w:r w:rsidR="006F6993">
        <w:t xml:space="preserve">At its 8 December 2021 meeting, the MSAC Executive endorsed the Department’s proposed item descriptors for DDDD1 and DDDD2 </w:t>
      </w:r>
      <w:proofErr w:type="spellStart"/>
      <w:r w:rsidR="006F6993">
        <w:t>fetal</w:t>
      </w:r>
      <w:proofErr w:type="spellEnd"/>
      <w:r w:rsidR="006F6993">
        <w:t xml:space="preserve"> affected individual gene panel testing, the frequency restrictors proposed for items BBBB, CCCC, DDDD1, DDDD2, and EEEE, and proposed practice notes. The MSAC Executive also added DDDD1 and DDDD2 to prior tests for data re-analysis under FFFF </w:t>
      </w:r>
      <w:r>
        <w:t>(</w:t>
      </w:r>
      <w:r w:rsidR="003E46EE">
        <w:fldChar w:fldCharType="begin"/>
      </w:r>
      <w:r w:rsidR="003E46EE">
        <w:instrText xml:space="preserve"> REF _Ref8</w:instrText>
      </w:r>
      <w:r w:rsidR="003E46EE">
        <w:instrText xml:space="preserve">0083235 </w:instrText>
      </w:r>
      <w:r w:rsidR="003E46EE">
        <w:fldChar w:fldCharType="separate"/>
      </w:r>
      <w:r w:rsidR="004205E1">
        <w:t xml:space="preserve">Table </w:t>
      </w:r>
      <w:r w:rsidR="004205E1">
        <w:rPr>
          <w:noProof/>
        </w:rPr>
        <w:t>2</w:t>
      </w:r>
      <w:r w:rsidR="003E46EE">
        <w:rPr>
          <w:noProof/>
        </w:rPr>
        <w:fldChar w:fldCharType="end"/>
      </w:r>
      <w:r>
        <w:t>)</w:t>
      </w:r>
      <w:r w:rsidR="0071734F">
        <w:t>.</w:t>
      </w:r>
    </w:p>
    <w:p w14:paraId="2E584564" w14:textId="10EC0DA9" w:rsidR="00C75124" w:rsidRDefault="00C75124" w:rsidP="00042B86">
      <w:pPr>
        <w:pStyle w:val="Caption"/>
        <w:spacing w:before="240"/>
        <w:jc w:val="left"/>
      </w:pPr>
      <w:bookmarkStart w:id="1" w:name="_Ref80083235"/>
      <w:r>
        <w:lastRenderedPageBreak/>
        <w:t xml:space="preserve">Table </w:t>
      </w:r>
      <w:r w:rsidR="003E46EE">
        <w:fldChar w:fldCharType="begin"/>
      </w:r>
      <w:r w:rsidR="003E46EE">
        <w:instrText xml:space="preserve"> SEQ Table \* ARABIC </w:instrText>
      </w:r>
      <w:r w:rsidR="003E46EE">
        <w:fldChar w:fldCharType="separate"/>
      </w:r>
      <w:r w:rsidR="004205E1">
        <w:rPr>
          <w:noProof/>
        </w:rPr>
        <w:t>2</w:t>
      </w:r>
      <w:r w:rsidR="003E46EE">
        <w:rPr>
          <w:noProof/>
        </w:rPr>
        <w:fldChar w:fldCharType="end"/>
      </w:r>
      <w:bookmarkEnd w:id="1"/>
      <w:r>
        <w:t xml:space="preserve"> </w:t>
      </w:r>
      <w:r>
        <w:tab/>
        <w:t>MSAC’s revised item descriptor</w:t>
      </w:r>
      <w:r w:rsidR="00B24E21">
        <w:t>s</w:t>
      </w:r>
      <w:r>
        <w:t xml:space="preserve"> </w:t>
      </w:r>
    </w:p>
    <w:tbl>
      <w:tblPr>
        <w:tblStyle w:val="TableGrid"/>
        <w:tblW w:w="0" w:type="auto"/>
        <w:tblLook w:val="04A0" w:firstRow="1" w:lastRow="0" w:firstColumn="1" w:lastColumn="0" w:noHBand="0" w:noVBand="1"/>
        <w:tblCaption w:val="Table 11 Proposed MBS item descriptor"/>
        <w:tblDescription w:val="This table provides the proposed description of the requested Medicare Benefits Schedule item."/>
      </w:tblPr>
      <w:tblGrid>
        <w:gridCol w:w="9016"/>
      </w:tblGrid>
      <w:tr w:rsidR="000119A3" w:rsidRPr="00183E4D" w14:paraId="16107754" w14:textId="77777777" w:rsidTr="00B24E21">
        <w:tc>
          <w:tcPr>
            <w:tcW w:w="9016" w:type="dxa"/>
          </w:tcPr>
          <w:p w14:paraId="7E6DA02B" w14:textId="77777777" w:rsidR="000119A3" w:rsidRPr="000119A3" w:rsidRDefault="000119A3" w:rsidP="000119A3">
            <w:pPr>
              <w:pStyle w:val="Tabletext"/>
            </w:pPr>
            <w:r w:rsidRPr="000119A3">
              <w:t>Item AAAA</w:t>
            </w:r>
          </w:p>
          <w:p w14:paraId="4EA692F2" w14:textId="77777777" w:rsidR="000119A3" w:rsidRPr="000119A3" w:rsidRDefault="000119A3" w:rsidP="000119A3">
            <w:pPr>
              <w:pStyle w:val="Tabletext"/>
            </w:pPr>
            <w:r w:rsidRPr="000119A3">
              <w:t>Characterisation of gene variant(s) by a gene panel requested by a specialist or consultant physician in a patient presenting with clinical signs and symptoms suggestive of a genetic neuromuscular disorder, other than those associated with variants that are not detected by massively parallel sequencing, and after exclusion of non-genetic causes.</w:t>
            </w:r>
          </w:p>
          <w:p w14:paraId="67603B88" w14:textId="77777777" w:rsidR="000119A3" w:rsidRPr="000119A3" w:rsidRDefault="000119A3" w:rsidP="000119A3">
            <w:pPr>
              <w:pStyle w:val="Tabletext"/>
              <w:rPr>
                <w:color w:val="00B050"/>
              </w:rPr>
            </w:pPr>
            <w:r w:rsidRPr="000119A3">
              <w:rPr>
                <w:color w:val="00B050"/>
              </w:rPr>
              <w:t>(See para PN.15.1 of explanatory notes to this Category)</w:t>
            </w:r>
          </w:p>
          <w:p w14:paraId="71D8C6A4" w14:textId="128EDB55" w:rsidR="000119A3" w:rsidRPr="000119A3" w:rsidRDefault="000119A3" w:rsidP="000119A3">
            <w:pPr>
              <w:pStyle w:val="Tabletext"/>
            </w:pPr>
            <w:r w:rsidRPr="000119A3">
              <w:t>Applicable once per lifetime</w:t>
            </w:r>
            <w:r>
              <w:t>.</w:t>
            </w:r>
          </w:p>
          <w:p w14:paraId="4A616946" w14:textId="2449738C" w:rsidR="000119A3" w:rsidRPr="007966B6" w:rsidRDefault="000119A3" w:rsidP="000119A3">
            <w:pPr>
              <w:pStyle w:val="Tabletext"/>
              <w:keepNext/>
            </w:pPr>
            <w:r w:rsidRPr="000119A3">
              <w:t>Fee: $</w:t>
            </w:r>
            <w:proofErr w:type="gramStart"/>
            <w:r w:rsidRPr="000119A3">
              <w:t>1,200.00  Benefit</w:t>
            </w:r>
            <w:proofErr w:type="gramEnd"/>
            <w:r w:rsidRPr="000119A3">
              <w:t>: 75% = $900.00; 85% = $1,112.10</w:t>
            </w:r>
          </w:p>
        </w:tc>
      </w:tr>
      <w:tr w:rsidR="00C75124" w:rsidRPr="00183E4D" w14:paraId="319634CC" w14:textId="77777777" w:rsidTr="00B24E21">
        <w:tc>
          <w:tcPr>
            <w:tcW w:w="9016" w:type="dxa"/>
          </w:tcPr>
          <w:p w14:paraId="0601EC93" w14:textId="77777777" w:rsidR="00C75124" w:rsidRPr="007966B6" w:rsidRDefault="00C75124" w:rsidP="00C75124">
            <w:pPr>
              <w:pStyle w:val="Tabletext"/>
              <w:keepNext/>
            </w:pPr>
            <w:r w:rsidRPr="007966B6">
              <w:t>Item BBBB</w:t>
            </w:r>
          </w:p>
          <w:p w14:paraId="55F83DF8" w14:textId="6DC071FF" w:rsidR="00C75124" w:rsidRPr="000119A3" w:rsidRDefault="00C75124" w:rsidP="000119A3">
            <w:pPr>
              <w:pStyle w:val="Tabletext"/>
              <w:rPr>
                <w:i/>
                <w:iCs/>
              </w:rPr>
            </w:pPr>
            <w:r w:rsidRPr="007966B6">
              <w:t>Detection of a single identified gene variant requested by a specialist or consultant physician</w:t>
            </w:r>
            <w:r w:rsidRPr="007966B6">
              <w:rPr>
                <w:iCs/>
                <w:color w:val="4F81BD" w:themeColor="accent1"/>
              </w:rPr>
              <w:t>,</w:t>
            </w:r>
            <w:r w:rsidRPr="007966B6">
              <w:t xml:space="preserve"> in a biological relative of a patient with a </w:t>
            </w:r>
            <w:r w:rsidRPr="00397D49">
              <w:rPr>
                <w:strike/>
              </w:rPr>
              <w:t>documented and actionable pathogenic</w:t>
            </w:r>
            <w:r w:rsidRPr="007966B6">
              <w:t xml:space="preserve"> germline gene variant for a neuromuscular disorder identified by item AAAA or DDDD.</w:t>
            </w:r>
          </w:p>
          <w:p w14:paraId="0AE247E4" w14:textId="25EC99DF" w:rsidR="000119A3" w:rsidRPr="000119A3" w:rsidRDefault="000119A3" w:rsidP="000119A3">
            <w:pPr>
              <w:pStyle w:val="Tabletext"/>
              <w:rPr>
                <w:color w:val="00B050"/>
              </w:rPr>
            </w:pPr>
            <w:r w:rsidRPr="000119A3">
              <w:rPr>
                <w:color w:val="00B050"/>
              </w:rPr>
              <w:t>Applicable once per variant.</w:t>
            </w:r>
          </w:p>
          <w:p w14:paraId="2F6E328E" w14:textId="7E72CA98" w:rsidR="00C75124" w:rsidRPr="007966B6" w:rsidRDefault="00C75124" w:rsidP="00C75124">
            <w:pPr>
              <w:pStyle w:val="Tabletext"/>
              <w:keepNext/>
            </w:pPr>
            <w:r w:rsidRPr="007966B6">
              <w:t>Fee: $</w:t>
            </w:r>
            <w:r w:rsidR="00213288">
              <w:t>500</w:t>
            </w:r>
            <w:r w:rsidRPr="007966B6">
              <w:t>.</w:t>
            </w:r>
            <w:proofErr w:type="gramStart"/>
            <w:r w:rsidRPr="007966B6">
              <w:t>00  Benefit</w:t>
            </w:r>
            <w:proofErr w:type="gramEnd"/>
            <w:r w:rsidRPr="007966B6">
              <w:t>: 75% = $</w:t>
            </w:r>
            <w:r w:rsidR="00213288">
              <w:t>375</w:t>
            </w:r>
            <w:r w:rsidR="00E470FE">
              <w:t>.00</w:t>
            </w:r>
            <w:r w:rsidRPr="007966B6">
              <w:t xml:space="preserve">; 85% </w:t>
            </w:r>
            <w:r w:rsidRPr="0088304F">
              <w:t>= $</w:t>
            </w:r>
            <w:r w:rsidR="001F1212">
              <w:t>425</w:t>
            </w:r>
            <w:r w:rsidR="00631D1C">
              <w:t>.00</w:t>
            </w:r>
          </w:p>
        </w:tc>
      </w:tr>
      <w:tr w:rsidR="000119A3" w:rsidRPr="00183E4D" w14:paraId="3E436BF1" w14:textId="77777777" w:rsidTr="00B24E21">
        <w:tc>
          <w:tcPr>
            <w:tcW w:w="9016" w:type="dxa"/>
          </w:tcPr>
          <w:p w14:paraId="3B90CF33" w14:textId="77777777" w:rsidR="000119A3" w:rsidRPr="000119A3" w:rsidRDefault="000119A3" w:rsidP="000119A3">
            <w:pPr>
              <w:pStyle w:val="Tabletext"/>
            </w:pPr>
            <w:r w:rsidRPr="000119A3">
              <w:t>Item CCCC</w:t>
            </w:r>
          </w:p>
          <w:p w14:paraId="3D69986A" w14:textId="77777777" w:rsidR="000119A3" w:rsidRPr="000119A3" w:rsidRDefault="000119A3" w:rsidP="000119A3">
            <w:pPr>
              <w:pStyle w:val="Tabletext"/>
            </w:pPr>
            <w:r w:rsidRPr="000119A3">
              <w:t>Prenatal detection of an actionable pathogenic familial gene variant(s) requested by a specialist or consultant physician</w:t>
            </w:r>
            <w:r w:rsidRPr="000119A3">
              <w:rPr>
                <w:i/>
                <w:iCs/>
              </w:rPr>
              <w:t>,</w:t>
            </w:r>
            <w:r w:rsidRPr="000119A3">
              <w:t xml:space="preserve"> for a neuromuscular disorder previously identified in an index patient in the family by item AAAA, including maternal cell contamination assessment.</w:t>
            </w:r>
          </w:p>
          <w:p w14:paraId="1708FFE3" w14:textId="5AADA522" w:rsidR="000119A3" w:rsidRPr="000119A3" w:rsidRDefault="000119A3" w:rsidP="000119A3">
            <w:pPr>
              <w:pStyle w:val="Tabletext"/>
              <w:rPr>
                <w:color w:val="00B050"/>
              </w:rPr>
            </w:pPr>
            <w:r w:rsidRPr="000119A3">
              <w:rPr>
                <w:color w:val="00B050"/>
              </w:rPr>
              <w:t>Applicable once per pregnancy.</w:t>
            </w:r>
          </w:p>
          <w:p w14:paraId="6F558104" w14:textId="1CC48952" w:rsidR="000119A3" w:rsidRPr="007966B6" w:rsidRDefault="000119A3" w:rsidP="000119A3">
            <w:pPr>
              <w:pStyle w:val="Tabletext"/>
              <w:keepNext/>
            </w:pPr>
            <w:r w:rsidRPr="000119A3">
              <w:t>Fee: $</w:t>
            </w:r>
            <w:proofErr w:type="gramStart"/>
            <w:r w:rsidRPr="000119A3">
              <w:t>1,600.00  Benefit</w:t>
            </w:r>
            <w:proofErr w:type="gramEnd"/>
            <w:r w:rsidRPr="000119A3">
              <w:t>: 75% = $1,200.00; 85% =$1</w:t>
            </w:r>
            <w:r w:rsidR="00900FF3">
              <w:t>,</w:t>
            </w:r>
            <w:r w:rsidRPr="000119A3">
              <w:t>512.10</w:t>
            </w:r>
          </w:p>
        </w:tc>
      </w:tr>
      <w:tr w:rsidR="006F6993" w:rsidRPr="00183E4D" w14:paraId="5BF9B319" w14:textId="77777777" w:rsidTr="00B24E21">
        <w:tc>
          <w:tcPr>
            <w:tcW w:w="9016" w:type="dxa"/>
          </w:tcPr>
          <w:p w14:paraId="7761F96D" w14:textId="77777777" w:rsidR="006F6993" w:rsidRPr="000119A3" w:rsidRDefault="006F6993" w:rsidP="006F6993">
            <w:pPr>
              <w:pStyle w:val="Tabletext"/>
              <w:keepNext/>
              <w:rPr>
                <w:color w:val="00B050"/>
              </w:rPr>
            </w:pPr>
            <w:r w:rsidRPr="000119A3">
              <w:rPr>
                <w:color w:val="00B050"/>
              </w:rPr>
              <w:t>Item DDDD1</w:t>
            </w:r>
          </w:p>
          <w:p w14:paraId="6AA80E6E" w14:textId="77777777" w:rsidR="000119A3" w:rsidRPr="000119A3" w:rsidRDefault="006F6993" w:rsidP="006F6993">
            <w:pPr>
              <w:pStyle w:val="Tabletext"/>
              <w:keepNext/>
              <w:rPr>
                <w:color w:val="00B050"/>
              </w:rPr>
            </w:pPr>
            <w:r w:rsidRPr="000119A3">
              <w:rPr>
                <w:color w:val="00B050"/>
              </w:rPr>
              <w:t>Prenatal detection of unknown gene variants requested by a specialist or consultant physician, for a suspected genetic neuromuscular disorder using a gene panel, after exclusion of non-genetic causes, and including maternal cell contamination assessment. Where</w:t>
            </w:r>
            <w:r w:rsidR="000119A3" w:rsidRPr="000119A3">
              <w:rPr>
                <w:color w:val="00B050"/>
              </w:rPr>
              <w:t>:</w:t>
            </w:r>
          </w:p>
          <w:p w14:paraId="4D6BC4A2" w14:textId="16AABB63" w:rsidR="000119A3" w:rsidRPr="000119A3" w:rsidRDefault="000119A3" w:rsidP="0049577E">
            <w:pPr>
              <w:pStyle w:val="Tabletext"/>
              <w:keepNext/>
              <w:numPr>
                <w:ilvl w:val="0"/>
                <w:numId w:val="38"/>
              </w:numPr>
              <w:rPr>
                <w:color w:val="00B050"/>
              </w:rPr>
            </w:pPr>
            <w:r w:rsidRPr="000119A3">
              <w:rPr>
                <w:color w:val="00B050"/>
              </w:rPr>
              <w:t xml:space="preserve">the characterisation is performed using a sample from the </w:t>
            </w:r>
            <w:proofErr w:type="spellStart"/>
            <w:r w:rsidRPr="000119A3">
              <w:rPr>
                <w:color w:val="00B050"/>
              </w:rPr>
              <w:t>fetus</w:t>
            </w:r>
            <w:proofErr w:type="spellEnd"/>
            <w:r w:rsidRPr="000119A3">
              <w:rPr>
                <w:color w:val="00B050"/>
              </w:rPr>
              <w:t>; and</w:t>
            </w:r>
          </w:p>
          <w:p w14:paraId="7E659BBC" w14:textId="13660F75" w:rsidR="006F6993" w:rsidRPr="000119A3" w:rsidRDefault="006F6993" w:rsidP="000119A3">
            <w:pPr>
              <w:pStyle w:val="Tabletext"/>
              <w:keepNext/>
              <w:numPr>
                <w:ilvl w:val="0"/>
                <w:numId w:val="38"/>
              </w:numPr>
              <w:rPr>
                <w:color w:val="00B050"/>
              </w:rPr>
            </w:pPr>
            <w:r w:rsidRPr="000119A3">
              <w:rPr>
                <w:color w:val="00B050"/>
              </w:rPr>
              <w:t>the characterisation is not performed in conjunction with a service to which item DDDD2 applies.</w:t>
            </w:r>
          </w:p>
          <w:p w14:paraId="66EA1378" w14:textId="650DBEFA" w:rsidR="006F6993" w:rsidRPr="000119A3" w:rsidRDefault="006F6993" w:rsidP="006F6993">
            <w:pPr>
              <w:pStyle w:val="Tabletext"/>
              <w:rPr>
                <w:color w:val="00B050"/>
              </w:rPr>
            </w:pPr>
            <w:r w:rsidRPr="000119A3">
              <w:rPr>
                <w:color w:val="00B050"/>
              </w:rPr>
              <w:t>Applicable once per pregnancy.</w:t>
            </w:r>
          </w:p>
          <w:p w14:paraId="1A30C4C7" w14:textId="3CF9D576" w:rsidR="006F6993" w:rsidRPr="006F6993" w:rsidRDefault="006F6993" w:rsidP="006F6993">
            <w:pPr>
              <w:pStyle w:val="Tabletext"/>
              <w:keepNext/>
              <w:rPr>
                <w:i/>
                <w:iCs/>
              </w:rPr>
            </w:pPr>
            <w:r w:rsidRPr="000119A3">
              <w:rPr>
                <w:color w:val="00B050"/>
              </w:rPr>
              <w:t>Fee: $</w:t>
            </w:r>
            <w:proofErr w:type="gramStart"/>
            <w:r w:rsidRPr="000119A3">
              <w:rPr>
                <w:color w:val="00B050"/>
              </w:rPr>
              <w:t>1,800.00  Benefit</w:t>
            </w:r>
            <w:proofErr w:type="gramEnd"/>
            <w:r w:rsidRPr="000119A3">
              <w:rPr>
                <w:color w:val="00B050"/>
              </w:rPr>
              <w:t>: 75% = $1,350.00; 85% =$1,712.10</w:t>
            </w:r>
          </w:p>
        </w:tc>
      </w:tr>
      <w:tr w:rsidR="006F6993" w:rsidRPr="00183E4D" w14:paraId="00A56088" w14:textId="77777777" w:rsidTr="00B24E21">
        <w:tc>
          <w:tcPr>
            <w:tcW w:w="9016" w:type="dxa"/>
          </w:tcPr>
          <w:p w14:paraId="7DC0C0DF" w14:textId="77777777" w:rsidR="006F6993" w:rsidRPr="000119A3" w:rsidRDefault="006F6993" w:rsidP="006F6993">
            <w:pPr>
              <w:pStyle w:val="Tabletext"/>
              <w:keepNext/>
              <w:rPr>
                <w:color w:val="00B050"/>
              </w:rPr>
            </w:pPr>
            <w:r w:rsidRPr="000119A3">
              <w:rPr>
                <w:color w:val="00B050"/>
              </w:rPr>
              <w:t>Item DDDD2</w:t>
            </w:r>
          </w:p>
          <w:p w14:paraId="66B41DBA" w14:textId="77777777" w:rsidR="006F6993" w:rsidRPr="000119A3" w:rsidRDefault="006F6993" w:rsidP="006F6993">
            <w:pPr>
              <w:pStyle w:val="Tabletext"/>
              <w:keepNext/>
              <w:rPr>
                <w:color w:val="00B050"/>
              </w:rPr>
            </w:pPr>
            <w:r w:rsidRPr="000119A3">
              <w:rPr>
                <w:color w:val="00B050"/>
              </w:rPr>
              <w:t>Prenatal detection of unknown gene variants requested by a specialist or consultant physician, for a suspected genetic neuromuscular disorder using a gene panel, after exclusion of non-genetic causes, and including maternal cell contamination assessment. Where:</w:t>
            </w:r>
          </w:p>
          <w:p w14:paraId="26E54602" w14:textId="60E0B1A5" w:rsidR="006F6993" w:rsidRPr="000119A3" w:rsidRDefault="006F6993" w:rsidP="006F6993">
            <w:pPr>
              <w:pStyle w:val="Tabletext"/>
              <w:keepNext/>
              <w:numPr>
                <w:ilvl w:val="0"/>
                <w:numId w:val="36"/>
              </w:numPr>
              <w:rPr>
                <w:color w:val="00B050"/>
              </w:rPr>
            </w:pPr>
            <w:r w:rsidRPr="000119A3">
              <w:rPr>
                <w:color w:val="00B050"/>
              </w:rPr>
              <w:t>the request for the characterisation states that singleton testing is inappropriate; and</w:t>
            </w:r>
          </w:p>
          <w:p w14:paraId="44BB819C" w14:textId="7C01064B" w:rsidR="006F6993" w:rsidRPr="000119A3" w:rsidRDefault="006F6993" w:rsidP="006F6993">
            <w:pPr>
              <w:pStyle w:val="Tabletext"/>
              <w:keepNext/>
              <w:numPr>
                <w:ilvl w:val="0"/>
                <w:numId w:val="36"/>
              </w:numPr>
              <w:rPr>
                <w:color w:val="00B050"/>
              </w:rPr>
            </w:pPr>
            <w:r w:rsidRPr="000119A3">
              <w:rPr>
                <w:color w:val="00B050"/>
              </w:rPr>
              <w:t xml:space="preserve">the characterisation is performed using a sample from the </w:t>
            </w:r>
            <w:proofErr w:type="spellStart"/>
            <w:r w:rsidRPr="000119A3">
              <w:rPr>
                <w:color w:val="00B050"/>
              </w:rPr>
              <w:t>fetus</w:t>
            </w:r>
            <w:proofErr w:type="spellEnd"/>
            <w:r w:rsidRPr="000119A3">
              <w:rPr>
                <w:color w:val="00B050"/>
              </w:rPr>
              <w:t xml:space="preserve"> and a sample from each of the </w:t>
            </w:r>
            <w:proofErr w:type="spellStart"/>
            <w:r w:rsidRPr="000119A3">
              <w:rPr>
                <w:color w:val="00B050"/>
              </w:rPr>
              <w:t>fetus’s</w:t>
            </w:r>
            <w:proofErr w:type="spellEnd"/>
            <w:r w:rsidRPr="000119A3">
              <w:rPr>
                <w:color w:val="00B050"/>
              </w:rPr>
              <w:t xml:space="preserve"> biological parents; and </w:t>
            </w:r>
          </w:p>
          <w:p w14:paraId="68681111" w14:textId="253E60A1" w:rsidR="006F6993" w:rsidRPr="000119A3" w:rsidRDefault="006F6993" w:rsidP="006F6993">
            <w:pPr>
              <w:pStyle w:val="Tabletext"/>
              <w:keepNext/>
              <w:numPr>
                <w:ilvl w:val="0"/>
                <w:numId w:val="36"/>
              </w:numPr>
              <w:rPr>
                <w:color w:val="00B050"/>
              </w:rPr>
            </w:pPr>
            <w:r w:rsidRPr="000119A3">
              <w:rPr>
                <w:color w:val="00B050"/>
              </w:rPr>
              <w:t>the characterisation is not performed in conjunction with a service to which item DDDD1 applies.</w:t>
            </w:r>
          </w:p>
          <w:p w14:paraId="5171C53B" w14:textId="77777777" w:rsidR="006F6993" w:rsidRPr="000119A3" w:rsidRDefault="006F6993" w:rsidP="006F6993">
            <w:pPr>
              <w:pStyle w:val="Tabletext"/>
              <w:keepNext/>
              <w:rPr>
                <w:color w:val="00B050"/>
              </w:rPr>
            </w:pPr>
            <w:r w:rsidRPr="000119A3">
              <w:rPr>
                <w:color w:val="00B050"/>
              </w:rPr>
              <w:t>Applicable once per pregnancy.</w:t>
            </w:r>
          </w:p>
          <w:p w14:paraId="3FCB987A" w14:textId="617029CD" w:rsidR="006F6993" w:rsidRPr="006F6993" w:rsidRDefault="006F6993" w:rsidP="006F6993">
            <w:pPr>
              <w:pStyle w:val="Tabletext"/>
              <w:keepNext/>
              <w:rPr>
                <w:i/>
                <w:iCs/>
              </w:rPr>
            </w:pPr>
            <w:r w:rsidRPr="000119A3">
              <w:rPr>
                <w:color w:val="00B050"/>
              </w:rPr>
              <w:t>Fee: $</w:t>
            </w:r>
            <w:proofErr w:type="gramStart"/>
            <w:r w:rsidRPr="000119A3">
              <w:rPr>
                <w:color w:val="00B050"/>
              </w:rPr>
              <w:t>2,400.00  Benefit</w:t>
            </w:r>
            <w:proofErr w:type="gramEnd"/>
            <w:r w:rsidRPr="000119A3">
              <w:rPr>
                <w:color w:val="00B050"/>
              </w:rPr>
              <w:t>: 75% = $1,800.00; 85% =$2,312.10</w:t>
            </w:r>
          </w:p>
        </w:tc>
      </w:tr>
      <w:tr w:rsidR="006F6993" w:rsidRPr="00183E4D" w14:paraId="6B05C3D8" w14:textId="77777777" w:rsidTr="00B24E21">
        <w:tc>
          <w:tcPr>
            <w:tcW w:w="9016" w:type="dxa"/>
          </w:tcPr>
          <w:p w14:paraId="243446A3" w14:textId="77777777" w:rsidR="006F6993" w:rsidRPr="006F6993" w:rsidRDefault="006F6993" w:rsidP="006F6993">
            <w:pPr>
              <w:pStyle w:val="Tabletext"/>
            </w:pPr>
            <w:r w:rsidRPr="006F6993">
              <w:t>Item EEEE</w:t>
            </w:r>
          </w:p>
          <w:p w14:paraId="0486AA31" w14:textId="77777777" w:rsidR="006F6993" w:rsidRPr="006F6993" w:rsidRDefault="006F6993" w:rsidP="006F6993">
            <w:pPr>
              <w:pStyle w:val="Tabletext"/>
            </w:pPr>
            <w:r w:rsidRPr="006F6993">
              <w:t>Single gene testing requested by a specialist or consultant physician for the characterisation of germline gene variant(s) within the same gene in which a reproductive partner has a documented pathogenic germline recessive gene variant for a neuromuscular disorder identified by item number AAAA, DDDD1 or DDDD2.</w:t>
            </w:r>
          </w:p>
          <w:p w14:paraId="3D3BDE83" w14:textId="40003B94" w:rsidR="006F6993" w:rsidRPr="000119A3" w:rsidRDefault="006F6993" w:rsidP="006F6993">
            <w:pPr>
              <w:pStyle w:val="Tabletext"/>
              <w:rPr>
                <w:color w:val="00B050"/>
              </w:rPr>
            </w:pPr>
            <w:r w:rsidRPr="000119A3">
              <w:rPr>
                <w:color w:val="00B050"/>
              </w:rPr>
              <w:t>Applicable once per gene.</w:t>
            </w:r>
          </w:p>
          <w:p w14:paraId="4F40262F" w14:textId="3CD410B8" w:rsidR="006F6993" w:rsidRPr="006F6993" w:rsidRDefault="006F6993" w:rsidP="006F6993">
            <w:pPr>
              <w:pStyle w:val="Tabletext"/>
              <w:keepNext/>
            </w:pPr>
            <w:r w:rsidRPr="006F6993">
              <w:t>Fee: $</w:t>
            </w:r>
            <w:proofErr w:type="gramStart"/>
            <w:r w:rsidRPr="006F6993">
              <w:t>1,200.00  Benefit</w:t>
            </w:r>
            <w:proofErr w:type="gramEnd"/>
            <w:r w:rsidRPr="006F6993">
              <w:t>: 75% = $900.00; 85% = $1,112.10</w:t>
            </w:r>
          </w:p>
        </w:tc>
      </w:tr>
      <w:tr w:rsidR="00B24E21" w:rsidRPr="00183E4D" w14:paraId="5CA89C74" w14:textId="77777777" w:rsidTr="00B24E21">
        <w:tc>
          <w:tcPr>
            <w:tcW w:w="9016" w:type="dxa"/>
          </w:tcPr>
          <w:p w14:paraId="0E27D4DE" w14:textId="77777777" w:rsidR="00B24E21" w:rsidRDefault="00B24E21" w:rsidP="006F6993">
            <w:pPr>
              <w:pStyle w:val="Tabletext"/>
              <w:keepNext/>
            </w:pPr>
            <w:r>
              <w:lastRenderedPageBreak/>
              <w:t>Item FFFF</w:t>
            </w:r>
          </w:p>
          <w:p w14:paraId="291DF6F5" w14:textId="100A7413" w:rsidR="00B24E21" w:rsidRDefault="00B24E21" w:rsidP="006F6993">
            <w:pPr>
              <w:pStyle w:val="Tabletext"/>
              <w:keepNext/>
            </w:pPr>
            <w:r>
              <w:t xml:space="preserve">Re-analysis of whole </w:t>
            </w:r>
            <w:r w:rsidRPr="009F0602">
              <w:rPr>
                <w:color w:val="00B050"/>
              </w:rPr>
              <w:t>genome or</w:t>
            </w:r>
            <w:r w:rsidRPr="009F0602">
              <w:rPr>
                <w:i/>
                <w:iCs/>
                <w:color w:val="00B050"/>
              </w:rPr>
              <w:t xml:space="preserve"> </w:t>
            </w:r>
            <w:r>
              <w:t>exome data obtained in performing a service to which item AAAA</w:t>
            </w:r>
            <w:r w:rsidR="000119A3">
              <w:rPr>
                <w:i/>
                <w:iCs/>
              </w:rPr>
              <w:t xml:space="preserve"> </w:t>
            </w:r>
            <w:r w:rsidR="000119A3" w:rsidRPr="000119A3">
              <w:rPr>
                <w:color w:val="00B050"/>
              </w:rPr>
              <w:t>or DDDD1 or DDDD2</w:t>
            </w:r>
            <w:r w:rsidRPr="000119A3">
              <w:rPr>
                <w:color w:val="00B050"/>
              </w:rPr>
              <w:t xml:space="preserve"> </w:t>
            </w:r>
            <w:r>
              <w:t xml:space="preserve">applies, </w:t>
            </w:r>
            <w:r w:rsidRPr="00EC650C">
              <w:rPr>
                <w:strike/>
              </w:rPr>
              <w:t>after appropriate genetic counselling,</w:t>
            </w:r>
            <w:r>
              <w:t xml:space="preserve"> for characterisation of previously unreported </w:t>
            </w:r>
            <w:r w:rsidRPr="00EC650C">
              <w:rPr>
                <w:strike/>
              </w:rPr>
              <w:t>pathogenic</w:t>
            </w:r>
            <w:r>
              <w:t xml:space="preserve"> gene variants related to the clinical phenotype, if </w:t>
            </w:r>
          </w:p>
          <w:p w14:paraId="7D97D238" w14:textId="77777777" w:rsidR="00B24E21" w:rsidRDefault="00B24E21" w:rsidP="006F6993">
            <w:pPr>
              <w:pStyle w:val="Tabletext"/>
              <w:keepNext/>
              <w:numPr>
                <w:ilvl w:val="0"/>
                <w:numId w:val="33"/>
              </w:numPr>
            </w:pPr>
            <w:r>
              <w:t>The re-analysis is:</w:t>
            </w:r>
          </w:p>
          <w:p w14:paraId="4468978B" w14:textId="77777777" w:rsidR="00B24E21" w:rsidRDefault="00B24E21" w:rsidP="00B24E21">
            <w:pPr>
              <w:pStyle w:val="Tabletext"/>
              <w:keepNext/>
              <w:numPr>
                <w:ilvl w:val="0"/>
                <w:numId w:val="34"/>
              </w:numPr>
            </w:pPr>
            <w:r>
              <w:t>Requested by a consultant physician practicing as a clinical geneticist; or</w:t>
            </w:r>
          </w:p>
          <w:p w14:paraId="7B8A8A3B" w14:textId="77777777" w:rsidR="00B24E21" w:rsidRDefault="00B24E21" w:rsidP="00B24E21">
            <w:pPr>
              <w:pStyle w:val="Tabletext"/>
              <w:keepNext/>
              <w:numPr>
                <w:ilvl w:val="0"/>
                <w:numId w:val="34"/>
              </w:numPr>
            </w:pPr>
            <w:r>
              <w:t xml:space="preserve">Requested by a consultant physician practising as a specialist paediatrician, following consultation with a clinical geneticist. </w:t>
            </w:r>
          </w:p>
          <w:p w14:paraId="0CE5F85E" w14:textId="4B195B9F" w:rsidR="00B24E21" w:rsidRDefault="00B24E21" w:rsidP="006F6993">
            <w:pPr>
              <w:pStyle w:val="Tabletext"/>
              <w:keepNext/>
            </w:pPr>
            <w:r>
              <w:t>Applicable only twice per lifetime</w:t>
            </w:r>
          </w:p>
          <w:p w14:paraId="26DCAEAA" w14:textId="10DD74DF" w:rsidR="000119A3" w:rsidRPr="000119A3" w:rsidRDefault="000119A3" w:rsidP="000119A3">
            <w:pPr>
              <w:pStyle w:val="Tabletext"/>
              <w:rPr>
                <w:color w:val="00B050"/>
              </w:rPr>
            </w:pPr>
            <w:r w:rsidRPr="000119A3">
              <w:rPr>
                <w:color w:val="00B050"/>
              </w:rPr>
              <w:t>(See para PN.15.2 of explanatory notes to this Category)</w:t>
            </w:r>
          </w:p>
          <w:p w14:paraId="6D75D63C" w14:textId="77777777" w:rsidR="00B24E21" w:rsidRPr="007966B6" w:rsidRDefault="00B24E21" w:rsidP="006F6993">
            <w:pPr>
              <w:pStyle w:val="Tabletext"/>
              <w:keepNext/>
            </w:pPr>
            <w:r>
              <w:t>Fee: $500.</w:t>
            </w:r>
            <w:proofErr w:type="gramStart"/>
            <w:r>
              <w:t>00  Benefit</w:t>
            </w:r>
            <w:proofErr w:type="gramEnd"/>
            <w:r>
              <w:t>:75% = $375.00; 85% = $425.00</w:t>
            </w:r>
          </w:p>
        </w:tc>
      </w:tr>
    </w:tbl>
    <w:p w14:paraId="2A26A18C" w14:textId="40E93B80" w:rsidR="000119A3" w:rsidRDefault="000119A3" w:rsidP="000119A3">
      <w:pPr>
        <w:pStyle w:val="Tablenotes1"/>
        <w:rPr>
          <w:color w:val="00B050"/>
          <w:sz w:val="20"/>
          <w:szCs w:val="22"/>
        </w:rPr>
      </w:pPr>
      <w:r>
        <w:rPr>
          <w:color w:val="00B050"/>
          <w:sz w:val="20"/>
          <w:szCs w:val="22"/>
        </w:rPr>
        <w:t>Practice notes:</w:t>
      </w:r>
    </w:p>
    <w:p w14:paraId="1344B548" w14:textId="26A1D9A0" w:rsidR="000119A3" w:rsidRPr="000119A3" w:rsidRDefault="000119A3" w:rsidP="000119A3">
      <w:pPr>
        <w:pStyle w:val="Tablenotes1"/>
        <w:ind w:left="720"/>
        <w:rPr>
          <w:color w:val="00B050"/>
          <w:sz w:val="20"/>
          <w:szCs w:val="22"/>
          <w:lang w:val="en-CA"/>
        </w:rPr>
      </w:pPr>
      <w:r w:rsidRPr="000119A3">
        <w:rPr>
          <w:color w:val="00B050"/>
          <w:sz w:val="20"/>
          <w:szCs w:val="22"/>
        </w:rPr>
        <w:t>PN.15.1</w:t>
      </w:r>
    </w:p>
    <w:p w14:paraId="53BD8ACF" w14:textId="4E9C7E02" w:rsidR="000119A3" w:rsidRPr="000119A3" w:rsidRDefault="000119A3" w:rsidP="000119A3">
      <w:pPr>
        <w:pStyle w:val="Tablenotes1"/>
        <w:ind w:left="720"/>
        <w:rPr>
          <w:color w:val="00B050"/>
          <w:sz w:val="20"/>
          <w:szCs w:val="22"/>
        </w:rPr>
      </w:pPr>
      <w:r w:rsidRPr="000119A3">
        <w:rPr>
          <w:color w:val="00B050"/>
          <w:sz w:val="20"/>
          <w:szCs w:val="22"/>
        </w:rPr>
        <w:t xml:space="preserve">Single gene tests for variants that are not detectable using NGS methods (such as in </w:t>
      </w:r>
      <w:r w:rsidRPr="000119A3">
        <w:rPr>
          <w:i/>
          <w:iCs/>
          <w:color w:val="00B050"/>
          <w:sz w:val="20"/>
          <w:szCs w:val="22"/>
        </w:rPr>
        <w:t>SMN1</w:t>
      </w:r>
      <w:r w:rsidRPr="000119A3">
        <w:rPr>
          <w:color w:val="00B050"/>
          <w:sz w:val="20"/>
          <w:szCs w:val="22"/>
        </w:rPr>
        <w:t xml:space="preserve">, </w:t>
      </w:r>
      <w:r w:rsidRPr="000119A3">
        <w:rPr>
          <w:i/>
          <w:iCs/>
          <w:color w:val="00B050"/>
          <w:sz w:val="20"/>
          <w:szCs w:val="22"/>
        </w:rPr>
        <w:t>DMPK1</w:t>
      </w:r>
      <w:r w:rsidRPr="000119A3">
        <w:rPr>
          <w:color w:val="00B050"/>
          <w:sz w:val="20"/>
          <w:szCs w:val="22"/>
        </w:rPr>
        <w:t xml:space="preserve">, </w:t>
      </w:r>
      <w:r w:rsidRPr="000119A3">
        <w:rPr>
          <w:i/>
          <w:iCs/>
          <w:color w:val="00B050"/>
          <w:sz w:val="20"/>
          <w:szCs w:val="22"/>
        </w:rPr>
        <w:t>DUX4</w:t>
      </w:r>
      <w:r w:rsidRPr="000119A3">
        <w:rPr>
          <w:color w:val="00B050"/>
          <w:sz w:val="20"/>
          <w:szCs w:val="22"/>
        </w:rPr>
        <w:t xml:space="preserve"> or </w:t>
      </w:r>
      <w:r w:rsidRPr="000119A3">
        <w:rPr>
          <w:i/>
          <w:iCs/>
          <w:color w:val="00B050"/>
          <w:sz w:val="20"/>
          <w:szCs w:val="22"/>
        </w:rPr>
        <w:t>DMD</w:t>
      </w:r>
      <w:r w:rsidRPr="000119A3">
        <w:rPr>
          <w:color w:val="00B050"/>
          <w:sz w:val="20"/>
          <w:szCs w:val="22"/>
        </w:rPr>
        <w:t>) should be conducted before panel testing, where one of these NMDs is clinically suspected.</w:t>
      </w:r>
    </w:p>
    <w:p w14:paraId="29830875" w14:textId="77777777" w:rsidR="000119A3" w:rsidRPr="000119A3" w:rsidRDefault="000119A3" w:rsidP="000119A3">
      <w:pPr>
        <w:pStyle w:val="Tablenotes1"/>
        <w:ind w:left="720"/>
        <w:rPr>
          <w:color w:val="00B050"/>
          <w:sz w:val="20"/>
          <w:szCs w:val="22"/>
        </w:rPr>
      </w:pPr>
      <w:r w:rsidRPr="000119A3">
        <w:rPr>
          <w:color w:val="00B050"/>
          <w:sz w:val="20"/>
          <w:szCs w:val="22"/>
        </w:rPr>
        <w:t>PN.15.2</w:t>
      </w:r>
    </w:p>
    <w:p w14:paraId="22E84181" w14:textId="77777777" w:rsidR="000119A3" w:rsidRPr="000119A3" w:rsidRDefault="000119A3" w:rsidP="000119A3">
      <w:pPr>
        <w:pStyle w:val="Tablenotes1"/>
        <w:ind w:left="720"/>
        <w:rPr>
          <w:color w:val="00B050"/>
          <w:sz w:val="20"/>
          <w:szCs w:val="22"/>
        </w:rPr>
      </w:pPr>
      <w:r w:rsidRPr="000119A3">
        <w:rPr>
          <w:color w:val="00B050"/>
          <w:sz w:val="20"/>
          <w:szCs w:val="22"/>
        </w:rPr>
        <w:t>Variants may be previously unreported because the relevant gene was not included in the original virtual panel, or because the pathogenicity of the variant has been re-classified in the interim.</w:t>
      </w:r>
    </w:p>
    <w:p w14:paraId="3BBE6110" w14:textId="74773987" w:rsidR="003A1472" w:rsidRDefault="003A1472" w:rsidP="00A827FD">
      <w:pPr>
        <w:pStyle w:val="Tablenotes1"/>
      </w:pPr>
      <w:r>
        <w:t>Strikethrough indicates text removed by MSAC</w:t>
      </w:r>
      <w:r w:rsidR="000119A3">
        <w:t>/MSAC Executive</w:t>
      </w:r>
      <w:r w:rsidR="00B24E21">
        <w:t xml:space="preserve">; </w:t>
      </w:r>
      <w:r w:rsidR="000119A3">
        <w:t xml:space="preserve">green </w:t>
      </w:r>
      <w:r w:rsidR="00B24E21">
        <w:t>indicate</w:t>
      </w:r>
      <w:r w:rsidR="000119A3">
        <w:t>s</w:t>
      </w:r>
      <w:r w:rsidR="00B24E21">
        <w:t xml:space="preserve"> text added by MSAC</w:t>
      </w:r>
      <w:r w:rsidR="000119A3">
        <w:t>/</w:t>
      </w:r>
      <w:r w:rsidR="006F6993">
        <w:t>MSAC Executive</w:t>
      </w:r>
      <w:r>
        <w:t>.</w:t>
      </w:r>
    </w:p>
    <w:p w14:paraId="04E2A5DE" w14:textId="201DB94A" w:rsidR="00C75124" w:rsidRDefault="00C75124" w:rsidP="00A827FD">
      <w:pPr>
        <w:pStyle w:val="Tablenotes1"/>
      </w:pPr>
      <w:r>
        <w:t>Source: MSAC</w:t>
      </w:r>
      <w:r w:rsidR="006F6993">
        <w:t xml:space="preserve"> and MSAC Executive</w:t>
      </w:r>
    </w:p>
    <w:p w14:paraId="5A8A6A8A" w14:textId="743548FB" w:rsidR="00646BB5" w:rsidRDefault="00BB2091" w:rsidP="00646BB5">
      <w:pPr>
        <w:spacing w:before="240" w:after="240"/>
      </w:pPr>
      <w:r>
        <w:t xml:space="preserve">MSAC noted that the testing </w:t>
      </w:r>
      <w:r w:rsidR="00D559ED">
        <w:t xml:space="preserve">volumes </w:t>
      </w:r>
      <w:r>
        <w:t xml:space="preserve">in the </w:t>
      </w:r>
      <w:r w:rsidR="006A1BBD">
        <w:t xml:space="preserve">second </w:t>
      </w:r>
      <w:r w:rsidR="008A07EB">
        <w:t>Department-contracted assessment report (</w:t>
      </w:r>
      <w:r>
        <w:t>DCAR</w:t>
      </w:r>
      <w:r w:rsidR="008A07EB">
        <w:t>)</w:t>
      </w:r>
      <w:r>
        <w:t xml:space="preserve"> extrapolated from </w:t>
      </w:r>
      <w:proofErr w:type="spellStart"/>
      <w:r>
        <w:t>PathWest</w:t>
      </w:r>
      <w:proofErr w:type="spellEnd"/>
      <w:r>
        <w:t xml:space="preserve"> data to </w:t>
      </w:r>
      <w:r w:rsidR="00511348">
        <w:t xml:space="preserve">estimate </w:t>
      </w:r>
      <w:r>
        <w:t xml:space="preserve">the number of potential tests conducted and the total </w:t>
      </w:r>
      <w:r w:rsidR="000129D7">
        <w:t>estimated cost of testing</w:t>
      </w:r>
      <w:r>
        <w:t xml:space="preserve"> ($2,</w:t>
      </w:r>
      <w:r w:rsidR="000129D7">
        <w:t>115,190 in the first year – see</w:t>
      </w:r>
      <w:r w:rsidR="00646BB5">
        <w:t xml:space="preserve"> Table 8</w:t>
      </w:r>
      <w:r>
        <w:t xml:space="preserve">). However, MSAC considered the incidence </w:t>
      </w:r>
      <w:r w:rsidR="000129D7">
        <w:t>estimated based on</w:t>
      </w:r>
      <w:r>
        <w:t xml:space="preserve"> </w:t>
      </w:r>
      <w:proofErr w:type="spellStart"/>
      <w:r>
        <w:t>PathWest</w:t>
      </w:r>
      <w:proofErr w:type="spellEnd"/>
      <w:r>
        <w:t xml:space="preserve"> data may be too low, </w:t>
      </w:r>
      <w:r w:rsidR="00511348">
        <w:t xml:space="preserve">though </w:t>
      </w:r>
      <w:r>
        <w:t xml:space="preserve">the </w:t>
      </w:r>
      <w:r w:rsidR="000129D7">
        <w:t xml:space="preserve">true </w:t>
      </w:r>
      <w:r>
        <w:t>incidence is uncertain.</w:t>
      </w:r>
      <w:r w:rsidR="00387947">
        <w:t xml:space="preserve"> MSAC noted that if treatments for NMDs such as gene therapies </w:t>
      </w:r>
      <w:r w:rsidR="00484E85">
        <w:t>were to be</w:t>
      </w:r>
      <w:r w:rsidR="00387947">
        <w:t xml:space="preserve"> developed in the future, this </w:t>
      </w:r>
      <w:r w:rsidR="00484E85">
        <w:t>c</w:t>
      </w:r>
      <w:r w:rsidR="00387947">
        <w:t>ould increase uptake of genetic testin</w:t>
      </w:r>
      <w:r w:rsidR="00484E85">
        <w:t>g</w:t>
      </w:r>
      <w:r w:rsidR="00387947">
        <w:t>.</w:t>
      </w:r>
      <w:r>
        <w:t xml:space="preserve"> Other uncertainties include the likely uptake for prenatal testing, the number of reproductive partners choosing to be tested, the number of cascade tests and the diagnostic yield. MSAC noted the </w:t>
      </w:r>
      <w:r w:rsidR="00511348">
        <w:t>second DCAR</w:t>
      </w:r>
      <w:r w:rsidR="0073042F">
        <w:t>’s post-ESC analyses</w:t>
      </w:r>
      <w:r w:rsidR="00511348">
        <w:t xml:space="preserve"> </w:t>
      </w:r>
      <w:r w:rsidR="000129D7">
        <w:t>provided</w:t>
      </w:r>
      <w:r>
        <w:t xml:space="preserve"> financial estimates at </w:t>
      </w:r>
      <w:r w:rsidR="0073042F">
        <w:t xml:space="preserve">multiple </w:t>
      </w:r>
      <w:r>
        <w:t>prevalence rates</w:t>
      </w:r>
      <w:r w:rsidR="0073042F">
        <w:t xml:space="preserve"> (60 and 80 per 100,000)</w:t>
      </w:r>
      <w:r>
        <w:t>, incidence rates</w:t>
      </w:r>
      <w:r w:rsidR="0073042F">
        <w:t xml:space="preserve"> (3.6 and 10.6 per 100,000)</w:t>
      </w:r>
      <w:r>
        <w:t xml:space="preserve"> and diagnostic yields</w:t>
      </w:r>
      <w:r w:rsidR="0073042F">
        <w:t xml:space="preserve"> (18.4% from </w:t>
      </w:r>
      <w:proofErr w:type="spellStart"/>
      <w:r w:rsidR="0073042F">
        <w:t>PathWest</w:t>
      </w:r>
      <w:proofErr w:type="spellEnd"/>
      <w:r w:rsidR="0073042F">
        <w:t xml:space="preserve"> data, 20% and 26%)</w:t>
      </w:r>
      <w:r>
        <w:t xml:space="preserve">, </w:t>
      </w:r>
      <w:r w:rsidR="0073042F">
        <w:t>with estimates ranging from $1,568,340 to $4,595,532 for</w:t>
      </w:r>
      <w:r w:rsidR="000129D7">
        <w:t xml:space="preserve"> the first year</w:t>
      </w:r>
      <w:r w:rsidR="0073042F">
        <w:t xml:space="preserve"> (</w:t>
      </w:r>
      <w:r w:rsidR="00646BB5">
        <w:t>Table 8).</w:t>
      </w:r>
      <w:r>
        <w:t xml:space="preserve"> MSAC also noted the </w:t>
      </w:r>
      <w:r w:rsidR="0073042F">
        <w:t xml:space="preserve">applicant’s statement in its </w:t>
      </w:r>
      <w:r>
        <w:t xml:space="preserve">pre-MSAC response that a budget impact of $2 million per year is </w:t>
      </w:r>
      <w:r w:rsidR="00387947">
        <w:t>consistent</w:t>
      </w:r>
      <w:r>
        <w:t xml:space="preserve"> with the small number of tests</w:t>
      </w:r>
      <w:r w:rsidR="00511348" w:rsidRPr="00511348">
        <w:t xml:space="preserve"> </w:t>
      </w:r>
      <w:r w:rsidR="00511348">
        <w:t>expected</w:t>
      </w:r>
      <w:r w:rsidR="00646BB5">
        <w:t>.</w:t>
      </w:r>
    </w:p>
    <w:p w14:paraId="43C653E1" w14:textId="4AB916D5" w:rsidR="00BB2091" w:rsidRDefault="00BB2091" w:rsidP="00BB2091">
      <w:r>
        <w:t xml:space="preserve">MSAC noted </w:t>
      </w:r>
      <w:r w:rsidR="00511348">
        <w:t xml:space="preserve">some </w:t>
      </w:r>
      <w:r>
        <w:t xml:space="preserve">uncertainty </w:t>
      </w:r>
      <w:r w:rsidR="00511348">
        <w:t xml:space="preserve">remained around </w:t>
      </w:r>
      <w:r>
        <w:t xml:space="preserve">the expected testing </w:t>
      </w:r>
      <w:r w:rsidR="00511348">
        <w:t xml:space="preserve">volume </w:t>
      </w:r>
      <w:r>
        <w:t xml:space="preserve">and </w:t>
      </w:r>
      <w:r w:rsidR="00511348">
        <w:t xml:space="preserve">therefore </w:t>
      </w:r>
      <w:r>
        <w:t xml:space="preserve">the overall budget impact; however, these data would not be available to provide </w:t>
      </w:r>
      <w:r w:rsidR="00511348">
        <w:t xml:space="preserve">increased </w:t>
      </w:r>
      <w:r>
        <w:t xml:space="preserve">certainty </w:t>
      </w:r>
      <w:r w:rsidR="00511348">
        <w:t xml:space="preserve">until after </w:t>
      </w:r>
      <w:r>
        <w:t>this genetic testing</w:t>
      </w:r>
      <w:r w:rsidR="00511348">
        <w:t xml:space="preserve"> had been implemented</w:t>
      </w:r>
      <w:r>
        <w:t xml:space="preserve">. MSAC also noted that </w:t>
      </w:r>
      <w:r w:rsidR="0073042F">
        <w:t xml:space="preserve">it had revised </w:t>
      </w:r>
      <w:r>
        <w:t xml:space="preserve">the fees for many of the proposed items. Therefore, MSAC </w:t>
      </w:r>
      <w:r w:rsidR="00511348">
        <w:t xml:space="preserve">requested </w:t>
      </w:r>
      <w:r>
        <w:t xml:space="preserve">that the </w:t>
      </w:r>
      <w:r w:rsidR="00511348">
        <w:t>Department revise the financial analyses to incorporate its revised fees</w:t>
      </w:r>
      <w:r>
        <w:t xml:space="preserve">, </w:t>
      </w:r>
      <w:r w:rsidR="00511348">
        <w:t>along with, if possible,</w:t>
      </w:r>
      <w:r w:rsidRPr="00D35485">
        <w:t xml:space="preserve"> </w:t>
      </w:r>
      <w:r w:rsidR="00511348">
        <w:t xml:space="preserve">estimating a cost-effectiveness measure </w:t>
      </w:r>
      <w:proofErr w:type="gramStart"/>
      <w:r w:rsidR="00511348">
        <w:t>similar to</w:t>
      </w:r>
      <w:proofErr w:type="gramEnd"/>
      <w:r w:rsidR="00511348">
        <w:t xml:space="preserve"> </w:t>
      </w:r>
      <w:r w:rsidRPr="00D35485">
        <w:t xml:space="preserve">cost per </w:t>
      </w:r>
      <w:r w:rsidR="00511348">
        <w:t xml:space="preserve">measure of </w:t>
      </w:r>
      <w:r w:rsidRPr="00D35485">
        <w:t xml:space="preserve">diagnostic yield or </w:t>
      </w:r>
      <w:r w:rsidR="00511348">
        <w:t xml:space="preserve">variant-positive </w:t>
      </w:r>
      <w:r w:rsidRPr="00D35485">
        <w:t>individual.</w:t>
      </w:r>
      <w:r>
        <w:t xml:space="preserve"> MSAC </w:t>
      </w:r>
      <w:r w:rsidR="00511348">
        <w:t xml:space="preserve">advised that it expected both figures will fall within an acceptable range, but that it wished to confirm this prior to supporting listing. MSAC requested </w:t>
      </w:r>
      <w:r>
        <w:t xml:space="preserve">that the Department </w:t>
      </w:r>
      <w:r w:rsidR="00511348">
        <w:t>provide these analyses</w:t>
      </w:r>
      <w:r>
        <w:t xml:space="preserve"> </w:t>
      </w:r>
      <w:r w:rsidR="00511348">
        <w:t xml:space="preserve">for </w:t>
      </w:r>
      <w:r>
        <w:t>the MSAC Executive</w:t>
      </w:r>
      <w:r w:rsidR="00511348">
        <w:t xml:space="preserve"> to confirm</w:t>
      </w:r>
      <w:r>
        <w:t>.</w:t>
      </w:r>
      <w:r w:rsidR="00290BFE">
        <w:t xml:space="preserve"> </w:t>
      </w:r>
      <w:r w:rsidR="00290BFE" w:rsidRPr="00290BFE">
        <w:rPr>
          <w:szCs w:val="24"/>
        </w:rPr>
        <w:t xml:space="preserve">The </w:t>
      </w:r>
      <w:r w:rsidR="00290BFE">
        <w:rPr>
          <w:szCs w:val="24"/>
        </w:rPr>
        <w:t xml:space="preserve">Department provided these analyses to the </w:t>
      </w:r>
      <w:r w:rsidR="00290BFE" w:rsidRPr="00290BFE">
        <w:rPr>
          <w:szCs w:val="24"/>
        </w:rPr>
        <w:t>MSAC Executive</w:t>
      </w:r>
      <w:r w:rsidR="00290BFE">
        <w:rPr>
          <w:szCs w:val="24"/>
        </w:rPr>
        <w:t>, which</w:t>
      </w:r>
      <w:r w:rsidR="00290BFE" w:rsidRPr="00290BFE">
        <w:rPr>
          <w:szCs w:val="24"/>
        </w:rPr>
        <w:t xml:space="preserve"> </w:t>
      </w:r>
      <w:r w:rsidR="00290BFE">
        <w:rPr>
          <w:szCs w:val="24"/>
        </w:rPr>
        <w:t>advised</w:t>
      </w:r>
      <w:r w:rsidR="00290BFE" w:rsidRPr="00290BFE">
        <w:rPr>
          <w:szCs w:val="24"/>
        </w:rPr>
        <w:t xml:space="preserve"> both were acceptable,</w:t>
      </w:r>
      <w:r w:rsidR="00290BFE">
        <w:rPr>
          <w:szCs w:val="24"/>
        </w:rPr>
        <w:t xml:space="preserve"> confirming MSAC’s support for all items in this application</w:t>
      </w:r>
      <w:r w:rsidR="00290BFE" w:rsidRPr="00290BFE">
        <w:rPr>
          <w:szCs w:val="24"/>
        </w:rPr>
        <w:t>.</w:t>
      </w:r>
    </w:p>
    <w:p w14:paraId="7E463040" w14:textId="46B52CFD" w:rsidR="00484E85" w:rsidRDefault="00484E85" w:rsidP="00042B86">
      <w:pPr>
        <w:spacing w:before="240"/>
      </w:pPr>
      <w:r>
        <w:t>MSAC noted NPAAC’s advice that a separate quality assurance program (QAP) would be required for each NMD on the panel test. MSAC advised that it did not expect delays due to QAPs as gene panel testing would be covered by other analyses, such as the QAP for NGS.</w:t>
      </w:r>
    </w:p>
    <w:p w14:paraId="53FA4BDF" w14:textId="5F3EA7A6" w:rsidR="00B52FCF" w:rsidRPr="00C730C8" w:rsidRDefault="00065623"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lastRenderedPageBreak/>
        <w:t>Background</w:t>
      </w:r>
    </w:p>
    <w:p w14:paraId="23491080" w14:textId="0F11CA26" w:rsidR="001C32A6" w:rsidRDefault="00CF1666" w:rsidP="00CF1666">
      <w:r>
        <w:t xml:space="preserve">This is the first </w:t>
      </w:r>
      <w:r w:rsidR="00D559ED">
        <w:t xml:space="preserve">application </w:t>
      </w:r>
      <w:r w:rsidR="004D3C7F">
        <w:t>for genomic</w:t>
      </w:r>
      <w:r>
        <w:t xml:space="preserve"> testing for neuromuscular disorders.</w:t>
      </w:r>
    </w:p>
    <w:p w14:paraId="77CF3EFD" w14:textId="410411C2" w:rsidR="004D3C7F" w:rsidRDefault="0073042F" w:rsidP="00042B86">
      <w:pPr>
        <w:spacing w:before="240"/>
      </w:pPr>
      <w:r>
        <w:t xml:space="preserve">The </w:t>
      </w:r>
      <w:r w:rsidR="006A1BBD">
        <w:t xml:space="preserve">first </w:t>
      </w:r>
      <w:r w:rsidR="004D3C7F">
        <w:t xml:space="preserve">DCAR was first developed for this application using the </w:t>
      </w:r>
      <w:r w:rsidR="00AA4934">
        <w:t>clinical utility card (</w:t>
      </w:r>
      <w:r w:rsidR="004D3C7F">
        <w:t>CUC</w:t>
      </w:r>
      <w:r w:rsidR="00AA4934">
        <w:t>)</w:t>
      </w:r>
      <w:r w:rsidR="004D3C7F">
        <w:t xml:space="preserve"> methodology as advised b</w:t>
      </w:r>
      <w:r w:rsidR="00C66417">
        <w:t xml:space="preserve">y PASC, incorporating the use of </w:t>
      </w:r>
      <w:proofErr w:type="gramStart"/>
      <w:r w:rsidR="00C66417">
        <w:t>exemplar</w:t>
      </w:r>
      <w:proofErr w:type="gramEnd"/>
      <w:r w:rsidR="00C66417">
        <w:t xml:space="preserve"> and facilitated diseases and genes</w:t>
      </w:r>
      <w:r w:rsidR="007041CA">
        <w:t xml:space="preserve"> within the NMD panels</w:t>
      </w:r>
      <w:r w:rsidR="00C66417">
        <w:t>. However</w:t>
      </w:r>
      <w:r w:rsidR="001C32A6">
        <w:t>,</w:t>
      </w:r>
      <w:r w:rsidR="00C66417">
        <w:t xml:space="preserve"> several inadequacies were noted for the assessment approach used in th</w:t>
      </w:r>
      <w:r w:rsidR="006A1BBD">
        <w:t>e</w:t>
      </w:r>
      <w:r w:rsidR="00C66417">
        <w:t xml:space="preserve"> first DCAR, and MSAC advised at its March/April 2021 meeting that </w:t>
      </w:r>
      <w:r w:rsidR="006A1BBD">
        <w:t>a second</w:t>
      </w:r>
      <w:r w:rsidR="00183BB3">
        <w:t xml:space="preserve"> DCAR </w:t>
      </w:r>
      <w:r w:rsidR="001C32A6">
        <w:t xml:space="preserve">be commissioned using a revised streamlined </w:t>
      </w:r>
      <w:r w:rsidR="00183BB3">
        <w:t xml:space="preserve">assessment </w:t>
      </w:r>
      <w:r w:rsidR="00C66417">
        <w:t>approach</w:t>
      </w:r>
      <w:r w:rsidR="00183BB3">
        <w:t xml:space="preserve">. While the </w:t>
      </w:r>
      <w:r w:rsidR="006A1BBD">
        <w:t xml:space="preserve">second DCAR </w:t>
      </w:r>
      <w:r w:rsidR="00183BB3">
        <w:t>wa</w:t>
      </w:r>
      <w:r w:rsidR="001C32A6">
        <w:t xml:space="preserve">s the primary focus of </w:t>
      </w:r>
      <w:r w:rsidR="006A1BBD">
        <w:t>MSA</w:t>
      </w:r>
      <w:r w:rsidR="001C32A6">
        <w:t>C’s consideration at its Ju</w:t>
      </w:r>
      <w:r w:rsidR="006A1BBD">
        <w:t>ly</w:t>
      </w:r>
      <w:r w:rsidR="001C32A6">
        <w:t xml:space="preserve"> 2021 meeting, </w:t>
      </w:r>
      <w:r w:rsidR="006A1BBD">
        <w:t xml:space="preserve">some </w:t>
      </w:r>
      <w:r w:rsidR="001C32A6">
        <w:t>material from the first DCAR is also included</w:t>
      </w:r>
      <w:r w:rsidR="00183BB3">
        <w:t xml:space="preserve"> in this summary</w:t>
      </w:r>
      <w:r w:rsidR="001C32A6">
        <w:t>.</w:t>
      </w:r>
      <w:r w:rsidR="00183BB3">
        <w:t xml:space="preserve"> ESC also requested at its June 2021 meeting that additional analyses be </w:t>
      </w:r>
      <w:r w:rsidR="0071734F">
        <w:t>updated</w:t>
      </w:r>
      <w:r w:rsidR="00183BB3">
        <w:t xml:space="preserve"> for MSAC’s consideration; the assessment group for the </w:t>
      </w:r>
      <w:r w:rsidR="006A1BBD">
        <w:t xml:space="preserve">second DCAR </w:t>
      </w:r>
      <w:r w:rsidR="00183BB3">
        <w:t>provided these out-of-session and they are included herein.</w:t>
      </w:r>
    </w:p>
    <w:p w14:paraId="24A05F52" w14:textId="0644CF9C" w:rsidR="00CF1666" w:rsidRDefault="00CF1666" w:rsidP="00042B86">
      <w:pPr>
        <w:spacing w:before="240"/>
      </w:pPr>
      <w:r>
        <w:t xml:space="preserve">A related previous application is 1573, reproductive carrier screening </w:t>
      </w:r>
      <w:r w:rsidR="004D3C7F">
        <w:t>for diseases including</w:t>
      </w:r>
      <w:r>
        <w:t xml:space="preserve"> spinal muscular at</w:t>
      </w:r>
      <w:r w:rsidR="00C66417">
        <w:t>r</w:t>
      </w:r>
      <w:r>
        <w:t xml:space="preserve">ophy (SMA). The reproductive partner </w:t>
      </w:r>
      <w:r w:rsidR="004D3C7F">
        <w:t xml:space="preserve">testing </w:t>
      </w:r>
      <w:r>
        <w:t xml:space="preserve">component of </w:t>
      </w:r>
      <w:r w:rsidR="004D3C7F">
        <w:t>this application applies to NMDs more broadly, though for SMA will overlap with the testing already supported for application 1573.</w:t>
      </w:r>
    </w:p>
    <w:p w14:paraId="7C6994E9" w14:textId="49ABC7A3" w:rsidR="00B411FE" w:rsidRPr="00C730C8" w:rsidRDefault="00CF1666" w:rsidP="00042B86">
      <w:pPr>
        <w:spacing w:before="240"/>
      </w:pPr>
      <w:r>
        <w:t>A related previous application is 1476, genetic testing for</w:t>
      </w:r>
      <w:r w:rsidR="004D3C7F">
        <w:t xml:space="preserve"> childhood syndromes. The resulting implemented affected individual testing (e.g. </w:t>
      </w:r>
      <w:hyperlink r:id="rId10" w:history="1">
        <w:r w:rsidR="004D3C7F" w:rsidRPr="004D3C7F">
          <w:rPr>
            <w:rStyle w:val="Hyperlink"/>
          </w:rPr>
          <w:t>MBS item 73358</w:t>
        </w:r>
      </w:hyperlink>
      <w:r w:rsidR="004D3C7F">
        <w:t xml:space="preserve">) is indicated by dysmorphic facial appearance and major structural congenital anomalies, or </w:t>
      </w:r>
      <w:r>
        <w:t xml:space="preserve">intellectual </w:t>
      </w:r>
      <w:r w:rsidR="004D3C7F">
        <w:t>disabilit</w:t>
      </w:r>
      <w:r w:rsidR="00183BB3">
        <w:t xml:space="preserve">y or global developmental delay – </w:t>
      </w:r>
      <w:r>
        <w:t>t</w:t>
      </w:r>
      <w:r w:rsidR="004D3C7F">
        <w:t>his</w:t>
      </w:r>
      <w:r>
        <w:t xml:space="preserve"> patient population may </w:t>
      </w:r>
      <w:r w:rsidR="004D3C7F">
        <w:t xml:space="preserve">slightly </w:t>
      </w:r>
      <w:r>
        <w:t xml:space="preserve">overlap with the </w:t>
      </w:r>
      <w:r w:rsidR="00183BB3">
        <w:t xml:space="preserve">clinical </w:t>
      </w:r>
      <w:r>
        <w:t>presentation of neuromuscular disorders</w:t>
      </w:r>
      <w:r w:rsidR="004D3C7F">
        <w:t xml:space="preserve"> in </w:t>
      </w:r>
      <w:r w:rsidR="00183BB3">
        <w:t>the population for this application as defined by the PICO</w:t>
      </w:r>
      <w:r w:rsidR="004D3C7F">
        <w:t>.</w:t>
      </w:r>
    </w:p>
    <w:p w14:paraId="4CB4FE7F" w14:textId="2935D11F" w:rsidR="00F7484F" w:rsidRPr="00C730C8" w:rsidRDefault="00065623"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t>Prerequisites to implementation of any funding advice</w:t>
      </w:r>
    </w:p>
    <w:p w14:paraId="28ED468E" w14:textId="78FA7C93" w:rsidR="0012129B" w:rsidRDefault="0012129B" w:rsidP="0012129B">
      <w:r w:rsidRPr="007041CA">
        <w:t>Genetic testing for disease should be undertaken in a National Association of Testing Authoriti</w:t>
      </w:r>
      <w:r w:rsidR="007041CA" w:rsidRPr="007041CA">
        <w:t xml:space="preserve">es (NATA) accredited laboratory. The </w:t>
      </w:r>
      <w:r w:rsidR="007041CA">
        <w:t>NPAAC advises that t</w:t>
      </w:r>
      <w:r w:rsidR="007041CA" w:rsidRPr="007041CA">
        <w:t>his testing is currently provided by one or perhaps two laboratories in Australia. It is complex testing that requires a competent workforce. There is no Quality Assurance program for the single panel. A separate External Quality Assurance program would need to be sourced for each disease tested for in the panel.</w:t>
      </w:r>
    </w:p>
    <w:p w14:paraId="33D0131A" w14:textId="6CEA0448" w:rsidR="00BB26AB" w:rsidRPr="00B02E35" w:rsidRDefault="007041CA" w:rsidP="00B411FE">
      <w:r>
        <w:t>NPAAC further noted that t</w:t>
      </w:r>
      <w:r w:rsidRPr="00971714">
        <w:t xml:space="preserve">here </w:t>
      </w:r>
      <w:r>
        <w:t>is</w:t>
      </w:r>
      <w:r w:rsidRPr="00971714">
        <w:t xml:space="preserve"> at </w:t>
      </w:r>
      <w:r>
        <w:t xml:space="preserve">present </w:t>
      </w:r>
      <w:r w:rsidRPr="00971714">
        <w:t>a restricted number of providers</w:t>
      </w:r>
      <w:r>
        <w:t>,</w:t>
      </w:r>
      <w:r w:rsidRPr="00971714">
        <w:t xml:space="preserve"> which may trigger increased workloads for those laboratories or act to curtail access to</w:t>
      </w:r>
      <w:r>
        <w:t xml:space="preserve"> testing by the wider population.</w:t>
      </w:r>
    </w:p>
    <w:p w14:paraId="36E07551" w14:textId="36CC5330" w:rsidR="008A6C0C" w:rsidRPr="00C730C8" w:rsidRDefault="00065623"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t>Proposal for public funding</w:t>
      </w:r>
    </w:p>
    <w:p w14:paraId="72717FD4" w14:textId="4DAC658A" w:rsidR="0012129B" w:rsidRDefault="0012129B" w:rsidP="0012129B">
      <w:r>
        <w:t xml:space="preserve">The </w:t>
      </w:r>
      <w:r w:rsidR="006A1BBD">
        <w:t xml:space="preserve">first </w:t>
      </w:r>
      <w:r>
        <w:t>DCAR proposed six MBS items (</w:t>
      </w:r>
      <w:r w:rsidR="00F96A34">
        <w:t xml:space="preserve">summarised in </w:t>
      </w:r>
      <w:r w:rsidR="003E46EE">
        <w:fldChar w:fldCharType="begin"/>
      </w:r>
      <w:r w:rsidR="003E46EE">
        <w:instrText xml:space="preserve"> REF _Ref74662730 </w:instrText>
      </w:r>
      <w:r w:rsidR="003E46EE">
        <w:fldChar w:fldCharType="separate"/>
      </w:r>
      <w:r w:rsidR="004205E1">
        <w:t xml:space="preserve">Table </w:t>
      </w:r>
      <w:r w:rsidR="004205E1">
        <w:rPr>
          <w:noProof/>
        </w:rPr>
        <w:t>3</w:t>
      </w:r>
      <w:r w:rsidR="003E46EE">
        <w:rPr>
          <w:noProof/>
        </w:rPr>
        <w:fldChar w:fldCharType="end"/>
      </w:r>
      <w:r w:rsidR="00F96A34">
        <w:rPr>
          <w:noProof/>
        </w:rPr>
        <w:t xml:space="preserve">, descriptors in </w:t>
      </w:r>
      <w:r w:rsidR="003E46EE">
        <w:fldChar w:fldCharType="begin"/>
      </w:r>
      <w:r w:rsidR="003E46EE">
        <w:instrText xml:space="preserve"> REF </w:instrText>
      </w:r>
      <w:r w:rsidR="003E46EE">
        <w:instrText xml:space="preserve">_Ref58975666 </w:instrText>
      </w:r>
      <w:r w:rsidR="003E46EE">
        <w:fldChar w:fldCharType="separate"/>
      </w:r>
      <w:r w:rsidR="004205E1" w:rsidRPr="009438F6">
        <w:t xml:space="preserve">Table </w:t>
      </w:r>
      <w:r w:rsidR="004205E1">
        <w:rPr>
          <w:noProof/>
        </w:rPr>
        <w:t>4</w:t>
      </w:r>
      <w:r w:rsidR="003E46EE">
        <w:rPr>
          <w:noProof/>
        </w:rPr>
        <w:fldChar w:fldCharType="end"/>
      </w:r>
      <w:r>
        <w:t xml:space="preserve">). </w:t>
      </w:r>
      <w:r w:rsidRPr="00B20712">
        <w:t xml:space="preserve">Items are proposed for use in population one patients </w:t>
      </w:r>
      <w:r>
        <w:t xml:space="preserve">(item AAAA) and </w:t>
      </w:r>
      <w:proofErr w:type="spellStart"/>
      <w:r>
        <w:t>fetuses</w:t>
      </w:r>
      <w:proofErr w:type="spellEnd"/>
      <w:r>
        <w:t xml:space="preserve"> (item DDDD) </w:t>
      </w:r>
      <w:r w:rsidRPr="00B20712">
        <w:t>who are symptomatic and suspected of NMD. Items are proposed for use in the biological relatives</w:t>
      </w:r>
      <w:r>
        <w:t xml:space="preserve"> (item BBBB)</w:t>
      </w:r>
      <w:r w:rsidRPr="00B20712">
        <w:t xml:space="preserve"> </w:t>
      </w:r>
      <w:r>
        <w:t xml:space="preserve">including </w:t>
      </w:r>
      <w:proofErr w:type="spellStart"/>
      <w:r>
        <w:t>fetuses</w:t>
      </w:r>
      <w:proofErr w:type="spellEnd"/>
      <w:r>
        <w:t xml:space="preserve"> (item CCCC) </w:t>
      </w:r>
      <w:r w:rsidRPr="00B20712">
        <w:t xml:space="preserve">of the index patient who has been diagnosed with an actionable pathogenic gene variant for a neuromuscular disorder. Item EEEE is proposed for use for the reproductive partner of an individual with a documented and actionable pathogenic germline recessive gene variant. Finally, Item FFFF allows for re-analysis of the data obtained when performing AAAA, </w:t>
      </w:r>
      <w:r>
        <w:t xml:space="preserve">up to twice per lifetime </w:t>
      </w:r>
      <w:r w:rsidRPr="00B20712">
        <w:t>for a patient who had has not previously been diagnosed with a pathogenic gene variant.</w:t>
      </w:r>
    </w:p>
    <w:p w14:paraId="33BAE0CD" w14:textId="01FB1F45" w:rsidR="00F96A34" w:rsidRDefault="00F96A34" w:rsidP="00042B86">
      <w:pPr>
        <w:pStyle w:val="Caption"/>
        <w:spacing w:before="240"/>
      </w:pPr>
      <w:bookmarkStart w:id="2" w:name="_Ref74662730"/>
      <w:r>
        <w:lastRenderedPageBreak/>
        <w:t xml:space="preserve">Table </w:t>
      </w:r>
      <w:r w:rsidR="003E46EE">
        <w:fldChar w:fldCharType="begin"/>
      </w:r>
      <w:r w:rsidR="003E46EE">
        <w:instrText xml:space="preserve"> SEQ Table \* ARABIC </w:instrText>
      </w:r>
      <w:r w:rsidR="003E46EE">
        <w:fldChar w:fldCharType="separate"/>
      </w:r>
      <w:r w:rsidR="004205E1">
        <w:rPr>
          <w:noProof/>
        </w:rPr>
        <w:t>3</w:t>
      </w:r>
      <w:r w:rsidR="003E46EE">
        <w:rPr>
          <w:noProof/>
        </w:rPr>
        <w:fldChar w:fldCharType="end"/>
      </w:r>
      <w:bookmarkEnd w:id="2"/>
      <w:r>
        <w:tab/>
        <w:t>Cost</w:t>
      </w:r>
      <w:r w:rsidRPr="00F96A34">
        <w:t xml:space="preserve"> </w:t>
      </w:r>
      <w:r>
        <w:t>of the proposed MBS items</w:t>
      </w:r>
    </w:p>
    <w:tbl>
      <w:tblPr>
        <w:tblStyle w:val="TableGrid"/>
        <w:tblW w:w="8748" w:type="dxa"/>
        <w:tblLayout w:type="fixed"/>
        <w:tblLook w:val="04A0" w:firstRow="1" w:lastRow="0" w:firstColumn="1" w:lastColumn="0" w:noHBand="0" w:noVBand="1"/>
        <w:tblDescription w:val="Cost of the proposed MBS items"/>
      </w:tblPr>
      <w:tblGrid>
        <w:gridCol w:w="1696"/>
        <w:gridCol w:w="2410"/>
        <w:gridCol w:w="1547"/>
        <w:gridCol w:w="1547"/>
        <w:gridCol w:w="1548"/>
      </w:tblGrid>
      <w:tr w:rsidR="00F96A34" w:rsidRPr="00E64CEE" w14:paraId="22E7BDFC" w14:textId="77777777" w:rsidTr="009023B5">
        <w:trPr>
          <w:trHeight w:val="339"/>
        </w:trPr>
        <w:tc>
          <w:tcPr>
            <w:tcW w:w="1696" w:type="dxa"/>
            <w:noWrap/>
          </w:tcPr>
          <w:p w14:paraId="111740ED" w14:textId="77777777" w:rsidR="00F96A34" w:rsidRPr="00E64CEE" w:rsidRDefault="00F96A34" w:rsidP="00F96A34">
            <w:pPr>
              <w:rPr>
                <w:rFonts w:ascii="Arial Narrow" w:hAnsi="Arial Narrow" w:cs="Calibri"/>
                <w:b/>
                <w:bCs/>
                <w:color w:val="000000"/>
                <w:sz w:val="20"/>
              </w:rPr>
            </w:pPr>
            <w:r>
              <w:rPr>
                <w:rFonts w:ascii="Arial Narrow" w:hAnsi="Arial Narrow" w:cs="Calibri"/>
                <w:b/>
                <w:bCs/>
                <w:color w:val="000000"/>
                <w:sz w:val="20"/>
              </w:rPr>
              <w:t>MBS Item</w:t>
            </w:r>
          </w:p>
        </w:tc>
        <w:tc>
          <w:tcPr>
            <w:tcW w:w="2410" w:type="dxa"/>
          </w:tcPr>
          <w:p w14:paraId="44227BEB" w14:textId="77777777" w:rsidR="00F96A34" w:rsidRPr="00E64CEE" w:rsidRDefault="00F96A34" w:rsidP="00F96A34">
            <w:pPr>
              <w:rPr>
                <w:rFonts w:ascii="Arial Narrow" w:hAnsi="Arial Narrow" w:cs="Calibri"/>
                <w:b/>
                <w:bCs/>
                <w:color w:val="000000"/>
                <w:sz w:val="20"/>
              </w:rPr>
            </w:pPr>
            <w:r>
              <w:rPr>
                <w:rFonts w:ascii="Arial Narrow" w:hAnsi="Arial Narrow" w:cs="Calibri"/>
                <w:b/>
                <w:bCs/>
                <w:color w:val="000000"/>
                <w:sz w:val="20"/>
              </w:rPr>
              <w:t xml:space="preserve">Patient </w:t>
            </w:r>
          </w:p>
        </w:tc>
        <w:tc>
          <w:tcPr>
            <w:tcW w:w="1547" w:type="dxa"/>
            <w:noWrap/>
          </w:tcPr>
          <w:p w14:paraId="79F8CC92" w14:textId="77777777" w:rsidR="00F96A34" w:rsidRPr="00E64CEE" w:rsidRDefault="00F96A34" w:rsidP="00F96A34">
            <w:pPr>
              <w:jc w:val="center"/>
              <w:rPr>
                <w:rFonts w:ascii="Arial Narrow" w:hAnsi="Arial Narrow" w:cs="Calibri"/>
                <w:b/>
                <w:bCs/>
                <w:color w:val="000000"/>
                <w:sz w:val="20"/>
              </w:rPr>
            </w:pPr>
            <w:r w:rsidRPr="00E64CEE">
              <w:rPr>
                <w:rFonts w:ascii="Arial Narrow" w:hAnsi="Arial Narrow" w:cs="Calibri"/>
                <w:b/>
                <w:bCs/>
                <w:color w:val="000000"/>
                <w:sz w:val="20"/>
              </w:rPr>
              <w:t>Fee</w:t>
            </w:r>
          </w:p>
        </w:tc>
        <w:tc>
          <w:tcPr>
            <w:tcW w:w="1547" w:type="dxa"/>
            <w:noWrap/>
          </w:tcPr>
          <w:p w14:paraId="58CCF3F3" w14:textId="200EF718" w:rsidR="00F96A34" w:rsidRPr="00E64CEE" w:rsidRDefault="00F96A34" w:rsidP="00F96A34">
            <w:pPr>
              <w:jc w:val="center"/>
              <w:rPr>
                <w:rFonts w:ascii="Arial Narrow" w:hAnsi="Arial Narrow" w:cs="Calibri"/>
                <w:b/>
                <w:bCs/>
                <w:color w:val="000000"/>
                <w:sz w:val="20"/>
              </w:rPr>
            </w:pPr>
            <w:r w:rsidRPr="00E64CEE">
              <w:rPr>
                <w:rFonts w:ascii="Arial Narrow" w:hAnsi="Arial Narrow" w:cs="Calibri"/>
                <w:b/>
                <w:bCs/>
                <w:color w:val="000000"/>
                <w:sz w:val="20"/>
              </w:rPr>
              <w:t>75</w:t>
            </w:r>
            <w:r w:rsidR="000B5E43">
              <w:rPr>
                <w:rFonts w:ascii="Arial Narrow" w:hAnsi="Arial Narrow" w:cs="Calibri"/>
                <w:b/>
                <w:bCs/>
                <w:color w:val="000000"/>
                <w:sz w:val="20"/>
              </w:rPr>
              <w:t>%</w:t>
            </w:r>
          </w:p>
        </w:tc>
        <w:tc>
          <w:tcPr>
            <w:tcW w:w="1548" w:type="dxa"/>
            <w:noWrap/>
          </w:tcPr>
          <w:p w14:paraId="49B7954E" w14:textId="605F4CEC" w:rsidR="00F96A34" w:rsidRPr="00E64CEE" w:rsidRDefault="00F96A34" w:rsidP="00F96A34">
            <w:pPr>
              <w:jc w:val="center"/>
              <w:rPr>
                <w:rFonts w:ascii="Arial Narrow" w:hAnsi="Arial Narrow" w:cs="Calibri"/>
                <w:b/>
                <w:bCs/>
                <w:color w:val="000000"/>
                <w:sz w:val="20"/>
              </w:rPr>
            </w:pPr>
            <w:r w:rsidRPr="00E64CEE">
              <w:rPr>
                <w:rFonts w:ascii="Arial Narrow" w:hAnsi="Arial Narrow" w:cs="Calibri"/>
                <w:b/>
                <w:bCs/>
                <w:color w:val="000000"/>
                <w:sz w:val="20"/>
              </w:rPr>
              <w:t>85</w:t>
            </w:r>
            <w:r w:rsidR="000B5E43">
              <w:rPr>
                <w:rFonts w:ascii="Arial Narrow" w:hAnsi="Arial Narrow" w:cs="Calibri"/>
                <w:b/>
                <w:bCs/>
                <w:color w:val="000000"/>
                <w:sz w:val="20"/>
              </w:rPr>
              <w:t>%</w:t>
            </w:r>
          </w:p>
        </w:tc>
      </w:tr>
      <w:tr w:rsidR="00F96A34" w:rsidRPr="00E64CEE" w14:paraId="358A002C" w14:textId="77777777" w:rsidTr="009023B5">
        <w:trPr>
          <w:trHeight w:val="339"/>
        </w:trPr>
        <w:tc>
          <w:tcPr>
            <w:tcW w:w="1696" w:type="dxa"/>
            <w:noWrap/>
            <w:hideMark/>
          </w:tcPr>
          <w:p w14:paraId="2F702E8F" w14:textId="77777777" w:rsidR="00F96A34" w:rsidRPr="00E64CEE" w:rsidRDefault="00F96A34" w:rsidP="00F96A34">
            <w:pPr>
              <w:rPr>
                <w:rFonts w:ascii="Arial Narrow" w:hAnsi="Arial Narrow" w:cs="Calibri"/>
                <w:color w:val="000000"/>
                <w:sz w:val="20"/>
              </w:rPr>
            </w:pPr>
            <w:r w:rsidRPr="00E64CEE">
              <w:rPr>
                <w:rFonts w:ascii="Arial Narrow" w:hAnsi="Arial Narrow" w:cs="Calibri"/>
                <w:color w:val="000000"/>
                <w:sz w:val="20"/>
              </w:rPr>
              <w:t>MBS item AAAA</w:t>
            </w:r>
          </w:p>
        </w:tc>
        <w:tc>
          <w:tcPr>
            <w:tcW w:w="2410" w:type="dxa"/>
          </w:tcPr>
          <w:p w14:paraId="7DB6FEC2" w14:textId="1203E3A0" w:rsidR="00F96A34" w:rsidRPr="00E64CEE" w:rsidRDefault="00F96A34" w:rsidP="00F96A34">
            <w:pPr>
              <w:rPr>
                <w:rFonts w:ascii="Arial Narrow" w:hAnsi="Arial Narrow" w:cs="Calibri"/>
                <w:color w:val="000000"/>
                <w:sz w:val="20"/>
              </w:rPr>
            </w:pPr>
            <w:r>
              <w:rPr>
                <w:rFonts w:ascii="Arial Narrow" w:hAnsi="Arial Narrow" w:cs="Calibri"/>
                <w:color w:val="000000"/>
                <w:sz w:val="20"/>
              </w:rPr>
              <w:t>Affected individual</w:t>
            </w:r>
            <w:r w:rsidRPr="00E64CEE">
              <w:rPr>
                <w:rFonts w:ascii="Arial Narrow" w:hAnsi="Arial Narrow" w:cs="Calibri"/>
                <w:color w:val="000000"/>
                <w:sz w:val="20"/>
              </w:rPr>
              <w:t xml:space="preserve"> </w:t>
            </w:r>
          </w:p>
        </w:tc>
        <w:tc>
          <w:tcPr>
            <w:tcW w:w="1547" w:type="dxa"/>
            <w:noWrap/>
            <w:hideMark/>
          </w:tcPr>
          <w:p w14:paraId="70585E5F" w14:textId="4FA17C6B"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$1,200</w:t>
            </w:r>
            <w:r w:rsidR="0088304F">
              <w:rPr>
                <w:rFonts w:ascii="Arial Narrow" w:hAnsi="Arial Narrow" w:cs="Calibri"/>
                <w:color w:val="000000"/>
                <w:sz w:val="20"/>
              </w:rPr>
              <w:t>.00</w:t>
            </w:r>
          </w:p>
        </w:tc>
        <w:tc>
          <w:tcPr>
            <w:tcW w:w="1547" w:type="dxa"/>
            <w:noWrap/>
            <w:hideMark/>
          </w:tcPr>
          <w:p w14:paraId="09295322" w14:textId="22759F2D"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$900</w:t>
            </w:r>
            <w:r w:rsidR="0088304F">
              <w:rPr>
                <w:rFonts w:ascii="Arial Narrow" w:hAnsi="Arial Narrow" w:cs="Calibri"/>
                <w:color w:val="000000"/>
                <w:sz w:val="20"/>
              </w:rPr>
              <w:t>.00</w:t>
            </w:r>
          </w:p>
        </w:tc>
        <w:tc>
          <w:tcPr>
            <w:tcW w:w="1548" w:type="dxa"/>
            <w:noWrap/>
            <w:hideMark/>
          </w:tcPr>
          <w:p w14:paraId="1166F321" w14:textId="3A401CE2"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$1,</w:t>
            </w:r>
            <w:r w:rsidR="00590B65">
              <w:rPr>
                <w:rFonts w:ascii="Arial Narrow" w:hAnsi="Arial Narrow" w:cs="Calibri"/>
                <w:color w:val="000000"/>
                <w:sz w:val="20"/>
              </w:rPr>
              <w:t>115.30</w:t>
            </w:r>
          </w:p>
        </w:tc>
      </w:tr>
      <w:tr w:rsidR="00F96A34" w:rsidRPr="00E64CEE" w14:paraId="16904626" w14:textId="77777777" w:rsidTr="009023B5">
        <w:trPr>
          <w:trHeight w:val="339"/>
        </w:trPr>
        <w:tc>
          <w:tcPr>
            <w:tcW w:w="1696" w:type="dxa"/>
            <w:noWrap/>
            <w:hideMark/>
          </w:tcPr>
          <w:p w14:paraId="0A3560E5" w14:textId="77777777" w:rsidR="00F96A34" w:rsidRPr="00E64CEE" w:rsidRDefault="00F96A34" w:rsidP="00F96A34">
            <w:pPr>
              <w:rPr>
                <w:rFonts w:ascii="Arial Narrow" w:hAnsi="Arial Narrow" w:cs="Calibri"/>
                <w:color w:val="000000"/>
                <w:sz w:val="20"/>
              </w:rPr>
            </w:pPr>
            <w:r w:rsidRPr="00E64CEE">
              <w:rPr>
                <w:rFonts w:ascii="Arial Narrow" w:hAnsi="Arial Narrow" w:cs="Calibri"/>
                <w:color w:val="000000"/>
                <w:sz w:val="20"/>
              </w:rPr>
              <w:t>MBS Item BBBB</w:t>
            </w:r>
          </w:p>
        </w:tc>
        <w:tc>
          <w:tcPr>
            <w:tcW w:w="2410" w:type="dxa"/>
          </w:tcPr>
          <w:p w14:paraId="3CD2DA8D" w14:textId="77777777" w:rsidR="00F96A34" w:rsidRPr="00E64CEE" w:rsidRDefault="00F96A34" w:rsidP="00F96A34">
            <w:pPr>
              <w:rPr>
                <w:rFonts w:ascii="Arial Narrow" w:hAnsi="Arial Narrow" w:cs="Calibri"/>
                <w:color w:val="000000"/>
                <w:sz w:val="20"/>
              </w:rPr>
            </w:pPr>
            <w:r>
              <w:rPr>
                <w:rFonts w:ascii="Arial Narrow" w:hAnsi="Arial Narrow" w:cs="Calibri"/>
                <w:color w:val="000000"/>
                <w:sz w:val="20"/>
              </w:rPr>
              <w:t>C</w:t>
            </w:r>
            <w:r w:rsidRPr="00E64CEE">
              <w:rPr>
                <w:rFonts w:ascii="Arial Narrow" w:hAnsi="Arial Narrow" w:cs="Calibri"/>
                <w:color w:val="000000"/>
                <w:sz w:val="20"/>
              </w:rPr>
              <w:t>ascade</w:t>
            </w:r>
          </w:p>
        </w:tc>
        <w:tc>
          <w:tcPr>
            <w:tcW w:w="1547" w:type="dxa"/>
            <w:noWrap/>
            <w:hideMark/>
          </w:tcPr>
          <w:p w14:paraId="00173742" w14:textId="3E6A713C"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$450</w:t>
            </w:r>
            <w:r w:rsidR="0088304F">
              <w:rPr>
                <w:rFonts w:ascii="Arial Narrow" w:hAnsi="Arial Narrow" w:cs="Calibri"/>
                <w:color w:val="000000"/>
                <w:sz w:val="20"/>
              </w:rPr>
              <w:t>.00</w:t>
            </w:r>
          </w:p>
        </w:tc>
        <w:tc>
          <w:tcPr>
            <w:tcW w:w="1547" w:type="dxa"/>
            <w:noWrap/>
            <w:hideMark/>
          </w:tcPr>
          <w:p w14:paraId="15AF7EE6" w14:textId="1486E071"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$33</w:t>
            </w:r>
            <w:r w:rsidR="0088304F">
              <w:rPr>
                <w:rFonts w:ascii="Arial Narrow" w:hAnsi="Arial Narrow" w:cs="Calibri"/>
                <w:color w:val="000000"/>
                <w:sz w:val="20"/>
              </w:rPr>
              <w:t>7.50</w:t>
            </w:r>
          </w:p>
        </w:tc>
        <w:tc>
          <w:tcPr>
            <w:tcW w:w="1548" w:type="dxa"/>
            <w:noWrap/>
            <w:hideMark/>
          </w:tcPr>
          <w:p w14:paraId="08A3FF92" w14:textId="155D1A22"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$38</w:t>
            </w:r>
            <w:r w:rsidR="0088304F">
              <w:rPr>
                <w:rFonts w:ascii="Arial Narrow" w:hAnsi="Arial Narrow" w:cs="Calibri"/>
                <w:color w:val="000000"/>
                <w:sz w:val="20"/>
              </w:rPr>
              <w:t>2.50</w:t>
            </w:r>
          </w:p>
        </w:tc>
      </w:tr>
      <w:tr w:rsidR="00F96A34" w:rsidRPr="00E64CEE" w14:paraId="53582E64" w14:textId="77777777" w:rsidTr="009023B5">
        <w:trPr>
          <w:trHeight w:val="339"/>
        </w:trPr>
        <w:tc>
          <w:tcPr>
            <w:tcW w:w="1696" w:type="dxa"/>
            <w:noWrap/>
            <w:hideMark/>
          </w:tcPr>
          <w:p w14:paraId="37DFD360" w14:textId="77777777" w:rsidR="00F96A34" w:rsidRPr="00E64CEE" w:rsidRDefault="00F96A34" w:rsidP="00F96A34">
            <w:pPr>
              <w:rPr>
                <w:rFonts w:ascii="Arial Narrow" w:hAnsi="Arial Narrow" w:cs="Calibri"/>
                <w:color w:val="000000"/>
                <w:sz w:val="20"/>
              </w:rPr>
            </w:pPr>
            <w:r w:rsidRPr="00E64CEE">
              <w:rPr>
                <w:rFonts w:ascii="Arial Narrow" w:hAnsi="Arial Narrow" w:cs="Calibri"/>
                <w:color w:val="000000"/>
                <w:sz w:val="20"/>
              </w:rPr>
              <w:t>MBS item CCCC</w:t>
            </w:r>
          </w:p>
        </w:tc>
        <w:tc>
          <w:tcPr>
            <w:tcW w:w="2410" w:type="dxa"/>
          </w:tcPr>
          <w:p w14:paraId="20BCDAAB" w14:textId="77777777" w:rsidR="00F96A34" w:rsidRPr="00E64CEE" w:rsidRDefault="00F96A34" w:rsidP="00F96A34">
            <w:pPr>
              <w:rPr>
                <w:rFonts w:ascii="Arial Narrow" w:hAnsi="Arial Narrow" w:cs="Calibri"/>
                <w:color w:val="000000"/>
                <w:sz w:val="20"/>
              </w:rPr>
            </w:pPr>
            <w:r>
              <w:rPr>
                <w:rFonts w:ascii="Arial Narrow" w:hAnsi="Arial Narrow" w:cs="Calibri"/>
                <w:color w:val="000000"/>
                <w:sz w:val="20"/>
              </w:rPr>
              <w:t>C</w:t>
            </w:r>
            <w:r w:rsidRPr="00E64CEE">
              <w:rPr>
                <w:rFonts w:ascii="Arial Narrow" w:hAnsi="Arial Narrow" w:cs="Calibri"/>
                <w:color w:val="000000"/>
                <w:sz w:val="20"/>
              </w:rPr>
              <w:t xml:space="preserve">ascade prenatal </w:t>
            </w:r>
          </w:p>
        </w:tc>
        <w:tc>
          <w:tcPr>
            <w:tcW w:w="1547" w:type="dxa"/>
            <w:noWrap/>
            <w:hideMark/>
          </w:tcPr>
          <w:p w14:paraId="081D9CC1" w14:textId="2FC03DFA"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$1,000</w:t>
            </w:r>
            <w:r w:rsidR="0088304F">
              <w:rPr>
                <w:rFonts w:ascii="Arial Narrow" w:hAnsi="Arial Narrow" w:cs="Calibri"/>
                <w:color w:val="000000"/>
                <w:sz w:val="20"/>
              </w:rPr>
              <w:t>.00</w:t>
            </w:r>
          </w:p>
        </w:tc>
        <w:tc>
          <w:tcPr>
            <w:tcW w:w="1547" w:type="dxa"/>
            <w:noWrap/>
            <w:hideMark/>
          </w:tcPr>
          <w:p w14:paraId="7313484A" w14:textId="6323701B"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$750</w:t>
            </w:r>
            <w:r w:rsidR="0088304F">
              <w:rPr>
                <w:rFonts w:ascii="Arial Narrow" w:hAnsi="Arial Narrow" w:cs="Calibri"/>
                <w:color w:val="000000"/>
                <w:sz w:val="20"/>
              </w:rPr>
              <w:t>.00</w:t>
            </w:r>
          </w:p>
        </w:tc>
        <w:tc>
          <w:tcPr>
            <w:tcW w:w="1548" w:type="dxa"/>
            <w:noWrap/>
            <w:hideMark/>
          </w:tcPr>
          <w:p w14:paraId="45C93738" w14:textId="6190B138"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w:t>
            </w:r>
            <w:r w:rsidR="00590B65">
              <w:rPr>
                <w:rFonts w:ascii="Arial Narrow" w:hAnsi="Arial Narrow" w:cs="Calibri"/>
                <w:color w:val="000000"/>
                <w:sz w:val="20"/>
              </w:rPr>
              <w:t>915.30</w:t>
            </w:r>
          </w:p>
        </w:tc>
      </w:tr>
      <w:tr w:rsidR="00F96A34" w:rsidRPr="00E64CEE" w14:paraId="5D3871B0" w14:textId="77777777" w:rsidTr="009023B5">
        <w:trPr>
          <w:trHeight w:val="339"/>
        </w:trPr>
        <w:tc>
          <w:tcPr>
            <w:tcW w:w="1696" w:type="dxa"/>
            <w:noWrap/>
            <w:hideMark/>
          </w:tcPr>
          <w:p w14:paraId="78F8A45E" w14:textId="77777777" w:rsidR="00F96A34" w:rsidRPr="00E64CEE" w:rsidRDefault="00F96A34" w:rsidP="00F96A34">
            <w:pPr>
              <w:rPr>
                <w:rFonts w:ascii="Arial Narrow" w:hAnsi="Arial Narrow" w:cs="Calibri"/>
                <w:color w:val="000000"/>
                <w:sz w:val="20"/>
              </w:rPr>
            </w:pPr>
            <w:r w:rsidRPr="00E64CEE">
              <w:rPr>
                <w:rFonts w:ascii="Arial Narrow" w:hAnsi="Arial Narrow" w:cs="Calibri"/>
                <w:color w:val="000000"/>
                <w:sz w:val="20"/>
              </w:rPr>
              <w:t>MBS Item DDDD</w:t>
            </w:r>
          </w:p>
        </w:tc>
        <w:tc>
          <w:tcPr>
            <w:tcW w:w="2410" w:type="dxa"/>
          </w:tcPr>
          <w:p w14:paraId="75C69585" w14:textId="5FC8610C" w:rsidR="00F96A34" w:rsidRPr="00E64CEE" w:rsidRDefault="00F96A34" w:rsidP="00F96A34">
            <w:pPr>
              <w:rPr>
                <w:rFonts w:ascii="Arial Narrow" w:hAnsi="Arial Narrow" w:cs="Calibri"/>
                <w:color w:val="000000"/>
                <w:sz w:val="20"/>
              </w:rPr>
            </w:pPr>
            <w:r>
              <w:rPr>
                <w:rFonts w:ascii="Arial Narrow" w:hAnsi="Arial Narrow" w:cs="Calibri"/>
                <w:color w:val="000000"/>
                <w:sz w:val="20"/>
              </w:rPr>
              <w:t>Affected individual</w:t>
            </w:r>
            <w:r w:rsidRPr="00E64CEE">
              <w:rPr>
                <w:rFonts w:ascii="Arial Narrow" w:hAnsi="Arial Narrow" w:cs="Calibri"/>
                <w:color w:val="000000"/>
                <w:sz w:val="20"/>
              </w:rPr>
              <w:t xml:space="preserve"> prenatal </w:t>
            </w:r>
          </w:p>
        </w:tc>
        <w:tc>
          <w:tcPr>
            <w:tcW w:w="1547" w:type="dxa"/>
            <w:noWrap/>
            <w:hideMark/>
          </w:tcPr>
          <w:p w14:paraId="5E62F465" w14:textId="06EBA363"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$1,600</w:t>
            </w:r>
            <w:r w:rsidR="0088304F">
              <w:rPr>
                <w:rFonts w:ascii="Arial Narrow" w:hAnsi="Arial Narrow" w:cs="Calibri"/>
                <w:color w:val="000000"/>
                <w:sz w:val="20"/>
              </w:rPr>
              <w:t>.00</w:t>
            </w:r>
          </w:p>
        </w:tc>
        <w:tc>
          <w:tcPr>
            <w:tcW w:w="1547" w:type="dxa"/>
            <w:noWrap/>
            <w:hideMark/>
          </w:tcPr>
          <w:p w14:paraId="1546A1E2" w14:textId="18E7D1FA"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$1,200</w:t>
            </w:r>
            <w:r w:rsidR="0088304F">
              <w:rPr>
                <w:rFonts w:ascii="Arial Narrow" w:hAnsi="Arial Narrow" w:cs="Calibri"/>
                <w:color w:val="000000"/>
                <w:sz w:val="20"/>
              </w:rPr>
              <w:t>.00</w:t>
            </w:r>
          </w:p>
        </w:tc>
        <w:tc>
          <w:tcPr>
            <w:tcW w:w="1548" w:type="dxa"/>
            <w:noWrap/>
            <w:hideMark/>
          </w:tcPr>
          <w:p w14:paraId="51BD10C0" w14:textId="106F2277"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$1,</w:t>
            </w:r>
            <w:r w:rsidR="00590B65">
              <w:rPr>
                <w:rFonts w:ascii="Arial Narrow" w:hAnsi="Arial Narrow" w:cs="Calibri"/>
                <w:color w:val="000000"/>
                <w:sz w:val="20"/>
              </w:rPr>
              <w:t>515.30</w:t>
            </w:r>
          </w:p>
        </w:tc>
      </w:tr>
      <w:tr w:rsidR="00F96A34" w:rsidRPr="00E64CEE" w14:paraId="64B8A251" w14:textId="77777777" w:rsidTr="009023B5">
        <w:trPr>
          <w:trHeight w:val="339"/>
        </w:trPr>
        <w:tc>
          <w:tcPr>
            <w:tcW w:w="1696" w:type="dxa"/>
            <w:noWrap/>
            <w:hideMark/>
          </w:tcPr>
          <w:p w14:paraId="596E41E8" w14:textId="77777777" w:rsidR="00F96A34" w:rsidRPr="00E64CEE" w:rsidRDefault="00F96A34" w:rsidP="00F96A34">
            <w:pPr>
              <w:rPr>
                <w:rFonts w:ascii="Arial Narrow" w:hAnsi="Arial Narrow" w:cs="Calibri"/>
                <w:color w:val="000000"/>
                <w:sz w:val="20"/>
              </w:rPr>
            </w:pPr>
            <w:r w:rsidRPr="00E64CEE">
              <w:rPr>
                <w:rFonts w:ascii="Arial Narrow" w:hAnsi="Arial Narrow" w:cs="Calibri"/>
                <w:color w:val="000000"/>
                <w:sz w:val="20"/>
              </w:rPr>
              <w:t>MBS Item EEEE</w:t>
            </w:r>
          </w:p>
        </w:tc>
        <w:tc>
          <w:tcPr>
            <w:tcW w:w="2410" w:type="dxa"/>
          </w:tcPr>
          <w:p w14:paraId="75E33A5E" w14:textId="77777777" w:rsidR="00F96A34" w:rsidRPr="00E64CEE" w:rsidRDefault="00F96A34" w:rsidP="00F96A34">
            <w:pPr>
              <w:rPr>
                <w:rFonts w:ascii="Arial Narrow" w:hAnsi="Arial Narrow" w:cs="Calibri"/>
                <w:color w:val="000000"/>
                <w:sz w:val="20"/>
              </w:rPr>
            </w:pPr>
            <w:r>
              <w:rPr>
                <w:rFonts w:ascii="Arial Narrow" w:hAnsi="Arial Narrow" w:cs="Calibri"/>
                <w:color w:val="000000"/>
                <w:sz w:val="20"/>
              </w:rPr>
              <w:t>R</w:t>
            </w:r>
            <w:r w:rsidRPr="00E64CEE">
              <w:rPr>
                <w:rFonts w:ascii="Arial Narrow" w:hAnsi="Arial Narrow" w:cs="Calibri"/>
                <w:color w:val="000000"/>
                <w:sz w:val="20"/>
              </w:rPr>
              <w:t>eproductive partner</w:t>
            </w:r>
          </w:p>
        </w:tc>
        <w:tc>
          <w:tcPr>
            <w:tcW w:w="1547" w:type="dxa"/>
            <w:noWrap/>
            <w:hideMark/>
          </w:tcPr>
          <w:p w14:paraId="2943273B" w14:textId="74BC330E"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w:t>
            </w:r>
            <w:r>
              <w:rPr>
                <w:rFonts w:ascii="Arial Narrow" w:hAnsi="Arial Narrow" w:cs="Calibri"/>
                <w:color w:val="000000"/>
                <w:sz w:val="20"/>
              </w:rPr>
              <w:t>1,200</w:t>
            </w:r>
            <w:r w:rsidR="0088304F">
              <w:rPr>
                <w:rFonts w:ascii="Arial Narrow" w:hAnsi="Arial Narrow" w:cs="Calibri"/>
                <w:color w:val="000000"/>
                <w:sz w:val="20"/>
              </w:rPr>
              <w:t>.00</w:t>
            </w:r>
          </w:p>
        </w:tc>
        <w:tc>
          <w:tcPr>
            <w:tcW w:w="1547" w:type="dxa"/>
            <w:noWrap/>
            <w:hideMark/>
          </w:tcPr>
          <w:p w14:paraId="1044B84F" w14:textId="2FDC3184"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w:t>
            </w:r>
            <w:r>
              <w:rPr>
                <w:rFonts w:ascii="Arial Narrow" w:hAnsi="Arial Narrow" w:cs="Calibri"/>
                <w:color w:val="000000"/>
                <w:sz w:val="20"/>
              </w:rPr>
              <w:t>900</w:t>
            </w:r>
            <w:r w:rsidR="0088304F">
              <w:rPr>
                <w:rFonts w:ascii="Arial Narrow" w:hAnsi="Arial Narrow" w:cs="Calibri"/>
                <w:color w:val="000000"/>
                <w:sz w:val="20"/>
              </w:rPr>
              <w:t>.00</w:t>
            </w:r>
          </w:p>
        </w:tc>
        <w:tc>
          <w:tcPr>
            <w:tcW w:w="1548" w:type="dxa"/>
            <w:noWrap/>
            <w:hideMark/>
          </w:tcPr>
          <w:p w14:paraId="375F792E" w14:textId="22F57F6C"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w:t>
            </w:r>
            <w:r>
              <w:rPr>
                <w:rFonts w:ascii="Arial Narrow" w:hAnsi="Arial Narrow" w:cs="Calibri"/>
                <w:color w:val="000000"/>
                <w:sz w:val="20"/>
              </w:rPr>
              <w:t>1</w:t>
            </w:r>
            <w:r w:rsidR="00590B65">
              <w:rPr>
                <w:rFonts w:ascii="Arial Narrow" w:hAnsi="Arial Narrow" w:cs="Calibri"/>
                <w:color w:val="000000"/>
                <w:sz w:val="20"/>
              </w:rPr>
              <w:t>115.30</w:t>
            </w:r>
          </w:p>
        </w:tc>
      </w:tr>
      <w:tr w:rsidR="00F96A34" w:rsidRPr="00E64CEE" w14:paraId="7FE85145" w14:textId="77777777" w:rsidTr="009023B5">
        <w:trPr>
          <w:trHeight w:val="339"/>
        </w:trPr>
        <w:tc>
          <w:tcPr>
            <w:tcW w:w="1696" w:type="dxa"/>
            <w:noWrap/>
            <w:hideMark/>
          </w:tcPr>
          <w:p w14:paraId="1A37D7A4" w14:textId="77777777" w:rsidR="00F96A34" w:rsidRPr="00E64CEE" w:rsidRDefault="00F96A34" w:rsidP="00F96A34">
            <w:pPr>
              <w:rPr>
                <w:rFonts w:ascii="Arial Narrow" w:hAnsi="Arial Narrow" w:cs="Calibri"/>
                <w:color w:val="000000"/>
                <w:sz w:val="20"/>
              </w:rPr>
            </w:pPr>
            <w:r w:rsidRPr="00E64CEE">
              <w:rPr>
                <w:rFonts w:ascii="Arial Narrow" w:hAnsi="Arial Narrow" w:cs="Calibri"/>
                <w:color w:val="000000"/>
                <w:sz w:val="20"/>
              </w:rPr>
              <w:t>MBS item FFFF</w:t>
            </w:r>
          </w:p>
        </w:tc>
        <w:tc>
          <w:tcPr>
            <w:tcW w:w="2410" w:type="dxa"/>
          </w:tcPr>
          <w:p w14:paraId="6B587CBA" w14:textId="77777777" w:rsidR="00F96A34" w:rsidRPr="00E64CEE" w:rsidRDefault="00F96A34" w:rsidP="00F96A34">
            <w:pPr>
              <w:rPr>
                <w:rFonts w:ascii="Arial Narrow" w:hAnsi="Arial Narrow" w:cs="Calibri"/>
                <w:color w:val="000000"/>
                <w:sz w:val="20"/>
              </w:rPr>
            </w:pPr>
            <w:r>
              <w:rPr>
                <w:rFonts w:ascii="Arial Narrow" w:hAnsi="Arial Narrow" w:cs="Calibri"/>
                <w:color w:val="000000"/>
                <w:sz w:val="20"/>
              </w:rPr>
              <w:t>R</w:t>
            </w:r>
            <w:r w:rsidRPr="00E64CEE">
              <w:rPr>
                <w:rFonts w:ascii="Arial Narrow" w:hAnsi="Arial Narrow" w:cs="Calibri"/>
                <w:color w:val="000000"/>
                <w:sz w:val="20"/>
              </w:rPr>
              <w:t>e-analysis</w:t>
            </w:r>
          </w:p>
        </w:tc>
        <w:tc>
          <w:tcPr>
            <w:tcW w:w="1547" w:type="dxa"/>
            <w:noWrap/>
            <w:hideMark/>
          </w:tcPr>
          <w:p w14:paraId="3CB5D6B8" w14:textId="02FC873B"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$500</w:t>
            </w:r>
            <w:r w:rsidR="0088304F">
              <w:rPr>
                <w:rFonts w:ascii="Arial Narrow" w:hAnsi="Arial Narrow" w:cs="Calibri"/>
                <w:color w:val="000000"/>
                <w:sz w:val="20"/>
              </w:rPr>
              <w:t>.00</w:t>
            </w:r>
          </w:p>
        </w:tc>
        <w:tc>
          <w:tcPr>
            <w:tcW w:w="1547" w:type="dxa"/>
            <w:noWrap/>
            <w:hideMark/>
          </w:tcPr>
          <w:p w14:paraId="26FB2118" w14:textId="55F43BED"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$375</w:t>
            </w:r>
            <w:r w:rsidR="0088304F">
              <w:rPr>
                <w:rFonts w:ascii="Arial Narrow" w:hAnsi="Arial Narrow" w:cs="Calibri"/>
                <w:color w:val="000000"/>
                <w:sz w:val="20"/>
              </w:rPr>
              <w:t>.00</w:t>
            </w:r>
          </w:p>
        </w:tc>
        <w:tc>
          <w:tcPr>
            <w:tcW w:w="1548" w:type="dxa"/>
            <w:noWrap/>
            <w:hideMark/>
          </w:tcPr>
          <w:p w14:paraId="0B315DCE" w14:textId="0A2E35A0" w:rsidR="00F96A34" w:rsidRPr="00E64CEE" w:rsidRDefault="00F96A34" w:rsidP="00F96A34">
            <w:pPr>
              <w:jc w:val="center"/>
              <w:rPr>
                <w:rFonts w:ascii="Arial Narrow" w:hAnsi="Arial Narrow" w:cs="Calibri"/>
                <w:color w:val="000000"/>
                <w:sz w:val="20"/>
              </w:rPr>
            </w:pPr>
            <w:r w:rsidRPr="00E64CEE">
              <w:rPr>
                <w:rFonts w:ascii="Arial Narrow" w:hAnsi="Arial Narrow" w:cs="Calibri"/>
                <w:color w:val="000000"/>
                <w:sz w:val="20"/>
              </w:rPr>
              <w:t>$425</w:t>
            </w:r>
            <w:r w:rsidR="0088304F">
              <w:rPr>
                <w:rFonts w:ascii="Arial Narrow" w:hAnsi="Arial Narrow" w:cs="Calibri"/>
                <w:color w:val="000000"/>
                <w:sz w:val="20"/>
              </w:rPr>
              <w:t>.00</w:t>
            </w:r>
          </w:p>
        </w:tc>
      </w:tr>
    </w:tbl>
    <w:p w14:paraId="204523FC" w14:textId="118D7C51" w:rsidR="007136F6" w:rsidRDefault="007070D7" w:rsidP="00042B86">
      <w:pPr>
        <w:pStyle w:val="Tabletext"/>
      </w:pPr>
      <w:r>
        <w:t xml:space="preserve">Source: </w:t>
      </w:r>
      <w:r w:rsidR="006A1BBD">
        <w:t>Second DCAR</w:t>
      </w:r>
      <w:r>
        <w:t xml:space="preserve"> Table 1, based on</w:t>
      </w:r>
      <w:r w:rsidR="00F96A34">
        <w:t xml:space="preserve"> </w:t>
      </w:r>
      <w:r w:rsidR="006A1BBD">
        <w:t xml:space="preserve">First </w:t>
      </w:r>
      <w:r w:rsidR="00F96A34">
        <w:t xml:space="preserve">DCAR Table 48, with Item EEEE fee </w:t>
      </w:r>
      <w:r w:rsidR="00183BB3">
        <w:t>updated</w:t>
      </w:r>
      <w:r w:rsidR="00730FD6">
        <w:t xml:space="preserve"> by ESC</w:t>
      </w:r>
      <w:r w:rsidR="00F96A34">
        <w:t xml:space="preserve"> </w:t>
      </w:r>
      <w:r w:rsidR="00730FD6">
        <w:t xml:space="preserve">(June 2021) </w:t>
      </w:r>
      <w:r w:rsidR="00F96A34">
        <w:t xml:space="preserve">to reflect MSAC’s advice </w:t>
      </w:r>
      <w:r w:rsidR="00183BB3">
        <w:t xml:space="preserve">in Mar/Apr 2021 </w:t>
      </w:r>
      <w:r w:rsidR="00F96A34">
        <w:t>on the</w:t>
      </w:r>
      <w:r w:rsidR="00183BB3">
        <w:t xml:space="preserve"> appropriate</w:t>
      </w:r>
      <w:r w:rsidR="00F96A34">
        <w:t xml:space="preserve"> fee for single gene testing for reproductive partners in applications 1599 and 1600.</w:t>
      </w:r>
      <w:r w:rsidR="000B5E43">
        <w:t xml:space="preserve"> The 85% </w:t>
      </w:r>
      <w:r w:rsidR="0076532A">
        <w:t xml:space="preserve">benefits </w:t>
      </w:r>
      <w:r w:rsidR="000B5E43">
        <w:t>reflect the greatest permissible gap of $84.70, as of 1 November 2020.</w:t>
      </w:r>
    </w:p>
    <w:p w14:paraId="7BE6F0E9" w14:textId="77777777" w:rsidR="00832535" w:rsidRDefault="00832535" w:rsidP="00042B86">
      <w:pPr>
        <w:pStyle w:val="Tabletext"/>
      </w:pPr>
    </w:p>
    <w:p w14:paraId="0687BD52" w14:textId="08106F2D" w:rsidR="0012129B" w:rsidRDefault="0012129B" w:rsidP="0012129B">
      <w:pPr>
        <w:pStyle w:val="Caption"/>
        <w:tabs>
          <w:tab w:val="left" w:pos="1134"/>
        </w:tabs>
        <w:ind w:left="1134" w:hanging="1134"/>
      </w:pPr>
      <w:bookmarkStart w:id="3" w:name="_Ref58975666"/>
      <w:bookmarkStart w:id="4" w:name="_Toc59432916"/>
      <w:r w:rsidRPr="009438F6">
        <w:t xml:space="preserve">Table </w:t>
      </w:r>
      <w:r w:rsidR="003E46EE">
        <w:fldChar w:fldCharType="begin"/>
      </w:r>
      <w:r w:rsidR="003E46EE">
        <w:instrText xml:space="preserve"> SEQ Table \* ARABIC </w:instrText>
      </w:r>
      <w:r w:rsidR="003E46EE">
        <w:fldChar w:fldCharType="separate"/>
      </w:r>
      <w:r w:rsidR="004205E1">
        <w:rPr>
          <w:noProof/>
        </w:rPr>
        <w:t>4</w:t>
      </w:r>
      <w:r w:rsidR="003E46EE">
        <w:rPr>
          <w:noProof/>
        </w:rPr>
        <w:fldChar w:fldCharType="end"/>
      </w:r>
      <w:bookmarkEnd w:id="3"/>
      <w:r w:rsidRPr="009438F6">
        <w:tab/>
        <w:t>MBS item</w:t>
      </w:r>
      <w:r w:rsidRPr="00183E4D">
        <w:t xml:space="preserve"> descriptor</w:t>
      </w:r>
      <w:r>
        <w:t>s</w:t>
      </w:r>
      <w:bookmarkEnd w:id="4"/>
      <w:r w:rsidR="00080993">
        <w:t xml:space="preserve"> proposed for MSAC’s consideration</w:t>
      </w:r>
    </w:p>
    <w:tbl>
      <w:tblPr>
        <w:tblStyle w:val="TableGrid"/>
        <w:tblW w:w="0" w:type="auto"/>
        <w:tblLook w:val="04A0" w:firstRow="1" w:lastRow="0" w:firstColumn="1" w:lastColumn="0" w:noHBand="0" w:noVBand="1"/>
        <w:tblCaption w:val="Table 11 Proposed MBS item descriptor"/>
        <w:tblDescription w:val="This table provides the proposed description of the requested Medicare Benefits Schedule item."/>
      </w:tblPr>
      <w:tblGrid>
        <w:gridCol w:w="9016"/>
      </w:tblGrid>
      <w:tr w:rsidR="0012129B" w:rsidRPr="00183E4D" w14:paraId="1FA2C8D6" w14:textId="77777777" w:rsidTr="003E56F5">
        <w:tc>
          <w:tcPr>
            <w:tcW w:w="9016" w:type="dxa"/>
          </w:tcPr>
          <w:p w14:paraId="2076940F" w14:textId="77777777" w:rsidR="0012129B" w:rsidRDefault="0012129B" w:rsidP="00295EB6">
            <w:pPr>
              <w:pStyle w:val="Tabletext"/>
              <w:keepNext/>
              <w:jc w:val="right"/>
            </w:pPr>
            <w:r w:rsidRPr="00183E4D">
              <w:t xml:space="preserve">Category </w:t>
            </w:r>
            <w:r>
              <w:t>6</w:t>
            </w:r>
            <w:r w:rsidRPr="00183E4D">
              <w:t xml:space="preserve">– </w:t>
            </w:r>
            <w:r>
              <w:t>Pathology Services</w:t>
            </w:r>
          </w:p>
          <w:p w14:paraId="001ACFCE" w14:textId="77777777" w:rsidR="0012129B" w:rsidRPr="00183E4D" w:rsidRDefault="0012129B" w:rsidP="00295EB6">
            <w:pPr>
              <w:pStyle w:val="Tabletext"/>
              <w:keepNext/>
              <w:jc w:val="right"/>
            </w:pPr>
            <w:r>
              <w:t>Group P7 Genetics</w:t>
            </w:r>
          </w:p>
        </w:tc>
      </w:tr>
      <w:tr w:rsidR="0012129B" w:rsidRPr="00183E4D" w14:paraId="39C0FA64" w14:textId="77777777" w:rsidTr="003E56F5">
        <w:tc>
          <w:tcPr>
            <w:tcW w:w="9016" w:type="dxa"/>
          </w:tcPr>
          <w:p w14:paraId="42FF79A8" w14:textId="77777777" w:rsidR="0012129B" w:rsidRPr="007966B6" w:rsidRDefault="0012129B" w:rsidP="00295EB6">
            <w:pPr>
              <w:pStyle w:val="Tabletext"/>
              <w:keepNext/>
            </w:pPr>
            <w:r w:rsidRPr="007966B6">
              <w:t>Item AAAA</w:t>
            </w:r>
          </w:p>
          <w:p w14:paraId="1C9C36DD" w14:textId="0894EFAE" w:rsidR="0012129B" w:rsidRPr="007966B6" w:rsidRDefault="0012129B" w:rsidP="00042B86">
            <w:pPr>
              <w:pStyle w:val="Tabletext"/>
              <w:keepNext/>
              <w:spacing w:before="0" w:after="240"/>
            </w:pPr>
            <w:r w:rsidRPr="007966B6">
              <w:t xml:space="preserve">Characterisation of gene variant(s) by a gene panel requested by a specialist or consultant physician, </w:t>
            </w:r>
            <w:r w:rsidRPr="007966B6">
              <w:rPr>
                <w:iCs/>
                <w:color w:val="4F81BD" w:themeColor="accent1"/>
              </w:rPr>
              <w:t xml:space="preserve">after appropriate genetic </w:t>
            </w:r>
            <w:proofErr w:type="gramStart"/>
            <w:r w:rsidRPr="007966B6">
              <w:rPr>
                <w:iCs/>
                <w:color w:val="4F81BD" w:themeColor="accent1"/>
              </w:rPr>
              <w:t>counselling</w:t>
            </w:r>
            <w:r w:rsidRPr="007966B6">
              <w:t xml:space="preserve"> </w:t>
            </w:r>
            <w:r w:rsidRPr="007966B6">
              <w:rPr>
                <w:iCs/>
              </w:rPr>
              <w:t xml:space="preserve"> </w:t>
            </w:r>
            <w:r w:rsidRPr="007966B6">
              <w:t>in</w:t>
            </w:r>
            <w:proofErr w:type="gramEnd"/>
            <w:r w:rsidRPr="007966B6">
              <w:t xml:space="preserve"> a patient presenting with clinical signs and symptoms suggestive of a genetic neuromuscular disorder, other than those associated with variants that are not detected by massively parallel sequencing, and after exclusion of non-genetic causes.</w:t>
            </w:r>
          </w:p>
          <w:p w14:paraId="6055CF99" w14:textId="7E9EB997" w:rsidR="0012129B" w:rsidRPr="007966B6" w:rsidRDefault="0012129B" w:rsidP="00042B86">
            <w:pPr>
              <w:pStyle w:val="Tabletext"/>
              <w:keepNext/>
              <w:spacing w:before="0" w:after="240"/>
            </w:pPr>
            <w:r w:rsidRPr="007966B6">
              <w:t>Applicable once per lifetime</w:t>
            </w:r>
          </w:p>
          <w:p w14:paraId="570A1B2A" w14:textId="77777777" w:rsidR="0012129B" w:rsidRPr="007966B6" w:rsidRDefault="0012129B" w:rsidP="00295EB6">
            <w:pPr>
              <w:pStyle w:val="Tabletext"/>
              <w:keepNext/>
              <w:rPr>
                <w:color w:val="FF0000"/>
              </w:rPr>
            </w:pPr>
            <w:r w:rsidRPr="007966B6">
              <w:t>Fee: $</w:t>
            </w:r>
            <w:proofErr w:type="gramStart"/>
            <w:r w:rsidRPr="007966B6">
              <w:t>1,200.00  Benefit</w:t>
            </w:r>
            <w:proofErr w:type="gramEnd"/>
            <w:r w:rsidRPr="007966B6">
              <w:t xml:space="preserve">: 75% = $900.00; 85% = </w:t>
            </w:r>
            <w:r w:rsidRPr="00464B2A">
              <w:rPr>
                <w:color w:val="F79646" w:themeColor="accent6"/>
              </w:rPr>
              <w:t>$1,115.30</w:t>
            </w:r>
          </w:p>
        </w:tc>
      </w:tr>
      <w:tr w:rsidR="0012129B" w:rsidRPr="00183E4D" w14:paraId="0BCC404B" w14:textId="77777777" w:rsidTr="003E56F5">
        <w:tc>
          <w:tcPr>
            <w:tcW w:w="9016" w:type="dxa"/>
          </w:tcPr>
          <w:p w14:paraId="3B52A9E4" w14:textId="77777777" w:rsidR="0012129B" w:rsidRPr="007966B6" w:rsidRDefault="0012129B" w:rsidP="00295EB6">
            <w:pPr>
              <w:pStyle w:val="Tabletext"/>
              <w:keepNext/>
            </w:pPr>
            <w:r w:rsidRPr="007966B6">
              <w:t>Item BBBB</w:t>
            </w:r>
          </w:p>
          <w:p w14:paraId="274AD91F" w14:textId="02E9465F" w:rsidR="0012129B" w:rsidRPr="007966B6" w:rsidRDefault="0012129B" w:rsidP="00042B86">
            <w:pPr>
              <w:pStyle w:val="Tabletext"/>
              <w:keepNext/>
              <w:spacing w:before="0" w:after="240"/>
            </w:pPr>
            <w:r w:rsidRPr="007966B6">
              <w:t xml:space="preserve">Detection of a single identified gene variant requested by a specialist or consultant physician, </w:t>
            </w:r>
            <w:r w:rsidRPr="007966B6">
              <w:rPr>
                <w:iCs/>
                <w:color w:val="4F81BD" w:themeColor="accent1"/>
              </w:rPr>
              <w:t>after appropriate genetic counselling,</w:t>
            </w:r>
            <w:r w:rsidRPr="007966B6">
              <w:t xml:space="preserve"> in a biological relative of a patient with a documented and actionable pathogenic germline gene variant for a neuromuscular disorder identified by item AAAA or DDDD.</w:t>
            </w:r>
          </w:p>
          <w:p w14:paraId="7D78511A" w14:textId="746F5688" w:rsidR="0012129B" w:rsidRPr="007966B6" w:rsidRDefault="0012129B" w:rsidP="00295EB6">
            <w:pPr>
              <w:pStyle w:val="Tabletext"/>
              <w:keepNext/>
            </w:pPr>
            <w:r w:rsidRPr="007966B6">
              <w:t>Fee: $450.</w:t>
            </w:r>
            <w:proofErr w:type="gramStart"/>
            <w:r w:rsidRPr="007966B6">
              <w:t>00  Benefit</w:t>
            </w:r>
            <w:proofErr w:type="gramEnd"/>
            <w:r w:rsidRPr="007966B6">
              <w:t xml:space="preserve">: 75% = $337.50; 85% </w:t>
            </w:r>
            <w:r w:rsidRPr="0088304F">
              <w:t>= $382.50</w:t>
            </w:r>
          </w:p>
        </w:tc>
      </w:tr>
      <w:tr w:rsidR="0012129B" w:rsidRPr="00183E4D" w14:paraId="6C6E0758" w14:textId="77777777" w:rsidTr="003E56F5">
        <w:tc>
          <w:tcPr>
            <w:tcW w:w="9016" w:type="dxa"/>
          </w:tcPr>
          <w:p w14:paraId="35CB3BD0" w14:textId="77777777" w:rsidR="0012129B" w:rsidRPr="007966B6" w:rsidRDefault="0012129B" w:rsidP="00295EB6">
            <w:pPr>
              <w:pStyle w:val="Tabletext"/>
              <w:keepNext/>
            </w:pPr>
            <w:r w:rsidRPr="007966B6">
              <w:t>Item CCCC</w:t>
            </w:r>
          </w:p>
          <w:p w14:paraId="4D129AF2" w14:textId="0EA3A542" w:rsidR="0012129B" w:rsidRPr="007966B6" w:rsidRDefault="0012129B" w:rsidP="00042B86">
            <w:pPr>
              <w:pStyle w:val="Tabletext"/>
              <w:keepNext/>
              <w:spacing w:before="0" w:after="240"/>
            </w:pPr>
            <w:r w:rsidRPr="007966B6">
              <w:t xml:space="preserve">Prenatal detection of an actionable pathogenic familial gene variant(s) requested by a specialist or consultant physician, </w:t>
            </w:r>
            <w:r w:rsidRPr="007966B6">
              <w:rPr>
                <w:iCs/>
                <w:color w:val="4F81BD" w:themeColor="accent1"/>
              </w:rPr>
              <w:t>after appropriate genetic counselling,</w:t>
            </w:r>
            <w:r w:rsidRPr="007966B6">
              <w:t xml:space="preserve"> for a neuromuscular disorder previously identified in an </w:t>
            </w:r>
            <w:r w:rsidRPr="007966B6">
              <w:rPr>
                <w:b/>
                <w:bCs/>
              </w:rPr>
              <w:t>index</w:t>
            </w:r>
            <w:r w:rsidRPr="007966B6">
              <w:t xml:space="preserve"> patient in the family by item AAAA, including maternal cell contamination assessment.</w:t>
            </w:r>
          </w:p>
          <w:p w14:paraId="5DCF1539" w14:textId="52679D4A" w:rsidR="0012129B" w:rsidRPr="007966B6" w:rsidRDefault="0012129B" w:rsidP="00295EB6">
            <w:pPr>
              <w:pStyle w:val="Tabletext"/>
              <w:keepNext/>
            </w:pPr>
            <w:r w:rsidRPr="007966B6">
              <w:t>Fee: $</w:t>
            </w:r>
            <w:proofErr w:type="gramStart"/>
            <w:r w:rsidRPr="007966B6">
              <w:t>1,000.00  Benefit</w:t>
            </w:r>
            <w:proofErr w:type="gramEnd"/>
            <w:r w:rsidRPr="007966B6">
              <w:t>: 75% = $750.00; 85% =</w:t>
            </w:r>
            <w:r w:rsidR="00B27346">
              <w:t xml:space="preserve"> </w:t>
            </w:r>
            <w:r w:rsidR="000B5E43" w:rsidRPr="00464B2A">
              <w:rPr>
                <w:color w:val="F79646" w:themeColor="accent6"/>
              </w:rPr>
              <w:t>$</w:t>
            </w:r>
            <w:r w:rsidR="00425A36" w:rsidRPr="00464B2A">
              <w:rPr>
                <w:color w:val="F79646" w:themeColor="accent6"/>
              </w:rPr>
              <w:t>915.30</w:t>
            </w:r>
          </w:p>
        </w:tc>
      </w:tr>
      <w:tr w:rsidR="0012129B" w:rsidRPr="00183E4D" w14:paraId="2CA0CDC7" w14:textId="77777777" w:rsidTr="003E56F5">
        <w:tc>
          <w:tcPr>
            <w:tcW w:w="9016" w:type="dxa"/>
          </w:tcPr>
          <w:p w14:paraId="541C9A6D" w14:textId="03EE2CDB" w:rsidR="0012129B" w:rsidRPr="007966B6" w:rsidRDefault="0012129B" w:rsidP="00295EB6">
            <w:pPr>
              <w:pStyle w:val="Tabletext"/>
              <w:keepNext/>
            </w:pPr>
            <w:r w:rsidRPr="007966B6">
              <w:t>Item DDDD</w:t>
            </w:r>
          </w:p>
          <w:p w14:paraId="5A39FBF1" w14:textId="11450AA8" w:rsidR="0012129B" w:rsidRPr="007966B6" w:rsidRDefault="0012129B" w:rsidP="00042B86">
            <w:pPr>
              <w:pStyle w:val="Tabletext"/>
              <w:keepNext/>
              <w:spacing w:before="0" w:after="240"/>
            </w:pPr>
            <w:r w:rsidRPr="007966B6">
              <w:t xml:space="preserve">Prenatal detection of unknown gene variant(s) requested by a specialist or consultant physician, </w:t>
            </w:r>
            <w:r w:rsidRPr="007966B6">
              <w:rPr>
                <w:iCs/>
                <w:color w:val="4F81BD" w:themeColor="accent1"/>
              </w:rPr>
              <w:t>after appropriate genetic counselling,</w:t>
            </w:r>
            <w:r w:rsidRPr="007966B6">
              <w:t xml:space="preserve"> for a suspected genetic neuromuscular disorder using a gene panel, after exclusion of non-genetic causes, and including maternal cell contamination assessment.</w:t>
            </w:r>
          </w:p>
          <w:p w14:paraId="7D832EA1" w14:textId="71A6C857" w:rsidR="001F1212" w:rsidRPr="007966B6" w:rsidRDefault="0012129B" w:rsidP="00295EB6">
            <w:pPr>
              <w:pStyle w:val="Tabletext"/>
              <w:keepNext/>
            </w:pPr>
            <w:r w:rsidRPr="007966B6">
              <w:t>Fee: $</w:t>
            </w:r>
            <w:proofErr w:type="gramStart"/>
            <w:r w:rsidRPr="007966B6">
              <w:t>1,600.00  Benefit</w:t>
            </w:r>
            <w:proofErr w:type="gramEnd"/>
            <w:r w:rsidRPr="007966B6">
              <w:t>: 75% = $1,200.00; 85% =</w:t>
            </w:r>
            <w:r w:rsidR="00B27346">
              <w:t xml:space="preserve"> </w:t>
            </w:r>
            <w:r w:rsidRPr="00464B2A">
              <w:rPr>
                <w:color w:val="F79646" w:themeColor="accent6"/>
              </w:rPr>
              <w:t>$1,</w:t>
            </w:r>
            <w:r w:rsidR="00425A36" w:rsidRPr="00464B2A">
              <w:rPr>
                <w:color w:val="F79646" w:themeColor="accent6"/>
              </w:rPr>
              <w:t>515.30</w:t>
            </w:r>
          </w:p>
        </w:tc>
      </w:tr>
      <w:tr w:rsidR="0012129B" w:rsidRPr="00183E4D" w14:paraId="01B478E0" w14:textId="77777777" w:rsidTr="003E56F5">
        <w:tc>
          <w:tcPr>
            <w:tcW w:w="9016" w:type="dxa"/>
          </w:tcPr>
          <w:p w14:paraId="3003055D" w14:textId="2687A255" w:rsidR="0012129B" w:rsidRPr="007966B6" w:rsidRDefault="0012129B" w:rsidP="00295EB6">
            <w:pPr>
              <w:pStyle w:val="Tabletext"/>
              <w:keepNext/>
            </w:pPr>
            <w:r w:rsidRPr="007966B6">
              <w:t>Item EEEE</w:t>
            </w:r>
          </w:p>
          <w:p w14:paraId="38EC2209" w14:textId="6C44B709" w:rsidR="001C32A6" w:rsidRPr="007966B6" w:rsidRDefault="001C32A6" w:rsidP="00042B86">
            <w:pPr>
              <w:pStyle w:val="Tabletext"/>
              <w:keepNext/>
              <w:spacing w:before="0" w:after="240"/>
            </w:pPr>
            <w:r w:rsidRPr="007966B6">
              <w:rPr>
                <w:color w:val="FF0000"/>
              </w:rPr>
              <w:t>Single gene testing requested by a specialist or consultant physician for the characterisation of germline gene variant(s) within the same gene in which a reproductive partner has a documented pathogenic germline recessive gene</w:t>
            </w:r>
            <w:r w:rsidRPr="007966B6">
              <w:t xml:space="preserve"> variant for a neuromuscular disorder identified by item number AAAA or DDDD.</w:t>
            </w:r>
          </w:p>
          <w:p w14:paraId="77E0AF5D" w14:textId="2F77AC5F" w:rsidR="0012129B" w:rsidRPr="007966B6" w:rsidRDefault="0012129B" w:rsidP="00295EB6">
            <w:pPr>
              <w:pStyle w:val="Tabletext"/>
              <w:keepNext/>
            </w:pPr>
            <w:r w:rsidRPr="007966B6">
              <w:t xml:space="preserve">Fee: </w:t>
            </w:r>
            <w:r w:rsidRPr="00183BB3">
              <w:rPr>
                <w:strike/>
                <w:color w:val="F79646" w:themeColor="accent6"/>
              </w:rPr>
              <w:t>$450.00</w:t>
            </w:r>
            <w:r w:rsidRPr="00183BB3">
              <w:rPr>
                <w:color w:val="F79646" w:themeColor="accent6"/>
              </w:rPr>
              <w:t xml:space="preserve"> </w:t>
            </w:r>
            <w:r w:rsidR="00183BB3" w:rsidRPr="00183BB3">
              <w:rPr>
                <w:color w:val="F79646" w:themeColor="accent6"/>
              </w:rPr>
              <w:t>$1,20</w:t>
            </w:r>
            <w:r w:rsidR="00183BB3">
              <w:rPr>
                <w:color w:val="F79646" w:themeColor="accent6"/>
              </w:rPr>
              <w:t>0.0</w:t>
            </w:r>
            <w:r w:rsidR="00183BB3" w:rsidRPr="00183BB3">
              <w:rPr>
                <w:color w:val="F79646" w:themeColor="accent6"/>
              </w:rPr>
              <w:t>0</w:t>
            </w:r>
            <w:r w:rsidRPr="00183BB3">
              <w:rPr>
                <w:color w:val="F79646" w:themeColor="accent6"/>
              </w:rPr>
              <w:t xml:space="preserve"> </w:t>
            </w:r>
            <w:r w:rsidRPr="007966B6">
              <w:t xml:space="preserve">Benefit: 75% = </w:t>
            </w:r>
            <w:r w:rsidRPr="00183BB3">
              <w:rPr>
                <w:strike/>
                <w:color w:val="F79646" w:themeColor="accent6"/>
              </w:rPr>
              <w:t>$337.50</w:t>
            </w:r>
            <w:r w:rsidR="00183BB3">
              <w:rPr>
                <w:color w:val="F79646" w:themeColor="accent6"/>
              </w:rPr>
              <w:t xml:space="preserve"> $900.00</w:t>
            </w:r>
            <w:r w:rsidRPr="00183BB3">
              <w:t xml:space="preserve">; 85% = </w:t>
            </w:r>
            <w:r w:rsidRPr="00183BB3">
              <w:rPr>
                <w:strike/>
                <w:color w:val="F79646" w:themeColor="accent6"/>
              </w:rPr>
              <w:t>$382.50</w:t>
            </w:r>
            <w:r w:rsidR="00183BB3">
              <w:rPr>
                <w:color w:val="F79646" w:themeColor="accent6"/>
              </w:rPr>
              <w:t xml:space="preserve"> $1,</w:t>
            </w:r>
            <w:r w:rsidR="00425A36">
              <w:rPr>
                <w:color w:val="F79646" w:themeColor="accent6"/>
              </w:rPr>
              <w:t>115.30</w:t>
            </w:r>
          </w:p>
        </w:tc>
      </w:tr>
    </w:tbl>
    <w:p w14:paraId="37D6A7E3" w14:textId="77777777" w:rsidR="003E56F5" w:rsidRDefault="003E56F5">
      <w:r>
        <w:br w:type="page"/>
      </w:r>
    </w:p>
    <w:tbl>
      <w:tblPr>
        <w:tblStyle w:val="TableGrid"/>
        <w:tblW w:w="0" w:type="auto"/>
        <w:tblLook w:val="04A0" w:firstRow="1" w:lastRow="0" w:firstColumn="1" w:lastColumn="0" w:noHBand="0" w:noVBand="1"/>
        <w:tblCaption w:val="Table 11 Proposed MBS item descriptor"/>
        <w:tblDescription w:val="This table provides the proposed description of the requested Medicare Benefits Schedule item."/>
      </w:tblPr>
      <w:tblGrid>
        <w:gridCol w:w="9016"/>
      </w:tblGrid>
      <w:tr w:rsidR="0012129B" w:rsidRPr="00183E4D" w14:paraId="62858985" w14:textId="77777777" w:rsidTr="003E56F5">
        <w:tc>
          <w:tcPr>
            <w:tcW w:w="9016" w:type="dxa"/>
          </w:tcPr>
          <w:p w14:paraId="038DE70C" w14:textId="4FEC5070" w:rsidR="0012129B" w:rsidRPr="007966B6" w:rsidRDefault="0012129B" w:rsidP="00295EB6">
            <w:pPr>
              <w:pStyle w:val="Tabletext"/>
              <w:keepNext/>
              <w:rPr>
                <w:iCs/>
                <w:color w:val="4F81BD" w:themeColor="accent1"/>
              </w:rPr>
            </w:pPr>
            <w:r w:rsidRPr="007966B6">
              <w:rPr>
                <w:iCs/>
                <w:color w:val="4F81BD" w:themeColor="accent1"/>
              </w:rPr>
              <w:lastRenderedPageBreak/>
              <w:t>Item FFFF</w:t>
            </w:r>
          </w:p>
          <w:p w14:paraId="75E55747" w14:textId="77777777" w:rsidR="0012129B" w:rsidRPr="007966B6" w:rsidRDefault="0012129B" w:rsidP="00295EB6">
            <w:pPr>
              <w:pStyle w:val="Tabletext"/>
              <w:keepNext/>
              <w:rPr>
                <w:iCs/>
                <w:color w:val="4F81BD" w:themeColor="accent1"/>
              </w:rPr>
            </w:pPr>
            <w:r w:rsidRPr="007966B6">
              <w:rPr>
                <w:iCs/>
                <w:color w:val="4F81BD" w:themeColor="accent1"/>
              </w:rPr>
              <w:t xml:space="preserve">Re-analysis of whole exome data obtained in performing a service to which item AAAA applies, after appropriate genetic counselling, for characterisation of previously unreported pathogenic gene variants related to the clinical phenotype, if </w:t>
            </w:r>
          </w:p>
          <w:p w14:paraId="7A523E29" w14:textId="77777777" w:rsidR="0012129B" w:rsidRPr="007966B6" w:rsidRDefault="0012129B" w:rsidP="0012129B">
            <w:pPr>
              <w:pStyle w:val="Tabletext"/>
              <w:keepNext/>
              <w:numPr>
                <w:ilvl w:val="0"/>
                <w:numId w:val="16"/>
              </w:numPr>
              <w:ind w:left="291" w:hanging="284"/>
              <w:rPr>
                <w:iCs/>
                <w:color w:val="4F81BD" w:themeColor="accent1"/>
              </w:rPr>
            </w:pPr>
            <w:r w:rsidRPr="007966B6">
              <w:rPr>
                <w:iCs/>
                <w:color w:val="4F81BD" w:themeColor="accent1"/>
              </w:rPr>
              <w:t>The re-analysis is:</w:t>
            </w:r>
          </w:p>
          <w:p w14:paraId="402793DF" w14:textId="77777777" w:rsidR="0012129B" w:rsidRPr="007966B6" w:rsidRDefault="0012129B" w:rsidP="0012129B">
            <w:pPr>
              <w:pStyle w:val="Tabletext"/>
              <w:keepNext/>
              <w:numPr>
                <w:ilvl w:val="2"/>
                <w:numId w:val="16"/>
              </w:numPr>
              <w:ind w:left="716" w:hanging="284"/>
              <w:rPr>
                <w:iCs/>
                <w:color w:val="4F81BD" w:themeColor="accent1"/>
              </w:rPr>
            </w:pPr>
            <w:r w:rsidRPr="007966B6">
              <w:rPr>
                <w:iCs/>
                <w:color w:val="4F81BD" w:themeColor="accent1"/>
              </w:rPr>
              <w:t>Requested by a consultant physician practicing as a clinical geneticist; or</w:t>
            </w:r>
          </w:p>
          <w:p w14:paraId="496097EB" w14:textId="77777777" w:rsidR="0012129B" w:rsidRPr="007966B6" w:rsidRDefault="0012129B" w:rsidP="0012129B">
            <w:pPr>
              <w:pStyle w:val="Tabletext"/>
              <w:keepNext/>
              <w:numPr>
                <w:ilvl w:val="2"/>
                <w:numId w:val="16"/>
              </w:numPr>
              <w:ind w:left="716" w:hanging="284"/>
              <w:rPr>
                <w:iCs/>
                <w:color w:val="4F81BD" w:themeColor="accent1"/>
              </w:rPr>
            </w:pPr>
            <w:r w:rsidRPr="007966B6">
              <w:rPr>
                <w:iCs/>
                <w:color w:val="4F81BD" w:themeColor="accent1"/>
              </w:rPr>
              <w:t xml:space="preserve">Requested by a consultant physician practising as a specialist paediatrician, following consultation with a clinical geneticist. </w:t>
            </w:r>
          </w:p>
          <w:p w14:paraId="3617661F" w14:textId="344BBC81" w:rsidR="0012129B" w:rsidRPr="007966B6" w:rsidRDefault="0012129B" w:rsidP="00042B86">
            <w:pPr>
              <w:pStyle w:val="Tabletext"/>
              <w:keepNext/>
              <w:spacing w:before="0" w:after="240"/>
              <w:ind w:left="6"/>
              <w:rPr>
                <w:iCs/>
                <w:color w:val="4F81BD" w:themeColor="accent1"/>
              </w:rPr>
            </w:pPr>
            <w:r w:rsidRPr="007966B6">
              <w:rPr>
                <w:iCs/>
                <w:color w:val="4F81BD" w:themeColor="accent1"/>
              </w:rPr>
              <w:t>Applicable only twice per lifetime</w:t>
            </w:r>
          </w:p>
          <w:p w14:paraId="3AB590EC" w14:textId="6F1F2F52" w:rsidR="0012129B" w:rsidRPr="007966B6" w:rsidRDefault="0012129B" w:rsidP="00295EB6">
            <w:pPr>
              <w:pStyle w:val="Tabletext"/>
              <w:keepNext/>
            </w:pPr>
            <w:r w:rsidRPr="007966B6">
              <w:rPr>
                <w:iCs/>
                <w:color w:val="4F81BD" w:themeColor="accent1"/>
              </w:rPr>
              <w:t>Fee: $500.</w:t>
            </w:r>
            <w:proofErr w:type="gramStart"/>
            <w:r w:rsidRPr="007966B6">
              <w:rPr>
                <w:iCs/>
                <w:color w:val="4F81BD" w:themeColor="accent1"/>
              </w:rPr>
              <w:t>00  Benefit</w:t>
            </w:r>
            <w:proofErr w:type="gramEnd"/>
            <w:r w:rsidRPr="007966B6">
              <w:rPr>
                <w:iCs/>
                <w:color w:val="4F81BD" w:themeColor="accent1"/>
              </w:rPr>
              <w:t>:75% = $375.00; 85%</w:t>
            </w:r>
            <w:r w:rsidR="00B27346">
              <w:rPr>
                <w:iCs/>
                <w:color w:val="4F81BD" w:themeColor="accent1"/>
              </w:rPr>
              <w:t xml:space="preserve"> </w:t>
            </w:r>
            <w:r w:rsidRPr="007966B6">
              <w:rPr>
                <w:iCs/>
                <w:color w:val="4F81BD" w:themeColor="accent1"/>
              </w:rPr>
              <w:t>=</w:t>
            </w:r>
            <w:r w:rsidR="00B27346">
              <w:rPr>
                <w:iCs/>
                <w:color w:val="4F81BD" w:themeColor="accent1"/>
              </w:rPr>
              <w:t xml:space="preserve"> </w:t>
            </w:r>
            <w:r w:rsidRPr="007966B6">
              <w:rPr>
                <w:iCs/>
                <w:color w:val="4F81BD" w:themeColor="accent1"/>
              </w:rPr>
              <w:t>$425.00</w:t>
            </w:r>
          </w:p>
        </w:tc>
      </w:tr>
    </w:tbl>
    <w:p w14:paraId="363A5E19" w14:textId="1895A5C1" w:rsidR="00475180" w:rsidRDefault="004B0B8A" w:rsidP="00C730C8">
      <w:pPr>
        <w:pStyle w:val="Tablenotes"/>
      </w:pPr>
      <w:r>
        <w:t>From the item descriptors in the ratified PICO</w:t>
      </w:r>
      <w:r w:rsidR="007070D7">
        <w:t>:</w:t>
      </w:r>
      <w:r>
        <w:t xml:space="preserve"> b</w:t>
      </w:r>
      <w:r w:rsidR="007966B6">
        <w:t xml:space="preserve">lue text </w:t>
      </w:r>
      <w:r w:rsidR="0012129B">
        <w:t xml:space="preserve">indicates </w:t>
      </w:r>
      <w:r w:rsidR="007966B6">
        <w:t xml:space="preserve">changes </w:t>
      </w:r>
      <w:r w:rsidR="0012129B">
        <w:t xml:space="preserve">made </w:t>
      </w:r>
      <w:r>
        <w:t xml:space="preserve">by </w:t>
      </w:r>
      <w:r w:rsidR="0012129B">
        <w:t xml:space="preserve">the </w:t>
      </w:r>
      <w:r w:rsidR="006A1BBD">
        <w:t xml:space="preserve">first </w:t>
      </w:r>
      <w:r w:rsidR="0012129B">
        <w:t>DCAR</w:t>
      </w:r>
      <w:r>
        <w:t>,</w:t>
      </w:r>
      <w:r w:rsidR="007966B6">
        <w:t xml:space="preserve"> </w:t>
      </w:r>
      <w:r>
        <w:t>r</w:t>
      </w:r>
      <w:r w:rsidR="007966B6">
        <w:t xml:space="preserve">ed text indicates changes made </w:t>
      </w:r>
      <w:r>
        <w:t>by</w:t>
      </w:r>
      <w:r w:rsidR="007966B6">
        <w:t xml:space="preserve"> the </w:t>
      </w:r>
      <w:r w:rsidR="006A1BBD">
        <w:t>second DCAR</w:t>
      </w:r>
      <w:r w:rsidR="00183BB3">
        <w:t xml:space="preserve">, and orange text indicates </w:t>
      </w:r>
      <w:r w:rsidR="000B5E43">
        <w:t xml:space="preserve">changes made by </w:t>
      </w:r>
      <w:r w:rsidR="00183BB3">
        <w:t xml:space="preserve">ESC </w:t>
      </w:r>
      <w:r w:rsidR="000B5E43">
        <w:t>(</w:t>
      </w:r>
      <w:r w:rsidR="00183BB3">
        <w:t>revis</w:t>
      </w:r>
      <w:r w:rsidR="000B5E43">
        <w:t>e</w:t>
      </w:r>
      <w:r w:rsidR="00183BB3">
        <w:t xml:space="preserve"> the fee for EEEE based on MSAC </w:t>
      </w:r>
      <w:proofErr w:type="gramStart"/>
      <w:r w:rsidR="000B5E43">
        <w:t>precedent, and</w:t>
      </w:r>
      <w:proofErr w:type="gramEnd"/>
      <w:r w:rsidR="000B5E43">
        <w:t xml:space="preserve"> correct </w:t>
      </w:r>
      <w:r w:rsidR="0088304F">
        <w:t>t</w:t>
      </w:r>
      <w:r w:rsidR="00475180">
        <w:t xml:space="preserve">he 85% </w:t>
      </w:r>
      <w:r w:rsidR="0076532A">
        <w:t xml:space="preserve">benefits </w:t>
      </w:r>
      <w:r w:rsidR="000B5E43">
        <w:t xml:space="preserve">to </w:t>
      </w:r>
      <w:r w:rsidR="00475180">
        <w:t xml:space="preserve">reflect the </w:t>
      </w:r>
      <w:r w:rsidR="000B5E43">
        <w:t xml:space="preserve">greatest </w:t>
      </w:r>
      <w:r w:rsidR="00475180">
        <w:t xml:space="preserve">permissible </w:t>
      </w:r>
      <w:r w:rsidR="00AA4934">
        <w:t xml:space="preserve">gap </w:t>
      </w:r>
      <w:r w:rsidR="00475180">
        <w:t>of $84.70, as of 1 November 2020</w:t>
      </w:r>
      <w:r w:rsidR="0088304F">
        <w:t>)</w:t>
      </w:r>
      <w:r w:rsidR="00AA4934">
        <w:t>.</w:t>
      </w:r>
    </w:p>
    <w:p w14:paraId="4E4ED31E" w14:textId="4004AD5D" w:rsidR="00425A36" w:rsidRDefault="0012129B" w:rsidP="00C730C8">
      <w:pPr>
        <w:pStyle w:val="Tablenotes"/>
      </w:pPr>
      <w:r>
        <w:t xml:space="preserve">Source: </w:t>
      </w:r>
      <w:r w:rsidR="004B0B8A">
        <w:t xml:space="preserve">Based on </w:t>
      </w:r>
      <w:r w:rsidR="006A1BBD">
        <w:t xml:space="preserve">Second DCAR </w:t>
      </w:r>
      <w:r w:rsidR="007966B6">
        <w:t>Table 1.</w:t>
      </w:r>
    </w:p>
    <w:p w14:paraId="1E7099B0" w14:textId="601BF031" w:rsidR="0012129B" w:rsidRDefault="0012129B" w:rsidP="0012129B">
      <w:r>
        <w:t xml:space="preserve">The </w:t>
      </w:r>
      <w:r w:rsidR="006A1BBD">
        <w:t xml:space="preserve">first </w:t>
      </w:r>
      <w:r>
        <w:t xml:space="preserve">DCAR commented that </w:t>
      </w:r>
      <w:r w:rsidR="000C1415">
        <w:t xml:space="preserve">a </w:t>
      </w:r>
      <w:r>
        <w:t xml:space="preserve">potential issue with the MBS item descriptors as they are currently written </w:t>
      </w:r>
      <w:r w:rsidR="000C1415">
        <w:t>is that t</w:t>
      </w:r>
      <w:r>
        <w:t>he items do not require that the requesting specialist or consultant physician has any speciality in genetics or has consulted with a clinical geneticist prior to requesting the test</w:t>
      </w:r>
      <w:r w:rsidR="000C1415">
        <w:t>,</w:t>
      </w:r>
      <w:r>
        <w:t xml:space="preserve"> as occurs for similar MBS items (see </w:t>
      </w:r>
      <w:hyperlink r:id="rId11" w:history="1">
        <w:r w:rsidRPr="00B20712">
          <w:rPr>
            <w:rStyle w:val="Hyperlink"/>
          </w:rPr>
          <w:t>Item 73359</w:t>
        </w:r>
      </w:hyperlink>
      <w:r>
        <w:t>).</w:t>
      </w:r>
    </w:p>
    <w:p w14:paraId="0BB6DAB0" w14:textId="0ED6B581" w:rsidR="007041CA" w:rsidRDefault="007041CA" w:rsidP="007041CA">
      <w:r>
        <w:t xml:space="preserve">The </w:t>
      </w:r>
      <w:r w:rsidR="006A1BBD">
        <w:t>second DCAR</w:t>
      </w:r>
      <w:r>
        <w:t xml:space="preserve"> noted that clarification is needed of what is captured within the scope for affected individual testing Item AAAA in terms of acceptable test methodologies (NGS panel versus </w:t>
      </w:r>
      <w:r w:rsidR="00F53F60">
        <w:t>whole exome sequencing (</w:t>
      </w:r>
      <w:r>
        <w:t>WES</w:t>
      </w:r>
      <w:r w:rsidR="00F53F60">
        <w:t>)</w:t>
      </w:r>
      <w:r>
        <w:t xml:space="preserve"> versus </w:t>
      </w:r>
      <w:r w:rsidR="00F53F60">
        <w:t>whole genome sequencing (</w:t>
      </w:r>
      <w:r>
        <w:t>WGS</w:t>
      </w:r>
      <w:r w:rsidR="00F53F60">
        <w:t>)</w:t>
      </w:r>
      <w:r>
        <w:t>).</w:t>
      </w:r>
      <w:r w:rsidR="00F53F60">
        <w:t xml:space="preserve"> In the pre-MSAC response, the applicant stated that their intent was for this testing to use an NGS panel (</w:t>
      </w:r>
      <w:proofErr w:type="gramStart"/>
      <w:r w:rsidR="00F53F60">
        <w:t>i.e.</w:t>
      </w:r>
      <w:proofErr w:type="gramEnd"/>
      <w:r w:rsidR="00F53F60">
        <w:t xml:space="preserve"> a method with a full capture and sequencing background but with analysis restricted to a virtual panel), and not WES or WGS.</w:t>
      </w:r>
      <w:r w:rsidR="008A28E7">
        <w:t xml:space="preserve"> MSAC agreed that AAAA should use methods that do not restrict library preparation and sequencing to a set of genes identified </w:t>
      </w:r>
      <w:proofErr w:type="gramStart"/>
      <w:r w:rsidR="008A28E7">
        <w:t>beforehand;</w:t>
      </w:r>
      <w:proofErr w:type="gramEnd"/>
      <w:r w:rsidR="008A28E7">
        <w:t xml:space="preserve"> i.e. should use methods with a full capture and sequencing background, with analysis restricted to a virtual panel.</w:t>
      </w:r>
    </w:p>
    <w:p w14:paraId="1F3E25AE" w14:textId="32CB10DF" w:rsidR="002406F5" w:rsidRDefault="002406F5" w:rsidP="00042B86">
      <w:pPr>
        <w:spacing w:before="240"/>
      </w:pPr>
      <w:r>
        <w:t xml:space="preserve">The </w:t>
      </w:r>
      <w:r w:rsidR="006A1BBD">
        <w:t>second DCAR</w:t>
      </w:r>
      <w:r>
        <w:t xml:space="preserve"> stated that, </w:t>
      </w:r>
      <w:r w:rsidRPr="00295EB6">
        <w:t>noting the clinical algorithm indicates that only a subset</w:t>
      </w:r>
      <w:r>
        <w:t xml:space="preserve"> of genes (</w:t>
      </w:r>
      <w:proofErr w:type="gramStart"/>
      <w:r>
        <w:t>i.e.</w:t>
      </w:r>
      <w:proofErr w:type="gramEnd"/>
      <w:r>
        <w:t xml:space="preserve"> </w:t>
      </w:r>
      <w:r w:rsidR="003E637D">
        <w:t xml:space="preserve">within </w:t>
      </w:r>
      <w:r>
        <w:t xml:space="preserve">one of the two </w:t>
      </w:r>
      <w:r w:rsidR="00460290">
        <w:t xml:space="preserve">broad neurological or muscular </w:t>
      </w:r>
      <w:r>
        <w:t>panels)</w:t>
      </w:r>
      <w:r w:rsidRPr="00295EB6">
        <w:t xml:space="preserve"> would be ordered initially</w:t>
      </w:r>
      <w:r>
        <w:t>, clarity is required as to whether re-analysis item FFFF is also intended to be used to report</w:t>
      </w:r>
      <w:r w:rsidRPr="00295EB6">
        <w:t xml:space="preserve"> </w:t>
      </w:r>
      <w:r>
        <w:t xml:space="preserve">genes </w:t>
      </w:r>
      <w:r w:rsidRPr="00295EB6">
        <w:t xml:space="preserve">in the </w:t>
      </w:r>
      <w:r>
        <w:t>originally non-reported</w:t>
      </w:r>
      <w:r w:rsidRPr="00295EB6">
        <w:t xml:space="preserve"> panel.</w:t>
      </w:r>
      <w:r>
        <w:t xml:space="preserve"> The </w:t>
      </w:r>
      <w:r w:rsidR="006A1BBD">
        <w:t>second DCAR</w:t>
      </w:r>
      <w:r>
        <w:t xml:space="preserve"> stated that it is likely that a laboratory would be running a larger gene panel, with scope given the overlap in phenotypes, to report the remainder of the genes tested if the initial more focused test result is uninformative. It is not entirely clear whether expansion of the reporting of all genes in the panel would be performed/reported as part of the initial service, or whether this would constitute a re-analysis and require a request via Item FFFF. The </w:t>
      </w:r>
      <w:r w:rsidR="006A1BBD">
        <w:t>second DCAR</w:t>
      </w:r>
      <w:r>
        <w:t xml:space="preserve"> noted that the latter would approach the cost of upfront WES, which allows a more open-ended diagnostic enquiry into potential genetic variants responsible for the presentation and has been shown to improve diagnostic yield across a range of the conditions under consideration, compared with panel testing alone. The </w:t>
      </w:r>
      <w:r w:rsidR="006A1BBD">
        <w:t>second DCAR</w:t>
      </w:r>
      <w:r>
        <w:t xml:space="preserve"> noted that either panel </w:t>
      </w:r>
      <w:proofErr w:type="gramStart"/>
      <w:r>
        <w:t>testing</w:t>
      </w:r>
      <w:proofErr w:type="gramEnd"/>
      <w:r>
        <w:t xml:space="preserve"> or WES is approved within the NHS England’s Genomic Directory</w:t>
      </w:r>
      <w:r>
        <w:rPr>
          <w:rStyle w:val="FootnoteReference"/>
        </w:rPr>
        <w:footnoteReference w:id="3"/>
      </w:r>
      <w:r>
        <w:t xml:space="preserve"> for the investigation of NMDs.</w:t>
      </w:r>
    </w:p>
    <w:p w14:paraId="71791686" w14:textId="3353124E" w:rsidR="002406F5" w:rsidRDefault="002406F5" w:rsidP="00042B86">
      <w:pPr>
        <w:spacing w:before="240"/>
      </w:pPr>
      <w:r>
        <w:t xml:space="preserve">The </w:t>
      </w:r>
      <w:r w:rsidR="006A1BBD">
        <w:t>second DCAR</w:t>
      </w:r>
      <w:r>
        <w:t xml:space="preserve"> further noted that the descriptor for </w:t>
      </w:r>
      <w:r w:rsidR="004B0B8A">
        <w:t xml:space="preserve">re-analysis </w:t>
      </w:r>
      <w:r>
        <w:t>i</w:t>
      </w:r>
      <w:r w:rsidRPr="00295EB6">
        <w:t>tem FFFF indicates this would be ‘re-analy</w:t>
      </w:r>
      <w:r>
        <w:t>sis of whole exome data’, yet i</w:t>
      </w:r>
      <w:r w:rsidRPr="00295EB6">
        <w:t xml:space="preserve">tem AAAA does not include wording or a fee to support </w:t>
      </w:r>
      <w:r>
        <w:t>WES or WGS</w:t>
      </w:r>
      <w:r w:rsidRPr="00295EB6">
        <w:t>.</w:t>
      </w:r>
    </w:p>
    <w:p w14:paraId="19A68BB9" w14:textId="6A5BAAF7" w:rsidR="0012129B" w:rsidRPr="00B20712" w:rsidRDefault="0012129B" w:rsidP="00042B86">
      <w:pPr>
        <w:spacing w:before="240"/>
      </w:pPr>
      <w:r>
        <w:t xml:space="preserve">The </w:t>
      </w:r>
      <w:r w:rsidR="006A1BBD">
        <w:t xml:space="preserve">first </w:t>
      </w:r>
      <w:r>
        <w:t xml:space="preserve">DCAR noted that </w:t>
      </w:r>
      <w:r w:rsidRPr="00B20712">
        <w:t>the reimbursement requested for item BBBB ($450) appeared higher than a private provider (</w:t>
      </w:r>
      <w:r>
        <w:t xml:space="preserve">Victorian Clinical Genetics Services, </w:t>
      </w:r>
      <w:r w:rsidRPr="00B20712">
        <w:t xml:space="preserve">VCGS) which provides this test for $250. Similarly, the proposed rebate for CCCC ($1,000) was also noted to be a </w:t>
      </w:r>
      <w:r w:rsidRPr="00B20712">
        <w:lastRenderedPageBreak/>
        <w:t xml:space="preserve">higher than a similar test provided by VCGS which charges $600 for prenatal single gene testing for the </w:t>
      </w:r>
      <w:r w:rsidRPr="00B20712">
        <w:rPr>
          <w:i/>
          <w:iCs/>
        </w:rPr>
        <w:t>DMD</w:t>
      </w:r>
      <w:r w:rsidRPr="00B20712">
        <w:t xml:space="preserve"> gene.</w:t>
      </w:r>
      <w:r w:rsidR="00B27346">
        <w:t xml:space="preserve"> </w:t>
      </w:r>
      <w:r w:rsidR="004B0B8A">
        <w:t>ESC</w:t>
      </w:r>
      <w:r w:rsidR="00B27346">
        <w:t xml:space="preserve"> noted that MSAC had supported a fee of $1,200 for </w:t>
      </w:r>
      <w:r w:rsidR="004B0B8A">
        <w:t xml:space="preserve">single gene sequencing </w:t>
      </w:r>
      <w:r w:rsidR="00B27346">
        <w:t xml:space="preserve">reproductive partner testing </w:t>
      </w:r>
      <w:r w:rsidR="004B0B8A">
        <w:t xml:space="preserve">items </w:t>
      </w:r>
      <w:r w:rsidR="00B27346">
        <w:t xml:space="preserve">for MSAC applications </w:t>
      </w:r>
      <w:hyperlink r:id="rId12" w:history="1">
        <w:r w:rsidR="00B27346" w:rsidRPr="00B27346">
          <w:rPr>
            <w:rStyle w:val="Hyperlink"/>
          </w:rPr>
          <w:t>1599</w:t>
        </w:r>
      </w:hyperlink>
      <w:r w:rsidR="00B27346">
        <w:t xml:space="preserve"> and </w:t>
      </w:r>
      <w:hyperlink r:id="rId13" w:history="1">
        <w:r w:rsidR="00B27346" w:rsidRPr="00B27346">
          <w:rPr>
            <w:rStyle w:val="Hyperlink"/>
          </w:rPr>
          <w:t>1600</w:t>
        </w:r>
      </w:hyperlink>
      <w:r w:rsidR="00B27346">
        <w:t xml:space="preserve"> at its March/April 2021 meeting.</w:t>
      </w:r>
    </w:p>
    <w:p w14:paraId="5B2B1A02" w14:textId="23118E48" w:rsidR="00775963" w:rsidRPr="00C730C8" w:rsidRDefault="00775963"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t xml:space="preserve">Summary of </w:t>
      </w:r>
      <w:r w:rsidR="00C730C8">
        <w:rPr>
          <w:rFonts w:ascii="Arial" w:eastAsia="Times New Roman" w:hAnsi="Arial" w:cs="Times New Roman"/>
        </w:rPr>
        <w:t>p</w:t>
      </w:r>
      <w:r w:rsidRPr="00C730C8">
        <w:rPr>
          <w:rFonts w:ascii="Arial" w:eastAsia="Times New Roman" w:hAnsi="Arial" w:cs="Times New Roman"/>
        </w:rPr>
        <w:t xml:space="preserve">ublic </w:t>
      </w:r>
      <w:r w:rsidR="00C730C8">
        <w:rPr>
          <w:rFonts w:ascii="Arial" w:eastAsia="Times New Roman" w:hAnsi="Arial" w:cs="Times New Roman"/>
        </w:rPr>
        <w:t>c</w:t>
      </w:r>
      <w:r w:rsidRPr="00C730C8">
        <w:rPr>
          <w:rFonts w:ascii="Arial" w:eastAsia="Times New Roman" w:hAnsi="Arial" w:cs="Times New Roman"/>
        </w:rPr>
        <w:t xml:space="preserve">onsultation </w:t>
      </w:r>
      <w:r w:rsidR="00C730C8">
        <w:rPr>
          <w:rFonts w:ascii="Arial" w:eastAsia="Times New Roman" w:hAnsi="Arial" w:cs="Times New Roman"/>
        </w:rPr>
        <w:t>f</w:t>
      </w:r>
      <w:r w:rsidRPr="00C730C8">
        <w:rPr>
          <w:rFonts w:ascii="Arial" w:eastAsia="Times New Roman" w:hAnsi="Arial" w:cs="Times New Roman"/>
        </w:rPr>
        <w:t>eedback/</w:t>
      </w:r>
      <w:r w:rsidR="00C730C8">
        <w:rPr>
          <w:rFonts w:ascii="Arial" w:eastAsia="Times New Roman" w:hAnsi="Arial" w:cs="Times New Roman"/>
        </w:rPr>
        <w:t>c</w:t>
      </w:r>
      <w:r w:rsidRPr="00C730C8">
        <w:rPr>
          <w:rFonts w:ascii="Arial" w:eastAsia="Times New Roman" w:hAnsi="Arial" w:cs="Times New Roman"/>
        </w:rPr>
        <w:t>onsumer Issues</w:t>
      </w:r>
    </w:p>
    <w:p w14:paraId="22AC74C9" w14:textId="4F3E834F" w:rsidR="0012129B" w:rsidRDefault="0012129B" w:rsidP="0012129B">
      <w:r w:rsidRPr="003E3893">
        <w:t xml:space="preserve">Targeted consultation feedback was received from two genomics organisations and </w:t>
      </w:r>
      <w:r>
        <w:t>four</w:t>
      </w:r>
      <w:r w:rsidRPr="003E3893">
        <w:t xml:space="preserve"> individual clinician</w:t>
      </w:r>
      <w:r>
        <w:t>s, including one genetic counsellor</w:t>
      </w:r>
      <w:r w:rsidRPr="003E3893">
        <w:t>.</w:t>
      </w:r>
      <w:r>
        <w:t xml:space="preserve"> </w:t>
      </w:r>
      <w:r w:rsidRPr="00C44A3B">
        <w:t>No consumer feedback/consumer comments were received for this application</w:t>
      </w:r>
      <w:r>
        <w:t>. Overall, feedback was supportive of public funding for genetic testing for the diagnosis of early onset or familial neuromuscular disorders.</w:t>
      </w:r>
    </w:p>
    <w:p w14:paraId="6EF8DFDF" w14:textId="77777777" w:rsidR="0012129B" w:rsidRDefault="0012129B" w:rsidP="00042B86">
      <w:pPr>
        <w:spacing w:before="240"/>
      </w:pPr>
      <w:r>
        <w:t>Key benefits of the proposed genetic testing were identified as:</w:t>
      </w:r>
    </w:p>
    <w:p w14:paraId="5CB16BBD" w14:textId="77777777" w:rsidR="0012129B" w:rsidRDefault="0012129B" w:rsidP="0012129B">
      <w:pPr>
        <w:pStyle w:val="ListParagraph"/>
        <w:numPr>
          <w:ilvl w:val="0"/>
          <w:numId w:val="18"/>
        </w:numPr>
      </w:pPr>
      <w:r>
        <w:t xml:space="preserve">Public funding would allow equitable access across Australia – at present provision of funding for testing is ad hoc and inconsistent between states. Some institutions triage children and test only those for whom genetic testing is most critical for ongoing clinical management. </w:t>
      </w:r>
    </w:p>
    <w:p w14:paraId="1D7F2A13" w14:textId="77777777" w:rsidR="0012129B" w:rsidRDefault="0012129B" w:rsidP="0012129B">
      <w:pPr>
        <w:pStyle w:val="ListParagraph"/>
        <w:numPr>
          <w:ilvl w:val="0"/>
          <w:numId w:val="18"/>
        </w:numPr>
      </w:pPr>
      <w:r>
        <w:t>Avoiding a potentially lengthy diagnostic odyssey.</w:t>
      </w:r>
    </w:p>
    <w:p w14:paraId="327DCA68" w14:textId="55B611FD" w:rsidR="0012129B" w:rsidRDefault="0012129B" w:rsidP="0012129B">
      <w:pPr>
        <w:pStyle w:val="ListParagraph"/>
        <w:numPr>
          <w:ilvl w:val="0"/>
          <w:numId w:val="18"/>
        </w:numPr>
      </w:pPr>
      <w:r>
        <w:t>Avoiding invasive procedures such as muscle</w:t>
      </w:r>
      <w:r w:rsidR="00460290">
        <w:t xml:space="preserve"> or nerve</w:t>
      </w:r>
      <w:r>
        <w:t xml:space="preserve"> biopsies.</w:t>
      </w:r>
    </w:p>
    <w:p w14:paraId="1ECAD7C4" w14:textId="77777777" w:rsidR="0012129B" w:rsidRDefault="0012129B" w:rsidP="0012129B">
      <w:pPr>
        <w:pStyle w:val="ListParagraph"/>
        <w:numPr>
          <w:ilvl w:val="0"/>
          <w:numId w:val="18"/>
        </w:numPr>
      </w:pPr>
      <w:r>
        <w:t>An accurate diagnosis allows therapeutic choices to be made, including informing drugs or other treatments to avoid.</w:t>
      </w:r>
    </w:p>
    <w:p w14:paraId="66C447D4" w14:textId="77777777" w:rsidR="0012129B" w:rsidRDefault="0012129B" w:rsidP="0012129B">
      <w:pPr>
        <w:pStyle w:val="ListParagraph"/>
        <w:numPr>
          <w:ilvl w:val="0"/>
          <w:numId w:val="18"/>
        </w:numPr>
      </w:pPr>
      <w:r>
        <w:t>An earlier diagnosis can enable starting appropriate clinical management to prolong function, ease symptoms, and identify potential comorbidities requiring surveillance. Missing opportunities for effective treatment can have a profound impact on the child’s ultimate outcome.</w:t>
      </w:r>
    </w:p>
    <w:p w14:paraId="130470C0" w14:textId="77777777" w:rsidR="0012129B" w:rsidRDefault="0012129B" w:rsidP="0012129B">
      <w:pPr>
        <w:pStyle w:val="ListParagraph"/>
        <w:numPr>
          <w:ilvl w:val="0"/>
          <w:numId w:val="18"/>
        </w:numPr>
      </w:pPr>
      <w:r>
        <w:t>Allowing the pre-symptomatic testing of other family members.</w:t>
      </w:r>
    </w:p>
    <w:p w14:paraId="2C663C55" w14:textId="77777777" w:rsidR="0012129B" w:rsidRDefault="0012129B" w:rsidP="0012129B">
      <w:pPr>
        <w:pStyle w:val="ListParagraph"/>
        <w:numPr>
          <w:ilvl w:val="0"/>
          <w:numId w:val="18"/>
        </w:numPr>
      </w:pPr>
      <w:r>
        <w:t>Informing parents for potentially undiagnosed siblings and future family planning.</w:t>
      </w:r>
    </w:p>
    <w:p w14:paraId="692566C3" w14:textId="0B6F7022" w:rsidR="0012129B" w:rsidRDefault="0012129B" w:rsidP="0012129B">
      <w:pPr>
        <w:pStyle w:val="ListParagraph"/>
        <w:numPr>
          <w:ilvl w:val="1"/>
          <w:numId w:val="18"/>
        </w:numPr>
      </w:pPr>
      <w:r>
        <w:t xml:space="preserve">Genetic testing would allow an earlier diagnosis, whereas the present delay in diagnosis means that in some cases families can have </w:t>
      </w:r>
      <w:r w:rsidR="00460290">
        <w:t xml:space="preserve">multiple </w:t>
      </w:r>
      <w:r>
        <w:t>affected child</w:t>
      </w:r>
      <w:r w:rsidR="00460290">
        <w:t>ren</w:t>
      </w:r>
      <w:r>
        <w:t xml:space="preserve"> before a specific diagnosis is made.</w:t>
      </w:r>
    </w:p>
    <w:p w14:paraId="5AE43788" w14:textId="77777777" w:rsidR="0012129B" w:rsidRDefault="0012129B" w:rsidP="0012129B">
      <w:pPr>
        <w:pStyle w:val="ListParagraph"/>
        <w:numPr>
          <w:ilvl w:val="0"/>
          <w:numId w:val="18"/>
        </w:numPr>
      </w:pPr>
      <w:r>
        <w:t>Allows families to connect with disease support groups.</w:t>
      </w:r>
    </w:p>
    <w:p w14:paraId="00333D71" w14:textId="77777777" w:rsidR="0012129B" w:rsidRDefault="0012129B" w:rsidP="0012129B">
      <w:pPr>
        <w:pStyle w:val="ListParagraph"/>
        <w:numPr>
          <w:ilvl w:val="0"/>
          <w:numId w:val="18"/>
        </w:numPr>
      </w:pPr>
      <w:r>
        <w:t>A major advantage of this testing being MBS funded would be the requirement for testing to be carried out within Australia. This gives two-fold benefits: testing cannot be ordered from potentially lower quality laboratories overseas, and the data remaining at an Australian laboratory would facilitate reanalysis if required.</w:t>
      </w:r>
    </w:p>
    <w:p w14:paraId="48C8D425" w14:textId="77777777" w:rsidR="0012129B" w:rsidRDefault="0012129B" w:rsidP="0012129B">
      <w:pPr>
        <w:pStyle w:val="ListParagraph"/>
        <w:numPr>
          <w:ilvl w:val="0"/>
          <w:numId w:val="18"/>
        </w:numPr>
      </w:pPr>
      <w:r>
        <w:t>A genetic diagnosis would permit early recruitment into relevant clinical trials.</w:t>
      </w:r>
    </w:p>
    <w:p w14:paraId="4019A4AF" w14:textId="77777777" w:rsidR="0012129B" w:rsidRDefault="0012129B" w:rsidP="00042B86">
      <w:pPr>
        <w:spacing w:before="240"/>
      </w:pPr>
      <w:r>
        <w:t>Potential disadvantages of the proposed genetic testing were identified as:</w:t>
      </w:r>
    </w:p>
    <w:p w14:paraId="32CF9BBA" w14:textId="05F91169" w:rsidR="0012129B" w:rsidRDefault="0012129B" w:rsidP="0012129B">
      <w:pPr>
        <w:pStyle w:val="ListParagraph"/>
        <w:numPr>
          <w:ilvl w:val="0"/>
          <w:numId w:val="19"/>
        </w:numPr>
      </w:pPr>
      <w:r>
        <w:t xml:space="preserve">There are minimal </w:t>
      </w:r>
      <w:r w:rsidR="00460290">
        <w:t xml:space="preserve">safety </w:t>
      </w:r>
      <w:r>
        <w:t>disadvantages to the patient.</w:t>
      </w:r>
    </w:p>
    <w:p w14:paraId="6195F35A" w14:textId="77777777" w:rsidR="0012129B" w:rsidRDefault="0012129B" w:rsidP="0012129B">
      <w:pPr>
        <w:pStyle w:val="ListParagraph"/>
        <w:numPr>
          <w:ilvl w:val="0"/>
          <w:numId w:val="19"/>
        </w:numPr>
      </w:pPr>
      <w:r>
        <w:t xml:space="preserve">There is the slight risk of an incidental funding unrelated to the original condition, however this is significantly minimised </w:t>
      </w:r>
      <w:proofErr w:type="gramStart"/>
      <w:r>
        <w:t>through the use of</w:t>
      </w:r>
      <w:proofErr w:type="gramEnd"/>
      <w:r>
        <w:t xml:space="preserve"> a panel of genes related to the phenotype being investigated.</w:t>
      </w:r>
    </w:p>
    <w:p w14:paraId="50A5BA28" w14:textId="38564C67" w:rsidR="0012129B" w:rsidRDefault="000B692F" w:rsidP="0012129B">
      <w:pPr>
        <w:pStyle w:val="ListParagraph"/>
        <w:numPr>
          <w:ilvl w:val="0"/>
          <w:numId w:val="19"/>
        </w:numPr>
      </w:pPr>
      <w:r>
        <w:t>As outlined by the applicant, t</w:t>
      </w:r>
      <w:r w:rsidR="0012129B">
        <w:t>esting requests should only be permitted by suitable paediatric or adult specialists. This will require person</w:t>
      </w:r>
      <w:r>
        <w:t>al</w:t>
      </w:r>
      <w:r w:rsidR="0012129B">
        <w:t xml:space="preserve"> consultation</w:t>
      </w:r>
      <w:r>
        <w:t xml:space="preserve"> to obtain informed</w:t>
      </w:r>
      <w:r w:rsidR="00460290">
        <w:t xml:space="preserve"> consent</w:t>
      </w:r>
      <w:r w:rsidR="0012129B">
        <w:t>, causing potential delays in instigation of testing, further exacerbated for rural patients.</w:t>
      </w:r>
    </w:p>
    <w:p w14:paraId="00E3710B" w14:textId="5DFDBCE6" w:rsidR="0012129B" w:rsidRDefault="0012129B" w:rsidP="0012129B">
      <w:pPr>
        <w:pStyle w:val="ListParagraph"/>
        <w:numPr>
          <w:ilvl w:val="0"/>
          <w:numId w:val="19"/>
        </w:numPr>
      </w:pPr>
      <w:r>
        <w:t xml:space="preserve">Consider limiting testing requests to subspecialists, or having all requests reviewed by a gatekeeper genetic counsellor/subspecialist, </w:t>
      </w:r>
      <w:proofErr w:type="gramStart"/>
      <w:r w:rsidR="00B71CF6">
        <w:t>in order to</w:t>
      </w:r>
      <w:proofErr w:type="gramEnd"/>
      <w:r w:rsidR="00B71CF6">
        <w:t xml:space="preserve"> ensure the correct test is requested.</w:t>
      </w:r>
    </w:p>
    <w:p w14:paraId="307464AD" w14:textId="21C24EB8" w:rsidR="0012129B" w:rsidRDefault="0012129B" w:rsidP="0012129B">
      <w:pPr>
        <w:pStyle w:val="ListParagraph"/>
        <w:numPr>
          <w:ilvl w:val="0"/>
          <w:numId w:val="19"/>
        </w:numPr>
      </w:pPr>
      <w:r>
        <w:lastRenderedPageBreak/>
        <w:t>It can be traumatic for families to know a condition has been inherited</w:t>
      </w:r>
      <w:r w:rsidR="00B71CF6">
        <w:t>,</w:t>
      </w:r>
      <w:r>
        <w:t xml:space="preserve"> </w:t>
      </w:r>
      <w:r w:rsidR="00B71CF6">
        <w:t xml:space="preserve">resulting in </w:t>
      </w:r>
      <w:r>
        <w:t>guilt</w:t>
      </w:r>
      <w:r w:rsidR="00B71CF6">
        <w:t xml:space="preserve"> or </w:t>
      </w:r>
      <w:r>
        <w:t>blame, and to have to communicate genetic information to other family members who may be at risk of having an affected child. However, this adjustment is generally made with support, and most families prefer knowledge over the diagnostic odyssey.</w:t>
      </w:r>
    </w:p>
    <w:p w14:paraId="4B8D7501" w14:textId="77777777" w:rsidR="0012129B" w:rsidRDefault="0012129B" w:rsidP="00042B86">
      <w:pPr>
        <w:spacing w:before="240"/>
      </w:pPr>
      <w:r>
        <w:t>Other technical comments made in consultation feedback were:</w:t>
      </w:r>
    </w:p>
    <w:p w14:paraId="0CCE7B5D" w14:textId="77777777" w:rsidR="0012129B" w:rsidRDefault="0012129B" w:rsidP="0012129B">
      <w:pPr>
        <w:pStyle w:val="ListParagraph"/>
        <w:numPr>
          <w:ilvl w:val="0"/>
          <w:numId w:val="20"/>
        </w:numPr>
      </w:pPr>
      <w:r>
        <w:t>Strong support that genetic counselling be required, ideally prior to testing and certainly after a diagnosis, and especially where the result may have an impact beyond the family member being tested.</w:t>
      </w:r>
    </w:p>
    <w:p w14:paraId="685F43A6" w14:textId="77777777" w:rsidR="0012129B" w:rsidRDefault="0012129B" w:rsidP="0012129B">
      <w:pPr>
        <w:pStyle w:val="ListParagraph"/>
        <w:numPr>
          <w:ilvl w:val="0"/>
          <w:numId w:val="20"/>
        </w:numPr>
      </w:pPr>
      <w:r>
        <w:t>Where provided by a non-genetic specialist, access to a genetic counsellor will be important to ensure patients and their families receive accurate advice and support.</w:t>
      </w:r>
    </w:p>
    <w:p w14:paraId="29B31F3B" w14:textId="1F2BEEF3" w:rsidR="0012129B" w:rsidRDefault="0012129B" w:rsidP="0012129B">
      <w:pPr>
        <w:pStyle w:val="ListParagraph"/>
        <w:numPr>
          <w:ilvl w:val="0"/>
          <w:numId w:val="20"/>
        </w:numPr>
      </w:pPr>
      <w:r>
        <w:t xml:space="preserve">The population </w:t>
      </w:r>
      <w:r w:rsidR="00B71CF6">
        <w:t xml:space="preserve">of patients includes those with </w:t>
      </w:r>
      <w:r>
        <w:t xml:space="preserve">neurological disorders for which genetic testing has proven utility, </w:t>
      </w:r>
      <w:proofErr w:type="gramStart"/>
      <w:r>
        <w:t>e.g.</w:t>
      </w:r>
      <w:proofErr w:type="gramEnd"/>
      <w:r>
        <w:t xml:space="preserve"> ataxias, spastic paraplegia, dystonia, dementias.</w:t>
      </w:r>
    </w:p>
    <w:p w14:paraId="57C1F1CD" w14:textId="6A7A8FF8" w:rsidR="0012129B" w:rsidRDefault="0012129B" w:rsidP="0012129B">
      <w:pPr>
        <w:pStyle w:val="ListParagraph"/>
        <w:numPr>
          <w:ilvl w:val="0"/>
          <w:numId w:val="20"/>
        </w:numPr>
      </w:pPr>
      <w:r>
        <w:t xml:space="preserve">Strong support for enabling </w:t>
      </w:r>
      <w:r w:rsidR="00F53F60">
        <w:t>methods with a full capture and sequencing background</w:t>
      </w:r>
      <w:r>
        <w:t xml:space="preserve"> </w:t>
      </w:r>
      <w:r w:rsidR="00F53F60">
        <w:t xml:space="preserve">with </w:t>
      </w:r>
      <w:r>
        <w:t xml:space="preserve">virtual panel </w:t>
      </w:r>
      <w:r w:rsidR="00F53F60">
        <w:t>analysis</w:t>
      </w:r>
      <w:r>
        <w:t>, rather than only a genetic panel test.</w:t>
      </w:r>
    </w:p>
    <w:p w14:paraId="4666175F" w14:textId="77777777" w:rsidR="0012129B" w:rsidRDefault="0012129B" w:rsidP="0012129B">
      <w:pPr>
        <w:pStyle w:val="ListParagraph"/>
        <w:numPr>
          <w:ilvl w:val="1"/>
          <w:numId w:val="20"/>
        </w:numPr>
      </w:pPr>
      <w:r>
        <w:t>Would prevent custom panels becoming outdated as new disease genes are identified.</w:t>
      </w:r>
    </w:p>
    <w:p w14:paraId="559B5F71" w14:textId="7AF1FAE7" w:rsidR="0012129B" w:rsidRDefault="0012129B" w:rsidP="0012129B">
      <w:pPr>
        <w:pStyle w:val="ListParagraph"/>
        <w:numPr>
          <w:ilvl w:val="1"/>
          <w:numId w:val="20"/>
        </w:numPr>
      </w:pPr>
      <w:r>
        <w:t xml:space="preserve">Using </w:t>
      </w:r>
      <w:r w:rsidR="00F53F60">
        <w:t>full capture and sequencing methods for library preparation</w:t>
      </w:r>
      <w:r>
        <w:t xml:space="preserve"> would allow reanalysis, overcoming potentially needing an additional test if a diagnosis was not made with the initial panel.</w:t>
      </w:r>
    </w:p>
    <w:p w14:paraId="44A95A47" w14:textId="77777777" w:rsidR="0012129B" w:rsidRDefault="0012129B" w:rsidP="0012129B">
      <w:pPr>
        <w:pStyle w:val="ListParagraph"/>
        <w:numPr>
          <w:ilvl w:val="1"/>
          <w:numId w:val="20"/>
        </w:numPr>
      </w:pPr>
      <w:r>
        <w:t>One possibility would be to include tiered analytical complexity options, with commensurate fees for each. This would allow analysis of a larger number of genes for patients with more complex presentations.</w:t>
      </w:r>
    </w:p>
    <w:p w14:paraId="2FF922AC" w14:textId="3D02CDCF" w:rsidR="0012129B" w:rsidRDefault="0012129B" w:rsidP="0012129B">
      <w:pPr>
        <w:pStyle w:val="ListParagraph"/>
        <w:numPr>
          <w:ilvl w:val="0"/>
          <w:numId w:val="20"/>
        </w:numPr>
      </w:pPr>
      <w:r>
        <w:t xml:space="preserve">A neuromuscular panel test is an inappropriate test when prenatal ultrasound finds abnormalities and there is no family history of a neuromuscular disorder and/or known genetic variant in a family. In this setting analysis of the whole exome/genome is the appropriate test, as there are causes for </w:t>
      </w:r>
      <w:r w:rsidR="00B71CF6">
        <w:t>atypical</w:t>
      </w:r>
      <w:r>
        <w:t xml:space="preserve"> ultrasound findings that will not be </w:t>
      </w:r>
      <w:r w:rsidR="00B71CF6">
        <w:t>encompassed by</w:t>
      </w:r>
      <w:r>
        <w:t xml:space="preserve"> a neuromuscular panel. For example, polyhydramnios can be due to a variant(s) in genes that underlie a variety of syndromes and brain disorders that are not included in a neuromuscular gene panel.</w:t>
      </w:r>
    </w:p>
    <w:p w14:paraId="26EDFDFC" w14:textId="77777777" w:rsidR="0012129B" w:rsidRDefault="0012129B" w:rsidP="0012129B">
      <w:pPr>
        <w:pStyle w:val="ListParagraph"/>
        <w:numPr>
          <w:ilvl w:val="0"/>
          <w:numId w:val="20"/>
        </w:numPr>
      </w:pPr>
      <w:r>
        <w:t>The minimum gene list may need to be included in the MBS item descriptor, to ensure that laboratories performing the test have minimally equivalent tests.</w:t>
      </w:r>
    </w:p>
    <w:p w14:paraId="5184F7D8" w14:textId="6875BE69" w:rsidR="00B411FE" w:rsidRPr="00C730C8" w:rsidRDefault="0012129B" w:rsidP="00B411FE">
      <w:pPr>
        <w:pStyle w:val="ListParagraph"/>
        <w:numPr>
          <w:ilvl w:val="0"/>
          <w:numId w:val="20"/>
        </w:numPr>
      </w:pPr>
      <w:r>
        <w:t>The proposed fee of $1,200 for item AAAA is in the appropriate range for panel testing, however if virtual panels on exomes/genomes are to be used then this fee would not cover the cost of testing. The fees for items BBBB and CCCC may be too high.</w:t>
      </w:r>
    </w:p>
    <w:p w14:paraId="647036DB" w14:textId="4A83BC04" w:rsidR="00BF0DFE" w:rsidRPr="00C730C8" w:rsidRDefault="00065623"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t>Proposed intervention’s place in clinical management</w:t>
      </w:r>
    </w:p>
    <w:p w14:paraId="1ED808BD" w14:textId="77777777" w:rsidR="00C730C8" w:rsidRDefault="00C730C8" w:rsidP="00C730C8">
      <w:pPr>
        <w:pStyle w:val="Heading2"/>
      </w:pPr>
      <w:r>
        <w:t>Description of Proposed Intervention</w:t>
      </w:r>
    </w:p>
    <w:p w14:paraId="60D3F960" w14:textId="510AB383" w:rsidR="00C730C8" w:rsidRDefault="00C730C8" w:rsidP="00C730C8">
      <w:r>
        <w:t xml:space="preserve">The Applicant identified two populations for genetic testing for the diagnosis of NMDs: individuals where clinical criteria or a family history suggest a possible diagnosis of a neuromuscular disorder (including during prenatal assessments), and biological relatives of the index cases with a confirmed pathogenic variant identified in a gene known to be associated with a neuromuscular disease. In addition, the </w:t>
      </w:r>
      <w:r w:rsidR="006A1BBD">
        <w:t>second DCAR</w:t>
      </w:r>
      <w:r>
        <w:t xml:space="preserve"> noted that the </w:t>
      </w:r>
      <w:r w:rsidR="006A1BBD">
        <w:t xml:space="preserve">first </w:t>
      </w:r>
      <w:r>
        <w:t>DCAR identified an additional population and need for expansion of the proposed item descriptors: for reproductive partners of individuals known to carry a recessive NMD pathogenic variant, as well as a population where re-analysis may be required when the initial gene panel test result is uninformative.</w:t>
      </w:r>
    </w:p>
    <w:p w14:paraId="4B6968F4" w14:textId="49B08987" w:rsidR="00C730C8" w:rsidRDefault="00C730C8" w:rsidP="00042B86">
      <w:pPr>
        <w:spacing w:before="240"/>
      </w:pPr>
      <w:r>
        <w:lastRenderedPageBreak/>
        <w:t xml:space="preserve">The </w:t>
      </w:r>
      <w:r w:rsidR="006A1BBD">
        <w:t xml:space="preserve">first </w:t>
      </w:r>
      <w:r>
        <w:t xml:space="preserve">DCAR stated that both panel tests and variant-specific testing are currently provided through private laboratories or through state-funded hospital pathology departments. Similarly, single gene tests for those NMD-associated variants that are not detectable using NGS methods are not MBS reimbursed but are available privately or through state-funded hospital pathology departments. Challenges in NMD diagnosis include the large number of causative genes across both the broad disease categories (muscular and neurological), and multiple causal genes within a phenotypic diagnosis (genetic heterogeneity), the association of genes with multiple phenotypes (phenotypic heterogeneity), occurrence of various number and types of pathogenic variants along the length of each gene (allelic heterogeneity), and the significantly larger sizes of most NMD genes, including </w:t>
      </w:r>
      <w:r>
        <w:rPr>
          <w:i/>
          <w:iCs/>
        </w:rPr>
        <w:t>Dystrophin (DMD)</w:t>
      </w:r>
      <w:r>
        <w:t xml:space="preserve">, </w:t>
      </w:r>
      <w:proofErr w:type="spellStart"/>
      <w:r w:rsidRPr="00A06303">
        <w:rPr>
          <w:i/>
          <w:iCs/>
        </w:rPr>
        <w:t>Dysferlin</w:t>
      </w:r>
      <w:proofErr w:type="spellEnd"/>
      <w:r w:rsidRPr="00A06303">
        <w:rPr>
          <w:i/>
          <w:iCs/>
        </w:rPr>
        <w:t xml:space="preserve"> (DYSF), </w:t>
      </w:r>
      <w:r>
        <w:rPr>
          <w:i/>
          <w:iCs/>
        </w:rPr>
        <w:t>Titin (</w:t>
      </w:r>
      <w:r w:rsidRPr="00A06303">
        <w:rPr>
          <w:i/>
          <w:iCs/>
        </w:rPr>
        <w:t>TTN</w:t>
      </w:r>
      <w:r>
        <w:rPr>
          <w:i/>
          <w:iCs/>
        </w:rPr>
        <w:t>)</w:t>
      </w:r>
      <w:r w:rsidRPr="00A06303">
        <w:rPr>
          <w:i/>
          <w:iCs/>
        </w:rPr>
        <w:t xml:space="preserve">, </w:t>
      </w:r>
      <w:proofErr w:type="spellStart"/>
      <w:r>
        <w:rPr>
          <w:i/>
          <w:iCs/>
        </w:rPr>
        <w:t>Lamin</w:t>
      </w:r>
      <w:proofErr w:type="spellEnd"/>
      <w:r>
        <w:rPr>
          <w:i/>
          <w:iCs/>
        </w:rPr>
        <w:t xml:space="preserve"> A/C (</w:t>
      </w:r>
      <w:r w:rsidRPr="00A06303">
        <w:rPr>
          <w:i/>
          <w:iCs/>
        </w:rPr>
        <w:t>LMNA</w:t>
      </w:r>
      <w:r>
        <w:rPr>
          <w:i/>
          <w:iCs/>
        </w:rPr>
        <w:t>)</w:t>
      </w:r>
      <w:r>
        <w:t>. The total proposed panel comprises over 500 genes.</w:t>
      </w:r>
    </w:p>
    <w:p w14:paraId="4F26535F" w14:textId="2C223FD8" w:rsidR="00C730C8" w:rsidRDefault="00C730C8" w:rsidP="00042B86">
      <w:pPr>
        <w:spacing w:before="240"/>
      </w:pPr>
      <w:r w:rsidRPr="00DB3641">
        <w:t xml:space="preserve">Gene panels developed by clinical molecular laboratories </w:t>
      </w:r>
      <w:r>
        <w:t xml:space="preserve">can simultaneously </w:t>
      </w:r>
      <w:r w:rsidRPr="00DB3641">
        <w:t>assess</w:t>
      </w:r>
      <w:r>
        <w:t xml:space="preserve"> for multiple pathogenic variants </w:t>
      </w:r>
      <w:r w:rsidRPr="00DB3641">
        <w:t>caus</w:t>
      </w:r>
      <w:r>
        <w:t>al</w:t>
      </w:r>
      <w:r w:rsidRPr="00DB3641">
        <w:t xml:space="preserve"> </w:t>
      </w:r>
      <w:r>
        <w:t>for</w:t>
      </w:r>
      <w:r w:rsidRPr="00DB3641">
        <w:t xml:space="preserve"> a suspected </w:t>
      </w:r>
      <w:r>
        <w:t>NMD</w:t>
      </w:r>
      <w:r w:rsidRPr="00DB3641">
        <w:t xml:space="preserve"> and </w:t>
      </w:r>
      <w:r>
        <w:t>are</w:t>
      </w:r>
      <w:r w:rsidRPr="00DB3641">
        <w:t xml:space="preserve"> claimed to reduce the</w:t>
      </w:r>
      <w:r>
        <w:t xml:space="preserve"> number,</w:t>
      </w:r>
      <w:r w:rsidRPr="00DB3641">
        <w:t xml:space="preserve"> cost</w:t>
      </w:r>
      <w:r>
        <w:t>,</w:t>
      </w:r>
      <w:r w:rsidRPr="00DB3641">
        <w:t xml:space="preserve"> and time of diagnostic test</w:t>
      </w:r>
      <w:r>
        <w:t>s</w:t>
      </w:r>
      <w:r w:rsidRPr="00DB3641">
        <w:t xml:space="preserve">. Gene panels are useful </w:t>
      </w:r>
      <w:r>
        <w:t>in</w:t>
      </w:r>
      <w:r w:rsidRPr="00DB3641">
        <w:t xml:space="preserve"> </w:t>
      </w:r>
      <w:r>
        <w:t xml:space="preserve">refining the </w:t>
      </w:r>
      <w:r w:rsidRPr="00DB3641">
        <w:t>diagnos</w:t>
      </w:r>
      <w:r>
        <w:t>is</w:t>
      </w:r>
      <w:r w:rsidRPr="00DB3641">
        <w:t xml:space="preserve"> </w:t>
      </w:r>
      <w:r>
        <w:t xml:space="preserve">among heritable </w:t>
      </w:r>
      <w:r w:rsidRPr="00DB3641">
        <w:t>disorders with genetic and clinic</w:t>
      </w:r>
      <w:r>
        <w:t>al</w:t>
      </w:r>
      <w:r w:rsidRPr="00DB3641">
        <w:t xml:space="preserve"> heterogeneity</w:t>
      </w:r>
      <w:r>
        <w:t xml:space="preserve">. Methodologically, testing could be a gene panel test, or </w:t>
      </w:r>
      <w:r w:rsidR="00F53F60">
        <w:t xml:space="preserve">library preparation using a full capture and sequencing method </w:t>
      </w:r>
      <w:r>
        <w:t xml:space="preserve">with </w:t>
      </w:r>
      <w:r w:rsidR="00F53F60">
        <w:t xml:space="preserve">analysis restricted to </w:t>
      </w:r>
      <w:r>
        <w:t>a virtual panel.</w:t>
      </w:r>
    </w:p>
    <w:p w14:paraId="0C5950D6" w14:textId="33897D22" w:rsidR="00C730C8" w:rsidRDefault="00C730C8" w:rsidP="00042B86">
      <w:pPr>
        <w:spacing w:before="240"/>
      </w:pPr>
      <w:r w:rsidRPr="009469FA">
        <w:t>Samples for testing adults and children can be from blood, saliva, or</w:t>
      </w:r>
      <w:r>
        <w:t xml:space="preserve"> </w:t>
      </w:r>
      <w:r w:rsidRPr="009469FA">
        <w:t>buccal swab</w:t>
      </w:r>
      <w:r>
        <w:t>s</w:t>
      </w:r>
      <w:r w:rsidRPr="009469FA">
        <w:t xml:space="preserve">, and for </w:t>
      </w:r>
      <w:proofErr w:type="spellStart"/>
      <w:r w:rsidRPr="009469FA">
        <w:t>fetal</w:t>
      </w:r>
      <w:proofErr w:type="spellEnd"/>
      <w:r w:rsidRPr="009469FA">
        <w:t xml:space="preserve"> testing from amniotic fluid or chorionic villi sample</w:t>
      </w:r>
      <w:r>
        <w:t>s</w:t>
      </w:r>
      <w:r w:rsidRPr="009469FA">
        <w:t xml:space="preserve">. </w:t>
      </w:r>
      <w:r>
        <w:t>Each patient tested</w:t>
      </w:r>
      <w:r w:rsidRPr="00DB3641">
        <w:t xml:space="preserve"> </w:t>
      </w:r>
      <w:r>
        <w:t>would</w:t>
      </w:r>
      <w:r w:rsidRPr="00DB3641">
        <w:t xml:space="preserve"> have one pathology sample taken from which the full virtual gene panel </w:t>
      </w:r>
      <w:r>
        <w:t>could be assessed. D</w:t>
      </w:r>
      <w:r w:rsidRPr="00DB3641">
        <w:t>epending on the phenotypic features, either the neurological or myopathy panel will be requested by the clinician. Bioinformatic filters can be used to restrict analysis to a subpanel of genes associated with each clinical phenotype. If</w:t>
      </w:r>
      <w:r>
        <w:t xml:space="preserve"> </w:t>
      </w:r>
      <w:r w:rsidRPr="00DB3641">
        <w:t xml:space="preserve">there is remaining diagnostic uncertainty, the remaining panel can then </w:t>
      </w:r>
      <w:r>
        <w:t xml:space="preserve">also </w:t>
      </w:r>
      <w:r w:rsidRPr="00DB3641">
        <w:t>be reported</w:t>
      </w:r>
      <w:r>
        <w:t>. This is thought to be not that likely due to the small overlap of genes on the muscular and neuropathy panel. There are 269 genes unique to the proposed muscular panel, 326 genes unique to the proposed neuropathy panel, and 49 genes common between the two panels. Later re-analysis of genetic data is also proposed.</w:t>
      </w:r>
    </w:p>
    <w:p w14:paraId="71DAB61C" w14:textId="77777777" w:rsidR="00C730C8" w:rsidRDefault="00C730C8" w:rsidP="00042B86">
      <w:pPr>
        <w:pStyle w:val="Heading2"/>
        <w:spacing w:before="240"/>
      </w:pPr>
      <w:r>
        <w:t>Description of Medical Condition</w:t>
      </w:r>
    </w:p>
    <w:p w14:paraId="6E893313" w14:textId="77777777" w:rsidR="00C730C8" w:rsidRDefault="00C730C8" w:rsidP="00C730C8">
      <w:r w:rsidRPr="009469FA">
        <w:t>NMDs are a broad range of generally progressive disorders affecting the peripheral nervous system, muscle, or neuromuscular junction</w:t>
      </w:r>
      <w:r>
        <w:t>,</w:t>
      </w:r>
      <w:r w:rsidRPr="009469FA">
        <w:t xml:space="preserve"> that present with a high level of clinical and genetic heterogeneity and overlapping phenotypes</w:t>
      </w:r>
      <w:r>
        <w:rPr>
          <w:rStyle w:val="FootnoteReference"/>
        </w:rPr>
        <w:footnoteReference w:id="4"/>
      </w:r>
      <w:r w:rsidRPr="009469FA">
        <w:t xml:space="preserve">. The common aspect of all NMDs is abnormal muscle function with associated clinical burden. At the most severe end of the spectrum, onset can be in utero leading to </w:t>
      </w:r>
      <w:proofErr w:type="spellStart"/>
      <w:r w:rsidRPr="009469FA">
        <w:t>fetal</w:t>
      </w:r>
      <w:proofErr w:type="spellEnd"/>
      <w:r w:rsidRPr="009469FA">
        <w:t xml:space="preserve"> akinesia, paralysis or reduced movement in utero leading to </w:t>
      </w:r>
      <w:proofErr w:type="spellStart"/>
      <w:r w:rsidRPr="009469FA">
        <w:t>fetal</w:t>
      </w:r>
      <w:proofErr w:type="spellEnd"/>
      <w:r w:rsidRPr="009469FA">
        <w:t xml:space="preserve"> death</w:t>
      </w:r>
      <w:r>
        <w:rPr>
          <w:rStyle w:val="FootnoteReference"/>
        </w:rPr>
        <w:footnoteReference w:id="5"/>
      </w:r>
      <w:r w:rsidRPr="009469FA">
        <w:t>. Paediatric patients may present with early onset symptoms that include a delay in motor milestones, hypotonia, abnormal gait characteristics, frequent falls, respiratory difficulties, and difficulty ascending stairs or arising from the floor; such conditions may be fatal or result in severe morbidity. Late onset or adult patients may present with loss of strength, fatigue, episodic weakness, muscle cramps, falls and difficulties with speech and swallowing</w:t>
      </w:r>
      <w:r>
        <w:rPr>
          <w:rStyle w:val="FootnoteReference"/>
        </w:rPr>
        <w:footnoteReference w:id="6"/>
      </w:r>
      <w:r w:rsidRPr="009469FA">
        <w:t>.</w:t>
      </w:r>
      <w:r>
        <w:t xml:space="preserve"> </w:t>
      </w:r>
      <w:r w:rsidRPr="009469FA">
        <w:t xml:space="preserve">Many inherited NMDs are multi-systemic, involving cardiac, </w:t>
      </w:r>
      <w:r w:rsidRPr="009469FA">
        <w:lastRenderedPageBreak/>
        <w:t>respiratory, and other organ systems</w:t>
      </w:r>
      <w:r>
        <w:rPr>
          <w:rStyle w:val="FootnoteReference"/>
        </w:rPr>
        <w:footnoteReference w:id="7"/>
      </w:r>
      <w:r w:rsidRPr="009469FA">
        <w:t xml:space="preserve">. The significant life-long morbidities of NMD are frequently severely disabling and associated with premature mortality. </w:t>
      </w:r>
    </w:p>
    <w:p w14:paraId="6A0FCD12" w14:textId="77777777" w:rsidR="00C730C8" w:rsidRDefault="00C730C8" w:rsidP="00042B86">
      <w:pPr>
        <w:spacing w:before="240"/>
      </w:pPr>
      <w:r w:rsidRPr="009469FA">
        <w:t>The clinical and genetic heterogeneities of NMDs make disease diagnosis complicated and expensive, often involving multiple tests</w:t>
      </w:r>
      <w:r>
        <w:rPr>
          <w:rStyle w:val="FootnoteReference"/>
        </w:rPr>
        <w:footnoteReference w:id="8"/>
      </w:r>
      <w:r w:rsidRPr="009469FA">
        <w:t>. While historically treatment options for NMD were poor,</w:t>
      </w:r>
      <w:r>
        <w:t xml:space="preserve"> potential treatments are under development – though</w:t>
      </w:r>
      <w:r w:rsidRPr="009469FA">
        <w:t xml:space="preserve"> curative interventions or improvements decreasing morbidity and mortality</w:t>
      </w:r>
      <w:r>
        <w:t xml:space="preserve"> remain experimental</w:t>
      </w:r>
      <w:r>
        <w:rPr>
          <w:rStyle w:val="FootnoteReference"/>
        </w:rPr>
        <w:footnoteReference w:id="9"/>
      </w:r>
      <w:r w:rsidRPr="009469FA">
        <w:t>. However, novel treatments for NMD</w:t>
      </w:r>
      <w:r>
        <w:t>s</w:t>
      </w:r>
      <w:r w:rsidRPr="009469FA">
        <w:t xml:space="preserve"> are guided by the underlying molecular pathology and establishment of a specific genetic diagnosis. A definitive genetic diagnostic result may also, separately, provide prognostic information for an affected individual.</w:t>
      </w:r>
    </w:p>
    <w:p w14:paraId="286305B0" w14:textId="77777777" w:rsidR="00C730C8" w:rsidRDefault="00C730C8" w:rsidP="00042B86">
      <w:pPr>
        <w:spacing w:before="240"/>
      </w:pPr>
      <w:r w:rsidRPr="009469FA">
        <w:t>Neuromuscular disorders can be roughly allocated into</w:t>
      </w:r>
      <w:r>
        <w:t xml:space="preserve"> broad</w:t>
      </w:r>
      <w:r w:rsidRPr="009469FA">
        <w:t xml:space="preserve"> four categories: muscle disorders such as muscular dystrophies (</w:t>
      </w:r>
      <w:proofErr w:type="gramStart"/>
      <w:r w:rsidRPr="009469FA">
        <w:t>e.g.</w:t>
      </w:r>
      <w:proofErr w:type="gramEnd"/>
      <w:r w:rsidRPr="009469FA">
        <w:t xml:space="preserve"> Duchenne muscular dystrophy (DMD)), myotonias, myopathies, motor neurone disorders including spinal muscular atrophies (SMAs); neuropathies such as Charcot-Marie-Tooth disease (CMT); and neuromuscular junction disorders</w:t>
      </w:r>
      <w:r>
        <w:rPr>
          <w:rStyle w:val="FootnoteReference"/>
        </w:rPr>
        <w:footnoteReference w:id="10"/>
      </w:r>
      <w:r w:rsidRPr="009469FA">
        <w:t xml:space="preserve">. </w:t>
      </w:r>
      <w:r>
        <w:t>G</w:t>
      </w:r>
      <w:r w:rsidRPr="009469FA">
        <w:t>enetic heterogeneity exists not only for NMDs as a group but also within the subgroups. For example, there are over 20 genes implicated in autosomal recessive limb-girdle muscular dystrophy</w:t>
      </w:r>
      <w:r>
        <w:rPr>
          <w:rStyle w:val="FootnoteReference"/>
        </w:rPr>
        <w:footnoteReference w:id="11"/>
      </w:r>
      <w:r w:rsidRPr="009469FA">
        <w:t xml:space="preserve">. </w:t>
      </w:r>
      <w:r>
        <w:t>NMDs</w:t>
      </w:r>
      <w:r w:rsidRPr="009469FA">
        <w:t xml:space="preserve"> tend to be mostly genetic in origin, </w:t>
      </w:r>
      <w:r>
        <w:t xml:space="preserve">and </w:t>
      </w:r>
      <w:r w:rsidRPr="009469FA">
        <w:t xml:space="preserve">can be inherited as autosomal dominant, autosomal recessive, X-linked or mitochondrial traits, however, </w:t>
      </w:r>
      <w:r w:rsidRPr="009469FA">
        <w:rPr>
          <w:i/>
          <w:iCs/>
        </w:rPr>
        <w:t>de novo</w:t>
      </w:r>
      <w:r w:rsidRPr="009469FA">
        <w:t xml:space="preserve"> pathogenic variants are relatively common (up to 30% for DMD</w:t>
      </w:r>
      <w:r>
        <w:rPr>
          <w:rStyle w:val="FootnoteReference"/>
        </w:rPr>
        <w:footnoteReference w:id="12"/>
      </w:r>
      <w:r>
        <w:rPr>
          <w:vertAlign w:val="superscript"/>
        </w:rPr>
        <w:t>,</w:t>
      </w:r>
      <w:r>
        <w:rPr>
          <w:rStyle w:val="FootnoteReference"/>
        </w:rPr>
        <w:footnoteReference w:id="13"/>
      </w:r>
      <w:r>
        <w:rPr>
          <w:vertAlign w:val="subscript"/>
        </w:rPr>
        <w:t>)</w:t>
      </w:r>
      <w:r w:rsidRPr="009469FA">
        <w:t>. Approximately 761 different NMD disorders exist</w:t>
      </w:r>
      <w:r>
        <w:t xml:space="preserve">, associated with over </w:t>
      </w:r>
      <w:r w:rsidRPr="009469FA">
        <w:t>500 known genes</w:t>
      </w:r>
      <w:r>
        <w:rPr>
          <w:rStyle w:val="FootnoteReference"/>
        </w:rPr>
        <w:footnoteReference w:id="14"/>
      </w:r>
      <w:r w:rsidRPr="00B4553E">
        <w:rPr>
          <w:vertAlign w:val="superscript"/>
        </w:rPr>
        <w:t>,</w:t>
      </w:r>
      <w:r>
        <w:rPr>
          <w:rStyle w:val="FootnoteReference"/>
        </w:rPr>
        <w:footnoteReference w:id="15"/>
      </w:r>
      <w:r w:rsidRPr="009469FA">
        <w:t>.</w:t>
      </w:r>
    </w:p>
    <w:p w14:paraId="1F1B9CC4" w14:textId="1C157DDD" w:rsidR="0012129B" w:rsidRDefault="0012129B" w:rsidP="00C730C8">
      <w:pPr>
        <w:spacing w:before="240"/>
      </w:pPr>
      <w:r>
        <w:t xml:space="preserve">The </w:t>
      </w:r>
      <w:r w:rsidR="006A1BBD">
        <w:t xml:space="preserve">first </w:t>
      </w:r>
      <w:r>
        <w:t>DCAR stated that t</w:t>
      </w:r>
      <w:r w:rsidRPr="00976C2A">
        <w:t xml:space="preserve">he clinical management algorithms presented in the </w:t>
      </w:r>
      <w:r w:rsidR="006A1BBD">
        <w:t xml:space="preserve">first </w:t>
      </w:r>
      <w:r w:rsidRPr="00976C2A">
        <w:t xml:space="preserve">DCAR are not the same as those in the </w:t>
      </w:r>
      <w:r>
        <w:t xml:space="preserve">ratified PICO, </w:t>
      </w:r>
      <w:r w:rsidRPr="00976C2A">
        <w:t>because the populations have been reorganised to reflect testing firstly in a population symptomatic of NMD and then secondly in the biologica</w:t>
      </w:r>
      <w:r>
        <w:t>l relatives of the index cases. Clinical management algorithms are presented for affected individuals (</w:t>
      </w:r>
      <w:r w:rsidR="003E46EE">
        <w:fldChar w:fldCharType="begin"/>
      </w:r>
      <w:r w:rsidR="003E46EE">
        <w:instrText xml:space="preserve"> REF _Ref62656807 </w:instrText>
      </w:r>
      <w:r w:rsidR="003E46EE">
        <w:fldChar w:fldCharType="separate"/>
      </w:r>
      <w:r w:rsidR="004205E1">
        <w:t xml:space="preserve">Figure </w:t>
      </w:r>
      <w:r w:rsidR="004205E1">
        <w:rPr>
          <w:noProof/>
        </w:rPr>
        <w:t>2</w:t>
      </w:r>
      <w:r w:rsidR="003E46EE">
        <w:rPr>
          <w:noProof/>
        </w:rPr>
        <w:fldChar w:fldCharType="end"/>
      </w:r>
      <w:r>
        <w:t xml:space="preserve">), pregnancies with symptomatic </w:t>
      </w:r>
      <w:proofErr w:type="spellStart"/>
      <w:r>
        <w:t>fetuses</w:t>
      </w:r>
      <w:proofErr w:type="spellEnd"/>
      <w:r>
        <w:t xml:space="preserve"> (</w:t>
      </w:r>
      <w:r w:rsidR="003E46EE">
        <w:fldChar w:fldCharType="begin"/>
      </w:r>
      <w:r w:rsidR="003E46EE">
        <w:instrText xml:space="preserve"> REF _Ref62656812 </w:instrText>
      </w:r>
      <w:r w:rsidR="003E46EE">
        <w:fldChar w:fldCharType="separate"/>
      </w:r>
      <w:r w:rsidR="004205E1">
        <w:t xml:space="preserve">Figure </w:t>
      </w:r>
      <w:r w:rsidR="004205E1">
        <w:rPr>
          <w:noProof/>
        </w:rPr>
        <w:t>3</w:t>
      </w:r>
      <w:r w:rsidR="003E46EE">
        <w:rPr>
          <w:noProof/>
        </w:rPr>
        <w:fldChar w:fldCharType="end"/>
      </w:r>
      <w:r>
        <w:t>) and other biological relatives and reproductive partners of index cases (</w:t>
      </w:r>
      <w:r w:rsidR="003E46EE">
        <w:fldChar w:fldCharType="begin"/>
      </w:r>
      <w:r w:rsidR="003E46EE">
        <w:instrText xml:space="preserve"> REF _Ref62656818 </w:instrText>
      </w:r>
      <w:r w:rsidR="003E46EE">
        <w:fldChar w:fldCharType="separate"/>
      </w:r>
      <w:r w:rsidR="004205E1">
        <w:t xml:space="preserve">Figure </w:t>
      </w:r>
      <w:r w:rsidR="004205E1">
        <w:rPr>
          <w:noProof/>
        </w:rPr>
        <w:t>4</w:t>
      </w:r>
      <w:r w:rsidR="003E46EE">
        <w:rPr>
          <w:noProof/>
        </w:rPr>
        <w:fldChar w:fldCharType="end"/>
      </w:r>
      <w:r>
        <w:t>).</w:t>
      </w:r>
    </w:p>
    <w:p w14:paraId="06295349" w14:textId="5703C608" w:rsidR="00442A27" w:rsidRDefault="00442A27" w:rsidP="00042B86">
      <w:pPr>
        <w:spacing w:before="240"/>
      </w:pPr>
      <w:r>
        <w:t xml:space="preserve">The </w:t>
      </w:r>
      <w:r w:rsidR="006A1BBD">
        <w:t xml:space="preserve">first </w:t>
      </w:r>
      <w:r>
        <w:t>DCAR stated that f</w:t>
      </w:r>
      <w:r w:rsidR="0012129B">
        <w:t xml:space="preserve">or affected individual testing, </w:t>
      </w:r>
      <w:r w:rsidR="0012129B" w:rsidRPr="00B95A18">
        <w:t xml:space="preserve">the proposed </w:t>
      </w:r>
      <w:r w:rsidR="0012129B">
        <w:t>algorithm uses</w:t>
      </w:r>
      <w:r w:rsidR="0012129B" w:rsidRPr="00B95A18">
        <w:t xml:space="preserve"> gene panel test </w:t>
      </w:r>
      <w:r w:rsidR="0012129B">
        <w:t xml:space="preserve">as </w:t>
      </w:r>
      <w:r w:rsidR="0012129B" w:rsidRPr="00B95A18">
        <w:t>first line testing to establish a genetic diagnosis</w:t>
      </w:r>
      <w:r w:rsidR="0012129B">
        <w:t xml:space="preserve"> (item AAAA)</w:t>
      </w:r>
      <w:r w:rsidR="0012129B" w:rsidRPr="00B95A18">
        <w:t>. Currently, diagnostic testing is available that may provide a phenotypic diagnosis but will not identify the gene variant responsible for the condition.</w:t>
      </w:r>
      <w:r w:rsidR="0012129B">
        <w:t xml:space="preserve"> Genetic testing would be used to replace existing tests where a genetic variant is found, and in patients in whom no variant is identified it would be used in addition to existing testing. </w:t>
      </w:r>
    </w:p>
    <w:p w14:paraId="65203CF5" w14:textId="4B5AE286" w:rsidR="00303C98" w:rsidRDefault="00442A27" w:rsidP="00042B86">
      <w:pPr>
        <w:spacing w:before="240"/>
      </w:pPr>
      <w:r>
        <w:lastRenderedPageBreak/>
        <w:t xml:space="preserve">The </w:t>
      </w:r>
      <w:r w:rsidR="006A1BBD">
        <w:t>second DCAR</w:t>
      </w:r>
      <w:r>
        <w:t xml:space="preserve"> noted that gene panel testing </w:t>
      </w:r>
      <w:r w:rsidR="004B0B8A">
        <w:t>was proposed by the applicant to</w:t>
      </w:r>
      <w:r>
        <w:t xml:space="preserve"> be preceded by</w:t>
      </w:r>
      <w:r w:rsidR="00954190">
        <w:t xml:space="preserve"> (where appropriate)</w:t>
      </w:r>
      <w:r>
        <w:t xml:space="preserve"> differential testing that requires </w:t>
      </w:r>
      <w:r w:rsidR="004B0B8A">
        <w:t xml:space="preserve">separate </w:t>
      </w:r>
      <w:r>
        <w:t>single gene tests (</w:t>
      </w:r>
      <w:r w:rsidR="003E46EE">
        <w:fldChar w:fldCharType="begin"/>
      </w:r>
      <w:r w:rsidR="003E46EE">
        <w:instrText xml:space="preserve"> REF _Ref74827233 </w:instrText>
      </w:r>
      <w:r w:rsidR="003E46EE">
        <w:fldChar w:fldCharType="separate"/>
      </w:r>
      <w:r w:rsidR="004205E1">
        <w:t xml:space="preserve">Figure </w:t>
      </w:r>
      <w:r w:rsidR="004205E1">
        <w:rPr>
          <w:noProof/>
        </w:rPr>
        <w:t>1</w:t>
      </w:r>
      <w:r w:rsidR="003E46EE">
        <w:rPr>
          <w:noProof/>
        </w:rPr>
        <w:fldChar w:fldCharType="end"/>
      </w:r>
      <w:r>
        <w:t>), as there are some NMDs caused by genetic variants that are not detectable using NGS methods.</w:t>
      </w:r>
    </w:p>
    <w:p w14:paraId="23BA0525" w14:textId="304BC393" w:rsidR="00442A27" w:rsidRPr="00610E08" w:rsidRDefault="00303C98" w:rsidP="00442A27">
      <w:pPr>
        <w:keepNext/>
      </w:pPr>
      <w:r>
        <w:rPr>
          <w:noProof/>
        </w:rPr>
        <mc:AlternateContent>
          <mc:Choice Requires="wpc">
            <w:drawing>
              <wp:inline distT="0" distB="0" distL="0" distR="0" wp14:anchorId="58B58664" wp14:editId="6546D98E">
                <wp:extent cx="5486400" cy="6829425"/>
                <wp:effectExtent l="0" t="0" r="0" b="9525"/>
                <wp:docPr id="1" name="Canvas 1" descr="Clinical algorithm including proposed NMD genetic testing."/>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3" name="Rectangle: Rounded Corners 3"/>
                        <wps:cNvSpPr/>
                        <wps:spPr>
                          <a:xfrm>
                            <a:off x="485776" y="171450"/>
                            <a:ext cx="4514849" cy="1209719"/>
                          </a:xfrm>
                          <a:prstGeom prst="roundRect">
                            <a:avLst/>
                          </a:prstGeom>
                          <a:solidFill>
                            <a:srgbClr val="FFE79B"/>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783C4B" w14:textId="2A92E0DC" w:rsidR="006F6993" w:rsidRPr="00992D53" w:rsidRDefault="006F6993" w:rsidP="00303C98">
                              <w:pPr>
                                <w:rPr>
                                  <w:rFonts w:ascii="Arial" w:hAnsi="Arial" w:cs="Arial"/>
                                  <w:color w:val="000000" w:themeColor="text1"/>
                                  <w:sz w:val="20"/>
                                  <w:szCs w:val="16"/>
                                </w:rPr>
                              </w:pPr>
                              <w:r w:rsidRPr="00992D53">
                                <w:rPr>
                                  <w:rFonts w:ascii="Arial" w:hAnsi="Arial" w:cs="Arial"/>
                                  <w:color w:val="000000" w:themeColor="text1"/>
                                  <w:sz w:val="20"/>
                                  <w:szCs w:val="16"/>
                                </w:rPr>
                                <w:t>Patient referred to paediatrician / consultant neurologist</w:t>
                              </w:r>
                            </w:p>
                            <w:p w14:paraId="5FC92EF3" w14:textId="0DA6C6A5" w:rsidR="006F6993" w:rsidRPr="00992D53" w:rsidRDefault="006F6993" w:rsidP="00303C98">
                              <w:pPr>
                                <w:rPr>
                                  <w:rFonts w:ascii="Arial" w:hAnsi="Arial" w:cs="Arial"/>
                                  <w:color w:val="000000" w:themeColor="text1"/>
                                  <w:sz w:val="20"/>
                                  <w:szCs w:val="16"/>
                                </w:rPr>
                              </w:pPr>
                              <w:r w:rsidRPr="00992D53">
                                <w:rPr>
                                  <w:rFonts w:ascii="Arial" w:hAnsi="Arial" w:cs="Arial"/>
                                  <w:color w:val="000000" w:themeColor="text1"/>
                                  <w:sz w:val="20"/>
                                  <w:szCs w:val="16"/>
                                </w:rPr>
                                <w:t>Detailed clinical examination for NMDs:</w:t>
                              </w:r>
                            </w:p>
                            <w:p w14:paraId="521F617C" w14:textId="4BA79230" w:rsidR="006F6993" w:rsidRPr="007136F6" w:rsidRDefault="006F6993" w:rsidP="005C3EFD">
                              <w:pPr>
                                <w:pStyle w:val="ListParagraph"/>
                                <w:numPr>
                                  <w:ilvl w:val="0"/>
                                  <w:numId w:val="28"/>
                                </w:numPr>
                                <w:ind w:left="426" w:hanging="284"/>
                                <w:rPr>
                                  <w:rFonts w:ascii="Arial" w:hAnsi="Arial" w:cs="Arial"/>
                                  <w:color w:val="000000" w:themeColor="text1"/>
                                  <w:sz w:val="18"/>
                                  <w:szCs w:val="14"/>
                                </w:rPr>
                              </w:pPr>
                              <w:r w:rsidRPr="007136F6">
                                <w:rPr>
                                  <w:rFonts w:ascii="Arial" w:hAnsi="Arial" w:cs="Arial"/>
                                  <w:color w:val="000000" w:themeColor="text1"/>
                                  <w:sz w:val="18"/>
                                  <w:szCs w:val="14"/>
                                </w:rPr>
                                <w:t>Comprehensive neurological examination</w:t>
                              </w:r>
                            </w:p>
                            <w:p w14:paraId="7338373A" w14:textId="5721FAB5" w:rsidR="006F6993" w:rsidRPr="007136F6" w:rsidRDefault="006F6993" w:rsidP="005C3EFD">
                              <w:pPr>
                                <w:pStyle w:val="ListParagraph"/>
                                <w:numPr>
                                  <w:ilvl w:val="0"/>
                                  <w:numId w:val="28"/>
                                </w:numPr>
                                <w:ind w:left="426" w:hanging="284"/>
                                <w:rPr>
                                  <w:rFonts w:ascii="Arial" w:hAnsi="Arial" w:cs="Arial"/>
                                  <w:color w:val="000000" w:themeColor="text1"/>
                                  <w:sz w:val="18"/>
                                  <w:szCs w:val="14"/>
                                </w:rPr>
                              </w:pPr>
                              <w:r w:rsidRPr="007136F6">
                                <w:rPr>
                                  <w:rFonts w:ascii="Arial" w:hAnsi="Arial" w:cs="Arial"/>
                                  <w:color w:val="000000" w:themeColor="text1"/>
                                  <w:sz w:val="18"/>
                                  <w:szCs w:val="14"/>
                                </w:rPr>
                                <w:t>Muscle weakness / hypertonia</w:t>
                              </w:r>
                            </w:p>
                            <w:p w14:paraId="4D9BC719" w14:textId="5DA1FB3C" w:rsidR="006F6993" w:rsidRPr="007136F6" w:rsidRDefault="006F6993" w:rsidP="005C3EFD">
                              <w:pPr>
                                <w:pStyle w:val="ListParagraph"/>
                                <w:numPr>
                                  <w:ilvl w:val="0"/>
                                  <w:numId w:val="28"/>
                                </w:numPr>
                                <w:ind w:left="426" w:hanging="284"/>
                                <w:rPr>
                                  <w:rFonts w:ascii="Arial" w:hAnsi="Arial" w:cs="Arial"/>
                                  <w:color w:val="000000" w:themeColor="text1"/>
                                  <w:sz w:val="18"/>
                                  <w:szCs w:val="14"/>
                                </w:rPr>
                              </w:pPr>
                              <w:r w:rsidRPr="007136F6">
                                <w:rPr>
                                  <w:rFonts w:ascii="Arial" w:hAnsi="Arial" w:cs="Arial"/>
                                  <w:color w:val="000000" w:themeColor="text1"/>
                                  <w:sz w:val="18"/>
                                  <w:szCs w:val="14"/>
                                </w:rPr>
                                <w:t>Presence of specific signs (e.g. contractures, calf hypertrophy)</w:t>
                              </w:r>
                            </w:p>
                            <w:p w14:paraId="2A3014F3" w14:textId="00DDCB57" w:rsidR="006F6993" w:rsidRPr="007136F6" w:rsidRDefault="006F6993" w:rsidP="005C3EFD">
                              <w:pPr>
                                <w:pStyle w:val="ListParagraph"/>
                                <w:numPr>
                                  <w:ilvl w:val="0"/>
                                  <w:numId w:val="28"/>
                                </w:numPr>
                                <w:ind w:left="426" w:hanging="284"/>
                                <w:rPr>
                                  <w:rFonts w:ascii="Arial" w:hAnsi="Arial" w:cs="Arial"/>
                                  <w:color w:val="000000" w:themeColor="text1"/>
                                  <w:sz w:val="18"/>
                                  <w:szCs w:val="14"/>
                                </w:rPr>
                              </w:pPr>
                              <w:r w:rsidRPr="007136F6">
                                <w:rPr>
                                  <w:rFonts w:ascii="Arial" w:hAnsi="Arial" w:cs="Arial"/>
                                  <w:color w:val="000000" w:themeColor="text1"/>
                                  <w:sz w:val="18"/>
                                  <w:szCs w:val="14"/>
                                </w:rPr>
                                <w:t>Presence of complications (e.g. respiratory failure, cardiomyopathy)</w:t>
                              </w:r>
                            </w:p>
                            <w:p w14:paraId="57CE671A" w14:textId="2486FF9C" w:rsidR="006F6993" w:rsidRPr="007136F6" w:rsidRDefault="006F6993" w:rsidP="005C3EFD">
                              <w:pPr>
                                <w:pStyle w:val="ListParagraph"/>
                                <w:numPr>
                                  <w:ilvl w:val="0"/>
                                  <w:numId w:val="28"/>
                                </w:numPr>
                                <w:ind w:left="426" w:hanging="284"/>
                                <w:rPr>
                                  <w:rFonts w:ascii="Arial" w:hAnsi="Arial" w:cs="Arial"/>
                                  <w:color w:val="000000" w:themeColor="text1"/>
                                  <w:sz w:val="18"/>
                                  <w:szCs w:val="14"/>
                                </w:rPr>
                              </w:pPr>
                              <w:r w:rsidRPr="007136F6">
                                <w:rPr>
                                  <w:rFonts w:ascii="Arial" w:hAnsi="Arial" w:cs="Arial"/>
                                  <w:color w:val="000000" w:themeColor="text1"/>
                                  <w:sz w:val="18"/>
                                  <w:szCs w:val="14"/>
                                </w:rPr>
                                <w:t>± metabolic studies, ± electrophysiology, ± imaging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Rectangle: Rounded Corners 9"/>
                        <wps:cNvSpPr/>
                        <wps:spPr>
                          <a:xfrm>
                            <a:off x="1713525" y="1617118"/>
                            <a:ext cx="2819740" cy="306975"/>
                          </a:xfrm>
                          <a:prstGeom prst="roundRect">
                            <a:avLst/>
                          </a:prstGeom>
                          <a:solidFill>
                            <a:srgbClr val="FFE79B"/>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FC6BB" w14:textId="4136845D" w:rsidR="006F6993" w:rsidRPr="00303C98" w:rsidRDefault="006F6993" w:rsidP="00303C98">
                              <w:pPr>
                                <w:jc w:val="center"/>
                                <w:rPr>
                                  <w:rFonts w:ascii="Arial" w:hAnsi="Arial" w:cs="Arial"/>
                                  <w:color w:val="000000" w:themeColor="text1"/>
                                  <w:sz w:val="20"/>
                                  <w:szCs w:val="16"/>
                                </w:rPr>
                              </w:pPr>
                              <w:r>
                                <w:rPr>
                                  <w:rFonts w:ascii="Arial" w:hAnsi="Arial" w:cs="Arial"/>
                                  <w:color w:val="000000" w:themeColor="text1"/>
                                  <w:sz w:val="20"/>
                                  <w:szCs w:val="16"/>
                                </w:rPr>
                                <w:t>NMD with suspected genetic aetiology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 name="Rectangle: Rounded Corners 10"/>
                        <wps:cNvSpPr/>
                        <wps:spPr>
                          <a:xfrm>
                            <a:off x="161925" y="2197640"/>
                            <a:ext cx="2809875" cy="1173834"/>
                          </a:xfrm>
                          <a:prstGeom prst="roundRect">
                            <a:avLst/>
                          </a:prstGeom>
                          <a:solidFill>
                            <a:schemeClr val="accent5">
                              <a:lumMod val="40000"/>
                              <a:lumOff val="6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B2A5C" w14:textId="63D62AF3" w:rsidR="006F6993" w:rsidRPr="004D69FE" w:rsidRDefault="006F6993" w:rsidP="005C3EFD">
                              <w:pPr>
                                <w:rPr>
                                  <w:rFonts w:ascii="Arial" w:hAnsi="Arial" w:cs="Arial"/>
                                  <w:b/>
                                  <w:bCs/>
                                  <w:color w:val="000000" w:themeColor="text1"/>
                                  <w:sz w:val="20"/>
                                </w:rPr>
                              </w:pPr>
                              <w:r>
                                <w:rPr>
                                  <w:rFonts w:ascii="Arial" w:hAnsi="Arial" w:cs="Arial"/>
                                  <w:b/>
                                  <w:bCs/>
                                  <w:color w:val="000000" w:themeColor="text1"/>
                                  <w:sz w:val="20"/>
                                </w:rPr>
                                <w:t>Suspected NMD</w:t>
                              </w:r>
                              <w:r w:rsidRPr="004D69FE">
                                <w:rPr>
                                  <w:rFonts w:ascii="Arial" w:hAnsi="Arial" w:cs="Arial"/>
                                  <w:b/>
                                  <w:bCs/>
                                  <w:color w:val="000000" w:themeColor="text1"/>
                                  <w:sz w:val="20"/>
                                </w:rPr>
                                <w:t xml:space="preserve"> that </w:t>
                              </w:r>
                              <w:r>
                                <w:rPr>
                                  <w:rFonts w:ascii="Arial" w:hAnsi="Arial" w:cs="Arial"/>
                                  <w:b/>
                                  <w:bCs/>
                                  <w:color w:val="000000" w:themeColor="text1"/>
                                  <w:sz w:val="20"/>
                                </w:rPr>
                                <w:t xml:space="preserve">may </w:t>
                              </w:r>
                              <w:r w:rsidRPr="004D69FE">
                                <w:rPr>
                                  <w:rFonts w:ascii="Arial" w:hAnsi="Arial" w:cs="Arial"/>
                                  <w:b/>
                                  <w:bCs/>
                                  <w:color w:val="000000" w:themeColor="text1"/>
                                  <w:sz w:val="20"/>
                                </w:rPr>
                                <w:t>require single gene test</w:t>
                              </w:r>
                              <w:r>
                                <w:rPr>
                                  <w:rFonts w:ascii="Arial" w:hAnsi="Arial" w:cs="Arial"/>
                                  <w:b/>
                                  <w:bCs/>
                                  <w:color w:val="000000" w:themeColor="text1"/>
                                  <w:sz w:val="20"/>
                                </w:rPr>
                                <w:t xml:space="preserve"> as the variant is not detectable using NGS methods</w:t>
                              </w:r>
                            </w:p>
                            <w:p w14:paraId="428668F3" w14:textId="61F4E3C3" w:rsidR="006F6993" w:rsidRPr="004D69FE" w:rsidRDefault="006F6993" w:rsidP="004D69FE">
                              <w:pPr>
                                <w:rPr>
                                  <w:rFonts w:ascii="Arial" w:hAnsi="Arial" w:cs="Arial"/>
                                  <w:color w:val="000000" w:themeColor="text1"/>
                                  <w:sz w:val="20"/>
                                  <w:szCs w:val="16"/>
                                </w:rPr>
                              </w:pPr>
                              <w:r w:rsidRPr="004D69FE">
                                <w:rPr>
                                  <w:rFonts w:ascii="Arial" w:hAnsi="Arial" w:cs="Arial"/>
                                  <w:color w:val="000000" w:themeColor="text1"/>
                                  <w:sz w:val="20"/>
                                  <w:szCs w:val="16"/>
                                </w:rPr>
                                <w:t xml:space="preserve">E.g. </w:t>
                              </w:r>
                              <w:r w:rsidRPr="004D69FE">
                                <w:rPr>
                                  <w:rFonts w:ascii="Arial" w:hAnsi="Arial" w:cs="Arial"/>
                                  <w:i/>
                                  <w:iCs/>
                                  <w:color w:val="000000" w:themeColor="text1"/>
                                  <w:sz w:val="20"/>
                                  <w:szCs w:val="16"/>
                                </w:rPr>
                                <w:t>SMN1</w:t>
                              </w:r>
                              <w:r w:rsidRPr="004D69FE">
                                <w:rPr>
                                  <w:rFonts w:ascii="Arial" w:hAnsi="Arial" w:cs="Arial"/>
                                  <w:color w:val="000000" w:themeColor="text1"/>
                                  <w:sz w:val="20"/>
                                  <w:szCs w:val="16"/>
                                </w:rPr>
                                <w:t xml:space="preserve"> for spinal muscular atrophy, </w:t>
                              </w:r>
                              <w:r w:rsidRPr="004D69FE">
                                <w:rPr>
                                  <w:rFonts w:ascii="Arial" w:hAnsi="Arial" w:cs="Arial"/>
                                  <w:i/>
                                  <w:iCs/>
                                  <w:color w:val="000000" w:themeColor="text1"/>
                                  <w:sz w:val="20"/>
                                  <w:szCs w:val="16"/>
                                </w:rPr>
                                <w:t>DMPK</w:t>
                              </w:r>
                              <w:r w:rsidRPr="004D69FE">
                                <w:rPr>
                                  <w:rFonts w:ascii="Arial" w:hAnsi="Arial" w:cs="Arial"/>
                                  <w:color w:val="000000" w:themeColor="text1"/>
                                  <w:sz w:val="20"/>
                                  <w:szCs w:val="16"/>
                                </w:rPr>
                                <w:t xml:space="preserve"> for myotonic dystrophy type 1, </w:t>
                              </w:r>
                              <w:r w:rsidRPr="004D69FE">
                                <w:rPr>
                                  <w:rFonts w:ascii="Arial" w:hAnsi="Arial" w:cs="Arial"/>
                                  <w:i/>
                                  <w:iCs/>
                                  <w:color w:val="000000" w:themeColor="text1"/>
                                  <w:sz w:val="20"/>
                                  <w:szCs w:val="16"/>
                                </w:rPr>
                                <w:t>DUX4</w:t>
                              </w:r>
                              <w:r w:rsidRPr="004D69FE">
                                <w:rPr>
                                  <w:rFonts w:ascii="Arial" w:hAnsi="Arial" w:cs="Arial"/>
                                  <w:color w:val="000000" w:themeColor="text1"/>
                                  <w:sz w:val="20"/>
                                  <w:szCs w:val="16"/>
                                </w:rPr>
                                <w:t xml:space="preserve"> for facioscapulohumeral dystrophy type 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 name="Rectangle: Rounded Corners 11"/>
                        <wps:cNvSpPr/>
                        <wps:spPr>
                          <a:xfrm>
                            <a:off x="1638300" y="4397643"/>
                            <a:ext cx="3633471" cy="449434"/>
                          </a:xfrm>
                          <a:prstGeom prst="roundRect">
                            <a:avLst/>
                          </a:prstGeom>
                          <a:solidFill>
                            <a:schemeClr val="accent5">
                              <a:lumMod val="40000"/>
                              <a:lumOff val="6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36F5F7" w14:textId="130A0562" w:rsidR="006F6993" w:rsidRDefault="006F6993" w:rsidP="005C3EFD">
                              <w:r w:rsidRPr="004D69FE">
                                <w:rPr>
                                  <w:rFonts w:ascii="Arial" w:hAnsi="Arial" w:cs="Arial"/>
                                  <w:b/>
                                  <w:bCs/>
                                  <w:color w:val="000000"/>
                                  <w:sz w:val="20"/>
                                </w:rPr>
                                <w:t>Panel testing</w:t>
                              </w:r>
                              <w:r>
                                <w:rPr>
                                  <w:rFonts w:ascii="Arial" w:hAnsi="Arial" w:cs="Arial"/>
                                  <w:color w:val="000000"/>
                                  <w:sz w:val="20"/>
                                </w:rPr>
                                <w:t>: myopathy or neuropathy panel, depending on clinical phenotype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 name="Rectangle: Rounded Corners 12"/>
                        <wps:cNvSpPr/>
                        <wps:spPr>
                          <a:xfrm>
                            <a:off x="2761274" y="5177788"/>
                            <a:ext cx="2544150" cy="880112"/>
                          </a:xfrm>
                          <a:prstGeom prst="roundRect">
                            <a:avLst/>
                          </a:prstGeom>
                          <a:solidFill>
                            <a:srgbClr val="FFE79B"/>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39CFA" w14:textId="72AB4FC5" w:rsidR="006F6993" w:rsidRPr="005C3EFD" w:rsidRDefault="006F6993" w:rsidP="005C3EFD">
                              <w:pPr>
                                <w:rPr>
                                  <w:rFonts w:ascii="Arial" w:hAnsi="Arial" w:cs="Arial"/>
                                  <w:color w:val="000000"/>
                                  <w:sz w:val="20"/>
                                </w:rPr>
                              </w:pPr>
                              <w:r w:rsidRPr="005C3EFD">
                                <w:rPr>
                                  <w:rFonts w:ascii="Arial" w:hAnsi="Arial" w:cs="Arial"/>
                                  <w:color w:val="000000"/>
                                  <w:sz w:val="20"/>
                                </w:rPr>
                                <w:t>No underlying genetic cause identified</w:t>
                              </w:r>
                            </w:p>
                            <w:p w14:paraId="241C0581" w14:textId="2B7EA59E" w:rsidR="006F6993" w:rsidRPr="00784C86" w:rsidRDefault="006F6993" w:rsidP="00784C86">
                              <w:pPr>
                                <w:pStyle w:val="ListParagraph"/>
                                <w:numPr>
                                  <w:ilvl w:val="0"/>
                                  <w:numId w:val="31"/>
                                </w:numPr>
                                <w:ind w:left="284" w:hanging="284"/>
                                <w:rPr>
                                  <w:rFonts w:ascii="Arial" w:hAnsi="Arial" w:cs="Arial"/>
                                  <w:color w:val="000000" w:themeColor="text1"/>
                                  <w:sz w:val="20"/>
                                </w:rPr>
                              </w:pPr>
                              <w:r w:rsidRPr="005C3EFD">
                                <w:rPr>
                                  <w:rFonts w:ascii="Arial" w:hAnsi="Arial" w:cs="Arial"/>
                                  <w:color w:val="000000" w:themeColor="text1"/>
                                  <w:sz w:val="20"/>
                                </w:rPr>
                                <w:t xml:space="preserve">Consider other investigations including </w:t>
                              </w:r>
                              <w:r>
                                <w:rPr>
                                  <w:rFonts w:ascii="Arial" w:hAnsi="Arial" w:cs="Arial"/>
                                  <w:color w:val="000000" w:themeColor="text1"/>
                                  <w:sz w:val="20"/>
                                </w:rPr>
                                <w:t>m</w:t>
                              </w:r>
                              <w:r w:rsidRPr="005C3EFD">
                                <w:rPr>
                                  <w:rFonts w:ascii="Arial" w:hAnsi="Arial" w:cs="Arial"/>
                                  <w:color w:val="000000" w:themeColor="text1"/>
                                  <w:sz w:val="20"/>
                                </w:rPr>
                                <w:t>uscle/nerve biopsy or MRI if appropriate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 name="Rectangle: Rounded Corners 13"/>
                        <wps:cNvSpPr/>
                        <wps:spPr>
                          <a:xfrm>
                            <a:off x="27599" y="5177742"/>
                            <a:ext cx="2543810" cy="661083"/>
                          </a:xfrm>
                          <a:prstGeom prst="roundRect">
                            <a:avLst/>
                          </a:prstGeom>
                          <a:solidFill>
                            <a:srgbClr val="FFE79B"/>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EBDFDF" w14:textId="31BCFA0D" w:rsidR="006F6993" w:rsidRDefault="006F6993" w:rsidP="005C3EFD">
                              <w:pPr>
                                <w:rPr>
                                  <w:szCs w:val="24"/>
                                </w:rPr>
                              </w:pPr>
                              <w:r>
                                <w:rPr>
                                  <w:rFonts w:ascii="Arial" w:hAnsi="Arial" w:cs="Arial"/>
                                  <w:color w:val="000000"/>
                                  <w:sz w:val="20"/>
                                </w:rPr>
                                <w:t>Underlying genetic cause identified</w:t>
                              </w:r>
                            </w:p>
                            <w:p w14:paraId="46D1D1D6" w14:textId="2EEEC1C9" w:rsidR="006F6993" w:rsidRPr="005C3EFD" w:rsidRDefault="006F6993" w:rsidP="005C3EFD">
                              <w:pPr>
                                <w:pStyle w:val="ListParagraph"/>
                                <w:numPr>
                                  <w:ilvl w:val="0"/>
                                  <w:numId w:val="31"/>
                                </w:numPr>
                                <w:ind w:left="284" w:hanging="284"/>
                                <w:rPr>
                                  <w:rFonts w:ascii="Arial" w:hAnsi="Arial" w:cs="Arial"/>
                                  <w:color w:val="000000" w:themeColor="text1"/>
                                  <w:sz w:val="20"/>
                                </w:rPr>
                              </w:pPr>
                              <w:r w:rsidRPr="005C3EFD">
                                <w:rPr>
                                  <w:rFonts w:ascii="Arial" w:hAnsi="Arial" w:cs="Arial"/>
                                  <w:color w:val="000000" w:themeColor="text1"/>
                                  <w:sz w:val="20"/>
                                </w:rPr>
                                <w:t>Appropriate patient and family management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 name="Rectangle: Rounded Corners 16"/>
                        <wps:cNvSpPr/>
                        <wps:spPr>
                          <a:xfrm>
                            <a:off x="1809750" y="3636302"/>
                            <a:ext cx="1414440" cy="478542"/>
                          </a:xfrm>
                          <a:prstGeom prst="roundRect">
                            <a:avLst/>
                          </a:prstGeom>
                          <a:solidFill>
                            <a:srgbClr val="FFE79B"/>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D91A2" w14:textId="289D7985" w:rsidR="006F6993" w:rsidRDefault="006F6993" w:rsidP="00DF6488">
                              <w:pPr>
                                <w:jc w:val="center"/>
                              </w:pPr>
                              <w:r>
                                <w:rPr>
                                  <w:rFonts w:ascii="Arial" w:hAnsi="Arial" w:cs="Arial"/>
                                  <w:color w:val="000000"/>
                                  <w:sz w:val="20"/>
                                </w:rPr>
                                <w:t>If negative, then panel testing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 name="Straight Arrow Connector 4"/>
                        <wps:cNvCnPr>
                          <a:endCxn id="9" idx="0"/>
                        </wps:cNvCnPr>
                        <wps:spPr>
                          <a:xfrm>
                            <a:off x="3123395" y="1381169"/>
                            <a:ext cx="0" cy="23594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 name="Straight Arrow Connector 18"/>
                        <wps:cNvCnPr>
                          <a:stCxn id="9" idx="2"/>
                        </wps:cNvCnPr>
                        <wps:spPr>
                          <a:xfrm flipH="1">
                            <a:off x="2286000" y="1924093"/>
                            <a:ext cx="837395" cy="27354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 name="Straight Arrow Connector 19"/>
                        <wps:cNvCnPr>
                          <a:endCxn id="16" idx="0"/>
                        </wps:cNvCnPr>
                        <wps:spPr>
                          <a:xfrm>
                            <a:off x="1299504" y="3400425"/>
                            <a:ext cx="1217466" cy="23587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 name="Straight Arrow Connector 20"/>
                        <wps:cNvCnPr>
                          <a:endCxn id="13" idx="0"/>
                        </wps:cNvCnPr>
                        <wps:spPr>
                          <a:xfrm>
                            <a:off x="1299504" y="3390900"/>
                            <a:ext cx="0" cy="178684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 name="Straight Arrow Connector 21"/>
                        <wps:cNvCnPr>
                          <a:stCxn id="9" idx="2"/>
                          <a:endCxn id="11" idx="0"/>
                        </wps:cNvCnPr>
                        <wps:spPr>
                          <a:xfrm>
                            <a:off x="3123395" y="1924093"/>
                            <a:ext cx="331641" cy="24735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 name="Straight Arrow Connector 22"/>
                        <wps:cNvCnPr>
                          <a:stCxn id="16" idx="2"/>
                          <a:endCxn id="11" idx="0"/>
                        </wps:cNvCnPr>
                        <wps:spPr>
                          <a:xfrm>
                            <a:off x="2516970" y="4114844"/>
                            <a:ext cx="938066" cy="28279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 name="Straight Arrow Connector 23"/>
                        <wps:cNvCnPr>
                          <a:stCxn id="11" idx="2"/>
                          <a:endCxn id="12" idx="0"/>
                        </wps:cNvCnPr>
                        <wps:spPr>
                          <a:xfrm>
                            <a:off x="3455036" y="4847077"/>
                            <a:ext cx="578313" cy="33071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 name="Straight Arrow Connector 24"/>
                        <wps:cNvCnPr>
                          <a:stCxn id="11" idx="2"/>
                          <a:endCxn id="13" idx="0"/>
                        </wps:cNvCnPr>
                        <wps:spPr>
                          <a:xfrm flipH="1">
                            <a:off x="1299504" y="4847077"/>
                            <a:ext cx="2155532" cy="33066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 name="Rectangle: Rounded Corners 25"/>
                        <wps:cNvSpPr/>
                        <wps:spPr>
                          <a:xfrm>
                            <a:off x="2771773" y="6247469"/>
                            <a:ext cx="2524125" cy="448945"/>
                          </a:xfrm>
                          <a:prstGeom prst="roundRect">
                            <a:avLst/>
                          </a:prstGeom>
                          <a:solidFill>
                            <a:schemeClr val="accent5">
                              <a:lumMod val="40000"/>
                              <a:lumOff val="6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3AD3D9" w14:textId="0B1B47F7" w:rsidR="006F6993" w:rsidRDefault="006F6993" w:rsidP="00784C86">
                              <w:pPr>
                                <w:rPr>
                                  <w:szCs w:val="24"/>
                                </w:rPr>
                              </w:pPr>
                              <w:r>
                                <w:rPr>
                                  <w:rFonts w:ascii="Arial" w:hAnsi="Arial" w:cs="Arial"/>
                                  <w:b/>
                                  <w:bCs/>
                                  <w:color w:val="000000"/>
                                  <w:sz w:val="20"/>
                                </w:rPr>
                                <w:t xml:space="preserve">Re-analyse the data </w:t>
                              </w:r>
                              <w:r>
                                <w:rPr>
                                  <w:rFonts w:ascii="Arial" w:hAnsi="Arial" w:cs="Arial"/>
                                  <w:color w:val="000000"/>
                                  <w:sz w:val="20"/>
                                </w:rPr>
                                <w:t>as the pathogenic statuses of variants are changed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 name="Straight Arrow Connector 26"/>
                        <wps:cNvCnPr>
                          <a:stCxn id="12" idx="2"/>
                          <a:endCxn id="25" idx="0"/>
                        </wps:cNvCnPr>
                        <wps:spPr>
                          <a:xfrm>
                            <a:off x="4033349" y="6057900"/>
                            <a:ext cx="487" cy="18956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58B58664" id="Canvas 1" o:spid="_x0000_s1026" editas="canvas" alt="Clinical algorithm including proposed NMD genetic testing." style="width:6in;height:537.75pt;mso-position-horizontal-relative:char;mso-position-vertical-relative:line" coordsize="54864,68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Clinical algorithm including proposed NMD genetic testing." style="position:absolute;width:54864;height:68294;visibility:visible;mso-wrap-style:square" filled="t">
                  <v:fill o:detectmouseclick="t"/>
                  <v:path o:connecttype="none"/>
                </v:shape>
                <v:roundrect id="Rectangle: Rounded Corners 3" o:spid="_x0000_s1028" style="position:absolute;left:4857;top:1714;width:45149;height:120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" fillcolor="#ffe79b" strokecolor="#ffc000" strokeweight="2pt">
                  <v:textbox>
                    <w:txbxContent>
                      <w:p w14:paraId="18783C4B" w14:textId="2A92E0DC" w:rsidR="006F6993" w:rsidRPr="00992D53" w:rsidRDefault="006F6993" w:rsidP="00303C98">
                        <w:pPr>
                          <w:rPr>
                            <w:rFonts w:ascii="Arial" w:hAnsi="Arial" w:cs="Arial"/>
                            <w:color w:val="000000" w:themeColor="text1"/>
                            <w:sz w:val="20"/>
                            <w:szCs w:val="16"/>
                          </w:rPr>
                        </w:pPr>
                        <w:r w:rsidRPr="00992D53">
                          <w:rPr>
                            <w:rFonts w:ascii="Arial" w:hAnsi="Arial" w:cs="Arial"/>
                            <w:color w:val="000000" w:themeColor="text1"/>
                            <w:sz w:val="20"/>
                            <w:szCs w:val="16"/>
                          </w:rPr>
                          <w:t>Patient referred to paediatrician / consultant neurologist</w:t>
                        </w:r>
                      </w:p>
                      <w:p w14:paraId="5FC92EF3" w14:textId="0DA6C6A5" w:rsidR="006F6993" w:rsidRPr="00992D53" w:rsidRDefault="006F6993" w:rsidP="00303C98">
                        <w:pPr>
                          <w:rPr>
                            <w:rFonts w:ascii="Arial" w:hAnsi="Arial" w:cs="Arial"/>
                            <w:color w:val="000000" w:themeColor="text1"/>
                            <w:sz w:val="20"/>
                            <w:szCs w:val="16"/>
                          </w:rPr>
                        </w:pPr>
                        <w:r w:rsidRPr="00992D53">
                          <w:rPr>
                            <w:rFonts w:ascii="Arial" w:hAnsi="Arial" w:cs="Arial"/>
                            <w:color w:val="000000" w:themeColor="text1"/>
                            <w:sz w:val="20"/>
                            <w:szCs w:val="16"/>
                          </w:rPr>
                          <w:t>Detailed clinical examination for NMDs:</w:t>
                        </w:r>
                      </w:p>
                      <w:p w14:paraId="521F617C" w14:textId="4BA79230" w:rsidR="006F6993" w:rsidRPr="007136F6" w:rsidRDefault="006F6993" w:rsidP="005C3EFD">
                        <w:pPr>
                          <w:pStyle w:val="ListParagraph"/>
                          <w:numPr>
                            <w:ilvl w:val="0"/>
                            <w:numId w:val="28"/>
                          </w:numPr>
                          <w:ind w:left="426" w:hanging="284"/>
                          <w:rPr>
                            <w:rFonts w:ascii="Arial" w:hAnsi="Arial" w:cs="Arial"/>
                            <w:color w:val="000000" w:themeColor="text1"/>
                            <w:sz w:val="18"/>
                            <w:szCs w:val="14"/>
                          </w:rPr>
                        </w:pPr>
                        <w:r w:rsidRPr="007136F6">
                          <w:rPr>
                            <w:rFonts w:ascii="Arial" w:hAnsi="Arial" w:cs="Arial"/>
                            <w:color w:val="000000" w:themeColor="text1"/>
                            <w:sz w:val="18"/>
                            <w:szCs w:val="14"/>
                          </w:rPr>
                          <w:t>Comprehensive neurological examination</w:t>
                        </w:r>
                      </w:p>
                      <w:p w14:paraId="7338373A" w14:textId="5721FAB5" w:rsidR="006F6993" w:rsidRPr="007136F6" w:rsidRDefault="006F6993" w:rsidP="005C3EFD">
                        <w:pPr>
                          <w:pStyle w:val="ListParagraph"/>
                          <w:numPr>
                            <w:ilvl w:val="0"/>
                            <w:numId w:val="28"/>
                          </w:numPr>
                          <w:ind w:left="426" w:hanging="284"/>
                          <w:rPr>
                            <w:rFonts w:ascii="Arial" w:hAnsi="Arial" w:cs="Arial"/>
                            <w:color w:val="000000" w:themeColor="text1"/>
                            <w:sz w:val="18"/>
                            <w:szCs w:val="14"/>
                          </w:rPr>
                        </w:pPr>
                        <w:r w:rsidRPr="007136F6">
                          <w:rPr>
                            <w:rFonts w:ascii="Arial" w:hAnsi="Arial" w:cs="Arial"/>
                            <w:color w:val="000000" w:themeColor="text1"/>
                            <w:sz w:val="18"/>
                            <w:szCs w:val="14"/>
                          </w:rPr>
                          <w:t>Muscle weakness / hypertonia</w:t>
                        </w:r>
                      </w:p>
                      <w:p w14:paraId="4D9BC719" w14:textId="5DA1FB3C" w:rsidR="006F6993" w:rsidRPr="007136F6" w:rsidRDefault="006F6993" w:rsidP="005C3EFD">
                        <w:pPr>
                          <w:pStyle w:val="ListParagraph"/>
                          <w:numPr>
                            <w:ilvl w:val="0"/>
                            <w:numId w:val="28"/>
                          </w:numPr>
                          <w:ind w:left="426" w:hanging="284"/>
                          <w:rPr>
                            <w:rFonts w:ascii="Arial" w:hAnsi="Arial" w:cs="Arial"/>
                            <w:color w:val="000000" w:themeColor="text1"/>
                            <w:sz w:val="18"/>
                            <w:szCs w:val="14"/>
                          </w:rPr>
                        </w:pPr>
                        <w:r w:rsidRPr="007136F6">
                          <w:rPr>
                            <w:rFonts w:ascii="Arial" w:hAnsi="Arial" w:cs="Arial"/>
                            <w:color w:val="000000" w:themeColor="text1"/>
                            <w:sz w:val="18"/>
                            <w:szCs w:val="14"/>
                          </w:rPr>
                          <w:t>Presence of specific signs (e.g. contractures, calf hypertrophy)</w:t>
                        </w:r>
                      </w:p>
                      <w:p w14:paraId="2A3014F3" w14:textId="00DDCB57" w:rsidR="006F6993" w:rsidRPr="007136F6" w:rsidRDefault="006F6993" w:rsidP="005C3EFD">
                        <w:pPr>
                          <w:pStyle w:val="ListParagraph"/>
                          <w:numPr>
                            <w:ilvl w:val="0"/>
                            <w:numId w:val="28"/>
                          </w:numPr>
                          <w:ind w:left="426" w:hanging="284"/>
                          <w:rPr>
                            <w:rFonts w:ascii="Arial" w:hAnsi="Arial" w:cs="Arial"/>
                            <w:color w:val="000000" w:themeColor="text1"/>
                            <w:sz w:val="18"/>
                            <w:szCs w:val="14"/>
                          </w:rPr>
                        </w:pPr>
                        <w:r w:rsidRPr="007136F6">
                          <w:rPr>
                            <w:rFonts w:ascii="Arial" w:hAnsi="Arial" w:cs="Arial"/>
                            <w:color w:val="000000" w:themeColor="text1"/>
                            <w:sz w:val="18"/>
                            <w:szCs w:val="14"/>
                          </w:rPr>
                          <w:t>Presence of complications (e.g. respiratory failure, cardiomyopathy)</w:t>
                        </w:r>
                      </w:p>
                      <w:p w14:paraId="57CE671A" w14:textId="2486FF9C" w:rsidR="006F6993" w:rsidRPr="007136F6" w:rsidRDefault="006F6993" w:rsidP="005C3EFD">
                        <w:pPr>
                          <w:pStyle w:val="ListParagraph"/>
                          <w:numPr>
                            <w:ilvl w:val="0"/>
                            <w:numId w:val="28"/>
                          </w:numPr>
                          <w:ind w:left="426" w:hanging="284"/>
                          <w:rPr>
                            <w:rFonts w:ascii="Arial" w:hAnsi="Arial" w:cs="Arial"/>
                            <w:color w:val="000000" w:themeColor="text1"/>
                            <w:sz w:val="18"/>
                            <w:szCs w:val="14"/>
                          </w:rPr>
                        </w:pPr>
                        <w:r w:rsidRPr="007136F6">
                          <w:rPr>
                            <w:rFonts w:ascii="Arial" w:hAnsi="Arial" w:cs="Arial"/>
                            <w:color w:val="000000" w:themeColor="text1"/>
                            <w:sz w:val="18"/>
                            <w:szCs w:val="14"/>
                          </w:rPr>
                          <w:t>± metabolic studies, ± electrophysiology, ± imaging</w:t>
                        </w:r>
                      </w:p>
                    </w:txbxContent>
                  </v:textbox>
                </v:roundrect>
                <v:roundrect id="Rectangle: Rounded Corners 9" o:spid="_x0000_s1029" style="position:absolute;left:17135;top:16171;width:28197;height:306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" fillcolor="#ffe79b" strokecolor="#ffc000" strokeweight="2pt">
                  <v:textbox>
                    <w:txbxContent>
                      <w:p w14:paraId="3DFFC6BB" w14:textId="4136845D" w:rsidR="006F6993" w:rsidRPr="00303C98" w:rsidRDefault="006F6993" w:rsidP="00303C98">
                        <w:pPr>
                          <w:jc w:val="center"/>
                          <w:rPr>
                            <w:rFonts w:ascii="Arial" w:hAnsi="Arial" w:cs="Arial"/>
                            <w:color w:val="000000" w:themeColor="text1"/>
                            <w:sz w:val="20"/>
                            <w:szCs w:val="16"/>
                          </w:rPr>
                        </w:pPr>
                        <w:r>
                          <w:rPr>
                            <w:rFonts w:ascii="Arial" w:hAnsi="Arial" w:cs="Arial"/>
                            <w:color w:val="000000" w:themeColor="text1"/>
                            <w:sz w:val="20"/>
                            <w:szCs w:val="16"/>
                          </w:rPr>
                          <w:t>NMD with suspected genetic aetiology</w:t>
                        </w:r>
                      </w:p>
                    </w:txbxContent>
                  </v:textbox>
                </v:roundrect>
                <v:roundrect id="Rectangle: Rounded Corners 10" o:spid="_x0000_s1030" style="position:absolute;left:1619;top:21976;width:28099;height:1173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" fillcolor="#b6dde8 [1304]" strokecolor="#4bacc6 [3208]" strokeweight="2pt">
                  <v:textbox>
                    <w:txbxContent>
                      <w:p w14:paraId="3BDB2A5C" w14:textId="63D62AF3" w:rsidR="006F6993" w:rsidRPr="004D69FE" w:rsidRDefault="006F6993" w:rsidP="005C3EFD">
                        <w:pPr>
                          <w:rPr>
                            <w:rFonts w:ascii="Arial" w:hAnsi="Arial" w:cs="Arial"/>
                            <w:b/>
                            <w:bCs/>
                            <w:color w:val="000000" w:themeColor="text1"/>
                            <w:sz w:val="20"/>
                          </w:rPr>
                        </w:pPr>
                        <w:r>
                          <w:rPr>
                            <w:rFonts w:ascii="Arial" w:hAnsi="Arial" w:cs="Arial"/>
                            <w:b/>
                            <w:bCs/>
                            <w:color w:val="000000" w:themeColor="text1"/>
                            <w:sz w:val="20"/>
                          </w:rPr>
                          <w:t>Suspected NMD</w:t>
                        </w:r>
                        <w:r w:rsidRPr="004D69FE">
                          <w:rPr>
                            <w:rFonts w:ascii="Arial" w:hAnsi="Arial" w:cs="Arial"/>
                            <w:b/>
                            <w:bCs/>
                            <w:color w:val="000000" w:themeColor="text1"/>
                            <w:sz w:val="20"/>
                          </w:rPr>
                          <w:t xml:space="preserve"> that </w:t>
                        </w:r>
                        <w:r>
                          <w:rPr>
                            <w:rFonts w:ascii="Arial" w:hAnsi="Arial" w:cs="Arial"/>
                            <w:b/>
                            <w:bCs/>
                            <w:color w:val="000000" w:themeColor="text1"/>
                            <w:sz w:val="20"/>
                          </w:rPr>
                          <w:t xml:space="preserve">may </w:t>
                        </w:r>
                        <w:r w:rsidRPr="004D69FE">
                          <w:rPr>
                            <w:rFonts w:ascii="Arial" w:hAnsi="Arial" w:cs="Arial"/>
                            <w:b/>
                            <w:bCs/>
                            <w:color w:val="000000" w:themeColor="text1"/>
                            <w:sz w:val="20"/>
                          </w:rPr>
                          <w:t>require single gene test</w:t>
                        </w:r>
                        <w:r>
                          <w:rPr>
                            <w:rFonts w:ascii="Arial" w:hAnsi="Arial" w:cs="Arial"/>
                            <w:b/>
                            <w:bCs/>
                            <w:color w:val="000000" w:themeColor="text1"/>
                            <w:sz w:val="20"/>
                          </w:rPr>
                          <w:t xml:space="preserve"> as the variant is not detectable using NGS methods</w:t>
                        </w:r>
                      </w:p>
                      <w:p w14:paraId="428668F3" w14:textId="61F4E3C3" w:rsidR="006F6993" w:rsidRPr="004D69FE" w:rsidRDefault="006F6993" w:rsidP="004D69FE">
                        <w:pPr>
                          <w:rPr>
                            <w:rFonts w:ascii="Arial" w:hAnsi="Arial" w:cs="Arial"/>
                            <w:color w:val="000000" w:themeColor="text1"/>
                            <w:sz w:val="20"/>
                            <w:szCs w:val="16"/>
                          </w:rPr>
                        </w:pPr>
                        <w:r w:rsidRPr="004D69FE">
                          <w:rPr>
                            <w:rFonts w:ascii="Arial" w:hAnsi="Arial" w:cs="Arial"/>
                            <w:color w:val="000000" w:themeColor="text1"/>
                            <w:sz w:val="20"/>
                            <w:szCs w:val="16"/>
                          </w:rPr>
                          <w:t xml:space="preserve">E.g. </w:t>
                        </w:r>
                        <w:r w:rsidRPr="004D69FE">
                          <w:rPr>
                            <w:rFonts w:ascii="Arial" w:hAnsi="Arial" w:cs="Arial"/>
                            <w:i/>
                            <w:iCs/>
                            <w:color w:val="000000" w:themeColor="text1"/>
                            <w:sz w:val="20"/>
                            <w:szCs w:val="16"/>
                          </w:rPr>
                          <w:t>SMN1</w:t>
                        </w:r>
                        <w:r w:rsidRPr="004D69FE">
                          <w:rPr>
                            <w:rFonts w:ascii="Arial" w:hAnsi="Arial" w:cs="Arial"/>
                            <w:color w:val="000000" w:themeColor="text1"/>
                            <w:sz w:val="20"/>
                            <w:szCs w:val="16"/>
                          </w:rPr>
                          <w:t xml:space="preserve"> for spinal muscular atrophy, </w:t>
                        </w:r>
                        <w:r w:rsidRPr="004D69FE">
                          <w:rPr>
                            <w:rFonts w:ascii="Arial" w:hAnsi="Arial" w:cs="Arial"/>
                            <w:i/>
                            <w:iCs/>
                            <w:color w:val="000000" w:themeColor="text1"/>
                            <w:sz w:val="20"/>
                            <w:szCs w:val="16"/>
                          </w:rPr>
                          <w:t>DMPK</w:t>
                        </w:r>
                        <w:r w:rsidRPr="004D69FE">
                          <w:rPr>
                            <w:rFonts w:ascii="Arial" w:hAnsi="Arial" w:cs="Arial"/>
                            <w:color w:val="000000" w:themeColor="text1"/>
                            <w:sz w:val="20"/>
                            <w:szCs w:val="16"/>
                          </w:rPr>
                          <w:t xml:space="preserve"> for myotonic dystrophy type 1, </w:t>
                        </w:r>
                        <w:r w:rsidRPr="004D69FE">
                          <w:rPr>
                            <w:rFonts w:ascii="Arial" w:hAnsi="Arial" w:cs="Arial"/>
                            <w:i/>
                            <w:iCs/>
                            <w:color w:val="000000" w:themeColor="text1"/>
                            <w:sz w:val="20"/>
                            <w:szCs w:val="16"/>
                          </w:rPr>
                          <w:t>DUX4</w:t>
                        </w:r>
                        <w:r w:rsidRPr="004D69FE">
                          <w:rPr>
                            <w:rFonts w:ascii="Arial" w:hAnsi="Arial" w:cs="Arial"/>
                            <w:color w:val="000000" w:themeColor="text1"/>
                            <w:sz w:val="20"/>
                            <w:szCs w:val="16"/>
                          </w:rPr>
                          <w:t xml:space="preserve"> for facioscapulohumeral dystrophy type 1</w:t>
                        </w:r>
                      </w:p>
                    </w:txbxContent>
                  </v:textbox>
                </v:roundrect>
                <v:roundrect id="Rectangle: Rounded Corners 11" o:spid="_x0000_s1031" style="position:absolute;left:16383;top:43976;width:36334;height:449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" fillcolor="#b6dde8 [1304]" strokecolor="#4bacc6 [3208]" strokeweight="2pt">
                  <v:textbox>
                    <w:txbxContent>
                      <w:p w14:paraId="2036F5F7" w14:textId="130A0562" w:rsidR="006F6993" w:rsidRDefault="006F6993" w:rsidP="005C3EFD">
                        <w:r w:rsidRPr="004D69FE">
                          <w:rPr>
                            <w:rFonts w:ascii="Arial" w:hAnsi="Arial" w:cs="Arial"/>
                            <w:b/>
                            <w:bCs/>
                            <w:color w:val="000000"/>
                            <w:sz w:val="20"/>
                          </w:rPr>
                          <w:t>Panel testing</w:t>
                        </w:r>
                        <w:r>
                          <w:rPr>
                            <w:rFonts w:ascii="Arial" w:hAnsi="Arial" w:cs="Arial"/>
                            <w:color w:val="000000"/>
                            <w:sz w:val="20"/>
                          </w:rPr>
                          <w:t>: myopathy or neuropathy panel, depending on clinical phenotype</w:t>
                        </w:r>
                      </w:p>
                    </w:txbxContent>
                  </v:textbox>
                </v:roundrect>
                <v:roundrect id="Rectangle: Rounded Corners 12" o:spid="_x0000_s1032" style="position:absolute;left:27612;top:51777;width:25442;height:880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" fillcolor="#ffe79b" strokecolor="#ffc000" strokeweight="2pt">
                  <v:textbox>
                    <w:txbxContent>
                      <w:p w14:paraId="23839CFA" w14:textId="72AB4FC5" w:rsidR="006F6993" w:rsidRPr="005C3EFD" w:rsidRDefault="006F6993" w:rsidP="005C3EFD">
                        <w:pPr>
                          <w:rPr>
                            <w:rFonts w:ascii="Arial" w:hAnsi="Arial" w:cs="Arial"/>
                            <w:color w:val="000000"/>
                            <w:sz w:val="20"/>
                          </w:rPr>
                        </w:pPr>
                        <w:r w:rsidRPr="005C3EFD">
                          <w:rPr>
                            <w:rFonts w:ascii="Arial" w:hAnsi="Arial" w:cs="Arial"/>
                            <w:color w:val="000000"/>
                            <w:sz w:val="20"/>
                          </w:rPr>
                          <w:t>No underlying genetic cause identified</w:t>
                        </w:r>
                      </w:p>
                      <w:p w14:paraId="241C0581" w14:textId="2B7EA59E" w:rsidR="006F6993" w:rsidRPr="00784C86" w:rsidRDefault="006F6993" w:rsidP="00784C86">
                        <w:pPr>
                          <w:pStyle w:val="ListParagraph"/>
                          <w:numPr>
                            <w:ilvl w:val="0"/>
                            <w:numId w:val="31"/>
                          </w:numPr>
                          <w:ind w:left="284" w:hanging="284"/>
                          <w:rPr>
                            <w:rFonts w:ascii="Arial" w:hAnsi="Arial" w:cs="Arial"/>
                            <w:color w:val="000000" w:themeColor="text1"/>
                            <w:sz w:val="20"/>
                          </w:rPr>
                        </w:pPr>
                        <w:r w:rsidRPr="005C3EFD">
                          <w:rPr>
                            <w:rFonts w:ascii="Arial" w:hAnsi="Arial" w:cs="Arial"/>
                            <w:color w:val="000000" w:themeColor="text1"/>
                            <w:sz w:val="20"/>
                          </w:rPr>
                          <w:t xml:space="preserve">Consider other investigations including </w:t>
                        </w:r>
                        <w:r>
                          <w:rPr>
                            <w:rFonts w:ascii="Arial" w:hAnsi="Arial" w:cs="Arial"/>
                            <w:color w:val="000000" w:themeColor="text1"/>
                            <w:sz w:val="20"/>
                          </w:rPr>
                          <w:t>m</w:t>
                        </w:r>
                        <w:r w:rsidRPr="005C3EFD">
                          <w:rPr>
                            <w:rFonts w:ascii="Arial" w:hAnsi="Arial" w:cs="Arial"/>
                            <w:color w:val="000000" w:themeColor="text1"/>
                            <w:sz w:val="20"/>
                          </w:rPr>
                          <w:t>uscle/nerve biopsy or MRI if appropriate</w:t>
                        </w:r>
                      </w:p>
                    </w:txbxContent>
                  </v:textbox>
                </v:roundrect>
                <v:roundrect id="Rectangle: Rounded Corners 13" o:spid="_x0000_s1033" style="position:absolute;left:275;top:51777;width:25439;height:661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" fillcolor="#ffe79b" strokecolor="#ffc000" strokeweight="2pt">
                  <v:textbox>
                    <w:txbxContent>
                      <w:p w14:paraId="45EBDFDF" w14:textId="31BCFA0D" w:rsidR="006F6993" w:rsidRDefault="006F6993" w:rsidP="005C3EFD">
                        <w:pPr>
                          <w:rPr>
                            <w:szCs w:val="24"/>
                          </w:rPr>
                        </w:pPr>
                        <w:r>
                          <w:rPr>
                            <w:rFonts w:ascii="Arial" w:hAnsi="Arial" w:cs="Arial"/>
                            <w:color w:val="000000"/>
                            <w:sz w:val="20"/>
                          </w:rPr>
                          <w:t>Underlying genetic cause identified</w:t>
                        </w:r>
                      </w:p>
                      <w:p w14:paraId="46D1D1D6" w14:textId="2EEEC1C9" w:rsidR="006F6993" w:rsidRPr="005C3EFD" w:rsidRDefault="006F6993" w:rsidP="005C3EFD">
                        <w:pPr>
                          <w:pStyle w:val="ListParagraph"/>
                          <w:numPr>
                            <w:ilvl w:val="0"/>
                            <w:numId w:val="31"/>
                          </w:numPr>
                          <w:ind w:left="284" w:hanging="284"/>
                          <w:rPr>
                            <w:rFonts w:ascii="Arial" w:hAnsi="Arial" w:cs="Arial"/>
                            <w:color w:val="000000" w:themeColor="text1"/>
                            <w:sz w:val="20"/>
                          </w:rPr>
                        </w:pPr>
                        <w:r w:rsidRPr="005C3EFD">
                          <w:rPr>
                            <w:rFonts w:ascii="Arial" w:hAnsi="Arial" w:cs="Arial"/>
                            <w:color w:val="000000" w:themeColor="text1"/>
                            <w:sz w:val="20"/>
                          </w:rPr>
                          <w:t>Appropriate patient and family management</w:t>
                        </w:r>
                      </w:p>
                    </w:txbxContent>
                  </v:textbox>
                </v:roundrect>
                <v:roundrect id="Rectangle: Rounded Corners 16" o:spid="_x0000_s1034" style="position:absolute;left:18097;top:36363;width:14144;height:47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" fillcolor="#ffe79b" strokecolor="#ffc000" strokeweight="2pt">
                  <v:textbox>
                    <w:txbxContent>
                      <w:p w14:paraId="7D1D91A2" w14:textId="289D7985" w:rsidR="006F6993" w:rsidRDefault="006F6993" w:rsidP="00DF6488">
                        <w:pPr>
                          <w:jc w:val="center"/>
                        </w:pPr>
                        <w:r>
                          <w:rPr>
                            <w:rFonts w:ascii="Arial" w:hAnsi="Arial" w:cs="Arial"/>
                            <w:color w:val="000000"/>
                            <w:sz w:val="20"/>
                          </w:rPr>
                          <w:t>If negative, then panel testing</w:t>
                        </w:r>
                      </w:p>
                    </w:txbxContent>
                  </v:textbox>
                </v:roundrect>
                <v:shapetype id="_x0000_t32" coordsize="21600,21600" o:spt="32" o:oned="t" path="m,l21600,21600e" filled="f">
                  <v:path arrowok="t" fillok="f" o:connecttype="none"/>
                  <o:lock v:ext="edit" shapetype="t"/>
                </v:shapetype>
                <v:shape id="Straight Arrow Connector 4" o:spid="_x0000_s1035" type="#_x0000_t32" style="position:absolute;left:31233;top:13811;width:0;height:2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" strokecolor="black [3213]">
                  <v:stroke endarrow="block"/>
                </v:shape>
                <v:shape id="Straight Arrow Connector 18" o:spid="_x0000_s1036" type="#_x0000_t32" style="position:absolute;left:22860;top:19240;width:8373;height:27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" strokecolor="black [3213]">
                  <v:stroke endarrow="block"/>
                </v:shape>
                <v:shape id="Straight Arrow Connector 19" o:spid="_x0000_s1037" type="#_x0000_t32" style="position:absolute;left:12995;top:34004;width:12174;height:23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" strokecolor="black [3213]">
                  <v:stroke endarrow="block"/>
                </v:shape>
                <v:shape id="Straight Arrow Connector 20" o:spid="_x0000_s1038" type="#_x0000_t32" style="position:absolute;left:12995;top:33909;width:0;height:178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" strokecolor="black [3213]">
                  <v:stroke endarrow="block"/>
                </v:shape>
                <v:shape id="Straight Arrow Connector 21" o:spid="_x0000_s1039" type="#_x0000_t32" style="position:absolute;left:31233;top:19240;width:3317;height:247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" strokecolor="black [3213]">
                  <v:stroke endarrow="block"/>
                </v:shape>
                <v:shape id="Straight Arrow Connector 22" o:spid="_x0000_s1040" type="#_x0000_t32" style="position:absolute;left:25169;top:41148;width:9381;height:28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" strokecolor="black [3213]">
                  <v:stroke endarrow="block"/>
                </v:shape>
                <v:shape id="Straight Arrow Connector 23" o:spid="_x0000_s1041" type="#_x0000_t32" style="position:absolute;left:34550;top:48470;width:5783;height:33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" strokecolor="black [3213]">
                  <v:stroke endarrow="block"/>
                </v:shape>
                <v:shape id="Straight Arrow Connector 24" o:spid="_x0000_s1042" type="#_x0000_t32" style="position:absolute;left:12995;top:48470;width:21555;height:33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" strokecolor="black [3213]">
                  <v:stroke endarrow="block"/>
                </v:shape>
                <v:roundrect id="Rectangle: Rounded Corners 25" o:spid="_x0000_s1043" style="position:absolute;left:27717;top:62474;width:25241;height:44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" fillcolor="#b6dde8 [1304]" strokecolor="#4bacc6 [3208]" strokeweight="2pt">
                  <v:textbox>
                    <w:txbxContent>
                      <w:p w14:paraId="053AD3D9" w14:textId="0B1B47F7" w:rsidR="006F6993" w:rsidRDefault="006F6993" w:rsidP="00784C86">
                        <w:pPr>
                          <w:rPr>
                            <w:szCs w:val="24"/>
                          </w:rPr>
                        </w:pPr>
                        <w:r>
                          <w:rPr>
                            <w:rFonts w:ascii="Arial" w:hAnsi="Arial" w:cs="Arial"/>
                            <w:b/>
                            <w:bCs/>
                            <w:color w:val="000000"/>
                            <w:sz w:val="20"/>
                          </w:rPr>
                          <w:t xml:space="preserve">Re-analyse the data </w:t>
                        </w:r>
                        <w:r>
                          <w:rPr>
                            <w:rFonts w:ascii="Arial" w:hAnsi="Arial" w:cs="Arial"/>
                            <w:color w:val="000000"/>
                            <w:sz w:val="20"/>
                          </w:rPr>
                          <w:t>as the pathogenic statuses of variants are changed</w:t>
                        </w:r>
                      </w:p>
                    </w:txbxContent>
                  </v:textbox>
                </v:roundrect>
                <v:shape id="Straight Arrow Connector 26" o:spid="_x0000_s1044" type="#_x0000_t32" style="position:absolute;left:40333;top:60579;width:5;height:18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" strokecolor="black [3213]">
                  <v:stroke endarrow="block"/>
                </v:shape>
                <w10:anchorlock/>
              </v:group>
            </w:pict>
          </mc:Fallback>
        </mc:AlternateContent>
      </w:r>
    </w:p>
    <w:p w14:paraId="326424AC" w14:textId="56B320A2" w:rsidR="00442A27" w:rsidRPr="00303C98" w:rsidRDefault="00442A27" w:rsidP="00442A27">
      <w:pPr>
        <w:pStyle w:val="Caption"/>
        <w:rPr>
          <w:rFonts w:ascii="Times New Roman" w:hAnsi="Times New Roman" w:cs="Times New Roman"/>
        </w:rPr>
      </w:pPr>
      <w:bookmarkStart w:id="5" w:name="_Ref74827233"/>
      <w:bookmarkStart w:id="6" w:name="_Toc71525163"/>
      <w:bookmarkStart w:id="7" w:name="_Toc71552666"/>
      <w:r>
        <w:t xml:space="preserve">Figure </w:t>
      </w:r>
      <w:r w:rsidR="003E46EE">
        <w:fldChar w:fldCharType="begin"/>
      </w:r>
      <w:r w:rsidR="003E46EE">
        <w:instrText xml:space="preserve"> SEQ Figure \* ARABIC </w:instrText>
      </w:r>
      <w:r w:rsidR="003E46EE">
        <w:fldChar w:fldCharType="separate"/>
      </w:r>
      <w:r w:rsidR="004205E1">
        <w:rPr>
          <w:noProof/>
        </w:rPr>
        <w:t>1</w:t>
      </w:r>
      <w:r w:rsidR="003E46EE">
        <w:rPr>
          <w:noProof/>
        </w:rPr>
        <w:fldChar w:fldCharType="end"/>
      </w:r>
      <w:bookmarkEnd w:id="5"/>
      <w:r>
        <w:tab/>
        <w:t>Clinical algorithm including proposed NMD genetic testing.</w:t>
      </w:r>
      <w:bookmarkEnd w:id="6"/>
      <w:bookmarkEnd w:id="7"/>
    </w:p>
    <w:p w14:paraId="0D059BF1" w14:textId="0EBC8D4D" w:rsidR="00442A27" w:rsidRDefault="00442A27" w:rsidP="00442A27">
      <w:pPr>
        <w:pStyle w:val="Tablenotes1"/>
      </w:pPr>
      <w:r>
        <w:t xml:space="preserve">Source: </w:t>
      </w:r>
      <w:r w:rsidR="004D69FE">
        <w:t xml:space="preserve">Based on </w:t>
      </w:r>
      <w:r w:rsidR="006A1BBD">
        <w:t>Second DCAR</w:t>
      </w:r>
      <w:r>
        <w:t xml:space="preserve"> Figure 1, from Application form Figure 2 (page 21).</w:t>
      </w:r>
    </w:p>
    <w:p w14:paraId="3B1E210B" w14:textId="6812CF9E" w:rsidR="0012129B" w:rsidRDefault="00954190" w:rsidP="0012129B">
      <w:r>
        <w:t xml:space="preserve">The </w:t>
      </w:r>
      <w:r w:rsidR="006A1BBD">
        <w:t xml:space="preserve">first </w:t>
      </w:r>
      <w:r>
        <w:t>DCAR stated that f</w:t>
      </w:r>
      <w:r w:rsidR="0012129B" w:rsidRPr="00B95A18">
        <w:t xml:space="preserve">or patients who have no pathogenic variant identified by panel testing, re-analysis of their stored data </w:t>
      </w:r>
      <w:r w:rsidR="0012129B">
        <w:t xml:space="preserve">(item FFFF) </w:t>
      </w:r>
      <w:r w:rsidR="0012129B" w:rsidRPr="00B95A18">
        <w:t xml:space="preserve">can reoccur twice per lifetime </w:t>
      </w:r>
      <w:proofErr w:type="gramStart"/>
      <w:r w:rsidR="0012129B" w:rsidRPr="00B95A18">
        <w:t xml:space="preserve">in the event </w:t>
      </w:r>
      <w:r w:rsidR="0012129B">
        <w:t>that</w:t>
      </w:r>
      <w:proofErr w:type="gramEnd"/>
      <w:r w:rsidR="0012129B" w:rsidRPr="00B95A18">
        <w:t xml:space="preserve"> new evidence is produced that changes the status of a variant from variant of uncertain significance (VUS) to likely pathogenic</w:t>
      </w:r>
      <w:r w:rsidR="0012129B">
        <w:t xml:space="preserve"> or pathogenic</w:t>
      </w:r>
      <w:r w:rsidR="0012129B" w:rsidRPr="00B95A18">
        <w:t>, and/or additional genes ar</w:t>
      </w:r>
      <w:r w:rsidR="0012129B">
        <w:t xml:space="preserve">e found to be likely pathogenic or </w:t>
      </w:r>
      <w:r w:rsidR="00295EB6">
        <w:t>pathogenic.</w:t>
      </w:r>
    </w:p>
    <w:p w14:paraId="0DE66C81" w14:textId="6864A81F" w:rsidR="0012129B" w:rsidRDefault="0012129B" w:rsidP="00042B86">
      <w:pPr>
        <w:spacing w:before="240"/>
      </w:pPr>
      <w:r>
        <w:lastRenderedPageBreak/>
        <w:t>F</w:t>
      </w:r>
      <w:r w:rsidRPr="00B95A18">
        <w:t xml:space="preserve">or a pregnancy where the </w:t>
      </w:r>
      <w:proofErr w:type="spellStart"/>
      <w:r w:rsidRPr="00B95A18">
        <w:t>fetus</w:t>
      </w:r>
      <w:proofErr w:type="spellEnd"/>
      <w:r w:rsidRPr="00B95A18">
        <w:t xml:space="preserve"> has been identified on ultrasound or anomaly scan with either structural abnormalities or other signs suggestive of NMD</w:t>
      </w:r>
      <w:r>
        <w:t>, c</w:t>
      </w:r>
      <w:r w:rsidRPr="00B95A18">
        <w:t xml:space="preserve">urrently, a sample will be obtained via amniocentesis or chorionic villi sampling (CVS) </w:t>
      </w:r>
      <w:r>
        <w:t>and</w:t>
      </w:r>
      <w:r w:rsidRPr="00B95A18">
        <w:t xml:space="preserve"> tested using genome wide </w:t>
      </w:r>
      <w:proofErr w:type="spellStart"/>
      <w:r w:rsidRPr="00B95A18">
        <w:t>microarray</w:t>
      </w:r>
      <w:r>
        <w:t>ing</w:t>
      </w:r>
      <w:proofErr w:type="spellEnd"/>
      <w:r w:rsidRPr="00B95A18">
        <w:t xml:space="preserve"> or karyotyp</w:t>
      </w:r>
      <w:r>
        <w:t>ing</w:t>
      </w:r>
      <w:r w:rsidRPr="00B95A18">
        <w:t xml:space="preserve"> (depending on the abnormality detected). The proposed pathway will </w:t>
      </w:r>
      <w:r w:rsidR="00B24E21">
        <w:t xml:space="preserve">not completely </w:t>
      </w:r>
      <w:r w:rsidRPr="00B95A18">
        <w:t>replace the genome wide microarray or karyotype test with the gene panel test</w:t>
      </w:r>
      <w:r>
        <w:t xml:space="preserve"> (item DDDD)</w:t>
      </w:r>
      <w:r w:rsidRPr="00B95A18">
        <w:t>. Where the gene panel test detects a pathogenic or likely pathogenic variant the mother/parents will need to decide whether to continue with the pregnancy.</w:t>
      </w:r>
    </w:p>
    <w:p w14:paraId="53AA62BB" w14:textId="77777777" w:rsidR="0012129B" w:rsidRDefault="0012129B" w:rsidP="00042B86">
      <w:pPr>
        <w:spacing w:before="240"/>
      </w:pPr>
      <w:r>
        <w:t>C</w:t>
      </w:r>
      <w:r w:rsidRPr="00B95A18">
        <w:t>urrently</w:t>
      </w:r>
      <w:r>
        <w:t>,</w:t>
      </w:r>
      <w:r w:rsidRPr="00B95A18">
        <w:t xml:space="preserve"> biological relatives </w:t>
      </w:r>
      <w:r>
        <w:t xml:space="preserve">and reproductive partners </w:t>
      </w:r>
      <w:r w:rsidRPr="00B95A18">
        <w:t>of index case</w:t>
      </w:r>
      <w:r>
        <w:t>s</w:t>
      </w:r>
      <w:r w:rsidRPr="00B95A18">
        <w:t xml:space="preserve"> do not have access to variant-specific gene testing (except privately or through some public institutions). The proposed pathway would allow biological relatives (including parents of an index case) to access variant-specific testing</w:t>
      </w:r>
      <w:r>
        <w:t xml:space="preserve"> (items BBBB, CCCC)</w:t>
      </w:r>
      <w:r w:rsidRPr="00B95A18">
        <w:t xml:space="preserve"> for actionable pathogenic gene variant(s) previously identified in an index patient (</w:t>
      </w:r>
      <w:r>
        <w:t>through</w:t>
      </w:r>
      <w:r w:rsidRPr="00B95A18">
        <w:t xml:space="preserve"> item AAAA or DDDD). This information would allow for disease surveillance and reproductive choice. Where the inheritance pattern is recessive, </w:t>
      </w:r>
      <w:r>
        <w:t xml:space="preserve">genetic </w:t>
      </w:r>
      <w:r w:rsidRPr="00B95A18">
        <w:t xml:space="preserve">testing </w:t>
      </w:r>
      <w:r>
        <w:t>would be</w:t>
      </w:r>
      <w:r w:rsidRPr="00B95A18">
        <w:t xml:space="preserve"> available for the reproductive partner for couples wishing to reproduce</w:t>
      </w:r>
      <w:r>
        <w:t xml:space="preserve"> (item EEEE)</w:t>
      </w:r>
      <w:r w:rsidRPr="00B95A18">
        <w:t>.</w:t>
      </w:r>
    </w:p>
    <w:p w14:paraId="4A9A8F94" w14:textId="77777777" w:rsidR="0012129B" w:rsidRDefault="0012129B" w:rsidP="0012129B">
      <w:pPr>
        <w:sectPr w:rsidR="0012129B" w:rsidSect="00342FAC">
          <w:footerReference w:type="default" r:id="rId14"/>
          <w:pgSz w:w="11906" w:h="16838"/>
          <w:pgMar w:top="1440" w:right="1440" w:bottom="1134" w:left="1440" w:header="708" w:footer="708" w:gutter="0"/>
          <w:cols w:space="708"/>
          <w:docGrid w:linePitch="360"/>
        </w:sectPr>
      </w:pPr>
    </w:p>
    <w:p w14:paraId="2682ECF8" w14:textId="77777777" w:rsidR="0012129B" w:rsidRDefault="0012129B" w:rsidP="0012129B">
      <w:pPr>
        <w:jc w:val="center"/>
      </w:pPr>
      <w:r w:rsidRPr="00DB0A1E">
        <w:rPr>
          <w:noProof/>
        </w:rPr>
        <w:lastRenderedPageBreak/>
        <w:drawing>
          <wp:inline distT="0" distB="0" distL="0" distR="0" wp14:anchorId="6A518D1C" wp14:editId="559F6142">
            <wp:extent cx="8362950" cy="4953000"/>
            <wp:effectExtent l="0" t="0" r="0" b="0"/>
            <wp:docPr id="17" name="Picture 17" descr="Current and proposed clinical management algorithm for patients symptomatic for N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8769"/>
                    <a:stretch/>
                  </pic:blipFill>
                  <pic:spPr bwMode="auto">
                    <a:xfrm>
                      <a:off x="0" y="0"/>
                      <a:ext cx="8363253" cy="4953179"/>
                    </a:xfrm>
                    <a:prstGeom prst="rect">
                      <a:avLst/>
                    </a:prstGeom>
                    <a:ln>
                      <a:noFill/>
                    </a:ln>
                    <a:extLst>
                      <a:ext uri="{53640926-AAD7-44D8-BBD7-CCE9431645EC}">
                        <a14:shadowObscured xmlns:a14="http://schemas.microsoft.com/office/drawing/2010/main"/>
                      </a:ext>
                    </a:extLst>
                  </pic:spPr>
                </pic:pic>
              </a:graphicData>
            </a:graphic>
          </wp:inline>
        </w:drawing>
      </w:r>
    </w:p>
    <w:p w14:paraId="07C9B586" w14:textId="0339F45D" w:rsidR="0012129B" w:rsidRDefault="0012129B" w:rsidP="0012129B">
      <w:pPr>
        <w:pStyle w:val="Caption"/>
        <w:jc w:val="left"/>
        <w:rPr>
          <w:b w:val="0"/>
        </w:rPr>
      </w:pPr>
      <w:bookmarkStart w:id="8" w:name="_Ref62656807"/>
      <w:r>
        <w:t xml:space="preserve">Figure </w:t>
      </w:r>
      <w:r w:rsidR="003E46EE">
        <w:fldChar w:fldCharType="begin"/>
      </w:r>
      <w:r w:rsidR="003E46EE">
        <w:instrText xml:space="preserve"> SEQ Figure \* ARABIC </w:instrText>
      </w:r>
      <w:r w:rsidR="003E46EE">
        <w:fldChar w:fldCharType="separate"/>
      </w:r>
      <w:r w:rsidR="004205E1">
        <w:rPr>
          <w:noProof/>
        </w:rPr>
        <w:t>2</w:t>
      </w:r>
      <w:r w:rsidR="003E46EE">
        <w:rPr>
          <w:noProof/>
        </w:rPr>
        <w:fldChar w:fldCharType="end"/>
      </w:r>
      <w:bookmarkEnd w:id="8"/>
      <w:r>
        <w:tab/>
        <w:t>Current and proposed clinical management algorithm for patients symptomatic for NMD</w:t>
      </w:r>
    </w:p>
    <w:p w14:paraId="60457779" w14:textId="77777777" w:rsidR="0012129B" w:rsidRDefault="0012129B" w:rsidP="0012129B">
      <w:pPr>
        <w:pStyle w:val="Tablenotes1"/>
      </w:pPr>
      <w:r>
        <w:t xml:space="preserve">* MBS items 30075, 72844, 72846 are tests that will be used to obtain a diagnosis for some clinical phenotypes. </w:t>
      </w:r>
    </w:p>
    <w:p w14:paraId="640533B9" w14:textId="77777777" w:rsidR="0012129B" w:rsidRDefault="0012129B" w:rsidP="0012129B">
      <w:pPr>
        <w:pStyle w:val="Tablenotes1"/>
      </w:pPr>
      <w:r>
        <w:t>VUS = variant of uncertain significance.</w:t>
      </w:r>
    </w:p>
    <w:p w14:paraId="369E2716" w14:textId="6AA65486" w:rsidR="0012129B" w:rsidRDefault="0012129B" w:rsidP="0012129B">
      <w:pPr>
        <w:pStyle w:val="Tablenotes1"/>
      </w:pPr>
      <w:r>
        <w:t xml:space="preserve">Source: </w:t>
      </w:r>
      <w:r w:rsidR="006A1BBD">
        <w:t xml:space="preserve">First </w:t>
      </w:r>
      <w:r>
        <w:t>DCAR, Figure 1.</w:t>
      </w:r>
      <w:r>
        <w:br w:type="page"/>
      </w:r>
    </w:p>
    <w:p w14:paraId="6C4E3987" w14:textId="77777777" w:rsidR="0012129B" w:rsidRDefault="0012129B" w:rsidP="0012129B">
      <w:pPr>
        <w:jc w:val="center"/>
      </w:pPr>
      <w:r w:rsidRPr="00B0056C">
        <w:rPr>
          <w:noProof/>
        </w:rPr>
        <w:lastRenderedPageBreak/>
        <w:drawing>
          <wp:inline distT="0" distB="0" distL="0" distR="0" wp14:anchorId="5E630501" wp14:editId="17C3E403">
            <wp:extent cx="8415936" cy="5010150"/>
            <wp:effectExtent l="0" t="0" r="4445" b="0"/>
            <wp:docPr id="15" name="Picture 15" descr="Current and proposed clinical management algorithm in pregnancies where the fetus is symptomatic for N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10388"/>
                    <a:stretch/>
                  </pic:blipFill>
                  <pic:spPr bwMode="auto">
                    <a:xfrm>
                      <a:off x="0" y="0"/>
                      <a:ext cx="8474070" cy="5044758"/>
                    </a:xfrm>
                    <a:prstGeom prst="rect">
                      <a:avLst/>
                    </a:prstGeom>
                    <a:ln>
                      <a:noFill/>
                    </a:ln>
                    <a:extLst>
                      <a:ext uri="{53640926-AAD7-44D8-BBD7-CCE9431645EC}">
                        <a14:shadowObscured xmlns:a14="http://schemas.microsoft.com/office/drawing/2010/main"/>
                      </a:ext>
                    </a:extLst>
                  </pic:spPr>
                </pic:pic>
              </a:graphicData>
            </a:graphic>
          </wp:inline>
        </w:drawing>
      </w:r>
    </w:p>
    <w:p w14:paraId="1001D546" w14:textId="20795343" w:rsidR="0012129B" w:rsidRDefault="0012129B" w:rsidP="0012129B">
      <w:pPr>
        <w:pStyle w:val="Caption"/>
        <w:jc w:val="left"/>
      </w:pPr>
      <w:bookmarkStart w:id="9" w:name="_Ref62656812"/>
      <w:r>
        <w:t xml:space="preserve">Figure </w:t>
      </w:r>
      <w:r w:rsidR="003E46EE">
        <w:fldChar w:fldCharType="begin"/>
      </w:r>
      <w:r w:rsidR="003E46EE">
        <w:instrText xml:space="preserve"> SEQ Figure \* ARABIC </w:instrText>
      </w:r>
      <w:r w:rsidR="003E46EE">
        <w:fldChar w:fldCharType="separate"/>
      </w:r>
      <w:r w:rsidR="004205E1">
        <w:rPr>
          <w:noProof/>
        </w:rPr>
        <w:t>3</w:t>
      </w:r>
      <w:r w:rsidR="003E46EE">
        <w:rPr>
          <w:noProof/>
        </w:rPr>
        <w:fldChar w:fldCharType="end"/>
      </w:r>
      <w:bookmarkEnd w:id="9"/>
      <w:r>
        <w:tab/>
        <w:t xml:space="preserve">Current and proposed clinical management algorithm in pregnancies where the </w:t>
      </w:r>
      <w:proofErr w:type="spellStart"/>
      <w:r>
        <w:t>fetus</w:t>
      </w:r>
      <w:proofErr w:type="spellEnd"/>
      <w:r>
        <w:t xml:space="preserve"> is symptomatic for NMD</w:t>
      </w:r>
    </w:p>
    <w:p w14:paraId="315FA131" w14:textId="77777777" w:rsidR="0012129B" w:rsidRDefault="0012129B" w:rsidP="0012129B">
      <w:pPr>
        <w:pStyle w:val="Tablenotes1"/>
      </w:pPr>
      <w:r>
        <w:t xml:space="preserve">* Has been recommended for listing but is yet to have an MBS item. </w:t>
      </w:r>
    </w:p>
    <w:p w14:paraId="3CB7A892" w14:textId="77777777" w:rsidR="0012129B" w:rsidRDefault="0012129B" w:rsidP="0012129B">
      <w:pPr>
        <w:pStyle w:val="Tablenotes1"/>
      </w:pPr>
      <w:r>
        <w:t>CVS = chorionic villus sampling.</w:t>
      </w:r>
    </w:p>
    <w:p w14:paraId="6CCAC5B9" w14:textId="3F4627EF" w:rsidR="0012129B" w:rsidRDefault="0012129B" w:rsidP="0012129B">
      <w:pPr>
        <w:pStyle w:val="Tablenotes1"/>
      </w:pPr>
      <w:r>
        <w:t xml:space="preserve">Source: </w:t>
      </w:r>
      <w:r w:rsidR="006A1BBD">
        <w:t xml:space="preserve">First </w:t>
      </w:r>
      <w:r>
        <w:t>DCAR, Figure 2.</w:t>
      </w:r>
      <w:r>
        <w:br w:type="page"/>
      </w:r>
    </w:p>
    <w:p w14:paraId="3A103E7F" w14:textId="77777777" w:rsidR="0012129B" w:rsidRDefault="0012129B" w:rsidP="0012129B">
      <w:pPr>
        <w:jc w:val="center"/>
      </w:pPr>
      <w:r w:rsidRPr="00B0056C">
        <w:rPr>
          <w:noProof/>
        </w:rPr>
        <w:lastRenderedPageBreak/>
        <w:drawing>
          <wp:inline distT="0" distB="0" distL="0" distR="0" wp14:anchorId="510F091A" wp14:editId="48DD0542">
            <wp:extent cx="7524750" cy="4628778"/>
            <wp:effectExtent l="0" t="0" r="0" b="635"/>
            <wp:docPr id="14" name="Picture 14" descr="Current and proposed clinical management algorithm in biological relatives of index c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17469"/>
                    <a:stretch/>
                  </pic:blipFill>
                  <pic:spPr bwMode="auto">
                    <a:xfrm>
                      <a:off x="0" y="0"/>
                      <a:ext cx="7553743" cy="4646613"/>
                    </a:xfrm>
                    <a:prstGeom prst="rect">
                      <a:avLst/>
                    </a:prstGeom>
                    <a:ln>
                      <a:noFill/>
                    </a:ln>
                    <a:extLst>
                      <a:ext uri="{53640926-AAD7-44D8-BBD7-CCE9431645EC}">
                        <a14:shadowObscured xmlns:a14="http://schemas.microsoft.com/office/drawing/2010/main"/>
                      </a:ext>
                    </a:extLst>
                  </pic:spPr>
                </pic:pic>
              </a:graphicData>
            </a:graphic>
          </wp:inline>
        </w:drawing>
      </w:r>
    </w:p>
    <w:p w14:paraId="1C3A6462" w14:textId="55F6923D" w:rsidR="0012129B" w:rsidRDefault="0012129B" w:rsidP="0012129B">
      <w:pPr>
        <w:pStyle w:val="Caption"/>
        <w:jc w:val="left"/>
      </w:pPr>
      <w:bookmarkStart w:id="10" w:name="_Ref62656818"/>
      <w:r>
        <w:t xml:space="preserve">Figure </w:t>
      </w:r>
      <w:r w:rsidR="003E46EE">
        <w:fldChar w:fldCharType="begin"/>
      </w:r>
      <w:r w:rsidR="003E46EE">
        <w:instrText xml:space="preserve"> SEQ Figure \* ARABIC </w:instrText>
      </w:r>
      <w:r w:rsidR="003E46EE">
        <w:fldChar w:fldCharType="separate"/>
      </w:r>
      <w:r w:rsidR="004205E1">
        <w:rPr>
          <w:noProof/>
        </w:rPr>
        <w:t>4</w:t>
      </w:r>
      <w:r w:rsidR="003E46EE">
        <w:rPr>
          <w:noProof/>
        </w:rPr>
        <w:fldChar w:fldCharType="end"/>
      </w:r>
      <w:bookmarkEnd w:id="10"/>
      <w:r>
        <w:tab/>
        <w:t>Current and proposed clinical management algorithm in the biological relatives and reproductive partners of index cases</w:t>
      </w:r>
    </w:p>
    <w:p w14:paraId="0729B9B4" w14:textId="77777777" w:rsidR="0012129B" w:rsidRDefault="0012129B" w:rsidP="0012129B">
      <w:pPr>
        <w:pStyle w:val="Tablenotes1"/>
      </w:pPr>
      <w:r>
        <w:t>* The degree of testing, whether the first degree, second degree etc. will depend on the mode of inheritance of the actionable pathogenic variant.</w:t>
      </w:r>
    </w:p>
    <w:p w14:paraId="66C5E769" w14:textId="07D010DC" w:rsidR="0012129B" w:rsidRPr="009232FB" w:rsidRDefault="002406F5" w:rsidP="0012129B">
      <w:pPr>
        <w:pStyle w:val="Tablenotes1"/>
        <w:sectPr w:rsidR="0012129B" w:rsidRPr="009232FB" w:rsidSect="00295EB6">
          <w:pgSz w:w="16838" w:h="11906" w:orient="landscape"/>
          <w:pgMar w:top="1440" w:right="1440" w:bottom="1440" w:left="1134" w:header="708" w:footer="708" w:gutter="0"/>
          <w:cols w:space="708"/>
          <w:docGrid w:linePitch="360"/>
        </w:sectPr>
      </w:pPr>
      <w:r>
        <w:t xml:space="preserve">Source: </w:t>
      </w:r>
      <w:r w:rsidR="006A1BBD">
        <w:t xml:space="preserve">First </w:t>
      </w:r>
      <w:r>
        <w:t>DCAR, Figure 3</w:t>
      </w:r>
    </w:p>
    <w:p w14:paraId="19EC7DC0" w14:textId="1C4E6CBF" w:rsidR="00D55F83" w:rsidRPr="00C730C8" w:rsidRDefault="00065623"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lastRenderedPageBreak/>
        <w:t>Comparator</w:t>
      </w:r>
    </w:p>
    <w:p w14:paraId="484034F5" w14:textId="6B20BCDD" w:rsidR="00443F1D" w:rsidRPr="00C730C8" w:rsidRDefault="006C56D4" w:rsidP="00C730C8">
      <w:r>
        <w:t xml:space="preserve">The </w:t>
      </w:r>
      <w:r w:rsidR="006A1BBD">
        <w:t xml:space="preserve">first </w:t>
      </w:r>
      <w:r>
        <w:t>DCAR stated that t</w:t>
      </w:r>
      <w:r w:rsidRPr="006C56D4">
        <w:t>he comparator to the gene pane</w:t>
      </w:r>
      <w:r>
        <w:t>l test for affected individuals is no genetic testing, and t</w:t>
      </w:r>
      <w:r w:rsidRPr="006C56D4">
        <w:t>he comparator to variant-</w:t>
      </w:r>
      <w:r>
        <w:t>specific</w:t>
      </w:r>
      <w:r w:rsidRPr="006C56D4">
        <w:t xml:space="preserve"> test</w:t>
      </w:r>
      <w:r>
        <w:t xml:space="preserve">ing (for cascade testing of biological relatives, reproductive </w:t>
      </w:r>
      <w:proofErr w:type="gramStart"/>
      <w:r>
        <w:t>partners</w:t>
      </w:r>
      <w:proofErr w:type="gramEnd"/>
      <w:r>
        <w:t xml:space="preserve"> and </w:t>
      </w:r>
      <w:proofErr w:type="spellStart"/>
      <w:r>
        <w:t>fetuses</w:t>
      </w:r>
      <w:proofErr w:type="spellEnd"/>
      <w:r>
        <w:t>)</w:t>
      </w:r>
      <w:r w:rsidRPr="006C56D4">
        <w:t xml:space="preserve"> is no genetic testing.</w:t>
      </w:r>
    </w:p>
    <w:p w14:paraId="129DD6F8" w14:textId="332B42F1" w:rsidR="005922DB" w:rsidRPr="00C730C8" w:rsidRDefault="00065623"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t>Comparative safety</w:t>
      </w:r>
    </w:p>
    <w:p w14:paraId="03BDCE71" w14:textId="6394F345" w:rsidR="0012129B" w:rsidRDefault="006C56D4" w:rsidP="0012129B">
      <w:r>
        <w:t xml:space="preserve">The </w:t>
      </w:r>
      <w:r w:rsidR="006A1BBD">
        <w:t xml:space="preserve">first </w:t>
      </w:r>
      <w:r>
        <w:t xml:space="preserve">DCAR stated that genetic testing for NMDs has inferior safety compared to no genetic testing. </w:t>
      </w:r>
      <w:r w:rsidRPr="006C56D4">
        <w:t>The claim of inferior safety is due to an intervention being done (taking a buccal swab, blood test etc.) versus no testing; the safety risk is small but exists.</w:t>
      </w:r>
    </w:p>
    <w:p w14:paraId="7B35DB18" w14:textId="64457F3F" w:rsidR="007C2D6A" w:rsidRPr="00C730C8" w:rsidRDefault="00D94483" w:rsidP="00042B86">
      <w:pPr>
        <w:spacing w:before="240"/>
      </w:pPr>
      <w:r>
        <w:t xml:space="preserve">The </w:t>
      </w:r>
      <w:r w:rsidR="006A1BBD">
        <w:t xml:space="preserve">first </w:t>
      </w:r>
      <w:r>
        <w:t>DCAR identified no studies that reported on the safety of the use of NMD panels. No safety issues exist, beyond those associated with taking blood samples of buccal swabs for the purpose of DNA extraction.</w:t>
      </w:r>
    </w:p>
    <w:p w14:paraId="56F2AE84" w14:textId="2274FF1A" w:rsidR="00206760" w:rsidRPr="00C730C8" w:rsidRDefault="00065623"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t>Comparative effectiveness</w:t>
      </w:r>
    </w:p>
    <w:p w14:paraId="2C9E5539" w14:textId="727AD50F" w:rsidR="0012129B" w:rsidRDefault="0012129B" w:rsidP="0012129B">
      <w:pPr>
        <w:pStyle w:val="Heading2"/>
      </w:pPr>
      <w:r>
        <w:t>Clinical claim</w:t>
      </w:r>
    </w:p>
    <w:p w14:paraId="55E8F313" w14:textId="592F8447" w:rsidR="00954190" w:rsidRDefault="00D94483" w:rsidP="00D94483">
      <w:r w:rsidRPr="00D94483">
        <w:t xml:space="preserve">The </w:t>
      </w:r>
      <w:r w:rsidR="006A1BBD">
        <w:t xml:space="preserve">first </w:t>
      </w:r>
      <w:r>
        <w:t xml:space="preserve">DCAR stated that </w:t>
      </w:r>
      <w:r w:rsidR="00954190">
        <w:t>t</w:t>
      </w:r>
      <w:r w:rsidR="00954190" w:rsidRPr="00954190">
        <w:t>he clinical claim is that genetic testing for NMD</w:t>
      </w:r>
      <w:r w:rsidR="00954190">
        <w:t>s</w:t>
      </w:r>
      <w:r w:rsidR="00954190" w:rsidRPr="00954190">
        <w:t xml:space="preserve"> is inferior in terms of safety and superior in terms of clinical effectiveness, compared to no genetic testing</w:t>
      </w:r>
      <w:r w:rsidR="00954190">
        <w:t>,</w:t>
      </w:r>
      <w:r w:rsidR="00954190" w:rsidRPr="00954190">
        <w:t xml:space="preserve"> for the proposed population.  </w:t>
      </w:r>
    </w:p>
    <w:p w14:paraId="7B19C9B1" w14:textId="26CB5C36" w:rsidR="00D62F60" w:rsidRDefault="00D94483" w:rsidP="00042B86">
      <w:pPr>
        <w:spacing w:before="240"/>
      </w:pPr>
      <w:r w:rsidRPr="00D94483">
        <w:t xml:space="preserve">The claim of clinical superiority is </w:t>
      </w:r>
      <w:r w:rsidR="00954190">
        <w:t>because</w:t>
      </w:r>
      <w:r w:rsidR="00954190" w:rsidRPr="00D94483">
        <w:t xml:space="preserve"> </w:t>
      </w:r>
      <w:r w:rsidRPr="00D94483">
        <w:t>patients may get a genetic diagnosis that agrees with their phenotype, or the genetic diagnosis refutes the phenotypic diagnosis. A genetic diagnosis in an affected individual permits further prognostication, and permits cascade testing, that would otherwise not be possible.</w:t>
      </w:r>
    </w:p>
    <w:p w14:paraId="3C2DF25F" w14:textId="77777777" w:rsidR="0012129B" w:rsidRDefault="0012129B" w:rsidP="00042B86">
      <w:pPr>
        <w:pStyle w:val="Heading2"/>
        <w:spacing w:before="240"/>
      </w:pPr>
      <w:r>
        <w:t>Analytical validity</w:t>
      </w:r>
    </w:p>
    <w:p w14:paraId="52CE1F1B" w14:textId="362C9667" w:rsidR="00F90E18" w:rsidRDefault="00F90E18" w:rsidP="00F90E18">
      <w:r>
        <w:t xml:space="preserve">MSAC advised at its March/April 2021 meeting that the </w:t>
      </w:r>
      <w:r w:rsidR="00992D53">
        <w:t xml:space="preserve">second DCAR’s </w:t>
      </w:r>
      <w:r>
        <w:t xml:space="preserve">assessment of </w:t>
      </w:r>
      <w:r w:rsidR="00741E32">
        <w:t>this application</w:t>
      </w:r>
      <w:r>
        <w:t xml:space="preserve"> should use a revised streamlined approach, including no requirement to assess analytical validity. MSAC advised that analytical validity does not need to be assessed for applications</w:t>
      </w:r>
      <w:r w:rsidDel="00334134">
        <w:t xml:space="preserve"> </w:t>
      </w:r>
      <w:r>
        <w:t>for expanded indications for genomic tests (including large panels, WES and WGS), because NGS is used extensively by laboratories and is not inferior to Sanger sequencing. NGS is more reproducible and for many (</w:t>
      </w:r>
      <w:r w:rsidR="00156C3A">
        <w:t>larger</w:t>
      </w:r>
      <w:r>
        <w:t>) genes is cheaper than Sanger sequencing. A</w:t>
      </w:r>
      <w:r w:rsidRPr="008D11AC">
        <w:t xml:space="preserve">nalytical validity </w:t>
      </w:r>
      <w:r>
        <w:t xml:space="preserve">is already captured by the laboratory’s own </w:t>
      </w:r>
      <w:r w:rsidRPr="008D11AC">
        <w:t xml:space="preserve">quality </w:t>
      </w:r>
      <w:r>
        <w:t>control processes and NATA accreditation to the standards set by the NPAAC</w:t>
      </w:r>
      <w:r w:rsidRPr="008D11AC">
        <w:t>.</w:t>
      </w:r>
    </w:p>
    <w:p w14:paraId="683B1678" w14:textId="77777777" w:rsidR="0012129B" w:rsidRDefault="0012129B" w:rsidP="00042B86">
      <w:pPr>
        <w:pStyle w:val="Heading2"/>
        <w:spacing w:before="240"/>
      </w:pPr>
      <w:r>
        <w:t>Clinical validity</w:t>
      </w:r>
    </w:p>
    <w:p w14:paraId="6FEA1365" w14:textId="361C30D3" w:rsidR="0012129B" w:rsidRDefault="00D17C22" w:rsidP="00042B86">
      <w:pPr>
        <w:spacing w:after="240"/>
      </w:pPr>
      <w:r>
        <w:t xml:space="preserve">The </w:t>
      </w:r>
      <w:r w:rsidR="006A1BBD">
        <w:t xml:space="preserve">first </w:t>
      </w:r>
      <w:r>
        <w:t>DCAR stated that for Charcot-Marie-Tooth (CMT)</w:t>
      </w:r>
      <w:r w:rsidR="005B7376">
        <w:t xml:space="preserve"> disease</w:t>
      </w:r>
      <w:r w:rsidRPr="00D17C22">
        <w:t>, penetrance in verified variant carriers is almost 100%</w:t>
      </w:r>
      <w:r w:rsidR="008C27FB">
        <w:rPr>
          <w:rStyle w:val="FootnoteReference"/>
        </w:rPr>
        <w:footnoteReference w:id="16"/>
      </w:r>
      <w:r w:rsidR="008C27FB">
        <w:t>,</w:t>
      </w:r>
      <w:r w:rsidRPr="00D17C22">
        <w:t xml:space="preserve"> although the condition is variable both within and between families.</w:t>
      </w:r>
      <w:r>
        <w:t xml:space="preserve"> For Duchenne muscular dystrophy (DMD), 91-96% of patients who have an out-of-frame variant in the </w:t>
      </w:r>
      <w:r>
        <w:rPr>
          <w:i/>
          <w:iCs/>
        </w:rPr>
        <w:t xml:space="preserve">DMD </w:t>
      </w:r>
      <w:r w:rsidRPr="005C05ED">
        <w:t>gene</w:t>
      </w:r>
      <w:r>
        <w:t xml:space="preserve"> will develop DMD, otherwise Becker muscular dystrophy may develop depending on the variant</w:t>
      </w:r>
      <w:r w:rsidR="008C27FB">
        <w:rPr>
          <w:rStyle w:val="FootnoteReference"/>
        </w:rPr>
        <w:footnoteReference w:id="17"/>
      </w:r>
      <w:r>
        <w:t>. If the variant is known to cause DMD in other family members, the chance of the index patient developing DMD is close to 100%.</w:t>
      </w:r>
    </w:p>
    <w:p w14:paraId="01F708B3" w14:textId="77777777" w:rsidR="0012129B" w:rsidRDefault="0012129B" w:rsidP="0012129B">
      <w:pPr>
        <w:pStyle w:val="Heading2"/>
      </w:pPr>
      <w:r>
        <w:lastRenderedPageBreak/>
        <w:t>Clinical utility</w:t>
      </w:r>
    </w:p>
    <w:p w14:paraId="7A706AD0" w14:textId="41A39CEA" w:rsidR="00B411FE" w:rsidRPr="00B02E35" w:rsidRDefault="00F90E18" w:rsidP="00B411FE">
      <w:r>
        <w:t xml:space="preserve">The </w:t>
      </w:r>
      <w:r w:rsidR="006A1BBD">
        <w:t>second DCAR</w:t>
      </w:r>
      <w:r>
        <w:t xml:space="preserve"> stated that t</w:t>
      </w:r>
      <w:r w:rsidRPr="00F90E18">
        <w:t xml:space="preserve">he clinical utility of genetic testing over and above the added value of achieving a diagnosis using genetic testing </w:t>
      </w:r>
      <w:r w:rsidR="00070C1B">
        <w:t xml:space="preserve">of the affected individual </w:t>
      </w:r>
      <w:r w:rsidRPr="00F90E18">
        <w:t xml:space="preserve">is that it allows predictive testing </w:t>
      </w:r>
      <w:r w:rsidR="00070C1B">
        <w:t>for</w:t>
      </w:r>
      <w:r w:rsidRPr="00F90E18">
        <w:t xml:space="preserve"> family members who may be </w:t>
      </w:r>
      <w:r w:rsidR="00070C1B">
        <w:t xml:space="preserve">asymptomatic </w:t>
      </w:r>
      <w:r w:rsidRPr="00F90E18">
        <w:t xml:space="preserve">carriers and planning a family, and who would wish to take advantage of reproductive interventions to manage the risk of this </w:t>
      </w:r>
      <w:r w:rsidR="004F5EA8">
        <w:t>condition</w:t>
      </w:r>
      <w:r w:rsidRPr="00F90E18">
        <w:t xml:space="preserve"> being passed on to any children.</w:t>
      </w:r>
    </w:p>
    <w:p w14:paraId="1A2CC11E" w14:textId="7CE11ED2" w:rsidR="000632EF" w:rsidRPr="00C730C8" w:rsidRDefault="00065623"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t>Economic evaluation</w:t>
      </w:r>
    </w:p>
    <w:p w14:paraId="54B92BDF" w14:textId="3CC7A070" w:rsidR="00B411FE" w:rsidRDefault="00CC1836" w:rsidP="00F8290F">
      <w:r>
        <w:t xml:space="preserve">MSAC advised at its March/April 2021 meeting that the </w:t>
      </w:r>
      <w:r w:rsidR="006A1BBD">
        <w:t>second DCAR</w:t>
      </w:r>
      <w:r>
        <w:t>’s assessment should use a revised streamlined approach, including truncat</w:t>
      </w:r>
      <w:r w:rsidR="00F96A34">
        <w:t>ed</w:t>
      </w:r>
      <w:r>
        <w:t xml:space="preserve"> examination of the cost-effectiveness of testing if the total financial implications of this testing were not too high. MSAC </w:t>
      </w:r>
      <w:r w:rsidRPr="00F90E18">
        <w:t>discussed the value of economic modelling in the assessment of large genetic tests</w:t>
      </w:r>
      <w:r>
        <w:t>, noting t</w:t>
      </w:r>
      <w:r w:rsidRPr="00F90E18">
        <w:t>here are several limitations to incremental cost-effectiveness ratios (ICERs) in these applications. In particular, the economic evaluation is often based on assumptions for which there are little or no data, or that the data cannot be generalised to all conditions tested.</w:t>
      </w:r>
      <w:r>
        <w:t xml:space="preserve"> </w:t>
      </w:r>
      <w:r w:rsidRPr="00F90E18">
        <w:t>MSAC considered it may be more valuable to compare costs per diagnostic yield unit outcome (</w:t>
      </w:r>
      <w:proofErr w:type="gramStart"/>
      <w:r w:rsidRPr="00F90E18">
        <w:t>e.g.</w:t>
      </w:r>
      <w:proofErr w:type="gramEnd"/>
      <w:r w:rsidRPr="00F90E18">
        <w:t xml:space="preserve"> cost per trisomy detected, cost per pathogenic/likely pathogenic variant detected</w:t>
      </w:r>
      <w:r w:rsidR="009F27DC">
        <w:t>, as per previous MSAC considerations</w:t>
      </w:r>
      <w:r w:rsidRPr="00F90E18">
        <w:t xml:space="preserve">), which could remove many assumptions and uncertainties that complicate its decision-making. This could provide a quantitative basis for benchmarking against previously supported total </w:t>
      </w:r>
      <w:r w:rsidR="00097647">
        <w:t xml:space="preserve">financial impacts </w:t>
      </w:r>
      <w:r w:rsidRPr="00F90E18">
        <w:t>of testing.</w:t>
      </w:r>
    </w:p>
    <w:p w14:paraId="6DB5BB08" w14:textId="34452BCF" w:rsidR="00AB37C5" w:rsidRDefault="00AB37C5" w:rsidP="00042B86">
      <w:pPr>
        <w:spacing w:before="240"/>
      </w:pPr>
      <w:r>
        <w:t xml:space="preserve">MSAC advised at its July 2021 meeting that, in the context of clear clinical utility and likely low </w:t>
      </w:r>
      <w:r w:rsidR="00387947">
        <w:t xml:space="preserve">total financial </w:t>
      </w:r>
      <w:r>
        <w:t>cost of testing overall, a full economic evaluation was not warranted for this application. MSAC advised that the cost-effectiveness was likely within an acceptable range, though asked the Department to conduct more analyses so it could confirm this.</w:t>
      </w:r>
    </w:p>
    <w:p w14:paraId="5CAE8647" w14:textId="7350545C" w:rsidR="00124982" w:rsidRPr="00B02E35" w:rsidRDefault="00124982" w:rsidP="00042B86">
      <w:pPr>
        <w:spacing w:before="240"/>
      </w:pPr>
      <w:r w:rsidRPr="00290BFE">
        <w:rPr>
          <w:szCs w:val="24"/>
        </w:rPr>
        <w:t xml:space="preserve">The </w:t>
      </w:r>
      <w:r>
        <w:rPr>
          <w:szCs w:val="24"/>
        </w:rPr>
        <w:t>Department’s analyses provided to the MSAC Executive showed an estimated cost-effectiveness of the proposed testing of $1,444 per proband diagnosed.</w:t>
      </w:r>
    </w:p>
    <w:p w14:paraId="4519492F" w14:textId="15B9D533" w:rsidR="00136969" w:rsidRPr="00C730C8" w:rsidRDefault="00065623"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t>Financial/budgetary impacts</w:t>
      </w:r>
    </w:p>
    <w:p w14:paraId="1534CE6F" w14:textId="3A2D030B" w:rsidR="00F8290F" w:rsidRDefault="00BF236E" w:rsidP="00BF236E">
      <w:pPr>
        <w:pStyle w:val="Heading2"/>
      </w:pPr>
      <w:r>
        <w:t>Utilisation</w:t>
      </w:r>
    </w:p>
    <w:p w14:paraId="79F4BC76" w14:textId="0B136653" w:rsidR="00570B15" w:rsidRDefault="001F6F26" w:rsidP="00F8290F">
      <w:r>
        <w:t xml:space="preserve">The utilisation of testing depends on the incidence and prevalence of NMDs in Australia. </w:t>
      </w:r>
      <w:r w:rsidR="00BF236E">
        <w:t xml:space="preserve">The </w:t>
      </w:r>
      <w:r w:rsidR="006A1BBD">
        <w:t>second DCAR</w:t>
      </w:r>
      <w:r w:rsidR="00BF236E">
        <w:t xml:space="preserve"> stated that the </w:t>
      </w:r>
      <w:r w:rsidR="006A1BBD">
        <w:t xml:space="preserve">first </w:t>
      </w:r>
      <w:r w:rsidR="00BF236E">
        <w:t>DCAR estimat</w:t>
      </w:r>
      <w:r w:rsidR="00983D06">
        <w:t>ed</w:t>
      </w:r>
      <w:r w:rsidR="00BF236E">
        <w:t xml:space="preserve"> the likely population for NMDs </w:t>
      </w:r>
      <w:r w:rsidR="00983D06">
        <w:t xml:space="preserve">using literature </w:t>
      </w:r>
      <w:proofErr w:type="gramStart"/>
      <w:r w:rsidR="00983D06">
        <w:t>estimates</w:t>
      </w:r>
      <w:r w:rsidR="00BF236E">
        <w:t>, and</w:t>
      </w:r>
      <w:proofErr w:type="gramEnd"/>
      <w:r w:rsidR="00BF236E">
        <w:t xml:space="preserve"> assessed the proportions of patients considered likely to access the various tests if made available under the proposed item descriptors. </w:t>
      </w:r>
      <w:r w:rsidR="00BF236E" w:rsidRPr="00BF236E">
        <w:t>The</w:t>
      </w:r>
      <w:r>
        <w:t xml:space="preserve"> </w:t>
      </w:r>
      <w:r w:rsidR="006A1BBD">
        <w:t xml:space="preserve">first </w:t>
      </w:r>
      <w:r>
        <w:t>DCAR’s</w:t>
      </w:r>
      <w:r w:rsidR="00BF236E" w:rsidRPr="00BF236E">
        <w:t xml:space="preserve"> figures were calculated assuming an incidence of 10.6/100,000 and prevalence of 80/100,000. The </w:t>
      </w:r>
      <w:r w:rsidR="006A1BBD">
        <w:t xml:space="preserve">first </w:t>
      </w:r>
      <w:r w:rsidR="00BF236E" w:rsidRPr="00BF236E">
        <w:t xml:space="preserve">DCAR indicated that </w:t>
      </w:r>
      <w:r w:rsidR="00786F1F">
        <w:t>its</w:t>
      </w:r>
      <w:r w:rsidR="00BF236E" w:rsidRPr="00BF236E">
        <w:t xml:space="preserve"> figures for the estimated use of gene panel testing w</w:t>
      </w:r>
      <w:r w:rsidR="00BF236E">
        <w:t>ere</w:t>
      </w:r>
      <w:r w:rsidR="00BF236E" w:rsidRPr="00BF236E">
        <w:t xml:space="preserve"> likely to be an overestimate</w:t>
      </w:r>
      <w:r w:rsidR="00BF236E">
        <w:t>.</w:t>
      </w:r>
    </w:p>
    <w:p w14:paraId="66C53272" w14:textId="418ABF5A" w:rsidR="00362AC2" w:rsidRDefault="00BF236E" w:rsidP="00042B86">
      <w:pPr>
        <w:spacing w:before="240"/>
      </w:pPr>
      <w:r>
        <w:t xml:space="preserve">The </w:t>
      </w:r>
      <w:r w:rsidR="006A1BBD">
        <w:t>second DCAR</w:t>
      </w:r>
      <w:r>
        <w:t xml:space="preserve"> </w:t>
      </w:r>
      <w:r w:rsidR="00754F54">
        <w:t>calculated</w:t>
      </w:r>
      <w:r w:rsidR="00786F1F">
        <w:t xml:space="preserve"> alternative </w:t>
      </w:r>
      <w:r w:rsidR="008F4C97">
        <w:t xml:space="preserve">utilisation </w:t>
      </w:r>
      <w:r w:rsidR="00786F1F">
        <w:t xml:space="preserve">figures </w:t>
      </w:r>
      <w:r w:rsidR="008F4C97">
        <w:t>(</w:t>
      </w:r>
      <w:r w:rsidR="003E46EE">
        <w:fldChar w:fldCharType="begin"/>
      </w:r>
      <w:r w:rsidR="003E46EE">
        <w:instrText xml:space="preserve"> REF _Ref74131560 </w:instrText>
      </w:r>
      <w:r w:rsidR="003E46EE">
        <w:fldChar w:fldCharType="separate"/>
      </w:r>
      <w:r w:rsidR="004205E1">
        <w:t xml:space="preserve">Table </w:t>
      </w:r>
      <w:r w:rsidR="004205E1">
        <w:rPr>
          <w:noProof/>
        </w:rPr>
        <w:t>5</w:t>
      </w:r>
      <w:r w:rsidR="003E46EE">
        <w:rPr>
          <w:noProof/>
        </w:rPr>
        <w:fldChar w:fldCharType="end"/>
      </w:r>
      <w:r w:rsidR="008F4C97">
        <w:t xml:space="preserve">) </w:t>
      </w:r>
      <w:r>
        <w:t xml:space="preserve">based on the </w:t>
      </w:r>
      <w:proofErr w:type="spellStart"/>
      <w:r>
        <w:t>PathWest</w:t>
      </w:r>
      <w:proofErr w:type="spellEnd"/>
      <w:r>
        <w:t xml:space="preserve"> data included in the Application form, </w:t>
      </w:r>
      <w:r w:rsidR="00786F1F">
        <w:t>as</w:t>
      </w:r>
      <w:r>
        <w:t xml:space="preserve"> these are real-world data available for Australia. The </w:t>
      </w:r>
      <w:r w:rsidR="006A1BBD">
        <w:t>second DCAR</w:t>
      </w:r>
      <w:r w:rsidR="00B16FDD">
        <w:t xml:space="preserve"> calculated the </w:t>
      </w:r>
      <w:r>
        <w:t xml:space="preserve">incidence from </w:t>
      </w:r>
      <w:proofErr w:type="spellStart"/>
      <w:r w:rsidR="00786F1F">
        <w:t>PathWest</w:t>
      </w:r>
      <w:proofErr w:type="spellEnd"/>
      <w:r>
        <w:t xml:space="preserve"> </w:t>
      </w:r>
      <w:r w:rsidR="00786F1F">
        <w:t>data</w:t>
      </w:r>
      <w:r>
        <w:t xml:space="preserve"> </w:t>
      </w:r>
      <w:r w:rsidR="00B16FDD">
        <w:t>to be</w:t>
      </w:r>
      <w:r>
        <w:t xml:space="preserve"> 3.6/100,000</w:t>
      </w:r>
      <w:r w:rsidR="004B0B8A">
        <w:t>,</w:t>
      </w:r>
      <w:r>
        <w:t xml:space="preserve"> which </w:t>
      </w:r>
      <w:r w:rsidR="00B16FDD">
        <w:t>it</w:t>
      </w:r>
      <w:r w:rsidR="008F4C97">
        <w:t xml:space="preserve"> </w:t>
      </w:r>
      <w:r>
        <w:t xml:space="preserve">considered likely to be an underestimate. </w:t>
      </w:r>
      <w:r w:rsidR="004B0B8A">
        <w:t>T</w:t>
      </w:r>
      <w:r>
        <w:t xml:space="preserve">he incidence and total number of tests ordered from the </w:t>
      </w:r>
      <w:proofErr w:type="spellStart"/>
      <w:r>
        <w:t>PathWest</w:t>
      </w:r>
      <w:proofErr w:type="spellEnd"/>
      <w:r>
        <w:t xml:space="preserve"> data </w:t>
      </w:r>
      <w:r w:rsidR="008F4C97">
        <w:t>were</w:t>
      </w:r>
      <w:r>
        <w:t xml:space="preserve"> extrapolated </w:t>
      </w:r>
      <w:r w:rsidRPr="00226259">
        <w:rPr>
          <w:i/>
          <w:iCs/>
        </w:rPr>
        <w:t>pro rata</w:t>
      </w:r>
      <w:r>
        <w:t xml:space="preserve"> to estimate the </w:t>
      </w:r>
      <w:r w:rsidR="004B0B8A">
        <w:t xml:space="preserve">total </w:t>
      </w:r>
      <w:r>
        <w:t>number of tests that might be ordered in Australia. It is uncertain how many samples are sent overseas</w:t>
      </w:r>
      <w:r w:rsidR="005E1DFB">
        <w:t xml:space="preserve"> for analysis</w:t>
      </w:r>
      <w:r w:rsidR="00786F1F">
        <w:t>,</w:t>
      </w:r>
      <w:r>
        <w:t xml:space="preserve"> so the </w:t>
      </w:r>
      <w:r w:rsidR="005E1DFB">
        <w:t xml:space="preserve">estimated </w:t>
      </w:r>
      <w:r>
        <w:t xml:space="preserve">nationwide figure </w:t>
      </w:r>
      <w:r w:rsidR="008F4C97">
        <w:t>was</w:t>
      </w:r>
      <w:r>
        <w:t xml:space="preserve"> then increased by 10%. </w:t>
      </w:r>
      <w:r w:rsidR="00786F1F">
        <w:t xml:space="preserve">The </w:t>
      </w:r>
      <w:r w:rsidR="006A1BBD">
        <w:t>second DCAR</w:t>
      </w:r>
      <w:r w:rsidR="00786F1F">
        <w:t xml:space="preserve"> considered e</w:t>
      </w:r>
      <w:r>
        <w:t xml:space="preserve">xtrapolation beyond 2021 likely to be inaccurate </w:t>
      </w:r>
      <w:r w:rsidR="00786F1F">
        <w:t>because</w:t>
      </w:r>
      <w:r>
        <w:t xml:space="preserve"> it is not certain what impact listing of the NMD genetic testing would have on testing rates, noting there appears to be a budget allocated in some states for accessing this service already, according to the </w:t>
      </w:r>
      <w:r w:rsidR="00D559ED">
        <w:t xml:space="preserve">first </w:t>
      </w:r>
      <w:r>
        <w:t xml:space="preserve">DCAR. </w:t>
      </w:r>
    </w:p>
    <w:p w14:paraId="1A779934" w14:textId="0DF3AD9E" w:rsidR="00BF236E" w:rsidRDefault="00BF236E" w:rsidP="00042B86">
      <w:pPr>
        <w:spacing w:before="240"/>
      </w:pPr>
      <w:r>
        <w:lastRenderedPageBreak/>
        <w:t xml:space="preserve">The </w:t>
      </w:r>
      <w:r w:rsidR="006A1BBD">
        <w:t>second DCAR</w:t>
      </w:r>
      <w:r>
        <w:t xml:space="preserve">’s utilisation estimates used a diagnostic yield </w:t>
      </w:r>
      <w:r w:rsidR="008F4C97">
        <w:t>amongst affected individuals</w:t>
      </w:r>
      <w:r>
        <w:t xml:space="preserve"> of 20</w:t>
      </w:r>
      <w:r w:rsidR="004B0B8A">
        <w:t>%</w:t>
      </w:r>
      <w:r>
        <w:t xml:space="preserve"> – based on </w:t>
      </w:r>
      <w:proofErr w:type="spellStart"/>
      <w:r w:rsidR="00227F2E">
        <w:t>PathWest</w:t>
      </w:r>
      <w:proofErr w:type="spellEnd"/>
      <w:r w:rsidR="00227F2E">
        <w:t xml:space="preserve"> data showing </w:t>
      </w:r>
      <w:r w:rsidR="003B14F6">
        <w:t xml:space="preserve">a </w:t>
      </w:r>
      <w:r w:rsidR="00227F2E">
        <w:t xml:space="preserve">diagnostic yield of </w:t>
      </w:r>
      <w:r>
        <w:t>19</w:t>
      </w:r>
      <w:r w:rsidR="004B0B8A">
        <w:t>.</w:t>
      </w:r>
      <w:r>
        <w:t>7</w:t>
      </w:r>
      <w:r w:rsidR="004B0B8A">
        <w:t>%</w:t>
      </w:r>
      <w:r>
        <w:t xml:space="preserve"> in 2019 and 18</w:t>
      </w:r>
      <w:r w:rsidR="004B0B8A">
        <w:t>.</w:t>
      </w:r>
      <w:r w:rsidR="003B14F6">
        <w:t>3</w:t>
      </w:r>
      <w:r w:rsidR="004B0B8A">
        <w:t>%</w:t>
      </w:r>
      <w:r>
        <w:t xml:space="preserve"> in 2020</w:t>
      </w:r>
      <w:r w:rsidR="00657CD1">
        <w:t>.</w:t>
      </w:r>
      <w:r w:rsidR="003B14F6">
        <w:t xml:space="preserve"> </w:t>
      </w:r>
      <w:r w:rsidR="00657CD1">
        <w:t>E</w:t>
      </w:r>
      <w:r w:rsidR="003B14F6">
        <w:t xml:space="preserve">xtrapolation </w:t>
      </w:r>
      <w:r w:rsidR="00657CD1">
        <w:t xml:space="preserve">of </w:t>
      </w:r>
      <w:proofErr w:type="spellStart"/>
      <w:r w:rsidR="00657CD1">
        <w:t>PathWest</w:t>
      </w:r>
      <w:proofErr w:type="spellEnd"/>
      <w:r w:rsidR="00657CD1">
        <w:t xml:space="preserve"> data </w:t>
      </w:r>
      <w:r w:rsidR="003B14F6">
        <w:t>to 2021</w:t>
      </w:r>
      <w:r>
        <w:t xml:space="preserve"> (</w:t>
      </w:r>
      <w:r w:rsidR="00227F2E">
        <w:t xml:space="preserve">including </w:t>
      </w:r>
      <w:r w:rsidR="003B14F6">
        <w:t xml:space="preserve">nationwide extrapolation and </w:t>
      </w:r>
      <w:r w:rsidR="00227F2E">
        <w:t>estimate of overseas patients)</w:t>
      </w:r>
      <w:r w:rsidR="003B14F6">
        <w:t xml:space="preserve"> </w:t>
      </w:r>
      <w:r w:rsidR="00657CD1">
        <w:t>gives a diagnostic yield of</w:t>
      </w:r>
      <w:r w:rsidR="003B14F6">
        <w:t xml:space="preserve"> 18.4%</w:t>
      </w:r>
      <w:r>
        <w:t>.</w:t>
      </w:r>
    </w:p>
    <w:p w14:paraId="2160ACC8" w14:textId="1F8C6B01" w:rsidR="00BF236E" w:rsidRDefault="00BF236E" w:rsidP="00042B86">
      <w:pPr>
        <w:pStyle w:val="Caption"/>
        <w:spacing w:before="240"/>
      </w:pPr>
      <w:bookmarkStart w:id="11" w:name="_Ref74131560"/>
      <w:bookmarkStart w:id="12" w:name="_Toc71552629"/>
      <w:r>
        <w:t xml:space="preserve">Table </w:t>
      </w:r>
      <w:r w:rsidR="003E46EE">
        <w:fldChar w:fldCharType="begin"/>
      </w:r>
      <w:r w:rsidR="003E46EE">
        <w:instrText xml:space="preserve"> SEQ Table \* ARABIC </w:instrText>
      </w:r>
      <w:r w:rsidR="003E46EE">
        <w:fldChar w:fldCharType="separate"/>
      </w:r>
      <w:r w:rsidR="004205E1">
        <w:rPr>
          <w:noProof/>
        </w:rPr>
        <w:t>5</w:t>
      </w:r>
      <w:r w:rsidR="003E46EE">
        <w:rPr>
          <w:noProof/>
        </w:rPr>
        <w:fldChar w:fldCharType="end"/>
      </w:r>
      <w:bookmarkEnd w:id="11"/>
      <w:r>
        <w:t xml:space="preserve"> </w:t>
      </w:r>
      <w:r w:rsidRPr="000F30BD">
        <w:t>Estimated total gene tests and outcomes f</w:t>
      </w:r>
      <w:r>
        <w:t>rom genetic testing for patients with suspected</w:t>
      </w:r>
      <w:r w:rsidRPr="000F30BD">
        <w:t xml:space="preserve"> NMD in Australia</w:t>
      </w:r>
      <w:r>
        <w:t xml:space="preserve"> in 2020, with extrapolation to 2021</w:t>
      </w:r>
      <w:bookmarkEnd w:id="12"/>
    </w:p>
    <w:tbl>
      <w:tblPr>
        <w:tblStyle w:val="GridTable1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4 Number of tests conducted in Western Australia in previous 2 years, and expected number of tests for the next 3 years"/>
        <w:tblDescription w:val="Table 4 consists of 6 columns&#10;First column describes the population to be tested&#10;Second column is data on number tested in 2017 in Australia&#10;Third column is data on number tested in 2018 in Australia&#10;Fourth column is the expected number to be tested in 2019&#10;Fifth column is the expected number to be tested in 2020&#10;Sixth column is the expected number to be tested in 2021&#10;The first row is Index cases&#10;Second row is Cascade testing&#10;Third row is prenatal disagnosis"/>
      </w:tblPr>
      <w:tblGrid>
        <w:gridCol w:w="2250"/>
        <w:gridCol w:w="1352"/>
        <w:gridCol w:w="1354"/>
        <w:gridCol w:w="1352"/>
        <w:gridCol w:w="1354"/>
        <w:gridCol w:w="1354"/>
      </w:tblGrid>
      <w:tr w:rsidR="00BF236E" w14:paraId="3239DEEA" w14:textId="77777777" w:rsidTr="00657CD1">
        <w:trPr>
          <w:cnfStyle w:val="100000000000" w:firstRow="1" w:lastRow="0" w:firstColumn="0" w:lastColumn="0" w:oddVBand="0" w:evenVBand="0" w:oddHBand="0"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1247" w:type="pct"/>
            <w:tcBorders>
              <w:bottom w:val="none" w:sz="0" w:space="0" w:color="auto"/>
            </w:tcBorders>
            <w:hideMark/>
          </w:tcPr>
          <w:p w14:paraId="14D13732" w14:textId="77777777" w:rsidR="00BF236E" w:rsidRPr="00BF236E" w:rsidRDefault="00BF236E" w:rsidP="00BF236E">
            <w:pPr>
              <w:pStyle w:val="TableHeading"/>
              <w:ind w:left="0" w:firstLine="0"/>
              <w:jc w:val="left"/>
              <w:rPr>
                <w:rStyle w:val="Strong"/>
              </w:rPr>
            </w:pPr>
            <w:r w:rsidRPr="007D73A0">
              <w:rPr>
                <w:rStyle w:val="Strong"/>
              </w:rPr>
              <w:t>Parameter</w:t>
            </w:r>
          </w:p>
        </w:tc>
        <w:tc>
          <w:tcPr>
            <w:tcW w:w="750" w:type="pct"/>
            <w:tcBorders>
              <w:bottom w:val="none" w:sz="0" w:space="0" w:color="auto"/>
            </w:tcBorders>
          </w:tcPr>
          <w:p w14:paraId="49554D98" w14:textId="448A6A0A" w:rsidR="00BF236E" w:rsidRPr="00BF236E" w:rsidRDefault="00BF236E" w:rsidP="00BF236E">
            <w:pPr>
              <w:pStyle w:val="TableHeading"/>
              <w:ind w:left="0" w:firstLine="0"/>
              <w:jc w:val="left"/>
              <w:cnfStyle w:val="100000000000" w:firstRow="1" w:lastRow="0" w:firstColumn="0" w:lastColumn="0" w:oddVBand="0" w:evenVBand="0" w:oddHBand="0" w:evenHBand="0" w:firstRowFirstColumn="0" w:firstRowLastColumn="0" w:lastRowFirstColumn="0" w:lastRowLastColumn="0"/>
              <w:rPr>
                <w:rStyle w:val="Strong"/>
              </w:rPr>
            </w:pPr>
            <w:r>
              <w:rPr>
                <w:rStyle w:val="Strong"/>
              </w:rPr>
              <w:t xml:space="preserve">Extrapolated </w:t>
            </w:r>
            <w:r w:rsidRPr="007D73A0">
              <w:rPr>
                <w:rStyle w:val="Strong"/>
              </w:rPr>
              <w:t>PathWest</w:t>
            </w:r>
            <w:r w:rsidR="00272820">
              <w:rPr>
                <w:rStyle w:val="Strong"/>
              </w:rPr>
              <w:t xml:space="preserve"> </w:t>
            </w:r>
            <w:r>
              <w:rPr>
                <w:rStyle w:val="Strong"/>
              </w:rPr>
              <w:t>for 2020 excl ACT, NT, TAS</w:t>
            </w:r>
          </w:p>
        </w:tc>
        <w:tc>
          <w:tcPr>
            <w:tcW w:w="751" w:type="pct"/>
            <w:tcBorders>
              <w:bottom w:val="none" w:sz="0" w:space="0" w:color="auto"/>
            </w:tcBorders>
          </w:tcPr>
          <w:p w14:paraId="688E8D05" w14:textId="77777777" w:rsidR="00BF236E" w:rsidRPr="00BF236E" w:rsidRDefault="00BF236E" w:rsidP="00BF236E">
            <w:pPr>
              <w:pStyle w:val="TableHeading"/>
              <w:ind w:left="0" w:firstLine="0"/>
              <w:jc w:val="left"/>
              <w:cnfStyle w:val="100000000000" w:firstRow="1" w:lastRow="0" w:firstColumn="0" w:lastColumn="0" w:oddVBand="0" w:evenVBand="0" w:oddHBand="0" w:evenHBand="0" w:firstRowFirstColumn="0" w:firstRowLastColumn="0" w:lastRowFirstColumn="0" w:lastRowLastColumn="0"/>
              <w:rPr>
                <w:rStyle w:val="Strong"/>
              </w:rPr>
            </w:pPr>
            <w:r w:rsidRPr="007D73A0">
              <w:rPr>
                <w:rStyle w:val="Strong"/>
              </w:rPr>
              <w:t xml:space="preserve">Estimated total tests </w:t>
            </w:r>
            <w:r>
              <w:rPr>
                <w:rStyle w:val="Strong"/>
              </w:rPr>
              <w:t xml:space="preserve">or </w:t>
            </w:r>
            <w:r w:rsidRPr="007D73A0">
              <w:rPr>
                <w:rStyle w:val="Strong"/>
              </w:rPr>
              <w:t xml:space="preserve">outcomes </w:t>
            </w:r>
            <w:r>
              <w:rPr>
                <w:rStyle w:val="Strong"/>
              </w:rPr>
              <w:t xml:space="preserve">for all of </w:t>
            </w:r>
            <w:r w:rsidRPr="007D73A0">
              <w:rPr>
                <w:rStyle w:val="Strong"/>
              </w:rPr>
              <w:t>Australia 2020</w:t>
            </w:r>
            <w:r>
              <w:rPr>
                <w:rStyle w:val="Strong"/>
              </w:rPr>
              <w:t xml:space="preserve"> incl ACT, NT, TAS</w:t>
            </w:r>
          </w:p>
        </w:tc>
        <w:tc>
          <w:tcPr>
            <w:tcW w:w="750" w:type="pct"/>
            <w:tcBorders>
              <w:bottom w:val="none" w:sz="0" w:space="0" w:color="auto"/>
            </w:tcBorders>
          </w:tcPr>
          <w:p w14:paraId="3FC4D9A0" w14:textId="77777777" w:rsidR="00BF236E" w:rsidRPr="00BF236E" w:rsidRDefault="00BF236E" w:rsidP="00BF236E">
            <w:pPr>
              <w:pStyle w:val="TableHeading"/>
              <w:ind w:left="0" w:firstLine="0"/>
              <w:jc w:val="left"/>
              <w:cnfStyle w:val="100000000000" w:firstRow="1" w:lastRow="0" w:firstColumn="0" w:lastColumn="0" w:oddVBand="0" w:evenVBand="0" w:oddHBand="0" w:evenHBand="0" w:firstRowFirstColumn="0" w:firstRowLastColumn="0" w:lastRowFirstColumn="0" w:lastRowLastColumn="0"/>
              <w:rPr>
                <w:rStyle w:val="Strong"/>
              </w:rPr>
            </w:pPr>
            <w:r w:rsidRPr="007D73A0">
              <w:rPr>
                <w:rStyle w:val="Strong"/>
              </w:rPr>
              <w:t>Estimated total tests or</w:t>
            </w:r>
            <w:r>
              <w:rPr>
                <w:rStyle w:val="Strong"/>
              </w:rPr>
              <w:t xml:space="preserve"> outcomes</w:t>
            </w:r>
            <w:r w:rsidRPr="007D73A0">
              <w:rPr>
                <w:rStyle w:val="Strong"/>
              </w:rPr>
              <w:t xml:space="preserve"> </w:t>
            </w:r>
            <w:r>
              <w:rPr>
                <w:rStyle w:val="Strong"/>
              </w:rPr>
              <w:t xml:space="preserve">from </w:t>
            </w:r>
            <w:r w:rsidRPr="007D73A0">
              <w:rPr>
                <w:rStyle w:val="Strong"/>
              </w:rPr>
              <w:t>overseas</w:t>
            </w:r>
            <w:r>
              <w:rPr>
                <w:rStyle w:val="Strong"/>
              </w:rPr>
              <w:t xml:space="preserve"> tests</w:t>
            </w:r>
            <w:r w:rsidRPr="007D73A0">
              <w:rPr>
                <w:rStyle w:val="Strong"/>
              </w:rPr>
              <w:t>*</w:t>
            </w:r>
          </w:p>
          <w:p w14:paraId="7DDD9CAC" w14:textId="77777777" w:rsidR="00BF236E" w:rsidRPr="00BF236E" w:rsidRDefault="00BF236E" w:rsidP="00BF236E">
            <w:pPr>
              <w:pStyle w:val="TableHeading"/>
              <w:ind w:left="0" w:firstLine="0"/>
              <w:jc w:val="left"/>
              <w:cnfStyle w:val="100000000000" w:firstRow="1" w:lastRow="0" w:firstColumn="0" w:lastColumn="0" w:oddVBand="0" w:evenVBand="0" w:oddHBand="0" w:evenHBand="0" w:firstRowFirstColumn="0" w:firstRowLastColumn="0" w:lastRowFirstColumn="0" w:lastRowLastColumn="0"/>
              <w:rPr>
                <w:rStyle w:val="Strong"/>
              </w:rPr>
            </w:pPr>
          </w:p>
        </w:tc>
        <w:tc>
          <w:tcPr>
            <w:tcW w:w="751" w:type="pct"/>
            <w:tcBorders>
              <w:bottom w:val="none" w:sz="0" w:space="0" w:color="auto"/>
            </w:tcBorders>
          </w:tcPr>
          <w:p w14:paraId="39D0729D" w14:textId="77777777" w:rsidR="00BF236E" w:rsidRPr="00BF236E" w:rsidRDefault="00BF236E" w:rsidP="00BF236E">
            <w:pPr>
              <w:pStyle w:val="TableHeading"/>
              <w:ind w:left="0" w:firstLine="0"/>
              <w:jc w:val="left"/>
              <w:cnfStyle w:val="100000000000" w:firstRow="1" w:lastRow="0" w:firstColumn="0" w:lastColumn="0" w:oddVBand="0" w:evenVBand="0" w:oddHBand="0" w:evenHBand="0" w:firstRowFirstColumn="0" w:firstRowLastColumn="0" w:lastRowFirstColumn="0" w:lastRowLastColumn="0"/>
              <w:rPr>
                <w:rStyle w:val="Strong"/>
              </w:rPr>
            </w:pPr>
            <w:r w:rsidRPr="007D73A0">
              <w:rPr>
                <w:rStyle w:val="Strong"/>
              </w:rPr>
              <w:t>Estimated total tests and outcomes in 2020</w:t>
            </w:r>
          </w:p>
        </w:tc>
        <w:tc>
          <w:tcPr>
            <w:tcW w:w="751" w:type="pct"/>
            <w:tcBorders>
              <w:bottom w:val="none" w:sz="0" w:space="0" w:color="auto"/>
            </w:tcBorders>
          </w:tcPr>
          <w:p w14:paraId="0CC9BBE4" w14:textId="77777777" w:rsidR="00BF236E" w:rsidRPr="00BF236E" w:rsidRDefault="00BF236E" w:rsidP="00BF236E">
            <w:pPr>
              <w:pStyle w:val="TableHeading"/>
              <w:ind w:left="0" w:firstLine="0"/>
              <w:jc w:val="left"/>
              <w:cnfStyle w:val="100000000000" w:firstRow="1" w:lastRow="0" w:firstColumn="0" w:lastColumn="0" w:oddVBand="0" w:evenVBand="0" w:oddHBand="0" w:evenHBand="0" w:firstRowFirstColumn="0" w:firstRowLastColumn="0" w:lastRowFirstColumn="0" w:lastRowLastColumn="0"/>
              <w:rPr>
                <w:rStyle w:val="Strong"/>
              </w:rPr>
            </w:pPr>
            <w:r>
              <w:rPr>
                <w:rStyle w:val="Strong"/>
              </w:rPr>
              <w:t>Estimated total tests and outcomes in 2021**</w:t>
            </w:r>
          </w:p>
        </w:tc>
      </w:tr>
      <w:tr w:rsidR="00BF236E" w14:paraId="5B6CD3BB" w14:textId="77777777" w:rsidTr="00657CD1">
        <w:trPr>
          <w:trHeight w:val="60"/>
        </w:trPr>
        <w:tc>
          <w:tcPr>
            <w:cnfStyle w:val="001000000000" w:firstRow="0" w:lastRow="0" w:firstColumn="1" w:lastColumn="0" w:oddVBand="0" w:evenVBand="0" w:oddHBand="0" w:evenHBand="0" w:firstRowFirstColumn="0" w:firstRowLastColumn="0" w:lastRowFirstColumn="0" w:lastRowLastColumn="0"/>
            <w:tcW w:w="1247" w:type="pct"/>
            <w:hideMark/>
          </w:tcPr>
          <w:p w14:paraId="71297C9D" w14:textId="77777777" w:rsidR="00BF236E" w:rsidRPr="00CF4767" w:rsidRDefault="00BF236E" w:rsidP="00BF236E">
            <w:pPr>
              <w:pStyle w:val="TableText0"/>
              <w:rPr>
                <w:b w:val="0"/>
              </w:rPr>
            </w:pPr>
            <w:r w:rsidRPr="00F05695">
              <w:t>Number of suspected NMD affected individuals</w:t>
            </w:r>
          </w:p>
        </w:tc>
        <w:tc>
          <w:tcPr>
            <w:tcW w:w="750" w:type="pct"/>
            <w:vAlign w:val="center"/>
          </w:tcPr>
          <w:p w14:paraId="5F9E896C"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1296</w:t>
            </w:r>
          </w:p>
        </w:tc>
        <w:tc>
          <w:tcPr>
            <w:tcW w:w="751" w:type="pct"/>
            <w:vAlign w:val="center"/>
          </w:tcPr>
          <w:p w14:paraId="600ACDC6"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1360</w:t>
            </w:r>
          </w:p>
        </w:tc>
        <w:tc>
          <w:tcPr>
            <w:tcW w:w="750" w:type="pct"/>
            <w:vAlign w:val="center"/>
          </w:tcPr>
          <w:p w14:paraId="19850118"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136</w:t>
            </w:r>
          </w:p>
        </w:tc>
        <w:tc>
          <w:tcPr>
            <w:tcW w:w="751" w:type="pct"/>
            <w:vAlign w:val="center"/>
          </w:tcPr>
          <w:p w14:paraId="1E87B93B"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1496</w:t>
            </w:r>
          </w:p>
        </w:tc>
        <w:tc>
          <w:tcPr>
            <w:tcW w:w="751" w:type="pct"/>
            <w:vAlign w:val="center"/>
          </w:tcPr>
          <w:p w14:paraId="57D9D929"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1586</w:t>
            </w:r>
          </w:p>
        </w:tc>
      </w:tr>
      <w:tr w:rsidR="00BF236E" w14:paraId="6FD57E31" w14:textId="77777777" w:rsidTr="00657CD1">
        <w:trPr>
          <w:trHeight w:val="60"/>
        </w:trPr>
        <w:tc>
          <w:tcPr>
            <w:cnfStyle w:val="001000000000" w:firstRow="0" w:lastRow="0" w:firstColumn="1" w:lastColumn="0" w:oddVBand="0" w:evenVBand="0" w:oddHBand="0" w:evenHBand="0" w:firstRowFirstColumn="0" w:firstRowLastColumn="0" w:lastRowFirstColumn="0" w:lastRowLastColumn="0"/>
            <w:tcW w:w="1247" w:type="pct"/>
            <w:hideMark/>
          </w:tcPr>
          <w:p w14:paraId="7903A4F7" w14:textId="77777777" w:rsidR="00BF236E" w:rsidRPr="00CF4767" w:rsidRDefault="00BF236E" w:rsidP="00BF236E">
            <w:pPr>
              <w:pStyle w:val="TableText0"/>
              <w:rPr>
                <w:b w:val="0"/>
              </w:rPr>
            </w:pPr>
            <w:r w:rsidRPr="00F05695">
              <w:t>Number of positive NMD cases (i.e., index cases)</w:t>
            </w:r>
          </w:p>
        </w:tc>
        <w:tc>
          <w:tcPr>
            <w:tcW w:w="750" w:type="pct"/>
            <w:vAlign w:val="center"/>
          </w:tcPr>
          <w:p w14:paraId="1BDC977C"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238</w:t>
            </w:r>
          </w:p>
        </w:tc>
        <w:tc>
          <w:tcPr>
            <w:tcW w:w="751" w:type="pct"/>
            <w:vAlign w:val="center"/>
          </w:tcPr>
          <w:p w14:paraId="78AC3E58"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250</w:t>
            </w:r>
          </w:p>
        </w:tc>
        <w:tc>
          <w:tcPr>
            <w:tcW w:w="750" w:type="pct"/>
            <w:vAlign w:val="center"/>
          </w:tcPr>
          <w:p w14:paraId="02E0AF0F"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25</w:t>
            </w:r>
          </w:p>
        </w:tc>
        <w:tc>
          <w:tcPr>
            <w:tcW w:w="751" w:type="pct"/>
            <w:vAlign w:val="center"/>
          </w:tcPr>
          <w:p w14:paraId="00A873F2"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275</w:t>
            </w:r>
          </w:p>
        </w:tc>
        <w:tc>
          <w:tcPr>
            <w:tcW w:w="751" w:type="pct"/>
            <w:vAlign w:val="center"/>
          </w:tcPr>
          <w:p w14:paraId="5974C5CF"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292</w:t>
            </w:r>
          </w:p>
        </w:tc>
      </w:tr>
      <w:tr w:rsidR="00BF236E" w14:paraId="310D3F98" w14:textId="77777777" w:rsidTr="00657CD1">
        <w:trPr>
          <w:trHeight w:val="60"/>
        </w:trPr>
        <w:tc>
          <w:tcPr>
            <w:cnfStyle w:val="001000000000" w:firstRow="0" w:lastRow="0" w:firstColumn="1" w:lastColumn="0" w:oddVBand="0" w:evenVBand="0" w:oddHBand="0" w:evenHBand="0" w:firstRowFirstColumn="0" w:firstRowLastColumn="0" w:lastRowFirstColumn="0" w:lastRowLastColumn="0"/>
            <w:tcW w:w="1247" w:type="pct"/>
            <w:hideMark/>
          </w:tcPr>
          <w:p w14:paraId="6C570F64" w14:textId="77777777" w:rsidR="00BF236E" w:rsidRPr="00CF4767" w:rsidRDefault="00BF236E" w:rsidP="00BF236E">
            <w:pPr>
              <w:pStyle w:val="TableText0"/>
              <w:rPr>
                <w:b w:val="0"/>
              </w:rPr>
            </w:pPr>
            <w:r w:rsidRPr="00F05695">
              <w:t>Total number of family cascade tests</w:t>
            </w:r>
          </w:p>
        </w:tc>
        <w:tc>
          <w:tcPr>
            <w:tcW w:w="750" w:type="pct"/>
            <w:vAlign w:val="center"/>
          </w:tcPr>
          <w:p w14:paraId="62F65740"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257</w:t>
            </w:r>
          </w:p>
        </w:tc>
        <w:tc>
          <w:tcPr>
            <w:tcW w:w="751" w:type="pct"/>
            <w:vAlign w:val="center"/>
          </w:tcPr>
          <w:p w14:paraId="1F7E300F"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270</w:t>
            </w:r>
          </w:p>
        </w:tc>
        <w:tc>
          <w:tcPr>
            <w:tcW w:w="750" w:type="pct"/>
            <w:vAlign w:val="center"/>
          </w:tcPr>
          <w:p w14:paraId="470661F3"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27</w:t>
            </w:r>
          </w:p>
        </w:tc>
        <w:tc>
          <w:tcPr>
            <w:tcW w:w="751" w:type="pct"/>
            <w:vAlign w:val="center"/>
          </w:tcPr>
          <w:p w14:paraId="5AE89173"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297</w:t>
            </w:r>
          </w:p>
        </w:tc>
        <w:tc>
          <w:tcPr>
            <w:tcW w:w="751" w:type="pct"/>
            <w:vAlign w:val="center"/>
          </w:tcPr>
          <w:p w14:paraId="2720D161"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315</w:t>
            </w:r>
          </w:p>
        </w:tc>
      </w:tr>
      <w:tr w:rsidR="00BF236E" w14:paraId="38454FF7" w14:textId="77777777" w:rsidTr="00657CD1">
        <w:trPr>
          <w:trHeight w:val="60"/>
        </w:trPr>
        <w:tc>
          <w:tcPr>
            <w:cnfStyle w:val="001000000000" w:firstRow="0" w:lastRow="0" w:firstColumn="1" w:lastColumn="0" w:oddVBand="0" w:evenVBand="0" w:oddHBand="0" w:evenHBand="0" w:firstRowFirstColumn="0" w:firstRowLastColumn="0" w:lastRowFirstColumn="0" w:lastRowLastColumn="0"/>
            <w:tcW w:w="1247" w:type="pct"/>
            <w:hideMark/>
          </w:tcPr>
          <w:p w14:paraId="644D7D63" w14:textId="77777777" w:rsidR="00BF236E" w:rsidRPr="00CF4767" w:rsidRDefault="00BF236E" w:rsidP="00BF236E">
            <w:pPr>
              <w:pStyle w:val="TableText0"/>
              <w:rPr>
                <w:b w:val="0"/>
              </w:rPr>
            </w:pPr>
            <w:r w:rsidRPr="00F05695">
              <w:t>Number of prenatal diagnoses</w:t>
            </w:r>
          </w:p>
        </w:tc>
        <w:tc>
          <w:tcPr>
            <w:tcW w:w="750" w:type="pct"/>
            <w:vAlign w:val="center"/>
          </w:tcPr>
          <w:p w14:paraId="0BD030A2"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10</w:t>
            </w:r>
          </w:p>
        </w:tc>
        <w:tc>
          <w:tcPr>
            <w:tcW w:w="751" w:type="pct"/>
            <w:vAlign w:val="center"/>
          </w:tcPr>
          <w:p w14:paraId="4CE67F62"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11</w:t>
            </w:r>
          </w:p>
        </w:tc>
        <w:tc>
          <w:tcPr>
            <w:tcW w:w="750" w:type="pct"/>
            <w:vAlign w:val="center"/>
          </w:tcPr>
          <w:p w14:paraId="41B1A5D9"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0</w:t>
            </w:r>
          </w:p>
        </w:tc>
        <w:tc>
          <w:tcPr>
            <w:tcW w:w="751" w:type="pct"/>
            <w:vAlign w:val="center"/>
          </w:tcPr>
          <w:p w14:paraId="5734481A"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11</w:t>
            </w:r>
          </w:p>
        </w:tc>
        <w:tc>
          <w:tcPr>
            <w:tcW w:w="751" w:type="pct"/>
            <w:vAlign w:val="center"/>
          </w:tcPr>
          <w:p w14:paraId="0BBEF839" w14:textId="77777777" w:rsidR="00BF236E" w:rsidRPr="007070D7" w:rsidRDefault="00BF236E">
            <w:pPr>
              <w:pStyle w:val="TableText0"/>
              <w:jc w:val="center"/>
              <w:cnfStyle w:val="000000000000" w:firstRow="0" w:lastRow="0" w:firstColumn="0" w:lastColumn="0" w:oddVBand="0" w:evenVBand="0" w:oddHBand="0" w:evenHBand="0" w:firstRowFirstColumn="0" w:firstRowLastColumn="0" w:lastRowFirstColumn="0" w:lastRowLastColumn="0"/>
            </w:pPr>
            <w:r w:rsidRPr="007070D7">
              <w:t>12</w:t>
            </w:r>
          </w:p>
        </w:tc>
      </w:tr>
    </w:tbl>
    <w:p w14:paraId="5619857B" w14:textId="77777777" w:rsidR="00BF236E" w:rsidRPr="00BF236E" w:rsidRDefault="00BF236E" w:rsidP="00316FC7">
      <w:pPr>
        <w:pStyle w:val="Tablenotes1"/>
        <w:rPr>
          <w:rStyle w:val="Strong"/>
          <w:rFonts w:ascii="Calibri" w:hAnsi="Calibri"/>
          <w:b w:val="0"/>
          <w:bCs w:val="0"/>
          <w:sz w:val="22"/>
          <w:lang w:eastAsia="en-AU"/>
        </w:rPr>
      </w:pPr>
      <w:r w:rsidRPr="00BF236E">
        <w:t xml:space="preserve">* </w:t>
      </w:r>
      <w:r w:rsidRPr="00BF236E">
        <w:rPr>
          <w:rStyle w:val="Strong"/>
          <w:b w:val="0"/>
        </w:rPr>
        <w:t>10% of total ordered in Australia; overseas tests for prenatal diagnoses are considered unlikely to be undertaken due to turnaround time.</w:t>
      </w:r>
    </w:p>
    <w:p w14:paraId="2C2295DA" w14:textId="381DCCB0" w:rsidR="00BF236E" w:rsidRDefault="00BF236E" w:rsidP="00316FC7">
      <w:pPr>
        <w:pStyle w:val="Tablenotes1"/>
        <w:rPr>
          <w:rStyle w:val="Strong"/>
          <w:b w:val="0"/>
        </w:rPr>
      </w:pPr>
      <w:r w:rsidRPr="00BF236E">
        <w:rPr>
          <w:rStyle w:val="Strong"/>
          <w:b w:val="0"/>
        </w:rPr>
        <w:t>** 2021 estimates based on 6% increase in testing rates and outcomes compared with 2020</w:t>
      </w:r>
    </w:p>
    <w:p w14:paraId="6A4243B7" w14:textId="4BAE89BF" w:rsidR="00BF236E" w:rsidRDefault="00BF236E" w:rsidP="00316FC7">
      <w:pPr>
        <w:pStyle w:val="Tablenotes1"/>
        <w:rPr>
          <w:rStyle w:val="Strong"/>
          <w:b w:val="0"/>
        </w:rPr>
      </w:pPr>
      <w:r>
        <w:rPr>
          <w:rStyle w:val="Strong"/>
          <w:b w:val="0"/>
        </w:rPr>
        <w:t xml:space="preserve">Source: </w:t>
      </w:r>
      <w:r w:rsidR="006A1BBD">
        <w:rPr>
          <w:rStyle w:val="Strong"/>
          <w:b w:val="0"/>
        </w:rPr>
        <w:t>Second DCAR</w:t>
      </w:r>
      <w:r>
        <w:rPr>
          <w:rStyle w:val="Strong"/>
          <w:b w:val="0"/>
        </w:rPr>
        <w:t>, Table 7.</w:t>
      </w:r>
    </w:p>
    <w:p w14:paraId="4D4C063B" w14:textId="402C8187" w:rsidR="00754F54" w:rsidRDefault="00754F54" w:rsidP="00754F54">
      <w:r>
        <w:t xml:space="preserve">The </w:t>
      </w:r>
      <w:r w:rsidR="006A1BBD">
        <w:t>second DCAR</w:t>
      </w:r>
      <w:r>
        <w:t xml:space="preserve"> presented utilisation estimates based on an epidemiological approach incorporating various incidence/prevalence </w:t>
      </w:r>
      <w:r w:rsidR="0008467F">
        <w:t>estimates</w:t>
      </w:r>
      <w:r>
        <w:t xml:space="preserve">, against likely resulting diagnosis numbers based on various diagnostic yield values. </w:t>
      </w:r>
      <w:r w:rsidR="007070D7">
        <w:t xml:space="preserve">After ESC, the assessment group for the </w:t>
      </w:r>
      <w:r w:rsidR="006A1BBD">
        <w:t>second DCAR</w:t>
      </w:r>
      <w:r w:rsidR="007070D7">
        <w:t xml:space="preserve"> updated t</w:t>
      </w:r>
      <w:r>
        <w:t xml:space="preserve">he analysis to include the diagnostic yield from </w:t>
      </w:r>
      <w:proofErr w:type="spellStart"/>
      <w:r>
        <w:t>PathWest</w:t>
      </w:r>
      <w:proofErr w:type="spellEnd"/>
      <w:r>
        <w:t xml:space="preserve"> real-world utilisation data (</w:t>
      </w:r>
      <w:r w:rsidR="003E46EE">
        <w:fldChar w:fldCharType="begin"/>
      </w:r>
      <w:r w:rsidR="003E46EE">
        <w:instrText xml:space="preserve"> REF _Ref74900776 </w:instrText>
      </w:r>
      <w:r w:rsidR="003E46EE">
        <w:fldChar w:fldCharType="separate"/>
      </w:r>
      <w:r w:rsidR="004205E1">
        <w:t xml:space="preserve">Table </w:t>
      </w:r>
      <w:r w:rsidR="004205E1">
        <w:rPr>
          <w:noProof/>
        </w:rPr>
        <w:t>6</w:t>
      </w:r>
      <w:r w:rsidR="003E46EE">
        <w:rPr>
          <w:noProof/>
        </w:rPr>
        <w:fldChar w:fldCharType="end"/>
      </w:r>
      <w:r>
        <w:t>).</w:t>
      </w:r>
    </w:p>
    <w:p w14:paraId="7859EFB3" w14:textId="0C11A0C5" w:rsidR="00754F54" w:rsidRDefault="00754F54" w:rsidP="00042B86">
      <w:pPr>
        <w:pStyle w:val="Caption"/>
        <w:spacing w:before="240"/>
      </w:pPr>
      <w:bookmarkStart w:id="13" w:name="_Ref74900776"/>
      <w:r>
        <w:t xml:space="preserve">Table </w:t>
      </w:r>
      <w:r w:rsidR="003E46EE">
        <w:fldChar w:fldCharType="begin"/>
      </w:r>
      <w:r w:rsidR="003E46EE">
        <w:instrText xml:space="preserve"> SEQ Table \* ARABIC </w:instrText>
      </w:r>
      <w:r w:rsidR="003E46EE">
        <w:fldChar w:fldCharType="separate"/>
      </w:r>
      <w:r w:rsidR="004205E1">
        <w:rPr>
          <w:noProof/>
        </w:rPr>
        <w:t>6</w:t>
      </w:r>
      <w:r w:rsidR="003E46EE">
        <w:rPr>
          <w:noProof/>
        </w:rPr>
        <w:fldChar w:fldCharType="end"/>
      </w:r>
      <w:bookmarkEnd w:id="13"/>
      <w:r>
        <w:tab/>
        <w:t>Estimates</w:t>
      </w:r>
      <w:r w:rsidRPr="00D14478">
        <w:t xml:space="preserve"> of test population size, and those with an informative result according to diagnostic yield for 2021</w:t>
      </w:r>
    </w:p>
    <w:tbl>
      <w:tblPr>
        <w:tblStyle w:val="TableGrid"/>
        <w:tblW w:w="9067" w:type="dxa"/>
        <w:tblLook w:val="04A0" w:firstRow="1" w:lastRow="0" w:firstColumn="1" w:lastColumn="0" w:noHBand="0" w:noVBand="1"/>
      </w:tblPr>
      <w:tblGrid>
        <w:gridCol w:w="1949"/>
        <w:gridCol w:w="1681"/>
        <w:gridCol w:w="1359"/>
        <w:gridCol w:w="1359"/>
        <w:gridCol w:w="1359"/>
        <w:gridCol w:w="1360"/>
      </w:tblGrid>
      <w:tr w:rsidR="00754F54" w14:paraId="7A369D0F" w14:textId="77777777" w:rsidTr="0003454B">
        <w:trPr>
          <w:trHeight w:val="276"/>
        </w:trPr>
        <w:tc>
          <w:tcPr>
            <w:tcW w:w="1949" w:type="dxa"/>
            <w:vMerge w:val="restart"/>
          </w:tcPr>
          <w:p w14:paraId="2D4D8FC1" w14:textId="77777777" w:rsidR="00754F54" w:rsidRDefault="00754F54" w:rsidP="00B67780">
            <w:pPr>
              <w:pStyle w:val="Style1"/>
            </w:pPr>
          </w:p>
        </w:tc>
        <w:tc>
          <w:tcPr>
            <w:tcW w:w="1681" w:type="dxa"/>
            <w:vMerge w:val="restart"/>
            <w:vAlign w:val="center"/>
          </w:tcPr>
          <w:p w14:paraId="13909DFB" w14:textId="77777777" w:rsidR="00754F54" w:rsidRPr="00CC617A" w:rsidRDefault="00754F54" w:rsidP="0003454B">
            <w:pPr>
              <w:pStyle w:val="Style1"/>
              <w:jc w:val="center"/>
              <w:rPr>
                <w:b/>
                <w:bCs/>
              </w:rPr>
            </w:pPr>
            <w:r>
              <w:rPr>
                <w:b/>
                <w:bCs/>
              </w:rPr>
              <w:t xml:space="preserve">Estimated </w:t>
            </w:r>
            <w:r w:rsidRPr="00CC617A">
              <w:rPr>
                <w:b/>
                <w:bCs/>
              </w:rPr>
              <w:t>Australian testing</w:t>
            </w:r>
          </w:p>
          <w:p w14:paraId="2E0968DF" w14:textId="77777777" w:rsidR="00754F54" w:rsidRDefault="00754F54" w:rsidP="0003454B">
            <w:pPr>
              <w:pStyle w:val="Style1"/>
              <w:jc w:val="center"/>
              <w:rPr>
                <w:b/>
                <w:bCs/>
              </w:rPr>
            </w:pPr>
            <w:proofErr w:type="spellStart"/>
            <w:r w:rsidRPr="00CC617A">
              <w:rPr>
                <w:b/>
                <w:bCs/>
              </w:rPr>
              <w:t>PathWest</w:t>
            </w:r>
            <w:proofErr w:type="spellEnd"/>
            <w:r w:rsidRPr="00CC617A">
              <w:rPr>
                <w:b/>
                <w:bCs/>
              </w:rPr>
              <w:t xml:space="preserve"> data</w:t>
            </w:r>
          </w:p>
          <w:p w14:paraId="3A08FFD0" w14:textId="2F3EB3FB" w:rsidR="00754F54" w:rsidRPr="00CC617A" w:rsidRDefault="00754F54" w:rsidP="0003454B">
            <w:pPr>
              <w:pStyle w:val="Style1"/>
              <w:jc w:val="center"/>
              <w:rPr>
                <w:b/>
                <w:bCs/>
              </w:rPr>
            </w:pPr>
            <w:r>
              <w:rPr>
                <w:b/>
                <w:bCs/>
              </w:rPr>
              <w:t>2021</w:t>
            </w:r>
          </w:p>
        </w:tc>
        <w:tc>
          <w:tcPr>
            <w:tcW w:w="5437" w:type="dxa"/>
            <w:gridSpan w:val="4"/>
          </w:tcPr>
          <w:p w14:paraId="064AAF60" w14:textId="77777777" w:rsidR="00754F54" w:rsidRPr="00CC617A" w:rsidRDefault="00754F54" w:rsidP="009A6963">
            <w:pPr>
              <w:pStyle w:val="Style1"/>
              <w:jc w:val="center"/>
              <w:rPr>
                <w:b/>
                <w:bCs/>
              </w:rPr>
            </w:pPr>
            <w:r w:rsidRPr="00CC617A">
              <w:rPr>
                <w:b/>
                <w:bCs/>
              </w:rPr>
              <w:t>Epidemiological approach</w:t>
            </w:r>
          </w:p>
        </w:tc>
      </w:tr>
      <w:tr w:rsidR="00754F54" w14:paraId="40969913" w14:textId="77777777" w:rsidTr="0003454B">
        <w:trPr>
          <w:trHeight w:val="276"/>
        </w:trPr>
        <w:tc>
          <w:tcPr>
            <w:tcW w:w="1949" w:type="dxa"/>
            <w:vMerge/>
          </w:tcPr>
          <w:p w14:paraId="1C344894" w14:textId="77777777" w:rsidR="00754F54" w:rsidRDefault="00754F54" w:rsidP="00B67780">
            <w:pPr>
              <w:pStyle w:val="Style1"/>
            </w:pPr>
          </w:p>
        </w:tc>
        <w:tc>
          <w:tcPr>
            <w:tcW w:w="1681" w:type="dxa"/>
            <w:vMerge/>
            <w:vAlign w:val="center"/>
          </w:tcPr>
          <w:p w14:paraId="1CD1209F" w14:textId="77777777" w:rsidR="00754F54" w:rsidRPr="00CC617A" w:rsidRDefault="00754F54" w:rsidP="00761D8D">
            <w:pPr>
              <w:pStyle w:val="Style1"/>
              <w:jc w:val="center"/>
              <w:rPr>
                <w:b/>
                <w:bCs/>
              </w:rPr>
            </w:pPr>
          </w:p>
        </w:tc>
        <w:tc>
          <w:tcPr>
            <w:tcW w:w="2718" w:type="dxa"/>
            <w:gridSpan w:val="2"/>
          </w:tcPr>
          <w:p w14:paraId="1DDD38D9" w14:textId="77777777" w:rsidR="00754F54" w:rsidRPr="00CC617A" w:rsidRDefault="00754F54" w:rsidP="009A6963">
            <w:pPr>
              <w:pStyle w:val="Style1"/>
              <w:jc w:val="center"/>
              <w:rPr>
                <w:b/>
                <w:bCs/>
              </w:rPr>
            </w:pPr>
            <w:r w:rsidRPr="00CC617A">
              <w:rPr>
                <w:b/>
                <w:bCs/>
              </w:rPr>
              <w:t>Prevalence 60/100,000</w:t>
            </w:r>
          </w:p>
        </w:tc>
        <w:tc>
          <w:tcPr>
            <w:tcW w:w="2719" w:type="dxa"/>
            <w:gridSpan w:val="2"/>
          </w:tcPr>
          <w:p w14:paraId="4ADAA271" w14:textId="77777777" w:rsidR="00754F54" w:rsidRPr="00CC617A" w:rsidRDefault="00754F54" w:rsidP="009A6963">
            <w:pPr>
              <w:pStyle w:val="Style1"/>
              <w:jc w:val="center"/>
              <w:rPr>
                <w:b/>
                <w:bCs/>
              </w:rPr>
            </w:pPr>
            <w:r w:rsidRPr="00CC617A">
              <w:rPr>
                <w:b/>
                <w:bCs/>
              </w:rPr>
              <w:t>Prevalence 80/100,000</w:t>
            </w:r>
          </w:p>
        </w:tc>
      </w:tr>
      <w:tr w:rsidR="00754F54" w14:paraId="3CCC17EC" w14:textId="77777777" w:rsidTr="0003454B">
        <w:trPr>
          <w:trHeight w:val="544"/>
        </w:trPr>
        <w:tc>
          <w:tcPr>
            <w:tcW w:w="1949" w:type="dxa"/>
            <w:vMerge/>
          </w:tcPr>
          <w:p w14:paraId="6C7B4770" w14:textId="77777777" w:rsidR="00754F54" w:rsidRDefault="00754F54" w:rsidP="00B67780">
            <w:pPr>
              <w:pStyle w:val="Style1"/>
            </w:pPr>
          </w:p>
        </w:tc>
        <w:tc>
          <w:tcPr>
            <w:tcW w:w="1681" w:type="dxa"/>
            <w:vMerge/>
            <w:vAlign w:val="center"/>
          </w:tcPr>
          <w:p w14:paraId="50709636" w14:textId="77777777" w:rsidR="00754F54" w:rsidRPr="00CC617A" w:rsidRDefault="00754F54" w:rsidP="00761D8D">
            <w:pPr>
              <w:pStyle w:val="Style1"/>
              <w:jc w:val="center"/>
              <w:rPr>
                <w:b/>
                <w:bCs/>
              </w:rPr>
            </w:pPr>
          </w:p>
        </w:tc>
        <w:tc>
          <w:tcPr>
            <w:tcW w:w="1359" w:type="dxa"/>
            <w:vAlign w:val="center"/>
          </w:tcPr>
          <w:p w14:paraId="0A3F7FA5" w14:textId="77777777" w:rsidR="00754F54" w:rsidRPr="00CC617A" w:rsidRDefault="00754F54" w:rsidP="00761D8D">
            <w:pPr>
              <w:pStyle w:val="Style1"/>
              <w:jc w:val="center"/>
              <w:rPr>
                <w:b/>
                <w:bCs/>
              </w:rPr>
            </w:pPr>
            <w:r w:rsidRPr="00CC617A">
              <w:rPr>
                <w:b/>
                <w:bCs/>
              </w:rPr>
              <w:t>Incidence 3.6/100,000</w:t>
            </w:r>
          </w:p>
        </w:tc>
        <w:tc>
          <w:tcPr>
            <w:tcW w:w="1359" w:type="dxa"/>
            <w:vAlign w:val="center"/>
          </w:tcPr>
          <w:p w14:paraId="4110913E" w14:textId="77777777" w:rsidR="00754F54" w:rsidRPr="00CC617A" w:rsidRDefault="00754F54" w:rsidP="00761D8D">
            <w:pPr>
              <w:pStyle w:val="Style1"/>
              <w:jc w:val="center"/>
              <w:rPr>
                <w:b/>
                <w:bCs/>
              </w:rPr>
            </w:pPr>
            <w:r w:rsidRPr="00CC617A">
              <w:rPr>
                <w:b/>
                <w:bCs/>
              </w:rPr>
              <w:t>Incidence 10.6/100,000</w:t>
            </w:r>
          </w:p>
        </w:tc>
        <w:tc>
          <w:tcPr>
            <w:tcW w:w="1359" w:type="dxa"/>
            <w:vAlign w:val="center"/>
          </w:tcPr>
          <w:p w14:paraId="33A0C91F" w14:textId="77777777" w:rsidR="00754F54" w:rsidRPr="00CC617A" w:rsidRDefault="00754F54" w:rsidP="00761D8D">
            <w:pPr>
              <w:pStyle w:val="Style1"/>
              <w:jc w:val="center"/>
              <w:rPr>
                <w:b/>
                <w:bCs/>
              </w:rPr>
            </w:pPr>
            <w:r w:rsidRPr="00CC617A">
              <w:rPr>
                <w:b/>
                <w:bCs/>
              </w:rPr>
              <w:t>Incidence 3.6/100,000</w:t>
            </w:r>
          </w:p>
        </w:tc>
        <w:tc>
          <w:tcPr>
            <w:tcW w:w="1360" w:type="dxa"/>
            <w:vAlign w:val="center"/>
          </w:tcPr>
          <w:p w14:paraId="3A507CAF" w14:textId="77777777" w:rsidR="00754F54" w:rsidRPr="00CC617A" w:rsidRDefault="00754F54" w:rsidP="00761D8D">
            <w:pPr>
              <w:pStyle w:val="Style1"/>
              <w:jc w:val="center"/>
              <w:rPr>
                <w:b/>
                <w:bCs/>
              </w:rPr>
            </w:pPr>
            <w:r w:rsidRPr="00CC617A">
              <w:rPr>
                <w:b/>
                <w:bCs/>
              </w:rPr>
              <w:t>Incidence 10.6/100,000</w:t>
            </w:r>
          </w:p>
        </w:tc>
      </w:tr>
      <w:tr w:rsidR="00754F54" w14:paraId="6AE834F3" w14:textId="77777777" w:rsidTr="0003454B">
        <w:trPr>
          <w:trHeight w:val="276"/>
        </w:trPr>
        <w:tc>
          <w:tcPr>
            <w:tcW w:w="1949" w:type="dxa"/>
            <w:vAlign w:val="center"/>
          </w:tcPr>
          <w:p w14:paraId="7CBE841C" w14:textId="77777777" w:rsidR="00754F54" w:rsidRPr="00A2280A" w:rsidRDefault="00754F54">
            <w:pPr>
              <w:pStyle w:val="Style1"/>
            </w:pPr>
            <w:r w:rsidRPr="00A2280A">
              <w:t>Number tested</w:t>
            </w:r>
          </w:p>
        </w:tc>
        <w:tc>
          <w:tcPr>
            <w:tcW w:w="1681" w:type="dxa"/>
            <w:vAlign w:val="center"/>
          </w:tcPr>
          <w:p w14:paraId="33DF1C09" w14:textId="77777777" w:rsidR="00754F54" w:rsidRDefault="00754F54" w:rsidP="0003454B">
            <w:pPr>
              <w:pStyle w:val="Style1"/>
              <w:jc w:val="center"/>
            </w:pPr>
            <w:r>
              <w:t>1586</w:t>
            </w:r>
          </w:p>
          <w:p w14:paraId="11435479" w14:textId="7E6E9B6C" w:rsidR="00754F54" w:rsidRPr="00A2280A" w:rsidRDefault="00754F54" w:rsidP="0003454B">
            <w:pPr>
              <w:pStyle w:val="Style1"/>
              <w:jc w:val="center"/>
            </w:pPr>
            <w:r>
              <w:t>(Test positive = 29</w:t>
            </w:r>
            <w:r w:rsidR="00331488">
              <w:t>2</w:t>
            </w:r>
            <w:r>
              <w:t>, DY = 18.</w:t>
            </w:r>
            <w:r w:rsidR="00331488">
              <w:t>4</w:t>
            </w:r>
            <w:r>
              <w:t>%)</w:t>
            </w:r>
          </w:p>
        </w:tc>
        <w:tc>
          <w:tcPr>
            <w:tcW w:w="1359" w:type="dxa"/>
            <w:vAlign w:val="center"/>
          </w:tcPr>
          <w:p w14:paraId="5F0C5935" w14:textId="77777777" w:rsidR="00754F54" w:rsidRPr="00A2280A" w:rsidRDefault="00754F54">
            <w:pPr>
              <w:pStyle w:val="Style1"/>
              <w:jc w:val="center"/>
            </w:pPr>
            <w:r w:rsidRPr="00A2280A">
              <w:t>2,466</w:t>
            </w:r>
          </w:p>
        </w:tc>
        <w:tc>
          <w:tcPr>
            <w:tcW w:w="1359" w:type="dxa"/>
            <w:vAlign w:val="center"/>
          </w:tcPr>
          <w:p w14:paraId="77C72962" w14:textId="77777777" w:rsidR="00754F54" w:rsidRPr="00A2280A" w:rsidRDefault="00754F54">
            <w:pPr>
              <w:pStyle w:val="Style1"/>
              <w:jc w:val="center"/>
            </w:pPr>
            <w:r w:rsidRPr="00A2280A">
              <w:t>4,334</w:t>
            </w:r>
          </w:p>
        </w:tc>
        <w:tc>
          <w:tcPr>
            <w:tcW w:w="1359" w:type="dxa"/>
            <w:vAlign w:val="center"/>
          </w:tcPr>
          <w:p w14:paraId="2E8B7A5B" w14:textId="77777777" w:rsidR="00754F54" w:rsidRPr="00A2280A" w:rsidRDefault="00754F54">
            <w:pPr>
              <w:pStyle w:val="Style1"/>
              <w:jc w:val="center"/>
            </w:pPr>
            <w:r w:rsidRPr="00A2280A">
              <w:t>2,887</w:t>
            </w:r>
          </w:p>
        </w:tc>
        <w:tc>
          <w:tcPr>
            <w:tcW w:w="1360" w:type="dxa"/>
            <w:vAlign w:val="center"/>
          </w:tcPr>
          <w:p w14:paraId="37E1C24F" w14:textId="77777777" w:rsidR="00754F54" w:rsidRPr="00A2280A" w:rsidRDefault="00754F54">
            <w:pPr>
              <w:pStyle w:val="Style1"/>
              <w:jc w:val="center"/>
            </w:pPr>
            <w:r w:rsidRPr="00A2280A">
              <w:t>4,755</w:t>
            </w:r>
          </w:p>
        </w:tc>
      </w:tr>
      <w:tr w:rsidR="00754F54" w14:paraId="2D0567F2" w14:textId="77777777" w:rsidTr="0003454B">
        <w:trPr>
          <w:trHeight w:val="553"/>
        </w:trPr>
        <w:tc>
          <w:tcPr>
            <w:tcW w:w="1949" w:type="dxa"/>
            <w:vAlign w:val="center"/>
          </w:tcPr>
          <w:p w14:paraId="69444FD3" w14:textId="77777777" w:rsidR="00754F54" w:rsidRPr="00A2280A" w:rsidRDefault="00754F54">
            <w:pPr>
              <w:pStyle w:val="Style1"/>
            </w:pPr>
            <w:r w:rsidRPr="00A2280A">
              <w:t>Number with a diagnosis (DY 20</w:t>
            </w:r>
            <w:r>
              <w:t>%</w:t>
            </w:r>
            <w:r w:rsidRPr="00A2280A">
              <w:t>)</w:t>
            </w:r>
          </w:p>
        </w:tc>
        <w:tc>
          <w:tcPr>
            <w:tcW w:w="1681" w:type="dxa"/>
            <w:vAlign w:val="center"/>
          </w:tcPr>
          <w:p w14:paraId="7CB75419" w14:textId="77777777" w:rsidR="00754F54" w:rsidRPr="00A2280A" w:rsidRDefault="00754F54" w:rsidP="0003454B">
            <w:pPr>
              <w:pStyle w:val="Style1"/>
              <w:jc w:val="center"/>
            </w:pPr>
            <w:r>
              <w:t>-</w:t>
            </w:r>
          </w:p>
        </w:tc>
        <w:tc>
          <w:tcPr>
            <w:tcW w:w="1359" w:type="dxa"/>
            <w:vAlign w:val="center"/>
          </w:tcPr>
          <w:p w14:paraId="20224C5A" w14:textId="77777777" w:rsidR="00754F54" w:rsidRPr="00A2280A" w:rsidRDefault="00754F54">
            <w:pPr>
              <w:pStyle w:val="Style1"/>
              <w:jc w:val="center"/>
            </w:pPr>
            <w:r w:rsidRPr="00A2280A">
              <w:t>493</w:t>
            </w:r>
          </w:p>
        </w:tc>
        <w:tc>
          <w:tcPr>
            <w:tcW w:w="1359" w:type="dxa"/>
            <w:vAlign w:val="center"/>
          </w:tcPr>
          <w:p w14:paraId="5ED7E98B" w14:textId="77777777" w:rsidR="00754F54" w:rsidRPr="00A2280A" w:rsidRDefault="00754F54">
            <w:pPr>
              <w:pStyle w:val="Style1"/>
              <w:jc w:val="center"/>
            </w:pPr>
            <w:r w:rsidRPr="00A2280A">
              <w:t>867</w:t>
            </w:r>
          </w:p>
        </w:tc>
        <w:tc>
          <w:tcPr>
            <w:tcW w:w="1359" w:type="dxa"/>
            <w:vAlign w:val="center"/>
          </w:tcPr>
          <w:p w14:paraId="1C2752F7" w14:textId="77777777" w:rsidR="00754F54" w:rsidRPr="00A2280A" w:rsidRDefault="00754F54">
            <w:pPr>
              <w:pStyle w:val="Style1"/>
              <w:jc w:val="center"/>
            </w:pPr>
            <w:r w:rsidRPr="00A2280A">
              <w:t>577</w:t>
            </w:r>
          </w:p>
        </w:tc>
        <w:tc>
          <w:tcPr>
            <w:tcW w:w="1360" w:type="dxa"/>
            <w:vAlign w:val="center"/>
          </w:tcPr>
          <w:p w14:paraId="2BA67C90" w14:textId="77777777" w:rsidR="00754F54" w:rsidRPr="00A2280A" w:rsidRDefault="00754F54">
            <w:pPr>
              <w:pStyle w:val="Style1"/>
              <w:jc w:val="center"/>
            </w:pPr>
            <w:r w:rsidRPr="00A2280A">
              <w:t>951</w:t>
            </w:r>
          </w:p>
        </w:tc>
      </w:tr>
      <w:tr w:rsidR="00754F54" w14:paraId="5200677E" w14:textId="77777777" w:rsidTr="0003454B">
        <w:trPr>
          <w:trHeight w:val="544"/>
        </w:trPr>
        <w:tc>
          <w:tcPr>
            <w:tcW w:w="1949" w:type="dxa"/>
            <w:vAlign w:val="center"/>
          </w:tcPr>
          <w:p w14:paraId="43717B44" w14:textId="77777777" w:rsidR="00754F54" w:rsidRPr="00A2280A" w:rsidRDefault="00754F54">
            <w:pPr>
              <w:pStyle w:val="Style1"/>
            </w:pPr>
            <w:r w:rsidRPr="00A2280A">
              <w:t>Number with a diagnosis (DY 26</w:t>
            </w:r>
            <w:r>
              <w:t>%</w:t>
            </w:r>
            <w:r w:rsidRPr="00A2280A">
              <w:t>)</w:t>
            </w:r>
          </w:p>
        </w:tc>
        <w:tc>
          <w:tcPr>
            <w:tcW w:w="1681" w:type="dxa"/>
            <w:vAlign w:val="center"/>
          </w:tcPr>
          <w:p w14:paraId="7392BD10" w14:textId="77777777" w:rsidR="00754F54" w:rsidRPr="00A2280A" w:rsidRDefault="00754F54" w:rsidP="0003454B">
            <w:pPr>
              <w:pStyle w:val="Style1"/>
              <w:jc w:val="center"/>
            </w:pPr>
            <w:r>
              <w:t>-</w:t>
            </w:r>
          </w:p>
        </w:tc>
        <w:tc>
          <w:tcPr>
            <w:tcW w:w="1359" w:type="dxa"/>
            <w:vAlign w:val="center"/>
          </w:tcPr>
          <w:p w14:paraId="5F6BF517" w14:textId="77777777" w:rsidR="00754F54" w:rsidRPr="00A2280A" w:rsidRDefault="00754F54">
            <w:pPr>
              <w:pStyle w:val="Style1"/>
              <w:jc w:val="center"/>
            </w:pPr>
            <w:r w:rsidRPr="00A2280A">
              <w:t>641</w:t>
            </w:r>
          </w:p>
        </w:tc>
        <w:tc>
          <w:tcPr>
            <w:tcW w:w="1359" w:type="dxa"/>
            <w:vAlign w:val="center"/>
          </w:tcPr>
          <w:p w14:paraId="4BA64AF2" w14:textId="77777777" w:rsidR="00754F54" w:rsidRPr="00A2280A" w:rsidRDefault="00754F54">
            <w:pPr>
              <w:pStyle w:val="Style1"/>
              <w:jc w:val="center"/>
            </w:pPr>
            <w:r w:rsidRPr="00A2280A">
              <w:t>1,127</w:t>
            </w:r>
          </w:p>
        </w:tc>
        <w:tc>
          <w:tcPr>
            <w:tcW w:w="1359" w:type="dxa"/>
            <w:vAlign w:val="center"/>
          </w:tcPr>
          <w:p w14:paraId="45960CB7" w14:textId="77777777" w:rsidR="00754F54" w:rsidRPr="00A2280A" w:rsidRDefault="00754F54">
            <w:pPr>
              <w:pStyle w:val="Style1"/>
              <w:jc w:val="center"/>
            </w:pPr>
            <w:r w:rsidRPr="00A2280A">
              <w:t>751</w:t>
            </w:r>
          </w:p>
        </w:tc>
        <w:tc>
          <w:tcPr>
            <w:tcW w:w="1360" w:type="dxa"/>
            <w:vAlign w:val="center"/>
          </w:tcPr>
          <w:p w14:paraId="2872AA6A" w14:textId="77777777" w:rsidR="00754F54" w:rsidRDefault="00754F54">
            <w:pPr>
              <w:pStyle w:val="Style1"/>
              <w:jc w:val="center"/>
            </w:pPr>
            <w:r w:rsidRPr="00A2280A">
              <w:t>1,236</w:t>
            </w:r>
          </w:p>
        </w:tc>
      </w:tr>
    </w:tbl>
    <w:p w14:paraId="748F3572" w14:textId="18D6719B" w:rsidR="00754F54" w:rsidRDefault="00754F54" w:rsidP="00754F54">
      <w:pPr>
        <w:pStyle w:val="Tablenotes1"/>
      </w:pPr>
      <w:r>
        <w:t xml:space="preserve">Diagnostic yield (DY) = </w:t>
      </w:r>
      <w:r w:rsidR="003B14F6">
        <w:t xml:space="preserve">18.4%, from </w:t>
      </w:r>
      <w:proofErr w:type="spellStart"/>
      <w:r w:rsidR="003B14F6">
        <w:t>PathWest</w:t>
      </w:r>
      <w:proofErr w:type="spellEnd"/>
      <w:r w:rsidR="003B14F6">
        <w:t xml:space="preserve"> data extrapolated to 2021</w:t>
      </w:r>
      <w:r w:rsidR="00657CD1">
        <w:t xml:space="preserve"> including estimated overseas testing</w:t>
      </w:r>
      <w:r w:rsidR="003B14F6">
        <w:t>.</w:t>
      </w:r>
    </w:p>
    <w:p w14:paraId="35024D1A" w14:textId="6A630287" w:rsidR="00754F54" w:rsidRPr="00014EC4" w:rsidRDefault="00754F54" w:rsidP="00754F54">
      <w:pPr>
        <w:pStyle w:val="Tablenotes1"/>
      </w:pPr>
      <w:r>
        <w:t xml:space="preserve">Source: provided by the assessment group for the </w:t>
      </w:r>
      <w:r w:rsidR="006A1BBD">
        <w:t>second DCAR</w:t>
      </w:r>
      <w:r>
        <w:t xml:space="preserve"> after the June 2021 ESC meeting. Modified from </w:t>
      </w:r>
      <w:r w:rsidR="006A1BBD">
        <w:t>Second DCAR</w:t>
      </w:r>
      <w:r w:rsidRPr="00014EC4">
        <w:t xml:space="preserve"> Table 11</w:t>
      </w:r>
      <w:r>
        <w:t>, including estimated overseas testing.</w:t>
      </w:r>
    </w:p>
    <w:p w14:paraId="5358D3B9" w14:textId="6EBAE927" w:rsidR="008F4C97" w:rsidRDefault="008F4C97" w:rsidP="008F4C97">
      <w:pPr>
        <w:pStyle w:val="Heading2"/>
      </w:pPr>
      <w:r>
        <w:t>Cost-offsets</w:t>
      </w:r>
    </w:p>
    <w:p w14:paraId="3B90DEEE" w14:textId="38AA1F6B" w:rsidR="008F4C97" w:rsidRDefault="008F4C97" w:rsidP="004B1A88">
      <w:pPr>
        <w:contextualSpacing/>
      </w:pPr>
      <w:r>
        <w:t xml:space="preserve">The </w:t>
      </w:r>
      <w:r w:rsidR="006A1BBD">
        <w:t>second DCAR</w:t>
      </w:r>
      <w:r>
        <w:t xml:space="preserve"> stated that the cost-offsets of testing can be broken down across the timeframe of the cost</w:t>
      </w:r>
      <w:r w:rsidR="001F6F26">
        <w:t>-</w:t>
      </w:r>
      <w:r>
        <w:t xml:space="preserve">offsets, with only the immediate test items able to be factored into an estimated financial impact. </w:t>
      </w:r>
      <w:r w:rsidR="00AC6B44">
        <w:t xml:space="preserve">One </w:t>
      </w:r>
      <w:r w:rsidR="00786F1F">
        <w:t xml:space="preserve">such </w:t>
      </w:r>
      <w:r w:rsidR="00AC6B44">
        <w:t>i</w:t>
      </w:r>
      <w:r>
        <w:t xml:space="preserve">mmediate cost-offset </w:t>
      </w:r>
      <w:r w:rsidR="00AC6B44">
        <w:t>was</w:t>
      </w:r>
      <w:r>
        <w:t xml:space="preserve"> identified in the rev</w:t>
      </w:r>
      <w:r w:rsidR="00AC6B44">
        <w:t>ised estimat</w:t>
      </w:r>
      <w:r w:rsidR="001F6F26">
        <w:t>ion of</w:t>
      </w:r>
      <w:r w:rsidR="00AC6B44">
        <w:t xml:space="preserve"> financial impact:</w:t>
      </w:r>
      <w:r w:rsidR="00AA4934">
        <w:t xml:space="preserve"> m</w:t>
      </w:r>
      <w:r>
        <w:t>uscle or nerve biopsy and associated procedures necessary to undertake this (</w:t>
      </w:r>
      <w:r>
        <w:fldChar w:fldCharType="begin"/>
      </w:r>
      <w:r>
        <w:instrText xml:space="preserve"> REF _Ref71057295 \h  \* MERGEFORMAT </w:instrText>
      </w:r>
      <w:r>
        <w:fldChar w:fldCharType="separate"/>
      </w:r>
      <w:r w:rsidR="004205E1">
        <w:t>Table 7</w:t>
      </w:r>
      <w:r>
        <w:fldChar w:fldCharType="end"/>
      </w:r>
      <w:r>
        <w:t xml:space="preserve">). This may not always be avoided, </w:t>
      </w:r>
      <w:r w:rsidR="00272820">
        <w:t>for example</w:t>
      </w:r>
      <w:r>
        <w:t xml:space="preserve"> where there is still </w:t>
      </w:r>
      <w:r>
        <w:lastRenderedPageBreak/>
        <w:t>some uncertainty about the correlation between an identified gene variant and the observed phenotype, correlation may expand the understanding of the disease phenotype</w:t>
      </w:r>
      <w:r w:rsidRPr="001F6F26">
        <w:rPr>
          <w:vertAlign w:val="superscript"/>
        </w:rPr>
        <w:footnoteReference w:id="18"/>
      </w:r>
      <w:r>
        <w:t xml:space="preserve">. </w:t>
      </w:r>
    </w:p>
    <w:p w14:paraId="6416ABF7" w14:textId="36451631" w:rsidR="008F4C97" w:rsidRDefault="008F4C97" w:rsidP="00042B86">
      <w:pPr>
        <w:pStyle w:val="Caption"/>
        <w:spacing w:before="240"/>
      </w:pPr>
      <w:bookmarkStart w:id="14" w:name="_Ref71057295"/>
      <w:bookmarkStart w:id="15" w:name="_Toc71552630"/>
      <w:r>
        <w:t xml:space="preserve">Table </w:t>
      </w:r>
      <w:r w:rsidR="003E46EE">
        <w:fldChar w:fldCharType="begin"/>
      </w:r>
      <w:r w:rsidR="003E46EE">
        <w:instrText xml:space="preserve"> SEQ Table \* ARABIC </w:instrText>
      </w:r>
      <w:r w:rsidR="003E46EE">
        <w:fldChar w:fldCharType="separate"/>
      </w:r>
      <w:r w:rsidR="004205E1">
        <w:rPr>
          <w:noProof/>
        </w:rPr>
        <w:t>7</w:t>
      </w:r>
      <w:r w:rsidR="003E46EE">
        <w:rPr>
          <w:noProof/>
        </w:rPr>
        <w:fldChar w:fldCharType="end"/>
      </w:r>
      <w:bookmarkEnd w:id="14"/>
      <w:r>
        <w:t xml:space="preserve"> Costs included in assessment of </w:t>
      </w:r>
      <w:r w:rsidR="00786F1F">
        <w:t>cost-</w:t>
      </w:r>
      <w:r>
        <w:t>offset for muscle biopsy no longer required if genetic testing available for initial diagnosis</w:t>
      </w:r>
      <w:bookmarkEnd w:id="15"/>
    </w:p>
    <w:tbl>
      <w:tblPr>
        <w:tblStyle w:val="GridTable1Ligh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1701"/>
        <w:gridCol w:w="1418"/>
      </w:tblGrid>
      <w:tr w:rsidR="008F4C97" w14:paraId="1A9182A8" w14:textId="77777777" w:rsidTr="000976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bottom w:val="none" w:sz="0" w:space="0" w:color="auto"/>
            </w:tcBorders>
          </w:tcPr>
          <w:p w14:paraId="54D01D2A" w14:textId="77777777" w:rsidR="008F4C97" w:rsidRPr="003745E2" w:rsidRDefault="008F4C97" w:rsidP="00F96A34">
            <w:pPr>
              <w:pStyle w:val="Tabletext"/>
            </w:pPr>
            <w:r w:rsidRPr="003745E2">
              <w:t>Intervention</w:t>
            </w:r>
          </w:p>
        </w:tc>
        <w:tc>
          <w:tcPr>
            <w:tcW w:w="1701" w:type="dxa"/>
            <w:tcBorders>
              <w:bottom w:val="none" w:sz="0" w:space="0" w:color="auto"/>
            </w:tcBorders>
            <w:vAlign w:val="center"/>
          </w:tcPr>
          <w:p w14:paraId="4EFBA674" w14:textId="77777777" w:rsidR="008F4C97" w:rsidRPr="003745E2" w:rsidRDefault="008F4C97" w:rsidP="00097647">
            <w:pPr>
              <w:pStyle w:val="Tabletext"/>
              <w:jc w:val="center"/>
              <w:cnfStyle w:val="100000000000" w:firstRow="1" w:lastRow="0" w:firstColumn="0" w:lastColumn="0" w:oddVBand="0" w:evenVBand="0" w:oddHBand="0" w:evenHBand="0" w:firstRowFirstColumn="0" w:firstRowLastColumn="0" w:lastRowFirstColumn="0" w:lastRowLastColumn="0"/>
            </w:pPr>
            <w:r w:rsidRPr="003745E2">
              <w:t>MBS Item number</w:t>
            </w:r>
          </w:p>
        </w:tc>
        <w:tc>
          <w:tcPr>
            <w:tcW w:w="1418" w:type="dxa"/>
            <w:tcBorders>
              <w:bottom w:val="none" w:sz="0" w:space="0" w:color="auto"/>
            </w:tcBorders>
            <w:vAlign w:val="center"/>
          </w:tcPr>
          <w:p w14:paraId="272D93F2" w14:textId="36CEC8CD" w:rsidR="008F4C97" w:rsidRPr="003745E2" w:rsidRDefault="00AC6B44" w:rsidP="00097647">
            <w:pPr>
              <w:pStyle w:val="Tabletext"/>
              <w:jc w:val="center"/>
              <w:cnfStyle w:val="100000000000" w:firstRow="1" w:lastRow="0" w:firstColumn="0" w:lastColumn="0" w:oddVBand="0" w:evenVBand="0" w:oddHBand="0" w:evenHBand="0" w:firstRowFirstColumn="0" w:firstRowLastColumn="0" w:lastRowFirstColumn="0" w:lastRowLastColumn="0"/>
            </w:pPr>
            <w:r>
              <w:t>Cost</w:t>
            </w:r>
          </w:p>
        </w:tc>
      </w:tr>
      <w:tr w:rsidR="008F4C97" w14:paraId="3493C8EF" w14:textId="77777777" w:rsidTr="00097647">
        <w:tc>
          <w:tcPr>
            <w:cnfStyle w:val="001000000000" w:firstRow="0" w:lastRow="0" w:firstColumn="1" w:lastColumn="0" w:oddVBand="0" w:evenVBand="0" w:oddHBand="0" w:evenHBand="0" w:firstRowFirstColumn="0" w:firstRowLastColumn="0" w:lastRowFirstColumn="0" w:lastRowLastColumn="0"/>
            <w:tcW w:w="4106" w:type="dxa"/>
          </w:tcPr>
          <w:p w14:paraId="5B4E3568" w14:textId="77777777" w:rsidR="008F4C97" w:rsidRPr="00CF4767" w:rsidRDefault="008F4C97" w:rsidP="00F96A34">
            <w:pPr>
              <w:pStyle w:val="Tabletext"/>
              <w:rPr>
                <w:b w:val="0"/>
              </w:rPr>
            </w:pPr>
            <w:r w:rsidRPr="00CF4767">
              <w:t>Anaesthetic consultation</w:t>
            </w:r>
          </w:p>
        </w:tc>
        <w:tc>
          <w:tcPr>
            <w:tcW w:w="1701" w:type="dxa"/>
            <w:vAlign w:val="center"/>
          </w:tcPr>
          <w:p w14:paraId="6263B078" w14:textId="77777777" w:rsidR="008F4C97" w:rsidRPr="003745E2" w:rsidRDefault="008F4C97" w:rsidP="00097647">
            <w:pPr>
              <w:pStyle w:val="Tabletext"/>
              <w:jc w:val="center"/>
              <w:cnfStyle w:val="000000000000" w:firstRow="0" w:lastRow="0" w:firstColumn="0" w:lastColumn="0" w:oddVBand="0" w:evenVBand="0" w:oddHBand="0" w:evenHBand="0" w:firstRowFirstColumn="0" w:firstRowLastColumn="0" w:lastRowFirstColumn="0" w:lastRowLastColumn="0"/>
            </w:pPr>
            <w:r w:rsidRPr="003745E2">
              <w:t>17615</w:t>
            </w:r>
          </w:p>
        </w:tc>
        <w:tc>
          <w:tcPr>
            <w:tcW w:w="1418" w:type="dxa"/>
            <w:vAlign w:val="center"/>
          </w:tcPr>
          <w:p w14:paraId="2575D5B2" w14:textId="591DB3C2" w:rsidR="008F4C97" w:rsidRPr="003745E2" w:rsidRDefault="00AC6B44" w:rsidP="00097647">
            <w:pPr>
              <w:pStyle w:val="Tabletext"/>
              <w:jc w:val="center"/>
              <w:cnfStyle w:val="000000000000" w:firstRow="0" w:lastRow="0" w:firstColumn="0" w:lastColumn="0" w:oddVBand="0" w:evenVBand="0" w:oddHBand="0" w:evenHBand="0" w:firstRowFirstColumn="0" w:firstRowLastColumn="0" w:lastRowFirstColumn="0" w:lastRowLastColumn="0"/>
            </w:pPr>
            <w:r>
              <w:t>$</w:t>
            </w:r>
            <w:r w:rsidR="008F4C97" w:rsidRPr="003745E2">
              <w:t>89.95</w:t>
            </w:r>
          </w:p>
        </w:tc>
      </w:tr>
      <w:tr w:rsidR="008F4C97" w14:paraId="4781F777" w14:textId="77777777" w:rsidTr="00097647">
        <w:tc>
          <w:tcPr>
            <w:cnfStyle w:val="001000000000" w:firstRow="0" w:lastRow="0" w:firstColumn="1" w:lastColumn="0" w:oddVBand="0" w:evenVBand="0" w:oddHBand="0" w:evenHBand="0" w:firstRowFirstColumn="0" w:firstRowLastColumn="0" w:lastRowFirstColumn="0" w:lastRowLastColumn="0"/>
            <w:tcW w:w="4106" w:type="dxa"/>
          </w:tcPr>
          <w:p w14:paraId="2490464D" w14:textId="77777777" w:rsidR="008F4C97" w:rsidRPr="00CF4767" w:rsidRDefault="008F4C97" w:rsidP="00F96A34">
            <w:pPr>
              <w:pStyle w:val="Tabletext"/>
              <w:rPr>
                <w:b w:val="0"/>
              </w:rPr>
            </w:pPr>
            <w:r w:rsidRPr="00CF4767">
              <w:t>General anaesthetic</w:t>
            </w:r>
          </w:p>
        </w:tc>
        <w:tc>
          <w:tcPr>
            <w:tcW w:w="1701" w:type="dxa"/>
            <w:vAlign w:val="center"/>
          </w:tcPr>
          <w:p w14:paraId="4DE5CAC5" w14:textId="77777777" w:rsidR="008F4C97" w:rsidRPr="003745E2" w:rsidRDefault="008F4C97" w:rsidP="00097647">
            <w:pPr>
              <w:pStyle w:val="Tabletext"/>
              <w:jc w:val="center"/>
              <w:cnfStyle w:val="000000000000" w:firstRow="0" w:lastRow="0" w:firstColumn="0" w:lastColumn="0" w:oddVBand="0" w:evenVBand="0" w:oddHBand="0" w:evenHBand="0" w:firstRowFirstColumn="0" w:firstRowLastColumn="0" w:lastRowFirstColumn="0" w:lastRowLastColumn="0"/>
            </w:pPr>
            <w:r w:rsidRPr="003745E2">
              <w:t>21997</w:t>
            </w:r>
          </w:p>
        </w:tc>
        <w:tc>
          <w:tcPr>
            <w:tcW w:w="1418" w:type="dxa"/>
            <w:vAlign w:val="center"/>
          </w:tcPr>
          <w:p w14:paraId="03A0B665" w14:textId="49ED4892" w:rsidR="008F4C97" w:rsidRPr="003745E2" w:rsidRDefault="00AC6B44" w:rsidP="00097647">
            <w:pPr>
              <w:pStyle w:val="Tabletext"/>
              <w:jc w:val="center"/>
              <w:cnfStyle w:val="000000000000" w:firstRow="0" w:lastRow="0" w:firstColumn="0" w:lastColumn="0" w:oddVBand="0" w:evenVBand="0" w:oddHBand="0" w:evenHBand="0" w:firstRowFirstColumn="0" w:firstRowLastColumn="0" w:lastRowFirstColumn="0" w:lastRowLastColumn="0"/>
            </w:pPr>
            <w:r>
              <w:t>$</w:t>
            </w:r>
            <w:r w:rsidR="008F4C97" w:rsidRPr="003745E2">
              <w:t>81.60</w:t>
            </w:r>
          </w:p>
        </w:tc>
      </w:tr>
      <w:tr w:rsidR="008F4C97" w14:paraId="112EF70B" w14:textId="77777777" w:rsidTr="00097647">
        <w:tc>
          <w:tcPr>
            <w:cnfStyle w:val="001000000000" w:firstRow="0" w:lastRow="0" w:firstColumn="1" w:lastColumn="0" w:oddVBand="0" w:evenVBand="0" w:oddHBand="0" w:evenHBand="0" w:firstRowFirstColumn="0" w:firstRowLastColumn="0" w:lastRowFirstColumn="0" w:lastRowLastColumn="0"/>
            <w:tcW w:w="4106" w:type="dxa"/>
          </w:tcPr>
          <w:p w14:paraId="5FFF619A" w14:textId="2B7C34D7" w:rsidR="008F4C97" w:rsidRPr="00CF4767" w:rsidRDefault="00AC6B44" w:rsidP="00F96A34">
            <w:pPr>
              <w:pStyle w:val="Tabletext"/>
              <w:rPr>
                <w:b w:val="0"/>
              </w:rPr>
            </w:pPr>
            <w:r>
              <w:t xml:space="preserve">Spinal/epidural infusion for </w:t>
            </w:r>
            <w:r w:rsidR="008F4C97" w:rsidRPr="00CF4767">
              <w:t xml:space="preserve">analgesia </w:t>
            </w:r>
          </w:p>
        </w:tc>
        <w:tc>
          <w:tcPr>
            <w:tcW w:w="1701" w:type="dxa"/>
            <w:vAlign w:val="center"/>
          </w:tcPr>
          <w:p w14:paraId="635034D3" w14:textId="77777777" w:rsidR="008F4C97" w:rsidRPr="003745E2" w:rsidRDefault="008F4C97" w:rsidP="00097647">
            <w:pPr>
              <w:pStyle w:val="Tabletext"/>
              <w:jc w:val="center"/>
              <w:cnfStyle w:val="000000000000" w:firstRow="0" w:lastRow="0" w:firstColumn="0" w:lastColumn="0" w:oddVBand="0" w:evenVBand="0" w:oddHBand="0" w:evenHBand="0" w:firstRowFirstColumn="0" w:firstRowLastColumn="0" w:lastRowFirstColumn="0" w:lastRowLastColumn="0"/>
            </w:pPr>
            <w:r w:rsidRPr="003745E2">
              <w:t>18216</w:t>
            </w:r>
          </w:p>
        </w:tc>
        <w:tc>
          <w:tcPr>
            <w:tcW w:w="1418" w:type="dxa"/>
            <w:vAlign w:val="center"/>
          </w:tcPr>
          <w:p w14:paraId="1707615D" w14:textId="0AEA0473" w:rsidR="008F4C97" w:rsidRPr="003745E2" w:rsidRDefault="00AC6B44" w:rsidP="00097647">
            <w:pPr>
              <w:pStyle w:val="Tabletext"/>
              <w:jc w:val="center"/>
              <w:cnfStyle w:val="000000000000" w:firstRow="0" w:lastRow="0" w:firstColumn="0" w:lastColumn="0" w:oddVBand="0" w:evenVBand="0" w:oddHBand="0" w:evenHBand="0" w:firstRowFirstColumn="0" w:firstRowLastColumn="0" w:lastRowFirstColumn="0" w:lastRowLastColumn="0"/>
            </w:pPr>
            <w:r>
              <w:t>$</w:t>
            </w:r>
            <w:r w:rsidR="008F4C97" w:rsidRPr="003745E2">
              <w:t>195.85</w:t>
            </w:r>
          </w:p>
        </w:tc>
      </w:tr>
      <w:tr w:rsidR="008F4C97" w14:paraId="54B41A92" w14:textId="77777777" w:rsidTr="00097647">
        <w:tc>
          <w:tcPr>
            <w:cnfStyle w:val="001000000000" w:firstRow="0" w:lastRow="0" w:firstColumn="1" w:lastColumn="0" w:oddVBand="0" w:evenVBand="0" w:oddHBand="0" w:evenHBand="0" w:firstRowFirstColumn="0" w:firstRowLastColumn="0" w:lastRowFirstColumn="0" w:lastRowLastColumn="0"/>
            <w:tcW w:w="4106" w:type="dxa"/>
          </w:tcPr>
          <w:p w14:paraId="51C814B2" w14:textId="77777777" w:rsidR="008F4C97" w:rsidRPr="00CF4767" w:rsidRDefault="008F4C97" w:rsidP="00F96A34">
            <w:pPr>
              <w:pStyle w:val="Tabletext"/>
              <w:rPr>
                <w:b w:val="0"/>
              </w:rPr>
            </w:pPr>
            <w:r w:rsidRPr="00CF4767">
              <w:t>Muscle (or nerve) biopsy</w:t>
            </w:r>
          </w:p>
        </w:tc>
        <w:tc>
          <w:tcPr>
            <w:tcW w:w="1701" w:type="dxa"/>
            <w:vAlign w:val="center"/>
          </w:tcPr>
          <w:p w14:paraId="03CED73F" w14:textId="77777777" w:rsidR="008F4C97" w:rsidRPr="003745E2" w:rsidRDefault="008F4C97" w:rsidP="00097647">
            <w:pPr>
              <w:pStyle w:val="Tabletext"/>
              <w:jc w:val="center"/>
              <w:cnfStyle w:val="000000000000" w:firstRow="0" w:lastRow="0" w:firstColumn="0" w:lastColumn="0" w:oddVBand="0" w:evenVBand="0" w:oddHBand="0" w:evenHBand="0" w:firstRowFirstColumn="0" w:firstRowLastColumn="0" w:lastRowFirstColumn="0" w:lastRowLastColumn="0"/>
            </w:pPr>
            <w:r w:rsidRPr="003745E2">
              <w:t>30075</w:t>
            </w:r>
          </w:p>
        </w:tc>
        <w:tc>
          <w:tcPr>
            <w:tcW w:w="1418" w:type="dxa"/>
            <w:vAlign w:val="center"/>
          </w:tcPr>
          <w:p w14:paraId="3124328D" w14:textId="617E8DC9" w:rsidR="008F4C97" w:rsidRPr="003745E2" w:rsidRDefault="00AC6B44" w:rsidP="00097647">
            <w:pPr>
              <w:pStyle w:val="Tabletext"/>
              <w:jc w:val="center"/>
              <w:cnfStyle w:val="000000000000" w:firstRow="0" w:lastRow="0" w:firstColumn="0" w:lastColumn="0" w:oddVBand="0" w:evenVBand="0" w:oddHBand="0" w:evenHBand="0" w:firstRowFirstColumn="0" w:firstRowLastColumn="0" w:lastRowFirstColumn="0" w:lastRowLastColumn="0"/>
            </w:pPr>
            <w:r>
              <w:t>$</w:t>
            </w:r>
            <w:r w:rsidR="008F4C97" w:rsidRPr="003745E2">
              <w:t>154.45</w:t>
            </w:r>
          </w:p>
        </w:tc>
      </w:tr>
      <w:tr w:rsidR="008F4C97" w14:paraId="4C5A391A" w14:textId="77777777" w:rsidTr="00097647">
        <w:tc>
          <w:tcPr>
            <w:cnfStyle w:val="001000000000" w:firstRow="0" w:lastRow="0" w:firstColumn="1" w:lastColumn="0" w:oddVBand="0" w:evenVBand="0" w:oddHBand="0" w:evenHBand="0" w:firstRowFirstColumn="0" w:firstRowLastColumn="0" w:lastRowFirstColumn="0" w:lastRowLastColumn="0"/>
            <w:tcW w:w="4106" w:type="dxa"/>
          </w:tcPr>
          <w:p w14:paraId="1C6C3A98" w14:textId="77777777" w:rsidR="008F4C97" w:rsidRPr="00CF4767" w:rsidRDefault="008F4C97" w:rsidP="00F96A34">
            <w:pPr>
              <w:pStyle w:val="Tabletext"/>
              <w:rPr>
                <w:b w:val="0"/>
              </w:rPr>
            </w:pPr>
            <w:r w:rsidRPr="00CF4767">
              <w:t>Histology (Level 5) (same for muscle or nerve)</w:t>
            </w:r>
          </w:p>
        </w:tc>
        <w:tc>
          <w:tcPr>
            <w:tcW w:w="1701" w:type="dxa"/>
            <w:vAlign w:val="center"/>
          </w:tcPr>
          <w:p w14:paraId="7F108DBD" w14:textId="77777777" w:rsidR="008F4C97" w:rsidRPr="003745E2" w:rsidRDefault="008F4C97" w:rsidP="00097647">
            <w:pPr>
              <w:pStyle w:val="Tabletext"/>
              <w:jc w:val="center"/>
              <w:cnfStyle w:val="000000000000" w:firstRow="0" w:lastRow="0" w:firstColumn="0" w:lastColumn="0" w:oddVBand="0" w:evenVBand="0" w:oddHBand="0" w:evenHBand="0" w:firstRowFirstColumn="0" w:firstRowLastColumn="0" w:lastRowFirstColumn="0" w:lastRowLastColumn="0"/>
            </w:pPr>
            <w:r w:rsidRPr="003745E2">
              <w:t>72380</w:t>
            </w:r>
          </w:p>
        </w:tc>
        <w:tc>
          <w:tcPr>
            <w:tcW w:w="1418" w:type="dxa"/>
            <w:vAlign w:val="center"/>
          </w:tcPr>
          <w:p w14:paraId="391A9887" w14:textId="6D0E78DA" w:rsidR="008F4C97" w:rsidRPr="003745E2" w:rsidRDefault="00AC6B44" w:rsidP="00097647">
            <w:pPr>
              <w:pStyle w:val="Tabletext"/>
              <w:jc w:val="center"/>
              <w:cnfStyle w:val="000000000000" w:firstRow="0" w:lastRow="0" w:firstColumn="0" w:lastColumn="0" w:oddVBand="0" w:evenVBand="0" w:oddHBand="0" w:evenHBand="0" w:firstRowFirstColumn="0" w:firstRowLastColumn="0" w:lastRowFirstColumn="0" w:lastRowLastColumn="0"/>
            </w:pPr>
            <w:r>
              <w:t>$</w:t>
            </w:r>
            <w:r w:rsidR="008F4C97" w:rsidRPr="003745E2">
              <w:t>274.15</w:t>
            </w:r>
          </w:p>
        </w:tc>
      </w:tr>
      <w:tr w:rsidR="008F4C97" w14:paraId="325DE7CB" w14:textId="77777777" w:rsidTr="00097647">
        <w:tc>
          <w:tcPr>
            <w:cnfStyle w:val="001000000000" w:firstRow="0" w:lastRow="0" w:firstColumn="1" w:lastColumn="0" w:oddVBand="0" w:evenVBand="0" w:oddHBand="0" w:evenHBand="0" w:firstRowFirstColumn="0" w:firstRowLastColumn="0" w:lastRowFirstColumn="0" w:lastRowLastColumn="0"/>
            <w:tcW w:w="4106" w:type="dxa"/>
          </w:tcPr>
          <w:p w14:paraId="3C4D6DEA" w14:textId="77777777" w:rsidR="008F4C97" w:rsidRPr="00CF4767" w:rsidRDefault="008F4C97" w:rsidP="00F96A34">
            <w:pPr>
              <w:pStyle w:val="Tabletext"/>
              <w:rPr>
                <w:b w:val="0"/>
              </w:rPr>
            </w:pPr>
            <w:r w:rsidRPr="00CF4767">
              <w:t xml:space="preserve">Skeletal muscle enzyme IHC </w:t>
            </w:r>
          </w:p>
        </w:tc>
        <w:tc>
          <w:tcPr>
            <w:tcW w:w="1701" w:type="dxa"/>
            <w:vAlign w:val="center"/>
          </w:tcPr>
          <w:p w14:paraId="017E9130" w14:textId="77777777" w:rsidR="008F4C97" w:rsidRPr="003745E2" w:rsidRDefault="008F4C97" w:rsidP="00097647">
            <w:pPr>
              <w:pStyle w:val="Tabletext"/>
              <w:jc w:val="center"/>
              <w:cnfStyle w:val="000000000000" w:firstRow="0" w:lastRow="0" w:firstColumn="0" w:lastColumn="0" w:oddVBand="0" w:evenVBand="0" w:oddHBand="0" w:evenHBand="0" w:firstRowFirstColumn="0" w:firstRowLastColumn="0" w:lastRowFirstColumn="0" w:lastRowLastColumn="0"/>
            </w:pPr>
            <w:r w:rsidRPr="003745E2">
              <w:t>72884</w:t>
            </w:r>
          </w:p>
        </w:tc>
        <w:tc>
          <w:tcPr>
            <w:tcW w:w="1418" w:type="dxa"/>
            <w:vAlign w:val="center"/>
          </w:tcPr>
          <w:p w14:paraId="6F94967B" w14:textId="5CD4A240" w:rsidR="008F4C97" w:rsidRPr="003745E2" w:rsidRDefault="00AC6B44" w:rsidP="00097647">
            <w:pPr>
              <w:pStyle w:val="Tabletext"/>
              <w:jc w:val="center"/>
              <w:cnfStyle w:val="000000000000" w:firstRow="0" w:lastRow="0" w:firstColumn="0" w:lastColumn="0" w:oddVBand="0" w:evenVBand="0" w:oddHBand="0" w:evenHBand="0" w:firstRowFirstColumn="0" w:firstRowLastColumn="0" w:lastRowFirstColumn="0" w:lastRowLastColumn="0"/>
            </w:pPr>
            <w:r>
              <w:t>$</w:t>
            </w:r>
            <w:r w:rsidR="008F4C97" w:rsidRPr="003745E2">
              <w:t>30.75</w:t>
            </w:r>
          </w:p>
        </w:tc>
      </w:tr>
      <w:tr w:rsidR="008F4C97" w14:paraId="1BAD635D" w14:textId="77777777" w:rsidTr="00097647">
        <w:tc>
          <w:tcPr>
            <w:cnfStyle w:val="001000000000" w:firstRow="0" w:lastRow="0" w:firstColumn="1" w:lastColumn="0" w:oddVBand="0" w:evenVBand="0" w:oddHBand="0" w:evenHBand="0" w:firstRowFirstColumn="0" w:firstRowLastColumn="0" w:lastRowFirstColumn="0" w:lastRowLastColumn="0"/>
            <w:tcW w:w="4106" w:type="dxa"/>
          </w:tcPr>
          <w:p w14:paraId="5792268B" w14:textId="77777777" w:rsidR="008F4C97" w:rsidRPr="00CF4767" w:rsidRDefault="008F4C97" w:rsidP="00F96A34">
            <w:pPr>
              <w:pStyle w:val="Tabletext"/>
              <w:rPr>
                <w:b w:val="0"/>
              </w:rPr>
            </w:pPr>
            <w:r w:rsidRPr="00CF4767">
              <w:t>Day Admission</w:t>
            </w:r>
          </w:p>
        </w:tc>
        <w:tc>
          <w:tcPr>
            <w:tcW w:w="1701" w:type="dxa"/>
            <w:vAlign w:val="center"/>
          </w:tcPr>
          <w:p w14:paraId="1CDD8D7F" w14:textId="77777777" w:rsidR="008F4C97" w:rsidRPr="003745E2" w:rsidRDefault="008F4C97" w:rsidP="00097647">
            <w:pPr>
              <w:pStyle w:val="Tabletext"/>
              <w:jc w:val="center"/>
              <w:cnfStyle w:val="000000000000" w:firstRow="0" w:lastRow="0" w:firstColumn="0" w:lastColumn="0" w:oddVBand="0" w:evenVBand="0" w:oddHBand="0" w:evenHBand="0" w:firstRowFirstColumn="0" w:firstRowLastColumn="0" w:lastRowFirstColumn="0" w:lastRowLastColumn="0"/>
            </w:pPr>
          </w:p>
        </w:tc>
        <w:tc>
          <w:tcPr>
            <w:tcW w:w="1418" w:type="dxa"/>
            <w:vAlign w:val="center"/>
          </w:tcPr>
          <w:p w14:paraId="7A8A034C" w14:textId="48D35EA5" w:rsidR="008F4C97" w:rsidRPr="003745E2" w:rsidRDefault="00AC6B44" w:rsidP="00097647">
            <w:pPr>
              <w:pStyle w:val="Tabletext"/>
              <w:jc w:val="center"/>
              <w:cnfStyle w:val="000000000000" w:firstRow="0" w:lastRow="0" w:firstColumn="0" w:lastColumn="0" w:oddVBand="0" w:evenVBand="0" w:oddHBand="0" w:evenHBand="0" w:firstRowFirstColumn="0" w:firstRowLastColumn="0" w:lastRowFirstColumn="0" w:lastRowLastColumn="0"/>
            </w:pPr>
            <w:r>
              <w:t>$</w:t>
            </w:r>
            <w:r w:rsidR="008F4C97">
              <w:t>552</w:t>
            </w:r>
          </w:p>
        </w:tc>
      </w:tr>
      <w:tr w:rsidR="008F4C97" w14:paraId="3350906C" w14:textId="77777777" w:rsidTr="00097647">
        <w:tc>
          <w:tcPr>
            <w:cnfStyle w:val="001000000000" w:firstRow="0" w:lastRow="0" w:firstColumn="1" w:lastColumn="0" w:oddVBand="0" w:evenVBand="0" w:oddHBand="0" w:evenHBand="0" w:firstRowFirstColumn="0" w:firstRowLastColumn="0" w:lastRowFirstColumn="0" w:lastRowLastColumn="0"/>
            <w:tcW w:w="4106" w:type="dxa"/>
          </w:tcPr>
          <w:p w14:paraId="65C997DC" w14:textId="77777777" w:rsidR="008F4C97" w:rsidRPr="00CF4767" w:rsidRDefault="008F4C97" w:rsidP="00F96A34">
            <w:pPr>
              <w:pStyle w:val="Tabletext"/>
              <w:rPr>
                <w:b w:val="0"/>
              </w:rPr>
            </w:pPr>
            <w:r w:rsidRPr="00CF4767">
              <w:t>Total</w:t>
            </w:r>
          </w:p>
        </w:tc>
        <w:tc>
          <w:tcPr>
            <w:tcW w:w="1701" w:type="dxa"/>
            <w:vAlign w:val="center"/>
          </w:tcPr>
          <w:p w14:paraId="01D3D227" w14:textId="77777777" w:rsidR="008F4C97" w:rsidRPr="003745E2" w:rsidRDefault="008F4C97" w:rsidP="00097647">
            <w:pPr>
              <w:pStyle w:val="Tabletext"/>
              <w:jc w:val="center"/>
              <w:cnfStyle w:val="000000000000" w:firstRow="0" w:lastRow="0" w:firstColumn="0" w:lastColumn="0" w:oddVBand="0" w:evenVBand="0" w:oddHBand="0" w:evenHBand="0" w:firstRowFirstColumn="0" w:firstRowLastColumn="0" w:lastRowFirstColumn="0" w:lastRowLastColumn="0"/>
            </w:pPr>
          </w:p>
        </w:tc>
        <w:tc>
          <w:tcPr>
            <w:tcW w:w="1418" w:type="dxa"/>
            <w:vAlign w:val="center"/>
          </w:tcPr>
          <w:p w14:paraId="3631E5FB" w14:textId="1AA97D3C" w:rsidR="008F4C97" w:rsidRPr="003745E2" w:rsidRDefault="00AC6B44" w:rsidP="00097647">
            <w:pPr>
              <w:pStyle w:val="Tabletext"/>
              <w:jc w:val="center"/>
              <w:cnfStyle w:val="000000000000" w:firstRow="0" w:lastRow="0" w:firstColumn="0" w:lastColumn="0" w:oddVBand="0" w:evenVBand="0" w:oddHBand="0" w:evenHBand="0" w:firstRowFirstColumn="0" w:firstRowLastColumn="0" w:lastRowFirstColumn="0" w:lastRowLastColumn="0"/>
            </w:pPr>
            <w:r>
              <w:t>$</w:t>
            </w:r>
            <w:r w:rsidR="008F4C97">
              <w:t>1378</w:t>
            </w:r>
          </w:p>
        </w:tc>
      </w:tr>
    </w:tbl>
    <w:p w14:paraId="34C15F98" w14:textId="13A85CE2" w:rsidR="008F4C97" w:rsidRDefault="00AC6B44" w:rsidP="00316FC7">
      <w:pPr>
        <w:pStyle w:val="Tablenotes1"/>
      </w:pPr>
      <w:r>
        <w:t>S</w:t>
      </w:r>
      <w:r w:rsidR="008F4C97" w:rsidRPr="00354C1D">
        <w:t xml:space="preserve">ource: </w:t>
      </w:r>
      <w:r w:rsidR="006A1BBD">
        <w:t>Second DCAR</w:t>
      </w:r>
      <w:r>
        <w:t xml:space="preserve"> Table 8, based on </w:t>
      </w:r>
      <w:r w:rsidR="008F4C97" w:rsidRPr="00354C1D">
        <w:t xml:space="preserve">email communication from </w:t>
      </w:r>
      <w:r w:rsidR="008F4C97">
        <w:t xml:space="preserve">the </w:t>
      </w:r>
      <w:r w:rsidR="008F4C97" w:rsidRPr="00354C1D">
        <w:t>Department</w:t>
      </w:r>
    </w:p>
    <w:p w14:paraId="27847712" w14:textId="3CFFF9FB" w:rsidR="001F6F26" w:rsidRDefault="001F6F26" w:rsidP="008F4C97">
      <w:pPr>
        <w:contextualSpacing/>
      </w:pPr>
      <w:r>
        <w:t xml:space="preserve">The </w:t>
      </w:r>
      <w:r w:rsidR="006A1BBD">
        <w:t>second DCAR</w:t>
      </w:r>
      <w:r>
        <w:t xml:space="preserve"> stated that longer term cost-offsets may </w:t>
      </w:r>
      <w:r w:rsidR="00421FF2">
        <w:t>arise</w:t>
      </w:r>
      <w:r>
        <w:t xml:space="preserve"> from a decline in NMD incidence with the availability of genetic testing of individuals (including prenatally detected cases), cascade testing and reproductive partner testing.</w:t>
      </w:r>
      <w:r w:rsidR="00421FF2">
        <w:t xml:space="preserve"> Other potential cost-offsets may arise but are difficult to identify and quantify, especially for </w:t>
      </w:r>
      <w:r w:rsidR="0008467F">
        <w:t xml:space="preserve">such </w:t>
      </w:r>
      <w:r w:rsidR="00421FF2">
        <w:t>a heterogeneous group of diseases</w:t>
      </w:r>
      <w:r w:rsidR="0008467F">
        <w:t xml:space="preserve"> of varying severity</w:t>
      </w:r>
      <w:r w:rsidR="00421FF2">
        <w:t>.</w:t>
      </w:r>
      <w:r w:rsidR="00227F2E">
        <w:t xml:space="preserve"> The cost offsets for prenatal tests only included the avoidance of muscle biopsies, whereas some of these pregnancies will not result in live births.</w:t>
      </w:r>
    </w:p>
    <w:p w14:paraId="35EA584C" w14:textId="0AB07ED1" w:rsidR="00BF236E" w:rsidRDefault="008F4C97" w:rsidP="00042B86">
      <w:pPr>
        <w:spacing w:before="240"/>
        <w:contextualSpacing/>
      </w:pPr>
      <w:r>
        <w:t xml:space="preserve">The </w:t>
      </w:r>
      <w:r w:rsidR="006A1BBD">
        <w:t>second DCAR</w:t>
      </w:r>
      <w:r w:rsidR="00AC6B44">
        <w:t xml:space="preserve"> stated that the </w:t>
      </w:r>
      <w:r>
        <w:t xml:space="preserve">other tests proposed in the clinical algorithm are still likely to be required for the diagnosis and management of NMDs. The </w:t>
      </w:r>
      <w:r w:rsidR="00D559ED">
        <w:t xml:space="preserve">first </w:t>
      </w:r>
      <w:r>
        <w:t xml:space="preserve">DCAR included the cost of one genetic counselling session as an associated cost, but this </w:t>
      </w:r>
      <w:r w:rsidR="00AC6B44">
        <w:t>was</w:t>
      </w:r>
      <w:r>
        <w:t xml:space="preserve"> </w:t>
      </w:r>
      <w:r w:rsidR="00AC6B44">
        <w:t xml:space="preserve">specifically </w:t>
      </w:r>
      <w:r>
        <w:t xml:space="preserve">not included in the </w:t>
      </w:r>
      <w:r w:rsidR="006A1BBD">
        <w:t>second DCAR</w:t>
      </w:r>
      <w:r>
        <w:t>’s</w:t>
      </w:r>
      <w:r w:rsidR="00AC6B44">
        <w:t xml:space="preserve"> estimation of financial impact</w:t>
      </w:r>
      <w:r w:rsidR="000008EB" w:rsidRPr="000008EB">
        <w:t xml:space="preserve"> </w:t>
      </w:r>
      <w:r w:rsidR="000008EB" w:rsidRPr="00570B15">
        <w:t xml:space="preserve">as </w:t>
      </w:r>
      <w:r w:rsidR="000008EB">
        <w:t xml:space="preserve">it considered </w:t>
      </w:r>
      <w:r w:rsidR="000008EB" w:rsidRPr="00570B15">
        <w:t xml:space="preserve">this would likely be more than offset by the shortened time to diagnosis, and uncertainty about the </w:t>
      </w:r>
      <w:r w:rsidR="000008EB">
        <w:t xml:space="preserve">capacity and </w:t>
      </w:r>
      <w:r w:rsidR="000008EB" w:rsidRPr="00570B15">
        <w:t>availability of such services as proposed</w:t>
      </w:r>
      <w:r w:rsidR="00AC6B44">
        <w:t>. T</w:t>
      </w:r>
      <w:r w:rsidR="00691B3B">
        <w:t>hough t</w:t>
      </w:r>
      <w:r w:rsidR="00AC6B44">
        <w:t xml:space="preserve">he </w:t>
      </w:r>
      <w:r w:rsidR="006A1BBD">
        <w:t>second DCAR</w:t>
      </w:r>
      <w:r w:rsidR="00AC6B44">
        <w:t xml:space="preserve"> noted i</w:t>
      </w:r>
      <w:r>
        <w:t>t is likely that genetic counselling appointments would be required for non-urgent testing, such as cascade te</w:t>
      </w:r>
      <w:r w:rsidR="00AC6B44">
        <w:t>sting for biological relatives.</w:t>
      </w:r>
      <w:r w:rsidR="004A705F">
        <w:t xml:space="preserve"> The assessment group for the </w:t>
      </w:r>
      <w:r w:rsidR="006A1BBD">
        <w:t>second DCAR</w:t>
      </w:r>
      <w:r w:rsidR="004A705F">
        <w:t xml:space="preserve"> stated in their post-ESC analyses that t</w:t>
      </w:r>
      <w:r w:rsidR="004A705F" w:rsidRPr="004A705F">
        <w:t>he costs associated with genetic counselling of index cases and family members will be offset by the reduction in clinic visits and diagnostic tests due to an earlier diagnosis with genetic testing of the index case.</w:t>
      </w:r>
    </w:p>
    <w:p w14:paraId="4BCFE21B" w14:textId="77777777" w:rsidR="006A401D" w:rsidRDefault="006A401D" w:rsidP="00042B86">
      <w:pPr>
        <w:pStyle w:val="Heading2"/>
        <w:spacing w:before="240"/>
      </w:pPr>
      <w:r>
        <w:t>Financial implications</w:t>
      </w:r>
    </w:p>
    <w:p w14:paraId="14F9DCCB" w14:textId="5D5C5F1E" w:rsidR="00C61622" w:rsidRDefault="00691B3B" w:rsidP="00AC6B44">
      <w:r>
        <w:t xml:space="preserve">The </w:t>
      </w:r>
      <w:r w:rsidR="006A1BBD">
        <w:t>second DCAR</w:t>
      </w:r>
      <w:r>
        <w:t xml:space="preserve"> no</w:t>
      </w:r>
      <w:r w:rsidR="00AC6B44">
        <w:t xml:space="preserve">ted that the </w:t>
      </w:r>
      <w:r w:rsidR="00D559ED">
        <w:t xml:space="preserve">first </w:t>
      </w:r>
      <w:r w:rsidR="00AC6B44">
        <w:t xml:space="preserve">DCAR’s estimated financial impact of testing affected individuals did not </w:t>
      </w:r>
      <w:proofErr w:type="gramStart"/>
      <w:r w:rsidR="00AC6B44">
        <w:t>take into account</w:t>
      </w:r>
      <w:proofErr w:type="gramEnd"/>
      <w:r w:rsidR="00AC6B44">
        <w:t xml:space="preserve"> the cost-offset of no longer requiring a muscle (or nerve) biopsy. The </w:t>
      </w:r>
      <w:r w:rsidR="006A1BBD">
        <w:t>second DCAR</w:t>
      </w:r>
      <w:r w:rsidR="00AC6B44">
        <w:t xml:space="preserve"> </w:t>
      </w:r>
      <w:r w:rsidR="004A705F">
        <w:t>revised the estimated</w:t>
      </w:r>
      <w:r w:rsidR="00AC6B44">
        <w:t xml:space="preserve"> financial impact </w:t>
      </w:r>
      <w:proofErr w:type="gramStart"/>
      <w:r w:rsidR="00AC6B44">
        <w:t>taking into account</w:t>
      </w:r>
      <w:proofErr w:type="gramEnd"/>
      <w:r w:rsidR="00AC6B44">
        <w:t xml:space="preserve"> that those </w:t>
      </w:r>
      <w:r w:rsidR="00E31938">
        <w:t xml:space="preserve">cases </w:t>
      </w:r>
      <w:r w:rsidR="00AC6B44">
        <w:t xml:space="preserve">diagnosed using genetic testing upfront would no longer need a muscle (or nerve) biopsy, costed at $1378 for each affected individual diagnosed by genetic testing </w:t>
      </w:r>
      <w:r w:rsidR="004A705F">
        <w:t>(</w:t>
      </w:r>
      <w:r w:rsidR="00AC6B44">
        <w:fldChar w:fldCharType="begin"/>
      </w:r>
      <w:r w:rsidR="00AC6B44">
        <w:instrText xml:space="preserve"> REF _Ref71057295 \h  \* MERGEFORMAT </w:instrText>
      </w:r>
      <w:r w:rsidR="00AC6B44">
        <w:fldChar w:fldCharType="separate"/>
      </w:r>
      <w:r w:rsidR="004205E1">
        <w:t xml:space="preserve">Table </w:t>
      </w:r>
      <w:r w:rsidR="004205E1">
        <w:rPr>
          <w:noProof/>
        </w:rPr>
        <w:t>7</w:t>
      </w:r>
      <w:r w:rsidR="00AC6B44">
        <w:fldChar w:fldCharType="end"/>
      </w:r>
      <w:r w:rsidR="004A705F">
        <w:t>)</w:t>
      </w:r>
      <w:r w:rsidR="00AC6B44">
        <w:t>. Th</w:t>
      </w:r>
      <w:r w:rsidR="0002226F">
        <w:t xml:space="preserve">e </w:t>
      </w:r>
      <w:r w:rsidR="006A1BBD">
        <w:t>second DCAR</w:t>
      </w:r>
      <w:r w:rsidR="00AC6B44">
        <w:t xml:space="preserve"> presented </w:t>
      </w:r>
      <w:r w:rsidR="0002226F">
        <w:t xml:space="preserve">this </w:t>
      </w:r>
      <w:r w:rsidR="00AC6B44">
        <w:t>with sensitivity analyses across a range of diagnostic yields to determine the potential range of any estimated financial impact per patient with an informative genetic test result</w:t>
      </w:r>
      <w:r w:rsidR="0002226F">
        <w:t xml:space="preserve"> (</w:t>
      </w:r>
      <w:r w:rsidR="003E46EE">
        <w:fldChar w:fldCharType="begin"/>
      </w:r>
      <w:r w:rsidR="003E46EE">
        <w:instrText xml:space="preserve"> REF _Ref76382585 </w:instrText>
      </w:r>
      <w:r w:rsidR="003E46EE">
        <w:fldChar w:fldCharType="separate"/>
      </w:r>
      <w:r w:rsidR="004205E1">
        <w:t xml:space="preserve">Figure </w:t>
      </w:r>
      <w:r w:rsidR="004205E1">
        <w:rPr>
          <w:noProof/>
        </w:rPr>
        <w:t>5</w:t>
      </w:r>
      <w:r w:rsidR="003E46EE">
        <w:rPr>
          <w:noProof/>
        </w:rPr>
        <w:fldChar w:fldCharType="end"/>
      </w:r>
      <w:r w:rsidR="0002226F">
        <w:t>)</w:t>
      </w:r>
      <w:r w:rsidR="00AC6B44">
        <w:t xml:space="preserve">. </w:t>
      </w:r>
    </w:p>
    <w:p w14:paraId="6F603815" w14:textId="77777777" w:rsidR="0002226F" w:rsidRDefault="0002226F" w:rsidP="00464B2A">
      <w:pPr>
        <w:keepNext/>
      </w:pPr>
      <w:r w:rsidRPr="0002226F">
        <w:rPr>
          <w:noProof/>
        </w:rPr>
        <w:lastRenderedPageBreak/>
        <w:drawing>
          <wp:inline distT="0" distB="0" distL="0" distR="0" wp14:anchorId="28A08D93" wp14:editId="7688C60B">
            <wp:extent cx="5731510" cy="2297430"/>
            <wp:effectExtent l="0" t="0" r="2540" b="0"/>
            <wp:docPr id="7" name="Picture 6" descr="Model used for the Second DCAR’s financial impact calculations.">
              <a:extLst xmlns:a="http://schemas.openxmlformats.org/drawingml/2006/main">
                <a:ext uri="{FF2B5EF4-FFF2-40B4-BE49-F238E27FC236}">
                  <a16:creationId xmlns:a16="http://schemas.microsoft.com/office/drawing/2014/main" id="{40F0928F-1A89-6B4C-B66E-2011D65A3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odel used for the Second DCAR’s financial impact calculations.">
                      <a:extLst>
                        <a:ext uri="{FF2B5EF4-FFF2-40B4-BE49-F238E27FC236}">
                          <a16:creationId xmlns:a16="http://schemas.microsoft.com/office/drawing/2014/main" id="{40F0928F-1A89-6B4C-B66E-2011D65A3D8C}"/>
                        </a:ext>
                      </a:extLst>
                    </pic:cNvPr>
                    <pic:cNvPicPr>
                      <a:picLocks noChangeAspect="1"/>
                    </pic:cNvPicPr>
                  </pic:nvPicPr>
                  <pic:blipFill>
                    <a:blip r:embed="rId18"/>
                    <a:stretch>
                      <a:fillRect/>
                    </a:stretch>
                  </pic:blipFill>
                  <pic:spPr>
                    <a:xfrm>
                      <a:off x="0" y="0"/>
                      <a:ext cx="5731510" cy="2297430"/>
                    </a:xfrm>
                    <a:prstGeom prst="rect">
                      <a:avLst/>
                    </a:prstGeom>
                  </pic:spPr>
                </pic:pic>
              </a:graphicData>
            </a:graphic>
          </wp:inline>
        </w:drawing>
      </w:r>
    </w:p>
    <w:p w14:paraId="506C2AC6" w14:textId="250AF7A4" w:rsidR="0002226F" w:rsidRDefault="0002226F" w:rsidP="0002226F">
      <w:pPr>
        <w:pStyle w:val="Caption"/>
        <w:jc w:val="left"/>
        <w:rPr>
          <w:b w:val="0"/>
          <w:bCs w:val="0"/>
        </w:rPr>
      </w:pPr>
      <w:bookmarkStart w:id="16" w:name="_Ref76382585"/>
      <w:r>
        <w:t xml:space="preserve">Figure </w:t>
      </w:r>
      <w:r w:rsidR="003E46EE">
        <w:fldChar w:fldCharType="begin"/>
      </w:r>
      <w:r w:rsidR="003E46EE">
        <w:instrText xml:space="preserve"> SEQ Figure \* ARABIC </w:instrText>
      </w:r>
      <w:r w:rsidR="003E46EE">
        <w:fldChar w:fldCharType="separate"/>
      </w:r>
      <w:r w:rsidR="004205E1">
        <w:rPr>
          <w:noProof/>
        </w:rPr>
        <w:t>5</w:t>
      </w:r>
      <w:r w:rsidR="003E46EE">
        <w:rPr>
          <w:noProof/>
        </w:rPr>
        <w:fldChar w:fldCharType="end"/>
      </w:r>
      <w:bookmarkEnd w:id="16"/>
      <w:r>
        <w:tab/>
        <w:t xml:space="preserve">Model used for the </w:t>
      </w:r>
      <w:r w:rsidR="006A1BBD">
        <w:t>Second DCAR</w:t>
      </w:r>
      <w:r>
        <w:t>’s financial impact calculations.</w:t>
      </w:r>
    </w:p>
    <w:p w14:paraId="73F594BB" w14:textId="60AE0B73" w:rsidR="0002226F" w:rsidRPr="0002226F" w:rsidRDefault="0002226F" w:rsidP="0002226F">
      <w:pPr>
        <w:pStyle w:val="Tablenotes1"/>
      </w:pPr>
      <w:r>
        <w:t>Source: ESC.</w:t>
      </w:r>
    </w:p>
    <w:p w14:paraId="06430F9D" w14:textId="2FCFF684" w:rsidR="00AC6B44" w:rsidRDefault="00AC6B44" w:rsidP="00AC6B44">
      <w:r>
        <w:t>A wide range of diagnostic yields were reported, so analyses incorporating a range from 2</w:t>
      </w:r>
      <w:r w:rsidR="00B426FB">
        <w:t>6</w:t>
      </w:r>
      <w:r w:rsidR="00272820">
        <w:t>%</w:t>
      </w:r>
      <w:r>
        <w:t xml:space="preserve"> to 78</w:t>
      </w:r>
      <w:r w:rsidR="00272820">
        <w:t>%</w:t>
      </w:r>
      <w:r>
        <w:t xml:space="preserve"> were included </w:t>
      </w:r>
      <w:r w:rsidR="0002226F">
        <w:t xml:space="preserve">in the </w:t>
      </w:r>
      <w:r w:rsidR="006A1BBD">
        <w:t>second DCAR</w:t>
      </w:r>
      <w:r w:rsidR="0002226F">
        <w:t xml:space="preserve"> </w:t>
      </w:r>
      <w:r>
        <w:t>for a prevalence of 60/100,000 and 80/100,000. The upper estimate of the diagnostic yield of 78</w:t>
      </w:r>
      <w:r w:rsidR="00272820">
        <w:t>%</w:t>
      </w:r>
      <w:r>
        <w:t xml:space="preserve"> was ascertained from the references excluded from the </w:t>
      </w:r>
      <w:r w:rsidR="00D559ED">
        <w:t xml:space="preserve">first </w:t>
      </w:r>
      <w:r>
        <w:t>DCAR’s literature search, being the upper quartile of the range of values</w:t>
      </w:r>
      <w:r w:rsidR="004B1A88">
        <w:t xml:space="preserve"> and from a highly selected/enriched population</w:t>
      </w:r>
      <w:r>
        <w:t>.</w:t>
      </w:r>
    </w:p>
    <w:p w14:paraId="7ED24493" w14:textId="73451CBC" w:rsidR="00215AC9" w:rsidRDefault="006C1B72" w:rsidP="00042B86">
      <w:pPr>
        <w:spacing w:before="240"/>
      </w:pPr>
      <w:r>
        <w:t xml:space="preserve">The assessment group for the </w:t>
      </w:r>
      <w:r w:rsidR="006A1BBD">
        <w:t>second DCAR</w:t>
      </w:r>
      <w:r>
        <w:t xml:space="preserve"> noted that it had taken a pragmatic approach to determining cost offsets, seeking to find those generalisations that would hold sufficiently to have a meaningful impact on the cost of testing. Using the above numbers of individuals to be tested (</w:t>
      </w:r>
      <w:r w:rsidR="003E46EE">
        <w:fldChar w:fldCharType="begin"/>
      </w:r>
      <w:r w:rsidR="003E46EE">
        <w:instrText xml:space="preserve"> REF _Ref74900776 </w:instrText>
      </w:r>
      <w:r w:rsidR="003E46EE">
        <w:fldChar w:fldCharType="separate"/>
      </w:r>
      <w:r w:rsidR="004205E1">
        <w:t xml:space="preserve">Table </w:t>
      </w:r>
      <w:r w:rsidR="004205E1">
        <w:rPr>
          <w:noProof/>
        </w:rPr>
        <w:t>6</w:t>
      </w:r>
      <w:r w:rsidR="003E46EE">
        <w:rPr>
          <w:noProof/>
        </w:rPr>
        <w:fldChar w:fldCharType="end"/>
      </w:r>
      <w:r>
        <w:t xml:space="preserve">), </w:t>
      </w:r>
      <w:r w:rsidR="00832535">
        <w:t xml:space="preserve">Table 8 </w:t>
      </w:r>
      <w:r w:rsidR="000008EB">
        <w:t xml:space="preserve">shows </w:t>
      </w:r>
      <w:r>
        <w:t xml:space="preserve">the estimated total cost of testing before any offsets (Row One), and the cost of testing </w:t>
      </w:r>
      <w:r w:rsidR="000008EB">
        <w:t>including</w:t>
      </w:r>
      <w:r>
        <w:t xml:space="preserve"> offset of the cost of muscle</w:t>
      </w:r>
      <w:r w:rsidR="00754F54">
        <w:t xml:space="preserve"> or nerve</w:t>
      </w:r>
      <w:r>
        <w:t xml:space="preserve"> biopsy (assumed in all patients; Row Two).</w:t>
      </w:r>
      <w:r w:rsidR="000008EB">
        <w:t xml:space="preserve"> </w:t>
      </w:r>
      <w:r w:rsidR="00AA4934">
        <w:t>ESC considered that t</w:t>
      </w:r>
      <w:r w:rsidR="000008EB" w:rsidRPr="000008EB">
        <w:t xml:space="preserve">he </w:t>
      </w:r>
      <w:r w:rsidR="003C74FF">
        <w:t xml:space="preserve">most </w:t>
      </w:r>
      <w:r w:rsidR="000008EB" w:rsidRPr="000008EB">
        <w:t>r</w:t>
      </w:r>
      <w:r w:rsidR="003C74FF">
        <w:t>ealistic</w:t>
      </w:r>
      <w:r w:rsidR="000008EB" w:rsidRPr="000008EB">
        <w:t xml:space="preserve"> estimated financial impact, </w:t>
      </w:r>
      <w:r w:rsidR="0002226F">
        <w:t xml:space="preserve">which was </w:t>
      </w:r>
      <w:r w:rsidR="00AA4934" w:rsidRPr="000008EB">
        <w:t xml:space="preserve">based on extrapolated </w:t>
      </w:r>
      <w:proofErr w:type="spellStart"/>
      <w:r w:rsidR="00AA4934" w:rsidRPr="000008EB">
        <w:t>PathWest</w:t>
      </w:r>
      <w:proofErr w:type="spellEnd"/>
      <w:r w:rsidR="00AA4934" w:rsidRPr="000008EB">
        <w:t xml:space="preserve"> data </w:t>
      </w:r>
      <w:r w:rsidR="00AA4934">
        <w:t xml:space="preserve">and </w:t>
      </w:r>
      <w:r w:rsidR="000008EB" w:rsidRPr="000008EB">
        <w:t>incorporating cost</w:t>
      </w:r>
      <w:r w:rsidR="000008EB">
        <w:t>-</w:t>
      </w:r>
      <w:r w:rsidR="000008EB" w:rsidRPr="000008EB">
        <w:t>offsets</w:t>
      </w:r>
      <w:r w:rsidR="00AA4934">
        <w:t>,</w:t>
      </w:r>
      <w:r w:rsidR="000008EB" w:rsidRPr="000008EB">
        <w:t xml:space="preserve"> </w:t>
      </w:r>
      <w:r w:rsidR="00AA4934">
        <w:t>wa</w:t>
      </w:r>
      <w:r w:rsidR="000008EB" w:rsidRPr="000008EB">
        <w:t xml:space="preserve">s </w:t>
      </w:r>
      <w:r w:rsidR="000008EB" w:rsidRPr="000008EB">
        <w:rPr>
          <w:b/>
          <w:bCs/>
        </w:rPr>
        <w:t>$2,11</w:t>
      </w:r>
      <w:r w:rsidR="000008EB">
        <w:rPr>
          <w:b/>
          <w:bCs/>
        </w:rPr>
        <w:t>5,190</w:t>
      </w:r>
      <w:r w:rsidR="003C74FF">
        <w:t>.</w:t>
      </w:r>
      <w:r w:rsidR="000008EB" w:rsidRPr="000008EB">
        <w:t xml:space="preserve"> The </w:t>
      </w:r>
      <w:r w:rsidR="006A1BBD">
        <w:t>second DCAR</w:t>
      </w:r>
      <w:r w:rsidR="00AA4934">
        <w:t xml:space="preserve"> stated that the </w:t>
      </w:r>
      <w:r w:rsidR="000008EB" w:rsidRPr="000008EB">
        <w:t xml:space="preserve">figure for cascade testing </w:t>
      </w:r>
      <w:r w:rsidR="00AA4934">
        <w:t>w</w:t>
      </w:r>
      <w:r w:rsidR="000008EB" w:rsidRPr="000008EB">
        <w:t xml:space="preserve">as not adjusted given there </w:t>
      </w:r>
      <w:r w:rsidR="00AA4934">
        <w:t>we</w:t>
      </w:r>
      <w:r w:rsidR="000008EB" w:rsidRPr="000008EB">
        <w:t>re large uncertainties about the proportion of patients likely to be tested.</w:t>
      </w:r>
      <w:r w:rsidR="00992D53">
        <w:t xml:space="preserve"> MSAC requested that the Department revise the financial analyses incorporating its updated </w:t>
      </w:r>
      <w:proofErr w:type="gramStart"/>
      <w:r w:rsidR="00992D53">
        <w:t>fees, and</w:t>
      </w:r>
      <w:proofErr w:type="gramEnd"/>
      <w:r w:rsidR="00992D53">
        <w:t xml:space="preserve"> bring the results for it to confirm the total budget impact is within an acceptable range.</w:t>
      </w:r>
      <w:bookmarkStart w:id="17" w:name="_Ref74665432"/>
    </w:p>
    <w:p w14:paraId="36AE430B" w14:textId="6B0A49CA" w:rsidR="001C1094" w:rsidRPr="001C1094" w:rsidRDefault="00215AC9" w:rsidP="001C1094">
      <w:pPr>
        <w:spacing w:before="240"/>
        <w:rPr>
          <w:szCs w:val="24"/>
        </w:rPr>
      </w:pPr>
      <w:r w:rsidRPr="00276109">
        <w:t xml:space="preserve">The </w:t>
      </w:r>
      <w:r w:rsidR="00CB296F">
        <w:t>revised</w:t>
      </w:r>
      <w:r w:rsidRPr="00276109">
        <w:t xml:space="preserve"> </w:t>
      </w:r>
      <w:r w:rsidRPr="00C11B22">
        <w:t>financial analyses incorporating MSAC’s revised fees are shown below</w:t>
      </w:r>
      <w:r w:rsidR="00276109" w:rsidRPr="00C11B22">
        <w:t>,</w:t>
      </w:r>
      <w:r w:rsidRPr="00C11B22">
        <w:t xml:space="preserve"> for the estimated cost of genetic testing only over five years (</w:t>
      </w:r>
      <w:r w:rsidR="00832535">
        <w:t>Table 8</w:t>
      </w:r>
      <w:r w:rsidRPr="00C11B22">
        <w:t>), and updated net cost including offsets (</w:t>
      </w:r>
      <w:r w:rsidR="00832535">
        <w:t>Table 9</w:t>
      </w:r>
      <w:r w:rsidRPr="00276109">
        <w:t>).</w:t>
      </w:r>
      <w:bookmarkStart w:id="18" w:name="_Ref81555939"/>
      <w:r w:rsidR="001C1094">
        <w:br w:type="page"/>
      </w:r>
    </w:p>
    <w:p w14:paraId="424625BB" w14:textId="7EAE7835" w:rsidR="00276109" w:rsidRDefault="00276109" w:rsidP="00C11B22">
      <w:pPr>
        <w:pStyle w:val="Caption"/>
        <w:spacing w:before="240"/>
      </w:pPr>
      <w:r>
        <w:lastRenderedPageBreak/>
        <w:t xml:space="preserve">Table </w:t>
      </w:r>
      <w:r w:rsidR="003E46EE">
        <w:fldChar w:fldCharType="begin"/>
      </w:r>
      <w:r w:rsidR="003E46EE">
        <w:instrText xml:space="preserve"> SEQ Table \* ARABIC </w:instrText>
      </w:r>
      <w:r w:rsidR="003E46EE">
        <w:fldChar w:fldCharType="separate"/>
      </w:r>
      <w:r w:rsidR="004205E1">
        <w:rPr>
          <w:noProof/>
        </w:rPr>
        <w:t>8</w:t>
      </w:r>
      <w:r w:rsidR="003E46EE">
        <w:rPr>
          <w:noProof/>
        </w:rPr>
        <w:fldChar w:fldCharType="end"/>
      </w:r>
      <w:bookmarkEnd w:id="18"/>
      <w:r>
        <w:t xml:space="preserve"> Revised cost of NMD genetic testing over five years (testing only), using MSAC’s supported fees</w:t>
      </w:r>
    </w:p>
    <w:tbl>
      <w:tblPr>
        <w:tblStyle w:val="TableGrid1"/>
        <w:tblW w:w="8653" w:type="dxa"/>
        <w:tblCellMar>
          <w:left w:w="28" w:type="dxa"/>
          <w:right w:w="28" w:type="dxa"/>
        </w:tblCellMar>
        <w:tblLook w:val="04A0" w:firstRow="1" w:lastRow="0" w:firstColumn="1" w:lastColumn="0" w:noHBand="0" w:noVBand="1"/>
        <w:tblDescription w:val="Revised cost of NMD genetic testing over five years (testing only), using MSAC’s supported fees"/>
      </w:tblPr>
      <w:tblGrid>
        <w:gridCol w:w="1979"/>
        <w:gridCol w:w="1112"/>
        <w:gridCol w:w="1112"/>
        <w:gridCol w:w="1112"/>
        <w:gridCol w:w="1113"/>
        <w:gridCol w:w="1112"/>
        <w:gridCol w:w="1113"/>
      </w:tblGrid>
      <w:tr w:rsidR="00E85ED2" w:rsidRPr="001C1094" w14:paraId="4A7DDF05" w14:textId="77777777" w:rsidTr="006F6993">
        <w:tc>
          <w:tcPr>
            <w:tcW w:w="1979" w:type="dxa"/>
            <w:vMerge w:val="restart"/>
            <w:shd w:val="clear" w:color="auto" w:fill="auto"/>
            <w:vAlign w:val="center"/>
          </w:tcPr>
          <w:p w14:paraId="182254AC" w14:textId="77777777" w:rsidR="00276109" w:rsidRPr="001C1094" w:rsidRDefault="00276109" w:rsidP="006F6993">
            <w:pPr>
              <w:pStyle w:val="Tabletext"/>
              <w:keepNext/>
              <w:rPr>
                <w:szCs w:val="20"/>
              </w:rPr>
            </w:pPr>
          </w:p>
        </w:tc>
        <w:tc>
          <w:tcPr>
            <w:tcW w:w="1112" w:type="dxa"/>
            <w:vMerge w:val="restart"/>
            <w:vAlign w:val="center"/>
          </w:tcPr>
          <w:p w14:paraId="781706E0" w14:textId="77777777" w:rsidR="00276109" w:rsidRPr="001C1094" w:rsidRDefault="00276109" w:rsidP="006F6993">
            <w:pPr>
              <w:pStyle w:val="81Tableheaders"/>
              <w:spacing w:before="40" w:after="40"/>
              <w:rPr>
                <w:sz w:val="20"/>
              </w:rPr>
            </w:pPr>
            <w:r w:rsidRPr="001C1094">
              <w:rPr>
                <w:sz w:val="20"/>
              </w:rPr>
              <w:t>Fee</w:t>
            </w:r>
          </w:p>
        </w:tc>
        <w:tc>
          <w:tcPr>
            <w:tcW w:w="1112" w:type="dxa"/>
            <w:shd w:val="clear" w:color="auto" w:fill="auto"/>
            <w:vAlign w:val="center"/>
          </w:tcPr>
          <w:p w14:paraId="266FA8A7" w14:textId="77777777" w:rsidR="00276109" w:rsidRPr="001C1094" w:rsidRDefault="00276109" w:rsidP="006F6993">
            <w:pPr>
              <w:pStyle w:val="81Tableheaders"/>
              <w:spacing w:before="40" w:after="40"/>
              <w:rPr>
                <w:sz w:val="20"/>
              </w:rPr>
            </w:pPr>
            <w:r w:rsidRPr="001C1094">
              <w:rPr>
                <w:sz w:val="20"/>
              </w:rPr>
              <w:t>Yr1</w:t>
            </w:r>
          </w:p>
        </w:tc>
        <w:tc>
          <w:tcPr>
            <w:tcW w:w="1112" w:type="dxa"/>
            <w:shd w:val="clear" w:color="auto" w:fill="auto"/>
            <w:vAlign w:val="center"/>
          </w:tcPr>
          <w:p w14:paraId="24A5CA17" w14:textId="77777777" w:rsidR="00276109" w:rsidRPr="001C1094" w:rsidRDefault="00276109" w:rsidP="006F6993">
            <w:pPr>
              <w:pStyle w:val="81Tableheaders"/>
              <w:spacing w:before="40" w:after="40"/>
              <w:rPr>
                <w:sz w:val="20"/>
              </w:rPr>
            </w:pPr>
            <w:r w:rsidRPr="001C1094">
              <w:rPr>
                <w:sz w:val="20"/>
              </w:rPr>
              <w:t>Yr2</w:t>
            </w:r>
          </w:p>
        </w:tc>
        <w:tc>
          <w:tcPr>
            <w:tcW w:w="1113" w:type="dxa"/>
            <w:shd w:val="clear" w:color="auto" w:fill="auto"/>
            <w:vAlign w:val="center"/>
          </w:tcPr>
          <w:p w14:paraId="07468969" w14:textId="77777777" w:rsidR="00276109" w:rsidRPr="001C1094" w:rsidRDefault="00276109" w:rsidP="006F6993">
            <w:pPr>
              <w:pStyle w:val="81Tableheaders"/>
              <w:spacing w:before="40" w:after="40"/>
              <w:rPr>
                <w:sz w:val="20"/>
              </w:rPr>
            </w:pPr>
            <w:r w:rsidRPr="001C1094">
              <w:rPr>
                <w:sz w:val="20"/>
              </w:rPr>
              <w:t>Yr3</w:t>
            </w:r>
          </w:p>
        </w:tc>
        <w:tc>
          <w:tcPr>
            <w:tcW w:w="1112" w:type="dxa"/>
            <w:shd w:val="clear" w:color="auto" w:fill="auto"/>
            <w:vAlign w:val="center"/>
          </w:tcPr>
          <w:p w14:paraId="38122556" w14:textId="77777777" w:rsidR="00276109" w:rsidRPr="001C1094" w:rsidRDefault="00276109" w:rsidP="006F6993">
            <w:pPr>
              <w:pStyle w:val="81Tableheaders"/>
              <w:spacing w:before="40" w:after="40"/>
              <w:rPr>
                <w:sz w:val="20"/>
              </w:rPr>
            </w:pPr>
            <w:r w:rsidRPr="001C1094">
              <w:rPr>
                <w:sz w:val="20"/>
              </w:rPr>
              <w:t>Yr4</w:t>
            </w:r>
          </w:p>
        </w:tc>
        <w:tc>
          <w:tcPr>
            <w:tcW w:w="1113" w:type="dxa"/>
            <w:shd w:val="clear" w:color="auto" w:fill="auto"/>
            <w:vAlign w:val="center"/>
          </w:tcPr>
          <w:p w14:paraId="2B2F23D1" w14:textId="77777777" w:rsidR="00276109" w:rsidRPr="001C1094" w:rsidRDefault="00276109" w:rsidP="006F6993">
            <w:pPr>
              <w:pStyle w:val="81Tableheaders"/>
              <w:spacing w:before="40" w:after="40"/>
              <w:rPr>
                <w:sz w:val="20"/>
              </w:rPr>
            </w:pPr>
            <w:r w:rsidRPr="001C1094">
              <w:rPr>
                <w:sz w:val="20"/>
              </w:rPr>
              <w:t>Yr5</w:t>
            </w:r>
          </w:p>
        </w:tc>
      </w:tr>
      <w:tr w:rsidR="00E85ED2" w:rsidRPr="001C1094" w14:paraId="4E8ADFCC" w14:textId="77777777" w:rsidTr="006F6993">
        <w:tc>
          <w:tcPr>
            <w:tcW w:w="1979" w:type="dxa"/>
            <w:vMerge/>
            <w:shd w:val="clear" w:color="auto" w:fill="auto"/>
          </w:tcPr>
          <w:p w14:paraId="59E19157" w14:textId="77777777" w:rsidR="00276109" w:rsidRPr="001C1094" w:rsidRDefault="00276109" w:rsidP="006F6993">
            <w:pPr>
              <w:pStyle w:val="Tabletext"/>
              <w:keepNext/>
              <w:rPr>
                <w:b/>
                <w:bCs/>
                <w:i/>
                <w:iCs/>
                <w:szCs w:val="20"/>
              </w:rPr>
            </w:pPr>
          </w:p>
        </w:tc>
        <w:tc>
          <w:tcPr>
            <w:tcW w:w="1112" w:type="dxa"/>
            <w:vMerge/>
          </w:tcPr>
          <w:p w14:paraId="3D919E3B" w14:textId="77777777" w:rsidR="00276109" w:rsidRPr="001C1094" w:rsidRDefault="00276109" w:rsidP="006F6993">
            <w:pPr>
              <w:pStyle w:val="81Tableheaders"/>
              <w:spacing w:before="40" w:after="40"/>
              <w:rPr>
                <w:sz w:val="20"/>
              </w:rPr>
            </w:pPr>
          </w:p>
        </w:tc>
        <w:tc>
          <w:tcPr>
            <w:tcW w:w="1112" w:type="dxa"/>
            <w:shd w:val="clear" w:color="auto" w:fill="auto"/>
            <w:vAlign w:val="center"/>
          </w:tcPr>
          <w:p w14:paraId="16701F4B" w14:textId="77777777" w:rsidR="00276109" w:rsidRPr="001C1094" w:rsidRDefault="00276109" w:rsidP="006F6993">
            <w:pPr>
              <w:pStyle w:val="81Tableheaders"/>
              <w:spacing w:before="40" w:after="40"/>
              <w:rPr>
                <w:sz w:val="20"/>
              </w:rPr>
            </w:pPr>
            <w:r w:rsidRPr="001C1094">
              <w:rPr>
                <w:sz w:val="20"/>
              </w:rPr>
              <w:t>2021-22</w:t>
            </w:r>
          </w:p>
        </w:tc>
        <w:tc>
          <w:tcPr>
            <w:tcW w:w="1112" w:type="dxa"/>
            <w:shd w:val="clear" w:color="auto" w:fill="auto"/>
            <w:vAlign w:val="center"/>
          </w:tcPr>
          <w:p w14:paraId="666D3C43" w14:textId="77777777" w:rsidR="00276109" w:rsidRPr="001C1094" w:rsidRDefault="00276109" w:rsidP="006F6993">
            <w:pPr>
              <w:pStyle w:val="81Tableheaders"/>
              <w:spacing w:before="40" w:after="40"/>
              <w:rPr>
                <w:sz w:val="20"/>
              </w:rPr>
            </w:pPr>
            <w:r w:rsidRPr="001C1094">
              <w:rPr>
                <w:sz w:val="20"/>
              </w:rPr>
              <w:t>2022-23</w:t>
            </w:r>
          </w:p>
        </w:tc>
        <w:tc>
          <w:tcPr>
            <w:tcW w:w="1113" w:type="dxa"/>
            <w:shd w:val="clear" w:color="auto" w:fill="auto"/>
            <w:vAlign w:val="center"/>
          </w:tcPr>
          <w:p w14:paraId="07ADC324" w14:textId="77777777" w:rsidR="00276109" w:rsidRPr="001C1094" w:rsidRDefault="00276109" w:rsidP="006F6993">
            <w:pPr>
              <w:pStyle w:val="81Tableheaders"/>
              <w:spacing w:before="40" w:after="40"/>
              <w:rPr>
                <w:sz w:val="20"/>
              </w:rPr>
            </w:pPr>
            <w:r w:rsidRPr="001C1094">
              <w:rPr>
                <w:sz w:val="20"/>
              </w:rPr>
              <w:t>2023-24</w:t>
            </w:r>
          </w:p>
        </w:tc>
        <w:tc>
          <w:tcPr>
            <w:tcW w:w="1112" w:type="dxa"/>
            <w:shd w:val="clear" w:color="auto" w:fill="auto"/>
            <w:vAlign w:val="center"/>
          </w:tcPr>
          <w:p w14:paraId="3023E5AA" w14:textId="77777777" w:rsidR="00276109" w:rsidRPr="001C1094" w:rsidRDefault="00276109" w:rsidP="006F6993">
            <w:pPr>
              <w:pStyle w:val="81Tableheaders"/>
              <w:spacing w:before="40" w:after="40"/>
              <w:rPr>
                <w:sz w:val="20"/>
              </w:rPr>
            </w:pPr>
            <w:r w:rsidRPr="001C1094">
              <w:rPr>
                <w:sz w:val="20"/>
              </w:rPr>
              <w:t>2024-25</w:t>
            </w:r>
          </w:p>
        </w:tc>
        <w:tc>
          <w:tcPr>
            <w:tcW w:w="1113" w:type="dxa"/>
            <w:shd w:val="clear" w:color="auto" w:fill="auto"/>
            <w:vAlign w:val="center"/>
          </w:tcPr>
          <w:p w14:paraId="6C2E7D54" w14:textId="77777777" w:rsidR="00276109" w:rsidRPr="001C1094" w:rsidRDefault="00276109" w:rsidP="006F6993">
            <w:pPr>
              <w:pStyle w:val="81Tableheaders"/>
              <w:spacing w:before="40" w:after="40"/>
              <w:rPr>
                <w:sz w:val="20"/>
              </w:rPr>
            </w:pPr>
            <w:r w:rsidRPr="001C1094">
              <w:rPr>
                <w:sz w:val="20"/>
              </w:rPr>
              <w:t>2025-26</w:t>
            </w:r>
          </w:p>
        </w:tc>
      </w:tr>
      <w:tr w:rsidR="00E85ED2" w:rsidRPr="001C1094" w14:paraId="03460D38" w14:textId="77777777" w:rsidTr="006F6993">
        <w:tc>
          <w:tcPr>
            <w:tcW w:w="1979" w:type="dxa"/>
            <w:shd w:val="clear" w:color="auto" w:fill="auto"/>
          </w:tcPr>
          <w:p w14:paraId="40B87EAF" w14:textId="77777777" w:rsidR="00276109" w:rsidRPr="001C1094" w:rsidRDefault="00276109" w:rsidP="006F6993">
            <w:pPr>
              <w:pStyle w:val="82Tabletext"/>
              <w:spacing w:before="40" w:after="40"/>
              <w:rPr>
                <w:sz w:val="20"/>
              </w:rPr>
            </w:pPr>
            <w:r w:rsidRPr="001C1094">
              <w:rPr>
                <w:sz w:val="20"/>
              </w:rPr>
              <w:t xml:space="preserve">No. AAAA tests </w:t>
            </w:r>
          </w:p>
        </w:tc>
        <w:tc>
          <w:tcPr>
            <w:tcW w:w="1112" w:type="dxa"/>
          </w:tcPr>
          <w:p w14:paraId="00E0D6CC" w14:textId="77777777" w:rsidR="00276109" w:rsidRPr="001C1094" w:rsidRDefault="00276109" w:rsidP="006F6993">
            <w:pPr>
              <w:pStyle w:val="82Tabletext"/>
              <w:spacing w:before="40" w:after="40"/>
              <w:rPr>
                <w:sz w:val="20"/>
              </w:rPr>
            </w:pPr>
          </w:p>
        </w:tc>
        <w:tc>
          <w:tcPr>
            <w:tcW w:w="1112" w:type="dxa"/>
            <w:shd w:val="clear" w:color="auto" w:fill="auto"/>
          </w:tcPr>
          <w:p w14:paraId="4C9CEDB5" w14:textId="77777777" w:rsidR="00276109" w:rsidRPr="001C1094" w:rsidRDefault="00276109" w:rsidP="006F6993">
            <w:pPr>
              <w:pStyle w:val="82Tabletext"/>
              <w:spacing w:before="40" w:after="40"/>
              <w:rPr>
                <w:sz w:val="20"/>
              </w:rPr>
            </w:pPr>
            <w:r w:rsidRPr="001C1094">
              <w:rPr>
                <w:sz w:val="20"/>
              </w:rPr>
              <w:t>4472</w:t>
            </w:r>
          </w:p>
        </w:tc>
        <w:tc>
          <w:tcPr>
            <w:tcW w:w="1112" w:type="dxa"/>
            <w:shd w:val="clear" w:color="auto" w:fill="auto"/>
          </w:tcPr>
          <w:p w14:paraId="3B5808EE" w14:textId="77777777" w:rsidR="00276109" w:rsidRPr="001C1094" w:rsidRDefault="00276109" w:rsidP="006F6993">
            <w:pPr>
              <w:pStyle w:val="82Tabletext"/>
              <w:spacing w:before="40" w:after="40"/>
              <w:rPr>
                <w:sz w:val="20"/>
              </w:rPr>
            </w:pPr>
            <w:r w:rsidRPr="001C1094">
              <w:rPr>
                <w:sz w:val="20"/>
              </w:rPr>
              <w:t>5106</w:t>
            </w:r>
          </w:p>
        </w:tc>
        <w:tc>
          <w:tcPr>
            <w:tcW w:w="1113" w:type="dxa"/>
            <w:shd w:val="clear" w:color="auto" w:fill="auto"/>
          </w:tcPr>
          <w:p w14:paraId="3B5B5F0A" w14:textId="77777777" w:rsidR="00276109" w:rsidRPr="001C1094" w:rsidRDefault="00276109" w:rsidP="006F6993">
            <w:pPr>
              <w:pStyle w:val="82Tabletext"/>
              <w:spacing w:before="40" w:after="40"/>
              <w:rPr>
                <w:sz w:val="20"/>
              </w:rPr>
            </w:pPr>
            <w:r w:rsidRPr="001C1094">
              <w:rPr>
                <w:sz w:val="20"/>
              </w:rPr>
              <w:t>5454</w:t>
            </w:r>
          </w:p>
        </w:tc>
        <w:tc>
          <w:tcPr>
            <w:tcW w:w="1112" w:type="dxa"/>
            <w:shd w:val="clear" w:color="auto" w:fill="auto"/>
          </w:tcPr>
          <w:p w14:paraId="3B59CE89" w14:textId="77777777" w:rsidR="00276109" w:rsidRPr="001C1094" w:rsidRDefault="00276109" w:rsidP="006F6993">
            <w:pPr>
              <w:pStyle w:val="82Tabletext"/>
              <w:spacing w:before="40" w:after="40"/>
              <w:rPr>
                <w:sz w:val="20"/>
              </w:rPr>
            </w:pPr>
            <w:r w:rsidRPr="001C1094">
              <w:rPr>
                <w:sz w:val="20"/>
              </w:rPr>
              <w:t>5499</w:t>
            </w:r>
          </w:p>
        </w:tc>
        <w:tc>
          <w:tcPr>
            <w:tcW w:w="1113" w:type="dxa"/>
            <w:shd w:val="clear" w:color="auto" w:fill="auto"/>
          </w:tcPr>
          <w:p w14:paraId="7F5537AE" w14:textId="77777777" w:rsidR="00276109" w:rsidRPr="001C1094" w:rsidRDefault="00276109" w:rsidP="006F6993">
            <w:pPr>
              <w:pStyle w:val="82Tabletext"/>
              <w:spacing w:before="40" w:after="40"/>
              <w:rPr>
                <w:sz w:val="20"/>
              </w:rPr>
            </w:pPr>
            <w:r w:rsidRPr="001C1094">
              <w:rPr>
                <w:sz w:val="20"/>
              </w:rPr>
              <w:t>5285</w:t>
            </w:r>
          </w:p>
        </w:tc>
      </w:tr>
      <w:tr w:rsidR="00E85ED2" w:rsidRPr="001C1094" w14:paraId="0A00D187" w14:textId="77777777" w:rsidTr="006F6993">
        <w:tc>
          <w:tcPr>
            <w:tcW w:w="1979" w:type="dxa"/>
            <w:shd w:val="clear" w:color="auto" w:fill="auto"/>
          </w:tcPr>
          <w:p w14:paraId="3175CC53" w14:textId="03CA3A84" w:rsidR="00276109" w:rsidRPr="001C1094" w:rsidRDefault="00276109" w:rsidP="006F6993">
            <w:pPr>
              <w:pStyle w:val="82Tabletext"/>
              <w:spacing w:before="40" w:after="40"/>
              <w:rPr>
                <w:sz w:val="20"/>
              </w:rPr>
            </w:pPr>
            <w:r w:rsidRPr="001C1094">
              <w:rPr>
                <w:sz w:val="20"/>
              </w:rPr>
              <w:t>Cost of AAAA tests</w:t>
            </w:r>
          </w:p>
        </w:tc>
        <w:tc>
          <w:tcPr>
            <w:tcW w:w="1112" w:type="dxa"/>
          </w:tcPr>
          <w:p w14:paraId="0F2C61BA" w14:textId="77777777" w:rsidR="00276109" w:rsidRPr="001C1094" w:rsidRDefault="00276109" w:rsidP="006F6993">
            <w:pPr>
              <w:pStyle w:val="82Tabletext"/>
              <w:spacing w:before="40" w:after="40"/>
              <w:rPr>
                <w:sz w:val="20"/>
              </w:rPr>
            </w:pPr>
            <w:r w:rsidRPr="001C1094">
              <w:rPr>
                <w:sz w:val="20"/>
              </w:rPr>
              <w:t>$1200</w:t>
            </w:r>
          </w:p>
        </w:tc>
        <w:tc>
          <w:tcPr>
            <w:tcW w:w="1112" w:type="dxa"/>
            <w:shd w:val="clear" w:color="auto" w:fill="auto"/>
          </w:tcPr>
          <w:p w14:paraId="34ADD152" w14:textId="77777777" w:rsidR="00276109" w:rsidRPr="001C1094" w:rsidRDefault="00276109" w:rsidP="006F6993">
            <w:pPr>
              <w:pStyle w:val="82Tabletext"/>
              <w:spacing w:before="40" w:after="40"/>
              <w:rPr>
                <w:sz w:val="20"/>
              </w:rPr>
            </w:pPr>
            <w:r w:rsidRPr="001C1094">
              <w:rPr>
                <w:sz w:val="20"/>
              </w:rPr>
              <w:t>$5,366,219</w:t>
            </w:r>
          </w:p>
        </w:tc>
        <w:tc>
          <w:tcPr>
            <w:tcW w:w="1112" w:type="dxa"/>
            <w:shd w:val="clear" w:color="auto" w:fill="auto"/>
          </w:tcPr>
          <w:p w14:paraId="0B440BD6" w14:textId="77777777" w:rsidR="00276109" w:rsidRPr="001C1094" w:rsidRDefault="00276109" w:rsidP="006F6993">
            <w:pPr>
              <w:pStyle w:val="82Tabletext"/>
              <w:spacing w:before="40" w:after="40"/>
              <w:rPr>
                <w:sz w:val="20"/>
              </w:rPr>
            </w:pPr>
            <w:r w:rsidRPr="001C1094">
              <w:rPr>
                <w:sz w:val="20"/>
              </w:rPr>
              <w:t>$6,127,713</w:t>
            </w:r>
          </w:p>
        </w:tc>
        <w:tc>
          <w:tcPr>
            <w:tcW w:w="1113" w:type="dxa"/>
            <w:shd w:val="clear" w:color="auto" w:fill="auto"/>
          </w:tcPr>
          <w:p w14:paraId="4C86CA70" w14:textId="77777777" w:rsidR="00276109" w:rsidRPr="001C1094" w:rsidRDefault="00276109" w:rsidP="006F6993">
            <w:pPr>
              <w:pStyle w:val="82Tabletext"/>
              <w:spacing w:before="40" w:after="40"/>
              <w:rPr>
                <w:sz w:val="20"/>
              </w:rPr>
            </w:pPr>
            <w:r w:rsidRPr="001C1094">
              <w:rPr>
                <w:sz w:val="20"/>
              </w:rPr>
              <w:t>$6,545,153</w:t>
            </w:r>
          </w:p>
        </w:tc>
        <w:tc>
          <w:tcPr>
            <w:tcW w:w="1112" w:type="dxa"/>
            <w:shd w:val="clear" w:color="auto" w:fill="auto"/>
          </w:tcPr>
          <w:p w14:paraId="6A10FF48" w14:textId="77777777" w:rsidR="00276109" w:rsidRPr="001C1094" w:rsidRDefault="00276109" w:rsidP="006F6993">
            <w:pPr>
              <w:pStyle w:val="82Tabletext"/>
              <w:spacing w:before="40" w:after="40"/>
              <w:rPr>
                <w:sz w:val="20"/>
              </w:rPr>
            </w:pPr>
            <w:r w:rsidRPr="001C1094">
              <w:rPr>
                <w:sz w:val="20"/>
              </w:rPr>
              <w:t>$6,598,385</w:t>
            </w:r>
          </w:p>
        </w:tc>
        <w:tc>
          <w:tcPr>
            <w:tcW w:w="1113" w:type="dxa"/>
            <w:shd w:val="clear" w:color="auto" w:fill="auto"/>
          </w:tcPr>
          <w:p w14:paraId="291E49C5" w14:textId="77777777" w:rsidR="00276109" w:rsidRPr="001C1094" w:rsidRDefault="00276109" w:rsidP="006F6993">
            <w:pPr>
              <w:pStyle w:val="82Tabletext"/>
              <w:spacing w:before="40" w:after="40"/>
              <w:rPr>
                <w:sz w:val="20"/>
              </w:rPr>
            </w:pPr>
            <w:r w:rsidRPr="001C1094">
              <w:rPr>
                <w:sz w:val="20"/>
              </w:rPr>
              <w:t>$6,341,749</w:t>
            </w:r>
          </w:p>
        </w:tc>
      </w:tr>
      <w:tr w:rsidR="00E85ED2" w:rsidRPr="001C1094" w14:paraId="7E07F4C6" w14:textId="77777777" w:rsidTr="006F6993">
        <w:tc>
          <w:tcPr>
            <w:tcW w:w="1979" w:type="dxa"/>
            <w:shd w:val="clear" w:color="auto" w:fill="auto"/>
          </w:tcPr>
          <w:p w14:paraId="5C72DC0B" w14:textId="77777777" w:rsidR="00276109" w:rsidRPr="001C1094" w:rsidRDefault="00276109" w:rsidP="006F6993">
            <w:pPr>
              <w:pStyle w:val="82Tabletext"/>
              <w:spacing w:before="40" w:after="40"/>
              <w:rPr>
                <w:sz w:val="20"/>
              </w:rPr>
            </w:pPr>
            <w:r w:rsidRPr="001C1094">
              <w:rPr>
                <w:sz w:val="20"/>
              </w:rPr>
              <w:t xml:space="preserve">No. BBBB tests </w:t>
            </w:r>
          </w:p>
        </w:tc>
        <w:tc>
          <w:tcPr>
            <w:tcW w:w="1112" w:type="dxa"/>
          </w:tcPr>
          <w:p w14:paraId="3D706E15" w14:textId="77777777" w:rsidR="00276109" w:rsidRPr="001C1094" w:rsidRDefault="00276109" w:rsidP="006F6993">
            <w:pPr>
              <w:pStyle w:val="82Tabletext"/>
              <w:spacing w:before="40" w:after="40"/>
              <w:rPr>
                <w:sz w:val="20"/>
              </w:rPr>
            </w:pPr>
          </w:p>
        </w:tc>
        <w:tc>
          <w:tcPr>
            <w:tcW w:w="1112" w:type="dxa"/>
            <w:shd w:val="clear" w:color="auto" w:fill="auto"/>
          </w:tcPr>
          <w:p w14:paraId="1D3BFE89" w14:textId="77777777" w:rsidR="00276109" w:rsidRPr="001C1094" w:rsidRDefault="00276109" w:rsidP="006F6993">
            <w:pPr>
              <w:pStyle w:val="82Tabletext"/>
              <w:spacing w:before="40" w:after="40"/>
              <w:rPr>
                <w:sz w:val="20"/>
              </w:rPr>
            </w:pPr>
            <w:r w:rsidRPr="001C1094">
              <w:rPr>
                <w:sz w:val="20"/>
              </w:rPr>
              <w:t>2285</w:t>
            </w:r>
          </w:p>
        </w:tc>
        <w:tc>
          <w:tcPr>
            <w:tcW w:w="1112" w:type="dxa"/>
            <w:shd w:val="clear" w:color="auto" w:fill="auto"/>
          </w:tcPr>
          <w:p w14:paraId="21A09E9F" w14:textId="77777777" w:rsidR="00276109" w:rsidRPr="001C1094" w:rsidRDefault="00276109" w:rsidP="006F6993">
            <w:pPr>
              <w:pStyle w:val="82Tabletext"/>
              <w:spacing w:before="40" w:after="40"/>
              <w:rPr>
                <w:sz w:val="20"/>
              </w:rPr>
            </w:pPr>
            <w:r w:rsidRPr="001C1094">
              <w:rPr>
                <w:sz w:val="20"/>
              </w:rPr>
              <w:t>2593</w:t>
            </w:r>
          </w:p>
        </w:tc>
        <w:tc>
          <w:tcPr>
            <w:tcW w:w="1113" w:type="dxa"/>
            <w:shd w:val="clear" w:color="auto" w:fill="auto"/>
          </w:tcPr>
          <w:p w14:paraId="29F1ECDD" w14:textId="77777777" w:rsidR="00276109" w:rsidRPr="001C1094" w:rsidRDefault="00276109" w:rsidP="006F6993">
            <w:pPr>
              <w:pStyle w:val="82Tabletext"/>
              <w:spacing w:before="40" w:after="40"/>
              <w:rPr>
                <w:sz w:val="20"/>
              </w:rPr>
            </w:pPr>
            <w:r w:rsidRPr="001C1094">
              <w:rPr>
                <w:sz w:val="20"/>
              </w:rPr>
              <w:t>2762</w:t>
            </w:r>
          </w:p>
        </w:tc>
        <w:tc>
          <w:tcPr>
            <w:tcW w:w="1112" w:type="dxa"/>
            <w:shd w:val="clear" w:color="auto" w:fill="auto"/>
          </w:tcPr>
          <w:p w14:paraId="4118AF7B" w14:textId="77777777" w:rsidR="00276109" w:rsidRPr="001C1094" w:rsidRDefault="00276109" w:rsidP="006F6993">
            <w:pPr>
              <w:pStyle w:val="82Tabletext"/>
              <w:spacing w:before="40" w:after="40"/>
              <w:rPr>
                <w:sz w:val="20"/>
              </w:rPr>
            </w:pPr>
            <w:r w:rsidRPr="001C1094">
              <w:rPr>
                <w:sz w:val="20"/>
              </w:rPr>
              <w:t>2787</w:t>
            </w:r>
          </w:p>
        </w:tc>
        <w:tc>
          <w:tcPr>
            <w:tcW w:w="1113" w:type="dxa"/>
            <w:shd w:val="clear" w:color="auto" w:fill="auto"/>
          </w:tcPr>
          <w:p w14:paraId="6B10C950" w14:textId="77777777" w:rsidR="00276109" w:rsidRPr="001C1094" w:rsidRDefault="00276109" w:rsidP="006F6993">
            <w:pPr>
              <w:pStyle w:val="82Tabletext"/>
              <w:spacing w:before="40" w:after="40"/>
              <w:rPr>
                <w:sz w:val="20"/>
              </w:rPr>
            </w:pPr>
            <w:r w:rsidRPr="001C1094">
              <w:rPr>
                <w:sz w:val="20"/>
              </w:rPr>
              <w:t>2687</w:t>
            </w:r>
          </w:p>
        </w:tc>
      </w:tr>
      <w:tr w:rsidR="00E85ED2" w:rsidRPr="001C1094" w14:paraId="73193D37" w14:textId="77777777" w:rsidTr="006F6993">
        <w:tc>
          <w:tcPr>
            <w:tcW w:w="1979" w:type="dxa"/>
            <w:shd w:val="clear" w:color="auto" w:fill="auto"/>
          </w:tcPr>
          <w:p w14:paraId="162C9D07" w14:textId="36F22D8D" w:rsidR="00276109" w:rsidRPr="001C1094" w:rsidRDefault="00276109" w:rsidP="006F6993">
            <w:pPr>
              <w:pStyle w:val="82Tabletext"/>
              <w:spacing w:before="40" w:after="40"/>
              <w:rPr>
                <w:sz w:val="20"/>
              </w:rPr>
            </w:pPr>
            <w:r w:rsidRPr="001C1094">
              <w:rPr>
                <w:sz w:val="20"/>
              </w:rPr>
              <w:t>Cost of BBBB tests</w:t>
            </w:r>
          </w:p>
        </w:tc>
        <w:tc>
          <w:tcPr>
            <w:tcW w:w="1112" w:type="dxa"/>
          </w:tcPr>
          <w:p w14:paraId="4890E1E5" w14:textId="77777777" w:rsidR="00276109" w:rsidRPr="001C1094" w:rsidRDefault="00276109" w:rsidP="006F6993">
            <w:pPr>
              <w:pStyle w:val="82Tabletext"/>
              <w:spacing w:before="40" w:after="40"/>
              <w:rPr>
                <w:sz w:val="20"/>
              </w:rPr>
            </w:pPr>
            <w:r w:rsidRPr="001C1094">
              <w:rPr>
                <w:sz w:val="20"/>
              </w:rPr>
              <w:t>$500</w:t>
            </w:r>
          </w:p>
        </w:tc>
        <w:tc>
          <w:tcPr>
            <w:tcW w:w="1112" w:type="dxa"/>
            <w:shd w:val="clear" w:color="auto" w:fill="auto"/>
          </w:tcPr>
          <w:p w14:paraId="7936EB8D" w14:textId="77777777" w:rsidR="00276109" w:rsidRPr="001C1094" w:rsidRDefault="00276109" w:rsidP="006F6993">
            <w:pPr>
              <w:pStyle w:val="82Tabletext"/>
              <w:spacing w:before="40" w:after="40"/>
              <w:rPr>
                <w:sz w:val="20"/>
              </w:rPr>
            </w:pPr>
            <w:r w:rsidRPr="001C1094">
              <w:rPr>
                <w:sz w:val="20"/>
              </w:rPr>
              <w:t>$1,142,446</w:t>
            </w:r>
          </w:p>
        </w:tc>
        <w:tc>
          <w:tcPr>
            <w:tcW w:w="1112" w:type="dxa"/>
            <w:shd w:val="clear" w:color="auto" w:fill="auto"/>
          </w:tcPr>
          <w:p w14:paraId="4AF76680" w14:textId="77777777" w:rsidR="00276109" w:rsidRPr="001C1094" w:rsidRDefault="00276109" w:rsidP="006F6993">
            <w:pPr>
              <w:pStyle w:val="82Tabletext"/>
              <w:spacing w:before="40" w:after="40"/>
              <w:rPr>
                <w:sz w:val="20"/>
              </w:rPr>
            </w:pPr>
            <w:r w:rsidRPr="001C1094">
              <w:rPr>
                <w:sz w:val="20"/>
              </w:rPr>
              <w:t>$1,296,289</w:t>
            </w:r>
          </w:p>
        </w:tc>
        <w:tc>
          <w:tcPr>
            <w:tcW w:w="1113" w:type="dxa"/>
            <w:shd w:val="clear" w:color="auto" w:fill="auto"/>
          </w:tcPr>
          <w:p w14:paraId="10241418" w14:textId="77777777" w:rsidR="00276109" w:rsidRPr="001C1094" w:rsidRDefault="00276109" w:rsidP="006F6993">
            <w:pPr>
              <w:pStyle w:val="82Tabletext"/>
              <w:spacing w:before="40" w:after="40"/>
              <w:rPr>
                <w:sz w:val="20"/>
              </w:rPr>
            </w:pPr>
            <w:r w:rsidRPr="001C1094">
              <w:rPr>
                <w:sz w:val="20"/>
              </w:rPr>
              <w:t>$1,381,209</w:t>
            </w:r>
          </w:p>
        </w:tc>
        <w:tc>
          <w:tcPr>
            <w:tcW w:w="1112" w:type="dxa"/>
            <w:shd w:val="clear" w:color="auto" w:fill="auto"/>
          </w:tcPr>
          <w:p w14:paraId="53239D28" w14:textId="77777777" w:rsidR="00276109" w:rsidRPr="001C1094" w:rsidRDefault="00276109" w:rsidP="006F6993">
            <w:pPr>
              <w:pStyle w:val="82Tabletext"/>
              <w:spacing w:before="40" w:after="40"/>
              <w:rPr>
                <w:sz w:val="20"/>
              </w:rPr>
            </w:pPr>
            <w:r w:rsidRPr="001C1094">
              <w:rPr>
                <w:sz w:val="20"/>
              </w:rPr>
              <w:t>$1,393,325</w:t>
            </w:r>
          </w:p>
        </w:tc>
        <w:tc>
          <w:tcPr>
            <w:tcW w:w="1113" w:type="dxa"/>
            <w:shd w:val="clear" w:color="auto" w:fill="auto"/>
          </w:tcPr>
          <w:p w14:paraId="1850E977" w14:textId="77777777" w:rsidR="00276109" w:rsidRPr="001C1094" w:rsidRDefault="00276109" w:rsidP="006F6993">
            <w:pPr>
              <w:pStyle w:val="82Tabletext"/>
              <w:spacing w:before="40" w:after="40"/>
              <w:rPr>
                <w:sz w:val="20"/>
              </w:rPr>
            </w:pPr>
            <w:r w:rsidRPr="001C1094">
              <w:rPr>
                <w:sz w:val="20"/>
              </w:rPr>
              <w:t>$1,343,379</w:t>
            </w:r>
          </w:p>
        </w:tc>
      </w:tr>
      <w:tr w:rsidR="00E85ED2" w:rsidRPr="001C1094" w14:paraId="0C93AB6F" w14:textId="77777777" w:rsidTr="006F6993">
        <w:tc>
          <w:tcPr>
            <w:tcW w:w="1979" w:type="dxa"/>
            <w:shd w:val="clear" w:color="auto" w:fill="auto"/>
          </w:tcPr>
          <w:p w14:paraId="2A4E4FA8" w14:textId="77777777" w:rsidR="00276109" w:rsidRPr="001C1094" w:rsidRDefault="00276109" w:rsidP="006F6993">
            <w:pPr>
              <w:pStyle w:val="82Tabletext"/>
              <w:spacing w:before="40" w:after="40"/>
              <w:rPr>
                <w:sz w:val="20"/>
              </w:rPr>
            </w:pPr>
            <w:r w:rsidRPr="001C1094">
              <w:rPr>
                <w:sz w:val="20"/>
              </w:rPr>
              <w:t>No. CCCC tests</w:t>
            </w:r>
          </w:p>
        </w:tc>
        <w:tc>
          <w:tcPr>
            <w:tcW w:w="1112" w:type="dxa"/>
          </w:tcPr>
          <w:p w14:paraId="1952B06F" w14:textId="77777777" w:rsidR="00276109" w:rsidRPr="001C1094" w:rsidRDefault="00276109" w:rsidP="006F6993">
            <w:pPr>
              <w:pStyle w:val="82Tabletext"/>
              <w:spacing w:before="40" w:after="40"/>
              <w:rPr>
                <w:sz w:val="20"/>
              </w:rPr>
            </w:pPr>
          </w:p>
        </w:tc>
        <w:tc>
          <w:tcPr>
            <w:tcW w:w="1112" w:type="dxa"/>
            <w:shd w:val="clear" w:color="auto" w:fill="auto"/>
          </w:tcPr>
          <w:p w14:paraId="144741FB" w14:textId="77777777" w:rsidR="00276109" w:rsidRPr="001C1094" w:rsidRDefault="00276109" w:rsidP="006F6993">
            <w:pPr>
              <w:pStyle w:val="82Tabletext"/>
              <w:spacing w:before="40" w:after="40"/>
              <w:rPr>
                <w:sz w:val="20"/>
              </w:rPr>
            </w:pPr>
            <w:r w:rsidRPr="001C1094">
              <w:rPr>
                <w:sz w:val="20"/>
              </w:rPr>
              <w:t>112</w:t>
            </w:r>
          </w:p>
        </w:tc>
        <w:tc>
          <w:tcPr>
            <w:tcW w:w="1112" w:type="dxa"/>
            <w:shd w:val="clear" w:color="auto" w:fill="auto"/>
          </w:tcPr>
          <w:p w14:paraId="0CBB01BE" w14:textId="77777777" w:rsidR="00276109" w:rsidRPr="001C1094" w:rsidRDefault="00276109" w:rsidP="006F6993">
            <w:pPr>
              <w:pStyle w:val="82Tabletext"/>
              <w:spacing w:before="40" w:after="40"/>
              <w:rPr>
                <w:sz w:val="20"/>
              </w:rPr>
            </w:pPr>
            <w:r w:rsidRPr="001C1094">
              <w:rPr>
                <w:sz w:val="20"/>
              </w:rPr>
              <w:t>112</w:t>
            </w:r>
          </w:p>
        </w:tc>
        <w:tc>
          <w:tcPr>
            <w:tcW w:w="1113" w:type="dxa"/>
            <w:shd w:val="clear" w:color="auto" w:fill="auto"/>
          </w:tcPr>
          <w:p w14:paraId="7D3E9B67" w14:textId="77777777" w:rsidR="00276109" w:rsidRPr="001C1094" w:rsidRDefault="00276109" w:rsidP="006F6993">
            <w:pPr>
              <w:pStyle w:val="82Tabletext"/>
              <w:spacing w:before="40" w:after="40"/>
              <w:rPr>
                <w:sz w:val="20"/>
              </w:rPr>
            </w:pPr>
            <w:r w:rsidRPr="001C1094">
              <w:rPr>
                <w:sz w:val="20"/>
              </w:rPr>
              <w:t>112</w:t>
            </w:r>
          </w:p>
        </w:tc>
        <w:tc>
          <w:tcPr>
            <w:tcW w:w="1112" w:type="dxa"/>
            <w:shd w:val="clear" w:color="auto" w:fill="auto"/>
          </w:tcPr>
          <w:p w14:paraId="65DCC643" w14:textId="77777777" w:rsidR="00276109" w:rsidRPr="001C1094" w:rsidRDefault="00276109" w:rsidP="006F6993">
            <w:pPr>
              <w:pStyle w:val="82Tabletext"/>
              <w:spacing w:before="40" w:after="40"/>
              <w:rPr>
                <w:sz w:val="20"/>
              </w:rPr>
            </w:pPr>
            <w:r w:rsidRPr="001C1094">
              <w:rPr>
                <w:sz w:val="20"/>
              </w:rPr>
              <w:t>112</w:t>
            </w:r>
          </w:p>
        </w:tc>
        <w:tc>
          <w:tcPr>
            <w:tcW w:w="1113" w:type="dxa"/>
            <w:shd w:val="clear" w:color="auto" w:fill="auto"/>
          </w:tcPr>
          <w:p w14:paraId="61AEDE51" w14:textId="77777777" w:rsidR="00276109" w:rsidRPr="001C1094" w:rsidRDefault="00276109" w:rsidP="006F6993">
            <w:pPr>
              <w:pStyle w:val="82Tabletext"/>
              <w:spacing w:before="40" w:after="40"/>
              <w:rPr>
                <w:sz w:val="20"/>
              </w:rPr>
            </w:pPr>
            <w:r w:rsidRPr="001C1094">
              <w:rPr>
                <w:sz w:val="20"/>
              </w:rPr>
              <w:t>112</w:t>
            </w:r>
          </w:p>
        </w:tc>
      </w:tr>
      <w:tr w:rsidR="00E85ED2" w:rsidRPr="001C1094" w14:paraId="310B74D2" w14:textId="77777777" w:rsidTr="006F6993">
        <w:tc>
          <w:tcPr>
            <w:tcW w:w="1979" w:type="dxa"/>
            <w:shd w:val="clear" w:color="auto" w:fill="auto"/>
          </w:tcPr>
          <w:p w14:paraId="373450A1" w14:textId="62B0E29B" w:rsidR="00276109" w:rsidRPr="001C1094" w:rsidRDefault="00276109" w:rsidP="006F6993">
            <w:pPr>
              <w:pStyle w:val="82Tabletext"/>
              <w:spacing w:before="40" w:after="40"/>
              <w:rPr>
                <w:sz w:val="20"/>
              </w:rPr>
            </w:pPr>
            <w:r w:rsidRPr="001C1094">
              <w:rPr>
                <w:sz w:val="20"/>
              </w:rPr>
              <w:t>Cost of CCCC tests</w:t>
            </w:r>
          </w:p>
        </w:tc>
        <w:tc>
          <w:tcPr>
            <w:tcW w:w="1112" w:type="dxa"/>
          </w:tcPr>
          <w:p w14:paraId="6D06138B" w14:textId="77777777" w:rsidR="00276109" w:rsidRPr="001C1094" w:rsidRDefault="00276109" w:rsidP="006F6993">
            <w:pPr>
              <w:pStyle w:val="82Tabletext"/>
              <w:spacing w:before="40" w:after="40"/>
              <w:rPr>
                <w:sz w:val="20"/>
              </w:rPr>
            </w:pPr>
            <w:r w:rsidRPr="001C1094">
              <w:rPr>
                <w:sz w:val="20"/>
              </w:rPr>
              <w:t>$1600</w:t>
            </w:r>
          </w:p>
        </w:tc>
        <w:tc>
          <w:tcPr>
            <w:tcW w:w="1112" w:type="dxa"/>
            <w:shd w:val="clear" w:color="auto" w:fill="auto"/>
          </w:tcPr>
          <w:p w14:paraId="1D289A48" w14:textId="77777777" w:rsidR="00276109" w:rsidRPr="001C1094" w:rsidRDefault="00276109" w:rsidP="006F6993">
            <w:pPr>
              <w:pStyle w:val="82Tabletext"/>
              <w:spacing w:before="40" w:after="40"/>
              <w:rPr>
                <w:sz w:val="20"/>
              </w:rPr>
            </w:pPr>
            <w:r w:rsidRPr="001C1094">
              <w:rPr>
                <w:sz w:val="20"/>
              </w:rPr>
              <w:t>$179,001</w:t>
            </w:r>
          </w:p>
        </w:tc>
        <w:tc>
          <w:tcPr>
            <w:tcW w:w="1112" w:type="dxa"/>
            <w:shd w:val="clear" w:color="auto" w:fill="auto"/>
          </w:tcPr>
          <w:p w14:paraId="39B38D74" w14:textId="77777777" w:rsidR="00276109" w:rsidRPr="001C1094" w:rsidRDefault="00276109" w:rsidP="006F6993">
            <w:pPr>
              <w:pStyle w:val="82Tabletext"/>
              <w:spacing w:before="40" w:after="40"/>
              <w:rPr>
                <w:sz w:val="20"/>
              </w:rPr>
            </w:pPr>
            <w:r w:rsidRPr="001C1094">
              <w:rPr>
                <w:sz w:val="20"/>
              </w:rPr>
              <w:t>$179,001</w:t>
            </w:r>
          </w:p>
        </w:tc>
        <w:tc>
          <w:tcPr>
            <w:tcW w:w="1113" w:type="dxa"/>
            <w:shd w:val="clear" w:color="auto" w:fill="auto"/>
          </w:tcPr>
          <w:p w14:paraId="3846780D" w14:textId="77777777" w:rsidR="00276109" w:rsidRPr="001C1094" w:rsidRDefault="00276109" w:rsidP="006F6993">
            <w:pPr>
              <w:pStyle w:val="82Tabletext"/>
              <w:spacing w:before="40" w:after="40"/>
              <w:rPr>
                <w:sz w:val="20"/>
              </w:rPr>
            </w:pPr>
            <w:r w:rsidRPr="001C1094">
              <w:rPr>
                <w:sz w:val="20"/>
              </w:rPr>
              <w:t>$179,001</w:t>
            </w:r>
          </w:p>
        </w:tc>
        <w:tc>
          <w:tcPr>
            <w:tcW w:w="1112" w:type="dxa"/>
            <w:shd w:val="clear" w:color="auto" w:fill="auto"/>
          </w:tcPr>
          <w:p w14:paraId="02786D8F" w14:textId="77777777" w:rsidR="00276109" w:rsidRPr="001C1094" w:rsidRDefault="00276109" w:rsidP="006F6993">
            <w:pPr>
              <w:pStyle w:val="82Tabletext"/>
              <w:spacing w:before="40" w:after="40"/>
              <w:rPr>
                <w:sz w:val="20"/>
              </w:rPr>
            </w:pPr>
            <w:r w:rsidRPr="001C1094">
              <w:rPr>
                <w:sz w:val="20"/>
              </w:rPr>
              <w:t>$179,001</w:t>
            </w:r>
          </w:p>
        </w:tc>
        <w:tc>
          <w:tcPr>
            <w:tcW w:w="1113" w:type="dxa"/>
            <w:shd w:val="clear" w:color="auto" w:fill="auto"/>
          </w:tcPr>
          <w:p w14:paraId="610FAA77" w14:textId="77777777" w:rsidR="00276109" w:rsidRPr="001C1094" w:rsidRDefault="00276109" w:rsidP="006F6993">
            <w:pPr>
              <w:pStyle w:val="82Tabletext"/>
              <w:spacing w:before="40" w:after="40"/>
              <w:rPr>
                <w:sz w:val="20"/>
              </w:rPr>
            </w:pPr>
            <w:r w:rsidRPr="001C1094">
              <w:rPr>
                <w:sz w:val="20"/>
              </w:rPr>
              <w:t>$179,001</w:t>
            </w:r>
          </w:p>
        </w:tc>
      </w:tr>
      <w:tr w:rsidR="00E85ED2" w:rsidRPr="001C1094" w14:paraId="12265292" w14:textId="77777777" w:rsidTr="006F6993">
        <w:tc>
          <w:tcPr>
            <w:tcW w:w="1979" w:type="dxa"/>
            <w:shd w:val="clear" w:color="auto" w:fill="auto"/>
          </w:tcPr>
          <w:p w14:paraId="253BCFC4" w14:textId="42297DBB" w:rsidR="00276109" w:rsidRPr="001C1094" w:rsidRDefault="00276109" w:rsidP="006F6993">
            <w:pPr>
              <w:pStyle w:val="82Tabletext"/>
              <w:spacing w:before="40" w:after="40"/>
              <w:rPr>
                <w:sz w:val="20"/>
              </w:rPr>
            </w:pPr>
            <w:r w:rsidRPr="001C1094">
              <w:rPr>
                <w:sz w:val="20"/>
              </w:rPr>
              <w:t>No. DDDD1 tests*</w:t>
            </w:r>
          </w:p>
        </w:tc>
        <w:tc>
          <w:tcPr>
            <w:tcW w:w="1112" w:type="dxa"/>
          </w:tcPr>
          <w:p w14:paraId="029E5C29" w14:textId="77777777" w:rsidR="00276109" w:rsidRPr="001C1094" w:rsidRDefault="00276109" w:rsidP="006F6993">
            <w:pPr>
              <w:pStyle w:val="82Tabletext"/>
              <w:spacing w:before="40" w:after="40"/>
              <w:rPr>
                <w:sz w:val="20"/>
              </w:rPr>
            </w:pPr>
          </w:p>
        </w:tc>
        <w:tc>
          <w:tcPr>
            <w:tcW w:w="1112" w:type="dxa"/>
            <w:shd w:val="clear" w:color="auto" w:fill="auto"/>
          </w:tcPr>
          <w:p w14:paraId="10424F17" w14:textId="77777777" w:rsidR="00276109" w:rsidRPr="001C1094" w:rsidRDefault="00276109" w:rsidP="006F6993">
            <w:pPr>
              <w:pStyle w:val="82Tabletext"/>
              <w:spacing w:before="40" w:after="40"/>
              <w:rPr>
                <w:sz w:val="20"/>
              </w:rPr>
            </w:pPr>
            <w:r w:rsidRPr="001C1094">
              <w:rPr>
                <w:sz w:val="20"/>
              </w:rPr>
              <w:t>38</w:t>
            </w:r>
          </w:p>
        </w:tc>
        <w:tc>
          <w:tcPr>
            <w:tcW w:w="1112" w:type="dxa"/>
            <w:shd w:val="clear" w:color="auto" w:fill="auto"/>
          </w:tcPr>
          <w:p w14:paraId="5AE0CFB1" w14:textId="77777777" w:rsidR="00276109" w:rsidRPr="001C1094" w:rsidRDefault="00276109" w:rsidP="006F6993">
            <w:pPr>
              <w:pStyle w:val="82Tabletext"/>
              <w:spacing w:before="40" w:after="40"/>
              <w:rPr>
                <w:sz w:val="20"/>
              </w:rPr>
            </w:pPr>
            <w:r w:rsidRPr="001C1094">
              <w:rPr>
                <w:sz w:val="20"/>
              </w:rPr>
              <w:t>39</w:t>
            </w:r>
          </w:p>
        </w:tc>
        <w:tc>
          <w:tcPr>
            <w:tcW w:w="1113" w:type="dxa"/>
            <w:shd w:val="clear" w:color="auto" w:fill="auto"/>
          </w:tcPr>
          <w:p w14:paraId="7D8C9BD4" w14:textId="77777777" w:rsidR="00276109" w:rsidRPr="001C1094" w:rsidRDefault="00276109" w:rsidP="006F6993">
            <w:pPr>
              <w:pStyle w:val="82Tabletext"/>
              <w:spacing w:before="40" w:after="40"/>
              <w:rPr>
                <w:sz w:val="20"/>
              </w:rPr>
            </w:pPr>
            <w:r w:rsidRPr="001C1094">
              <w:rPr>
                <w:sz w:val="20"/>
              </w:rPr>
              <w:t>40</w:t>
            </w:r>
          </w:p>
        </w:tc>
        <w:tc>
          <w:tcPr>
            <w:tcW w:w="1112" w:type="dxa"/>
            <w:shd w:val="clear" w:color="auto" w:fill="auto"/>
          </w:tcPr>
          <w:p w14:paraId="16430EC0" w14:textId="77777777" w:rsidR="00276109" w:rsidRPr="001C1094" w:rsidRDefault="00276109" w:rsidP="006F6993">
            <w:pPr>
              <w:pStyle w:val="82Tabletext"/>
              <w:spacing w:before="40" w:after="40"/>
              <w:rPr>
                <w:sz w:val="20"/>
              </w:rPr>
            </w:pPr>
            <w:r w:rsidRPr="001C1094">
              <w:rPr>
                <w:sz w:val="20"/>
              </w:rPr>
              <w:t>40</w:t>
            </w:r>
          </w:p>
        </w:tc>
        <w:tc>
          <w:tcPr>
            <w:tcW w:w="1113" w:type="dxa"/>
            <w:shd w:val="clear" w:color="auto" w:fill="auto"/>
          </w:tcPr>
          <w:p w14:paraId="2599A39C" w14:textId="77777777" w:rsidR="00276109" w:rsidRPr="001C1094" w:rsidRDefault="00276109" w:rsidP="006F6993">
            <w:pPr>
              <w:pStyle w:val="82Tabletext"/>
              <w:spacing w:before="40" w:after="40"/>
              <w:rPr>
                <w:sz w:val="20"/>
              </w:rPr>
            </w:pPr>
            <w:r w:rsidRPr="001C1094">
              <w:rPr>
                <w:sz w:val="20"/>
              </w:rPr>
              <w:t>41</w:t>
            </w:r>
          </w:p>
        </w:tc>
      </w:tr>
      <w:tr w:rsidR="00E85ED2" w:rsidRPr="001C1094" w14:paraId="3BF15F33" w14:textId="77777777" w:rsidTr="006F6993">
        <w:tc>
          <w:tcPr>
            <w:tcW w:w="1979" w:type="dxa"/>
            <w:shd w:val="clear" w:color="auto" w:fill="auto"/>
          </w:tcPr>
          <w:p w14:paraId="633A55AC" w14:textId="4CC93C09" w:rsidR="00276109" w:rsidRPr="001C1094" w:rsidRDefault="00276109" w:rsidP="006F6993">
            <w:pPr>
              <w:pStyle w:val="82Tabletext"/>
              <w:spacing w:before="40" w:after="40"/>
              <w:rPr>
                <w:sz w:val="20"/>
              </w:rPr>
            </w:pPr>
            <w:r w:rsidRPr="001C1094">
              <w:rPr>
                <w:sz w:val="20"/>
              </w:rPr>
              <w:t>No. DDDD2 tests*</w:t>
            </w:r>
          </w:p>
        </w:tc>
        <w:tc>
          <w:tcPr>
            <w:tcW w:w="1112" w:type="dxa"/>
          </w:tcPr>
          <w:p w14:paraId="4FF58EE3" w14:textId="77777777" w:rsidR="00276109" w:rsidRPr="001C1094" w:rsidRDefault="00276109" w:rsidP="006F6993">
            <w:pPr>
              <w:pStyle w:val="82Tabletext"/>
              <w:spacing w:before="40" w:after="40"/>
              <w:rPr>
                <w:sz w:val="20"/>
              </w:rPr>
            </w:pPr>
          </w:p>
        </w:tc>
        <w:tc>
          <w:tcPr>
            <w:tcW w:w="1112" w:type="dxa"/>
            <w:shd w:val="clear" w:color="auto" w:fill="auto"/>
          </w:tcPr>
          <w:p w14:paraId="1A77676B" w14:textId="77777777" w:rsidR="00276109" w:rsidRPr="001C1094" w:rsidRDefault="00276109" w:rsidP="006F6993">
            <w:pPr>
              <w:pStyle w:val="82Tabletext"/>
              <w:spacing w:before="40" w:after="40"/>
              <w:rPr>
                <w:sz w:val="20"/>
              </w:rPr>
            </w:pPr>
            <w:r w:rsidRPr="001C1094">
              <w:rPr>
                <w:sz w:val="20"/>
              </w:rPr>
              <w:t>245</w:t>
            </w:r>
          </w:p>
        </w:tc>
        <w:tc>
          <w:tcPr>
            <w:tcW w:w="1112" w:type="dxa"/>
            <w:shd w:val="clear" w:color="auto" w:fill="auto"/>
          </w:tcPr>
          <w:p w14:paraId="71C73C40" w14:textId="77777777" w:rsidR="00276109" w:rsidRPr="001C1094" w:rsidRDefault="00276109" w:rsidP="006F6993">
            <w:pPr>
              <w:pStyle w:val="82Tabletext"/>
              <w:spacing w:before="40" w:after="40"/>
              <w:rPr>
                <w:sz w:val="20"/>
              </w:rPr>
            </w:pPr>
            <w:r w:rsidRPr="001C1094">
              <w:rPr>
                <w:sz w:val="20"/>
              </w:rPr>
              <w:t>250</w:t>
            </w:r>
          </w:p>
        </w:tc>
        <w:tc>
          <w:tcPr>
            <w:tcW w:w="1113" w:type="dxa"/>
            <w:shd w:val="clear" w:color="auto" w:fill="auto"/>
          </w:tcPr>
          <w:p w14:paraId="035F4EED" w14:textId="77777777" w:rsidR="00276109" w:rsidRPr="001C1094" w:rsidRDefault="00276109" w:rsidP="006F6993">
            <w:pPr>
              <w:pStyle w:val="82Tabletext"/>
              <w:spacing w:before="40" w:after="40"/>
              <w:rPr>
                <w:sz w:val="20"/>
              </w:rPr>
            </w:pPr>
            <w:r w:rsidRPr="001C1094">
              <w:rPr>
                <w:sz w:val="20"/>
              </w:rPr>
              <w:t>255</w:t>
            </w:r>
          </w:p>
        </w:tc>
        <w:tc>
          <w:tcPr>
            <w:tcW w:w="1112" w:type="dxa"/>
            <w:shd w:val="clear" w:color="auto" w:fill="auto"/>
          </w:tcPr>
          <w:p w14:paraId="7A638E52" w14:textId="77777777" w:rsidR="00276109" w:rsidRPr="001C1094" w:rsidRDefault="00276109" w:rsidP="006F6993">
            <w:pPr>
              <w:pStyle w:val="82Tabletext"/>
              <w:spacing w:before="40" w:after="40"/>
              <w:rPr>
                <w:sz w:val="20"/>
              </w:rPr>
            </w:pPr>
            <w:r w:rsidRPr="001C1094">
              <w:rPr>
                <w:sz w:val="20"/>
              </w:rPr>
              <w:t>260</w:t>
            </w:r>
          </w:p>
        </w:tc>
        <w:tc>
          <w:tcPr>
            <w:tcW w:w="1113" w:type="dxa"/>
            <w:shd w:val="clear" w:color="auto" w:fill="auto"/>
          </w:tcPr>
          <w:p w14:paraId="5857D0C8" w14:textId="77777777" w:rsidR="00276109" w:rsidRPr="001C1094" w:rsidRDefault="00276109" w:rsidP="006F6993">
            <w:pPr>
              <w:pStyle w:val="82Tabletext"/>
              <w:spacing w:before="40" w:after="40"/>
              <w:rPr>
                <w:sz w:val="20"/>
              </w:rPr>
            </w:pPr>
            <w:r w:rsidRPr="001C1094">
              <w:rPr>
                <w:sz w:val="20"/>
              </w:rPr>
              <w:t>265</w:t>
            </w:r>
          </w:p>
        </w:tc>
      </w:tr>
      <w:tr w:rsidR="00E85ED2" w:rsidRPr="001C1094" w14:paraId="3E96D77D" w14:textId="77777777" w:rsidTr="006F6993">
        <w:tc>
          <w:tcPr>
            <w:tcW w:w="1979" w:type="dxa"/>
            <w:shd w:val="clear" w:color="auto" w:fill="auto"/>
          </w:tcPr>
          <w:p w14:paraId="35DDF980" w14:textId="1CC18859" w:rsidR="00276109" w:rsidRPr="001C1094" w:rsidRDefault="00276109" w:rsidP="006F6993">
            <w:pPr>
              <w:pStyle w:val="82Tabletext"/>
              <w:spacing w:before="40" w:after="40"/>
              <w:rPr>
                <w:sz w:val="20"/>
              </w:rPr>
            </w:pPr>
            <w:r w:rsidRPr="001C1094">
              <w:rPr>
                <w:sz w:val="20"/>
              </w:rPr>
              <w:t>Cost of DDDD1 tests</w:t>
            </w:r>
          </w:p>
        </w:tc>
        <w:tc>
          <w:tcPr>
            <w:tcW w:w="1112" w:type="dxa"/>
          </w:tcPr>
          <w:p w14:paraId="1FB97267" w14:textId="77777777" w:rsidR="00276109" w:rsidRPr="001C1094" w:rsidRDefault="00276109" w:rsidP="006F6993">
            <w:pPr>
              <w:pStyle w:val="82Tabletext"/>
              <w:spacing w:before="40" w:after="40"/>
              <w:rPr>
                <w:sz w:val="20"/>
              </w:rPr>
            </w:pPr>
            <w:r w:rsidRPr="001C1094">
              <w:rPr>
                <w:sz w:val="20"/>
              </w:rPr>
              <w:t>$1800*</w:t>
            </w:r>
          </w:p>
        </w:tc>
        <w:tc>
          <w:tcPr>
            <w:tcW w:w="1112" w:type="dxa"/>
            <w:shd w:val="clear" w:color="auto" w:fill="auto"/>
          </w:tcPr>
          <w:p w14:paraId="28669729" w14:textId="77777777" w:rsidR="00276109" w:rsidRPr="001C1094" w:rsidRDefault="00276109" w:rsidP="006F6993">
            <w:pPr>
              <w:pStyle w:val="82Tabletext"/>
              <w:spacing w:before="40" w:after="40"/>
              <w:rPr>
                <w:sz w:val="20"/>
              </w:rPr>
            </w:pPr>
            <w:r w:rsidRPr="001C1094">
              <w:rPr>
                <w:sz w:val="20"/>
              </w:rPr>
              <w:t>$90,992</w:t>
            </w:r>
          </w:p>
        </w:tc>
        <w:tc>
          <w:tcPr>
            <w:tcW w:w="1112" w:type="dxa"/>
            <w:shd w:val="clear" w:color="auto" w:fill="auto"/>
          </w:tcPr>
          <w:p w14:paraId="02C1CD26" w14:textId="77777777" w:rsidR="00276109" w:rsidRPr="001C1094" w:rsidRDefault="00276109" w:rsidP="006F6993">
            <w:pPr>
              <w:pStyle w:val="82Tabletext"/>
              <w:spacing w:before="40" w:after="40"/>
              <w:rPr>
                <w:sz w:val="20"/>
              </w:rPr>
            </w:pPr>
            <w:r w:rsidRPr="001C1094">
              <w:rPr>
                <w:sz w:val="20"/>
              </w:rPr>
              <w:t>$92,849</w:t>
            </w:r>
          </w:p>
        </w:tc>
        <w:tc>
          <w:tcPr>
            <w:tcW w:w="1113" w:type="dxa"/>
            <w:shd w:val="clear" w:color="auto" w:fill="auto"/>
          </w:tcPr>
          <w:p w14:paraId="5FE7E8B2" w14:textId="77777777" w:rsidR="00276109" w:rsidRPr="001C1094" w:rsidRDefault="00276109" w:rsidP="006F6993">
            <w:pPr>
              <w:pStyle w:val="82Tabletext"/>
              <w:spacing w:before="40" w:after="40"/>
              <w:rPr>
                <w:sz w:val="20"/>
              </w:rPr>
            </w:pPr>
            <w:r w:rsidRPr="001C1094">
              <w:rPr>
                <w:sz w:val="20"/>
              </w:rPr>
              <w:t>$94,729</w:t>
            </w:r>
          </w:p>
        </w:tc>
        <w:tc>
          <w:tcPr>
            <w:tcW w:w="1112" w:type="dxa"/>
            <w:shd w:val="clear" w:color="auto" w:fill="auto"/>
          </w:tcPr>
          <w:p w14:paraId="5ED6CFDA" w14:textId="77777777" w:rsidR="00276109" w:rsidRPr="001C1094" w:rsidRDefault="00276109" w:rsidP="006F6993">
            <w:pPr>
              <w:pStyle w:val="82Tabletext"/>
              <w:spacing w:before="40" w:after="40"/>
              <w:rPr>
                <w:sz w:val="20"/>
              </w:rPr>
            </w:pPr>
            <w:r w:rsidRPr="001C1094">
              <w:rPr>
                <w:sz w:val="20"/>
              </w:rPr>
              <w:t>$96,527</w:t>
            </w:r>
          </w:p>
        </w:tc>
        <w:tc>
          <w:tcPr>
            <w:tcW w:w="1113" w:type="dxa"/>
            <w:shd w:val="clear" w:color="auto" w:fill="auto"/>
          </w:tcPr>
          <w:p w14:paraId="71F0D135" w14:textId="77777777" w:rsidR="00276109" w:rsidRPr="001C1094" w:rsidRDefault="00276109" w:rsidP="006F6993">
            <w:pPr>
              <w:pStyle w:val="82Tabletext"/>
              <w:spacing w:before="40" w:after="40"/>
              <w:rPr>
                <w:sz w:val="20"/>
              </w:rPr>
            </w:pPr>
            <w:r w:rsidRPr="001C1094">
              <w:rPr>
                <w:sz w:val="20"/>
              </w:rPr>
              <w:t>$98,458</w:t>
            </w:r>
          </w:p>
        </w:tc>
      </w:tr>
      <w:tr w:rsidR="00E85ED2" w:rsidRPr="001C1094" w14:paraId="54AC42A7" w14:textId="77777777" w:rsidTr="006F6993">
        <w:tc>
          <w:tcPr>
            <w:tcW w:w="1979" w:type="dxa"/>
            <w:shd w:val="clear" w:color="auto" w:fill="auto"/>
          </w:tcPr>
          <w:p w14:paraId="3BD5AC5A" w14:textId="758599AF" w:rsidR="00276109" w:rsidRPr="001C1094" w:rsidRDefault="00276109" w:rsidP="006F6993">
            <w:pPr>
              <w:pStyle w:val="82Tabletext"/>
              <w:spacing w:before="40" w:after="40"/>
              <w:rPr>
                <w:sz w:val="20"/>
              </w:rPr>
            </w:pPr>
            <w:r w:rsidRPr="001C1094">
              <w:rPr>
                <w:sz w:val="20"/>
              </w:rPr>
              <w:t>Cost of DDDD2 tests</w:t>
            </w:r>
          </w:p>
        </w:tc>
        <w:tc>
          <w:tcPr>
            <w:tcW w:w="1112" w:type="dxa"/>
          </w:tcPr>
          <w:p w14:paraId="0F41DFA6" w14:textId="77777777" w:rsidR="00276109" w:rsidRPr="001C1094" w:rsidRDefault="00276109" w:rsidP="006F6993">
            <w:pPr>
              <w:pStyle w:val="82Tabletext"/>
              <w:spacing w:before="40" w:after="40"/>
              <w:rPr>
                <w:sz w:val="20"/>
              </w:rPr>
            </w:pPr>
            <w:r w:rsidRPr="001C1094">
              <w:rPr>
                <w:sz w:val="20"/>
              </w:rPr>
              <w:t>$2400*</w:t>
            </w:r>
          </w:p>
        </w:tc>
        <w:tc>
          <w:tcPr>
            <w:tcW w:w="1112" w:type="dxa"/>
            <w:shd w:val="clear" w:color="auto" w:fill="auto"/>
          </w:tcPr>
          <w:p w14:paraId="6D2DACCF" w14:textId="77777777" w:rsidR="00276109" w:rsidRPr="001C1094" w:rsidRDefault="00276109" w:rsidP="006F6993">
            <w:pPr>
              <w:pStyle w:val="82Tabletext"/>
              <w:spacing w:before="40" w:after="40"/>
              <w:rPr>
                <w:sz w:val="20"/>
              </w:rPr>
            </w:pPr>
            <w:r w:rsidRPr="001C1094">
              <w:rPr>
                <w:sz w:val="20"/>
              </w:rPr>
              <w:t>$588,418</w:t>
            </w:r>
          </w:p>
        </w:tc>
        <w:tc>
          <w:tcPr>
            <w:tcW w:w="1112" w:type="dxa"/>
            <w:shd w:val="clear" w:color="auto" w:fill="auto"/>
          </w:tcPr>
          <w:p w14:paraId="0C4B624F" w14:textId="77777777" w:rsidR="00276109" w:rsidRPr="001C1094" w:rsidRDefault="00276109" w:rsidP="006F6993">
            <w:pPr>
              <w:pStyle w:val="82Tabletext"/>
              <w:spacing w:before="40" w:after="40"/>
              <w:rPr>
                <w:sz w:val="20"/>
              </w:rPr>
            </w:pPr>
            <w:r w:rsidRPr="001C1094">
              <w:rPr>
                <w:sz w:val="20"/>
              </w:rPr>
              <w:t>$600,421</w:t>
            </w:r>
          </w:p>
        </w:tc>
        <w:tc>
          <w:tcPr>
            <w:tcW w:w="1113" w:type="dxa"/>
            <w:shd w:val="clear" w:color="auto" w:fill="auto"/>
          </w:tcPr>
          <w:p w14:paraId="430733C3" w14:textId="77777777" w:rsidR="00276109" w:rsidRPr="001C1094" w:rsidRDefault="00276109" w:rsidP="006F6993">
            <w:pPr>
              <w:pStyle w:val="82Tabletext"/>
              <w:spacing w:before="40" w:after="40"/>
              <w:rPr>
                <w:sz w:val="20"/>
              </w:rPr>
            </w:pPr>
            <w:r w:rsidRPr="001C1094">
              <w:rPr>
                <w:sz w:val="20"/>
              </w:rPr>
              <w:t>$612,582</w:t>
            </w:r>
          </w:p>
        </w:tc>
        <w:tc>
          <w:tcPr>
            <w:tcW w:w="1112" w:type="dxa"/>
            <w:shd w:val="clear" w:color="auto" w:fill="auto"/>
          </w:tcPr>
          <w:p w14:paraId="06598920" w14:textId="77777777" w:rsidR="00276109" w:rsidRPr="001C1094" w:rsidRDefault="00276109" w:rsidP="006F6993">
            <w:pPr>
              <w:pStyle w:val="82Tabletext"/>
              <w:spacing w:before="40" w:after="40"/>
              <w:rPr>
                <w:sz w:val="20"/>
              </w:rPr>
            </w:pPr>
            <w:r w:rsidRPr="001C1094">
              <w:rPr>
                <w:sz w:val="20"/>
              </w:rPr>
              <w:t>$624,211</w:t>
            </w:r>
          </w:p>
        </w:tc>
        <w:tc>
          <w:tcPr>
            <w:tcW w:w="1113" w:type="dxa"/>
            <w:shd w:val="clear" w:color="auto" w:fill="auto"/>
          </w:tcPr>
          <w:p w14:paraId="33EE3677" w14:textId="77777777" w:rsidR="00276109" w:rsidRPr="001C1094" w:rsidRDefault="00276109" w:rsidP="006F6993">
            <w:pPr>
              <w:pStyle w:val="82Tabletext"/>
              <w:spacing w:before="40" w:after="40"/>
              <w:rPr>
                <w:sz w:val="20"/>
              </w:rPr>
            </w:pPr>
            <w:r w:rsidRPr="001C1094">
              <w:rPr>
                <w:sz w:val="20"/>
              </w:rPr>
              <w:t>$636,694</w:t>
            </w:r>
          </w:p>
        </w:tc>
      </w:tr>
      <w:tr w:rsidR="00E85ED2" w:rsidRPr="001C1094" w14:paraId="58485397" w14:textId="77777777" w:rsidTr="006F6993">
        <w:tc>
          <w:tcPr>
            <w:tcW w:w="1979" w:type="dxa"/>
            <w:shd w:val="clear" w:color="auto" w:fill="auto"/>
          </w:tcPr>
          <w:p w14:paraId="6F85EF2F" w14:textId="3E4A4442" w:rsidR="00276109" w:rsidRPr="001C1094" w:rsidRDefault="00276109" w:rsidP="006F6993">
            <w:pPr>
              <w:pStyle w:val="82Tabletext"/>
              <w:spacing w:before="40" w:after="40"/>
              <w:rPr>
                <w:sz w:val="20"/>
              </w:rPr>
            </w:pPr>
            <w:r w:rsidRPr="001C1094">
              <w:rPr>
                <w:sz w:val="20"/>
              </w:rPr>
              <w:t xml:space="preserve">No. EEEE tests </w:t>
            </w:r>
          </w:p>
        </w:tc>
        <w:tc>
          <w:tcPr>
            <w:tcW w:w="1112" w:type="dxa"/>
          </w:tcPr>
          <w:p w14:paraId="0035DB35" w14:textId="77777777" w:rsidR="00276109" w:rsidRPr="001C1094" w:rsidRDefault="00276109" w:rsidP="006F6993">
            <w:pPr>
              <w:pStyle w:val="82Tabletext"/>
              <w:spacing w:before="40" w:after="40"/>
              <w:rPr>
                <w:sz w:val="20"/>
              </w:rPr>
            </w:pPr>
          </w:p>
        </w:tc>
        <w:tc>
          <w:tcPr>
            <w:tcW w:w="1112" w:type="dxa"/>
            <w:shd w:val="clear" w:color="auto" w:fill="auto"/>
          </w:tcPr>
          <w:p w14:paraId="2D2740EB" w14:textId="77777777" w:rsidR="00276109" w:rsidRPr="001C1094" w:rsidRDefault="00276109" w:rsidP="006F6993">
            <w:pPr>
              <w:pStyle w:val="82Tabletext"/>
              <w:spacing w:before="40" w:after="40"/>
              <w:rPr>
                <w:sz w:val="20"/>
              </w:rPr>
            </w:pPr>
            <w:r w:rsidRPr="001C1094">
              <w:rPr>
                <w:sz w:val="20"/>
              </w:rPr>
              <w:t>251</w:t>
            </w:r>
          </w:p>
        </w:tc>
        <w:tc>
          <w:tcPr>
            <w:tcW w:w="1112" w:type="dxa"/>
            <w:shd w:val="clear" w:color="auto" w:fill="auto"/>
          </w:tcPr>
          <w:p w14:paraId="55F247D8" w14:textId="77777777" w:rsidR="00276109" w:rsidRPr="001C1094" w:rsidRDefault="00276109" w:rsidP="006F6993">
            <w:pPr>
              <w:pStyle w:val="82Tabletext"/>
              <w:spacing w:before="40" w:after="40"/>
              <w:rPr>
                <w:sz w:val="20"/>
              </w:rPr>
            </w:pPr>
            <w:r w:rsidRPr="001C1094">
              <w:rPr>
                <w:sz w:val="20"/>
              </w:rPr>
              <w:t>270</w:t>
            </w:r>
          </w:p>
        </w:tc>
        <w:tc>
          <w:tcPr>
            <w:tcW w:w="1113" w:type="dxa"/>
            <w:shd w:val="clear" w:color="auto" w:fill="auto"/>
          </w:tcPr>
          <w:p w14:paraId="4ABB14D7" w14:textId="77777777" w:rsidR="00276109" w:rsidRPr="001C1094" w:rsidRDefault="00276109" w:rsidP="006F6993">
            <w:pPr>
              <w:pStyle w:val="82Tabletext"/>
              <w:spacing w:before="40" w:after="40"/>
              <w:rPr>
                <w:sz w:val="20"/>
              </w:rPr>
            </w:pPr>
            <w:r w:rsidRPr="001C1094">
              <w:rPr>
                <w:sz w:val="20"/>
              </w:rPr>
              <w:t>282</w:t>
            </w:r>
          </w:p>
        </w:tc>
        <w:tc>
          <w:tcPr>
            <w:tcW w:w="1112" w:type="dxa"/>
            <w:shd w:val="clear" w:color="auto" w:fill="auto"/>
          </w:tcPr>
          <w:p w14:paraId="061B611D" w14:textId="77777777" w:rsidR="00276109" w:rsidRPr="001C1094" w:rsidRDefault="00276109" w:rsidP="006F6993">
            <w:pPr>
              <w:pStyle w:val="82Tabletext"/>
              <w:spacing w:before="40" w:after="40"/>
              <w:rPr>
                <w:sz w:val="20"/>
              </w:rPr>
            </w:pPr>
            <w:r w:rsidRPr="001C1094">
              <w:rPr>
                <w:sz w:val="20"/>
              </w:rPr>
              <w:t>286</w:t>
            </w:r>
          </w:p>
        </w:tc>
        <w:tc>
          <w:tcPr>
            <w:tcW w:w="1113" w:type="dxa"/>
            <w:shd w:val="clear" w:color="auto" w:fill="auto"/>
          </w:tcPr>
          <w:p w14:paraId="63694351" w14:textId="77777777" w:rsidR="00276109" w:rsidRPr="001C1094" w:rsidRDefault="00276109" w:rsidP="006F6993">
            <w:pPr>
              <w:pStyle w:val="82Tabletext"/>
              <w:spacing w:before="40" w:after="40"/>
              <w:rPr>
                <w:sz w:val="20"/>
              </w:rPr>
            </w:pPr>
            <w:r w:rsidRPr="001C1094">
              <w:rPr>
                <w:sz w:val="20"/>
              </w:rPr>
              <w:t>283</w:t>
            </w:r>
          </w:p>
        </w:tc>
      </w:tr>
      <w:tr w:rsidR="00E85ED2" w:rsidRPr="001C1094" w14:paraId="27010F03" w14:textId="77777777" w:rsidTr="006F6993">
        <w:tc>
          <w:tcPr>
            <w:tcW w:w="1979" w:type="dxa"/>
            <w:shd w:val="clear" w:color="auto" w:fill="auto"/>
          </w:tcPr>
          <w:p w14:paraId="69BBA789" w14:textId="77777777" w:rsidR="00276109" w:rsidRPr="001C1094" w:rsidRDefault="00276109" w:rsidP="006F6993">
            <w:pPr>
              <w:pStyle w:val="82Tabletext"/>
              <w:spacing w:before="40" w:after="40"/>
              <w:rPr>
                <w:sz w:val="20"/>
              </w:rPr>
            </w:pPr>
            <w:r w:rsidRPr="001C1094">
              <w:rPr>
                <w:sz w:val="20"/>
              </w:rPr>
              <w:t>Cost of EEEE tests</w:t>
            </w:r>
          </w:p>
        </w:tc>
        <w:tc>
          <w:tcPr>
            <w:tcW w:w="1112" w:type="dxa"/>
          </w:tcPr>
          <w:p w14:paraId="5F17313F" w14:textId="77777777" w:rsidR="00276109" w:rsidRPr="001C1094" w:rsidRDefault="00276109" w:rsidP="006F6993">
            <w:pPr>
              <w:pStyle w:val="82Tabletext"/>
              <w:spacing w:before="40" w:after="40"/>
              <w:rPr>
                <w:sz w:val="20"/>
              </w:rPr>
            </w:pPr>
            <w:r w:rsidRPr="001C1094">
              <w:rPr>
                <w:sz w:val="20"/>
              </w:rPr>
              <w:t>$1200</w:t>
            </w:r>
          </w:p>
        </w:tc>
        <w:tc>
          <w:tcPr>
            <w:tcW w:w="1112" w:type="dxa"/>
            <w:shd w:val="clear" w:color="auto" w:fill="auto"/>
          </w:tcPr>
          <w:p w14:paraId="17C92F1B" w14:textId="77777777" w:rsidR="00276109" w:rsidRPr="001C1094" w:rsidRDefault="00276109" w:rsidP="006F6993">
            <w:pPr>
              <w:pStyle w:val="82Tabletext"/>
              <w:spacing w:before="40" w:after="40"/>
              <w:rPr>
                <w:sz w:val="20"/>
              </w:rPr>
            </w:pPr>
            <w:r w:rsidRPr="001C1094">
              <w:rPr>
                <w:sz w:val="20"/>
              </w:rPr>
              <w:t>$301,279</w:t>
            </w:r>
          </w:p>
        </w:tc>
        <w:tc>
          <w:tcPr>
            <w:tcW w:w="1112" w:type="dxa"/>
            <w:shd w:val="clear" w:color="auto" w:fill="auto"/>
          </w:tcPr>
          <w:p w14:paraId="1C20E3E5" w14:textId="77777777" w:rsidR="00276109" w:rsidRPr="001C1094" w:rsidRDefault="00276109" w:rsidP="006F6993">
            <w:pPr>
              <w:pStyle w:val="82Tabletext"/>
              <w:spacing w:before="40" w:after="40"/>
              <w:rPr>
                <w:sz w:val="20"/>
              </w:rPr>
            </w:pPr>
            <w:r w:rsidRPr="001C1094">
              <w:rPr>
                <w:sz w:val="20"/>
              </w:rPr>
              <w:t>$324,175</w:t>
            </w:r>
          </w:p>
        </w:tc>
        <w:tc>
          <w:tcPr>
            <w:tcW w:w="1113" w:type="dxa"/>
            <w:shd w:val="clear" w:color="auto" w:fill="auto"/>
          </w:tcPr>
          <w:p w14:paraId="34D38DCD" w14:textId="77777777" w:rsidR="00276109" w:rsidRPr="001C1094" w:rsidRDefault="00276109" w:rsidP="006F6993">
            <w:pPr>
              <w:pStyle w:val="82Tabletext"/>
              <w:spacing w:before="40" w:after="40"/>
              <w:rPr>
                <w:sz w:val="20"/>
              </w:rPr>
            </w:pPr>
            <w:r w:rsidRPr="001C1094">
              <w:rPr>
                <w:sz w:val="20"/>
              </w:rPr>
              <w:t>$338,487</w:t>
            </w:r>
          </w:p>
        </w:tc>
        <w:tc>
          <w:tcPr>
            <w:tcW w:w="1112" w:type="dxa"/>
            <w:shd w:val="clear" w:color="auto" w:fill="auto"/>
          </w:tcPr>
          <w:p w14:paraId="32F3C17F" w14:textId="77777777" w:rsidR="00276109" w:rsidRPr="001C1094" w:rsidRDefault="00276109" w:rsidP="006F6993">
            <w:pPr>
              <w:pStyle w:val="82Tabletext"/>
              <w:spacing w:before="40" w:after="40"/>
              <w:rPr>
                <w:sz w:val="20"/>
              </w:rPr>
            </w:pPr>
            <w:r w:rsidRPr="001C1094">
              <w:rPr>
                <w:sz w:val="20"/>
              </w:rPr>
              <w:t>$343,268</w:t>
            </w:r>
          </w:p>
        </w:tc>
        <w:tc>
          <w:tcPr>
            <w:tcW w:w="1113" w:type="dxa"/>
            <w:shd w:val="clear" w:color="auto" w:fill="auto"/>
          </w:tcPr>
          <w:p w14:paraId="4C52FEAD" w14:textId="77777777" w:rsidR="00276109" w:rsidRPr="001C1094" w:rsidRDefault="00276109" w:rsidP="006F6993">
            <w:pPr>
              <w:pStyle w:val="82Tabletext"/>
              <w:spacing w:before="40" w:after="40"/>
              <w:rPr>
                <w:sz w:val="20"/>
              </w:rPr>
            </w:pPr>
            <w:r w:rsidRPr="001C1094">
              <w:rPr>
                <w:sz w:val="20"/>
              </w:rPr>
              <w:t>$339,801</w:t>
            </w:r>
          </w:p>
        </w:tc>
      </w:tr>
      <w:tr w:rsidR="00E85ED2" w:rsidRPr="001C1094" w14:paraId="0B78EA38" w14:textId="77777777" w:rsidTr="006F6993">
        <w:tc>
          <w:tcPr>
            <w:tcW w:w="1979" w:type="dxa"/>
            <w:tcBorders>
              <w:bottom w:val="double" w:sz="4" w:space="0" w:color="auto"/>
            </w:tcBorders>
            <w:shd w:val="clear" w:color="auto" w:fill="auto"/>
          </w:tcPr>
          <w:p w14:paraId="6EA9A999" w14:textId="47987195" w:rsidR="00276109" w:rsidRPr="001C1094" w:rsidRDefault="00276109" w:rsidP="006F6993">
            <w:pPr>
              <w:pStyle w:val="82Tabletext"/>
              <w:spacing w:before="40" w:after="40"/>
              <w:rPr>
                <w:sz w:val="20"/>
              </w:rPr>
            </w:pPr>
            <w:r w:rsidRPr="001C1094">
              <w:rPr>
                <w:sz w:val="20"/>
              </w:rPr>
              <w:t>No. FFFF tests</w:t>
            </w:r>
          </w:p>
        </w:tc>
        <w:tc>
          <w:tcPr>
            <w:tcW w:w="1112" w:type="dxa"/>
            <w:tcBorders>
              <w:bottom w:val="double" w:sz="4" w:space="0" w:color="auto"/>
            </w:tcBorders>
          </w:tcPr>
          <w:p w14:paraId="7DDC45AB" w14:textId="77777777" w:rsidR="00276109" w:rsidRPr="001C1094" w:rsidRDefault="00276109" w:rsidP="006F6993">
            <w:pPr>
              <w:pStyle w:val="82Tabletext"/>
              <w:spacing w:before="40" w:after="40"/>
              <w:rPr>
                <w:sz w:val="20"/>
              </w:rPr>
            </w:pPr>
          </w:p>
        </w:tc>
        <w:tc>
          <w:tcPr>
            <w:tcW w:w="1112" w:type="dxa"/>
            <w:tcBorders>
              <w:bottom w:val="double" w:sz="4" w:space="0" w:color="auto"/>
            </w:tcBorders>
            <w:shd w:val="clear" w:color="auto" w:fill="auto"/>
            <w:vAlign w:val="center"/>
          </w:tcPr>
          <w:p w14:paraId="0669B154" w14:textId="77777777" w:rsidR="00276109" w:rsidRPr="001C1094" w:rsidRDefault="00276109" w:rsidP="006F6993">
            <w:pPr>
              <w:pStyle w:val="82Tabletext"/>
              <w:spacing w:before="40" w:after="40"/>
              <w:rPr>
                <w:sz w:val="20"/>
              </w:rPr>
            </w:pPr>
            <w:r w:rsidRPr="001C1094">
              <w:rPr>
                <w:sz w:val="20"/>
              </w:rPr>
              <w:t>N/R</w:t>
            </w:r>
          </w:p>
        </w:tc>
        <w:tc>
          <w:tcPr>
            <w:tcW w:w="1112" w:type="dxa"/>
            <w:tcBorders>
              <w:bottom w:val="double" w:sz="4" w:space="0" w:color="auto"/>
            </w:tcBorders>
            <w:shd w:val="clear" w:color="auto" w:fill="auto"/>
            <w:vAlign w:val="center"/>
          </w:tcPr>
          <w:p w14:paraId="1FC48EE7" w14:textId="77777777" w:rsidR="00276109" w:rsidRPr="001C1094" w:rsidRDefault="00276109" w:rsidP="006F6993">
            <w:pPr>
              <w:pStyle w:val="82Tabletext"/>
              <w:spacing w:before="40" w:after="40"/>
              <w:rPr>
                <w:sz w:val="20"/>
              </w:rPr>
            </w:pPr>
            <w:r w:rsidRPr="001C1094">
              <w:rPr>
                <w:sz w:val="20"/>
              </w:rPr>
              <w:t>N/R</w:t>
            </w:r>
          </w:p>
        </w:tc>
        <w:tc>
          <w:tcPr>
            <w:tcW w:w="1113" w:type="dxa"/>
            <w:tcBorders>
              <w:bottom w:val="double" w:sz="4" w:space="0" w:color="auto"/>
            </w:tcBorders>
            <w:shd w:val="clear" w:color="auto" w:fill="auto"/>
            <w:vAlign w:val="center"/>
          </w:tcPr>
          <w:p w14:paraId="52AAEDE9" w14:textId="77777777" w:rsidR="00276109" w:rsidRPr="001C1094" w:rsidRDefault="00276109" w:rsidP="006F6993">
            <w:pPr>
              <w:pStyle w:val="82Tabletext"/>
              <w:spacing w:before="40" w:after="40"/>
              <w:rPr>
                <w:sz w:val="20"/>
              </w:rPr>
            </w:pPr>
            <w:r w:rsidRPr="001C1094">
              <w:rPr>
                <w:sz w:val="20"/>
              </w:rPr>
              <w:t>N/R</w:t>
            </w:r>
          </w:p>
        </w:tc>
        <w:tc>
          <w:tcPr>
            <w:tcW w:w="1112" w:type="dxa"/>
            <w:tcBorders>
              <w:bottom w:val="double" w:sz="4" w:space="0" w:color="auto"/>
            </w:tcBorders>
            <w:shd w:val="clear" w:color="auto" w:fill="auto"/>
            <w:vAlign w:val="center"/>
          </w:tcPr>
          <w:p w14:paraId="0275F41E" w14:textId="77777777" w:rsidR="00276109" w:rsidRPr="001C1094" w:rsidRDefault="00276109" w:rsidP="006F6993">
            <w:pPr>
              <w:pStyle w:val="82Tabletext"/>
              <w:spacing w:before="40" w:after="40"/>
              <w:rPr>
                <w:sz w:val="20"/>
              </w:rPr>
            </w:pPr>
            <w:r w:rsidRPr="001C1094">
              <w:rPr>
                <w:sz w:val="20"/>
              </w:rPr>
              <w:t>N/R</w:t>
            </w:r>
          </w:p>
        </w:tc>
        <w:tc>
          <w:tcPr>
            <w:tcW w:w="1113" w:type="dxa"/>
            <w:tcBorders>
              <w:bottom w:val="double" w:sz="4" w:space="0" w:color="auto"/>
            </w:tcBorders>
            <w:shd w:val="clear" w:color="auto" w:fill="auto"/>
            <w:vAlign w:val="center"/>
          </w:tcPr>
          <w:p w14:paraId="0222C8AB" w14:textId="77777777" w:rsidR="00276109" w:rsidRPr="001C1094" w:rsidRDefault="00276109" w:rsidP="006F6993">
            <w:pPr>
              <w:pStyle w:val="82Tabletext"/>
              <w:spacing w:before="40" w:after="40"/>
              <w:rPr>
                <w:sz w:val="20"/>
              </w:rPr>
            </w:pPr>
            <w:r w:rsidRPr="001C1094">
              <w:rPr>
                <w:sz w:val="20"/>
              </w:rPr>
              <w:t>N/R</w:t>
            </w:r>
          </w:p>
        </w:tc>
      </w:tr>
      <w:tr w:rsidR="00E85ED2" w:rsidRPr="001C1094" w14:paraId="411DF66B" w14:textId="77777777" w:rsidTr="006F6993">
        <w:tc>
          <w:tcPr>
            <w:tcW w:w="1979" w:type="dxa"/>
            <w:tcBorders>
              <w:top w:val="double" w:sz="4" w:space="0" w:color="auto"/>
            </w:tcBorders>
            <w:shd w:val="clear" w:color="auto" w:fill="auto"/>
          </w:tcPr>
          <w:p w14:paraId="38BE2342" w14:textId="77777777" w:rsidR="00276109" w:rsidRPr="001C1094" w:rsidRDefault="00276109" w:rsidP="006F6993">
            <w:pPr>
              <w:pStyle w:val="82Tabletext"/>
              <w:spacing w:before="40" w:after="40"/>
              <w:rPr>
                <w:sz w:val="20"/>
              </w:rPr>
            </w:pPr>
            <w:r w:rsidRPr="001C1094">
              <w:rPr>
                <w:sz w:val="20"/>
              </w:rPr>
              <w:t>Total services</w:t>
            </w:r>
          </w:p>
        </w:tc>
        <w:tc>
          <w:tcPr>
            <w:tcW w:w="1112" w:type="dxa"/>
            <w:tcBorders>
              <w:top w:val="double" w:sz="4" w:space="0" w:color="auto"/>
            </w:tcBorders>
          </w:tcPr>
          <w:p w14:paraId="715B60AD" w14:textId="77777777" w:rsidR="00276109" w:rsidRPr="001C1094" w:rsidRDefault="00276109" w:rsidP="006F6993">
            <w:pPr>
              <w:pStyle w:val="82Tabletext"/>
              <w:spacing w:before="40" w:after="40"/>
              <w:rPr>
                <w:sz w:val="20"/>
              </w:rPr>
            </w:pPr>
          </w:p>
        </w:tc>
        <w:tc>
          <w:tcPr>
            <w:tcW w:w="1112" w:type="dxa"/>
            <w:tcBorders>
              <w:top w:val="double" w:sz="4" w:space="0" w:color="auto"/>
            </w:tcBorders>
            <w:shd w:val="clear" w:color="auto" w:fill="auto"/>
          </w:tcPr>
          <w:p w14:paraId="5998C255" w14:textId="77777777" w:rsidR="00276109" w:rsidRPr="001C1094" w:rsidRDefault="00276109" w:rsidP="006F6993">
            <w:pPr>
              <w:pStyle w:val="82Tabletext"/>
              <w:spacing w:before="40" w:after="40"/>
              <w:rPr>
                <w:sz w:val="20"/>
              </w:rPr>
            </w:pPr>
            <w:r w:rsidRPr="001C1094">
              <w:rPr>
                <w:sz w:val="20"/>
              </w:rPr>
              <w:t>7403</w:t>
            </w:r>
          </w:p>
        </w:tc>
        <w:tc>
          <w:tcPr>
            <w:tcW w:w="1112" w:type="dxa"/>
            <w:tcBorders>
              <w:top w:val="double" w:sz="4" w:space="0" w:color="auto"/>
            </w:tcBorders>
            <w:shd w:val="clear" w:color="auto" w:fill="auto"/>
          </w:tcPr>
          <w:p w14:paraId="54642FE3" w14:textId="77777777" w:rsidR="00276109" w:rsidRPr="001C1094" w:rsidRDefault="00276109" w:rsidP="006F6993">
            <w:pPr>
              <w:pStyle w:val="82Tabletext"/>
              <w:spacing w:before="40" w:after="40"/>
              <w:rPr>
                <w:sz w:val="20"/>
              </w:rPr>
            </w:pPr>
            <w:r w:rsidRPr="001C1094">
              <w:rPr>
                <w:sz w:val="20"/>
              </w:rPr>
              <w:t>8400</w:t>
            </w:r>
          </w:p>
        </w:tc>
        <w:tc>
          <w:tcPr>
            <w:tcW w:w="1113" w:type="dxa"/>
            <w:tcBorders>
              <w:top w:val="double" w:sz="4" w:space="0" w:color="auto"/>
            </w:tcBorders>
            <w:shd w:val="clear" w:color="auto" w:fill="auto"/>
          </w:tcPr>
          <w:p w14:paraId="228DFEB8" w14:textId="77777777" w:rsidR="00276109" w:rsidRPr="001C1094" w:rsidRDefault="00276109" w:rsidP="006F6993">
            <w:pPr>
              <w:pStyle w:val="82Tabletext"/>
              <w:spacing w:before="40" w:after="40"/>
              <w:rPr>
                <w:sz w:val="20"/>
              </w:rPr>
            </w:pPr>
            <w:r w:rsidRPr="001C1094">
              <w:rPr>
                <w:sz w:val="20"/>
              </w:rPr>
              <w:t>8936</w:t>
            </w:r>
          </w:p>
        </w:tc>
        <w:tc>
          <w:tcPr>
            <w:tcW w:w="1112" w:type="dxa"/>
            <w:tcBorders>
              <w:top w:val="double" w:sz="4" w:space="0" w:color="auto"/>
            </w:tcBorders>
            <w:shd w:val="clear" w:color="auto" w:fill="auto"/>
          </w:tcPr>
          <w:p w14:paraId="3C7197DC" w14:textId="77777777" w:rsidR="00276109" w:rsidRPr="001C1094" w:rsidRDefault="00276109" w:rsidP="006F6993">
            <w:pPr>
              <w:pStyle w:val="82Tabletext"/>
              <w:spacing w:before="40" w:after="40"/>
              <w:rPr>
                <w:sz w:val="20"/>
              </w:rPr>
            </w:pPr>
            <w:r w:rsidRPr="001C1094">
              <w:rPr>
                <w:sz w:val="20"/>
              </w:rPr>
              <w:t>9014</w:t>
            </w:r>
          </w:p>
        </w:tc>
        <w:tc>
          <w:tcPr>
            <w:tcW w:w="1113" w:type="dxa"/>
            <w:tcBorders>
              <w:top w:val="double" w:sz="4" w:space="0" w:color="auto"/>
            </w:tcBorders>
            <w:shd w:val="clear" w:color="auto" w:fill="auto"/>
          </w:tcPr>
          <w:p w14:paraId="6CDBA38B" w14:textId="77777777" w:rsidR="00276109" w:rsidRPr="001C1094" w:rsidRDefault="00276109" w:rsidP="006F6993">
            <w:pPr>
              <w:pStyle w:val="82Tabletext"/>
              <w:spacing w:before="40" w:after="40"/>
              <w:rPr>
                <w:sz w:val="20"/>
              </w:rPr>
            </w:pPr>
            <w:r w:rsidRPr="001C1094">
              <w:rPr>
                <w:sz w:val="20"/>
              </w:rPr>
              <w:t>8704</w:t>
            </w:r>
          </w:p>
        </w:tc>
      </w:tr>
      <w:tr w:rsidR="00E85ED2" w:rsidRPr="001C1094" w14:paraId="3EE0A20D" w14:textId="77777777" w:rsidTr="006F6993">
        <w:tc>
          <w:tcPr>
            <w:tcW w:w="1979" w:type="dxa"/>
            <w:shd w:val="clear" w:color="auto" w:fill="auto"/>
          </w:tcPr>
          <w:p w14:paraId="433361DC" w14:textId="77777777" w:rsidR="00276109" w:rsidRPr="001C1094" w:rsidRDefault="00276109" w:rsidP="006F6993">
            <w:pPr>
              <w:pStyle w:val="82Tabletext"/>
              <w:spacing w:before="40" w:after="40"/>
              <w:rPr>
                <w:b/>
                <w:bCs/>
                <w:sz w:val="20"/>
              </w:rPr>
            </w:pPr>
            <w:r w:rsidRPr="001C1094">
              <w:rPr>
                <w:b/>
                <w:bCs/>
                <w:sz w:val="20"/>
              </w:rPr>
              <w:t>New total cost</w:t>
            </w:r>
          </w:p>
        </w:tc>
        <w:tc>
          <w:tcPr>
            <w:tcW w:w="1112" w:type="dxa"/>
          </w:tcPr>
          <w:p w14:paraId="253E0EFD" w14:textId="77777777" w:rsidR="00276109" w:rsidRPr="001C1094" w:rsidRDefault="00276109" w:rsidP="006F6993">
            <w:pPr>
              <w:pStyle w:val="82Tabletext"/>
              <w:spacing w:before="40" w:after="40"/>
              <w:rPr>
                <w:b/>
                <w:bCs/>
                <w:sz w:val="20"/>
              </w:rPr>
            </w:pPr>
          </w:p>
        </w:tc>
        <w:tc>
          <w:tcPr>
            <w:tcW w:w="1112" w:type="dxa"/>
            <w:shd w:val="clear" w:color="auto" w:fill="auto"/>
          </w:tcPr>
          <w:p w14:paraId="58D1C01F" w14:textId="77777777" w:rsidR="00276109" w:rsidRPr="001C1094" w:rsidRDefault="00276109" w:rsidP="006F6993">
            <w:pPr>
              <w:pStyle w:val="82Tabletext"/>
              <w:spacing w:before="40" w:after="40"/>
              <w:rPr>
                <w:b/>
                <w:bCs/>
                <w:sz w:val="20"/>
              </w:rPr>
            </w:pPr>
            <w:r w:rsidRPr="001C1094">
              <w:rPr>
                <w:b/>
                <w:bCs/>
                <w:sz w:val="20"/>
              </w:rPr>
              <w:t>$7,668,355</w:t>
            </w:r>
          </w:p>
        </w:tc>
        <w:tc>
          <w:tcPr>
            <w:tcW w:w="1112" w:type="dxa"/>
            <w:shd w:val="clear" w:color="auto" w:fill="auto"/>
          </w:tcPr>
          <w:p w14:paraId="01C458A8" w14:textId="77777777" w:rsidR="00276109" w:rsidRPr="001C1094" w:rsidRDefault="00276109" w:rsidP="006F6993">
            <w:pPr>
              <w:pStyle w:val="82Tabletext"/>
              <w:spacing w:before="40" w:after="40"/>
              <w:rPr>
                <w:b/>
                <w:bCs/>
                <w:sz w:val="20"/>
              </w:rPr>
            </w:pPr>
            <w:r w:rsidRPr="001C1094">
              <w:rPr>
                <w:b/>
                <w:bCs/>
                <w:sz w:val="20"/>
              </w:rPr>
              <w:t>$8,620,448</w:t>
            </w:r>
          </w:p>
        </w:tc>
        <w:tc>
          <w:tcPr>
            <w:tcW w:w="1113" w:type="dxa"/>
            <w:shd w:val="clear" w:color="auto" w:fill="auto"/>
          </w:tcPr>
          <w:p w14:paraId="6489CE04" w14:textId="77777777" w:rsidR="00276109" w:rsidRPr="001C1094" w:rsidRDefault="00276109" w:rsidP="006F6993">
            <w:pPr>
              <w:pStyle w:val="82Tabletext"/>
              <w:spacing w:before="40" w:after="40"/>
              <w:rPr>
                <w:b/>
                <w:bCs/>
                <w:sz w:val="20"/>
              </w:rPr>
            </w:pPr>
            <w:r w:rsidRPr="001C1094">
              <w:rPr>
                <w:b/>
                <w:bCs/>
                <w:sz w:val="20"/>
              </w:rPr>
              <w:t>$9,151,161</w:t>
            </w:r>
          </w:p>
        </w:tc>
        <w:tc>
          <w:tcPr>
            <w:tcW w:w="1112" w:type="dxa"/>
            <w:shd w:val="clear" w:color="auto" w:fill="auto"/>
          </w:tcPr>
          <w:p w14:paraId="15B15702" w14:textId="77777777" w:rsidR="00276109" w:rsidRPr="001C1094" w:rsidRDefault="00276109" w:rsidP="006F6993">
            <w:pPr>
              <w:pStyle w:val="82Tabletext"/>
              <w:spacing w:before="40" w:after="40"/>
              <w:rPr>
                <w:b/>
                <w:bCs/>
                <w:sz w:val="20"/>
              </w:rPr>
            </w:pPr>
            <w:r w:rsidRPr="001C1094">
              <w:rPr>
                <w:b/>
                <w:bCs/>
                <w:sz w:val="20"/>
              </w:rPr>
              <w:t>$9,234,717</w:t>
            </w:r>
          </w:p>
        </w:tc>
        <w:tc>
          <w:tcPr>
            <w:tcW w:w="1113" w:type="dxa"/>
            <w:shd w:val="clear" w:color="auto" w:fill="auto"/>
          </w:tcPr>
          <w:p w14:paraId="4F63B341" w14:textId="77777777" w:rsidR="00276109" w:rsidRPr="001C1094" w:rsidRDefault="00276109" w:rsidP="006F6993">
            <w:pPr>
              <w:pStyle w:val="82Tabletext"/>
              <w:spacing w:before="40" w:after="40"/>
              <w:rPr>
                <w:b/>
                <w:bCs/>
                <w:sz w:val="20"/>
              </w:rPr>
            </w:pPr>
            <w:r w:rsidRPr="001C1094">
              <w:rPr>
                <w:b/>
                <w:bCs/>
                <w:sz w:val="20"/>
              </w:rPr>
              <w:t>$8,939,082</w:t>
            </w:r>
          </w:p>
        </w:tc>
      </w:tr>
    </w:tbl>
    <w:p w14:paraId="7D2833E3" w14:textId="77777777" w:rsidR="003E56F5" w:rsidRDefault="00276109" w:rsidP="001C1094">
      <w:pPr>
        <w:pStyle w:val="Tablenotes1"/>
      </w:pPr>
      <w:r>
        <w:t>* MSAC advised that proposed item DDDD should be separated into singleton and trio tests. The table’s calculations assume 13.4% singleton vs 86.6% trio tests, as observed in the 2020-21 financial year for childhood syndromes MBS items 73358 and 73359.</w:t>
      </w:r>
      <w:bookmarkStart w:id="19" w:name="_Ref83987444"/>
    </w:p>
    <w:p w14:paraId="4AF51011" w14:textId="0B883A36" w:rsidR="001C1094" w:rsidRPr="001C1094" w:rsidRDefault="003E56F5" w:rsidP="001C1094">
      <w:pPr>
        <w:pStyle w:val="Tablenotes1"/>
      </w:pPr>
      <w:r>
        <w:t>Source: modified by the Department to incorporate MSAC’s supported fees, based on Second DCAR Table 12.</w:t>
      </w:r>
      <w:r w:rsidR="001C1094">
        <w:br w:type="page"/>
      </w:r>
    </w:p>
    <w:p w14:paraId="719E2CF9" w14:textId="1F176511" w:rsidR="00C11B22" w:rsidRDefault="00C11B22" w:rsidP="00C11B22">
      <w:pPr>
        <w:pStyle w:val="Caption"/>
        <w:spacing w:before="240"/>
        <w:jc w:val="left"/>
      </w:pPr>
      <w:r>
        <w:lastRenderedPageBreak/>
        <w:t xml:space="preserve">Table </w:t>
      </w:r>
      <w:r w:rsidR="003E46EE">
        <w:fldChar w:fldCharType="begin"/>
      </w:r>
      <w:r w:rsidR="003E46EE">
        <w:instrText xml:space="preserve"> SEQ Table \* ARABIC </w:instrText>
      </w:r>
      <w:r w:rsidR="003E46EE">
        <w:fldChar w:fldCharType="separate"/>
      </w:r>
      <w:r w:rsidR="004205E1">
        <w:rPr>
          <w:noProof/>
        </w:rPr>
        <w:t>9</w:t>
      </w:r>
      <w:r w:rsidR="003E46EE">
        <w:rPr>
          <w:noProof/>
        </w:rPr>
        <w:fldChar w:fldCharType="end"/>
      </w:r>
      <w:bookmarkEnd w:id="19"/>
      <w:r>
        <w:tab/>
      </w:r>
      <w:r w:rsidR="005921F5">
        <w:t>Revised e</w:t>
      </w:r>
      <w:r>
        <w:t>stimated</w:t>
      </w:r>
      <w:r w:rsidRPr="004900E0">
        <w:t xml:space="preserve"> total cost of testing according to incidence and prevalence, and cost of testing according to diagnostic yield with</w:t>
      </w:r>
      <w:r>
        <w:t xml:space="preserve"> cost-offsets from</w:t>
      </w:r>
      <w:r w:rsidRPr="004900E0">
        <w:t xml:space="preserve"> avoided muscle biopsy costs</w:t>
      </w:r>
      <w:r w:rsidR="00BE323F">
        <w:t>, using MSAC’s supported fees</w:t>
      </w:r>
    </w:p>
    <w:tbl>
      <w:tblPr>
        <w:tblStyle w:val="TableGrid1"/>
        <w:tblW w:w="8789" w:type="dxa"/>
        <w:tblInd w:w="-147" w:type="dxa"/>
        <w:tblLayout w:type="fixed"/>
        <w:tblLook w:val="04A0" w:firstRow="1" w:lastRow="0" w:firstColumn="1" w:lastColumn="0" w:noHBand="0" w:noVBand="1"/>
        <w:tblDescription w:val="Revised estimated total cost of testing according to incidence and prevalence, and cost of testing according to diagnostic yield with cost-offsets from avoided muscle biopsy costs, using MSAC’s supported fees"/>
      </w:tblPr>
      <w:tblGrid>
        <w:gridCol w:w="2694"/>
        <w:gridCol w:w="1419"/>
        <w:gridCol w:w="1132"/>
        <w:gridCol w:w="1134"/>
        <w:gridCol w:w="1276"/>
        <w:gridCol w:w="1134"/>
      </w:tblGrid>
      <w:tr w:rsidR="00C11B22" w:rsidRPr="001C1094" w14:paraId="745C88C8" w14:textId="77777777" w:rsidTr="001C1094">
        <w:tc>
          <w:tcPr>
            <w:tcW w:w="2694" w:type="dxa"/>
            <w:vMerge w:val="restart"/>
            <w:shd w:val="clear" w:color="auto" w:fill="auto"/>
            <w:vAlign w:val="center"/>
          </w:tcPr>
          <w:p w14:paraId="3223D881" w14:textId="77777777" w:rsidR="00C11B22" w:rsidRPr="001C1094" w:rsidRDefault="00C11B22" w:rsidP="006F6993">
            <w:pPr>
              <w:pStyle w:val="Style1"/>
            </w:pPr>
          </w:p>
        </w:tc>
        <w:tc>
          <w:tcPr>
            <w:tcW w:w="1419" w:type="dxa"/>
            <w:vMerge w:val="restart"/>
            <w:shd w:val="clear" w:color="auto" w:fill="auto"/>
            <w:vAlign w:val="center"/>
          </w:tcPr>
          <w:p w14:paraId="24358D74" w14:textId="77777777" w:rsidR="00C11B22" w:rsidRPr="001C1094" w:rsidRDefault="00C11B22" w:rsidP="006F6993">
            <w:pPr>
              <w:pStyle w:val="81Tableheaders"/>
              <w:spacing w:before="40" w:after="40"/>
              <w:jc w:val="center"/>
              <w:rPr>
                <w:sz w:val="20"/>
              </w:rPr>
            </w:pPr>
            <w:r w:rsidRPr="001C1094">
              <w:rPr>
                <w:sz w:val="20"/>
              </w:rPr>
              <w:t>Estimated 2021 testing based on</w:t>
            </w:r>
          </w:p>
          <w:p w14:paraId="358064A5" w14:textId="77777777" w:rsidR="00C11B22" w:rsidRPr="001C1094" w:rsidRDefault="00C11B22" w:rsidP="006F6993">
            <w:pPr>
              <w:pStyle w:val="81Tableheaders"/>
              <w:spacing w:before="40" w:after="40"/>
              <w:jc w:val="center"/>
              <w:rPr>
                <w:sz w:val="20"/>
              </w:rPr>
            </w:pPr>
            <w:proofErr w:type="spellStart"/>
            <w:r w:rsidRPr="001C1094">
              <w:rPr>
                <w:sz w:val="20"/>
              </w:rPr>
              <w:t>PathWest</w:t>
            </w:r>
            <w:proofErr w:type="spellEnd"/>
            <w:r w:rsidRPr="001C1094">
              <w:rPr>
                <w:sz w:val="20"/>
              </w:rPr>
              <w:t xml:space="preserve"> data</w:t>
            </w:r>
          </w:p>
        </w:tc>
        <w:tc>
          <w:tcPr>
            <w:tcW w:w="4676" w:type="dxa"/>
            <w:gridSpan w:val="4"/>
            <w:shd w:val="clear" w:color="auto" w:fill="auto"/>
            <w:vAlign w:val="center"/>
          </w:tcPr>
          <w:p w14:paraId="19A1EF0D" w14:textId="77777777" w:rsidR="00C11B22" w:rsidRPr="001C1094" w:rsidRDefault="00C11B22" w:rsidP="006F6993">
            <w:pPr>
              <w:pStyle w:val="81Tableheaders"/>
              <w:spacing w:before="40" w:after="40"/>
              <w:jc w:val="center"/>
              <w:rPr>
                <w:sz w:val="20"/>
              </w:rPr>
            </w:pPr>
            <w:r w:rsidRPr="001C1094">
              <w:rPr>
                <w:sz w:val="20"/>
              </w:rPr>
              <w:t>Epidemiological approach</w:t>
            </w:r>
          </w:p>
        </w:tc>
      </w:tr>
      <w:tr w:rsidR="00C11B22" w:rsidRPr="001C1094" w14:paraId="2D5859E8" w14:textId="77777777" w:rsidTr="001C1094">
        <w:tc>
          <w:tcPr>
            <w:tcW w:w="2694" w:type="dxa"/>
            <w:vMerge/>
            <w:shd w:val="clear" w:color="auto" w:fill="auto"/>
            <w:vAlign w:val="center"/>
          </w:tcPr>
          <w:p w14:paraId="1CF8504D" w14:textId="77777777" w:rsidR="00C11B22" w:rsidRPr="001C1094" w:rsidRDefault="00C11B22" w:rsidP="006F6993">
            <w:pPr>
              <w:pStyle w:val="Style1"/>
            </w:pPr>
          </w:p>
        </w:tc>
        <w:tc>
          <w:tcPr>
            <w:tcW w:w="1419" w:type="dxa"/>
            <w:vMerge/>
            <w:shd w:val="clear" w:color="auto" w:fill="auto"/>
            <w:vAlign w:val="center"/>
          </w:tcPr>
          <w:p w14:paraId="7D2D6652" w14:textId="77777777" w:rsidR="00C11B22" w:rsidRPr="001C1094" w:rsidRDefault="00C11B22" w:rsidP="006F6993">
            <w:pPr>
              <w:pStyle w:val="81Tableheaders"/>
              <w:spacing w:before="40" w:after="40"/>
              <w:jc w:val="center"/>
              <w:rPr>
                <w:sz w:val="20"/>
              </w:rPr>
            </w:pPr>
          </w:p>
        </w:tc>
        <w:tc>
          <w:tcPr>
            <w:tcW w:w="2266" w:type="dxa"/>
            <w:gridSpan w:val="2"/>
            <w:shd w:val="clear" w:color="auto" w:fill="auto"/>
            <w:vAlign w:val="center"/>
          </w:tcPr>
          <w:p w14:paraId="51BB5B83" w14:textId="77777777" w:rsidR="00C11B22" w:rsidRPr="001C1094" w:rsidRDefault="00C11B22" w:rsidP="006F6993">
            <w:pPr>
              <w:pStyle w:val="81Tableheaders"/>
              <w:spacing w:before="40" w:after="40"/>
              <w:jc w:val="center"/>
              <w:rPr>
                <w:sz w:val="20"/>
              </w:rPr>
            </w:pPr>
            <w:r w:rsidRPr="001C1094">
              <w:rPr>
                <w:sz w:val="20"/>
              </w:rPr>
              <w:t>Prevalence 60/100,000</w:t>
            </w:r>
          </w:p>
        </w:tc>
        <w:tc>
          <w:tcPr>
            <w:tcW w:w="2410" w:type="dxa"/>
            <w:gridSpan w:val="2"/>
            <w:shd w:val="clear" w:color="auto" w:fill="auto"/>
            <w:vAlign w:val="center"/>
          </w:tcPr>
          <w:p w14:paraId="1BB29705" w14:textId="77777777" w:rsidR="00C11B22" w:rsidRPr="001C1094" w:rsidRDefault="00C11B22" w:rsidP="006F6993">
            <w:pPr>
              <w:pStyle w:val="81Tableheaders"/>
              <w:spacing w:before="40" w:after="40"/>
              <w:jc w:val="center"/>
              <w:rPr>
                <w:sz w:val="20"/>
              </w:rPr>
            </w:pPr>
            <w:r w:rsidRPr="001C1094">
              <w:rPr>
                <w:sz w:val="20"/>
              </w:rPr>
              <w:t>Prevalence 80/100,000</w:t>
            </w:r>
          </w:p>
        </w:tc>
      </w:tr>
      <w:tr w:rsidR="00C11B22" w:rsidRPr="001C1094" w14:paraId="6D5571A3" w14:textId="77777777" w:rsidTr="001C1094">
        <w:tc>
          <w:tcPr>
            <w:tcW w:w="2694" w:type="dxa"/>
            <w:vMerge/>
            <w:shd w:val="clear" w:color="auto" w:fill="auto"/>
            <w:vAlign w:val="center"/>
          </w:tcPr>
          <w:p w14:paraId="317DF0E0" w14:textId="77777777" w:rsidR="00C11B22" w:rsidRPr="001C1094" w:rsidRDefault="00C11B22" w:rsidP="006F6993">
            <w:pPr>
              <w:pStyle w:val="Style1"/>
            </w:pPr>
          </w:p>
        </w:tc>
        <w:tc>
          <w:tcPr>
            <w:tcW w:w="1419" w:type="dxa"/>
            <w:vMerge/>
            <w:shd w:val="clear" w:color="auto" w:fill="auto"/>
            <w:vAlign w:val="center"/>
          </w:tcPr>
          <w:p w14:paraId="478E81D0" w14:textId="77777777" w:rsidR="00C11B22" w:rsidRPr="001C1094" w:rsidRDefault="00C11B22" w:rsidP="006F6993">
            <w:pPr>
              <w:pStyle w:val="81Tableheaders"/>
              <w:spacing w:before="40" w:after="40"/>
              <w:jc w:val="center"/>
              <w:rPr>
                <w:sz w:val="20"/>
              </w:rPr>
            </w:pPr>
          </w:p>
        </w:tc>
        <w:tc>
          <w:tcPr>
            <w:tcW w:w="1132" w:type="dxa"/>
            <w:shd w:val="clear" w:color="auto" w:fill="auto"/>
            <w:vAlign w:val="center"/>
          </w:tcPr>
          <w:p w14:paraId="4116EA7E" w14:textId="77777777" w:rsidR="00C11B22" w:rsidRPr="001C1094" w:rsidRDefault="00C11B22" w:rsidP="006F6993">
            <w:pPr>
              <w:pStyle w:val="81Tableheaders"/>
              <w:spacing w:before="40" w:after="40"/>
              <w:jc w:val="center"/>
              <w:rPr>
                <w:sz w:val="20"/>
              </w:rPr>
            </w:pPr>
            <w:r w:rsidRPr="001C1094">
              <w:rPr>
                <w:sz w:val="20"/>
              </w:rPr>
              <w:t>Incidence 3.6/100,000</w:t>
            </w:r>
          </w:p>
        </w:tc>
        <w:tc>
          <w:tcPr>
            <w:tcW w:w="1134" w:type="dxa"/>
            <w:shd w:val="clear" w:color="auto" w:fill="auto"/>
            <w:vAlign w:val="center"/>
          </w:tcPr>
          <w:p w14:paraId="272ECD20" w14:textId="77777777" w:rsidR="00C11B22" w:rsidRPr="001C1094" w:rsidRDefault="00C11B22" w:rsidP="006F6993">
            <w:pPr>
              <w:pStyle w:val="81Tableheaders"/>
              <w:spacing w:before="40" w:after="40"/>
              <w:jc w:val="center"/>
              <w:rPr>
                <w:sz w:val="20"/>
              </w:rPr>
            </w:pPr>
            <w:r w:rsidRPr="001C1094">
              <w:rPr>
                <w:sz w:val="20"/>
              </w:rPr>
              <w:t>Incidence 10.6/100,000</w:t>
            </w:r>
          </w:p>
        </w:tc>
        <w:tc>
          <w:tcPr>
            <w:tcW w:w="1276" w:type="dxa"/>
            <w:shd w:val="clear" w:color="auto" w:fill="auto"/>
            <w:vAlign w:val="center"/>
          </w:tcPr>
          <w:p w14:paraId="498006F0" w14:textId="77777777" w:rsidR="00C11B22" w:rsidRPr="001C1094" w:rsidRDefault="00C11B22" w:rsidP="006F6993">
            <w:pPr>
              <w:pStyle w:val="81Tableheaders"/>
              <w:spacing w:before="40" w:after="40"/>
              <w:jc w:val="center"/>
              <w:rPr>
                <w:sz w:val="20"/>
              </w:rPr>
            </w:pPr>
            <w:r w:rsidRPr="001C1094">
              <w:rPr>
                <w:sz w:val="20"/>
              </w:rPr>
              <w:t>Incidence 3.6/100,000</w:t>
            </w:r>
          </w:p>
        </w:tc>
        <w:tc>
          <w:tcPr>
            <w:tcW w:w="1134" w:type="dxa"/>
            <w:shd w:val="clear" w:color="auto" w:fill="auto"/>
            <w:vAlign w:val="center"/>
          </w:tcPr>
          <w:p w14:paraId="4F96F583" w14:textId="77777777" w:rsidR="00C11B22" w:rsidRPr="001C1094" w:rsidRDefault="00C11B22" w:rsidP="006F6993">
            <w:pPr>
              <w:pStyle w:val="81Tableheaders"/>
              <w:spacing w:before="40" w:after="40"/>
              <w:jc w:val="center"/>
              <w:rPr>
                <w:sz w:val="20"/>
              </w:rPr>
            </w:pPr>
            <w:r w:rsidRPr="001C1094">
              <w:rPr>
                <w:sz w:val="20"/>
              </w:rPr>
              <w:t>Incidence 10.6/100,000</w:t>
            </w:r>
          </w:p>
        </w:tc>
      </w:tr>
      <w:tr w:rsidR="00C11B22" w:rsidRPr="001C1094" w14:paraId="61152845" w14:textId="77777777" w:rsidTr="001C1094">
        <w:tc>
          <w:tcPr>
            <w:tcW w:w="2694" w:type="dxa"/>
            <w:shd w:val="clear" w:color="auto" w:fill="auto"/>
            <w:vAlign w:val="center"/>
          </w:tcPr>
          <w:p w14:paraId="01F56C43" w14:textId="77777777" w:rsidR="00C11B22" w:rsidRPr="001C1094" w:rsidRDefault="00C11B22" w:rsidP="006F6993">
            <w:pPr>
              <w:pStyle w:val="Style1"/>
              <w:rPr>
                <w:color w:val="auto"/>
              </w:rPr>
            </w:pPr>
            <w:r w:rsidRPr="001C1094">
              <w:rPr>
                <w:color w:val="auto"/>
              </w:rPr>
              <w:t xml:space="preserve">Total cost of testing, </w:t>
            </w:r>
            <w:r w:rsidRPr="001C1094">
              <w:rPr>
                <w:b/>
                <w:bCs/>
                <w:color w:val="auto"/>
              </w:rPr>
              <w:t>without offset</w:t>
            </w:r>
            <w:r w:rsidRPr="001C1094">
              <w:rPr>
                <w:color w:val="auto"/>
              </w:rPr>
              <w:t xml:space="preserve"> ($)</w:t>
            </w:r>
          </w:p>
          <w:p w14:paraId="1DD13C4C" w14:textId="1B554B0F" w:rsidR="00C11B22" w:rsidRPr="001C1094" w:rsidRDefault="00C11B22" w:rsidP="006F6993">
            <w:pPr>
              <w:pStyle w:val="Style1"/>
              <w:rPr>
                <w:color w:val="auto"/>
              </w:rPr>
            </w:pPr>
            <w:r w:rsidRPr="001C1094">
              <w:rPr>
                <w:color w:val="auto"/>
              </w:rPr>
              <w:t>($1200 for test AAAA, $1800 and $2400 for DDDD1 and DDDD2 respectively – assume 10% of all tested under DDDD)</w:t>
            </w:r>
          </w:p>
        </w:tc>
        <w:tc>
          <w:tcPr>
            <w:tcW w:w="1419" w:type="dxa"/>
            <w:shd w:val="clear" w:color="auto" w:fill="auto"/>
            <w:vAlign w:val="center"/>
          </w:tcPr>
          <w:p w14:paraId="2E2A6504" w14:textId="77777777" w:rsidR="00C11B22" w:rsidRPr="001C1094" w:rsidRDefault="00C11B22" w:rsidP="006F6993">
            <w:pPr>
              <w:pStyle w:val="Style1"/>
              <w:jc w:val="center"/>
              <w:rPr>
                <w:color w:val="auto"/>
              </w:rPr>
            </w:pPr>
            <w:r w:rsidRPr="001C1094">
              <w:rPr>
                <w:color w:val="auto"/>
              </w:rPr>
              <w:t>$2,065,770</w:t>
            </w:r>
          </w:p>
        </w:tc>
        <w:tc>
          <w:tcPr>
            <w:tcW w:w="1132" w:type="dxa"/>
            <w:shd w:val="clear" w:color="auto" w:fill="auto"/>
            <w:vAlign w:val="center"/>
          </w:tcPr>
          <w:p w14:paraId="54DBA36F" w14:textId="77777777" w:rsidR="00C11B22" w:rsidRPr="001C1094" w:rsidRDefault="00C11B22" w:rsidP="006F6993">
            <w:pPr>
              <w:pStyle w:val="Style1"/>
              <w:jc w:val="center"/>
              <w:rPr>
                <w:color w:val="auto"/>
              </w:rPr>
            </w:pPr>
            <w:r w:rsidRPr="001C1094">
              <w:rPr>
                <w:color w:val="auto"/>
              </w:rPr>
              <w:t>$3,210,951</w:t>
            </w:r>
          </w:p>
        </w:tc>
        <w:tc>
          <w:tcPr>
            <w:tcW w:w="1134" w:type="dxa"/>
            <w:shd w:val="clear" w:color="auto" w:fill="auto"/>
            <w:vAlign w:val="center"/>
          </w:tcPr>
          <w:p w14:paraId="3C624841" w14:textId="77777777" w:rsidR="00C11B22" w:rsidRPr="001C1094" w:rsidRDefault="00C11B22" w:rsidP="006F6993">
            <w:pPr>
              <w:pStyle w:val="Style1"/>
              <w:jc w:val="center"/>
              <w:rPr>
                <w:color w:val="auto"/>
              </w:rPr>
            </w:pPr>
            <w:r w:rsidRPr="001C1094">
              <w:rPr>
                <w:color w:val="auto"/>
              </w:rPr>
              <w:t>$5,642,700</w:t>
            </w:r>
          </w:p>
        </w:tc>
        <w:tc>
          <w:tcPr>
            <w:tcW w:w="1276" w:type="dxa"/>
            <w:shd w:val="clear" w:color="auto" w:fill="auto"/>
            <w:vAlign w:val="center"/>
          </w:tcPr>
          <w:p w14:paraId="7D0F96CF" w14:textId="77777777" w:rsidR="00C11B22" w:rsidRPr="001C1094" w:rsidRDefault="00C11B22" w:rsidP="006F6993">
            <w:pPr>
              <w:pStyle w:val="Style1"/>
              <w:jc w:val="center"/>
              <w:rPr>
                <w:color w:val="auto"/>
              </w:rPr>
            </w:pPr>
            <w:r w:rsidRPr="001C1094">
              <w:rPr>
                <w:color w:val="auto"/>
              </w:rPr>
              <w:t>$3,759,050</w:t>
            </w:r>
          </w:p>
        </w:tc>
        <w:tc>
          <w:tcPr>
            <w:tcW w:w="1134" w:type="dxa"/>
            <w:shd w:val="clear" w:color="auto" w:fill="auto"/>
            <w:vAlign w:val="center"/>
          </w:tcPr>
          <w:p w14:paraId="1FC198F1" w14:textId="77777777" w:rsidR="00C11B22" w:rsidRPr="001C1094" w:rsidRDefault="00C11B22" w:rsidP="006F6993">
            <w:pPr>
              <w:pStyle w:val="Style1"/>
              <w:jc w:val="center"/>
              <w:rPr>
                <w:color w:val="auto"/>
              </w:rPr>
            </w:pPr>
            <w:r w:rsidRPr="001C1094">
              <w:rPr>
                <w:color w:val="auto"/>
              </w:rPr>
              <w:t>$6,191,220</w:t>
            </w:r>
          </w:p>
        </w:tc>
      </w:tr>
      <w:tr w:rsidR="00C11B22" w:rsidRPr="001C1094" w14:paraId="621F1A12" w14:textId="77777777" w:rsidTr="001C1094">
        <w:trPr>
          <w:trHeight w:val="1042"/>
        </w:trPr>
        <w:tc>
          <w:tcPr>
            <w:tcW w:w="2694" w:type="dxa"/>
            <w:shd w:val="clear" w:color="auto" w:fill="auto"/>
            <w:vAlign w:val="center"/>
          </w:tcPr>
          <w:p w14:paraId="03B6CD4A" w14:textId="77777777" w:rsidR="00C11B22" w:rsidRPr="001C1094" w:rsidRDefault="00C11B22" w:rsidP="006F6993">
            <w:pPr>
              <w:pStyle w:val="Style1"/>
              <w:rPr>
                <w:color w:val="auto"/>
              </w:rPr>
            </w:pPr>
            <w:r w:rsidRPr="001C1094">
              <w:rPr>
                <w:color w:val="auto"/>
              </w:rPr>
              <w:t xml:space="preserve">Cost of testing </w:t>
            </w:r>
            <w:r w:rsidRPr="001C1094">
              <w:rPr>
                <w:b/>
                <w:bCs/>
                <w:color w:val="auto"/>
              </w:rPr>
              <w:t>with offset for avoided muscle biopsy</w:t>
            </w:r>
            <w:r w:rsidRPr="001C1094">
              <w:rPr>
                <w:color w:val="auto"/>
              </w:rPr>
              <w:t xml:space="preserve"> ($) (Diagnostic yield 20% where epidemiological approach used)</w:t>
            </w:r>
          </w:p>
        </w:tc>
        <w:tc>
          <w:tcPr>
            <w:tcW w:w="1419" w:type="dxa"/>
            <w:shd w:val="clear" w:color="auto" w:fill="auto"/>
            <w:vAlign w:val="center"/>
          </w:tcPr>
          <w:p w14:paraId="4EB7854A" w14:textId="77777777" w:rsidR="00C11B22" w:rsidRPr="001C1094" w:rsidRDefault="00C11B22" w:rsidP="006F6993">
            <w:pPr>
              <w:pStyle w:val="Style1"/>
              <w:jc w:val="center"/>
              <w:rPr>
                <w:b/>
                <w:bCs/>
                <w:color w:val="auto"/>
              </w:rPr>
            </w:pPr>
            <w:r w:rsidRPr="001C1094">
              <w:rPr>
                <w:b/>
                <w:bCs/>
                <w:color w:val="auto"/>
              </w:rPr>
              <w:t>$1,652,616</w:t>
            </w:r>
          </w:p>
        </w:tc>
        <w:tc>
          <w:tcPr>
            <w:tcW w:w="1132" w:type="dxa"/>
            <w:shd w:val="clear" w:color="auto" w:fill="auto"/>
            <w:vAlign w:val="center"/>
          </w:tcPr>
          <w:p w14:paraId="08CB7079" w14:textId="77777777" w:rsidR="00C11B22" w:rsidRPr="001C1094" w:rsidRDefault="00C11B22" w:rsidP="006F6993">
            <w:pPr>
              <w:jc w:val="center"/>
              <w:rPr>
                <w:rFonts w:ascii="Arial Narrow" w:hAnsi="Arial Narrow"/>
              </w:rPr>
            </w:pPr>
            <w:r w:rsidRPr="001C1094">
              <w:rPr>
                <w:rFonts w:ascii="Arial Narrow" w:hAnsi="Arial Narrow"/>
              </w:rPr>
              <w:t>$2,568,761</w:t>
            </w:r>
          </w:p>
        </w:tc>
        <w:tc>
          <w:tcPr>
            <w:tcW w:w="1134" w:type="dxa"/>
            <w:shd w:val="clear" w:color="auto" w:fill="auto"/>
            <w:vAlign w:val="center"/>
          </w:tcPr>
          <w:p w14:paraId="357EA0C9" w14:textId="77777777" w:rsidR="00C11B22" w:rsidRPr="001C1094" w:rsidRDefault="00C11B22" w:rsidP="006F6993">
            <w:pPr>
              <w:jc w:val="center"/>
              <w:rPr>
                <w:rFonts w:ascii="Arial Narrow" w:hAnsi="Arial Narrow"/>
              </w:rPr>
            </w:pPr>
            <w:r w:rsidRPr="001C1094">
              <w:rPr>
                <w:rFonts w:ascii="Arial Narrow" w:hAnsi="Arial Narrow"/>
              </w:rPr>
              <w:t>$4,370,160</w:t>
            </w:r>
          </w:p>
        </w:tc>
        <w:tc>
          <w:tcPr>
            <w:tcW w:w="1276" w:type="dxa"/>
            <w:shd w:val="clear" w:color="auto" w:fill="auto"/>
            <w:vAlign w:val="center"/>
          </w:tcPr>
          <w:p w14:paraId="36A70749" w14:textId="77777777" w:rsidR="00C11B22" w:rsidRPr="001C1094" w:rsidRDefault="00C11B22" w:rsidP="006F6993">
            <w:pPr>
              <w:jc w:val="center"/>
              <w:rPr>
                <w:rFonts w:ascii="Arial Narrow" w:hAnsi="Arial Narrow"/>
              </w:rPr>
            </w:pPr>
            <w:r w:rsidRPr="001C1094">
              <w:rPr>
                <w:rFonts w:ascii="Arial Narrow" w:hAnsi="Arial Narrow"/>
              </w:rPr>
              <w:t>$3,007,240</w:t>
            </w:r>
          </w:p>
        </w:tc>
        <w:tc>
          <w:tcPr>
            <w:tcW w:w="1134" w:type="dxa"/>
            <w:shd w:val="clear" w:color="auto" w:fill="auto"/>
            <w:vAlign w:val="center"/>
          </w:tcPr>
          <w:p w14:paraId="6B66CEF9" w14:textId="77777777" w:rsidR="00C11B22" w:rsidRPr="001C1094" w:rsidRDefault="00C11B22" w:rsidP="006F6993">
            <w:pPr>
              <w:jc w:val="center"/>
              <w:rPr>
                <w:rFonts w:ascii="Arial Narrow" w:hAnsi="Arial Narrow"/>
                <w:b/>
                <w:bCs/>
              </w:rPr>
            </w:pPr>
            <w:r w:rsidRPr="001C1094">
              <w:rPr>
                <w:rFonts w:ascii="Arial Narrow" w:hAnsi="Arial Narrow"/>
                <w:b/>
                <w:bCs/>
              </w:rPr>
              <w:t>$4,952,976</w:t>
            </w:r>
          </w:p>
        </w:tc>
      </w:tr>
      <w:tr w:rsidR="00C11B22" w:rsidRPr="001C1094" w14:paraId="4123A377" w14:textId="77777777" w:rsidTr="001C1094">
        <w:trPr>
          <w:trHeight w:val="1128"/>
        </w:trPr>
        <w:tc>
          <w:tcPr>
            <w:tcW w:w="2694" w:type="dxa"/>
            <w:shd w:val="clear" w:color="auto" w:fill="auto"/>
            <w:vAlign w:val="center"/>
          </w:tcPr>
          <w:p w14:paraId="5E3808DE" w14:textId="77777777" w:rsidR="00C11B22" w:rsidRPr="001C1094" w:rsidRDefault="00C11B22" w:rsidP="006F6993">
            <w:pPr>
              <w:pStyle w:val="Style1"/>
              <w:rPr>
                <w:color w:val="auto"/>
              </w:rPr>
            </w:pPr>
            <w:r w:rsidRPr="001C1094">
              <w:rPr>
                <w:color w:val="auto"/>
              </w:rPr>
              <w:t xml:space="preserve">Cost of testing </w:t>
            </w:r>
            <w:r w:rsidRPr="001C1094">
              <w:rPr>
                <w:b/>
                <w:bCs/>
                <w:color w:val="auto"/>
              </w:rPr>
              <w:t>with offset for avoided muscle biopsies</w:t>
            </w:r>
            <w:r w:rsidRPr="001C1094">
              <w:rPr>
                <w:color w:val="auto"/>
              </w:rPr>
              <w:t xml:space="preserve"> ($) (Diagnostic yield = 26% where epidemiological approach used)</w:t>
            </w:r>
          </w:p>
        </w:tc>
        <w:tc>
          <w:tcPr>
            <w:tcW w:w="1419" w:type="dxa"/>
            <w:shd w:val="clear" w:color="auto" w:fill="auto"/>
            <w:vAlign w:val="center"/>
          </w:tcPr>
          <w:p w14:paraId="26B90ECE" w14:textId="77777777" w:rsidR="00C11B22" w:rsidRPr="001C1094" w:rsidRDefault="00C11B22" w:rsidP="006F6993">
            <w:pPr>
              <w:pStyle w:val="Style1"/>
              <w:jc w:val="center"/>
              <w:rPr>
                <w:color w:val="auto"/>
              </w:rPr>
            </w:pPr>
          </w:p>
        </w:tc>
        <w:tc>
          <w:tcPr>
            <w:tcW w:w="1132" w:type="dxa"/>
            <w:shd w:val="clear" w:color="auto" w:fill="auto"/>
            <w:vAlign w:val="center"/>
          </w:tcPr>
          <w:p w14:paraId="6FAFD7E1" w14:textId="77777777" w:rsidR="00C11B22" w:rsidRPr="001C1094" w:rsidRDefault="00C11B22" w:rsidP="006F6993">
            <w:pPr>
              <w:jc w:val="center"/>
              <w:rPr>
                <w:rFonts w:ascii="Arial Narrow" w:hAnsi="Arial Narrow"/>
              </w:rPr>
            </w:pPr>
            <w:r w:rsidRPr="001C1094">
              <w:rPr>
                <w:rFonts w:ascii="Arial Narrow" w:hAnsi="Arial Narrow"/>
              </w:rPr>
              <w:t>$2,376,104</w:t>
            </w:r>
          </w:p>
        </w:tc>
        <w:tc>
          <w:tcPr>
            <w:tcW w:w="1134" w:type="dxa"/>
            <w:shd w:val="clear" w:color="auto" w:fill="auto"/>
            <w:vAlign w:val="center"/>
          </w:tcPr>
          <w:p w14:paraId="54DC47C8" w14:textId="77777777" w:rsidR="00C11B22" w:rsidRPr="001C1094" w:rsidRDefault="00C11B22" w:rsidP="006F6993">
            <w:pPr>
              <w:jc w:val="center"/>
              <w:rPr>
                <w:rFonts w:ascii="Arial Narrow" w:hAnsi="Arial Narrow"/>
              </w:rPr>
            </w:pPr>
            <w:r w:rsidRPr="001C1094">
              <w:rPr>
                <w:rFonts w:ascii="Arial Narrow" w:hAnsi="Arial Narrow"/>
              </w:rPr>
              <w:t>$4,514,139</w:t>
            </w:r>
          </w:p>
        </w:tc>
        <w:tc>
          <w:tcPr>
            <w:tcW w:w="1276" w:type="dxa"/>
            <w:shd w:val="clear" w:color="auto" w:fill="auto"/>
            <w:vAlign w:val="center"/>
          </w:tcPr>
          <w:p w14:paraId="1060F57E" w14:textId="77777777" w:rsidR="00C11B22" w:rsidRPr="001C1094" w:rsidRDefault="00C11B22" w:rsidP="006F6993">
            <w:pPr>
              <w:jc w:val="center"/>
              <w:rPr>
                <w:rFonts w:ascii="Arial Narrow" w:hAnsi="Arial Narrow"/>
              </w:rPr>
            </w:pPr>
            <w:r w:rsidRPr="001C1094">
              <w:rPr>
                <w:rFonts w:ascii="Arial Narrow" w:hAnsi="Arial Narrow"/>
              </w:rPr>
              <w:t>$2,781,697</w:t>
            </w:r>
          </w:p>
        </w:tc>
        <w:tc>
          <w:tcPr>
            <w:tcW w:w="1134" w:type="dxa"/>
            <w:shd w:val="clear" w:color="auto" w:fill="auto"/>
            <w:vAlign w:val="center"/>
          </w:tcPr>
          <w:p w14:paraId="613ECBF7" w14:textId="77777777" w:rsidR="00C11B22" w:rsidRPr="001C1094" w:rsidRDefault="00C11B22" w:rsidP="006F6993">
            <w:pPr>
              <w:jc w:val="center"/>
              <w:rPr>
                <w:rFonts w:ascii="Arial Narrow" w:hAnsi="Arial Narrow"/>
              </w:rPr>
            </w:pPr>
            <w:r w:rsidRPr="001C1094">
              <w:rPr>
                <w:rFonts w:ascii="Arial Narrow" w:hAnsi="Arial Narrow"/>
              </w:rPr>
              <w:t>$4,581,502</w:t>
            </w:r>
          </w:p>
        </w:tc>
      </w:tr>
      <w:tr w:rsidR="00C11B22" w:rsidRPr="001C1094" w14:paraId="310AD5F3" w14:textId="77777777" w:rsidTr="001C1094">
        <w:trPr>
          <w:trHeight w:val="801"/>
        </w:trPr>
        <w:tc>
          <w:tcPr>
            <w:tcW w:w="2694" w:type="dxa"/>
            <w:shd w:val="clear" w:color="auto" w:fill="auto"/>
            <w:vAlign w:val="center"/>
          </w:tcPr>
          <w:p w14:paraId="119E5373" w14:textId="48BAD140" w:rsidR="00C11B22" w:rsidRPr="001C1094" w:rsidRDefault="00C11B22" w:rsidP="00C11B22">
            <w:pPr>
              <w:pStyle w:val="TableText0"/>
              <w:rPr>
                <w:szCs w:val="20"/>
              </w:rPr>
            </w:pPr>
            <w:r w:rsidRPr="001C1094">
              <w:rPr>
                <w:szCs w:val="20"/>
              </w:rPr>
              <w:t>Cost of testing BBBB $500</w:t>
            </w:r>
          </w:p>
        </w:tc>
        <w:tc>
          <w:tcPr>
            <w:tcW w:w="1419" w:type="dxa"/>
            <w:shd w:val="clear" w:color="auto" w:fill="auto"/>
            <w:vAlign w:val="center"/>
          </w:tcPr>
          <w:p w14:paraId="44AD5B23" w14:textId="77777777" w:rsidR="00C11B22" w:rsidRPr="001C1094" w:rsidRDefault="00C11B22" w:rsidP="006F6993">
            <w:pPr>
              <w:pStyle w:val="Style1"/>
              <w:jc w:val="center"/>
              <w:rPr>
                <w:color w:val="auto"/>
              </w:rPr>
            </w:pPr>
            <w:r w:rsidRPr="001C1094">
              <w:rPr>
                <w:color w:val="auto"/>
              </w:rPr>
              <w:t>$157,500</w:t>
            </w:r>
          </w:p>
          <w:p w14:paraId="544B2B90" w14:textId="498E3005" w:rsidR="00C11B22" w:rsidRPr="001C1094" w:rsidRDefault="00C11B22" w:rsidP="00C11B22">
            <w:pPr>
              <w:pStyle w:val="Style1"/>
              <w:jc w:val="center"/>
              <w:rPr>
                <w:color w:val="auto"/>
              </w:rPr>
            </w:pPr>
            <w:r w:rsidRPr="001C1094">
              <w:rPr>
                <w:color w:val="auto"/>
              </w:rPr>
              <w:t>(315 tests)</w:t>
            </w:r>
          </w:p>
        </w:tc>
        <w:tc>
          <w:tcPr>
            <w:tcW w:w="1132" w:type="dxa"/>
            <w:shd w:val="clear" w:color="auto" w:fill="auto"/>
            <w:vAlign w:val="center"/>
          </w:tcPr>
          <w:p w14:paraId="0B945871" w14:textId="77777777" w:rsidR="00C11B22" w:rsidRPr="001C1094" w:rsidRDefault="00C11B22" w:rsidP="006F6993">
            <w:pPr>
              <w:pStyle w:val="Style1"/>
              <w:jc w:val="center"/>
              <w:rPr>
                <w:color w:val="auto"/>
              </w:rPr>
            </w:pPr>
            <w:r w:rsidRPr="001C1094">
              <w:rPr>
                <w:color w:val="auto"/>
              </w:rPr>
              <w:t>$1,142,466</w:t>
            </w:r>
          </w:p>
          <w:p w14:paraId="0E20FE15" w14:textId="1D3A178C" w:rsidR="00C11B22" w:rsidRPr="001C1094" w:rsidRDefault="00C11B22" w:rsidP="00C11B22">
            <w:pPr>
              <w:pStyle w:val="Style1"/>
              <w:jc w:val="center"/>
              <w:rPr>
                <w:color w:val="auto"/>
              </w:rPr>
            </w:pPr>
            <w:r w:rsidRPr="001C1094">
              <w:rPr>
                <w:color w:val="auto"/>
              </w:rPr>
              <w:t>(2285 tests)</w:t>
            </w:r>
          </w:p>
        </w:tc>
        <w:tc>
          <w:tcPr>
            <w:tcW w:w="1134" w:type="dxa"/>
            <w:shd w:val="clear" w:color="auto" w:fill="auto"/>
            <w:vAlign w:val="center"/>
          </w:tcPr>
          <w:p w14:paraId="0E32FA07" w14:textId="77777777" w:rsidR="00C11B22" w:rsidRPr="001C1094" w:rsidRDefault="00C11B22" w:rsidP="00C11B22">
            <w:pPr>
              <w:pStyle w:val="Style1"/>
              <w:jc w:val="center"/>
              <w:rPr>
                <w:color w:val="auto"/>
              </w:rPr>
            </w:pPr>
            <w:r w:rsidRPr="001C1094">
              <w:rPr>
                <w:color w:val="auto"/>
              </w:rPr>
              <w:t>$1,142,466</w:t>
            </w:r>
          </w:p>
          <w:p w14:paraId="103C9FEC" w14:textId="54AE91B8" w:rsidR="00C11B22" w:rsidRPr="001C1094" w:rsidRDefault="00C11B22" w:rsidP="00C11B22">
            <w:pPr>
              <w:pStyle w:val="Style1"/>
              <w:jc w:val="center"/>
              <w:rPr>
                <w:color w:val="auto"/>
              </w:rPr>
            </w:pPr>
            <w:r w:rsidRPr="001C1094">
              <w:rPr>
                <w:color w:val="auto"/>
              </w:rPr>
              <w:t>(2285 tests)</w:t>
            </w:r>
          </w:p>
        </w:tc>
        <w:tc>
          <w:tcPr>
            <w:tcW w:w="1276" w:type="dxa"/>
            <w:shd w:val="clear" w:color="auto" w:fill="auto"/>
            <w:vAlign w:val="center"/>
          </w:tcPr>
          <w:p w14:paraId="498A0B9E" w14:textId="77777777" w:rsidR="00C11B22" w:rsidRPr="001C1094" w:rsidRDefault="00C11B22" w:rsidP="006F6993">
            <w:pPr>
              <w:jc w:val="center"/>
              <w:rPr>
                <w:rFonts w:ascii="Arial Narrow" w:hAnsi="Arial Narrow"/>
              </w:rPr>
            </w:pPr>
            <w:r w:rsidRPr="001C1094">
              <w:rPr>
                <w:rFonts w:ascii="Arial Narrow" w:hAnsi="Arial Narrow"/>
              </w:rPr>
              <w:t>$1,142,466</w:t>
            </w:r>
          </w:p>
          <w:p w14:paraId="5E988372" w14:textId="74604FB6" w:rsidR="00C11B22" w:rsidRPr="001C1094" w:rsidRDefault="00C11B22" w:rsidP="00C11B22">
            <w:pPr>
              <w:pStyle w:val="Style1"/>
              <w:jc w:val="center"/>
              <w:rPr>
                <w:color w:val="auto"/>
              </w:rPr>
            </w:pPr>
            <w:r w:rsidRPr="001C1094">
              <w:rPr>
                <w:color w:val="auto"/>
              </w:rPr>
              <w:t>(2285 tests)</w:t>
            </w:r>
          </w:p>
        </w:tc>
        <w:tc>
          <w:tcPr>
            <w:tcW w:w="1134" w:type="dxa"/>
            <w:shd w:val="clear" w:color="auto" w:fill="auto"/>
            <w:vAlign w:val="center"/>
          </w:tcPr>
          <w:p w14:paraId="53AE9939" w14:textId="77777777" w:rsidR="00C11B22" w:rsidRPr="001C1094" w:rsidRDefault="00C11B22" w:rsidP="006F6993">
            <w:pPr>
              <w:jc w:val="center"/>
              <w:rPr>
                <w:rFonts w:ascii="Arial Narrow" w:hAnsi="Arial Narrow"/>
              </w:rPr>
            </w:pPr>
            <w:r w:rsidRPr="001C1094">
              <w:rPr>
                <w:rFonts w:ascii="Arial Narrow" w:hAnsi="Arial Narrow"/>
              </w:rPr>
              <w:t>$1,142,466</w:t>
            </w:r>
          </w:p>
          <w:p w14:paraId="7E5F81FD" w14:textId="6114FE2B" w:rsidR="00C11B22" w:rsidRPr="001C1094" w:rsidRDefault="00C11B22" w:rsidP="00C11B22">
            <w:pPr>
              <w:pStyle w:val="Style1"/>
              <w:jc w:val="center"/>
              <w:rPr>
                <w:color w:val="auto"/>
              </w:rPr>
            </w:pPr>
            <w:r w:rsidRPr="001C1094">
              <w:rPr>
                <w:color w:val="auto"/>
              </w:rPr>
              <w:t>(2285 tests)</w:t>
            </w:r>
          </w:p>
        </w:tc>
      </w:tr>
      <w:tr w:rsidR="00C11B22" w:rsidRPr="001C1094" w14:paraId="1F4A16D4" w14:textId="77777777" w:rsidTr="001C1094">
        <w:trPr>
          <w:trHeight w:val="411"/>
        </w:trPr>
        <w:tc>
          <w:tcPr>
            <w:tcW w:w="2694" w:type="dxa"/>
            <w:shd w:val="clear" w:color="auto" w:fill="auto"/>
            <w:vAlign w:val="center"/>
          </w:tcPr>
          <w:p w14:paraId="366711DE" w14:textId="5551110B" w:rsidR="00C11B22" w:rsidRPr="001C1094" w:rsidRDefault="00C11B22" w:rsidP="00C11B22">
            <w:pPr>
              <w:pStyle w:val="TableText0"/>
              <w:rPr>
                <w:szCs w:val="20"/>
              </w:rPr>
            </w:pPr>
            <w:r w:rsidRPr="001C1094">
              <w:rPr>
                <w:szCs w:val="20"/>
              </w:rPr>
              <w:t>Cost of testing CCCC $1,600</w:t>
            </w:r>
          </w:p>
        </w:tc>
        <w:tc>
          <w:tcPr>
            <w:tcW w:w="1419" w:type="dxa"/>
            <w:shd w:val="clear" w:color="auto" w:fill="auto"/>
            <w:vAlign w:val="center"/>
          </w:tcPr>
          <w:p w14:paraId="300698F5" w14:textId="77777777" w:rsidR="00C11B22" w:rsidRPr="001C1094" w:rsidRDefault="00C11B22" w:rsidP="00C11B22">
            <w:pPr>
              <w:jc w:val="center"/>
              <w:rPr>
                <w:rFonts w:ascii="Arial Narrow" w:hAnsi="Arial Narrow"/>
              </w:rPr>
            </w:pPr>
            <w:r w:rsidRPr="001C1094">
              <w:rPr>
                <w:rFonts w:ascii="Arial Narrow" w:hAnsi="Arial Narrow"/>
              </w:rPr>
              <w:t>$179,001</w:t>
            </w:r>
          </w:p>
          <w:p w14:paraId="66FE2DB2" w14:textId="0826ADDF" w:rsidR="00C11B22" w:rsidRPr="001C1094" w:rsidRDefault="00C11B22" w:rsidP="00C11B22">
            <w:pPr>
              <w:jc w:val="center"/>
              <w:rPr>
                <w:rFonts w:ascii="Arial Narrow" w:hAnsi="Arial Narrow"/>
              </w:rPr>
            </w:pPr>
            <w:r w:rsidRPr="001C1094">
              <w:rPr>
                <w:rFonts w:ascii="Arial Narrow" w:hAnsi="Arial Narrow"/>
              </w:rPr>
              <w:t>(112 tests)</w:t>
            </w:r>
          </w:p>
        </w:tc>
        <w:tc>
          <w:tcPr>
            <w:tcW w:w="1132" w:type="dxa"/>
            <w:shd w:val="clear" w:color="auto" w:fill="auto"/>
            <w:vAlign w:val="center"/>
          </w:tcPr>
          <w:p w14:paraId="4EE906B3" w14:textId="77777777" w:rsidR="00C11B22" w:rsidRPr="001C1094" w:rsidRDefault="00C11B22" w:rsidP="00C11B22">
            <w:pPr>
              <w:jc w:val="center"/>
              <w:rPr>
                <w:rFonts w:ascii="Arial Narrow" w:hAnsi="Arial Narrow"/>
              </w:rPr>
            </w:pPr>
            <w:r w:rsidRPr="001C1094">
              <w:rPr>
                <w:rFonts w:ascii="Arial Narrow" w:hAnsi="Arial Narrow"/>
              </w:rPr>
              <w:t>$179,001</w:t>
            </w:r>
          </w:p>
          <w:p w14:paraId="3CD0DE8E" w14:textId="5CB2CDD4" w:rsidR="00C11B22" w:rsidRPr="001C1094" w:rsidRDefault="00C11B22" w:rsidP="00C11B22">
            <w:pPr>
              <w:jc w:val="center"/>
              <w:rPr>
                <w:rFonts w:ascii="Arial Narrow" w:hAnsi="Arial Narrow"/>
              </w:rPr>
            </w:pPr>
            <w:r w:rsidRPr="001C1094">
              <w:rPr>
                <w:rFonts w:ascii="Arial Narrow" w:hAnsi="Arial Narrow"/>
              </w:rPr>
              <w:t>(112 tests)</w:t>
            </w:r>
          </w:p>
        </w:tc>
        <w:tc>
          <w:tcPr>
            <w:tcW w:w="1134" w:type="dxa"/>
            <w:shd w:val="clear" w:color="auto" w:fill="auto"/>
            <w:vAlign w:val="center"/>
          </w:tcPr>
          <w:p w14:paraId="528F1ED2" w14:textId="77777777" w:rsidR="00C11B22" w:rsidRPr="001C1094" w:rsidRDefault="00C11B22" w:rsidP="00C11B22">
            <w:pPr>
              <w:jc w:val="center"/>
              <w:rPr>
                <w:rFonts w:ascii="Arial Narrow" w:hAnsi="Arial Narrow"/>
              </w:rPr>
            </w:pPr>
            <w:r w:rsidRPr="001C1094">
              <w:rPr>
                <w:rFonts w:ascii="Arial Narrow" w:hAnsi="Arial Narrow"/>
              </w:rPr>
              <w:t>$179,001</w:t>
            </w:r>
          </w:p>
          <w:p w14:paraId="0DA78327" w14:textId="579E5234" w:rsidR="00C11B22" w:rsidRPr="001C1094" w:rsidRDefault="00C11B22" w:rsidP="00C11B22">
            <w:pPr>
              <w:jc w:val="center"/>
              <w:rPr>
                <w:rFonts w:ascii="Arial Narrow" w:hAnsi="Arial Narrow"/>
              </w:rPr>
            </w:pPr>
            <w:r w:rsidRPr="001C1094">
              <w:rPr>
                <w:rFonts w:ascii="Arial Narrow" w:hAnsi="Arial Narrow"/>
              </w:rPr>
              <w:t>(112 tests)</w:t>
            </w:r>
          </w:p>
        </w:tc>
        <w:tc>
          <w:tcPr>
            <w:tcW w:w="1276" w:type="dxa"/>
            <w:shd w:val="clear" w:color="auto" w:fill="auto"/>
            <w:vAlign w:val="center"/>
          </w:tcPr>
          <w:p w14:paraId="6FC46EA7" w14:textId="77777777" w:rsidR="00C11B22" w:rsidRPr="001C1094" w:rsidRDefault="00C11B22" w:rsidP="00C11B22">
            <w:pPr>
              <w:jc w:val="center"/>
              <w:rPr>
                <w:rFonts w:ascii="Arial Narrow" w:hAnsi="Arial Narrow"/>
              </w:rPr>
            </w:pPr>
            <w:r w:rsidRPr="001C1094">
              <w:rPr>
                <w:rFonts w:ascii="Arial Narrow" w:hAnsi="Arial Narrow"/>
              </w:rPr>
              <w:t>$179,001</w:t>
            </w:r>
          </w:p>
          <w:p w14:paraId="044937E5" w14:textId="5DD5EDBC" w:rsidR="00C11B22" w:rsidRPr="001C1094" w:rsidRDefault="00C11B22" w:rsidP="00C11B22">
            <w:pPr>
              <w:jc w:val="center"/>
              <w:rPr>
                <w:rFonts w:ascii="Arial Narrow" w:hAnsi="Arial Narrow"/>
              </w:rPr>
            </w:pPr>
            <w:r w:rsidRPr="001C1094">
              <w:rPr>
                <w:rFonts w:ascii="Arial Narrow" w:hAnsi="Arial Narrow"/>
              </w:rPr>
              <w:t>(112 tests)</w:t>
            </w:r>
          </w:p>
        </w:tc>
        <w:tc>
          <w:tcPr>
            <w:tcW w:w="1134" w:type="dxa"/>
            <w:shd w:val="clear" w:color="auto" w:fill="auto"/>
            <w:vAlign w:val="center"/>
          </w:tcPr>
          <w:p w14:paraId="730E22E1" w14:textId="77777777" w:rsidR="00C11B22" w:rsidRPr="001C1094" w:rsidRDefault="00C11B22" w:rsidP="00C11B22">
            <w:pPr>
              <w:jc w:val="center"/>
              <w:rPr>
                <w:rFonts w:ascii="Arial Narrow" w:hAnsi="Arial Narrow"/>
              </w:rPr>
            </w:pPr>
            <w:r w:rsidRPr="001C1094">
              <w:rPr>
                <w:rFonts w:ascii="Arial Narrow" w:hAnsi="Arial Narrow"/>
              </w:rPr>
              <w:t>$179,001</w:t>
            </w:r>
          </w:p>
          <w:p w14:paraId="328123E0" w14:textId="005D0CED" w:rsidR="00C11B22" w:rsidRPr="001C1094" w:rsidRDefault="00C11B22" w:rsidP="00C11B22">
            <w:pPr>
              <w:jc w:val="center"/>
              <w:rPr>
                <w:rFonts w:ascii="Arial Narrow" w:hAnsi="Arial Narrow"/>
              </w:rPr>
            </w:pPr>
            <w:r w:rsidRPr="001C1094">
              <w:rPr>
                <w:rFonts w:ascii="Arial Narrow" w:hAnsi="Arial Narrow"/>
              </w:rPr>
              <w:t>(112 tests)</w:t>
            </w:r>
          </w:p>
        </w:tc>
      </w:tr>
      <w:tr w:rsidR="00C11B22" w:rsidRPr="001C1094" w14:paraId="49993F17" w14:textId="77777777" w:rsidTr="001C1094">
        <w:trPr>
          <w:trHeight w:val="58"/>
        </w:trPr>
        <w:tc>
          <w:tcPr>
            <w:tcW w:w="2694" w:type="dxa"/>
            <w:shd w:val="clear" w:color="auto" w:fill="auto"/>
            <w:vAlign w:val="center"/>
          </w:tcPr>
          <w:p w14:paraId="785A7D4F" w14:textId="77777777" w:rsidR="00C11B22" w:rsidRPr="001C1094" w:rsidRDefault="00C11B22" w:rsidP="006F6993">
            <w:pPr>
              <w:pStyle w:val="TableText0"/>
              <w:rPr>
                <w:szCs w:val="20"/>
              </w:rPr>
            </w:pPr>
            <w:r w:rsidRPr="001C1094">
              <w:rPr>
                <w:szCs w:val="20"/>
              </w:rPr>
              <w:t>Cost of testing EEEE $1200</w:t>
            </w:r>
          </w:p>
        </w:tc>
        <w:tc>
          <w:tcPr>
            <w:tcW w:w="1419" w:type="dxa"/>
            <w:shd w:val="clear" w:color="auto" w:fill="auto"/>
            <w:vAlign w:val="center"/>
          </w:tcPr>
          <w:p w14:paraId="428625AD" w14:textId="77777777" w:rsidR="00C11B22" w:rsidRPr="001C1094" w:rsidRDefault="00C11B22" w:rsidP="006F6993">
            <w:pPr>
              <w:pStyle w:val="TableText0"/>
              <w:jc w:val="center"/>
              <w:rPr>
                <w:szCs w:val="20"/>
              </w:rPr>
            </w:pPr>
            <w:r w:rsidRPr="001C1094">
              <w:rPr>
                <w:szCs w:val="20"/>
              </w:rPr>
              <w:t>$301,200</w:t>
            </w:r>
          </w:p>
          <w:p w14:paraId="2F603FEE" w14:textId="77777777" w:rsidR="00C11B22" w:rsidRPr="001C1094" w:rsidRDefault="00C11B22" w:rsidP="006F6993">
            <w:pPr>
              <w:pStyle w:val="TableText0"/>
              <w:jc w:val="center"/>
              <w:rPr>
                <w:szCs w:val="20"/>
              </w:rPr>
            </w:pPr>
            <w:r w:rsidRPr="001C1094">
              <w:rPr>
                <w:szCs w:val="20"/>
              </w:rPr>
              <w:t>(251 tests)</w:t>
            </w:r>
          </w:p>
        </w:tc>
        <w:tc>
          <w:tcPr>
            <w:tcW w:w="1132" w:type="dxa"/>
            <w:shd w:val="clear" w:color="auto" w:fill="auto"/>
            <w:vAlign w:val="center"/>
          </w:tcPr>
          <w:p w14:paraId="1A815E63" w14:textId="77777777" w:rsidR="00C11B22" w:rsidRPr="001C1094" w:rsidRDefault="00C11B22" w:rsidP="006F6993">
            <w:pPr>
              <w:pStyle w:val="TableText0"/>
              <w:jc w:val="center"/>
              <w:rPr>
                <w:szCs w:val="20"/>
              </w:rPr>
            </w:pPr>
            <w:r w:rsidRPr="001C1094">
              <w:rPr>
                <w:szCs w:val="20"/>
              </w:rPr>
              <w:t>$301,200</w:t>
            </w:r>
          </w:p>
          <w:p w14:paraId="700EB608" w14:textId="77777777" w:rsidR="00C11B22" w:rsidRPr="001C1094" w:rsidRDefault="00C11B22" w:rsidP="006F6993">
            <w:pPr>
              <w:pStyle w:val="Style1"/>
              <w:jc w:val="center"/>
              <w:rPr>
                <w:color w:val="auto"/>
              </w:rPr>
            </w:pPr>
            <w:r w:rsidRPr="001C1094">
              <w:rPr>
                <w:color w:val="auto"/>
              </w:rPr>
              <w:t>(251 tests)</w:t>
            </w:r>
          </w:p>
        </w:tc>
        <w:tc>
          <w:tcPr>
            <w:tcW w:w="1134" w:type="dxa"/>
            <w:shd w:val="clear" w:color="auto" w:fill="auto"/>
            <w:vAlign w:val="center"/>
          </w:tcPr>
          <w:p w14:paraId="7F6A4857" w14:textId="77777777" w:rsidR="00C11B22" w:rsidRPr="001C1094" w:rsidRDefault="00C11B22" w:rsidP="006F6993">
            <w:pPr>
              <w:pStyle w:val="TableText0"/>
              <w:jc w:val="center"/>
              <w:rPr>
                <w:szCs w:val="20"/>
              </w:rPr>
            </w:pPr>
            <w:r w:rsidRPr="001C1094">
              <w:rPr>
                <w:szCs w:val="20"/>
              </w:rPr>
              <w:t>$301,200</w:t>
            </w:r>
          </w:p>
          <w:p w14:paraId="2B662020" w14:textId="77777777" w:rsidR="00C11B22" w:rsidRPr="001C1094" w:rsidRDefault="00C11B22" w:rsidP="006F6993">
            <w:pPr>
              <w:pStyle w:val="Style1"/>
              <w:jc w:val="center"/>
              <w:rPr>
                <w:color w:val="auto"/>
              </w:rPr>
            </w:pPr>
            <w:r w:rsidRPr="001C1094">
              <w:rPr>
                <w:color w:val="auto"/>
              </w:rPr>
              <w:t>(251 tests)</w:t>
            </w:r>
          </w:p>
        </w:tc>
        <w:tc>
          <w:tcPr>
            <w:tcW w:w="1276" w:type="dxa"/>
            <w:shd w:val="clear" w:color="auto" w:fill="auto"/>
            <w:vAlign w:val="center"/>
          </w:tcPr>
          <w:p w14:paraId="07EB4278" w14:textId="77777777" w:rsidR="00C11B22" w:rsidRPr="001C1094" w:rsidRDefault="00C11B22" w:rsidP="006F6993">
            <w:pPr>
              <w:pStyle w:val="TableText0"/>
              <w:jc w:val="center"/>
              <w:rPr>
                <w:szCs w:val="20"/>
              </w:rPr>
            </w:pPr>
            <w:r w:rsidRPr="001C1094">
              <w:rPr>
                <w:szCs w:val="20"/>
              </w:rPr>
              <w:t>$301,200</w:t>
            </w:r>
          </w:p>
          <w:p w14:paraId="6761BD13" w14:textId="77777777" w:rsidR="00C11B22" w:rsidRPr="001C1094" w:rsidRDefault="00C11B22" w:rsidP="006F6993">
            <w:pPr>
              <w:pStyle w:val="Style1"/>
              <w:jc w:val="center"/>
              <w:rPr>
                <w:color w:val="auto"/>
              </w:rPr>
            </w:pPr>
            <w:r w:rsidRPr="001C1094">
              <w:rPr>
                <w:color w:val="auto"/>
              </w:rPr>
              <w:t>(251 tests)</w:t>
            </w:r>
          </w:p>
        </w:tc>
        <w:tc>
          <w:tcPr>
            <w:tcW w:w="1134" w:type="dxa"/>
            <w:shd w:val="clear" w:color="auto" w:fill="auto"/>
            <w:vAlign w:val="center"/>
          </w:tcPr>
          <w:p w14:paraId="2B9F66AF" w14:textId="77777777" w:rsidR="00C11B22" w:rsidRPr="001C1094" w:rsidRDefault="00C11B22" w:rsidP="006F6993">
            <w:pPr>
              <w:pStyle w:val="TableText0"/>
              <w:jc w:val="center"/>
              <w:rPr>
                <w:szCs w:val="20"/>
              </w:rPr>
            </w:pPr>
            <w:r w:rsidRPr="001C1094">
              <w:rPr>
                <w:szCs w:val="20"/>
              </w:rPr>
              <w:t>$301,200</w:t>
            </w:r>
          </w:p>
          <w:p w14:paraId="1D3306D1" w14:textId="77777777" w:rsidR="00C11B22" w:rsidRPr="001C1094" w:rsidRDefault="00C11B22" w:rsidP="006F6993">
            <w:pPr>
              <w:pStyle w:val="Style1"/>
              <w:jc w:val="center"/>
              <w:rPr>
                <w:color w:val="auto"/>
              </w:rPr>
            </w:pPr>
            <w:r w:rsidRPr="001C1094">
              <w:rPr>
                <w:color w:val="auto"/>
              </w:rPr>
              <w:t>(251 tests)</w:t>
            </w:r>
          </w:p>
        </w:tc>
      </w:tr>
      <w:tr w:rsidR="00C11B22" w:rsidRPr="001C1094" w14:paraId="1A6B8DDD" w14:textId="77777777" w:rsidTr="001C1094">
        <w:tc>
          <w:tcPr>
            <w:tcW w:w="2694" w:type="dxa"/>
            <w:tcBorders>
              <w:bottom w:val="double" w:sz="4" w:space="0" w:color="auto"/>
            </w:tcBorders>
            <w:shd w:val="clear" w:color="auto" w:fill="auto"/>
            <w:vAlign w:val="center"/>
          </w:tcPr>
          <w:p w14:paraId="171633EB" w14:textId="77777777" w:rsidR="00C11B22" w:rsidRPr="001C1094" w:rsidRDefault="00C11B22" w:rsidP="006F6993">
            <w:pPr>
              <w:pStyle w:val="TableText0"/>
              <w:rPr>
                <w:szCs w:val="20"/>
              </w:rPr>
            </w:pPr>
            <w:r w:rsidRPr="001C1094">
              <w:rPr>
                <w:szCs w:val="20"/>
              </w:rPr>
              <w:t>Cost of FFFF</w:t>
            </w:r>
          </w:p>
        </w:tc>
        <w:tc>
          <w:tcPr>
            <w:tcW w:w="1419" w:type="dxa"/>
            <w:tcBorders>
              <w:bottom w:val="double" w:sz="4" w:space="0" w:color="auto"/>
            </w:tcBorders>
            <w:shd w:val="clear" w:color="auto" w:fill="auto"/>
            <w:vAlign w:val="center"/>
          </w:tcPr>
          <w:p w14:paraId="49D27AB0" w14:textId="77777777" w:rsidR="00C11B22" w:rsidRPr="001C1094" w:rsidRDefault="00C11B22" w:rsidP="006F6993">
            <w:pPr>
              <w:pStyle w:val="TableText0"/>
              <w:jc w:val="center"/>
              <w:rPr>
                <w:szCs w:val="20"/>
              </w:rPr>
            </w:pPr>
            <w:r w:rsidRPr="001C1094">
              <w:rPr>
                <w:szCs w:val="20"/>
              </w:rPr>
              <w:t>Not estimable</w:t>
            </w:r>
          </w:p>
        </w:tc>
        <w:tc>
          <w:tcPr>
            <w:tcW w:w="1132" w:type="dxa"/>
            <w:tcBorders>
              <w:bottom w:val="double" w:sz="4" w:space="0" w:color="auto"/>
            </w:tcBorders>
            <w:shd w:val="clear" w:color="auto" w:fill="auto"/>
            <w:vAlign w:val="center"/>
          </w:tcPr>
          <w:p w14:paraId="2AB9943F" w14:textId="77777777" w:rsidR="00C11B22" w:rsidRPr="001C1094" w:rsidRDefault="00C11B22" w:rsidP="006F6993">
            <w:pPr>
              <w:pStyle w:val="Style1"/>
              <w:jc w:val="center"/>
              <w:rPr>
                <w:color w:val="auto"/>
              </w:rPr>
            </w:pPr>
            <w:r w:rsidRPr="001C1094">
              <w:rPr>
                <w:color w:val="auto"/>
              </w:rPr>
              <w:t>Not estimable</w:t>
            </w:r>
          </w:p>
        </w:tc>
        <w:tc>
          <w:tcPr>
            <w:tcW w:w="1134" w:type="dxa"/>
            <w:tcBorders>
              <w:bottom w:val="double" w:sz="4" w:space="0" w:color="auto"/>
            </w:tcBorders>
            <w:shd w:val="clear" w:color="auto" w:fill="auto"/>
            <w:vAlign w:val="center"/>
          </w:tcPr>
          <w:p w14:paraId="2C78F45A" w14:textId="77777777" w:rsidR="00C11B22" w:rsidRPr="001C1094" w:rsidRDefault="00C11B22" w:rsidP="006F6993">
            <w:pPr>
              <w:pStyle w:val="Style1"/>
              <w:jc w:val="center"/>
              <w:rPr>
                <w:color w:val="auto"/>
              </w:rPr>
            </w:pPr>
            <w:r w:rsidRPr="001C1094">
              <w:rPr>
                <w:color w:val="auto"/>
              </w:rPr>
              <w:t>Not estimable</w:t>
            </w:r>
          </w:p>
        </w:tc>
        <w:tc>
          <w:tcPr>
            <w:tcW w:w="1276" w:type="dxa"/>
            <w:tcBorders>
              <w:bottom w:val="double" w:sz="4" w:space="0" w:color="auto"/>
            </w:tcBorders>
            <w:shd w:val="clear" w:color="auto" w:fill="auto"/>
            <w:vAlign w:val="center"/>
          </w:tcPr>
          <w:p w14:paraId="3742F4C4" w14:textId="77777777" w:rsidR="00C11B22" w:rsidRPr="001C1094" w:rsidRDefault="00C11B22" w:rsidP="006F6993">
            <w:pPr>
              <w:pStyle w:val="Style1"/>
              <w:jc w:val="center"/>
              <w:rPr>
                <w:color w:val="auto"/>
              </w:rPr>
            </w:pPr>
            <w:r w:rsidRPr="001C1094">
              <w:rPr>
                <w:color w:val="auto"/>
              </w:rPr>
              <w:t>Not estimable</w:t>
            </w:r>
          </w:p>
        </w:tc>
        <w:tc>
          <w:tcPr>
            <w:tcW w:w="1134" w:type="dxa"/>
            <w:tcBorders>
              <w:bottom w:val="double" w:sz="4" w:space="0" w:color="auto"/>
            </w:tcBorders>
            <w:shd w:val="clear" w:color="auto" w:fill="auto"/>
            <w:vAlign w:val="center"/>
          </w:tcPr>
          <w:p w14:paraId="1EB4D567" w14:textId="77777777" w:rsidR="00C11B22" w:rsidRPr="001C1094" w:rsidRDefault="00C11B22" w:rsidP="006F6993">
            <w:pPr>
              <w:pStyle w:val="Style1"/>
              <w:jc w:val="center"/>
              <w:rPr>
                <w:color w:val="auto"/>
              </w:rPr>
            </w:pPr>
            <w:r w:rsidRPr="001C1094">
              <w:rPr>
                <w:color w:val="auto"/>
              </w:rPr>
              <w:t>Not estimable</w:t>
            </w:r>
          </w:p>
        </w:tc>
      </w:tr>
      <w:tr w:rsidR="00C11B22" w:rsidRPr="001C1094" w14:paraId="4FCC1B48" w14:textId="77777777" w:rsidTr="001C1094">
        <w:tc>
          <w:tcPr>
            <w:tcW w:w="2694" w:type="dxa"/>
            <w:tcBorders>
              <w:top w:val="double" w:sz="4" w:space="0" w:color="auto"/>
              <w:bottom w:val="double" w:sz="4" w:space="0" w:color="auto"/>
            </w:tcBorders>
            <w:shd w:val="clear" w:color="auto" w:fill="auto"/>
            <w:vAlign w:val="center"/>
          </w:tcPr>
          <w:p w14:paraId="1AE8149E" w14:textId="3D0C891F" w:rsidR="00C11B22" w:rsidRPr="001C1094" w:rsidRDefault="00C11B22" w:rsidP="006F6993">
            <w:pPr>
              <w:pStyle w:val="TableText0"/>
              <w:spacing w:before="0" w:after="0"/>
              <w:rPr>
                <w:b/>
                <w:bCs/>
                <w:szCs w:val="20"/>
              </w:rPr>
            </w:pPr>
            <w:r w:rsidRPr="001C1094">
              <w:rPr>
                <w:b/>
                <w:bCs/>
                <w:szCs w:val="20"/>
              </w:rPr>
              <w:t>Total cost</w:t>
            </w:r>
          </w:p>
        </w:tc>
        <w:tc>
          <w:tcPr>
            <w:tcW w:w="1419" w:type="dxa"/>
            <w:tcBorders>
              <w:top w:val="double" w:sz="4" w:space="0" w:color="auto"/>
              <w:bottom w:val="double" w:sz="4" w:space="0" w:color="auto"/>
            </w:tcBorders>
            <w:shd w:val="clear" w:color="auto" w:fill="auto"/>
            <w:vAlign w:val="center"/>
          </w:tcPr>
          <w:p w14:paraId="546BAADE" w14:textId="77777777" w:rsidR="00C11B22" w:rsidRPr="001C1094" w:rsidRDefault="00C11B22" w:rsidP="006F6993">
            <w:pPr>
              <w:pStyle w:val="TableText0"/>
              <w:spacing w:before="0" w:after="0"/>
              <w:jc w:val="center"/>
              <w:rPr>
                <w:b/>
                <w:szCs w:val="20"/>
              </w:rPr>
            </w:pPr>
            <w:r w:rsidRPr="001C1094">
              <w:rPr>
                <w:b/>
                <w:szCs w:val="20"/>
              </w:rPr>
              <w:t>$2,290,317</w:t>
            </w:r>
          </w:p>
        </w:tc>
        <w:tc>
          <w:tcPr>
            <w:tcW w:w="1132" w:type="dxa"/>
            <w:tcBorders>
              <w:top w:val="double" w:sz="4" w:space="0" w:color="auto"/>
              <w:bottom w:val="double" w:sz="4" w:space="0" w:color="auto"/>
            </w:tcBorders>
            <w:shd w:val="clear" w:color="auto" w:fill="auto"/>
            <w:vAlign w:val="center"/>
          </w:tcPr>
          <w:p w14:paraId="4186ECB3" w14:textId="77777777" w:rsidR="00C11B22" w:rsidRPr="001C1094" w:rsidRDefault="00C11B22" w:rsidP="006F6993">
            <w:pPr>
              <w:pStyle w:val="Style1"/>
              <w:jc w:val="center"/>
              <w:rPr>
                <w:color w:val="auto"/>
              </w:rPr>
            </w:pPr>
            <w:r w:rsidRPr="001C1094">
              <w:rPr>
                <w:color w:val="auto"/>
              </w:rPr>
              <w:t>$4,191,408</w:t>
            </w:r>
          </w:p>
          <w:p w14:paraId="70337800" w14:textId="77777777" w:rsidR="00C11B22" w:rsidRPr="001C1094" w:rsidRDefault="00C11B22" w:rsidP="006F6993">
            <w:pPr>
              <w:pStyle w:val="Style1"/>
              <w:jc w:val="center"/>
              <w:rPr>
                <w:color w:val="auto"/>
              </w:rPr>
            </w:pPr>
            <w:r w:rsidRPr="001C1094">
              <w:rPr>
                <w:color w:val="auto"/>
              </w:rPr>
              <w:t>(DY 20%)</w:t>
            </w:r>
          </w:p>
          <w:p w14:paraId="018F8433" w14:textId="77777777" w:rsidR="00C11B22" w:rsidRPr="001C1094" w:rsidRDefault="00C11B22" w:rsidP="006F6993">
            <w:pPr>
              <w:pStyle w:val="Style1"/>
              <w:jc w:val="center"/>
              <w:rPr>
                <w:color w:val="auto"/>
              </w:rPr>
            </w:pPr>
            <w:r w:rsidRPr="001C1094">
              <w:rPr>
                <w:color w:val="auto"/>
              </w:rPr>
              <w:t>$3,998,751</w:t>
            </w:r>
          </w:p>
          <w:p w14:paraId="79CF5717" w14:textId="77777777" w:rsidR="00C11B22" w:rsidRPr="001C1094" w:rsidRDefault="00C11B22" w:rsidP="006F6993">
            <w:pPr>
              <w:pStyle w:val="Style1"/>
              <w:jc w:val="center"/>
              <w:rPr>
                <w:color w:val="auto"/>
              </w:rPr>
            </w:pPr>
            <w:r w:rsidRPr="001C1094">
              <w:rPr>
                <w:color w:val="auto"/>
              </w:rPr>
              <w:t>(DY 26%)</w:t>
            </w:r>
          </w:p>
        </w:tc>
        <w:tc>
          <w:tcPr>
            <w:tcW w:w="1134" w:type="dxa"/>
            <w:tcBorders>
              <w:top w:val="double" w:sz="4" w:space="0" w:color="auto"/>
              <w:bottom w:val="double" w:sz="4" w:space="0" w:color="auto"/>
            </w:tcBorders>
            <w:shd w:val="clear" w:color="auto" w:fill="auto"/>
            <w:vAlign w:val="center"/>
          </w:tcPr>
          <w:p w14:paraId="224D00E6" w14:textId="77777777" w:rsidR="00C11B22" w:rsidRPr="001C1094" w:rsidRDefault="00C11B22" w:rsidP="006F6993">
            <w:pPr>
              <w:pStyle w:val="Style1"/>
              <w:jc w:val="center"/>
              <w:rPr>
                <w:color w:val="auto"/>
              </w:rPr>
            </w:pPr>
            <w:r w:rsidRPr="001C1094">
              <w:rPr>
                <w:color w:val="auto"/>
              </w:rPr>
              <w:t>$6,136,807</w:t>
            </w:r>
          </w:p>
          <w:p w14:paraId="7F283A03" w14:textId="77777777" w:rsidR="00C11B22" w:rsidRPr="001C1094" w:rsidRDefault="00C11B22" w:rsidP="006F6993">
            <w:pPr>
              <w:pStyle w:val="Style1"/>
              <w:jc w:val="center"/>
              <w:rPr>
                <w:color w:val="auto"/>
              </w:rPr>
            </w:pPr>
            <w:r w:rsidRPr="001C1094">
              <w:rPr>
                <w:color w:val="auto"/>
              </w:rPr>
              <w:t>(DY 20%)</w:t>
            </w:r>
          </w:p>
          <w:p w14:paraId="454689B7" w14:textId="77777777" w:rsidR="00C11B22" w:rsidRPr="001C1094" w:rsidRDefault="00C11B22" w:rsidP="006F6993">
            <w:pPr>
              <w:pStyle w:val="Style1"/>
              <w:jc w:val="center"/>
              <w:rPr>
                <w:color w:val="auto"/>
              </w:rPr>
            </w:pPr>
            <w:r w:rsidRPr="001C1094">
              <w:rPr>
                <w:color w:val="auto"/>
              </w:rPr>
              <w:t>$5,798,245</w:t>
            </w:r>
          </w:p>
          <w:p w14:paraId="3E1DF870" w14:textId="77777777" w:rsidR="00C11B22" w:rsidRPr="001C1094" w:rsidRDefault="00C11B22" w:rsidP="006F6993">
            <w:pPr>
              <w:pStyle w:val="Style1"/>
              <w:jc w:val="center"/>
              <w:rPr>
                <w:color w:val="auto"/>
              </w:rPr>
            </w:pPr>
            <w:r w:rsidRPr="001C1094">
              <w:rPr>
                <w:color w:val="auto"/>
              </w:rPr>
              <w:t>(DY 26%)</w:t>
            </w:r>
          </w:p>
        </w:tc>
        <w:tc>
          <w:tcPr>
            <w:tcW w:w="1276" w:type="dxa"/>
            <w:tcBorders>
              <w:top w:val="double" w:sz="4" w:space="0" w:color="auto"/>
              <w:bottom w:val="double" w:sz="4" w:space="0" w:color="auto"/>
            </w:tcBorders>
            <w:shd w:val="clear" w:color="auto" w:fill="auto"/>
            <w:vAlign w:val="center"/>
          </w:tcPr>
          <w:p w14:paraId="1ED0BB0E" w14:textId="77777777" w:rsidR="00C11B22" w:rsidRPr="001C1094" w:rsidRDefault="00C11B22" w:rsidP="006F6993">
            <w:pPr>
              <w:pStyle w:val="Style1"/>
              <w:jc w:val="center"/>
              <w:rPr>
                <w:color w:val="auto"/>
              </w:rPr>
            </w:pPr>
            <w:r w:rsidRPr="001C1094">
              <w:rPr>
                <w:color w:val="auto"/>
              </w:rPr>
              <w:t>$4,629,887</w:t>
            </w:r>
          </w:p>
          <w:p w14:paraId="48A4BDCF" w14:textId="77777777" w:rsidR="00C11B22" w:rsidRPr="001C1094" w:rsidRDefault="00C11B22" w:rsidP="006F6993">
            <w:pPr>
              <w:pStyle w:val="Style1"/>
              <w:jc w:val="center"/>
              <w:rPr>
                <w:color w:val="auto"/>
              </w:rPr>
            </w:pPr>
            <w:r w:rsidRPr="001C1094">
              <w:rPr>
                <w:color w:val="auto"/>
              </w:rPr>
              <w:t>(DY 20%)</w:t>
            </w:r>
          </w:p>
          <w:p w14:paraId="7312911A" w14:textId="77777777" w:rsidR="00C11B22" w:rsidRPr="001C1094" w:rsidRDefault="00C11B22" w:rsidP="006F6993">
            <w:pPr>
              <w:pStyle w:val="Style1"/>
              <w:jc w:val="center"/>
              <w:rPr>
                <w:color w:val="auto"/>
              </w:rPr>
            </w:pPr>
            <w:r w:rsidRPr="001C1094">
              <w:rPr>
                <w:color w:val="auto"/>
              </w:rPr>
              <w:t>$4,404,344</w:t>
            </w:r>
          </w:p>
          <w:p w14:paraId="2A5589A8" w14:textId="77777777" w:rsidR="00C11B22" w:rsidRPr="001C1094" w:rsidRDefault="00C11B22" w:rsidP="006F6993">
            <w:pPr>
              <w:pStyle w:val="Style1"/>
              <w:jc w:val="center"/>
              <w:rPr>
                <w:color w:val="auto"/>
              </w:rPr>
            </w:pPr>
            <w:r w:rsidRPr="001C1094">
              <w:rPr>
                <w:color w:val="auto"/>
              </w:rPr>
              <w:t>(DY 26%)</w:t>
            </w:r>
          </w:p>
        </w:tc>
        <w:tc>
          <w:tcPr>
            <w:tcW w:w="1134" w:type="dxa"/>
            <w:tcBorders>
              <w:top w:val="double" w:sz="4" w:space="0" w:color="auto"/>
              <w:bottom w:val="double" w:sz="4" w:space="0" w:color="auto"/>
            </w:tcBorders>
            <w:shd w:val="clear" w:color="auto" w:fill="auto"/>
            <w:vAlign w:val="center"/>
          </w:tcPr>
          <w:p w14:paraId="2E8ECB92" w14:textId="77777777" w:rsidR="00C11B22" w:rsidRPr="001C1094" w:rsidRDefault="00C11B22" w:rsidP="006F6993">
            <w:pPr>
              <w:pStyle w:val="Style1"/>
              <w:jc w:val="center"/>
              <w:rPr>
                <w:bCs/>
                <w:color w:val="auto"/>
              </w:rPr>
            </w:pPr>
            <w:r w:rsidRPr="001C1094">
              <w:rPr>
                <w:bCs/>
                <w:color w:val="auto"/>
              </w:rPr>
              <w:t>$6,575,623</w:t>
            </w:r>
          </w:p>
          <w:p w14:paraId="37247C34" w14:textId="77777777" w:rsidR="00C11B22" w:rsidRPr="001C1094" w:rsidRDefault="00C11B22" w:rsidP="006F6993">
            <w:pPr>
              <w:pStyle w:val="Style1"/>
              <w:jc w:val="center"/>
              <w:rPr>
                <w:bCs/>
                <w:color w:val="auto"/>
              </w:rPr>
            </w:pPr>
            <w:r w:rsidRPr="001C1094">
              <w:rPr>
                <w:bCs/>
                <w:color w:val="auto"/>
              </w:rPr>
              <w:t>(DY 20%)</w:t>
            </w:r>
          </w:p>
          <w:p w14:paraId="0DBD9A68" w14:textId="77777777" w:rsidR="00C11B22" w:rsidRPr="001C1094" w:rsidRDefault="00C11B22" w:rsidP="006F6993">
            <w:pPr>
              <w:pStyle w:val="Style1"/>
              <w:jc w:val="center"/>
              <w:rPr>
                <w:bCs/>
                <w:color w:val="auto"/>
              </w:rPr>
            </w:pPr>
            <w:r w:rsidRPr="001C1094">
              <w:rPr>
                <w:bCs/>
                <w:color w:val="auto"/>
              </w:rPr>
              <w:t>$6,204,149</w:t>
            </w:r>
          </w:p>
          <w:p w14:paraId="3DD92E25" w14:textId="77777777" w:rsidR="00C11B22" w:rsidRPr="001C1094" w:rsidRDefault="00C11B22" w:rsidP="006F6993">
            <w:pPr>
              <w:pStyle w:val="Style1"/>
              <w:jc w:val="center"/>
              <w:rPr>
                <w:bCs/>
                <w:color w:val="auto"/>
              </w:rPr>
            </w:pPr>
            <w:r w:rsidRPr="001C1094">
              <w:rPr>
                <w:bCs/>
                <w:color w:val="auto"/>
              </w:rPr>
              <w:t>(DY 26%)</w:t>
            </w:r>
          </w:p>
        </w:tc>
      </w:tr>
    </w:tbl>
    <w:bookmarkEnd w:id="17"/>
    <w:p w14:paraId="4892670A" w14:textId="77777777" w:rsidR="00C11B22" w:rsidRPr="00741E32" w:rsidRDefault="00C11B22" w:rsidP="00C11B22">
      <w:pPr>
        <w:pStyle w:val="Tablenotes1"/>
      </w:pPr>
      <w:r>
        <w:t>Bold font indicates the highest and lowest potential financial costs, across the various estimates of incidence/prevalence presented.</w:t>
      </w:r>
    </w:p>
    <w:p w14:paraId="3387BBC8" w14:textId="77777777" w:rsidR="00C11B22" w:rsidRPr="00F42235" w:rsidRDefault="00C11B22" w:rsidP="00C11B22">
      <w:pPr>
        <w:pStyle w:val="Tablenotes1"/>
      </w:pPr>
      <w:r w:rsidRPr="00E302A4">
        <w:rPr>
          <w:vertAlign w:val="superscript"/>
        </w:rPr>
        <w:t>+</w:t>
      </w:r>
      <w:r>
        <w:t xml:space="preserve"> represents diagnostic yield (DY) of 18.4%, as per </w:t>
      </w:r>
      <w:proofErr w:type="spellStart"/>
      <w:r>
        <w:t>PathWest</w:t>
      </w:r>
      <w:proofErr w:type="spellEnd"/>
      <w:r>
        <w:t xml:space="preserve"> data extrapolated to 2021 including estimated overseas testing.</w:t>
      </w:r>
    </w:p>
    <w:p w14:paraId="4CAB4A1B" w14:textId="77777777" w:rsidR="00C11B22" w:rsidRDefault="00C11B22" w:rsidP="00C11B22">
      <w:pPr>
        <w:pStyle w:val="Tablenotes1"/>
      </w:pPr>
      <w:r>
        <w:t xml:space="preserve">* </w:t>
      </w:r>
      <w:r w:rsidRPr="00F42235">
        <w:t xml:space="preserve">using </w:t>
      </w:r>
      <w:r>
        <w:t xml:space="preserve">fee </w:t>
      </w:r>
      <w:r w:rsidRPr="00F42235">
        <w:t>of $1200</w:t>
      </w:r>
      <w:r>
        <w:t>, based on</w:t>
      </w:r>
      <w:r w:rsidRPr="00F42235">
        <w:t xml:space="preserve"> MSAC</w:t>
      </w:r>
      <w:r>
        <w:t>’s March/April 2021</w:t>
      </w:r>
      <w:r w:rsidRPr="00F42235">
        <w:t xml:space="preserve"> </w:t>
      </w:r>
      <w:r>
        <w:t>advice on the fee</w:t>
      </w:r>
      <w:r w:rsidRPr="00F42235">
        <w:t xml:space="preserve"> for single gene testing of reproductive partner</w:t>
      </w:r>
      <w:r>
        <w:t xml:space="preserve"> item</w:t>
      </w:r>
      <w:r w:rsidRPr="00F42235">
        <w:t>s</w:t>
      </w:r>
      <w:r>
        <w:t xml:space="preserve"> in MSAC applications 1599 and 1600.</w:t>
      </w:r>
    </w:p>
    <w:p w14:paraId="02DA2991" w14:textId="6FBD4FCC" w:rsidR="00C11B22" w:rsidRDefault="00C11B22" w:rsidP="00C11B22">
      <w:pPr>
        <w:pStyle w:val="Tablenotes1"/>
      </w:pPr>
      <w:r w:rsidRPr="00F42235">
        <w:t>**</w:t>
      </w:r>
      <w:r>
        <w:t xml:space="preserve"> As taken from First DCAR Table 51 and based on incidence 10.6/100,000 and prevalence 80/100,000</w:t>
      </w:r>
    </w:p>
    <w:p w14:paraId="65AB252B" w14:textId="71BDCEE4" w:rsidR="001C1094" w:rsidRDefault="00C11B22" w:rsidP="001C1094">
      <w:pPr>
        <w:pStyle w:val="Tablenotes1"/>
      </w:pPr>
      <w:r>
        <w:t>Source: modified by the Department to incorporate MSAC’s revised fees, based on the table provided by the assessment group for the Second DCAR after the June 2021 ESC meeting.</w:t>
      </w:r>
      <w:r w:rsidR="001C1094">
        <w:br w:type="page"/>
      </w:r>
    </w:p>
    <w:p w14:paraId="527184B4" w14:textId="256379E6" w:rsidR="00C730C8" w:rsidRPr="00C730C8" w:rsidRDefault="00C730C8" w:rsidP="00C730C8">
      <w:pPr>
        <w:pStyle w:val="Heading1"/>
        <w:numPr>
          <w:ilvl w:val="0"/>
          <w:numId w:val="13"/>
        </w:numPr>
        <w:spacing w:before="240" w:after="240"/>
        <w:ind w:hanging="720"/>
        <w:rPr>
          <w:rFonts w:ascii="Arial" w:eastAsia="Times New Roman" w:hAnsi="Arial" w:cs="Times New Roman"/>
        </w:rPr>
      </w:pPr>
      <w:r w:rsidRPr="00C730C8">
        <w:rPr>
          <w:rFonts w:ascii="Arial" w:eastAsia="Times New Roman" w:hAnsi="Arial" w:cs="Times New Roman"/>
        </w:rPr>
        <w:lastRenderedPageBreak/>
        <w:t xml:space="preserve">Key Issues from ESC </w:t>
      </w:r>
      <w:r>
        <w:rPr>
          <w:rFonts w:ascii="Arial" w:eastAsia="Times New Roman" w:hAnsi="Arial" w:cs="Times New Roman"/>
        </w:rPr>
        <w:t>for</w:t>
      </w:r>
      <w:r w:rsidRPr="00C730C8">
        <w:rPr>
          <w:rFonts w:ascii="Arial" w:eastAsia="Times New Roman" w:hAnsi="Arial" w:cs="Times New Roman"/>
        </w:rPr>
        <w:t xml:space="preserve"> MSAC</w:t>
      </w:r>
    </w:p>
    <w:tbl>
      <w:tblPr>
        <w:tblStyle w:val="TableGrid"/>
        <w:tblpPr w:leftFromText="180" w:rightFromText="180" w:vertAnchor="text" w:tblpY="1"/>
        <w:tblOverlap w:val="never"/>
        <w:tblW w:w="0" w:type="auto"/>
        <w:tblLook w:val="04A0" w:firstRow="1" w:lastRow="0" w:firstColumn="1" w:lastColumn="0" w:noHBand="0" w:noVBand="1"/>
      </w:tblPr>
      <w:tblGrid>
        <w:gridCol w:w="2093"/>
        <w:gridCol w:w="6923"/>
      </w:tblGrid>
      <w:tr w:rsidR="00C730C8" w:rsidRPr="00A06617" w14:paraId="4646B0AE" w14:textId="77777777" w:rsidTr="00C730C8">
        <w:trPr>
          <w:cantSplit/>
        </w:trPr>
        <w:tc>
          <w:tcPr>
            <w:tcW w:w="2093" w:type="dxa"/>
          </w:tcPr>
          <w:p w14:paraId="67FCE041" w14:textId="77777777" w:rsidR="00C730C8" w:rsidRPr="00A06617" w:rsidRDefault="00C730C8" w:rsidP="00213A57">
            <w:pPr>
              <w:pStyle w:val="TableHeading"/>
              <w:spacing w:before="0" w:after="0"/>
              <w:rPr>
                <w:rFonts w:ascii="Times New Roman" w:hAnsi="Times New Roman" w:cs="Times New Roman"/>
                <w:sz w:val="22"/>
                <w:szCs w:val="22"/>
              </w:rPr>
            </w:pPr>
            <w:r w:rsidRPr="00A06617">
              <w:rPr>
                <w:rFonts w:ascii="Times New Roman" w:hAnsi="Times New Roman" w:cs="Times New Roman"/>
                <w:sz w:val="22"/>
                <w:szCs w:val="22"/>
              </w:rPr>
              <w:t>ESC key issue</w:t>
            </w:r>
          </w:p>
        </w:tc>
        <w:tc>
          <w:tcPr>
            <w:tcW w:w="6923" w:type="dxa"/>
          </w:tcPr>
          <w:p w14:paraId="6B3408E9" w14:textId="77777777" w:rsidR="00C730C8" w:rsidRPr="00A06617" w:rsidRDefault="00C730C8" w:rsidP="00213A57">
            <w:pPr>
              <w:pStyle w:val="TableHeading"/>
              <w:spacing w:before="0" w:after="0"/>
              <w:rPr>
                <w:rFonts w:ascii="Times New Roman" w:hAnsi="Times New Roman" w:cs="Times New Roman"/>
                <w:sz w:val="22"/>
                <w:szCs w:val="22"/>
              </w:rPr>
            </w:pPr>
            <w:r w:rsidRPr="00A06617">
              <w:rPr>
                <w:rFonts w:ascii="Times New Roman" w:hAnsi="Times New Roman" w:cs="Times New Roman"/>
                <w:sz w:val="22"/>
                <w:szCs w:val="22"/>
              </w:rPr>
              <w:t>ESC advice to MSAC</w:t>
            </w:r>
          </w:p>
        </w:tc>
      </w:tr>
      <w:tr w:rsidR="00C730C8" w:rsidRPr="00A06617" w14:paraId="6324A761" w14:textId="77777777" w:rsidTr="00213A57">
        <w:trPr>
          <w:cantSplit/>
          <w:trHeight w:val="3121"/>
        </w:trPr>
        <w:tc>
          <w:tcPr>
            <w:tcW w:w="2093" w:type="dxa"/>
          </w:tcPr>
          <w:p w14:paraId="20F4DB8E" w14:textId="77777777" w:rsidR="00C730C8" w:rsidRPr="00A06617" w:rsidRDefault="00C730C8" w:rsidP="00213A57">
            <w:pPr>
              <w:pStyle w:val="TableText1"/>
              <w:spacing w:before="0" w:after="0"/>
              <w:rPr>
                <w:rFonts w:ascii="Times New Roman" w:hAnsi="Times New Roman"/>
                <w:sz w:val="22"/>
                <w:szCs w:val="22"/>
              </w:rPr>
            </w:pPr>
            <w:r>
              <w:rPr>
                <w:rFonts w:ascii="Times New Roman" w:hAnsi="Times New Roman"/>
                <w:sz w:val="22"/>
                <w:szCs w:val="22"/>
              </w:rPr>
              <w:t>Incidence and prevalence estimates are</w:t>
            </w:r>
            <w:r w:rsidRPr="00A06617">
              <w:rPr>
                <w:rFonts w:ascii="Times New Roman" w:hAnsi="Times New Roman"/>
                <w:sz w:val="22"/>
                <w:szCs w:val="22"/>
              </w:rPr>
              <w:t xml:space="preserve"> highly uncertain</w:t>
            </w:r>
          </w:p>
          <w:p w14:paraId="6C978FFB" w14:textId="77777777" w:rsidR="00C730C8" w:rsidRPr="00A06617" w:rsidRDefault="00C730C8" w:rsidP="00213A57">
            <w:pPr>
              <w:pStyle w:val="TableText1"/>
              <w:spacing w:before="0" w:after="0"/>
              <w:rPr>
                <w:rFonts w:ascii="Times New Roman" w:hAnsi="Times New Roman"/>
                <w:sz w:val="22"/>
                <w:szCs w:val="22"/>
              </w:rPr>
            </w:pPr>
          </w:p>
        </w:tc>
        <w:tc>
          <w:tcPr>
            <w:tcW w:w="6923" w:type="dxa"/>
          </w:tcPr>
          <w:p w14:paraId="0D7B6F45" w14:textId="417110DE" w:rsidR="00C730C8" w:rsidRDefault="00C730C8" w:rsidP="00213A57">
            <w:pPr>
              <w:pStyle w:val="TableText1"/>
              <w:spacing w:before="0" w:after="0"/>
              <w:rPr>
                <w:rFonts w:ascii="Times New Roman" w:hAnsi="Times New Roman"/>
                <w:sz w:val="22"/>
                <w:szCs w:val="22"/>
              </w:rPr>
            </w:pPr>
            <w:r w:rsidRPr="00A06617">
              <w:rPr>
                <w:rFonts w:ascii="Times New Roman" w:hAnsi="Times New Roman"/>
                <w:sz w:val="22"/>
                <w:szCs w:val="22"/>
              </w:rPr>
              <w:t xml:space="preserve">The </w:t>
            </w:r>
            <w:r w:rsidR="006A1BBD">
              <w:rPr>
                <w:rFonts w:ascii="Times New Roman" w:hAnsi="Times New Roman"/>
                <w:sz w:val="22"/>
                <w:szCs w:val="22"/>
              </w:rPr>
              <w:t>second DCAR</w:t>
            </w:r>
            <w:r w:rsidRPr="00A06617">
              <w:rPr>
                <w:rFonts w:ascii="Times New Roman" w:hAnsi="Times New Roman"/>
                <w:sz w:val="22"/>
                <w:szCs w:val="22"/>
              </w:rPr>
              <w:t xml:space="preserve"> use</w:t>
            </w:r>
            <w:r>
              <w:rPr>
                <w:rFonts w:ascii="Times New Roman" w:hAnsi="Times New Roman"/>
                <w:sz w:val="22"/>
                <w:szCs w:val="22"/>
              </w:rPr>
              <w:t>d</w:t>
            </w:r>
            <w:r w:rsidRPr="00A06617">
              <w:rPr>
                <w:rFonts w:ascii="Times New Roman" w:hAnsi="Times New Roman"/>
                <w:sz w:val="22"/>
                <w:szCs w:val="22"/>
              </w:rPr>
              <w:t xml:space="preserve"> </w:t>
            </w:r>
            <w:r>
              <w:rPr>
                <w:rFonts w:ascii="Times New Roman" w:hAnsi="Times New Roman"/>
                <w:sz w:val="22"/>
                <w:szCs w:val="22"/>
              </w:rPr>
              <w:t xml:space="preserve">both published estimates of incidence and prevalence plus the </w:t>
            </w:r>
            <w:r w:rsidRPr="00A06617">
              <w:rPr>
                <w:rFonts w:ascii="Times New Roman" w:hAnsi="Times New Roman"/>
                <w:sz w:val="22"/>
                <w:szCs w:val="22"/>
              </w:rPr>
              <w:t>current testing figures</w:t>
            </w:r>
            <w:r>
              <w:rPr>
                <w:rFonts w:ascii="Times New Roman" w:hAnsi="Times New Roman"/>
                <w:sz w:val="22"/>
                <w:szCs w:val="22"/>
              </w:rPr>
              <w:t xml:space="preserve"> from </w:t>
            </w:r>
            <w:proofErr w:type="spellStart"/>
            <w:r>
              <w:rPr>
                <w:rFonts w:ascii="Times New Roman" w:hAnsi="Times New Roman"/>
                <w:sz w:val="22"/>
                <w:szCs w:val="22"/>
              </w:rPr>
              <w:t>PathWest</w:t>
            </w:r>
            <w:proofErr w:type="spellEnd"/>
            <w:r>
              <w:rPr>
                <w:rFonts w:ascii="Times New Roman" w:hAnsi="Times New Roman"/>
                <w:sz w:val="22"/>
                <w:szCs w:val="22"/>
              </w:rPr>
              <w:t xml:space="preserve">. </w:t>
            </w:r>
          </w:p>
          <w:p w14:paraId="536870DF" w14:textId="77777777" w:rsidR="00C730C8" w:rsidRPr="00A06617" w:rsidRDefault="00C730C8" w:rsidP="00213A57">
            <w:pPr>
              <w:pStyle w:val="TableText1"/>
              <w:spacing w:before="0" w:after="0"/>
              <w:rPr>
                <w:rFonts w:ascii="Times New Roman" w:hAnsi="Times New Roman"/>
                <w:sz w:val="22"/>
                <w:szCs w:val="22"/>
              </w:rPr>
            </w:pPr>
            <w:r>
              <w:rPr>
                <w:rFonts w:ascii="Times New Roman" w:hAnsi="Times New Roman"/>
                <w:sz w:val="22"/>
                <w:szCs w:val="22"/>
              </w:rPr>
              <w:t>In the absence of registry data, prevalence is highly uncertain, as is the proportion of the prevalent population who may undergo testing. The uncertainty in these estimates makes the size of the testable population uncertain.</w:t>
            </w:r>
          </w:p>
          <w:p w14:paraId="68BF0DCD" w14:textId="77777777" w:rsidR="00C730C8" w:rsidRDefault="00C730C8" w:rsidP="00213A57">
            <w:pPr>
              <w:pStyle w:val="TableText1"/>
              <w:spacing w:before="0" w:after="0"/>
              <w:rPr>
                <w:rFonts w:ascii="Times New Roman" w:hAnsi="Times New Roman"/>
                <w:sz w:val="22"/>
                <w:szCs w:val="22"/>
              </w:rPr>
            </w:pPr>
            <w:r w:rsidRPr="00A06617">
              <w:rPr>
                <w:rFonts w:ascii="Times New Roman" w:hAnsi="Times New Roman"/>
                <w:sz w:val="22"/>
                <w:szCs w:val="22"/>
              </w:rPr>
              <w:t>The epidemiological approach used is reasonable</w:t>
            </w:r>
            <w:r>
              <w:rPr>
                <w:rFonts w:ascii="Times New Roman" w:hAnsi="Times New Roman"/>
                <w:sz w:val="22"/>
                <w:szCs w:val="22"/>
              </w:rPr>
              <w:t>. H</w:t>
            </w:r>
            <w:r w:rsidRPr="00A06617">
              <w:rPr>
                <w:rFonts w:ascii="Times New Roman" w:hAnsi="Times New Roman"/>
                <w:sz w:val="22"/>
                <w:szCs w:val="22"/>
              </w:rPr>
              <w:t>owever, the</w:t>
            </w:r>
            <w:r>
              <w:rPr>
                <w:rFonts w:ascii="Times New Roman" w:hAnsi="Times New Roman"/>
                <w:sz w:val="22"/>
                <w:szCs w:val="22"/>
              </w:rPr>
              <w:t xml:space="preserve"> estimated</w:t>
            </w:r>
            <w:r w:rsidRPr="00A06617">
              <w:rPr>
                <w:rFonts w:ascii="Times New Roman" w:hAnsi="Times New Roman"/>
                <w:sz w:val="22"/>
                <w:szCs w:val="22"/>
              </w:rPr>
              <w:t xml:space="preserve"> incidence of 3.6/100,000 is probably an underestimate. </w:t>
            </w:r>
          </w:p>
          <w:p w14:paraId="048155CE" w14:textId="77777777" w:rsidR="00C730C8" w:rsidRDefault="00C730C8" w:rsidP="00213A57">
            <w:pPr>
              <w:pStyle w:val="TableText1"/>
              <w:spacing w:before="0" w:after="0"/>
              <w:rPr>
                <w:rFonts w:ascii="Times New Roman" w:hAnsi="Times New Roman"/>
                <w:sz w:val="22"/>
                <w:szCs w:val="22"/>
              </w:rPr>
            </w:pPr>
            <w:r>
              <w:rPr>
                <w:rFonts w:ascii="Times New Roman" w:hAnsi="Times New Roman"/>
                <w:sz w:val="22"/>
                <w:szCs w:val="22"/>
              </w:rPr>
              <w:t>The proportion of the incident population that does not undergo testing currently cannot be categorically established.</w:t>
            </w:r>
          </w:p>
          <w:p w14:paraId="70C57BA0" w14:textId="77777777" w:rsidR="00C730C8" w:rsidRPr="00A06617" w:rsidRDefault="00C730C8" w:rsidP="00213A57">
            <w:pPr>
              <w:pStyle w:val="TableText1"/>
              <w:spacing w:before="0" w:after="0"/>
              <w:rPr>
                <w:rFonts w:ascii="Times New Roman" w:hAnsi="Times New Roman"/>
                <w:sz w:val="22"/>
                <w:szCs w:val="22"/>
              </w:rPr>
            </w:pPr>
            <w:r>
              <w:rPr>
                <w:rFonts w:ascii="Times New Roman" w:hAnsi="Times New Roman"/>
                <w:sz w:val="22"/>
                <w:szCs w:val="22"/>
              </w:rPr>
              <w:t>Each of these issues also contributes to uncertainty in the total budget estimate.</w:t>
            </w:r>
          </w:p>
        </w:tc>
      </w:tr>
      <w:tr w:rsidR="00C730C8" w:rsidRPr="00A06617" w14:paraId="02F06EDD" w14:textId="77777777" w:rsidTr="00C730C8">
        <w:trPr>
          <w:cantSplit/>
        </w:trPr>
        <w:tc>
          <w:tcPr>
            <w:tcW w:w="2093" w:type="dxa"/>
          </w:tcPr>
          <w:p w14:paraId="103610A1" w14:textId="77777777" w:rsidR="00C730C8" w:rsidRPr="007D2558" w:rsidRDefault="00C730C8" w:rsidP="00213A57">
            <w:pPr>
              <w:pStyle w:val="TableText1"/>
              <w:spacing w:before="0" w:after="0"/>
              <w:rPr>
                <w:rFonts w:ascii="Times New Roman" w:hAnsi="Times New Roman"/>
                <w:sz w:val="22"/>
                <w:szCs w:val="22"/>
              </w:rPr>
            </w:pPr>
            <w:r w:rsidRPr="007D2558">
              <w:rPr>
                <w:rFonts w:ascii="Times New Roman" w:hAnsi="Times New Roman"/>
                <w:sz w:val="22"/>
                <w:szCs w:val="22"/>
              </w:rPr>
              <w:t>AAAA test method</w:t>
            </w:r>
          </w:p>
        </w:tc>
        <w:tc>
          <w:tcPr>
            <w:tcW w:w="6923" w:type="dxa"/>
          </w:tcPr>
          <w:p w14:paraId="0528A28B" w14:textId="77777777" w:rsidR="00C730C8" w:rsidRPr="007D2558" w:rsidRDefault="00C730C8" w:rsidP="00213A57">
            <w:pPr>
              <w:pStyle w:val="TableText1"/>
              <w:spacing w:before="0" w:after="0"/>
              <w:rPr>
                <w:rFonts w:ascii="Times New Roman" w:hAnsi="Times New Roman"/>
                <w:sz w:val="22"/>
                <w:szCs w:val="22"/>
              </w:rPr>
            </w:pPr>
            <w:r>
              <w:rPr>
                <w:rFonts w:ascii="Times New Roman" w:hAnsi="Times New Roman"/>
                <w:sz w:val="22"/>
                <w:szCs w:val="22"/>
              </w:rPr>
              <w:t>P</w:t>
            </w:r>
            <w:r w:rsidRPr="007D2558">
              <w:rPr>
                <w:rFonts w:ascii="Times New Roman" w:hAnsi="Times New Roman"/>
                <w:sz w:val="22"/>
                <w:szCs w:val="22"/>
              </w:rPr>
              <w:t>anel testing</w:t>
            </w:r>
            <w:r>
              <w:rPr>
                <w:rFonts w:ascii="Times New Roman" w:hAnsi="Times New Roman"/>
                <w:sz w:val="22"/>
                <w:szCs w:val="22"/>
              </w:rPr>
              <w:t xml:space="preserve"> for affected individuals</w:t>
            </w:r>
            <w:r w:rsidRPr="007D2558">
              <w:rPr>
                <w:rFonts w:ascii="Times New Roman" w:hAnsi="Times New Roman"/>
                <w:sz w:val="22"/>
                <w:szCs w:val="22"/>
              </w:rPr>
              <w:t xml:space="preserve"> should </w:t>
            </w:r>
            <w:r>
              <w:rPr>
                <w:rFonts w:ascii="Times New Roman" w:hAnsi="Times New Roman"/>
                <w:sz w:val="22"/>
                <w:szCs w:val="22"/>
              </w:rPr>
              <w:t xml:space="preserve">require the </w:t>
            </w:r>
            <w:r w:rsidRPr="007D2558">
              <w:rPr>
                <w:rFonts w:ascii="Times New Roman" w:hAnsi="Times New Roman"/>
                <w:sz w:val="22"/>
                <w:szCs w:val="22"/>
              </w:rPr>
              <w:t>use</w:t>
            </w:r>
            <w:r>
              <w:rPr>
                <w:rFonts w:ascii="Times New Roman" w:hAnsi="Times New Roman"/>
                <w:sz w:val="22"/>
                <w:szCs w:val="22"/>
              </w:rPr>
              <w:t xml:space="preserve"> of</w:t>
            </w:r>
            <w:r w:rsidRPr="007D2558">
              <w:rPr>
                <w:rFonts w:ascii="Times New Roman" w:hAnsi="Times New Roman"/>
                <w:sz w:val="22"/>
                <w:szCs w:val="22"/>
              </w:rPr>
              <w:t xml:space="preserve"> wet-lab methods that involve a full capture and sequencing background, to all</w:t>
            </w:r>
            <w:r>
              <w:rPr>
                <w:rFonts w:ascii="Times New Roman" w:hAnsi="Times New Roman"/>
                <w:sz w:val="22"/>
                <w:szCs w:val="22"/>
              </w:rPr>
              <w:t>ow</w:t>
            </w:r>
            <w:r w:rsidRPr="007D2558">
              <w:rPr>
                <w:rFonts w:ascii="Times New Roman" w:hAnsi="Times New Roman"/>
                <w:sz w:val="22"/>
                <w:szCs w:val="22"/>
              </w:rPr>
              <w:t xml:space="preserve"> full ascertainment then narrow bioinformatics, and ensure </w:t>
            </w:r>
            <w:r>
              <w:rPr>
                <w:rFonts w:ascii="Times New Roman" w:hAnsi="Times New Roman"/>
                <w:sz w:val="22"/>
                <w:szCs w:val="22"/>
              </w:rPr>
              <w:t xml:space="preserve">future data </w:t>
            </w:r>
            <w:r w:rsidRPr="007D2558">
              <w:rPr>
                <w:rFonts w:ascii="Times New Roman" w:hAnsi="Times New Roman"/>
                <w:sz w:val="22"/>
                <w:szCs w:val="22"/>
              </w:rPr>
              <w:t xml:space="preserve">re-analysis </w:t>
            </w:r>
            <w:r>
              <w:rPr>
                <w:rFonts w:ascii="Times New Roman" w:hAnsi="Times New Roman"/>
                <w:sz w:val="22"/>
                <w:szCs w:val="22"/>
              </w:rPr>
              <w:t>is</w:t>
            </w:r>
            <w:r w:rsidRPr="007D2558">
              <w:rPr>
                <w:rFonts w:ascii="Times New Roman" w:hAnsi="Times New Roman"/>
                <w:sz w:val="22"/>
                <w:szCs w:val="22"/>
              </w:rPr>
              <w:t xml:space="preserve"> possible.</w:t>
            </w:r>
            <w:r>
              <w:rPr>
                <w:rFonts w:ascii="Times New Roman" w:hAnsi="Times New Roman"/>
                <w:sz w:val="22"/>
                <w:szCs w:val="22"/>
              </w:rPr>
              <w:t xml:space="preserve"> </w:t>
            </w:r>
          </w:p>
        </w:tc>
      </w:tr>
      <w:tr w:rsidR="00C730C8" w:rsidRPr="00A06617" w14:paraId="54EAA757" w14:textId="77777777" w:rsidTr="00C730C8">
        <w:trPr>
          <w:cantSplit/>
        </w:trPr>
        <w:tc>
          <w:tcPr>
            <w:tcW w:w="2093" w:type="dxa"/>
          </w:tcPr>
          <w:p w14:paraId="5CD9C8E2" w14:textId="77777777" w:rsidR="00C730C8" w:rsidRPr="00A06617" w:rsidRDefault="00C730C8" w:rsidP="00213A57">
            <w:pPr>
              <w:pStyle w:val="TableText1"/>
              <w:spacing w:before="0" w:after="0"/>
              <w:rPr>
                <w:rFonts w:ascii="Times New Roman" w:hAnsi="Times New Roman"/>
                <w:sz w:val="22"/>
                <w:szCs w:val="22"/>
              </w:rPr>
            </w:pPr>
            <w:r w:rsidRPr="00A06617">
              <w:rPr>
                <w:rFonts w:ascii="Times New Roman" w:hAnsi="Times New Roman"/>
                <w:sz w:val="22"/>
                <w:szCs w:val="22"/>
              </w:rPr>
              <w:t>MBS item descriptors are reasonable</w:t>
            </w:r>
          </w:p>
        </w:tc>
        <w:tc>
          <w:tcPr>
            <w:tcW w:w="6923" w:type="dxa"/>
          </w:tcPr>
          <w:p w14:paraId="29FC7393" w14:textId="29A0FBD4" w:rsidR="00C730C8" w:rsidRPr="00A06617" w:rsidRDefault="00C730C8" w:rsidP="00213A57">
            <w:pPr>
              <w:pStyle w:val="TableText1"/>
              <w:spacing w:before="0" w:after="0"/>
              <w:rPr>
                <w:rFonts w:ascii="Times New Roman" w:hAnsi="Times New Roman"/>
                <w:sz w:val="22"/>
                <w:szCs w:val="22"/>
              </w:rPr>
            </w:pPr>
            <w:r w:rsidRPr="00A06617">
              <w:rPr>
                <w:rFonts w:ascii="Times New Roman" w:hAnsi="Times New Roman"/>
                <w:sz w:val="22"/>
                <w:szCs w:val="22"/>
              </w:rPr>
              <w:t xml:space="preserve">The proposed changes to the </w:t>
            </w:r>
            <w:r>
              <w:rPr>
                <w:rFonts w:ascii="Times New Roman" w:hAnsi="Times New Roman"/>
                <w:sz w:val="22"/>
                <w:szCs w:val="22"/>
              </w:rPr>
              <w:t xml:space="preserve">original </w:t>
            </w:r>
            <w:r w:rsidRPr="00A06617">
              <w:rPr>
                <w:rFonts w:ascii="Times New Roman" w:hAnsi="Times New Roman"/>
                <w:sz w:val="22"/>
                <w:szCs w:val="22"/>
              </w:rPr>
              <w:t xml:space="preserve">MBS descriptors seem reasonable. The cost of genetic counselling was not included in the </w:t>
            </w:r>
            <w:r w:rsidR="006A1BBD">
              <w:rPr>
                <w:rFonts w:ascii="Times New Roman" w:hAnsi="Times New Roman"/>
                <w:sz w:val="22"/>
                <w:szCs w:val="22"/>
              </w:rPr>
              <w:t>second DCAR</w:t>
            </w:r>
            <w:r w:rsidRPr="00A06617">
              <w:rPr>
                <w:rFonts w:ascii="Times New Roman" w:hAnsi="Times New Roman"/>
                <w:sz w:val="22"/>
                <w:szCs w:val="22"/>
              </w:rPr>
              <w:t xml:space="preserve">. </w:t>
            </w:r>
          </w:p>
        </w:tc>
      </w:tr>
      <w:tr w:rsidR="00C730C8" w:rsidRPr="00A06617" w14:paraId="01801B88" w14:textId="77777777" w:rsidTr="00C730C8">
        <w:trPr>
          <w:cantSplit/>
        </w:trPr>
        <w:tc>
          <w:tcPr>
            <w:tcW w:w="2093" w:type="dxa"/>
          </w:tcPr>
          <w:p w14:paraId="4922A5BF" w14:textId="77777777" w:rsidR="00C730C8" w:rsidRPr="00A06617" w:rsidRDefault="00C730C8" w:rsidP="00213A57">
            <w:pPr>
              <w:pStyle w:val="TableText1"/>
              <w:spacing w:before="0" w:after="0"/>
              <w:rPr>
                <w:rFonts w:ascii="Times New Roman" w:hAnsi="Times New Roman"/>
                <w:sz w:val="22"/>
                <w:szCs w:val="22"/>
              </w:rPr>
            </w:pPr>
            <w:r w:rsidRPr="00A06617">
              <w:rPr>
                <w:rFonts w:ascii="Times New Roman" w:hAnsi="Times New Roman"/>
                <w:sz w:val="22"/>
                <w:szCs w:val="22"/>
              </w:rPr>
              <w:t xml:space="preserve">Lack of availability </w:t>
            </w:r>
            <w:r>
              <w:rPr>
                <w:rFonts w:ascii="Times New Roman" w:hAnsi="Times New Roman"/>
                <w:sz w:val="22"/>
                <w:szCs w:val="22"/>
              </w:rPr>
              <w:t>or access to</w:t>
            </w:r>
            <w:r w:rsidRPr="00A06617">
              <w:rPr>
                <w:rFonts w:ascii="Times New Roman" w:hAnsi="Times New Roman"/>
                <w:sz w:val="22"/>
                <w:szCs w:val="22"/>
              </w:rPr>
              <w:t xml:space="preserve"> genetic counsell</w:t>
            </w:r>
            <w:r>
              <w:rPr>
                <w:rFonts w:ascii="Times New Roman" w:hAnsi="Times New Roman"/>
                <w:sz w:val="22"/>
                <w:szCs w:val="22"/>
              </w:rPr>
              <w:t>ors</w:t>
            </w:r>
          </w:p>
          <w:p w14:paraId="513D74DD" w14:textId="77777777" w:rsidR="00C730C8" w:rsidRPr="00A06617" w:rsidRDefault="00C730C8" w:rsidP="00213A57">
            <w:pPr>
              <w:pStyle w:val="TableText1"/>
              <w:spacing w:before="0" w:after="0"/>
              <w:rPr>
                <w:rFonts w:ascii="Times New Roman" w:hAnsi="Times New Roman"/>
                <w:sz w:val="22"/>
                <w:szCs w:val="22"/>
              </w:rPr>
            </w:pPr>
          </w:p>
        </w:tc>
        <w:tc>
          <w:tcPr>
            <w:tcW w:w="6923" w:type="dxa"/>
          </w:tcPr>
          <w:p w14:paraId="3DB93261" w14:textId="77777777" w:rsidR="00C730C8" w:rsidRDefault="00C730C8" w:rsidP="00213A57">
            <w:pPr>
              <w:pStyle w:val="TableText1"/>
              <w:spacing w:before="0" w:after="0"/>
              <w:rPr>
                <w:rFonts w:ascii="Times New Roman" w:hAnsi="Times New Roman"/>
                <w:sz w:val="22"/>
                <w:szCs w:val="22"/>
              </w:rPr>
            </w:pPr>
            <w:r w:rsidRPr="00F85C5D">
              <w:rPr>
                <w:rFonts w:ascii="Times New Roman" w:hAnsi="Times New Roman"/>
                <w:sz w:val="22"/>
                <w:szCs w:val="22"/>
              </w:rPr>
              <w:t xml:space="preserve">Genetic counselling is currently included in the item descriptor as a testing </w:t>
            </w:r>
            <w:proofErr w:type="gramStart"/>
            <w:r w:rsidRPr="00F85C5D">
              <w:rPr>
                <w:rFonts w:ascii="Times New Roman" w:hAnsi="Times New Roman"/>
                <w:sz w:val="22"/>
                <w:szCs w:val="22"/>
              </w:rPr>
              <w:t>pre-requisite, but</w:t>
            </w:r>
            <w:proofErr w:type="gramEnd"/>
            <w:r w:rsidRPr="00F85C5D">
              <w:rPr>
                <w:rFonts w:ascii="Times New Roman" w:hAnsi="Times New Roman"/>
                <w:sz w:val="22"/>
                <w:szCs w:val="22"/>
              </w:rPr>
              <w:t xml:space="preserve"> is not sufficiently widely available for this to be feasible in all circumstances. It is suggested that this wording is removed.</w:t>
            </w:r>
          </w:p>
          <w:p w14:paraId="04CE82E4" w14:textId="77777777" w:rsidR="00C730C8" w:rsidRPr="00A06617" w:rsidRDefault="00C730C8" w:rsidP="00213A57">
            <w:pPr>
              <w:pStyle w:val="TableText1"/>
              <w:spacing w:before="0" w:after="0"/>
              <w:rPr>
                <w:rFonts w:ascii="Times New Roman" w:hAnsi="Times New Roman"/>
                <w:sz w:val="22"/>
                <w:szCs w:val="22"/>
              </w:rPr>
            </w:pPr>
            <w:r>
              <w:rPr>
                <w:rFonts w:ascii="Times New Roman" w:hAnsi="Times New Roman"/>
                <w:sz w:val="22"/>
                <w:szCs w:val="22"/>
              </w:rPr>
              <w:t>A consistent policy approach to the MBS wording relating to this issue is required.</w:t>
            </w:r>
          </w:p>
        </w:tc>
      </w:tr>
      <w:tr w:rsidR="00C730C8" w:rsidRPr="00A06617" w14:paraId="2EC62958" w14:textId="77777777" w:rsidTr="00C730C8">
        <w:trPr>
          <w:cantSplit/>
        </w:trPr>
        <w:tc>
          <w:tcPr>
            <w:tcW w:w="2093" w:type="dxa"/>
          </w:tcPr>
          <w:p w14:paraId="2AACD473" w14:textId="77777777" w:rsidR="00C730C8" w:rsidRPr="00A06617" w:rsidRDefault="00C730C8" w:rsidP="00213A57">
            <w:pPr>
              <w:pStyle w:val="TableText1"/>
              <w:spacing w:before="0" w:after="0"/>
              <w:rPr>
                <w:rFonts w:ascii="Times New Roman" w:hAnsi="Times New Roman"/>
                <w:sz w:val="22"/>
                <w:szCs w:val="22"/>
              </w:rPr>
            </w:pPr>
            <w:r w:rsidRPr="00A06617">
              <w:rPr>
                <w:rFonts w:ascii="Times New Roman" w:hAnsi="Times New Roman"/>
                <w:sz w:val="22"/>
                <w:szCs w:val="22"/>
              </w:rPr>
              <w:t xml:space="preserve">Some </w:t>
            </w:r>
            <w:r>
              <w:rPr>
                <w:rFonts w:ascii="Times New Roman" w:hAnsi="Times New Roman"/>
                <w:sz w:val="22"/>
                <w:szCs w:val="22"/>
              </w:rPr>
              <w:t>proposed fees</w:t>
            </w:r>
            <w:r w:rsidRPr="00A06617">
              <w:rPr>
                <w:rFonts w:ascii="Times New Roman" w:hAnsi="Times New Roman"/>
                <w:sz w:val="22"/>
                <w:szCs w:val="22"/>
              </w:rPr>
              <w:t xml:space="preserve"> seem inflated </w:t>
            </w:r>
          </w:p>
        </w:tc>
        <w:tc>
          <w:tcPr>
            <w:tcW w:w="6923" w:type="dxa"/>
          </w:tcPr>
          <w:p w14:paraId="435F016A" w14:textId="77777777" w:rsidR="00C730C8" w:rsidRPr="00A06617" w:rsidRDefault="00C730C8" w:rsidP="00213A57">
            <w:pPr>
              <w:pStyle w:val="TableText1"/>
              <w:spacing w:before="0" w:after="0"/>
              <w:rPr>
                <w:rFonts w:ascii="Times New Roman" w:hAnsi="Times New Roman"/>
                <w:sz w:val="22"/>
                <w:szCs w:val="22"/>
              </w:rPr>
            </w:pPr>
            <w:r w:rsidRPr="00A06617">
              <w:rPr>
                <w:rFonts w:ascii="Times New Roman" w:hAnsi="Times New Roman"/>
                <w:sz w:val="22"/>
                <w:szCs w:val="22"/>
              </w:rPr>
              <w:t xml:space="preserve">The </w:t>
            </w:r>
            <w:r>
              <w:rPr>
                <w:rFonts w:ascii="Times New Roman" w:hAnsi="Times New Roman"/>
                <w:sz w:val="22"/>
                <w:szCs w:val="22"/>
              </w:rPr>
              <w:t>fees</w:t>
            </w:r>
            <w:r w:rsidRPr="00A06617">
              <w:rPr>
                <w:rFonts w:ascii="Times New Roman" w:hAnsi="Times New Roman"/>
                <w:sz w:val="22"/>
                <w:szCs w:val="22"/>
              </w:rPr>
              <w:t xml:space="preserve"> </w:t>
            </w:r>
            <w:r>
              <w:rPr>
                <w:rFonts w:ascii="Times New Roman" w:hAnsi="Times New Roman"/>
                <w:sz w:val="22"/>
                <w:szCs w:val="22"/>
              </w:rPr>
              <w:t>for</w:t>
            </w:r>
            <w:r w:rsidRPr="00A06617">
              <w:rPr>
                <w:rFonts w:ascii="Times New Roman" w:hAnsi="Times New Roman"/>
                <w:sz w:val="22"/>
                <w:szCs w:val="22"/>
              </w:rPr>
              <w:t xml:space="preserve"> BBBB and CCCC </w:t>
            </w:r>
            <w:r>
              <w:rPr>
                <w:rFonts w:ascii="Times New Roman" w:hAnsi="Times New Roman"/>
                <w:sz w:val="22"/>
                <w:szCs w:val="22"/>
              </w:rPr>
              <w:t>are</w:t>
            </w:r>
            <w:r w:rsidRPr="00A06617">
              <w:rPr>
                <w:rFonts w:ascii="Times New Roman" w:hAnsi="Times New Roman"/>
                <w:sz w:val="22"/>
                <w:szCs w:val="22"/>
              </w:rPr>
              <w:t xml:space="preserve"> above current market pricing in Australia and </w:t>
            </w:r>
            <w:r>
              <w:rPr>
                <w:rFonts w:ascii="Times New Roman" w:hAnsi="Times New Roman"/>
                <w:sz w:val="22"/>
                <w:szCs w:val="22"/>
              </w:rPr>
              <w:t>c</w:t>
            </w:r>
            <w:r w:rsidRPr="00A06617">
              <w:rPr>
                <w:rFonts w:ascii="Times New Roman" w:hAnsi="Times New Roman"/>
                <w:sz w:val="22"/>
                <w:szCs w:val="22"/>
              </w:rPr>
              <w:t xml:space="preserve">ould be revised </w:t>
            </w:r>
            <w:r>
              <w:rPr>
                <w:rFonts w:ascii="Times New Roman" w:hAnsi="Times New Roman"/>
                <w:sz w:val="22"/>
                <w:szCs w:val="22"/>
              </w:rPr>
              <w:t xml:space="preserve">downwards </w:t>
            </w:r>
            <w:r w:rsidRPr="00A06617">
              <w:rPr>
                <w:rFonts w:ascii="Times New Roman" w:hAnsi="Times New Roman"/>
                <w:sz w:val="22"/>
                <w:szCs w:val="22"/>
              </w:rPr>
              <w:t>($450 currently v</w:t>
            </w:r>
            <w:r>
              <w:rPr>
                <w:rFonts w:ascii="Times New Roman" w:hAnsi="Times New Roman"/>
                <w:sz w:val="22"/>
                <w:szCs w:val="22"/>
              </w:rPr>
              <w:t>ersu</w:t>
            </w:r>
            <w:r w:rsidRPr="00A06617">
              <w:rPr>
                <w:rFonts w:ascii="Times New Roman" w:hAnsi="Times New Roman"/>
                <w:sz w:val="22"/>
                <w:szCs w:val="22"/>
              </w:rPr>
              <w:t xml:space="preserve">s $250 in laboratories). </w:t>
            </w:r>
          </w:p>
        </w:tc>
      </w:tr>
      <w:tr w:rsidR="00C730C8" w:rsidRPr="00A06617" w14:paraId="4B7C5A94" w14:textId="77777777" w:rsidTr="00C730C8">
        <w:trPr>
          <w:cantSplit/>
        </w:trPr>
        <w:tc>
          <w:tcPr>
            <w:tcW w:w="2093" w:type="dxa"/>
          </w:tcPr>
          <w:p w14:paraId="032CF16F" w14:textId="77777777" w:rsidR="00C730C8" w:rsidRPr="00A06617" w:rsidRDefault="00C730C8" w:rsidP="00213A57">
            <w:pPr>
              <w:pStyle w:val="TableText1"/>
              <w:spacing w:before="0" w:after="0"/>
              <w:rPr>
                <w:sz w:val="22"/>
                <w:szCs w:val="22"/>
              </w:rPr>
            </w:pPr>
            <w:r w:rsidRPr="00A06617">
              <w:rPr>
                <w:rFonts w:ascii="Times New Roman" w:hAnsi="Times New Roman"/>
                <w:sz w:val="22"/>
                <w:szCs w:val="22"/>
              </w:rPr>
              <w:t>Proposed budget impact is reasonable</w:t>
            </w:r>
          </w:p>
        </w:tc>
        <w:tc>
          <w:tcPr>
            <w:tcW w:w="6923" w:type="dxa"/>
          </w:tcPr>
          <w:p w14:paraId="6E36E858" w14:textId="627AB68E" w:rsidR="00C730C8" w:rsidRPr="00A06617" w:rsidRDefault="00C730C8" w:rsidP="00213A57">
            <w:pPr>
              <w:pStyle w:val="TableText1"/>
              <w:spacing w:before="0" w:after="0"/>
              <w:rPr>
                <w:sz w:val="22"/>
                <w:szCs w:val="22"/>
              </w:rPr>
            </w:pPr>
            <w:r w:rsidRPr="00A06617">
              <w:rPr>
                <w:rFonts w:ascii="Times New Roman" w:hAnsi="Times New Roman"/>
                <w:sz w:val="22"/>
                <w:szCs w:val="22"/>
              </w:rPr>
              <w:t xml:space="preserve">The revised costs estimates </w:t>
            </w:r>
            <w:r>
              <w:rPr>
                <w:rFonts w:ascii="Times New Roman" w:hAnsi="Times New Roman"/>
                <w:sz w:val="22"/>
                <w:szCs w:val="22"/>
              </w:rPr>
              <w:t>were</w:t>
            </w:r>
            <w:r w:rsidRPr="00A06617">
              <w:rPr>
                <w:rFonts w:ascii="Times New Roman" w:hAnsi="Times New Roman"/>
                <w:sz w:val="22"/>
                <w:szCs w:val="22"/>
              </w:rPr>
              <w:t xml:space="preserve"> based on </w:t>
            </w:r>
            <w:r>
              <w:rPr>
                <w:rFonts w:ascii="Times New Roman" w:hAnsi="Times New Roman"/>
                <w:sz w:val="22"/>
                <w:szCs w:val="22"/>
              </w:rPr>
              <w:t xml:space="preserve">a conservative </w:t>
            </w:r>
            <w:r w:rsidRPr="00A06617">
              <w:rPr>
                <w:rFonts w:ascii="Times New Roman" w:hAnsi="Times New Roman"/>
                <w:sz w:val="22"/>
                <w:szCs w:val="22"/>
              </w:rPr>
              <w:t>diagnostic yield of 26%</w:t>
            </w:r>
            <w:r>
              <w:rPr>
                <w:rFonts w:ascii="Times New Roman" w:hAnsi="Times New Roman"/>
                <w:sz w:val="22"/>
                <w:szCs w:val="22"/>
              </w:rPr>
              <w:t>.</w:t>
            </w:r>
            <w:r w:rsidRPr="00A06617">
              <w:rPr>
                <w:rFonts w:ascii="Times New Roman" w:hAnsi="Times New Roman"/>
                <w:sz w:val="22"/>
                <w:szCs w:val="22"/>
              </w:rPr>
              <w:t xml:space="preserve"> ESC considered </w:t>
            </w:r>
            <w:r>
              <w:rPr>
                <w:rFonts w:ascii="Times New Roman" w:hAnsi="Times New Roman"/>
                <w:sz w:val="22"/>
                <w:szCs w:val="22"/>
              </w:rPr>
              <w:t xml:space="preserve">the </w:t>
            </w:r>
            <w:r w:rsidRPr="00A06617">
              <w:rPr>
                <w:rFonts w:ascii="Times New Roman" w:hAnsi="Times New Roman"/>
                <w:sz w:val="22"/>
                <w:szCs w:val="22"/>
              </w:rPr>
              <w:t>26%</w:t>
            </w:r>
            <w:r>
              <w:rPr>
                <w:rFonts w:ascii="Times New Roman" w:hAnsi="Times New Roman"/>
                <w:sz w:val="22"/>
                <w:szCs w:val="22"/>
              </w:rPr>
              <w:t xml:space="preserve"> value</w:t>
            </w:r>
            <w:r w:rsidRPr="00A06617">
              <w:rPr>
                <w:rFonts w:ascii="Times New Roman" w:hAnsi="Times New Roman"/>
                <w:sz w:val="22"/>
                <w:szCs w:val="22"/>
              </w:rPr>
              <w:t xml:space="preserve"> to be reasonable</w:t>
            </w:r>
            <w:r>
              <w:rPr>
                <w:rFonts w:ascii="Times New Roman" w:hAnsi="Times New Roman"/>
                <w:sz w:val="22"/>
                <w:szCs w:val="22"/>
              </w:rPr>
              <w:t xml:space="preserve"> (as it was based on the most representative value from the literature search)</w:t>
            </w:r>
            <w:r w:rsidRPr="00A06617">
              <w:rPr>
                <w:rFonts w:ascii="Times New Roman" w:hAnsi="Times New Roman"/>
                <w:sz w:val="22"/>
                <w:szCs w:val="22"/>
              </w:rPr>
              <w:t>, given the significant heterogeneity between studies and</w:t>
            </w:r>
            <w:r>
              <w:rPr>
                <w:rFonts w:ascii="Times New Roman" w:hAnsi="Times New Roman"/>
                <w:sz w:val="22"/>
                <w:szCs w:val="22"/>
              </w:rPr>
              <w:t xml:space="preserve"> frequency of</w:t>
            </w:r>
            <w:r w:rsidRPr="00A06617">
              <w:rPr>
                <w:rFonts w:ascii="Times New Roman" w:hAnsi="Times New Roman"/>
                <w:sz w:val="22"/>
                <w:szCs w:val="22"/>
              </w:rPr>
              <w:t xml:space="preserve"> NMD subtypes. </w:t>
            </w:r>
            <w:r>
              <w:rPr>
                <w:rFonts w:ascii="Times New Roman" w:hAnsi="Times New Roman"/>
                <w:sz w:val="22"/>
                <w:szCs w:val="22"/>
              </w:rPr>
              <w:t xml:space="preserve"> Consideration of diagnostic yields of </w:t>
            </w:r>
            <w:r w:rsidRPr="00A06617">
              <w:rPr>
                <w:rFonts w:ascii="Times New Roman" w:hAnsi="Times New Roman"/>
                <w:sz w:val="22"/>
                <w:szCs w:val="22"/>
              </w:rPr>
              <w:t>46% and 78%</w:t>
            </w:r>
            <w:r>
              <w:rPr>
                <w:rFonts w:ascii="Times New Roman" w:hAnsi="Times New Roman"/>
                <w:sz w:val="22"/>
                <w:szCs w:val="22"/>
              </w:rPr>
              <w:t xml:space="preserve">, which were reported in literature excluded from the </w:t>
            </w:r>
            <w:r w:rsidR="00D559ED">
              <w:rPr>
                <w:rFonts w:ascii="Times New Roman" w:hAnsi="Times New Roman"/>
                <w:sz w:val="22"/>
                <w:szCs w:val="22"/>
              </w:rPr>
              <w:t xml:space="preserve">first </w:t>
            </w:r>
            <w:r>
              <w:rPr>
                <w:rFonts w:ascii="Times New Roman" w:hAnsi="Times New Roman"/>
                <w:sz w:val="22"/>
                <w:szCs w:val="22"/>
              </w:rPr>
              <w:t xml:space="preserve">DCAR, were also modelled in the </w:t>
            </w:r>
            <w:r w:rsidR="006A1BBD">
              <w:rPr>
                <w:rFonts w:ascii="Times New Roman" w:hAnsi="Times New Roman"/>
                <w:sz w:val="22"/>
                <w:szCs w:val="22"/>
              </w:rPr>
              <w:t>second DCAR</w:t>
            </w:r>
            <w:r>
              <w:rPr>
                <w:rFonts w:ascii="Times New Roman" w:hAnsi="Times New Roman"/>
                <w:sz w:val="22"/>
                <w:szCs w:val="22"/>
              </w:rPr>
              <w:t>.</w:t>
            </w:r>
          </w:p>
        </w:tc>
      </w:tr>
      <w:tr w:rsidR="00C730C8" w:rsidRPr="00A06617" w14:paraId="3FB99AD7" w14:textId="77777777" w:rsidTr="00C730C8">
        <w:trPr>
          <w:cantSplit/>
        </w:trPr>
        <w:tc>
          <w:tcPr>
            <w:tcW w:w="2093" w:type="dxa"/>
          </w:tcPr>
          <w:p w14:paraId="7CABABD1" w14:textId="77777777" w:rsidR="00C730C8" w:rsidRPr="00A06617" w:rsidRDefault="00C730C8" w:rsidP="00213A57">
            <w:pPr>
              <w:pStyle w:val="TableText1"/>
              <w:spacing w:before="0" w:after="0"/>
              <w:rPr>
                <w:rFonts w:ascii="Times New Roman" w:hAnsi="Times New Roman"/>
                <w:sz w:val="22"/>
                <w:szCs w:val="22"/>
              </w:rPr>
            </w:pPr>
            <w:r w:rsidRPr="00A06617">
              <w:rPr>
                <w:rFonts w:ascii="Times New Roman" w:hAnsi="Times New Roman"/>
                <w:sz w:val="22"/>
                <w:szCs w:val="22"/>
              </w:rPr>
              <w:t>Restrict testing to subspecialists</w:t>
            </w:r>
          </w:p>
        </w:tc>
        <w:tc>
          <w:tcPr>
            <w:tcW w:w="6923" w:type="dxa"/>
          </w:tcPr>
          <w:p w14:paraId="60EB58C6" w14:textId="77777777" w:rsidR="00C730C8" w:rsidRPr="00A06617" w:rsidRDefault="00C730C8" w:rsidP="00213A57">
            <w:pPr>
              <w:pStyle w:val="TableText1"/>
              <w:spacing w:before="0" w:after="0"/>
              <w:rPr>
                <w:rFonts w:ascii="Times New Roman" w:hAnsi="Times New Roman"/>
                <w:sz w:val="22"/>
                <w:szCs w:val="22"/>
              </w:rPr>
            </w:pPr>
            <w:r>
              <w:rPr>
                <w:rFonts w:ascii="Times New Roman" w:hAnsi="Times New Roman"/>
                <w:sz w:val="22"/>
                <w:szCs w:val="22"/>
              </w:rPr>
              <w:t>General p</w:t>
            </w:r>
            <w:r w:rsidRPr="00A06617">
              <w:rPr>
                <w:rFonts w:ascii="Times New Roman" w:hAnsi="Times New Roman"/>
                <w:sz w:val="22"/>
                <w:szCs w:val="22"/>
              </w:rPr>
              <w:t>aediatricians</w:t>
            </w:r>
            <w:r>
              <w:rPr>
                <w:rFonts w:ascii="Times New Roman" w:hAnsi="Times New Roman"/>
                <w:sz w:val="22"/>
                <w:szCs w:val="22"/>
              </w:rPr>
              <w:t xml:space="preserve"> </w:t>
            </w:r>
            <w:r w:rsidRPr="00A06617">
              <w:rPr>
                <w:rFonts w:ascii="Times New Roman" w:hAnsi="Times New Roman"/>
                <w:sz w:val="22"/>
                <w:szCs w:val="22"/>
              </w:rPr>
              <w:t xml:space="preserve">are unlikely to have the </w:t>
            </w:r>
            <w:r>
              <w:rPr>
                <w:rFonts w:ascii="Times New Roman" w:hAnsi="Times New Roman"/>
                <w:sz w:val="22"/>
                <w:szCs w:val="22"/>
              </w:rPr>
              <w:t>relevant subspecialist knowledge to order the appropriate genetic test.</w:t>
            </w:r>
            <w:r w:rsidRPr="00A06617">
              <w:rPr>
                <w:rFonts w:ascii="Times New Roman" w:hAnsi="Times New Roman"/>
                <w:sz w:val="22"/>
                <w:szCs w:val="22"/>
              </w:rPr>
              <w:t xml:space="preserve"> </w:t>
            </w:r>
            <w:r>
              <w:rPr>
                <w:rFonts w:ascii="Times New Roman" w:hAnsi="Times New Roman"/>
                <w:sz w:val="22"/>
                <w:szCs w:val="22"/>
              </w:rPr>
              <w:t>ESC noted that t</w:t>
            </w:r>
            <w:r w:rsidRPr="00A06617">
              <w:rPr>
                <w:rFonts w:ascii="Times New Roman" w:hAnsi="Times New Roman"/>
                <w:sz w:val="22"/>
                <w:szCs w:val="22"/>
              </w:rPr>
              <w:t>he MSAC Executive considered that access to testing could be via clinical genetics clinics or relevant sub-specialty clinics.</w:t>
            </w:r>
          </w:p>
        </w:tc>
      </w:tr>
      <w:tr w:rsidR="00C730C8" w:rsidRPr="00A06617" w14:paraId="6417271F" w14:textId="77777777" w:rsidTr="00C730C8">
        <w:trPr>
          <w:cantSplit/>
        </w:trPr>
        <w:tc>
          <w:tcPr>
            <w:tcW w:w="2093" w:type="dxa"/>
          </w:tcPr>
          <w:p w14:paraId="4E760E0F" w14:textId="77777777" w:rsidR="00C730C8" w:rsidRPr="00A06617" w:rsidRDefault="00C730C8" w:rsidP="00213A57">
            <w:pPr>
              <w:pStyle w:val="TableText1"/>
              <w:spacing w:before="0" w:after="0"/>
              <w:rPr>
                <w:rFonts w:ascii="Times New Roman" w:hAnsi="Times New Roman"/>
                <w:sz w:val="22"/>
                <w:szCs w:val="22"/>
              </w:rPr>
            </w:pPr>
            <w:r w:rsidRPr="00A06617">
              <w:rPr>
                <w:rFonts w:ascii="Times New Roman" w:hAnsi="Times New Roman"/>
                <w:sz w:val="22"/>
                <w:szCs w:val="22"/>
              </w:rPr>
              <w:t>Item FFFF</w:t>
            </w:r>
          </w:p>
        </w:tc>
        <w:tc>
          <w:tcPr>
            <w:tcW w:w="6923" w:type="dxa"/>
          </w:tcPr>
          <w:p w14:paraId="22063B21" w14:textId="2338BA1B" w:rsidR="00C730C8" w:rsidRPr="00A06617" w:rsidRDefault="00C730C8" w:rsidP="00213A57">
            <w:pPr>
              <w:pStyle w:val="TableText1"/>
              <w:spacing w:before="0" w:after="0"/>
              <w:rPr>
                <w:rFonts w:ascii="Times New Roman" w:hAnsi="Times New Roman"/>
                <w:sz w:val="22"/>
                <w:szCs w:val="22"/>
              </w:rPr>
            </w:pPr>
            <w:r w:rsidRPr="00A06617">
              <w:rPr>
                <w:rFonts w:ascii="Times New Roman" w:hAnsi="Times New Roman"/>
                <w:sz w:val="22"/>
                <w:szCs w:val="22"/>
              </w:rPr>
              <w:t xml:space="preserve">Should </w:t>
            </w:r>
            <w:r>
              <w:rPr>
                <w:rFonts w:ascii="Times New Roman" w:hAnsi="Times New Roman"/>
                <w:sz w:val="22"/>
                <w:szCs w:val="22"/>
              </w:rPr>
              <w:t xml:space="preserve">item FFFF for </w:t>
            </w:r>
            <w:r w:rsidRPr="00A06617">
              <w:rPr>
                <w:rFonts w:ascii="Times New Roman" w:hAnsi="Times New Roman"/>
                <w:sz w:val="22"/>
                <w:szCs w:val="22"/>
              </w:rPr>
              <w:t>re</w:t>
            </w:r>
            <w:r>
              <w:rPr>
                <w:rFonts w:ascii="Times New Roman" w:hAnsi="Times New Roman"/>
                <w:sz w:val="22"/>
                <w:szCs w:val="22"/>
              </w:rPr>
              <w:t>-</w:t>
            </w:r>
            <w:r w:rsidRPr="00A06617">
              <w:rPr>
                <w:rFonts w:ascii="Times New Roman" w:hAnsi="Times New Roman"/>
                <w:sz w:val="22"/>
                <w:szCs w:val="22"/>
              </w:rPr>
              <w:t>analysis be method</w:t>
            </w:r>
            <w:r>
              <w:rPr>
                <w:rFonts w:ascii="Times New Roman" w:hAnsi="Times New Roman"/>
                <w:sz w:val="22"/>
                <w:szCs w:val="22"/>
              </w:rPr>
              <w:t>-</w:t>
            </w:r>
            <w:r w:rsidRPr="00A06617">
              <w:rPr>
                <w:rFonts w:ascii="Times New Roman" w:hAnsi="Times New Roman"/>
                <w:sz w:val="22"/>
                <w:szCs w:val="22"/>
              </w:rPr>
              <w:t>agnostic?</w:t>
            </w:r>
            <w:r>
              <w:rPr>
                <w:rFonts w:ascii="Times New Roman" w:hAnsi="Times New Roman"/>
                <w:sz w:val="22"/>
                <w:szCs w:val="22"/>
              </w:rPr>
              <w:t xml:space="preserve"> Noting that there is the potential that this item could be used to access WES.</w:t>
            </w:r>
            <w:r w:rsidRPr="00A06617">
              <w:rPr>
                <w:rFonts w:ascii="Times New Roman" w:hAnsi="Times New Roman"/>
                <w:sz w:val="22"/>
                <w:szCs w:val="22"/>
              </w:rPr>
              <w:t xml:space="preserve"> There are little data to guide</w:t>
            </w:r>
            <w:r>
              <w:rPr>
                <w:rFonts w:ascii="Times New Roman" w:hAnsi="Times New Roman"/>
                <w:sz w:val="22"/>
                <w:szCs w:val="22"/>
              </w:rPr>
              <w:t xml:space="preserve"> the likely number of tests and</w:t>
            </w:r>
            <w:r w:rsidRPr="00A06617">
              <w:rPr>
                <w:rFonts w:ascii="Times New Roman" w:hAnsi="Times New Roman"/>
                <w:sz w:val="22"/>
                <w:szCs w:val="22"/>
              </w:rPr>
              <w:t xml:space="preserve"> costs</w:t>
            </w:r>
            <w:r>
              <w:rPr>
                <w:rFonts w:ascii="Times New Roman" w:hAnsi="Times New Roman"/>
                <w:sz w:val="22"/>
                <w:szCs w:val="22"/>
              </w:rPr>
              <w:t xml:space="preserve"> for this item</w:t>
            </w:r>
            <w:r w:rsidRPr="00A06617">
              <w:rPr>
                <w:rFonts w:ascii="Times New Roman" w:hAnsi="Times New Roman"/>
                <w:sz w:val="22"/>
                <w:szCs w:val="22"/>
              </w:rPr>
              <w:t>, which are therefore highly uncertain.</w:t>
            </w:r>
          </w:p>
        </w:tc>
      </w:tr>
      <w:tr w:rsidR="00C730C8" w:rsidRPr="00A06617" w14:paraId="79EC9C69" w14:textId="77777777" w:rsidTr="00C730C8">
        <w:trPr>
          <w:cantSplit/>
        </w:trPr>
        <w:tc>
          <w:tcPr>
            <w:tcW w:w="2093" w:type="dxa"/>
          </w:tcPr>
          <w:p w14:paraId="6744AAB3" w14:textId="77777777" w:rsidR="00C730C8" w:rsidRPr="0004559A" w:rsidRDefault="00C730C8" w:rsidP="00213A57">
            <w:pPr>
              <w:pStyle w:val="TableText1"/>
              <w:spacing w:before="0" w:after="0"/>
              <w:rPr>
                <w:rFonts w:ascii="Times New Roman" w:hAnsi="Times New Roman"/>
                <w:sz w:val="22"/>
                <w:szCs w:val="22"/>
              </w:rPr>
            </w:pPr>
            <w:r w:rsidRPr="0004559A">
              <w:rPr>
                <w:rFonts w:ascii="Times New Roman" w:hAnsi="Times New Roman"/>
                <w:sz w:val="22"/>
                <w:szCs w:val="22"/>
              </w:rPr>
              <w:t>Single gene tests prior to panel testing</w:t>
            </w:r>
          </w:p>
        </w:tc>
        <w:tc>
          <w:tcPr>
            <w:tcW w:w="6923" w:type="dxa"/>
          </w:tcPr>
          <w:p w14:paraId="50557815" w14:textId="77777777" w:rsidR="00C730C8" w:rsidRPr="0004559A" w:rsidRDefault="00C730C8" w:rsidP="00213A57">
            <w:pPr>
              <w:pStyle w:val="TableText1"/>
              <w:spacing w:before="0" w:after="0"/>
              <w:rPr>
                <w:rFonts w:ascii="Times New Roman" w:hAnsi="Times New Roman"/>
                <w:sz w:val="22"/>
                <w:szCs w:val="22"/>
              </w:rPr>
            </w:pPr>
            <w:r>
              <w:rPr>
                <w:rFonts w:ascii="Times New Roman" w:hAnsi="Times New Roman"/>
                <w:sz w:val="22"/>
                <w:szCs w:val="22"/>
              </w:rPr>
              <w:t>T</w:t>
            </w:r>
            <w:r w:rsidRPr="0004559A">
              <w:rPr>
                <w:rFonts w:ascii="Times New Roman" w:hAnsi="Times New Roman"/>
                <w:sz w:val="22"/>
                <w:szCs w:val="22"/>
              </w:rPr>
              <w:t xml:space="preserve">he application requested </w:t>
            </w:r>
            <w:bookmarkStart w:id="20" w:name="_Hlk75433999"/>
            <w:r w:rsidRPr="0004559A">
              <w:rPr>
                <w:rFonts w:ascii="Times New Roman" w:hAnsi="Times New Roman"/>
                <w:sz w:val="22"/>
                <w:szCs w:val="22"/>
              </w:rPr>
              <w:t>single gene tests for those genes whose variants are not detectable by NGS methods, prior to panel testing, where those NMDs are suspected</w:t>
            </w:r>
            <w:bookmarkEnd w:id="20"/>
            <w:r w:rsidRPr="0004559A">
              <w:rPr>
                <w:rFonts w:ascii="Times New Roman" w:hAnsi="Times New Roman"/>
                <w:sz w:val="22"/>
                <w:szCs w:val="22"/>
              </w:rPr>
              <w:t xml:space="preserve">. ESC noted that the list of such disorders would likely be very </w:t>
            </w:r>
            <w:proofErr w:type="gramStart"/>
            <w:r w:rsidRPr="0004559A">
              <w:rPr>
                <w:rFonts w:ascii="Times New Roman" w:hAnsi="Times New Roman"/>
                <w:sz w:val="22"/>
                <w:szCs w:val="22"/>
              </w:rPr>
              <w:t>long, and</w:t>
            </w:r>
            <w:proofErr w:type="gramEnd"/>
            <w:r w:rsidRPr="0004559A">
              <w:rPr>
                <w:rFonts w:ascii="Times New Roman" w:hAnsi="Times New Roman"/>
                <w:sz w:val="22"/>
                <w:szCs w:val="22"/>
              </w:rPr>
              <w:t xml:space="preserve"> requested MSAC </w:t>
            </w:r>
            <w:r>
              <w:rPr>
                <w:rFonts w:ascii="Times New Roman" w:hAnsi="Times New Roman"/>
                <w:sz w:val="22"/>
                <w:szCs w:val="22"/>
              </w:rPr>
              <w:t>consider</w:t>
            </w:r>
            <w:r w:rsidRPr="0004559A">
              <w:rPr>
                <w:rFonts w:ascii="Times New Roman" w:hAnsi="Times New Roman"/>
                <w:sz w:val="22"/>
                <w:szCs w:val="22"/>
              </w:rPr>
              <w:t xml:space="preserve"> </w:t>
            </w:r>
            <w:r>
              <w:rPr>
                <w:rFonts w:ascii="Times New Roman" w:hAnsi="Times New Roman"/>
                <w:sz w:val="22"/>
                <w:szCs w:val="22"/>
              </w:rPr>
              <w:t>how</w:t>
            </w:r>
            <w:r w:rsidRPr="0004559A">
              <w:rPr>
                <w:rFonts w:ascii="Times New Roman" w:hAnsi="Times New Roman"/>
                <w:sz w:val="22"/>
                <w:szCs w:val="22"/>
              </w:rPr>
              <w:t xml:space="preserve"> to </w:t>
            </w:r>
            <w:r>
              <w:rPr>
                <w:rFonts w:ascii="Times New Roman" w:hAnsi="Times New Roman"/>
                <w:sz w:val="22"/>
                <w:szCs w:val="22"/>
              </w:rPr>
              <w:t xml:space="preserve">best </w:t>
            </w:r>
            <w:r w:rsidRPr="0004559A">
              <w:rPr>
                <w:rFonts w:ascii="Times New Roman" w:hAnsi="Times New Roman"/>
                <w:sz w:val="22"/>
                <w:szCs w:val="22"/>
              </w:rPr>
              <w:t xml:space="preserve">address </w:t>
            </w:r>
            <w:r>
              <w:rPr>
                <w:rFonts w:ascii="Times New Roman" w:hAnsi="Times New Roman"/>
                <w:sz w:val="22"/>
                <w:szCs w:val="22"/>
              </w:rPr>
              <w:t xml:space="preserve">the need for </w:t>
            </w:r>
            <w:r w:rsidRPr="0004559A">
              <w:rPr>
                <w:rFonts w:ascii="Times New Roman" w:hAnsi="Times New Roman"/>
                <w:sz w:val="22"/>
                <w:szCs w:val="22"/>
              </w:rPr>
              <w:t>single gene tests prior to panel testing</w:t>
            </w:r>
            <w:r>
              <w:rPr>
                <w:rFonts w:ascii="Times New Roman" w:hAnsi="Times New Roman"/>
                <w:sz w:val="22"/>
                <w:szCs w:val="22"/>
              </w:rPr>
              <w:t xml:space="preserve"> for some patients</w:t>
            </w:r>
            <w:r w:rsidRPr="0004559A">
              <w:rPr>
                <w:rFonts w:ascii="Times New Roman" w:hAnsi="Times New Roman"/>
                <w:sz w:val="22"/>
                <w:szCs w:val="22"/>
              </w:rPr>
              <w:t>.</w:t>
            </w:r>
          </w:p>
        </w:tc>
      </w:tr>
    </w:tbl>
    <w:p w14:paraId="051A5EE1" w14:textId="77777777" w:rsidR="00C730C8" w:rsidRPr="001F48FE" w:rsidRDefault="00C730C8" w:rsidP="00213A57">
      <w:pPr>
        <w:pStyle w:val="Heading1"/>
        <w:spacing w:before="240"/>
        <w:ind w:left="720" w:hanging="720"/>
      </w:pPr>
      <w:r w:rsidRPr="001F48FE">
        <w:t>ESC Discussion</w:t>
      </w:r>
    </w:p>
    <w:p w14:paraId="5FB69E53" w14:textId="15B02A2F" w:rsidR="00C730C8" w:rsidRPr="001F48FE" w:rsidRDefault="00C730C8" w:rsidP="00C730C8">
      <w:r w:rsidRPr="001F48FE">
        <w:t xml:space="preserve">ESC noted that this application was for Medicare Benefits Schedule (MBS) listing of genetic testing for NMDs. ESC noted that the assessment comprised a </w:t>
      </w:r>
      <w:r w:rsidR="006A1BBD">
        <w:t xml:space="preserve">first </w:t>
      </w:r>
      <w:r w:rsidRPr="001F48FE">
        <w:t xml:space="preserve">DCAR dated December </w:t>
      </w:r>
      <w:r w:rsidRPr="001F48FE">
        <w:lastRenderedPageBreak/>
        <w:t>2020, discussion at the February 2021 MSAC Executive meeting, discussion at the March/April 2021 MSAC meeting, and a second DCAR dated March 2021.</w:t>
      </w:r>
    </w:p>
    <w:p w14:paraId="128D8EED" w14:textId="77777777" w:rsidR="00C730C8" w:rsidRPr="001F48FE" w:rsidRDefault="00C730C8" w:rsidP="00213A57">
      <w:pPr>
        <w:spacing w:before="240"/>
      </w:pPr>
      <w:r w:rsidRPr="001F48FE">
        <w:t>ESC noted that there is enormous clinical heterogeneity both between and within the disorders encompassed by the application. There is also substantial genetic heterogeneity – the same variant may result in a different phenotype, which precludes making a definitive diagnosis and assessment of risk to other family members. Individually, the 761+ NMDs able to be characterised are individually rare, but from the included literature have an estimated cumulative prevalence of 33/100,000.</w:t>
      </w:r>
    </w:p>
    <w:p w14:paraId="2B21372D" w14:textId="3E6C955C" w:rsidR="00C730C8" w:rsidRPr="001F48FE" w:rsidRDefault="00C730C8" w:rsidP="00213A57">
      <w:pPr>
        <w:pStyle w:val="NormalBeforeBullet"/>
        <w:spacing w:before="240"/>
      </w:pPr>
      <w:r w:rsidRPr="001F48FE">
        <w:t>ESC noted MSAC’s advice on streamlining the approach to the assessment of large genomic panels, WES and WGS, at its meeting of March/April 2021:</w:t>
      </w:r>
    </w:p>
    <w:p w14:paraId="344E858D" w14:textId="77777777" w:rsidR="00C730C8" w:rsidRPr="001F48FE" w:rsidRDefault="00C730C8" w:rsidP="00C75124">
      <w:pPr>
        <w:pStyle w:val="ListParagraph"/>
        <w:numPr>
          <w:ilvl w:val="0"/>
          <w:numId w:val="20"/>
        </w:numPr>
      </w:pPr>
      <w:r w:rsidRPr="001F48FE">
        <w:t xml:space="preserve">disaggregating the gene panel and making funding decisions </w:t>
      </w:r>
      <w:proofErr w:type="gramStart"/>
      <w:r w:rsidRPr="001F48FE">
        <w:t>on the basis of</w:t>
      </w:r>
      <w:proofErr w:type="gramEnd"/>
      <w:r w:rsidRPr="001F48FE">
        <w:t xml:space="preserve"> assessments of the exemplar genes alone inadequately captures the clinical benefits and utilities of using a large panel where the intent is to make a diagnosis among a population tested. MSAC instead suggested that the test population’s diagnostic yield is relevant and not disaggregating the genes within these panels would be a better and more patient-centred approach.</w:t>
      </w:r>
    </w:p>
    <w:p w14:paraId="436641A6" w14:textId="77777777" w:rsidR="00C730C8" w:rsidRPr="001F48FE" w:rsidRDefault="00C730C8" w:rsidP="00C75124">
      <w:pPr>
        <w:pStyle w:val="ListParagraph"/>
        <w:numPr>
          <w:ilvl w:val="0"/>
          <w:numId w:val="20"/>
        </w:numPr>
      </w:pPr>
      <w:r w:rsidRPr="001F48FE">
        <w:t>genomic testing is already the standard of care for complex NMDs where there is no readily identifiable phenotype to direct condition-specific genetic testing.</w:t>
      </w:r>
    </w:p>
    <w:p w14:paraId="44F14576" w14:textId="77777777" w:rsidR="00C730C8" w:rsidRPr="001F48FE" w:rsidRDefault="00C730C8" w:rsidP="00C75124">
      <w:pPr>
        <w:pStyle w:val="ListParagraph"/>
        <w:numPr>
          <w:ilvl w:val="0"/>
          <w:numId w:val="20"/>
        </w:numPr>
      </w:pPr>
      <w:r w:rsidRPr="001F48FE">
        <w:t>a more pragmatic approach is needed to assess large genomic panels, WES and WGS.</w:t>
      </w:r>
    </w:p>
    <w:p w14:paraId="770296A2" w14:textId="77777777" w:rsidR="00C730C8" w:rsidRPr="001F48FE" w:rsidRDefault="00C730C8" w:rsidP="00C75124">
      <w:pPr>
        <w:pStyle w:val="ListParagraph"/>
        <w:numPr>
          <w:ilvl w:val="0"/>
          <w:numId w:val="20"/>
        </w:numPr>
      </w:pPr>
      <w:r w:rsidRPr="001F48FE">
        <w:t>cost per informative diagnostic test result should be considered, which includes the proportions of both “variant detected” and “no variant detected”, as both outcomes have relevance.</w:t>
      </w:r>
    </w:p>
    <w:p w14:paraId="3959ABBB" w14:textId="77777777" w:rsidR="00C730C8" w:rsidRPr="001F48FE" w:rsidRDefault="00C730C8" w:rsidP="00C75124">
      <w:pPr>
        <w:pStyle w:val="ListParagraph"/>
        <w:numPr>
          <w:ilvl w:val="0"/>
          <w:numId w:val="20"/>
        </w:numPr>
      </w:pPr>
      <w:r w:rsidRPr="001F48FE">
        <w:t>clinical utility, underpinning the value proposition, may additionally be assessed more qualitatively rather than quantitatively.</w:t>
      </w:r>
    </w:p>
    <w:p w14:paraId="401DE78C" w14:textId="77777777" w:rsidR="00C730C8" w:rsidRPr="001F48FE" w:rsidRDefault="00C730C8" w:rsidP="00C75124">
      <w:pPr>
        <w:pStyle w:val="ListParagraph"/>
        <w:numPr>
          <w:ilvl w:val="0"/>
          <w:numId w:val="20"/>
        </w:numPr>
      </w:pPr>
      <w:r w:rsidRPr="001F48FE">
        <w:t>Assessment of analytical validity is no longer required for these tests.</w:t>
      </w:r>
    </w:p>
    <w:p w14:paraId="3CEF8A3B" w14:textId="7B316AF1" w:rsidR="00C730C8" w:rsidRDefault="00C730C8" w:rsidP="00213A57">
      <w:pPr>
        <w:spacing w:before="240"/>
      </w:pPr>
      <w:r w:rsidRPr="001F48FE">
        <w:t xml:space="preserve">ESC noted the consumer support for the application, which included considering the </w:t>
      </w:r>
      <w:r>
        <w:t>‘</w:t>
      </w:r>
      <w:r w:rsidRPr="001F48FE">
        <w:t>value of knowing</w:t>
      </w:r>
      <w:r>
        <w:t>’</w:t>
      </w:r>
      <w:r w:rsidRPr="001F48FE">
        <w:t xml:space="preserve">, avoiding tests and biopsies, and truncating the ‘diagnostic odyssey’. ESC noted </w:t>
      </w:r>
      <w:r>
        <w:t xml:space="preserve">regarding </w:t>
      </w:r>
      <w:r w:rsidRPr="001F48FE">
        <w:t xml:space="preserve">clinical utility </w:t>
      </w:r>
      <w:r>
        <w:t xml:space="preserve">that there is no treatment for the vast majority of </w:t>
      </w:r>
      <w:proofErr w:type="gramStart"/>
      <w:r>
        <w:t>NMDs, and</w:t>
      </w:r>
      <w:proofErr w:type="gramEnd"/>
      <w:r>
        <w:t xml:space="preserve"> noted the MSAC Executive’s advice that the clinical utility for genomic tests can be assessed more qualitatively than quantitatively</w:t>
      </w:r>
      <w:r w:rsidRPr="001F48FE">
        <w:t xml:space="preserve">. ESC </w:t>
      </w:r>
      <w:r>
        <w:t>considered</w:t>
      </w:r>
      <w:r w:rsidRPr="001F48FE">
        <w:t xml:space="preserve"> that the </w:t>
      </w:r>
      <w:r>
        <w:t xml:space="preserve">major </w:t>
      </w:r>
      <w:r w:rsidRPr="001F48FE">
        <w:t xml:space="preserve">benefit of testing is in </w:t>
      </w:r>
      <w:r>
        <w:t>the</w:t>
      </w:r>
      <w:r w:rsidRPr="001F48FE">
        <w:t xml:space="preserve"> </w:t>
      </w:r>
      <w:r>
        <w:t>‘</w:t>
      </w:r>
      <w:r w:rsidRPr="001F48FE">
        <w:t>value of knowing</w:t>
      </w:r>
      <w:r>
        <w:t>’, rather than commencement of targeted therapies</w:t>
      </w:r>
      <w:r w:rsidRPr="001F48FE">
        <w:t>.</w:t>
      </w:r>
    </w:p>
    <w:p w14:paraId="4C96C69C" w14:textId="77777777" w:rsidR="00C730C8" w:rsidRPr="001F48FE" w:rsidRDefault="00C730C8" w:rsidP="00213A57">
      <w:pPr>
        <w:pStyle w:val="NormalBeforeBullet"/>
        <w:spacing w:before="240"/>
      </w:pPr>
      <w:r w:rsidRPr="001F48FE">
        <w:t xml:space="preserve">ESC noted the proposed MBS items for testing the affected individual would (at least) obviate the need for muscle or nerve biopsy collection and testing. The six proposed MBS items are: </w:t>
      </w:r>
    </w:p>
    <w:p w14:paraId="4F4E2BF5" w14:textId="77777777" w:rsidR="00C730C8" w:rsidRPr="001F48FE" w:rsidRDefault="00C730C8" w:rsidP="00C75124">
      <w:pPr>
        <w:pStyle w:val="ListParagraph"/>
        <w:numPr>
          <w:ilvl w:val="0"/>
          <w:numId w:val="20"/>
        </w:numPr>
      </w:pPr>
      <w:r w:rsidRPr="001F48FE">
        <w:t>AAAA – genetic testing of the affected individual using gene panels</w:t>
      </w:r>
    </w:p>
    <w:p w14:paraId="04F93551" w14:textId="77777777" w:rsidR="00C730C8" w:rsidRPr="001F48FE" w:rsidRDefault="00C730C8" w:rsidP="00C75124">
      <w:pPr>
        <w:pStyle w:val="ListParagraph"/>
        <w:numPr>
          <w:ilvl w:val="0"/>
          <w:numId w:val="20"/>
        </w:numPr>
      </w:pPr>
      <w:r w:rsidRPr="001F48FE">
        <w:t>BBBB – genetic testing of relatives of the proband</w:t>
      </w:r>
    </w:p>
    <w:p w14:paraId="677F19B3" w14:textId="77777777" w:rsidR="00C730C8" w:rsidRPr="001F48FE" w:rsidRDefault="00C730C8" w:rsidP="00C75124">
      <w:pPr>
        <w:pStyle w:val="ListParagraph"/>
        <w:numPr>
          <w:ilvl w:val="0"/>
          <w:numId w:val="20"/>
        </w:numPr>
      </w:pPr>
      <w:r w:rsidRPr="001F48FE">
        <w:t xml:space="preserve">CCCC, DDDD – prenatal genetic testing of a </w:t>
      </w:r>
      <w:proofErr w:type="spellStart"/>
      <w:r w:rsidRPr="001F48FE">
        <w:t>fetus</w:t>
      </w:r>
      <w:proofErr w:type="spellEnd"/>
      <w:r w:rsidRPr="001F48FE">
        <w:t xml:space="preserve"> for known, and unknown variant(s), respectively</w:t>
      </w:r>
    </w:p>
    <w:p w14:paraId="1209C77D" w14:textId="77777777" w:rsidR="00C730C8" w:rsidRPr="001F48FE" w:rsidRDefault="00C730C8" w:rsidP="00C75124">
      <w:pPr>
        <w:pStyle w:val="ListParagraph"/>
        <w:numPr>
          <w:ilvl w:val="0"/>
          <w:numId w:val="20"/>
        </w:numPr>
      </w:pPr>
      <w:r w:rsidRPr="001F48FE">
        <w:t>EEEE – genetic testing of the proband’s reproductive partner</w:t>
      </w:r>
    </w:p>
    <w:p w14:paraId="1C36C9A0" w14:textId="77777777" w:rsidR="00C730C8" w:rsidRPr="001F48FE" w:rsidRDefault="00C730C8" w:rsidP="00C75124">
      <w:pPr>
        <w:pStyle w:val="ListParagraph"/>
        <w:numPr>
          <w:ilvl w:val="0"/>
          <w:numId w:val="20"/>
        </w:numPr>
      </w:pPr>
      <w:r w:rsidRPr="001F48FE">
        <w:t>FFFF – re-analysis of whole exome data</w:t>
      </w:r>
    </w:p>
    <w:p w14:paraId="7CE1AFFA" w14:textId="538176C5" w:rsidR="00C730C8" w:rsidRPr="001F48FE" w:rsidRDefault="00C730C8" w:rsidP="00213A57">
      <w:pPr>
        <w:spacing w:before="240"/>
      </w:pPr>
      <w:r w:rsidRPr="001F48FE">
        <w:t>ESC considered that it may be appropriate to restrict use of biopsies (MBS items 30075, 72844 and 72846) if the proposed item AAAA was used as an alternative diagnostic test. ESC advised that item AAAA request</w:t>
      </w:r>
      <w:r>
        <w:t>or</w:t>
      </w:r>
      <w:r w:rsidRPr="001F48FE">
        <w:t xml:space="preserve">s were not restricted by subspeciality, and that this item be applicable once per lifetime. ESC considered that an explanatory note may be needed </w:t>
      </w:r>
      <w:r w:rsidRPr="001F48FE">
        <w:lastRenderedPageBreak/>
        <w:t xml:space="preserve">to list the exclusions for genes whose variants are known not to be detectable using NGS methods. </w:t>
      </w:r>
    </w:p>
    <w:p w14:paraId="332AFFB1" w14:textId="6F3D3171" w:rsidR="00C730C8" w:rsidRPr="001F48FE" w:rsidRDefault="00C730C8" w:rsidP="00213A57">
      <w:pPr>
        <w:spacing w:before="240"/>
      </w:pPr>
      <w:r w:rsidRPr="001F48FE">
        <w:t>ESC noted the applicant’s request for the panel test AAAA and re-analysis item FFFF be method-</w:t>
      </w:r>
      <w:proofErr w:type="gramStart"/>
      <w:r w:rsidRPr="001F48FE">
        <w:t>agnostic, yet</w:t>
      </w:r>
      <w:proofErr w:type="gramEnd"/>
      <w:r w:rsidRPr="001F48FE">
        <w:t xml:space="preserve"> noted that FFFF depends on AAAA having previously used a method that includes a full capture and sequencing background (such as a virtual panel</w:t>
      </w:r>
      <w:r w:rsidR="00F53F60">
        <w:t xml:space="preserve"> on an exome background</w:t>
      </w:r>
      <w:r w:rsidRPr="001F48FE">
        <w:t xml:space="preserve">). ESC noted that if the descriptor is method-agnostic, small laboratories may perform cheaper tests and bioinformatic analyses on small gene panels, which would constitute less comprehensive initial testing and preclude item FFFF from being performed </w:t>
      </w:r>
      <w:proofErr w:type="gramStart"/>
      <w:r w:rsidRPr="001F48FE">
        <w:t>at a later time</w:t>
      </w:r>
      <w:proofErr w:type="gramEnd"/>
      <w:r w:rsidRPr="001F48FE">
        <w:t>. Whereas if a virtual panel</w:t>
      </w:r>
      <w:r w:rsidR="00F53F60">
        <w:t xml:space="preserve"> on a full capture and sequencing background</w:t>
      </w:r>
      <w:r w:rsidRPr="001F48FE">
        <w:t xml:space="preserve"> is required for AAAA, then the fee might need to be increased from $1,200 (for example to $2,100 in line with the implemented fee for similar MBS items), which would then need to be reflected in a revised budget impact. ESC noted that </w:t>
      </w:r>
      <w:r w:rsidR="008A28E7">
        <w:t xml:space="preserve">a </w:t>
      </w:r>
      <w:r w:rsidR="00F53F60">
        <w:t xml:space="preserve">virtual panel on </w:t>
      </w:r>
      <w:r w:rsidR="008A28E7">
        <w:t>a full capture and sequencing background</w:t>
      </w:r>
      <w:r w:rsidR="00F53F60" w:rsidRPr="001F48FE">
        <w:t xml:space="preserve"> </w:t>
      </w:r>
      <w:r w:rsidRPr="001F48FE">
        <w:t xml:space="preserve">is an accepted methodology for NMD gene panel testing in other jurisdictions. ESC stated that MSAC may want to consider suggesting a minimum gene set for item AAAA, but noted the application references panels reported at </w:t>
      </w:r>
      <w:hyperlink r:id="rId19" w:history="1">
        <w:r w:rsidRPr="001F48FE">
          <w:rPr>
            <w:rStyle w:val="Hyperlink"/>
          </w:rPr>
          <w:t>www.muslcegenetable.fr</w:t>
        </w:r>
      </w:hyperlink>
      <w:r w:rsidRPr="001F48FE">
        <w:t xml:space="preserve">; alternative panels are reported in </w:t>
      </w:r>
      <w:proofErr w:type="spellStart"/>
      <w:r w:rsidR="00ED5C4C">
        <w:t>P</w:t>
      </w:r>
      <w:r w:rsidRPr="001F48FE">
        <w:t>anel</w:t>
      </w:r>
      <w:r w:rsidR="00ED5C4C">
        <w:t>A</w:t>
      </w:r>
      <w:r w:rsidRPr="001F48FE">
        <w:t>pp</w:t>
      </w:r>
      <w:proofErr w:type="spellEnd"/>
      <w:r w:rsidRPr="001F48FE">
        <w:t xml:space="preserve"> Australia (</w:t>
      </w:r>
      <w:hyperlink r:id="rId20" w:history="1">
        <w:r w:rsidRPr="001F48FE">
          <w:rPr>
            <w:rStyle w:val="Hyperlink"/>
          </w:rPr>
          <w:t>https://panelapp.agha.umccr.org/</w:t>
        </w:r>
      </w:hyperlink>
      <w:r w:rsidRPr="001F48FE">
        <w:t>). ESC noted that leaving FFFF as method-agnostic may lead to it being used as a ‘mop</w:t>
      </w:r>
      <w:r w:rsidR="00CF3198">
        <w:t>-</w:t>
      </w:r>
      <w:r w:rsidRPr="001F48FE">
        <w:t xml:space="preserve">up item’ for access to </w:t>
      </w:r>
      <w:r w:rsidR="008A28E7">
        <w:t xml:space="preserve">exome sequencing </w:t>
      </w:r>
      <w:r w:rsidRPr="001F48FE">
        <w:t>with a virtual panel, which is more costly, and so the financial impact would increase. ESC therefore explicitly assumed that panel testing under AAAA would require the use of broader wet-lab ascertainment methodologies followed by narrow bioinformatics (</w:t>
      </w:r>
      <w:proofErr w:type="gramStart"/>
      <w:r w:rsidRPr="001F48FE">
        <w:t>i.e.</w:t>
      </w:r>
      <w:proofErr w:type="gramEnd"/>
      <w:r w:rsidRPr="001F48FE">
        <w:t xml:space="preserve"> WES/WGS </w:t>
      </w:r>
      <w:r w:rsidR="008A28E7">
        <w:t xml:space="preserve">library preparation and sequencing, </w:t>
      </w:r>
      <w:r w:rsidRPr="001F48FE">
        <w:t>with a virtual panel), similar to how a range of biochemical tests are done then only a subset reported. This would ensure re-analysis was always available afterwards.</w:t>
      </w:r>
    </w:p>
    <w:p w14:paraId="79FEEC45" w14:textId="6C4CB464" w:rsidR="00C730C8" w:rsidRPr="001F48FE" w:rsidRDefault="00C730C8" w:rsidP="00213A57">
      <w:pPr>
        <w:spacing w:before="240"/>
      </w:pPr>
      <w:r w:rsidRPr="001F48FE">
        <w:t xml:space="preserve">ESC noted that it was not clear how to incorporate single gene tests for those genes whose variants are not detectable by NGS methods (where suspected) prior to panel testing, such as </w:t>
      </w:r>
      <w:r w:rsidR="005E1DFB">
        <w:rPr>
          <w:i/>
          <w:iCs/>
        </w:rPr>
        <w:t>DUX4</w:t>
      </w:r>
      <w:r w:rsidRPr="001F48FE">
        <w:t xml:space="preserve"> for facioscapulohumeral dystrophy. ESC requested MSAC</w:t>
      </w:r>
      <w:r>
        <w:t>’s</w:t>
      </w:r>
      <w:r w:rsidRPr="001F48FE">
        <w:t xml:space="preserve"> advice on how best to address this testing, including whether it should be part of this application or be considered as a separate application.</w:t>
      </w:r>
    </w:p>
    <w:p w14:paraId="77137B86" w14:textId="77777777" w:rsidR="00C730C8" w:rsidRPr="001F48FE" w:rsidRDefault="00C730C8" w:rsidP="00213A57">
      <w:pPr>
        <w:spacing w:before="240"/>
      </w:pPr>
      <w:r w:rsidRPr="001F48FE">
        <w:t xml:space="preserve">For proposed item BBBB, ESC noted that “biological relatives” needs specifically defining and suggested using first-degree relatives instead. ESC also noted that the proposed fee for BBBB of $450 appeared to be inflated: the Victorian Clinical Genetics Services charges about $250 for this test. ESC noted similar feedback regarding the fee ($1,000) for proposed item CCCC – </w:t>
      </w:r>
      <w:proofErr w:type="spellStart"/>
      <w:r w:rsidRPr="001F48FE">
        <w:t>PathWest</w:t>
      </w:r>
      <w:proofErr w:type="spellEnd"/>
      <w:r w:rsidRPr="001F48FE">
        <w:t xml:space="preserve"> charges about $600 for this test.</w:t>
      </w:r>
    </w:p>
    <w:p w14:paraId="76DFC282" w14:textId="3AFE8809" w:rsidR="00C730C8" w:rsidRPr="001F48FE" w:rsidRDefault="00C730C8" w:rsidP="00213A57">
      <w:pPr>
        <w:spacing w:before="240"/>
      </w:pPr>
      <w:r w:rsidRPr="001F48FE">
        <w:t>ESC noted that proposed item EEEE was test methodology agnostic and there were no real-world data to inform the fee for this test. ESC also queried whether clinicians would want to know if there was another variant that might result in biallelic loss and subsequent risk of an NMD. ESC advised that reproductive partner testing must assess all variants within the gene, and therefore be single gene sequencing rather than single variant testing. ESC noted that MSAC had supported a fee of $1,200 for single gene sequencing reproductive partner testing items for applications 1599 and 1600 at its March/April 2021 meeting. MSAC justified this increase from the originally proposed $500 fee (for these items in both 1599 and 1600) based on the complexity of sequencing the genes on these panels being greater than the simpler cystic fibrosis gene, which has a fee of $500. For proposed item EEEE the budget impact used a fee of $450, which would need to be adjusted if MSAC decided that the higher fee was more appropriate. This was performed in post-ESC analyses.</w:t>
      </w:r>
    </w:p>
    <w:p w14:paraId="0135F8E2" w14:textId="77777777" w:rsidR="00C730C8" w:rsidRPr="001F48FE" w:rsidRDefault="00C730C8" w:rsidP="00C730C8">
      <w:r w:rsidRPr="001F48FE">
        <w:lastRenderedPageBreak/>
        <w:t>In its pre-ESC response, the applicant noted that re-analysing a sample with the same panel composition is rare.</w:t>
      </w:r>
    </w:p>
    <w:p w14:paraId="34DB092B" w14:textId="152A1A3F" w:rsidR="00C730C8" w:rsidRPr="001F48FE" w:rsidRDefault="00C730C8" w:rsidP="00213A57">
      <w:pPr>
        <w:spacing w:before="240"/>
      </w:pPr>
      <w:r w:rsidRPr="001F48FE">
        <w:t>ESC noted the two sources for population estimates, resulting in different total budget</w:t>
      </w:r>
      <w:r>
        <w:t xml:space="preserve"> calculation</w:t>
      </w:r>
      <w:r w:rsidRPr="001F48FE">
        <w:t>s. From the literature, Rose 2019</w:t>
      </w:r>
      <w:r w:rsidRPr="001F48FE">
        <w:rPr>
          <w:rStyle w:val="FootnoteReference"/>
        </w:rPr>
        <w:footnoteReference w:id="19"/>
      </w:r>
      <w:r w:rsidRPr="001F48FE">
        <w:t xml:space="preserve"> suggested an incidence of 10.6/100,0000 and a prevalence of 80/100,000, which the</w:t>
      </w:r>
      <w:r w:rsidR="00D559ED">
        <w:t xml:space="preserve"> first</w:t>
      </w:r>
      <w:r w:rsidRPr="001F48FE">
        <w:t xml:space="preserve"> DCAR used to calculate the budget impact. However, current testing data from </w:t>
      </w:r>
      <w:proofErr w:type="spellStart"/>
      <w:r w:rsidRPr="001F48FE">
        <w:t>PathWest</w:t>
      </w:r>
      <w:proofErr w:type="spellEnd"/>
      <w:r w:rsidRPr="001F48FE">
        <w:t xml:space="preserve"> suggested an incidence of 3.6/100,000, and a sensitivity analysis using prevalence of 60/100,000 was used in the </w:t>
      </w:r>
      <w:r w:rsidR="006A1BBD">
        <w:t>second DCAR</w:t>
      </w:r>
      <w:r>
        <w:t>’s</w:t>
      </w:r>
      <w:r w:rsidRPr="001F48FE">
        <w:t xml:space="preserve"> budget impact. ESC noted that the </w:t>
      </w:r>
      <w:proofErr w:type="spellStart"/>
      <w:r w:rsidRPr="001F48FE">
        <w:t>PathWest</w:t>
      </w:r>
      <w:proofErr w:type="spellEnd"/>
      <w:r w:rsidRPr="001F48FE">
        <w:t xml:space="preserve"> data</w:t>
      </w:r>
      <w:r>
        <w:t xml:space="preserve"> represent only some states and so </w:t>
      </w:r>
      <w:r w:rsidRPr="001F48FE">
        <w:t xml:space="preserve">were </w:t>
      </w:r>
      <w:r>
        <w:t>extrapolated</w:t>
      </w:r>
      <w:r w:rsidRPr="001F48FE">
        <w:t xml:space="preserve"> to </w:t>
      </w:r>
      <w:r>
        <w:t>include nationwide testing</w:t>
      </w:r>
      <w:r w:rsidRPr="001F48FE">
        <w:t xml:space="preserve"> and some overseas testing. ESC noted that cost-effectiveness was not requested to be modelled in the </w:t>
      </w:r>
      <w:r w:rsidR="006A1BBD">
        <w:t>second DCAR</w:t>
      </w:r>
      <w:r w:rsidRPr="001F48FE">
        <w:t xml:space="preserve">. Thus, the budget impacts presented in the </w:t>
      </w:r>
      <w:r w:rsidR="006A1BBD">
        <w:t>second DCAR</w:t>
      </w:r>
      <w:r w:rsidRPr="001F48FE">
        <w:t xml:space="preserve"> used the incidence from the literature (10.6/100,000) and an alternative incidence based on </w:t>
      </w:r>
      <w:proofErr w:type="spellStart"/>
      <w:r w:rsidRPr="001F48FE">
        <w:t>PathWest</w:t>
      </w:r>
      <w:proofErr w:type="spellEnd"/>
      <w:r w:rsidRPr="001F48FE">
        <w:t xml:space="preserve"> data (3.6/100,000).</w:t>
      </w:r>
    </w:p>
    <w:p w14:paraId="39B56E0E" w14:textId="74AA0282" w:rsidR="00C730C8" w:rsidRPr="001F48FE" w:rsidRDefault="00C730C8" w:rsidP="00213A57">
      <w:pPr>
        <w:spacing w:before="240"/>
      </w:pPr>
      <w:r w:rsidRPr="001F48FE">
        <w:t xml:space="preserve">The </w:t>
      </w:r>
      <w:r w:rsidR="00D559ED">
        <w:t xml:space="preserve">first </w:t>
      </w:r>
      <w:r w:rsidRPr="001F48FE">
        <w:t xml:space="preserve">DCAR presented net costs to the MBS </w:t>
      </w:r>
      <w:r>
        <w:t xml:space="preserve">(including counselling) </w:t>
      </w:r>
      <w:r w:rsidRPr="001F48FE">
        <w:t xml:space="preserve">ranging from a saving of $5.07 million to additional expenditure of $4.48 million, which ESC considered to be highly uncertain. The </w:t>
      </w:r>
      <w:r w:rsidR="006A1BBD">
        <w:t>second DCAR</w:t>
      </w:r>
      <w:r w:rsidRPr="001F48FE">
        <w:t>, using various diagnostic yields (26% representing current testing yields, and 46% and 78% representing the estimates from selected populations in the literature)</w:t>
      </w:r>
      <w:r>
        <w:t>,</w:t>
      </w:r>
      <w:r w:rsidRPr="001F48FE">
        <w:t xml:space="preserve"> </w:t>
      </w:r>
      <w:r>
        <w:t>along with t</w:t>
      </w:r>
      <w:r w:rsidRPr="001F48FE">
        <w:t>wo different prevalence estimates (60 and 80/100,000) and two different incidence estimates (3.6 and 10.6/100,000)</w:t>
      </w:r>
      <w:r>
        <w:t>,</w:t>
      </w:r>
      <w:r w:rsidRPr="001F48FE">
        <w:t xml:space="preserve"> provided budget impacts </w:t>
      </w:r>
      <w:r>
        <w:t>(</w:t>
      </w:r>
      <w:r w:rsidRPr="001F48FE">
        <w:t>including the cost-offsets of avoided muscle or nerve biopsies</w:t>
      </w:r>
      <w:r>
        <w:t>, but excluding counselling) that found net cost estimates</w:t>
      </w:r>
      <w:r w:rsidRPr="001F48FE">
        <w:t xml:space="preserve"> ranging from $0.3 million to $4.2 million per year.</w:t>
      </w:r>
      <w:r>
        <w:t xml:space="preserve"> ESC considered the </w:t>
      </w:r>
      <w:r w:rsidR="006A1BBD">
        <w:t>second DCAR</w:t>
      </w:r>
      <w:r>
        <w:t>’s net cost estimates to be less uncertain.</w:t>
      </w:r>
      <w:r w:rsidRPr="001F48FE">
        <w:t xml:space="preserve"> ESC </w:t>
      </w:r>
      <w:r>
        <w:t xml:space="preserve">noted </w:t>
      </w:r>
      <w:r w:rsidRPr="001F48FE">
        <w:t xml:space="preserve">that the </w:t>
      </w:r>
      <w:r w:rsidR="00D559ED">
        <w:t xml:space="preserve">first </w:t>
      </w:r>
      <w:r w:rsidRPr="001F48FE">
        <w:t>DCAR</w:t>
      </w:r>
      <w:r>
        <w:t xml:space="preserve"> had estimated the annual cost of counselling to be</w:t>
      </w:r>
      <w:r w:rsidRPr="001F48FE">
        <w:t xml:space="preserve"> $1.17 million. ESC considered the </w:t>
      </w:r>
      <w:r w:rsidR="006A1BBD">
        <w:t>second DCAR</w:t>
      </w:r>
      <w:r>
        <w:t xml:space="preserve">’s </w:t>
      </w:r>
      <w:r w:rsidRPr="001F48FE">
        <w:t xml:space="preserve">$4.2 million </w:t>
      </w:r>
      <w:r>
        <w:t xml:space="preserve">per year </w:t>
      </w:r>
      <w:r w:rsidRPr="001F48FE">
        <w:t>estimate</w:t>
      </w:r>
      <w:r>
        <w:t xml:space="preserve"> (based on 26% diagnostic yield, 10.6/100,000 incidence and 60/100,000 prevalence)</w:t>
      </w:r>
      <w:r w:rsidRPr="001F48FE">
        <w:t xml:space="preserve"> to be “conservative” and </w:t>
      </w:r>
      <w:r>
        <w:t>its</w:t>
      </w:r>
      <w:r w:rsidRPr="001F48FE">
        <w:t xml:space="preserve"> $2.4 million </w:t>
      </w:r>
      <w:r>
        <w:t xml:space="preserve">per year </w:t>
      </w:r>
      <w:r w:rsidRPr="001F48FE">
        <w:t>cost estimate (based on a 26% diagnostic yield, 3.6/100,000 incidence and 80/100,000 prevalence)</w:t>
      </w:r>
      <w:r w:rsidRPr="005E2A0D">
        <w:t xml:space="preserve"> </w:t>
      </w:r>
      <w:r w:rsidRPr="001F48FE">
        <w:t>to be “realistic”.</w:t>
      </w:r>
      <w:r>
        <w:t xml:space="preserve"> Analyses provided by the assessment group for the </w:t>
      </w:r>
      <w:r w:rsidR="006A1BBD">
        <w:t>second DCAR</w:t>
      </w:r>
      <w:r>
        <w:t xml:space="preserve"> after the ESC meeting subsequently slightly revised these estimates (see </w:t>
      </w:r>
      <w:r w:rsidR="00832535">
        <w:t>Table 8).</w:t>
      </w:r>
      <w:r w:rsidRPr="001F48FE">
        <w:t xml:space="preserve"> ESC noted that the cost-offsets might </w:t>
      </w:r>
      <w:r>
        <w:t xml:space="preserve">have </w:t>
      </w:r>
      <w:r w:rsidRPr="001F48FE">
        <w:t>be</w:t>
      </w:r>
      <w:r>
        <w:t>en</w:t>
      </w:r>
      <w:r w:rsidRPr="001F48FE">
        <w:t xml:space="preserve"> underestimated due to the cost per reproductive decision made not being </w:t>
      </w:r>
      <w:proofErr w:type="gramStart"/>
      <w:r w:rsidRPr="001F48FE">
        <w:t>considered, but</w:t>
      </w:r>
      <w:proofErr w:type="gramEnd"/>
      <w:r w:rsidRPr="001F48FE">
        <w:t xml:space="preserve"> </w:t>
      </w:r>
      <w:r>
        <w:t xml:space="preserve">may also have been </w:t>
      </w:r>
      <w:r w:rsidRPr="001F48FE">
        <w:t xml:space="preserve">overestimated as </w:t>
      </w:r>
      <w:r>
        <w:t xml:space="preserve">the </w:t>
      </w:r>
      <w:r w:rsidRPr="001F48FE">
        <w:t xml:space="preserve">incidence </w:t>
      </w:r>
      <w:r>
        <w:t>of</w:t>
      </w:r>
      <w:r w:rsidRPr="001F48FE">
        <w:t xml:space="preserve"> the</w:t>
      </w:r>
      <w:r>
        <w:t>se</w:t>
      </w:r>
      <w:r w:rsidRPr="001F48FE">
        <w:t xml:space="preserve"> conditions </w:t>
      </w:r>
      <w:r>
        <w:t xml:space="preserve">may reduce </w:t>
      </w:r>
      <w:r w:rsidRPr="001F48FE">
        <w:t xml:space="preserve">over time. It was noted that </w:t>
      </w:r>
      <w:r>
        <w:t>cascade testing</w:t>
      </w:r>
      <w:r w:rsidRPr="001F48FE">
        <w:t xml:space="preserve"> is not expected to reduc</w:t>
      </w:r>
      <w:r>
        <w:t>e</w:t>
      </w:r>
      <w:r w:rsidRPr="001F48FE">
        <w:t xml:space="preserve"> the incidence of </w:t>
      </w:r>
      <w:r w:rsidRPr="001F48FE">
        <w:rPr>
          <w:i/>
          <w:iCs/>
        </w:rPr>
        <w:t>de novo</w:t>
      </w:r>
      <w:r w:rsidRPr="001F48FE">
        <w:t xml:space="preserve"> disease. In its pre-ESC response to the </w:t>
      </w:r>
      <w:r w:rsidR="006A1BBD">
        <w:t>second DCAR</w:t>
      </w:r>
      <w:r w:rsidRPr="001F48FE">
        <w:t>, the applicant suggested that cost-offsets should include hospitalisations and downstream carers</w:t>
      </w:r>
      <w:r>
        <w:t>’</w:t>
      </w:r>
      <w:r w:rsidRPr="001F48FE">
        <w:t xml:space="preserve"> costs for children. The rejoinder noted that there is not a ‘typical’ patient population affected by the conditions tested for, and therefore these costs are extremely difficult to quantify.</w:t>
      </w:r>
    </w:p>
    <w:p w14:paraId="747F4B1D" w14:textId="16E46880" w:rsidR="00C730C8" w:rsidRPr="00DA0B45" w:rsidRDefault="00C730C8" w:rsidP="00213A57">
      <w:pPr>
        <w:spacing w:before="240"/>
      </w:pPr>
      <w:r>
        <w:t xml:space="preserve">ESC noted strong support in consultation feedback for provision of counselling with genetic testing, given the potential impact for other family members. </w:t>
      </w:r>
      <w:r w:rsidRPr="001F48FE">
        <w:t xml:space="preserve">ESC discussed whether genetic counselling should be mandated in the item </w:t>
      </w:r>
      <w:proofErr w:type="gramStart"/>
      <w:r w:rsidRPr="001F48FE">
        <w:t>descriptor, and</w:t>
      </w:r>
      <w:proofErr w:type="gramEnd"/>
      <w:r w:rsidRPr="001F48FE">
        <w:t xml:space="preserve"> noted that all patients who are recommended for genetic testing receive a certain amount of counselling from a specialist in order to obtain informed consent for testing, and for pre- and post-test delivery of information and assembling each pedigree. ESC noted that genetic counsellors are in high demand and that mandating genetic counselling in the item descriptor may result in exceptionally long wait times for genetic counsellors and testing, which is not acceptable if reproductive testing is urgently </w:t>
      </w:r>
      <w:proofErr w:type="gramStart"/>
      <w:r w:rsidRPr="001F48FE">
        <w:t>required</w:t>
      </w:r>
      <w:r>
        <w:t>, and</w:t>
      </w:r>
      <w:proofErr w:type="gramEnd"/>
      <w:r>
        <w:t xml:space="preserve"> may create inequity</w:t>
      </w:r>
      <w:r w:rsidRPr="001F48FE">
        <w:t xml:space="preserve">. ESC </w:t>
      </w:r>
      <w:r>
        <w:t>considered that</w:t>
      </w:r>
      <w:r w:rsidRPr="001F48FE">
        <w:t xml:space="preserve"> it may be more appropriate to include counselling in a practice note instead, so that access to testing is not restricted by access to formal genetic </w:t>
      </w:r>
      <w:proofErr w:type="gramStart"/>
      <w:r w:rsidRPr="001F48FE">
        <w:t>counselling</w:t>
      </w:r>
      <w:r>
        <w:t>, and</w:t>
      </w:r>
      <w:proofErr w:type="gramEnd"/>
      <w:r>
        <w:t xml:space="preserve"> advised the requirement for genetic </w:t>
      </w:r>
      <w:r>
        <w:lastRenderedPageBreak/>
        <w:t>counselling be removed from within the item descriptor</w:t>
      </w:r>
      <w:r w:rsidRPr="001F48FE">
        <w:t xml:space="preserve">. ESC considered that some type of subspecialty contribution would be advantageous. ESC also noted that the </w:t>
      </w:r>
      <w:r w:rsidR="00D559ED">
        <w:t xml:space="preserve">first </w:t>
      </w:r>
      <w:r w:rsidRPr="001F48FE">
        <w:t xml:space="preserve">DCAR included counselling in the financial costings whereas the </w:t>
      </w:r>
      <w:r w:rsidR="006A1BBD">
        <w:t>second DCAR</w:t>
      </w:r>
      <w:r w:rsidRPr="001F48FE">
        <w:t xml:space="preserve"> excluded </w:t>
      </w:r>
      <w:proofErr w:type="gramStart"/>
      <w:r w:rsidRPr="001F48FE">
        <w:t>it, and</w:t>
      </w:r>
      <w:proofErr w:type="gramEnd"/>
      <w:r w:rsidRPr="001F48FE">
        <w:t xml:space="preserve"> advised that the inclusion (or not) of counselling costs needs to be clarified for MSAC.</w:t>
      </w:r>
    </w:p>
    <w:p w14:paraId="623620FC" w14:textId="77777777" w:rsidR="00DA0B45" w:rsidRPr="00DA0B45" w:rsidRDefault="00DA0B45" w:rsidP="00DA0B45">
      <w:pPr>
        <w:pStyle w:val="Heading1"/>
        <w:numPr>
          <w:ilvl w:val="0"/>
          <w:numId w:val="13"/>
        </w:numPr>
        <w:spacing w:before="240" w:after="240"/>
        <w:ind w:hanging="720"/>
        <w:rPr>
          <w:rFonts w:ascii="Arial" w:eastAsia="Times New Roman" w:hAnsi="Arial" w:cs="Times New Roman"/>
        </w:rPr>
      </w:pPr>
      <w:r w:rsidRPr="00DA0B45">
        <w:rPr>
          <w:rFonts w:ascii="Arial" w:eastAsia="Times New Roman" w:hAnsi="Arial" w:cs="Times New Roman"/>
        </w:rPr>
        <w:t>Other significant factors</w:t>
      </w:r>
    </w:p>
    <w:p w14:paraId="519C6027" w14:textId="21C1B62B" w:rsidR="00DA0B45" w:rsidRPr="00DA0B45" w:rsidRDefault="00DA0B45" w:rsidP="00DA0B45">
      <w:pPr>
        <w:spacing w:after="240"/>
        <w:rPr>
          <w:iCs/>
          <w:szCs w:val="24"/>
        </w:rPr>
      </w:pPr>
      <w:r w:rsidRPr="00DA0B45">
        <w:rPr>
          <w:iCs/>
          <w:szCs w:val="24"/>
        </w:rPr>
        <w:t>Nil</w:t>
      </w:r>
    </w:p>
    <w:p w14:paraId="772194A0" w14:textId="77777777" w:rsidR="00DA0B45" w:rsidRPr="00DA0B45" w:rsidRDefault="00DA0B45" w:rsidP="00DA0B45">
      <w:pPr>
        <w:pStyle w:val="Heading1"/>
        <w:numPr>
          <w:ilvl w:val="0"/>
          <w:numId w:val="13"/>
        </w:numPr>
        <w:spacing w:before="240" w:after="240"/>
        <w:ind w:hanging="720"/>
        <w:rPr>
          <w:rFonts w:ascii="Arial" w:eastAsia="Times New Roman" w:hAnsi="Arial" w:cs="Times New Roman"/>
        </w:rPr>
      </w:pPr>
      <w:r w:rsidRPr="00DA0B45">
        <w:rPr>
          <w:rFonts w:ascii="Arial" w:eastAsia="Times New Roman" w:hAnsi="Arial" w:cs="Times New Roman"/>
        </w:rPr>
        <w:t>Applicant comments on MSAC’s Public Summary Document</w:t>
      </w:r>
    </w:p>
    <w:p w14:paraId="596B7ED6" w14:textId="77777777" w:rsidR="00156C3A" w:rsidRDefault="00156C3A" w:rsidP="00156C3A">
      <w:pPr>
        <w:spacing w:after="240"/>
        <w:rPr>
          <w:iCs/>
          <w:szCs w:val="24"/>
        </w:rPr>
      </w:pPr>
      <w:r w:rsidRPr="0002287E">
        <w:rPr>
          <w:iCs/>
          <w:szCs w:val="24"/>
        </w:rPr>
        <w:t xml:space="preserve">Firstly, the College would like to take this opportunity to thank the Department and the MSAC for their assistance in moving this application </w:t>
      </w:r>
      <w:r>
        <w:rPr>
          <w:iCs/>
          <w:szCs w:val="24"/>
        </w:rPr>
        <w:t>forward to a successful outcome, giving all NMD</w:t>
      </w:r>
      <w:r w:rsidRPr="0002287E">
        <w:rPr>
          <w:iCs/>
          <w:szCs w:val="24"/>
        </w:rPr>
        <w:t xml:space="preserve"> patients </w:t>
      </w:r>
      <w:r>
        <w:rPr>
          <w:iCs/>
          <w:szCs w:val="24"/>
        </w:rPr>
        <w:t>equitable access to a test that may p</w:t>
      </w:r>
      <w:r w:rsidRPr="0002287E">
        <w:rPr>
          <w:iCs/>
          <w:szCs w:val="24"/>
        </w:rPr>
        <w:t xml:space="preserve">rovide a definitive diagnosis and end their diagnostic odyssey. </w:t>
      </w:r>
    </w:p>
    <w:p w14:paraId="0BEDCB23" w14:textId="77777777" w:rsidR="00156C3A" w:rsidRPr="0002287E" w:rsidRDefault="00156C3A" w:rsidP="00156C3A">
      <w:pPr>
        <w:spacing w:after="240"/>
        <w:rPr>
          <w:iCs/>
          <w:szCs w:val="24"/>
        </w:rPr>
      </w:pPr>
      <w:r w:rsidRPr="0002287E">
        <w:rPr>
          <w:iCs/>
          <w:szCs w:val="24"/>
        </w:rPr>
        <w:t xml:space="preserve">Whilst the PSD is a thorough document, the College </w:t>
      </w:r>
      <w:r>
        <w:rPr>
          <w:iCs/>
          <w:szCs w:val="24"/>
        </w:rPr>
        <w:t>has several concerns, many of which were addressed in the College’s ESC response (15</w:t>
      </w:r>
      <w:r w:rsidRPr="00352238">
        <w:rPr>
          <w:iCs/>
          <w:szCs w:val="24"/>
          <w:vertAlign w:val="superscript"/>
        </w:rPr>
        <w:t>th</w:t>
      </w:r>
      <w:r>
        <w:rPr>
          <w:iCs/>
          <w:szCs w:val="24"/>
        </w:rPr>
        <w:t xml:space="preserve"> July 2021)</w:t>
      </w:r>
      <w:r w:rsidRPr="0002287E">
        <w:rPr>
          <w:iCs/>
          <w:szCs w:val="24"/>
        </w:rPr>
        <w:t>:</w:t>
      </w:r>
    </w:p>
    <w:p w14:paraId="3C96A6B3" w14:textId="77777777" w:rsidR="00156C3A" w:rsidRDefault="00156C3A" w:rsidP="00156C3A">
      <w:pPr>
        <w:pStyle w:val="ListParagraph"/>
        <w:numPr>
          <w:ilvl w:val="0"/>
          <w:numId w:val="35"/>
        </w:numPr>
        <w:spacing w:after="240"/>
        <w:rPr>
          <w:iCs/>
          <w:szCs w:val="24"/>
        </w:rPr>
      </w:pPr>
      <w:r w:rsidRPr="00352238">
        <w:rPr>
          <w:iCs/>
          <w:szCs w:val="24"/>
        </w:rPr>
        <w:t>The</w:t>
      </w:r>
      <w:r>
        <w:rPr>
          <w:iCs/>
          <w:szCs w:val="24"/>
        </w:rPr>
        <w:t xml:space="preserve">re is still confusion around </w:t>
      </w:r>
      <w:r w:rsidRPr="00352238">
        <w:rPr>
          <w:iCs/>
          <w:szCs w:val="24"/>
        </w:rPr>
        <w:t xml:space="preserve">the </w:t>
      </w:r>
      <w:r>
        <w:rPr>
          <w:iCs/>
          <w:szCs w:val="24"/>
        </w:rPr>
        <w:t xml:space="preserve">wording of the </w:t>
      </w:r>
      <w:r w:rsidRPr="00352238">
        <w:rPr>
          <w:iCs/>
          <w:szCs w:val="24"/>
        </w:rPr>
        <w:t>requested item numbers</w:t>
      </w:r>
      <w:r>
        <w:rPr>
          <w:iCs/>
          <w:szCs w:val="24"/>
        </w:rPr>
        <w:t>. T</w:t>
      </w:r>
      <w:r w:rsidRPr="00352238">
        <w:rPr>
          <w:iCs/>
          <w:szCs w:val="24"/>
        </w:rPr>
        <w:t xml:space="preserve">esting </w:t>
      </w:r>
      <w:r>
        <w:rPr>
          <w:iCs/>
          <w:szCs w:val="24"/>
        </w:rPr>
        <w:t xml:space="preserve">described in </w:t>
      </w:r>
      <w:r w:rsidRPr="00352238">
        <w:rPr>
          <w:iCs/>
          <w:szCs w:val="24"/>
        </w:rPr>
        <w:t xml:space="preserve">item number AAAA </w:t>
      </w:r>
      <w:r w:rsidRPr="00352238">
        <w:rPr>
          <w:i/>
          <w:iCs/>
          <w:szCs w:val="24"/>
        </w:rPr>
        <w:t>will not</w:t>
      </w:r>
      <w:r w:rsidRPr="00352238">
        <w:rPr>
          <w:iCs/>
          <w:szCs w:val="24"/>
        </w:rPr>
        <w:t xml:space="preserve"> use exome sequencing</w:t>
      </w:r>
      <w:r>
        <w:rPr>
          <w:iCs/>
          <w:szCs w:val="24"/>
        </w:rPr>
        <w:t xml:space="preserve"> </w:t>
      </w:r>
      <w:proofErr w:type="gramStart"/>
      <w:r>
        <w:rPr>
          <w:iCs/>
          <w:szCs w:val="24"/>
        </w:rPr>
        <w:t xml:space="preserve">in order </w:t>
      </w:r>
      <w:r w:rsidRPr="00352238">
        <w:rPr>
          <w:iCs/>
          <w:szCs w:val="24"/>
        </w:rPr>
        <w:t>to</w:t>
      </w:r>
      <w:proofErr w:type="gramEnd"/>
      <w:r w:rsidRPr="00352238">
        <w:rPr>
          <w:iCs/>
          <w:szCs w:val="24"/>
        </w:rPr>
        <w:t xml:space="preserve"> avoid inherent issues with exome sequencing, in particular, unreliable copy number variant (CNV) analysis, important for over 8 percent of diagnoses.</w:t>
      </w:r>
      <w:r>
        <w:rPr>
          <w:iCs/>
          <w:szCs w:val="24"/>
        </w:rPr>
        <w:t xml:space="preserve"> Item number AAAA </w:t>
      </w:r>
      <w:r w:rsidRPr="00B00BD3">
        <w:rPr>
          <w:iCs/>
          <w:szCs w:val="24"/>
        </w:rPr>
        <w:t>should remain technology</w:t>
      </w:r>
      <w:r>
        <w:rPr>
          <w:iCs/>
          <w:szCs w:val="24"/>
        </w:rPr>
        <w:t xml:space="preserve"> agnostic.</w:t>
      </w:r>
    </w:p>
    <w:p w14:paraId="7A860893" w14:textId="77777777" w:rsidR="00156C3A" w:rsidRDefault="00156C3A" w:rsidP="00156C3A">
      <w:pPr>
        <w:pStyle w:val="ListParagraph"/>
        <w:numPr>
          <w:ilvl w:val="0"/>
          <w:numId w:val="35"/>
        </w:numPr>
        <w:spacing w:after="240"/>
        <w:rPr>
          <w:iCs/>
          <w:szCs w:val="24"/>
        </w:rPr>
      </w:pPr>
      <w:r>
        <w:rPr>
          <w:iCs/>
          <w:szCs w:val="24"/>
        </w:rPr>
        <w:t xml:space="preserve">Regardless of technology used, the College is concerned that item number AAAA stipulates that testing is </w:t>
      </w:r>
      <w:r w:rsidRPr="0002287E">
        <w:rPr>
          <w:iCs/>
          <w:szCs w:val="24"/>
        </w:rPr>
        <w:t>“</w:t>
      </w:r>
      <w:r w:rsidRPr="00196F73">
        <w:rPr>
          <w:i/>
          <w:iCs/>
          <w:szCs w:val="24"/>
        </w:rPr>
        <w:t>applicable once per lifetime</w:t>
      </w:r>
      <w:r w:rsidRPr="0002287E">
        <w:rPr>
          <w:iCs/>
          <w:szCs w:val="24"/>
        </w:rPr>
        <w:t>.”</w:t>
      </w:r>
      <w:r>
        <w:rPr>
          <w:iCs/>
          <w:szCs w:val="24"/>
        </w:rPr>
        <w:t xml:space="preserve"> Future technology updates may mean that individuals who had tested negative should be able to access further testing. The College suggests the following wording for AAAA</w:t>
      </w:r>
      <w:r w:rsidRPr="0002287E">
        <w:rPr>
          <w:iCs/>
          <w:szCs w:val="24"/>
        </w:rPr>
        <w:t xml:space="preserve"> “</w:t>
      </w:r>
      <w:r w:rsidRPr="009F1FDF">
        <w:rPr>
          <w:i/>
          <w:iCs/>
          <w:szCs w:val="24"/>
        </w:rPr>
        <w:t>Available up to twice per lifetime where the second service is at least 5 years after the first and a different or updated technology is used</w:t>
      </w:r>
      <w:r w:rsidRPr="0002287E">
        <w:rPr>
          <w:iCs/>
          <w:szCs w:val="24"/>
        </w:rPr>
        <w:t xml:space="preserve">.”  </w:t>
      </w:r>
    </w:p>
    <w:p w14:paraId="0303F0A8" w14:textId="77777777" w:rsidR="00156C3A" w:rsidRPr="00196F73" w:rsidRDefault="00156C3A" w:rsidP="00156C3A">
      <w:pPr>
        <w:pStyle w:val="ListParagraph"/>
        <w:numPr>
          <w:ilvl w:val="0"/>
          <w:numId w:val="35"/>
        </w:numPr>
        <w:spacing w:after="240"/>
        <w:rPr>
          <w:iCs/>
          <w:szCs w:val="24"/>
        </w:rPr>
      </w:pPr>
      <w:r w:rsidRPr="00B00BD3">
        <w:rPr>
          <w:iCs/>
          <w:szCs w:val="24"/>
        </w:rPr>
        <w:t>Following on from this, there is a disconnect between the proposed items AAAA and FFFF</w:t>
      </w:r>
      <w:r w:rsidRPr="00930869">
        <w:rPr>
          <w:iCs/>
          <w:szCs w:val="24"/>
        </w:rPr>
        <w:t xml:space="preserve">. Item number FFFF, which was proposed by the Department, incorrectly states that it is for the re-analysis of whole exome data from item AAAA, and that the use of WES or WGS would allow for reanalysis. Application 1585 is for a </w:t>
      </w:r>
      <w:r w:rsidRPr="00930869">
        <w:rPr>
          <w:i/>
          <w:iCs/>
          <w:szCs w:val="24"/>
        </w:rPr>
        <w:t>gene panel</w:t>
      </w:r>
      <w:r w:rsidRPr="00930869">
        <w:rPr>
          <w:iCs/>
          <w:szCs w:val="24"/>
        </w:rPr>
        <w:t xml:space="preserve">, not for WES or WGS, and therefore item FFFF should remain technology agnostic. As it is written, item number FFFF in effect forces AAAA to be technology biased, not technology agnostic. </w:t>
      </w:r>
      <w:r>
        <w:rPr>
          <w:iCs/>
          <w:szCs w:val="24"/>
        </w:rPr>
        <w:t xml:space="preserve">Item number FFFF should read: </w:t>
      </w:r>
      <w:r>
        <w:rPr>
          <w:iCs/>
          <w:szCs w:val="24"/>
        </w:rPr>
        <w:br/>
      </w:r>
      <w:r w:rsidRPr="00196F73">
        <w:rPr>
          <w:i/>
          <w:iCs/>
          <w:szCs w:val="24"/>
        </w:rPr>
        <w:t xml:space="preserve">Re-analysis of </w:t>
      </w:r>
      <w:r w:rsidRPr="00196F73">
        <w:rPr>
          <w:i/>
          <w:iCs/>
          <w:strike/>
          <w:szCs w:val="24"/>
        </w:rPr>
        <w:t>whole exome</w:t>
      </w:r>
      <w:r w:rsidRPr="00196F73">
        <w:rPr>
          <w:i/>
          <w:iCs/>
          <w:szCs w:val="24"/>
        </w:rPr>
        <w:t xml:space="preserve"> data obtained in performing a service to which item AAAA applies, </w:t>
      </w:r>
      <w:r w:rsidRPr="00805E48">
        <w:rPr>
          <w:i/>
          <w:iCs/>
          <w:strike/>
          <w:szCs w:val="24"/>
        </w:rPr>
        <w:t>after appropriate genetic counselling</w:t>
      </w:r>
      <w:r w:rsidRPr="00196F73">
        <w:rPr>
          <w:i/>
          <w:iCs/>
          <w:szCs w:val="24"/>
        </w:rPr>
        <w:t>, for characterisation of previously unreported pathogenic gene variants related to the clinical phenotype.</w:t>
      </w:r>
    </w:p>
    <w:p w14:paraId="49341D3F" w14:textId="77777777" w:rsidR="00156C3A" w:rsidRDefault="00156C3A" w:rsidP="00156C3A">
      <w:pPr>
        <w:pStyle w:val="ListParagraph"/>
        <w:numPr>
          <w:ilvl w:val="0"/>
          <w:numId w:val="35"/>
        </w:numPr>
        <w:spacing w:after="240"/>
        <w:rPr>
          <w:iCs/>
          <w:szCs w:val="24"/>
        </w:rPr>
      </w:pPr>
      <w:r w:rsidRPr="0002287E">
        <w:rPr>
          <w:iCs/>
          <w:szCs w:val="24"/>
        </w:rPr>
        <w:t xml:space="preserve">It should </w:t>
      </w:r>
      <w:r>
        <w:rPr>
          <w:iCs/>
          <w:szCs w:val="24"/>
        </w:rPr>
        <w:t xml:space="preserve">also </w:t>
      </w:r>
      <w:r w:rsidRPr="0002287E">
        <w:rPr>
          <w:iCs/>
          <w:szCs w:val="24"/>
        </w:rPr>
        <w:t>be noted that laboratories are not obliged to ensure that appropriate consent has been obtained for level 1 testing (</w:t>
      </w:r>
      <w:proofErr w:type="gramStart"/>
      <w:r>
        <w:rPr>
          <w:iCs/>
          <w:szCs w:val="24"/>
        </w:rPr>
        <w:t>i.e.</w:t>
      </w:r>
      <w:proofErr w:type="gramEnd"/>
      <w:r w:rsidRPr="0002287E">
        <w:rPr>
          <w:iCs/>
          <w:szCs w:val="24"/>
        </w:rPr>
        <w:t xml:space="preserve"> testing under item AAAA), contrary to what is stated on p. 2, last paragraph.</w:t>
      </w:r>
      <w:r>
        <w:rPr>
          <w:iCs/>
          <w:szCs w:val="24"/>
        </w:rPr>
        <w:t xml:space="preserve"> In addition, the requirement for genetic counselling in the item numbers should be removed and added as a practice note.</w:t>
      </w:r>
    </w:p>
    <w:p w14:paraId="351A24B1" w14:textId="77777777" w:rsidR="00DA0B45" w:rsidRPr="00DA0B45" w:rsidRDefault="00DA0B45" w:rsidP="00DA0B45">
      <w:pPr>
        <w:pStyle w:val="Heading1"/>
        <w:numPr>
          <w:ilvl w:val="0"/>
          <w:numId w:val="13"/>
        </w:numPr>
        <w:spacing w:before="240" w:after="240"/>
        <w:ind w:hanging="720"/>
        <w:rPr>
          <w:rFonts w:ascii="Arial" w:eastAsia="Times New Roman" w:hAnsi="Arial" w:cs="Times New Roman"/>
        </w:rPr>
      </w:pPr>
      <w:r w:rsidRPr="00DA0B45">
        <w:rPr>
          <w:rFonts w:ascii="Arial" w:eastAsia="Times New Roman" w:hAnsi="Arial" w:cs="Times New Roman"/>
        </w:rPr>
        <w:t>Further information on MSAC</w:t>
      </w:r>
    </w:p>
    <w:p w14:paraId="78514E4F" w14:textId="6E9A3F86" w:rsidR="00DA0B45" w:rsidRPr="00DA0B45" w:rsidRDefault="00DA0B45" w:rsidP="00DA0B45">
      <w:pPr>
        <w:spacing w:after="240"/>
        <w:rPr>
          <w:szCs w:val="24"/>
        </w:rPr>
      </w:pPr>
      <w:r w:rsidRPr="00F715D1">
        <w:rPr>
          <w:szCs w:val="24"/>
        </w:rPr>
        <w:t xml:space="preserve">MSAC Terms of Reference and other information are available on the MSAC Website: </w:t>
      </w:r>
      <w:r>
        <w:rPr>
          <w:szCs w:val="24"/>
        </w:rPr>
        <w:br/>
      </w:r>
      <w:hyperlink r:id="rId21" w:tooltip="Link to Medical Services Advisory Committee website" w:history="1">
        <w:r w:rsidRPr="00F715D1">
          <w:rPr>
            <w:rStyle w:val="Hyperlink"/>
            <w:szCs w:val="24"/>
          </w:rPr>
          <w:t>visit the MSAC website</w:t>
        </w:r>
      </w:hyperlink>
    </w:p>
    <w:sectPr w:rsidR="00DA0B45" w:rsidRPr="00DA0B45" w:rsidSect="00342FAC">
      <w:footerReference w:type="default" r:id="rId22"/>
      <w:pgSz w:w="11906" w:h="16838"/>
      <w:pgMar w:top="1440" w:right="1440" w:bottom="1134"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833DF7" w14:textId="77777777" w:rsidR="006F6993" w:rsidRDefault="006F6993" w:rsidP="00065623">
      <w:r>
        <w:separator/>
      </w:r>
    </w:p>
  </w:endnote>
  <w:endnote w:type="continuationSeparator" w:id="0">
    <w:p w14:paraId="6DDF6CAA" w14:textId="77777777" w:rsidR="006F6993" w:rsidRDefault="006F6993" w:rsidP="000656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Humanist 77 7 BT">
    <w:altName w:val="Humanist 77 7 B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89576127"/>
      <w:docPartObj>
        <w:docPartGallery w:val="Page Numbers (Bottom of Page)"/>
        <w:docPartUnique/>
      </w:docPartObj>
    </w:sdtPr>
    <w:sdtEndPr>
      <w:rPr>
        <w:noProof/>
      </w:rPr>
    </w:sdtEndPr>
    <w:sdtContent>
      <w:p w14:paraId="4CB2331B" w14:textId="54B2B324" w:rsidR="006F6993" w:rsidRDefault="006F6993">
        <w:pPr>
          <w:pStyle w:val="Footer"/>
          <w:jc w:val="right"/>
        </w:pPr>
        <w:r>
          <w:fldChar w:fldCharType="begin"/>
        </w:r>
        <w:r>
          <w:instrText xml:space="preserve"> PAGE   \* MERGEFORMAT </w:instrText>
        </w:r>
        <w:r>
          <w:fldChar w:fldCharType="separate"/>
        </w:r>
        <w:r>
          <w:rPr>
            <w:noProof/>
          </w:rPr>
          <w:t>18</w:t>
        </w:r>
        <w:r>
          <w:rPr>
            <w:noProof/>
          </w:rPr>
          <w:fldChar w:fldCharType="end"/>
        </w:r>
      </w:p>
    </w:sdtContent>
  </w:sdt>
  <w:p w14:paraId="6B5F76E9" w14:textId="77777777" w:rsidR="006F6993" w:rsidRDefault="006F699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46773568"/>
      <w:docPartObj>
        <w:docPartGallery w:val="Page Numbers (Bottom of Page)"/>
        <w:docPartUnique/>
      </w:docPartObj>
    </w:sdtPr>
    <w:sdtEndPr>
      <w:rPr>
        <w:noProof/>
      </w:rPr>
    </w:sdtEndPr>
    <w:sdtContent>
      <w:p w14:paraId="57D6A905" w14:textId="41AE22D0" w:rsidR="006F6993" w:rsidRDefault="006F6993">
        <w:pPr>
          <w:pStyle w:val="Footer"/>
          <w:jc w:val="right"/>
        </w:pPr>
        <w:r>
          <w:fldChar w:fldCharType="begin"/>
        </w:r>
        <w:r>
          <w:instrText xml:space="preserve"> PAGE   \* MERGEFORMAT </w:instrText>
        </w:r>
        <w:r>
          <w:fldChar w:fldCharType="separate"/>
        </w:r>
        <w:r>
          <w:rPr>
            <w:noProof/>
          </w:rPr>
          <w:t>27</w:t>
        </w:r>
        <w:r>
          <w:rPr>
            <w:noProof/>
          </w:rPr>
          <w:fldChar w:fldCharType="end"/>
        </w:r>
      </w:p>
    </w:sdtContent>
  </w:sdt>
  <w:p w14:paraId="611F0B18" w14:textId="77777777" w:rsidR="006F6993" w:rsidRDefault="006F69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2883EE" w14:textId="77777777" w:rsidR="006F6993" w:rsidRDefault="006F6993" w:rsidP="00065623">
      <w:r>
        <w:separator/>
      </w:r>
    </w:p>
  </w:footnote>
  <w:footnote w:type="continuationSeparator" w:id="0">
    <w:p w14:paraId="68B6350B" w14:textId="77777777" w:rsidR="006F6993" w:rsidRDefault="006F6993" w:rsidP="00065623">
      <w:r>
        <w:continuationSeparator/>
      </w:r>
    </w:p>
  </w:footnote>
  <w:footnote w:id="1">
    <w:p w14:paraId="503B4932" w14:textId="77777777" w:rsidR="006F6993" w:rsidRDefault="006F6993" w:rsidP="005A0E14">
      <w:pPr>
        <w:pStyle w:val="FootnoteText"/>
      </w:pPr>
      <w:r>
        <w:rPr>
          <w:rStyle w:val="FootnoteReference"/>
        </w:rPr>
        <w:footnoteRef/>
      </w:r>
      <w:r>
        <w:t xml:space="preserve"> </w:t>
      </w:r>
      <w:r w:rsidRPr="005A0E14">
        <w:t xml:space="preserve">Norwood, </w:t>
      </w:r>
      <w:r>
        <w:t>FLM, et al., 2009.</w:t>
      </w:r>
      <w:r w:rsidRPr="005A0E14">
        <w:t xml:space="preserve"> Prevalence of genetic muscle disease in Northern England: in-depth analysis of a muscle clinic population, </w:t>
      </w:r>
      <w:r w:rsidRPr="005A0E14">
        <w:rPr>
          <w:i/>
          <w:iCs/>
        </w:rPr>
        <w:t>Brain</w:t>
      </w:r>
      <w:r w:rsidRPr="005A0E14">
        <w:t xml:space="preserve">, </w:t>
      </w:r>
      <w:r w:rsidRPr="005A0E14">
        <w:rPr>
          <w:b/>
          <w:bCs/>
        </w:rPr>
        <w:t>132</w:t>
      </w:r>
      <w:r>
        <w:t>(</w:t>
      </w:r>
      <w:r w:rsidRPr="005A0E14">
        <w:t>11</w:t>
      </w:r>
      <w:r>
        <w:t>):</w:t>
      </w:r>
      <w:r w:rsidRPr="005A0E14">
        <w:t xml:space="preserve"> 3175–3186</w:t>
      </w:r>
      <w:r>
        <w:t>.</w:t>
      </w:r>
    </w:p>
  </w:footnote>
  <w:footnote w:id="2">
    <w:p w14:paraId="6D88AFD9" w14:textId="0BFC40FE" w:rsidR="006F6993" w:rsidRDefault="006F6993">
      <w:pPr>
        <w:pStyle w:val="FootnoteText"/>
      </w:pPr>
      <w:r>
        <w:rPr>
          <w:rStyle w:val="FootnoteReference"/>
        </w:rPr>
        <w:footnoteRef/>
      </w:r>
      <w:r>
        <w:t xml:space="preserve"> </w:t>
      </w:r>
      <w:r w:rsidRPr="007A2F6B">
        <w:rPr>
          <w:lang w:val="en-US"/>
        </w:rPr>
        <w:t>NPAAC Requirements for Medical testing of Human Nucleic Acids (Second Edition 2013)</w:t>
      </w:r>
    </w:p>
  </w:footnote>
  <w:footnote w:id="3">
    <w:p w14:paraId="677DC517" w14:textId="77777777" w:rsidR="006F6993" w:rsidRDefault="006F6993" w:rsidP="002406F5">
      <w:pPr>
        <w:pStyle w:val="FootnoteText"/>
      </w:pPr>
      <w:r>
        <w:rPr>
          <w:rStyle w:val="FootnoteReference"/>
        </w:rPr>
        <w:footnoteRef/>
      </w:r>
      <w:r>
        <w:t xml:space="preserve"> </w:t>
      </w:r>
      <w:hyperlink r:id="rId1" w:history="1">
        <w:r w:rsidRPr="00500540">
          <w:rPr>
            <w:rStyle w:val="Hyperlink"/>
          </w:rPr>
          <w:t>https://www.england.nhs.uk/publication/national-genomic-test-directories/</w:t>
        </w:r>
      </w:hyperlink>
      <w:r>
        <w:t xml:space="preserve"> accessed 6 May 2021</w:t>
      </w:r>
    </w:p>
  </w:footnote>
  <w:footnote w:id="4">
    <w:p w14:paraId="79DDFDBC" w14:textId="77777777" w:rsidR="006F6993" w:rsidRDefault="006F6993" w:rsidP="00C730C8">
      <w:pPr>
        <w:pStyle w:val="FootnoteText"/>
      </w:pPr>
      <w:r>
        <w:rPr>
          <w:rStyle w:val="FootnoteReference"/>
        </w:rPr>
        <w:footnoteRef/>
      </w:r>
      <w:r>
        <w:t xml:space="preserve"> </w:t>
      </w:r>
      <w:r w:rsidRPr="00B4553E">
        <w:t>Fattahi Z, et al. Improved diagnostic yield of neuromuscular disorders applying clinical exome sequencing in patients arising from a consanguineous population. Clinical Genetics. 2017;91(3):386-402.</w:t>
      </w:r>
    </w:p>
  </w:footnote>
  <w:footnote w:id="5">
    <w:p w14:paraId="545C1C77" w14:textId="77777777" w:rsidR="006F6993" w:rsidRDefault="006F6993" w:rsidP="00C730C8">
      <w:pPr>
        <w:pStyle w:val="FootnoteText"/>
      </w:pPr>
      <w:r>
        <w:rPr>
          <w:rStyle w:val="FootnoteReference"/>
        </w:rPr>
        <w:footnoteRef/>
      </w:r>
      <w:r>
        <w:t xml:space="preserve"> </w:t>
      </w:r>
      <w:r w:rsidRPr="00B4553E">
        <w:t>Beecroft S, et al. Genetics of neuromuscular fetal akinesia in the genomics era. J Med Genet. 2018; 55 (8): 505-514.</w:t>
      </w:r>
    </w:p>
  </w:footnote>
  <w:footnote w:id="6">
    <w:p w14:paraId="6CBCF524" w14:textId="77777777" w:rsidR="006F6993" w:rsidRDefault="006F6993" w:rsidP="00C730C8">
      <w:pPr>
        <w:pStyle w:val="FootnoteText"/>
      </w:pPr>
      <w:r>
        <w:rPr>
          <w:rStyle w:val="FootnoteReference"/>
        </w:rPr>
        <w:footnoteRef/>
      </w:r>
      <w:r>
        <w:t xml:space="preserve"> </w:t>
      </w:r>
      <w:r w:rsidRPr="00B4553E">
        <w:t>McDonald C. Clinical Approach to the Diagnostic Evaluation of Heritary and Acquired Neuromuscular Diseases. Phys Med Rehabil Clin N Am. 2012;23(3):495-563.</w:t>
      </w:r>
    </w:p>
  </w:footnote>
  <w:footnote w:id="7">
    <w:p w14:paraId="28156635" w14:textId="77777777" w:rsidR="006F6993" w:rsidRDefault="006F6993" w:rsidP="00C730C8">
      <w:pPr>
        <w:pStyle w:val="FootnoteText"/>
      </w:pPr>
      <w:r>
        <w:rPr>
          <w:rStyle w:val="FootnoteReference"/>
        </w:rPr>
        <w:footnoteRef/>
      </w:r>
      <w:r>
        <w:t xml:space="preserve"> </w:t>
      </w:r>
      <w:r w:rsidRPr="00B4553E">
        <w:t>Kassardjian C, et al. The utility of genetic testing in neuromuscular disease: A consensus statement from the AANEM on the clinical utility of genetic testing in diagnosis of neuromuscular disease. Muscle Disease. 2016; 54 (6):1007-1009.</w:t>
      </w:r>
    </w:p>
  </w:footnote>
  <w:footnote w:id="8">
    <w:p w14:paraId="57FECA1B" w14:textId="77777777" w:rsidR="006F6993" w:rsidRDefault="006F6993" w:rsidP="00C730C8">
      <w:pPr>
        <w:pStyle w:val="FootnoteText"/>
      </w:pPr>
      <w:r>
        <w:rPr>
          <w:rStyle w:val="FootnoteReference"/>
        </w:rPr>
        <w:footnoteRef/>
      </w:r>
      <w:r>
        <w:t xml:space="preserve"> </w:t>
      </w:r>
      <w:r w:rsidRPr="00B4553E">
        <w:t xml:space="preserve">Ankala A, et al. A Comprehensive Genomic Approach for Neuromuscular Diseases Gives a High Diagnostic Yield. Ann Neurol. </w:t>
      </w:r>
      <w:r w:rsidRPr="00B4553E">
        <w:t>2015;77:206-214.</w:t>
      </w:r>
    </w:p>
  </w:footnote>
  <w:footnote w:id="9">
    <w:p w14:paraId="649C5941" w14:textId="77777777" w:rsidR="006F6993" w:rsidRDefault="006F6993" w:rsidP="00C730C8">
      <w:pPr>
        <w:pStyle w:val="FootnoteText"/>
      </w:pPr>
      <w:r>
        <w:rPr>
          <w:rStyle w:val="FootnoteReference"/>
        </w:rPr>
        <w:footnoteRef/>
      </w:r>
      <w:r>
        <w:t xml:space="preserve"> </w:t>
      </w:r>
      <w:r w:rsidRPr="00B4553E">
        <w:t>Dowling J, et al. Treating pediatric neuromuscular disorders: The future is now. Am J Med Genet. 2018;176(4):804-841.</w:t>
      </w:r>
    </w:p>
  </w:footnote>
  <w:footnote w:id="10">
    <w:p w14:paraId="5D18FE95" w14:textId="77777777" w:rsidR="006F6993" w:rsidRDefault="006F6993" w:rsidP="00C730C8">
      <w:pPr>
        <w:pStyle w:val="FootnoteText"/>
      </w:pPr>
      <w:r>
        <w:rPr>
          <w:rStyle w:val="FootnoteReference"/>
        </w:rPr>
        <w:footnoteRef/>
      </w:r>
      <w:r>
        <w:t xml:space="preserve"> </w:t>
      </w:r>
      <w:r w:rsidRPr="00B4553E">
        <w:t>Arnold W &amp; Flanigan K. A practicular approach to molecular diagnostic testing in neuromuscular diseases. 2012;23(3):589-608.</w:t>
      </w:r>
    </w:p>
  </w:footnote>
  <w:footnote w:id="11">
    <w:p w14:paraId="22EB9085" w14:textId="77777777" w:rsidR="006F6993" w:rsidRDefault="006F6993" w:rsidP="00C730C8">
      <w:pPr>
        <w:pStyle w:val="FootnoteText"/>
      </w:pPr>
      <w:r>
        <w:rPr>
          <w:rStyle w:val="FootnoteReference"/>
        </w:rPr>
        <w:footnoteRef/>
      </w:r>
      <w:r>
        <w:t xml:space="preserve"> </w:t>
      </w:r>
      <w:r w:rsidRPr="00B4553E">
        <w:t xml:space="preserve">Efthymiou S, Manole A, </w:t>
      </w:r>
      <w:r>
        <w:t>&amp;</w:t>
      </w:r>
      <w:r w:rsidRPr="00B4553E">
        <w:t xml:space="preserve"> Houlden H. Next-generation sequencing in neuromuscular diseases. Curr Opin Neurol. </w:t>
      </w:r>
      <w:r w:rsidRPr="00B4553E">
        <w:t>2016;29:527-536.</w:t>
      </w:r>
    </w:p>
  </w:footnote>
  <w:footnote w:id="12">
    <w:p w14:paraId="4213F17E" w14:textId="77777777" w:rsidR="006F6993" w:rsidRDefault="006F6993" w:rsidP="00C730C8">
      <w:pPr>
        <w:pStyle w:val="FootnoteText"/>
      </w:pPr>
      <w:r>
        <w:rPr>
          <w:rStyle w:val="FootnoteReference"/>
        </w:rPr>
        <w:footnoteRef/>
      </w:r>
      <w:r>
        <w:t xml:space="preserve"> </w:t>
      </w:r>
      <w:r w:rsidRPr="00B4553E">
        <w:t>Darras B, Urion D &amp; Ghosh P. Dystrophinopathies [Internet]. University of Washington</w:t>
      </w:r>
      <w:r>
        <w:t>, 2018</w:t>
      </w:r>
      <w:r w:rsidRPr="00B4553E">
        <w:t>. Available from: www.ncbi.nlm.nih.gov/books/NBK1119 [Accessed 26/10/2020].</w:t>
      </w:r>
    </w:p>
  </w:footnote>
  <w:footnote w:id="13">
    <w:p w14:paraId="12244AF0" w14:textId="77777777" w:rsidR="006F6993" w:rsidRDefault="006F6993" w:rsidP="00C730C8">
      <w:pPr>
        <w:pStyle w:val="FootnoteText"/>
      </w:pPr>
      <w:r>
        <w:rPr>
          <w:rStyle w:val="FootnoteReference"/>
        </w:rPr>
        <w:footnoteRef/>
      </w:r>
      <w:r>
        <w:t xml:space="preserve"> </w:t>
      </w:r>
      <w:r w:rsidRPr="00B4553E">
        <w:t>Laing N. Genetics of neuromuscular disorders. Crit Rev Clin Lab Sci. 2012;49(2), 33-48.</w:t>
      </w:r>
    </w:p>
  </w:footnote>
  <w:footnote w:id="14">
    <w:p w14:paraId="155B9CB3" w14:textId="77777777" w:rsidR="006F6993" w:rsidRDefault="006F6993" w:rsidP="00C730C8">
      <w:pPr>
        <w:pStyle w:val="FootnoteText"/>
      </w:pPr>
      <w:r>
        <w:rPr>
          <w:rStyle w:val="FootnoteReference"/>
        </w:rPr>
        <w:footnoteRef/>
      </w:r>
      <w:r>
        <w:t xml:space="preserve"> </w:t>
      </w:r>
      <w:r w:rsidRPr="00B4553E">
        <w:t>Fattahi Z, et al. Improved diagnostic yield of neuromuscular disorders applying clinical exome sequencing in patients arising from a consanguineous population. Clinical Genetics. 2017;91(3):386-402.</w:t>
      </w:r>
    </w:p>
  </w:footnote>
  <w:footnote w:id="15">
    <w:p w14:paraId="76974BC0" w14:textId="77777777" w:rsidR="006F6993" w:rsidRDefault="006F6993" w:rsidP="00C730C8">
      <w:pPr>
        <w:pStyle w:val="FootnoteText"/>
      </w:pPr>
      <w:r>
        <w:rPr>
          <w:rStyle w:val="FootnoteReference"/>
        </w:rPr>
        <w:footnoteRef/>
      </w:r>
      <w:r>
        <w:t xml:space="preserve"> GeneTable of Neuromuscular Disorders. Available: </w:t>
      </w:r>
      <w:hyperlink r:id="rId2" w:history="1">
        <w:r w:rsidRPr="005607C0">
          <w:rPr>
            <w:rStyle w:val="Hyperlink"/>
          </w:rPr>
          <w:t>http://www.musclegenetable.fr/</w:t>
        </w:r>
      </w:hyperlink>
      <w:r>
        <w:t xml:space="preserve"> </w:t>
      </w:r>
    </w:p>
  </w:footnote>
  <w:footnote w:id="16">
    <w:p w14:paraId="4260714C" w14:textId="55E56060" w:rsidR="006F6993" w:rsidRDefault="006F6993">
      <w:pPr>
        <w:pStyle w:val="FootnoteText"/>
      </w:pPr>
      <w:r>
        <w:rPr>
          <w:rStyle w:val="FootnoteReference"/>
        </w:rPr>
        <w:footnoteRef/>
      </w:r>
      <w:r>
        <w:t xml:space="preserve"> </w:t>
      </w:r>
      <w:r w:rsidRPr="008C27FB">
        <w:t xml:space="preserve">Aretz S, Rautenstrauss B, Timmerman V. Clinical utility gene card for: HMSN/HNPP HMSN types 1, 2, 3, 6 (CMT1,2,4, DSN, CHN, GAN, CCFDN, HNA); HNPP. European </w:t>
      </w:r>
      <w:r>
        <w:t>J</w:t>
      </w:r>
      <w:r w:rsidRPr="008C27FB">
        <w:t xml:space="preserve">ournal of </w:t>
      </w:r>
      <w:r>
        <w:t>H</w:t>
      </w:r>
      <w:r w:rsidRPr="008C27FB">
        <w:t xml:space="preserve">uman </w:t>
      </w:r>
      <w:r>
        <w:t>G</w:t>
      </w:r>
      <w:r w:rsidRPr="008C27FB">
        <w:t>enetics: 2010;18(9).</w:t>
      </w:r>
    </w:p>
  </w:footnote>
  <w:footnote w:id="17">
    <w:p w14:paraId="703AA90C" w14:textId="2F0F245C" w:rsidR="006F6993" w:rsidRDefault="006F6993">
      <w:pPr>
        <w:pStyle w:val="FootnoteText"/>
      </w:pPr>
      <w:r>
        <w:rPr>
          <w:rStyle w:val="FootnoteReference"/>
        </w:rPr>
        <w:footnoteRef/>
      </w:r>
      <w:r>
        <w:t xml:space="preserve"> </w:t>
      </w:r>
      <w:r w:rsidRPr="008C27FB">
        <w:t xml:space="preserve">Coote DJ, </w:t>
      </w:r>
      <w:r>
        <w:t>et al</w:t>
      </w:r>
      <w:r w:rsidRPr="008C27FB">
        <w:t>. CUGC for Duchenne muscular dystrophy (DMD). European Journal of Human Genetics. 2018, 26:749–757.</w:t>
      </w:r>
    </w:p>
  </w:footnote>
  <w:footnote w:id="18">
    <w:p w14:paraId="4AF8E9C9" w14:textId="3BCB3702" w:rsidR="006F6993" w:rsidRPr="00580A94" w:rsidRDefault="006F6993" w:rsidP="008F4C97">
      <w:pPr>
        <w:pStyle w:val="FootnoteText"/>
        <w:contextualSpacing/>
        <w:rPr>
          <w:lang w:val="en-US"/>
        </w:rPr>
      </w:pPr>
      <w:r>
        <w:rPr>
          <w:rStyle w:val="FootnoteReference"/>
        </w:rPr>
        <w:footnoteRef/>
      </w:r>
      <w:r>
        <w:t xml:space="preserve"> </w:t>
      </w:r>
      <w:r>
        <w:rPr>
          <w:lang w:val="en-US"/>
        </w:rPr>
        <w:t>Savarese M,</w:t>
      </w:r>
      <w:r w:rsidRPr="00350451">
        <w:rPr>
          <w:lang w:val="en-US"/>
        </w:rPr>
        <w:t xml:space="preserve"> et al. The genetic basis of undiagnosed muscular dystrophies and myopathies: Results from 504 patients. Neurology. 2016 Jul 5;87(1):71-6. Erratum in: Neurology. 2018 Jun 5;90(23):1084. Erratum in: Neurology. 2019 Aug 20;93(8):371 </w:t>
      </w:r>
    </w:p>
  </w:footnote>
  <w:footnote w:id="19">
    <w:p w14:paraId="33C99A08" w14:textId="77777777" w:rsidR="006F6993" w:rsidRDefault="006F6993" w:rsidP="00C730C8">
      <w:pPr>
        <w:pStyle w:val="FootnoteText"/>
      </w:pPr>
      <w:r>
        <w:rPr>
          <w:rStyle w:val="FootnoteReference"/>
        </w:rPr>
        <w:footnoteRef/>
      </w:r>
      <w:r>
        <w:t xml:space="preserve"> </w:t>
      </w:r>
      <w:r w:rsidRPr="001630A9">
        <w:t>Rose L, et al. Trends in incidence, prevalence, and mortality of neuromuscular disease in Ontario, Canada: A population-based retrospective cohort study (2003-2014). PLoS One. 2019; 14(3): e0210574.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D3BFA"/>
    <w:multiLevelType w:val="hybridMultilevel"/>
    <w:tmpl w:val="BEB4815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29377C9"/>
    <w:multiLevelType w:val="hybridMultilevel"/>
    <w:tmpl w:val="7610CA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03392C"/>
    <w:multiLevelType w:val="hybridMultilevel"/>
    <w:tmpl w:val="0FCC4FB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BA90E21"/>
    <w:multiLevelType w:val="hybridMultilevel"/>
    <w:tmpl w:val="5DCCE1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C8F029C"/>
    <w:multiLevelType w:val="hybridMultilevel"/>
    <w:tmpl w:val="8B1412DC"/>
    <w:lvl w:ilvl="0" w:tplc="0C09001B">
      <w:start w:val="1"/>
      <w:numFmt w:val="lowerRoman"/>
      <w:lvlText w:val="%1."/>
      <w:lvlJc w:val="righ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 w15:restartNumberingAfterBreak="0">
    <w:nsid w:val="0E48004C"/>
    <w:multiLevelType w:val="hybridMultilevel"/>
    <w:tmpl w:val="4B8A3A36"/>
    <w:lvl w:ilvl="0" w:tplc="DBFA83DC">
      <w:start w:val="1"/>
      <w:numFmt w:val="bullet"/>
      <w:lvlText w:val=""/>
      <w:lvlJc w:val="left"/>
      <w:pPr>
        <w:tabs>
          <w:tab w:val="num" w:pos="1080"/>
        </w:tabs>
        <w:ind w:left="1080" w:hanging="360"/>
      </w:pPr>
      <w:rPr>
        <w:rFonts w:ascii="Symbol" w:hAnsi="Symbol" w:hint="default"/>
        <w:color w:val="auto"/>
        <w:sz w:val="22"/>
        <w:szCs w:val="22"/>
      </w:rPr>
    </w:lvl>
    <w:lvl w:ilvl="1" w:tplc="32EAB99E">
      <w:start w:val="1"/>
      <w:numFmt w:val="bullet"/>
      <w:lvlText w:val=""/>
      <w:lvlJc w:val="left"/>
      <w:pPr>
        <w:tabs>
          <w:tab w:val="num" w:pos="2160"/>
        </w:tabs>
        <w:ind w:left="2160" w:hanging="360"/>
      </w:pPr>
      <w:rPr>
        <w:rFonts w:ascii="Symbol" w:hAnsi="Symbol"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121F6355"/>
    <w:multiLevelType w:val="hybridMultilevel"/>
    <w:tmpl w:val="16701B8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8EB270D"/>
    <w:multiLevelType w:val="hybridMultilevel"/>
    <w:tmpl w:val="B1161A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9A74FFD"/>
    <w:multiLevelType w:val="hybridMultilevel"/>
    <w:tmpl w:val="E912D482"/>
    <w:lvl w:ilvl="0" w:tplc="9E5C9FB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AE421E"/>
    <w:multiLevelType w:val="hybridMultilevel"/>
    <w:tmpl w:val="6382EA38"/>
    <w:lvl w:ilvl="0" w:tplc="FB7A37EE">
      <w:start w:val="1"/>
      <w:numFmt w:val="bullet"/>
      <w:lvlText w:val=""/>
      <w:lvlJc w:val="left"/>
      <w:pPr>
        <w:tabs>
          <w:tab w:val="num" w:pos="360"/>
        </w:tabs>
        <w:ind w:left="360" w:hanging="360"/>
      </w:pPr>
      <w:rPr>
        <w:rFonts w:ascii="Symbol" w:hAnsi="Symbol" w:hint="default"/>
        <w:color w:val="3366FF"/>
        <w:sz w:val="22"/>
        <w:szCs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70B0D7E"/>
    <w:multiLevelType w:val="hybridMultilevel"/>
    <w:tmpl w:val="F488B7F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C933BF8"/>
    <w:multiLevelType w:val="multilevel"/>
    <w:tmpl w:val="B22A93B6"/>
    <w:styleLink w:val="Heading1a"/>
    <w:lvl w:ilvl="0">
      <w:start w:val="1"/>
      <w:numFmt w:val="decimal"/>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2D445352"/>
    <w:multiLevelType w:val="hybridMultilevel"/>
    <w:tmpl w:val="906043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02A6E7C"/>
    <w:multiLevelType w:val="hybridMultilevel"/>
    <w:tmpl w:val="9A66C17A"/>
    <w:lvl w:ilvl="0" w:tplc="0C090001">
      <w:start w:val="1"/>
      <w:numFmt w:val="bullet"/>
      <w:lvlText w:val=""/>
      <w:lvlJc w:val="left"/>
      <w:pPr>
        <w:tabs>
          <w:tab w:val="num" w:pos="1080"/>
        </w:tabs>
        <w:ind w:left="1080" w:hanging="72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3122239D"/>
    <w:multiLevelType w:val="hybridMultilevel"/>
    <w:tmpl w:val="139CBB14"/>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7B54856"/>
    <w:multiLevelType w:val="hybridMultilevel"/>
    <w:tmpl w:val="C25AA6E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974575E"/>
    <w:multiLevelType w:val="hybridMultilevel"/>
    <w:tmpl w:val="F33AB6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9826091"/>
    <w:multiLevelType w:val="hybridMultilevel"/>
    <w:tmpl w:val="B7B4FE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20B6ECC"/>
    <w:multiLevelType w:val="hybridMultilevel"/>
    <w:tmpl w:val="5A1ECD14"/>
    <w:lvl w:ilvl="0" w:tplc="DEFAC1A4">
      <w:start w:val="1"/>
      <w:numFmt w:val="bullet"/>
      <w:pStyle w:val="NormalBulletList"/>
      <w:lvlText w:val=""/>
      <w:lvlJc w:val="left"/>
      <w:pPr>
        <w:ind w:left="720" w:hanging="360"/>
      </w:pPr>
      <w:rPr>
        <w:rFonts w:ascii="Symbol" w:hAnsi="Symbol" w:hint="default"/>
      </w:rPr>
    </w:lvl>
    <w:lvl w:ilvl="1" w:tplc="CC2ADE4A">
      <w:start w:val="1"/>
      <w:numFmt w:val="bullet"/>
      <w:lvlText w:val="o"/>
      <w:lvlJc w:val="left"/>
      <w:pPr>
        <w:ind w:left="1440" w:hanging="360"/>
      </w:pPr>
      <w:rPr>
        <w:rFonts w:ascii="Courier New" w:hAnsi="Courier New" w:cs="Courier New" w:hint="default"/>
      </w:rPr>
    </w:lvl>
    <w:lvl w:ilvl="2" w:tplc="61E61A46" w:tentative="1">
      <w:start w:val="1"/>
      <w:numFmt w:val="bullet"/>
      <w:lvlText w:val=""/>
      <w:lvlJc w:val="left"/>
      <w:pPr>
        <w:ind w:left="2160" w:hanging="360"/>
      </w:pPr>
      <w:rPr>
        <w:rFonts w:ascii="Wingdings" w:hAnsi="Wingdings" w:hint="default"/>
      </w:rPr>
    </w:lvl>
    <w:lvl w:ilvl="3" w:tplc="48E8658E" w:tentative="1">
      <w:start w:val="1"/>
      <w:numFmt w:val="bullet"/>
      <w:lvlText w:val=""/>
      <w:lvlJc w:val="left"/>
      <w:pPr>
        <w:ind w:left="2880" w:hanging="360"/>
      </w:pPr>
      <w:rPr>
        <w:rFonts w:ascii="Symbol" w:hAnsi="Symbol" w:hint="default"/>
      </w:rPr>
    </w:lvl>
    <w:lvl w:ilvl="4" w:tplc="4EE87910" w:tentative="1">
      <w:start w:val="1"/>
      <w:numFmt w:val="bullet"/>
      <w:lvlText w:val="o"/>
      <w:lvlJc w:val="left"/>
      <w:pPr>
        <w:ind w:left="3600" w:hanging="360"/>
      </w:pPr>
      <w:rPr>
        <w:rFonts w:ascii="Courier New" w:hAnsi="Courier New" w:cs="Courier New" w:hint="default"/>
      </w:rPr>
    </w:lvl>
    <w:lvl w:ilvl="5" w:tplc="E2D8FC36" w:tentative="1">
      <w:start w:val="1"/>
      <w:numFmt w:val="bullet"/>
      <w:lvlText w:val=""/>
      <w:lvlJc w:val="left"/>
      <w:pPr>
        <w:ind w:left="4320" w:hanging="360"/>
      </w:pPr>
      <w:rPr>
        <w:rFonts w:ascii="Wingdings" w:hAnsi="Wingdings" w:hint="default"/>
      </w:rPr>
    </w:lvl>
    <w:lvl w:ilvl="6" w:tplc="4B22A9DC" w:tentative="1">
      <w:start w:val="1"/>
      <w:numFmt w:val="bullet"/>
      <w:lvlText w:val=""/>
      <w:lvlJc w:val="left"/>
      <w:pPr>
        <w:ind w:left="5040" w:hanging="360"/>
      </w:pPr>
      <w:rPr>
        <w:rFonts w:ascii="Symbol" w:hAnsi="Symbol" w:hint="default"/>
      </w:rPr>
    </w:lvl>
    <w:lvl w:ilvl="7" w:tplc="02445202" w:tentative="1">
      <w:start w:val="1"/>
      <w:numFmt w:val="bullet"/>
      <w:lvlText w:val="o"/>
      <w:lvlJc w:val="left"/>
      <w:pPr>
        <w:ind w:left="5760" w:hanging="360"/>
      </w:pPr>
      <w:rPr>
        <w:rFonts w:ascii="Courier New" w:hAnsi="Courier New" w:cs="Courier New" w:hint="default"/>
      </w:rPr>
    </w:lvl>
    <w:lvl w:ilvl="8" w:tplc="947490A4" w:tentative="1">
      <w:start w:val="1"/>
      <w:numFmt w:val="bullet"/>
      <w:lvlText w:val=""/>
      <w:lvlJc w:val="left"/>
      <w:pPr>
        <w:ind w:left="6480" w:hanging="360"/>
      </w:pPr>
      <w:rPr>
        <w:rFonts w:ascii="Wingdings" w:hAnsi="Wingdings" w:hint="default"/>
      </w:rPr>
    </w:lvl>
  </w:abstractNum>
  <w:abstractNum w:abstractNumId="19" w15:restartNumberingAfterBreak="0">
    <w:nsid w:val="43205342"/>
    <w:multiLevelType w:val="hybridMultilevel"/>
    <w:tmpl w:val="925A1F2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5F473A9"/>
    <w:multiLevelType w:val="hybridMultilevel"/>
    <w:tmpl w:val="C8FE2AF8"/>
    <w:lvl w:ilvl="0" w:tplc="57F61106">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7123FED"/>
    <w:multiLevelType w:val="hybridMultilevel"/>
    <w:tmpl w:val="EA3818A2"/>
    <w:lvl w:ilvl="0" w:tplc="64BE4998">
      <w:start w:val="1"/>
      <w:numFmt w:val="bullet"/>
      <w:lvlText w:val=""/>
      <w:lvlJc w:val="left"/>
      <w:pPr>
        <w:tabs>
          <w:tab w:val="num" w:pos="1080"/>
        </w:tabs>
        <w:ind w:left="1080" w:hanging="360"/>
      </w:pPr>
      <w:rPr>
        <w:rFonts w:ascii="Symbol" w:hAnsi="Symbol" w:hint="default"/>
        <w:color w:val="3366FF"/>
        <w:sz w:val="22"/>
        <w:szCs w:val="22"/>
      </w:rPr>
    </w:lvl>
    <w:lvl w:ilvl="1" w:tplc="32EAB99E">
      <w:start w:val="1"/>
      <w:numFmt w:val="bullet"/>
      <w:lvlText w:val=""/>
      <w:lvlJc w:val="left"/>
      <w:pPr>
        <w:tabs>
          <w:tab w:val="num" w:pos="2160"/>
        </w:tabs>
        <w:ind w:left="2160" w:hanging="360"/>
      </w:pPr>
      <w:rPr>
        <w:rFonts w:ascii="Symbol" w:hAnsi="Symbol"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2" w15:restartNumberingAfterBreak="0">
    <w:nsid w:val="4CB874C1"/>
    <w:multiLevelType w:val="hybridMultilevel"/>
    <w:tmpl w:val="517A37D4"/>
    <w:lvl w:ilvl="0" w:tplc="414EC18A">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 w15:restartNumberingAfterBreak="0">
    <w:nsid w:val="4EC76E01"/>
    <w:multiLevelType w:val="hybridMultilevel"/>
    <w:tmpl w:val="FBE643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A37453B"/>
    <w:multiLevelType w:val="hybridMultilevel"/>
    <w:tmpl w:val="717AD73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D387448"/>
    <w:multiLevelType w:val="multilevel"/>
    <w:tmpl w:val="B22A93B6"/>
    <w:numStyleLink w:val="Heading1a"/>
  </w:abstractNum>
  <w:abstractNum w:abstractNumId="26" w15:restartNumberingAfterBreak="0">
    <w:nsid w:val="5D666045"/>
    <w:multiLevelType w:val="hybridMultilevel"/>
    <w:tmpl w:val="22B0351A"/>
    <w:lvl w:ilvl="0" w:tplc="0409000F">
      <w:start w:val="9"/>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645853F9"/>
    <w:multiLevelType w:val="hybridMultilevel"/>
    <w:tmpl w:val="91784F30"/>
    <w:lvl w:ilvl="0" w:tplc="FB06DE06">
      <w:start w:val="3"/>
      <w:numFmt w:val="decimal"/>
      <w:lvlText w:val="%1."/>
      <w:lvlJc w:val="left"/>
      <w:pPr>
        <w:tabs>
          <w:tab w:val="num" w:pos="1080"/>
        </w:tabs>
        <w:ind w:left="1080" w:hanging="720"/>
      </w:pPr>
      <w:rPr>
        <w:rFonts w:hint="default"/>
      </w:rPr>
    </w:lvl>
    <w:lvl w:ilvl="1" w:tplc="72A82EDE">
      <w:start w:val="1"/>
      <w:numFmt w:val="bullet"/>
      <w:lvlText w:val=""/>
      <w:lvlJc w:val="left"/>
      <w:pPr>
        <w:tabs>
          <w:tab w:val="num" w:pos="1440"/>
        </w:tabs>
        <w:ind w:left="1440" w:hanging="360"/>
      </w:pPr>
      <w:rPr>
        <w:rFonts w:ascii="Symbol" w:hAnsi="Symbol" w:hint="default"/>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64B6694B"/>
    <w:multiLevelType w:val="hybridMultilevel"/>
    <w:tmpl w:val="5C5C908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FBA0B51"/>
    <w:multiLevelType w:val="hybridMultilevel"/>
    <w:tmpl w:val="EA74EE6A"/>
    <w:lvl w:ilvl="0" w:tplc="0C090001">
      <w:start w:val="1"/>
      <w:numFmt w:val="bullet"/>
      <w:lvlText w:val=""/>
      <w:lvlJc w:val="left"/>
      <w:pPr>
        <w:tabs>
          <w:tab w:val="num" w:pos="1080"/>
        </w:tabs>
        <w:ind w:left="1080" w:hanging="720"/>
      </w:pPr>
      <w:rPr>
        <w:rFonts w:ascii="Symbol" w:hAnsi="Symbol" w:hint="default"/>
      </w:rPr>
    </w:lvl>
    <w:lvl w:ilvl="1" w:tplc="72A82EDE">
      <w:start w:val="1"/>
      <w:numFmt w:val="bullet"/>
      <w:lvlText w:val=""/>
      <w:lvlJc w:val="left"/>
      <w:pPr>
        <w:tabs>
          <w:tab w:val="num" w:pos="1440"/>
        </w:tabs>
        <w:ind w:left="1440" w:hanging="360"/>
      </w:pPr>
      <w:rPr>
        <w:rFonts w:ascii="Symbol" w:hAnsi="Symbol" w:hint="default"/>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6FFE304B"/>
    <w:multiLevelType w:val="hybridMultilevel"/>
    <w:tmpl w:val="477EFC0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77D5A86"/>
    <w:multiLevelType w:val="hybridMultilevel"/>
    <w:tmpl w:val="0912432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8E81FDC"/>
    <w:multiLevelType w:val="hybridMultilevel"/>
    <w:tmpl w:val="D5C698E8"/>
    <w:lvl w:ilvl="0" w:tplc="A79EC4F8">
      <w:start w:val="1"/>
      <w:numFmt w:val="bullet"/>
      <w:pStyle w:val="BulletBeforeDash"/>
      <w:lvlText w:val="•"/>
      <w:lvlJc w:val="left"/>
      <w:pPr>
        <w:tabs>
          <w:tab w:val="num" w:pos="360"/>
        </w:tabs>
        <w:ind w:left="360" w:hanging="360"/>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9F62130"/>
    <w:multiLevelType w:val="hybridMultilevel"/>
    <w:tmpl w:val="A9188A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A254103"/>
    <w:multiLevelType w:val="hybridMultilevel"/>
    <w:tmpl w:val="B7C82B84"/>
    <w:lvl w:ilvl="0" w:tplc="D84C7930">
      <w:start w:val="1"/>
      <w:numFmt w:val="bullet"/>
      <w:lvlText w:val=""/>
      <w:lvlJc w:val="left"/>
      <w:pPr>
        <w:tabs>
          <w:tab w:val="num" w:pos="720"/>
        </w:tabs>
        <w:ind w:left="720" w:hanging="360"/>
      </w:pPr>
      <w:rPr>
        <w:rFonts w:ascii="Symbol" w:hAnsi="Symbol" w:hint="default"/>
      </w:rPr>
    </w:lvl>
    <w:lvl w:ilvl="1" w:tplc="C13A70B6" w:tentative="1">
      <w:start w:val="1"/>
      <w:numFmt w:val="bullet"/>
      <w:lvlText w:val=""/>
      <w:lvlJc w:val="left"/>
      <w:pPr>
        <w:tabs>
          <w:tab w:val="num" w:pos="1440"/>
        </w:tabs>
        <w:ind w:left="1440" w:hanging="360"/>
      </w:pPr>
      <w:rPr>
        <w:rFonts w:ascii="Symbol" w:hAnsi="Symbol" w:hint="default"/>
      </w:rPr>
    </w:lvl>
    <w:lvl w:ilvl="2" w:tplc="55EA786C" w:tentative="1">
      <w:start w:val="1"/>
      <w:numFmt w:val="bullet"/>
      <w:lvlText w:val=""/>
      <w:lvlJc w:val="left"/>
      <w:pPr>
        <w:tabs>
          <w:tab w:val="num" w:pos="2160"/>
        </w:tabs>
        <w:ind w:left="2160" w:hanging="360"/>
      </w:pPr>
      <w:rPr>
        <w:rFonts w:ascii="Symbol" w:hAnsi="Symbol" w:hint="default"/>
      </w:rPr>
    </w:lvl>
    <w:lvl w:ilvl="3" w:tplc="43D84550" w:tentative="1">
      <w:start w:val="1"/>
      <w:numFmt w:val="bullet"/>
      <w:lvlText w:val=""/>
      <w:lvlJc w:val="left"/>
      <w:pPr>
        <w:tabs>
          <w:tab w:val="num" w:pos="2880"/>
        </w:tabs>
        <w:ind w:left="2880" w:hanging="360"/>
      </w:pPr>
      <w:rPr>
        <w:rFonts w:ascii="Symbol" w:hAnsi="Symbol" w:hint="default"/>
      </w:rPr>
    </w:lvl>
    <w:lvl w:ilvl="4" w:tplc="8FD21696" w:tentative="1">
      <w:start w:val="1"/>
      <w:numFmt w:val="bullet"/>
      <w:lvlText w:val=""/>
      <w:lvlJc w:val="left"/>
      <w:pPr>
        <w:tabs>
          <w:tab w:val="num" w:pos="3600"/>
        </w:tabs>
        <w:ind w:left="3600" w:hanging="360"/>
      </w:pPr>
      <w:rPr>
        <w:rFonts w:ascii="Symbol" w:hAnsi="Symbol" w:hint="default"/>
      </w:rPr>
    </w:lvl>
    <w:lvl w:ilvl="5" w:tplc="E35AA802" w:tentative="1">
      <w:start w:val="1"/>
      <w:numFmt w:val="bullet"/>
      <w:lvlText w:val=""/>
      <w:lvlJc w:val="left"/>
      <w:pPr>
        <w:tabs>
          <w:tab w:val="num" w:pos="4320"/>
        </w:tabs>
        <w:ind w:left="4320" w:hanging="360"/>
      </w:pPr>
      <w:rPr>
        <w:rFonts w:ascii="Symbol" w:hAnsi="Symbol" w:hint="default"/>
      </w:rPr>
    </w:lvl>
    <w:lvl w:ilvl="6" w:tplc="E14CE3C6" w:tentative="1">
      <w:start w:val="1"/>
      <w:numFmt w:val="bullet"/>
      <w:lvlText w:val=""/>
      <w:lvlJc w:val="left"/>
      <w:pPr>
        <w:tabs>
          <w:tab w:val="num" w:pos="5040"/>
        </w:tabs>
        <w:ind w:left="5040" w:hanging="360"/>
      </w:pPr>
      <w:rPr>
        <w:rFonts w:ascii="Symbol" w:hAnsi="Symbol" w:hint="default"/>
      </w:rPr>
    </w:lvl>
    <w:lvl w:ilvl="7" w:tplc="D590942C" w:tentative="1">
      <w:start w:val="1"/>
      <w:numFmt w:val="bullet"/>
      <w:lvlText w:val=""/>
      <w:lvlJc w:val="left"/>
      <w:pPr>
        <w:tabs>
          <w:tab w:val="num" w:pos="5760"/>
        </w:tabs>
        <w:ind w:left="5760" w:hanging="360"/>
      </w:pPr>
      <w:rPr>
        <w:rFonts w:ascii="Symbol" w:hAnsi="Symbol" w:hint="default"/>
      </w:rPr>
    </w:lvl>
    <w:lvl w:ilvl="8" w:tplc="D6728C3E"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7D962F94"/>
    <w:multiLevelType w:val="hybridMultilevel"/>
    <w:tmpl w:val="74903CEE"/>
    <w:lvl w:ilvl="0" w:tplc="16D68352">
      <w:start w:val="5"/>
      <w:numFmt w:val="bullet"/>
      <w:lvlText w:val="-"/>
      <w:lvlJc w:val="left"/>
      <w:pPr>
        <w:ind w:left="786" w:hanging="360"/>
      </w:pPr>
      <w:rPr>
        <w:rFonts w:ascii="Arial" w:eastAsia="Times New Roman" w:hAnsi="Arial" w:cs="Aria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36" w15:restartNumberingAfterBreak="0">
    <w:nsid w:val="7EBC358B"/>
    <w:multiLevelType w:val="hybridMultilevel"/>
    <w:tmpl w:val="DA7C6A16"/>
    <w:lvl w:ilvl="0" w:tplc="5C548CF8">
      <w:start w:val="1"/>
      <w:numFmt w:val="bullet"/>
      <w:lvlText w:val=""/>
      <w:lvlJc w:val="left"/>
      <w:pPr>
        <w:tabs>
          <w:tab w:val="num" w:pos="360"/>
        </w:tabs>
        <w:ind w:left="360" w:hanging="360"/>
      </w:pPr>
      <w:rPr>
        <w:rFonts w:ascii="Symbol" w:hAnsi="Symbol" w:hint="default"/>
        <w:color w:val="3366FF"/>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FD02776"/>
    <w:multiLevelType w:val="hybridMultilevel"/>
    <w:tmpl w:val="4B8A3A36"/>
    <w:lvl w:ilvl="0" w:tplc="DBFA83DC">
      <w:start w:val="1"/>
      <w:numFmt w:val="bullet"/>
      <w:lvlText w:val=""/>
      <w:lvlJc w:val="left"/>
      <w:pPr>
        <w:tabs>
          <w:tab w:val="num" w:pos="360"/>
        </w:tabs>
        <w:ind w:left="360" w:hanging="360"/>
      </w:pPr>
      <w:rPr>
        <w:rFonts w:ascii="Symbol" w:hAnsi="Symbol" w:hint="default"/>
        <w:color w:val="auto"/>
        <w:sz w:val="22"/>
        <w:szCs w:val="22"/>
      </w:rPr>
    </w:lvl>
    <w:lvl w:ilvl="1" w:tplc="32EAB99E">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5"/>
  </w:num>
  <w:num w:numId="3">
    <w:abstractNumId w:val="21"/>
  </w:num>
  <w:num w:numId="4">
    <w:abstractNumId w:val="36"/>
  </w:num>
  <w:num w:numId="5">
    <w:abstractNumId w:val="27"/>
  </w:num>
  <w:num w:numId="6">
    <w:abstractNumId w:val="26"/>
  </w:num>
  <w:num w:numId="7">
    <w:abstractNumId w:val="18"/>
  </w:num>
  <w:num w:numId="8">
    <w:abstractNumId w:val="13"/>
  </w:num>
  <w:num w:numId="9">
    <w:abstractNumId w:val="29"/>
  </w:num>
  <w:num w:numId="10">
    <w:abstractNumId w:val="35"/>
  </w:num>
  <w:num w:numId="11">
    <w:abstractNumId w:val="11"/>
  </w:num>
  <w:num w:numId="12">
    <w:abstractNumId w:val="25"/>
  </w:num>
  <w:num w:numId="13">
    <w:abstractNumId w:val="20"/>
  </w:num>
  <w:num w:numId="14">
    <w:abstractNumId w:val="37"/>
  </w:num>
  <w:num w:numId="15">
    <w:abstractNumId w:val="14"/>
  </w:num>
  <w:num w:numId="16">
    <w:abstractNumId w:val="8"/>
  </w:num>
  <w:num w:numId="17">
    <w:abstractNumId w:val="12"/>
  </w:num>
  <w:num w:numId="18">
    <w:abstractNumId w:val="23"/>
  </w:num>
  <w:num w:numId="19">
    <w:abstractNumId w:val="33"/>
  </w:num>
  <w:num w:numId="20">
    <w:abstractNumId w:val="28"/>
  </w:num>
  <w:num w:numId="21">
    <w:abstractNumId w:val="3"/>
  </w:num>
  <w:num w:numId="22">
    <w:abstractNumId w:val="1"/>
  </w:num>
  <w:num w:numId="23">
    <w:abstractNumId w:val="24"/>
  </w:num>
  <w:num w:numId="24">
    <w:abstractNumId w:val="30"/>
  </w:num>
  <w:num w:numId="25">
    <w:abstractNumId w:val="22"/>
  </w:num>
  <w:num w:numId="26">
    <w:abstractNumId w:val="32"/>
  </w:num>
  <w:num w:numId="27">
    <w:abstractNumId w:val="15"/>
  </w:num>
  <w:num w:numId="28">
    <w:abstractNumId w:val="7"/>
  </w:num>
  <w:num w:numId="29">
    <w:abstractNumId w:val="34"/>
  </w:num>
  <w:num w:numId="30">
    <w:abstractNumId w:val="16"/>
  </w:num>
  <w:num w:numId="31">
    <w:abstractNumId w:val="17"/>
  </w:num>
  <w:num w:numId="32">
    <w:abstractNumId w:val="19"/>
  </w:num>
  <w:num w:numId="33">
    <w:abstractNumId w:val="31"/>
  </w:num>
  <w:num w:numId="34">
    <w:abstractNumId w:val="4"/>
  </w:num>
  <w:num w:numId="35">
    <w:abstractNumId w:val="2"/>
  </w:num>
  <w:num w:numId="36">
    <w:abstractNumId w:val="6"/>
  </w:num>
  <w:num w:numId="37">
    <w:abstractNumId w:val="10"/>
  </w:num>
  <w:num w:numId="38">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proofState w:spelling="clean" w:grammar="clean"/>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623"/>
    <w:rsid w:val="000008EB"/>
    <w:rsid w:val="00001884"/>
    <w:rsid w:val="000036AF"/>
    <w:rsid w:val="000119A3"/>
    <w:rsid w:val="000129D7"/>
    <w:rsid w:val="00014731"/>
    <w:rsid w:val="00015DFC"/>
    <w:rsid w:val="000171A6"/>
    <w:rsid w:val="000213E9"/>
    <w:rsid w:val="00021DA2"/>
    <w:rsid w:val="0002226F"/>
    <w:rsid w:val="000229A1"/>
    <w:rsid w:val="000268A1"/>
    <w:rsid w:val="0003454B"/>
    <w:rsid w:val="00034559"/>
    <w:rsid w:val="00042B86"/>
    <w:rsid w:val="0004559A"/>
    <w:rsid w:val="00052F50"/>
    <w:rsid w:val="00054151"/>
    <w:rsid w:val="0006073C"/>
    <w:rsid w:val="000632EF"/>
    <w:rsid w:val="00065623"/>
    <w:rsid w:val="00070C1B"/>
    <w:rsid w:val="00080993"/>
    <w:rsid w:val="000827F0"/>
    <w:rsid w:val="0008467F"/>
    <w:rsid w:val="0008767E"/>
    <w:rsid w:val="0009315B"/>
    <w:rsid w:val="00097647"/>
    <w:rsid w:val="000A6068"/>
    <w:rsid w:val="000A63D3"/>
    <w:rsid w:val="000A738E"/>
    <w:rsid w:val="000B5E43"/>
    <w:rsid w:val="000B5F25"/>
    <w:rsid w:val="000B692F"/>
    <w:rsid w:val="000C1415"/>
    <w:rsid w:val="000C4B3D"/>
    <w:rsid w:val="000E396B"/>
    <w:rsid w:val="000E3C10"/>
    <w:rsid w:val="000E6588"/>
    <w:rsid w:val="000F21FE"/>
    <w:rsid w:val="00100F91"/>
    <w:rsid w:val="00101AF3"/>
    <w:rsid w:val="00104710"/>
    <w:rsid w:val="001115D1"/>
    <w:rsid w:val="0012129B"/>
    <w:rsid w:val="00124982"/>
    <w:rsid w:val="0013032B"/>
    <w:rsid w:val="0013112F"/>
    <w:rsid w:val="00134BBD"/>
    <w:rsid w:val="00136257"/>
    <w:rsid w:val="00136969"/>
    <w:rsid w:val="0014545A"/>
    <w:rsid w:val="001538CF"/>
    <w:rsid w:val="00155BF4"/>
    <w:rsid w:val="00156C3A"/>
    <w:rsid w:val="00157D30"/>
    <w:rsid w:val="001630A9"/>
    <w:rsid w:val="00167C8A"/>
    <w:rsid w:val="00170323"/>
    <w:rsid w:val="00171759"/>
    <w:rsid w:val="00183BB3"/>
    <w:rsid w:val="001921DF"/>
    <w:rsid w:val="001951EC"/>
    <w:rsid w:val="001A669F"/>
    <w:rsid w:val="001B1DFA"/>
    <w:rsid w:val="001B6916"/>
    <w:rsid w:val="001C1094"/>
    <w:rsid w:val="001C32A6"/>
    <w:rsid w:val="001C7004"/>
    <w:rsid w:val="001C75D8"/>
    <w:rsid w:val="001D24A5"/>
    <w:rsid w:val="001D2A85"/>
    <w:rsid w:val="001D47FB"/>
    <w:rsid w:val="001E33C9"/>
    <w:rsid w:val="001E457C"/>
    <w:rsid w:val="001F11FA"/>
    <w:rsid w:val="001F1212"/>
    <w:rsid w:val="001F3C4C"/>
    <w:rsid w:val="001F48FE"/>
    <w:rsid w:val="001F6F26"/>
    <w:rsid w:val="001F77C6"/>
    <w:rsid w:val="00200816"/>
    <w:rsid w:val="00206760"/>
    <w:rsid w:val="0021159F"/>
    <w:rsid w:val="00213288"/>
    <w:rsid w:val="00213A57"/>
    <w:rsid w:val="00215359"/>
    <w:rsid w:val="00215AC9"/>
    <w:rsid w:val="002230B6"/>
    <w:rsid w:val="00224917"/>
    <w:rsid w:val="0022638C"/>
    <w:rsid w:val="00227F2E"/>
    <w:rsid w:val="00236247"/>
    <w:rsid w:val="002406F5"/>
    <w:rsid w:val="00242AD4"/>
    <w:rsid w:val="002460C2"/>
    <w:rsid w:val="00250A28"/>
    <w:rsid w:val="00252638"/>
    <w:rsid w:val="0026665D"/>
    <w:rsid w:val="00267F42"/>
    <w:rsid w:val="0027168E"/>
    <w:rsid w:val="00272820"/>
    <w:rsid w:val="00276109"/>
    <w:rsid w:val="00280998"/>
    <w:rsid w:val="00286676"/>
    <w:rsid w:val="00286BC8"/>
    <w:rsid w:val="00290BFE"/>
    <w:rsid w:val="0029348E"/>
    <w:rsid w:val="00295EB6"/>
    <w:rsid w:val="002A0380"/>
    <w:rsid w:val="002A7743"/>
    <w:rsid w:val="002B34D5"/>
    <w:rsid w:val="002C3F4E"/>
    <w:rsid w:val="002C7C7C"/>
    <w:rsid w:val="002D0267"/>
    <w:rsid w:val="002D08AA"/>
    <w:rsid w:val="002D2973"/>
    <w:rsid w:val="002D2CC9"/>
    <w:rsid w:val="002D43CE"/>
    <w:rsid w:val="002D57BB"/>
    <w:rsid w:val="002E3788"/>
    <w:rsid w:val="002E4460"/>
    <w:rsid w:val="002E50FE"/>
    <w:rsid w:val="002F3D9D"/>
    <w:rsid w:val="002F54B1"/>
    <w:rsid w:val="002F5FB7"/>
    <w:rsid w:val="002F693D"/>
    <w:rsid w:val="00301462"/>
    <w:rsid w:val="00303414"/>
    <w:rsid w:val="00303C98"/>
    <w:rsid w:val="00316FC7"/>
    <w:rsid w:val="00331488"/>
    <w:rsid w:val="00337945"/>
    <w:rsid w:val="0034047C"/>
    <w:rsid w:val="00342FAC"/>
    <w:rsid w:val="00344582"/>
    <w:rsid w:val="003515D1"/>
    <w:rsid w:val="0035535A"/>
    <w:rsid w:val="00355B3E"/>
    <w:rsid w:val="00355B86"/>
    <w:rsid w:val="0035718D"/>
    <w:rsid w:val="00361DD2"/>
    <w:rsid w:val="00362AC2"/>
    <w:rsid w:val="003700A9"/>
    <w:rsid w:val="00373328"/>
    <w:rsid w:val="00386D67"/>
    <w:rsid w:val="00387947"/>
    <w:rsid w:val="00397D49"/>
    <w:rsid w:val="003A078D"/>
    <w:rsid w:val="003A1472"/>
    <w:rsid w:val="003A326F"/>
    <w:rsid w:val="003A4F78"/>
    <w:rsid w:val="003B02B8"/>
    <w:rsid w:val="003B0CA4"/>
    <w:rsid w:val="003B14F6"/>
    <w:rsid w:val="003B2091"/>
    <w:rsid w:val="003C74FF"/>
    <w:rsid w:val="003D2991"/>
    <w:rsid w:val="003D4BFC"/>
    <w:rsid w:val="003D6A0F"/>
    <w:rsid w:val="003E1045"/>
    <w:rsid w:val="003E3728"/>
    <w:rsid w:val="003E44A3"/>
    <w:rsid w:val="003E46EE"/>
    <w:rsid w:val="003E56F5"/>
    <w:rsid w:val="003E637D"/>
    <w:rsid w:val="003E63C9"/>
    <w:rsid w:val="003F0834"/>
    <w:rsid w:val="003F30AD"/>
    <w:rsid w:val="003F5EE6"/>
    <w:rsid w:val="004031F7"/>
    <w:rsid w:val="004034F5"/>
    <w:rsid w:val="00410109"/>
    <w:rsid w:val="00410178"/>
    <w:rsid w:val="004205E1"/>
    <w:rsid w:val="0042114B"/>
    <w:rsid w:val="00421FF2"/>
    <w:rsid w:val="00425A36"/>
    <w:rsid w:val="00433060"/>
    <w:rsid w:val="00434DEB"/>
    <w:rsid w:val="00442A27"/>
    <w:rsid w:val="00443F1D"/>
    <w:rsid w:val="00450346"/>
    <w:rsid w:val="00451310"/>
    <w:rsid w:val="00452DFC"/>
    <w:rsid w:val="00460290"/>
    <w:rsid w:val="00460DB6"/>
    <w:rsid w:val="00464B2A"/>
    <w:rsid w:val="004672CB"/>
    <w:rsid w:val="0046745E"/>
    <w:rsid w:val="00471BF1"/>
    <w:rsid w:val="00475180"/>
    <w:rsid w:val="00484E85"/>
    <w:rsid w:val="004851AB"/>
    <w:rsid w:val="004900E0"/>
    <w:rsid w:val="00495285"/>
    <w:rsid w:val="0049577E"/>
    <w:rsid w:val="004A4E41"/>
    <w:rsid w:val="004A705F"/>
    <w:rsid w:val="004B01A4"/>
    <w:rsid w:val="004B0B8A"/>
    <w:rsid w:val="004B1A88"/>
    <w:rsid w:val="004B2358"/>
    <w:rsid w:val="004C0219"/>
    <w:rsid w:val="004D1800"/>
    <w:rsid w:val="004D3C7F"/>
    <w:rsid w:val="004D69E0"/>
    <w:rsid w:val="004D69FE"/>
    <w:rsid w:val="004E348D"/>
    <w:rsid w:val="004E432D"/>
    <w:rsid w:val="004E5C21"/>
    <w:rsid w:val="004F5EA8"/>
    <w:rsid w:val="0050188B"/>
    <w:rsid w:val="0050531D"/>
    <w:rsid w:val="00511348"/>
    <w:rsid w:val="00511EE0"/>
    <w:rsid w:val="00514BAF"/>
    <w:rsid w:val="00516ACE"/>
    <w:rsid w:val="0052174C"/>
    <w:rsid w:val="00522528"/>
    <w:rsid w:val="00531DFF"/>
    <w:rsid w:val="00540BC0"/>
    <w:rsid w:val="005420D3"/>
    <w:rsid w:val="0054452D"/>
    <w:rsid w:val="00544B5B"/>
    <w:rsid w:val="00544BA0"/>
    <w:rsid w:val="00552DFF"/>
    <w:rsid w:val="00565224"/>
    <w:rsid w:val="00566DC3"/>
    <w:rsid w:val="00567131"/>
    <w:rsid w:val="0056736C"/>
    <w:rsid w:val="00570B15"/>
    <w:rsid w:val="00573F22"/>
    <w:rsid w:val="00576ED3"/>
    <w:rsid w:val="00583D1B"/>
    <w:rsid w:val="005856E5"/>
    <w:rsid w:val="0058659C"/>
    <w:rsid w:val="00590817"/>
    <w:rsid w:val="00590A73"/>
    <w:rsid w:val="00590B65"/>
    <w:rsid w:val="005921F5"/>
    <w:rsid w:val="005922DB"/>
    <w:rsid w:val="005938FD"/>
    <w:rsid w:val="00594478"/>
    <w:rsid w:val="005A0E14"/>
    <w:rsid w:val="005A14E4"/>
    <w:rsid w:val="005A6D31"/>
    <w:rsid w:val="005B517E"/>
    <w:rsid w:val="005B59F4"/>
    <w:rsid w:val="005B7376"/>
    <w:rsid w:val="005C3EFD"/>
    <w:rsid w:val="005C663F"/>
    <w:rsid w:val="005D0332"/>
    <w:rsid w:val="005D637D"/>
    <w:rsid w:val="005E1DFB"/>
    <w:rsid w:val="005E2A0D"/>
    <w:rsid w:val="005E3645"/>
    <w:rsid w:val="005E42A8"/>
    <w:rsid w:val="005F004E"/>
    <w:rsid w:val="00603860"/>
    <w:rsid w:val="006074D3"/>
    <w:rsid w:val="00607D37"/>
    <w:rsid w:val="00611744"/>
    <w:rsid w:val="00612A11"/>
    <w:rsid w:val="00612FD7"/>
    <w:rsid w:val="0061621F"/>
    <w:rsid w:val="0062571E"/>
    <w:rsid w:val="00631D1C"/>
    <w:rsid w:val="00636F1F"/>
    <w:rsid w:val="0063740F"/>
    <w:rsid w:val="00637EA9"/>
    <w:rsid w:val="00640A46"/>
    <w:rsid w:val="00646BB5"/>
    <w:rsid w:val="00652E31"/>
    <w:rsid w:val="0065529B"/>
    <w:rsid w:val="00657CD1"/>
    <w:rsid w:val="006603F6"/>
    <w:rsid w:val="006675E3"/>
    <w:rsid w:val="00671BCD"/>
    <w:rsid w:val="0067233F"/>
    <w:rsid w:val="00676A80"/>
    <w:rsid w:val="00676C49"/>
    <w:rsid w:val="006831FB"/>
    <w:rsid w:val="00685001"/>
    <w:rsid w:val="00691B3B"/>
    <w:rsid w:val="00693716"/>
    <w:rsid w:val="006A1BBD"/>
    <w:rsid w:val="006A27C7"/>
    <w:rsid w:val="006A401D"/>
    <w:rsid w:val="006A4681"/>
    <w:rsid w:val="006B241A"/>
    <w:rsid w:val="006B49FD"/>
    <w:rsid w:val="006B5BE7"/>
    <w:rsid w:val="006B7F3E"/>
    <w:rsid w:val="006C1938"/>
    <w:rsid w:val="006C1B72"/>
    <w:rsid w:val="006C26E3"/>
    <w:rsid w:val="006C3324"/>
    <w:rsid w:val="006C5230"/>
    <w:rsid w:val="006C56D4"/>
    <w:rsid w:val="006D7D0C"/>
    <w:rsid w:val="006E2F06"/>
    <w:rsid w:val="006E7A8E"/>
    <w:rsid w:val="006F2A30"/>
    <w:rsid w:val="006F47F4"/>
    <w:rsid w:val="006F6993"/>
    <w:rsid w:val="00703892"/>
    <w:rsid w:val="007041CA"/>
    <w:rsid w:val="007070D7"/>
    <w:rsid w:val="00707FED"/>
    <w:rsid w:val="00712EE7"/>
    <w:rsid w:val="007136F6"/>
    <w:rsid w:val="00713D11"/>
    <w:rsid w:val="0071498A"/>
    <w:rsid w:val="0071734F"/>
    <w:rsid w:val="00722408"/>
    <w:rsid w:val="00722776"/>
    <w:rsid w:val="007229D6"/>
    <w:rsid w:val="00723375"/>
    <w:rsid w:val="0073042F"/>
    <w:rsid w:val="00730FD6"/>
    <w:rsid w:val="00731492"/>
    <w:rsid w:val="00732C4E"/>
    <w:rsid w:val="00736B3B"/>
    <w:rsid w:val="00741E32"/>
    <w:rsid w:val="00744580"/>
    <w:rsid w:val="00744C5D"/>
    <w:rsid w:val="007502A5"/>
    <w:rsid w:val="00754F54"/>
    <w:rsid w:val="007554DA"/>
    <w:rsid w:val="00761D8D"/>
    <w:rsid w:val="0076532A"/>
    <w:rsid w:val="00766E36"/>
    <w:rsid w:val="0076718A"/>
    <w:rsid w:val="00775963"/>
    <w:rsid w:val="00777074"/>
    <w:rsid w:val="007849B8"/>
    <w:rsid w:val="00784C86"/>
    <w:rsid w:val="00786F1F"/>
    <w:rsid w:val="00794D30"/>
    <w:rsid w:val="007964EB"/>
    <w:rsid w:val="007966B6"/>
    <w:rsid w:val="00796B11"/>
    <w:rsid w:val="00797D8D"/>
    <w:rsid w:val="00797E35"/>
    <w:rsid w:val="007A0F08"/>
    <w:rsid w:val="007A2F6B"/>
    <w:rsid w:val="007A6BE5"/>
    <w:rsid w:val="007A7B08"/>
    <w:rsid w:val="007C2D6A"/>
    <w:rsid w:val="007C4959"/>
    <w:rsid w:val="007C7E0A"/>
    <w:rsid w:val="007D2558"/>
    <w:rsid w:val="007D4A00"/>
    <w:rsid w:val="007D6C35"/>
    <w:rsid w:val="007D7ECB"/>
    <w:rsid w:val="007E0EAF"/>
    <w:rsid w:val="007F4E20"/>
    <w:rsid w:val="007F5142"/>
    <w:rsid w:val="007F6887"/>
    <w:rsid w:val="008066A0"/>
    <w:rsid w:val="00806A9C"/>
    <w:rsid w:val="008158D3"/>
    <w:rsid w:val="00820F39"/>
    <w:rsid w:val="008227C1"/>
    <w:rsid w:val="00827C06"/>
    <w:rsid w:val="0083013B"/>
    <w:rsid w:val="00832535"/>
    <w:rsid w:val="0084645A"/>
    <w:rsid w:val="00850724"/>
    <w:rsid w:val="0086104A"/>
    <w:rsid w:val="0086173C"/>
    <w:rsid w:val="00864640"/>
    <w:rsid w:val="0088197A"/>
    <w:rsid w:val="0088304F"/>
    <w:rsid w:val="00890AA5"/>
    <w:rsid w:val="00896E79"/>
    <w:rsid w:val="008A0363"/>
    <w:rsid w:val="008A07EB"/>
    <w:rsid w:val="008A0D74"/>
    <w:rsid w:val="008A28E7"/>
    <w:rsid w:val="008A3FFA"/>
    <w:rsid w:val="008A5C67"/>
    <w:rsid w:val="008A6C0C"/>
    <w:rsid w:val="008A7405"/>
    <w:rsid w:val="008B685D"/>
    <w:rsid w:val="008C27FB"/>
    <w:rsid w:val="008C6DE4"/>
    <w:rsid w:val="008E2DF5"/>
    <w:rsid w:val="008F4C97"/>
    <w:rsid w:val="00900FF3"/>
    <w:rsid w:val="00901821"/>
    <w:rsid w:val="009023B5"/>
    <w:rsid w:val="009023F7"/>
    <w:rsid w:val="009110E5"/>
    <w:rsid w:val="00912AD8"/>
    <w:rsid w:val="00920A83"/>
    <w:rsid w:val="00925BDA"/>
    <w:rsid w:val="00933B33"/>
    <w:rsid w:val="009351F0"/>
    <w:rsid w:val="00940F74"/>
    <w:rsid w:val="009418C0"/>
    <w:rsid w:val="00943312"/>
    <w:rsid w:val="00950C0C"/>
    <w:rsid w:val="00954190"/>
    <w:rsid w:val="009606B7"/>
    <w:rsid w:val="00961AD6"/>
    <w:rsid w:val="00962BAA"/>
    <w:rsid w:val="00964755"/>
    <w:rsid w:val="00976B13"/>
    <w:rsid w:val="00983D06"/>
    <w:rsid w:val="00990BF9"/>
    <w:rsid w:val="00992D53"/>
    <w:rsid w:val="009A6963"/>
    <w:rsid w:val="009A702B"/>
    <w:rsid w:val="009B2DD5"/>
    <w:rsid w:val="009B7E2B"/>
    <w:rsid w:val="009C34E7"/>
    <w:rsid w:val="009C5E6A"/>
    <w:rsid w:val="009C6800"/>
    <w:rsid w:val="009D1BAC"/>
    <w:rsid w:val="009D64AB"/>
    <w:rsid w:val="009D753A"/>
    <w:rsid w:val="009E2FFB"/>
    <w:rsid w:val="009F0602"/>
    <w:rsid w:val="009F27DC"/>
    <w:rsid w:val="00A00404"/>
    <w:rsid w:val="00A009C9"/>
    <w:rsid w:val="00A021B7"/>
    <w:rsid w:val="00A06617"/>
    <w:rsid w:val="00A30752"/>
    <w:rsid w:val="00A30A85"/>
    <w:rsid w:val="00A317E6"/>
    <w:rsid w:val="00A35A4F"/>
    <w:rsid w:val="00A36E7B"/>
    <w:rsid w:val="00A44C6E"/>
    <w:rsid w:val="00A50A7D"/>
    <w:rsid w:val="00A52FEC"/>
    <w:rsid w:val="00A53010"/>
    <w:rsid w:val="00A827FD"/>
    <w:rsid w:val="00A8603E"/>
    <w:rsid w:val="00A868CA"/>
    <w:rsid w:val="00A96916"/>
    <w:rsid w:val="00AA3E4B"/>
    <w:rsid w:val="00AA4934"/>
    <w:rsid w:val="00AA502F"/>
    <w:rsid w:val="00AA689B"/>
    <w:rsid w:val="00AB37C5"/>
    <w:rsid w:val="00AB37FD"/>
    <w:rsid w:val="00AC0916"/>
    <w:rsid w:val="00AC1021"/>
    <w:rsid w:val="00AC6B44"/>
    <w:rsid w:val="00AD026F"/>
    <w:rsid w:val="00AD55E1"/>
    <w:rsid w:val="00AE4C2D"/>
    <w:rsid w:val="00AE76A3"/>
    <w:rsid w:val="00AF02F4"/>
    <w:rsid w:val="00AF0998"/>
    <w:rsid w:val="00AF1138"/>
    <w:rsid w:val="00AF64E7"/>
    <w:rsid w:val="00AF72BF"/>
    <w:rsid w:val="00B01452"/>
    <w:rsid w:val="00B02E35"/>
    <w:rsid w:val="00B03576"/>
    <w:rsid w:val="00B0472C"/>
    <w:rsid w:val="00B049F7"/>
    <w:rsid w:val="00B102D9"/>
    <w:rsid w:val="00B1366C"/>
    <w:rsid w:val="00B13ACF"/>
    <w:rsid w:val="00B13FA1"/>
    <w:rsid w:val="00B16FDD"/>
    <w:rsid w:val="00B1779B"/>
    <w:rsid w:val="00B20683"/>
    <w:rsid w:val="00B24E21"/>
    <w:rsid w:val="00B27346"/>
    <w:rsid w:val="00B33D7B"/>
    <w:rsid w:val="00B360D5"/>
    <w:rsid w:val="00B37582"/>
    <w:rsid w:val="00B40410"/>
    <w:rsid w:val="00B411FE"/>
    <w:rsid w:val="00B426FB"/>
    <w:rsid w:val="00B4553E"/>
    <w:rsid w:val="00B46C7E"/>
    <w:rsid w:val="00B52FCF"/>
    <w:rsid w:val="00B6033B"/>
    <w:rsid w:val="00B67780"/>
    <w:rsid w:val="00B71CF6"/>
    <w:rsid w:val="00BA0F76"/>
    <w:rsid w:val="00BA3629"/>
    <w:rsid w:val="00BA5A83"/>
    <w:rsid w:val="00BA6799"/>
    <w:rsid w:val="00BB18CD"/>
    <w:rsid w:val="00BB2091"/>
    <w:rsid w:val="00BB26AB"/>
    <w:rsid w:val="00BB3375"/>
    <w:rsid w:val="00BB550B"/>
    <w:rsid w:val="00BC04A2"/>
    <w:rsid w:val="00BC44F4"/>
    <w:rsid w:val="00BD6C4E"/>
    <w:rsid w:val="00BE323F"/>
    <w:rsid w:val="00BE396E"/>
    <w:rsid w:val="00BE69AC"/>
    <w:rsid w:val="00BF0479"/>
    <w:rsid w:val="00BF0DFE"/>
    <w:rsid w:val="00BF236E"/>
    <w:rsid w:val="00BF3109"/>
    <w:rsid w:val="00BF4914"/>
    <w:rsid w:val="00C0013C"/>
    <w:rsid w:val="00C035AF"/>
    <w:rsid w:val="00C05EDF"/>
    <w:rsid w:val="00C06FBE"/>
    <w:rsid w:val="00C11B22"/>
    <w:rsid w:val="00C11F4E"/>
    <w:rsid w:val="00C13B47"/>
    <w:rsid w:val="00C1782D"/>
    <w:rsid w:val="00C17EED"/>
    <w:rsid w:val="00C20B8A"/>
    <w:rsid w:val="00C20BEE"/>
    <w:rsid w:val="00C21E96"/>
    <w:rsid w:val="00C34180"/>
    <w:rsid w:val="00C3670D"/>
    <w:rsid w:val="00C45D90"/>
    <w:rsid w:val="00C50B10"/>
    <w:rsid w:val="00C50F53"/>
    <w:rsid w:val="00C614AF"/>
    <w:rsid w:val="00C61622"/>
    <w:rsid w:val="00C638AC"/>
    <w:rsid w:val="00C66417"/>
    <w:rsid w:val="00C67123"/>
    <w:rsid w:val="00C703C1"/>
    <w:rsid w:val="00C730C8"/>
    <w:rsid w:val="00C75124"/>
    <w:rsid w:val="00C808E5"/>
    <w:rsid w:val="00C84EFB"/>
    <w:rsid w:val="00C90108"/>
    <w:rsid w:val="00C90EB4"/>
    <w:rsid w:val="00CB1778"/>
    <w:rsid w:val="00CB296F"/>
    <w:rsid w:val="00CB3B92"/>
    <w:rsid w:val="00CB7E7D"/>
    <w:rsid w:val="00CC038A"/>
    <w:rsid w:val="00CC1836"/>
    <w:rsid w:val="00CC23B0"/>
    <w:rsid w:val="00CC45D8"/>
    <w:rsid w:val="00CC76AF"/>
    <w:rsid w:val="00CD5843"/>
    <w:rsid w:val="00CD712E"/>
    <w:rsid w:val="00CD7AAF"/>
    <w:rsid w:val="00CF1666"/>
    <w:rsid w:val="00CF305A"/>
    <w:rsid w:val="00CF3198"/>
    <w:rsid w:val="00CF78F7"/>
    <w:rsid w:val="00D10794"/>
    <w:rsid w:val="00D10820"/>
    <w:rsid w:val="00D118AD"/>
    <w:rsid w:val="00D14478"/>
    <w:rsid w:val="00D15284"/>
    <w:rsid w:val="00D17C22"/>
    <w:rsid w:val="00D27B27"/>
    <w:rsid w:val="00D43673"/>
    <w:rsid w:val="00D4755A"/>
    <w:rsid w:val="00D47A2C"/>
    <w:rsid w:val="00D559ED"/>
    <w:rsid w:val="00D55D87"/>
    <w:rsid w:val="00D55F83"/>
    <w:rsid w:val="00D62F60"/>
    <w:rsid w:val="00D701CC"/>
    <w:rsid w:val="00D70C50"/>
    <w:rsid w:val="00D769FB"/>
    <w:rsid w:val="00D91D67"/>
    <w:rsid w:val="00D93418"/>
    <w:rsid w:val="00D94483"/>
    <w:rsid w:val="00D94C19"/>
    <w:rsid w:val="00DA0B45"/>
    <w:rsid w:val="00DA2F53"/>
    <w:rsid w:val="00DA46FC"/>
    <w:rsid w:val="00DB1E71"/>
    <w:rsid w:val="00DB4A4B"/>
    <w:rsid w:val="00DB7D27"/>
    <w:rsid w:val="00DC0E3C"/>
    <w:rsid w:val="00DC3D28"/>
    <w:rsid w:val="00DC3FFD"/>
    <w:rsid w:val="00DD0AF1"/>
    <w:rsid w:val="00DD311A"/>
    <w:rsid w:val="00DE1748"/>
    <w:rsid w:val="00DE552A"/>
    <w:rsid w:val="00DF6488"/>
    <w:rsid w:val="00E02561"/>
    <w:rsid w:val="00E031DE"/>
    <w:rsid w:val="00E06462"/>
    <w:rsid w:val="00E16CCC"/>
    <w:rsid w:val="00E31938"/>
    <w:rsid w:val="00E31F56"/>
    <w:rsid w:val="00E345BD"/>
    <w:rsid w:val="00E470FE"/>
    <w:rsid w:val="00E521B1"/>
    <w:rsid w:val="00E57B85"/>
    <w:rsid w:val="00E61FB2"/>
    <w:rsid w:val="00E62F27"/>
    <w:rsid w:val="00E6341E"/>
    <w:rsid w:val="00E643DE"/>
    <w:rsid w:val="00E65728"/>
    <w:rsid w:val="00E713BF"/>
    <w:rsid w:val="00E738A9"/>
    <w:rsid w:val="00E7422C"/>
    <w:rsid w:val="00E74504"/>
    <w:rsid w:val="00E7560F"/>
    <w:rsid w:val="00E82A18"/>
    <w:rsid w:val="00E846B1"/>
    <w:rsid w:val="00E85ED2"/>
    <w:rsid w:val="00E920A5"/>
    <w:rsid w:val="00E924FD"/>
    <w:rsid w:val="00E936DA"/>
    <w:rsid w:val="00E97375"/>
    <w:rsid w:val="00EA3CBC"/>
    <w:rsid w:val="00EB7936"/>
    <w:rsid w:val="00EC644C"/>
    <w:rsid w:val="00ED4E80"/>
    <w:rsid w:val="00ED4E8D"/>
    <w:rsid w:val="00ED5C4C"/>
    <w:rsid w:val="00EE2D09"/>
    <w:rsid w:val="00EF3110"/>
    <w:rsid w:val="00EF4623"/>
    <w:rsid w:val="00F020B4"/>
    <w:rsid w:val="00F04F02"/>
    <w:rsid w:val="00F16E5D"/>
    <w:rsid w:val="00F2152F"/>
    <w:rsid w:val="00F2353D"/>
    <w:rsid w:val="00F259F7"/>
    <w:rsid w:val="00F270CC"/>
    <w:rsid w:val="00F326F1"/>
    <w:rsid w:val="00F51E0F"/>
    <w:rsid w:val="00F530A0"/>
    <w:rsid w:val="00F53378"/>
    <w:rsid w:val="00F53F60"/>
    <w:rsid w:val="00F60AAE"/>
    <w:rsid w:val="00F64B99"/>
    <w:rsid w:val="00F72397"/>
    <w:rsid w:val="00F7360A"/>
    <w:rsid w:val="00F7481D"/>
    <w:rsid w:val="00F7484F"/>
    <w:rsid w:val="00F8174C"/>
    <w:rsid w:val="00F8290F"/>
    <w:rsid w:val="00F832CC"/>
    <w:rsid w:val="00F850C6"/>
    <w:rsid w:val="00F85C5D"/>
    <w:rsid w:val="00F87B8B"/>
    <w:rsid w:val="00F90E18"/>
    <w:rsid w:val="00F926ED"/>
    <w:rsid w:val="00F96A34"/>
    <w:rsid w:val="00F972E7"/>
    <w:rsid w:val="00FA36DD"/>
    <w:rsid w:val="00FA796B"/>
    <w:rsid w:val="00FB4CC6"/>
    <w:rsid w:val="00FB62E3"/>
    <w:rsid w:val="00FB7083"/>
    <w:rsid w:val="00FC13AA"/>
    <w:rsid w:val="00FC2897"/>
    <w:rsid w:val="00FD60FF"/>
    <w:rsid w:val="00FE0511"/>
    <w:rsid w:val="00FE1A4B"/>
    <w:rsid w:val="00FE56BB"/>
    <w:rsid w:val="00FE5F2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186654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0"/>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5623"/>
    <w:pPr>
      <w:spacing w:after="0" w:line="240" w:lineRule="auto"/>
    </w:pPr>
    <w:rPr>
      <w:rFonts w:eastAsia="Times New Roman" w:cs="Times New Roman"/>
      <w:szCs w:val="20"/>
      <w:lang w:eastAsia="en-AU"/>
    </w:rPr>
  </w:style>
  <w:style w:type="paragraph" w:styleId="Heading1">
    <w:name w:val="heading 1"/>
    <w:basedOn w:val="Normal"/>
    <w:link w:val="Heading1Char"/>
    <w:uiPriority w:val="99"/>
    <w:qFormat/>
    <w:rsid w:val="00AF64E7"/>
    <w:pPr>
      <w:keepNext/>
      <w:keepLines/>
      <w:outlineLvl w:val="0"/>
    </w:pPr>
    <w:rPr>
      <w:rFonts w:eastAsiaTheme="majorEastAsia" w:cstheme="majorBidi"/>
      <w:b/>
      <w:bCs/>
      <w:szCs w:val="28"/>
    </w:rPr>
  </w:style>
  <w:style w:type="paragraph" w:styleId="Heading2">
    <w:name w:val="heading 2"/>
    <w:basedOn w:val="Normal"/>
    <w:link w:val="Heading2Char"/>
    <w:uiPriority w:val="9"/>
    <w:unhideWhenUsed/>
    <w:qFormat/>
    <w:rsid w:val="00451310"/>
    <w:pPr>
      <w:keepNext/>
      <w:keepLines/>
      <w:outlineLvl w:val="1"/>
    </w:pPr>
    <w:rPr>
      <w:rFonts w:eastAsiaTheme="majorEastAsia" w:cstheme="majorBidi"/>
      <w:bCs/>
      <w:i/>
      <w:szCs w:val="26"/>
    </w:rPr>
  </w:style>
  <w:style w:type="paragraph" w:styleId="Heading3">
    <w:name w:val="heading 3"/>
    <w:basedOn w:val="Normal"/>
    <w:next w:val="Normal"/>
    <w:link w:val="Heading3Char"/>
    <w:uiPriority w:val="9"/>
    <w:semiHidden/>
    <w:unhideWhenUsed/>
    <w:qFormat/>
    <w:rsid w:val="00301462"/>
    <w:pPr>
      <w:keepNext/>
      <w:keepLines/>
      <w:spacing w:before="40"/>
      <w:outlineLvl w:val="2"/>
    </w:pPr>
    <w:rPr>
      <w:rFonts w:eastAsiaTheme="majorEastAsia" w:cstheme="majorBidi"/>
      <w:szCs w:val="24"/>
      <w:u w:val="single"/>
    </w:rPr>
  </w:style>
  <w:style w:type="paragraph" w:styleId="Heading4">
    <w:name w:val="heading 4"/>
    <w:basedOn w:val="Normal"/>
    <w:next w:val="Normal"/>
    <w:link w:val="Heading4Char"/>
    <w:uiPriority w:val="9"/>
    <w:semiHidden/>
    <w:unhideWhenUsed/>
    <w:qFormat/>
    <w:rsid w:val="007C2D6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065623"/>
    <w:rPr>
      <w:color w:val="0000FF"/>
      <w:u w:val="single"/>
    </w:rPr>
  </w:style>
  <w:style w:type="paragraph" w:styleId="FootnoteText">
    <w:name w:val="footnote text"/>
    <w:basedOn w:val="Normal"/>
    <w:link w:val="FootnoteTextChar"/>
    <w:uiPriority w:val="99"/>
    <w:semiHidden/>
    <w:rsid w:val="00065623"/>
    <w:rPr>
      <w:sz w:val="20"/>
    </w:rPr>
  </w:style>
  <w:style w:type="character" w:customStyle="1" w:styleId="FootnoteTextChar">
    <w:name w:val="Footnote Text Char"/>
    <w:basedOn w:val="DefaultParagraphFont"/>
    <w:link w:val="FootnoteText"/>
    <w:uiPriority w:val="99"/>
    <w:semiHidden/>
    <w:rsid w:val="00065623"/>
    <w:rPr>
      <w:rFonts w:eastAsia="Times New Roman" w:cs="Times New Roman"/>
      <w:sz w:val="20"/>
      <w:szCs w:val="20"/>
      <w:lang w:eastAsia="en-AU"/>
    </w:rPr>
  </w:style>
  <w:style w:type="character" w:styleId="FootnoteReference">
    <w:name w:val="footnote reference"/>
    <w:basedOn w:val="DefaultParagraphFont"/>
    <w:uiPriority w:val="99"/>
    <w:semiHidden/>
    <w:rsid w:val="00065623"/>
    <w:rPr>
      <w:vertAlign w:val="superscript"/>
    </w:rPr>
  </w:style>
  <w:style w:type="paragraph" w:styleId="ListParagraph">
    <w:name w:val="List Paragraph"/>
    <w:aliases w:val="Styl moj,Akapit z listą1,Akapit z listą11,Body Text Bullet Points,Numbered para,BulletPoints,List Paragraph1,Bullet point,List Paragraph11,Recommendation,Section heading,Footnote,ES Paragraph,PBAC ES Paragraph,PBAC normal points"/>
    <w:basedOn w:val="Normal"/>
    <w:link w:val="ListParagraphChar"/>
    <w:uiPriority w:val="34"/>
    <w:qFormat/>
    <w:rsid w:val="00065623"/>
    <w:pPr>
      <w:ind w:left="720"/>
      <w:contextualSpacing/>
    </w:pPr>
  </w:style>
  <w:style w:type="paragraph" w:styleId="BalloonText">
    <w:name w:val="Balloon Text"/>
    <w:basedOn w:val="Normal"/>
    <w:link w:val="BalloonTextChar"/>
    <w:uiPriority w:val="99"/>
    <w:semiHidden/>
    <w:unhideWhenUsed/>
    <w:rsid w:val="00065623"/>
    <w:rPr>
      <w:rFonts w:ascii="Tahoma" w:hAnsi="Tahoma" w:cs="Tahoma"/>
      <w:sz w:val="16"/>
      <w:szCs w:val="16"/>
    </w:rPr>
  </w:style>
  <w:style w:type="character" w:customStyle="1" w:styleId="BalloonTextChar">
    <w:name w:val="Balloon Text Char"/>
    <w:basedOn w:val="DefaultParagraphFont"/>
    <w:link w:val="BalloonText"/>
    <w:uiPriority w:val="99"/>
    <w:semiHidden/>
    <w:rsid w:val="00065623"/>
    <w:rPr>
      <w:rFonts w:ascii="Tahoma" w:eastAsia="Times New Roman" w:hAnsi="Tahoma" w:cs="Tahoma"/>
      <w:sz w:val="16"/>
      <w:szCs w:val="16"/>
      <w:lang w:eastAsia="en-AU"/>
    </w:rPr>
  </w:style>
  <w:style w:type="paragraph" w:styleId="Header">
    <w:name w:val="header"/>
    <w:basedOn w:val="Normal"/>
    <w:link w:val="HeaderChar"/>
    <w:uiPriority w:val="99"/>
    <w:unhideWhenUsed/>
    <w:rsid w:val="008227C1"/>
    <w:pPr>
      <w:tabs>
        <w:tab w:val="center" w:pos="4513"/>
        <w:tab w:val="right" w:pos="9026"/>
      </w:tabs>
    </w:pPr>
  </w:style>
  <w:style w:type="character" w:customStyle="1" w:styleId="HeaderChar">
    <w:name w:val="Header Char"/>
    <w:basedOn w:val="DefaultParagraphFont"/>
    <w:link w:val="Header"/>
    <w:uiPriority w:val="99"/>
    <w:rsid w:val="008227C1"/>
    <w:rPr>
      <w:rFonts w:eastAsia="Times New Roman" w:cs="Times New Roman"/>
      <w:szCs w:val="20"/>
      <w:lang w:eastAsia="en-AU"/>
    </w:rPr>
  </w:style>
  <w:style w:type="paragraph" w:styleId="Footer">
    <w:name w:val="footer"/>
    <w:basedOn w:val="Normal"/>
    <w:link w:val="FooterChar"/>
    <w:uiPriority w:val="99"/>
    <w:unhideWhenUsed/>
    <w:rsid w:val="008227C1"/>
    <w:pPr>
      <w:tabs>
        <w:tab w:val="center" w:pos="4513"/>
        <w:tab w:val="right" w:pos="9026"/>
      </w:tabs>
    </w:pPr>
  </w:style>
  <w:style w:type="character" w:customStyle="1" w:styleId="FooterChar">
    <w:name w:val="Footer Char"/>
    <w:basedOn w:val="DefaultParagraphFont"/>
    <w:link w:val="Footer"/>
    <w:uiPriority w:val="99"/>
    <w:rsid w:val="008227C1"/>
    <w:rPr>
      <w:rFonts w:eastAsia="Times New Roman" w:cs="Times New Roman"/>
      <w:szCs w:val="20"/>
      <w:lang w:eastAsia="en-AU"/>
    </w:rPr>
  </w:style>
  <w:style w:type="paragraph" w:customStyle="1" w:styleId="Table">
    <w:name w:val="Table"/>
    <w:basedOn w:val="Normal"/>
    <w:link w:val="TableChar"/>
    <w:qFormat/>
    <w:rsid w:val="00C20B8A"/>
    <w:rPr>
      <w:rFonts w:ascii="Candara" w:eastAsiaTheme="majorEastAsia" w:hAnsi="Candara" w:cstheme="majorBidi"/>
      <w:sz w:val="20"/>
      <w:szCs w:val="22"/>
      <w:lang w:eastAsia="en-US" w:bidi="en-US"/>
    </w:rPr>
  </w:style>
  <w:style w:type="character" w:customStyle="1" w:styleId="TableChar">
    <w:name w:val="Table Char"/>
    <w:basedOn w:val="DefaultParagraphFont"/>
    <w:link w:val="Table"/>
    <w:locked/>
    <w:rsid w:val="00C20B8A"/>
    <w:rPr>
      <w:rFonts w:ascii="Candara" w:eastAsiaTheme="majorEastAsia" w:hAnsi="Candara" w:cstheme="majorBidi"/>
      <w:sz w:val="20"/>
      <w:lang w:bidi="en-US"/>
    </w:rPr>
  </w:style>
  <w:style w:type="paragraph" w:customStyle="1" w:styleId="TableCentre">
    <w:name w:val="Table Centre"/>
    <w:basedOn w:val="Table"/>
    <w:uiPriority w:val="99"/>
    <w:qFormat/>
    <w:rsid w:val="00C20B8A"/>
    <w:pPr>
      <w:jc w:val="center"/>
    </w:pPr>
  </w:style>
  <w:style w:type="table" w:styleId="TableGrid">
    <w:name w:val="Table Grid"/>
    <w:basedOn w:val="TableNormal"/>
    <w:rsid w:val="00C20B8A"/>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qFormat/>
    <w:rsid w:val="00136969"/>
    <w:pPr>
      <w:spacing w:before="40" w:after="40"/>
    </w:pPr>
    <w:rPr>
      <w:rFonts w:ascii="Arial Narrow" w:hAnsi="Arial Narrow"/>
      <w:sz w:val="20"/>
      <w:szCs w:val="24"/>
      <w:lang w:eastAsia="en-US"/>
    </w:rPr>
  </w:style>
  <w:style w:type="paragraph" w:customStyle="1" w:styleId="Tabletextbold">
    <w:name w:val="Table text bold"/>
    <w:basedOn w:val="Normal"/>
    <w:link w:val="TabletextboldChar"/>
    <w:rsid w:val="00C20B8A"/>
    <w:pPr>
      <w:keepNext/>
      <w:jc w:val="center"/>
    </w:pPr>
    <w:rPr>
      <w:rFonts w:ascii="Arial Narrow" w:hAnsi="Arial Narrow" w:cs="Arial"/>
      <w:b/>
      <w:sz w:val="20"/>
      <w:lang w:eastAsia="en-US"/>
    </w:rPr>
  </w:style>
  <w:style w:type="character" w:customStyle="1" w:styleId="TabletextChar">
    <w:name w:val="Table text Char"/>
    <w:basedOn w:val="DefaultParagraphFont"/>
    <w:link w:val="Tabletext"/>
    <w:rsid w:val="00136969"/>
    <w:rPr>
      <w:rFonts w:ascii="Arial Narrow" w:eastAsia="Times New Roman" w:hAnsi="Arial Narrow" w:cs="Times New Roman"/>
      <w:sz w:val="20"/>
      <w:szCs w:val="24"/>
    </w:rPr>
  </w:style>
  <w:style w:type="character" w:customStyle="1" w:styleId="TabletextboldChar">
    <w:name w:val="Table text bold Char"/>
    <w:basedOn w:val="DefaultParagraphFont"/>
    <w:link w:val="Tabletextbold"/>
    <w:rsid w:val="00C20B8A"/>
    <w:rPr>
      <w:rFonts w:ascii="Arial Narrow" w:eastAsia="Times New Roman" w:hAnsi="Arial Narrow" w:cs="Arial"/>
      <w:b/>
      <w:sz w:val="20"/>
      <w:szCs w:val="20"/>
    </w:rPr>
  </w:style>
  <w:style w:type="paragraph" w:customStyle="1" w:styleId="ESHeading2">
    <w:name w:val="ES Heading 2"/>
    <w:basedOn w:val="Heading2"/>
    <w:link w:val="ESHeading2Char"/>
    <w:rsid w:val="00C20B8A"/>
    <w:pPr>
      <w:keepLines w:val="0"/>
      <w:ind w:left="576" w:hanging="576"/>
      <w:jc w:val="both"/>
    </w:pPr>
    <w:rPr>
      <w:rFonts w:ascii="Garamond" w:eastAsia="Times New Roman" w:hAnsi="Garamond" w:cs="Times New Roman"/>
      <w:iCs/>
      <w:szCs w:val="28"/>
    </w:rPr>
  </w:style>
  <w:style w:type="character" w:customStyle="1" w:styleId="ESHeading2Char">
    <w:name w:val="ES Heading 2 Char"/>
    <w:basedOn w:val="Heading2Char"/>
    <w:link w:val="ESHeading2"/>
    <w:rsid w:val="00C20B8A"/>
    <w:rPr>
      <w:rFonts w:ascii="Garamond" w:eastAsia="Times New Roman" w:hAnsi="Garamond" w:cs="Times New Roman"/>
      <w:b w:val="0"/>
      <w:bCs/>
      <w:i/>
      <w:iCs/>
      <w:color w:val="4F81BD" w:themeColor="accent1"/>
      <w:sz w:val="26"/>
      <w:szCs w:val="28"/>
      <w:lang w:eastAsia="en-AU"/>
    </w:rPr>
  </w:style>
  <w:style w:type="table" w:customStyle="1" w:styleId="Submissiontemplate2">
    <w:name w:val="Submission template2"/>
    <w:basedOn w:val="TableNormal"/>
    <w:uiPriority w:val="99"/>
    <w:rsid w:val="00C20B8A"/>
    <w:pPr>
      <w:spacing w:after="0" w:line="240" w:lineRule="auto"/>
    </w:pPr>
    <w:rPr>
      <w:rFonts w:ascii="Candara" w:eastAsiaTheme="majorEastAsia" w:hAnsi="Candara" w:cstheme="majorBidi"/>
      <w:sz w:val="20"/>
      <w:lang w:val="en-US"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tblPr/>
      <w:tcPr>
        <w:shd w:val="clear" w:color="auto" w:fill="BFBFBF" w:themeFill="background1" w:themeFillShade="BF"/>
      </w:tcPr>
    </w:tblStylePr>
    <w:tblStylePr w:type="lastRow">
      <w:tblPr/>
      <w:tcPr>
        <w:shd w:val="clear" w:color="auto" w:fill="FFFFFF" w:themeFill="background1"/>
      </w:tcPr>
    </w:tblStylePr>
    <w:tblStylePr w:type="band1Horz">
      <w:tblPr/>
      <w:tcPr>
        <w:shd w:val="clear" w:color="auto" w:fill="FFFFFF" w:themeFill="background1"/>
      </w:tcPr>
    </w:tblStylePr>
  </w:style>
  <w:style w:type="character" w:customStyle="1" w:styleId="Heading2Char">
    <w:name w:val="Heading 2 Char"/>
    <w:basedOn w:val="DefaultParagraphFont"/>
    <w:link w:val="Heading2"/>
    <w:uiPriority w:val="9"/>
    <w:rsid w:val="00451310"/>
    <w:rPr>
      <w:rFonts w:eastAsiaTheme="majorEastAsia" w:cstheme="majorBidi"/>
      <w:bCs/>
      <w:i/>
      <w:szCs w:val="26"/>
      <w:lang w:eastAsia="en-AU"/>
    </w:rPr>
  </w:style>
  <w:style w:type="character" w:styleId="Emphasis">
    <w:name w:val="Emphasis"/>
    <w:uiPriority w:val="20"/>
    <w:qFormat/>
    <w:rsid w:val="00C84EFB"/>
    <w:rPr>
      <w:rFonts w:ascii="Garamond" w:eastAsia="Times New Roman" w:hAnsi="Garamond" w:cs="Times New Roman"/>
      <w:i/>
      <w:sz w:val="24"/>
      <w:szCs w:val="24"/>
    </w:rPr>
  </w:style>
  <w:style w:type="paragraph" w:customStyle="1" w:styleId="Tabletextboldleft">
    <w:name w:val="Table text bold left"/>
    <w:basedOn w:val="Tabletextbold"/>
    <w:link w:val="TabletextboldleftChar"/>
    <w:qFormat/>
    <w:rsid w:val="00C84EFB"/>
    <w:pPr>
      <w:jc w:val="left"/>
    </w:pPr>
  </w:style>
  <w:style w:type="character" w:customStyle="1" w:styleId="TabletextboldleftChar">
    <w:name w:val="Table text bold left Char"/>
    <w:basedOn w:val="TabletextboldChar"/>
    <w:link w:val="Tabletextboldleft"/>
    <w:rsid w:val="00C84EFB"/>
    <w:rPr>
      <w:rFonts w:ascii="Arial Narrow" w:eastAsia="Times New Roman" w:hAnsi="Arial Narrow" w:cs="Arial"/>
      <w:b/>
      <w:sz w:val="20"/>
      <w:szCs w:val="20"/>
    </w:rPr>
  </w:style>
  <w:style w:type="table" w:customStyle="1" w:styleId="Submissiontemplate7">
    <w:name w:val="Submission template7"/>
    <w:basedOn w:val="TableNormal"/>
    <w:uiPriority w:val="99"/>
    <w:rsid w:val="00C84EFB"/>
    <w:pPr>
      <w:spacing w:after="0" w:line="240" w:lineRule="auto"/>
    </w:pPr>
    <w:rPr>
      <w:rFonts w:ascii="Candara" w:eastAsiaTheme="majorEastAsia" w:hAnsi="Candara" w:cstheme="majorBidi"/>
      <w:sz w:val="20"/>
      <w:lang w:val="en-US"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tblPr/>
      <w:tcPr>
        <w:shd w:val="clear" w:color="auto" w:fill="BFBFBF" w:themeFill="background1" w:themeFillShade="BF"/>
      </w:tcPr>
    </w:tblStylePr>
    <w:tblStylePr w:type="lastRow">
      <w:tblPr/>
      <w:tcPr>
        <w:shd w:val="clear" w:color="auto" w:fill="FFFFFF" w:themeFill="background1"/>
      </w:tcPr>
    </w:tblStylePr>
    <w:tblStylePr w:type="band1Horz">
      <w:tblPr/>
      <w:tcPr>
        <w:shd w:val="clear" w:color="auto" w:fill="FFFFFF" w:themeFill="background1"/>
      </w:tcPr>
    </w:tblStylePr>
  </w:style>
  <w:style w:type="paragraph" w:customStyle="1" w:styleId="Tablecaption">
    <w:name w:val="Table caption"/>
    <w:basedOn w:val="Normal"/>
    <w:link w:val="TablecaptionChar"/>
    <w:qFormat/>
    <w:rsid w:val="000E396B"/>
    <w:pPr>
      <w:keepNext/>
      <w:keepLines/>
      <w:jc w:val="both"/>
    </w:pPr>
    <w:rPr>
      <w:rFonts w:ascii="Arial Narrow" w:hAnsi="Arial Narrow" w:cs="Arial"/>
      <w:sz w:val="20"/>
      <w:lang w:eastAsia="en-US"/>
    </w:rPr>
  </w:style>
  <w:style w:type="character" w:customStyle="1" w:styleId="TablecaptionChar">
    <w:name w:val="Table caption Char"/>
    <w:basedOn w:val="DefaultParagraphFont"/>
    <w:link w:val="Tablecaption"/>
    <w:rsid w:val="000E396B"/>
    <w:rPr>
      <w:rFonts w:ascii="Arial Narrow" w:eastAsia="Times New Roman" w:hAnsi="Arial Narrow" w:cs="Arial"/>
      <w:sz w:val="20"/>
      <w:szCs w:val="20"/>
    </w:rPr>
  </w:style>
  <w:style w:type="paragraph" w:customStyle="1" w:styleId="Tabletextcentred">
    <w:name w:val="Table text centred"/>
    <w:basedOn w:val="Tabletext"/>
    <w:link w:val="TabletextcentredChar"/>
    <w:qFormat/>
    <w:rsid w:val="000E396B"/>
    <w:pPr>
      <w:jc w:val="center"/>
    </w:pPr>
  </w:style>
  <w:style w:type="character" w:customStyle="1" w:styleId="TabletextcentredChar">
    <w:name w:val="Table text centred Char"/>
    <w:basedOn w:val="TabletextChar"/>
    <w:link w:val="Tabletextcentred"/>
    <w:rsid w:val="000E396B"/>
    <w:rPr>
      <w:rFonts w:ascii="Arial Narrow" w:eastAsia="Times New Roman" w:hAnsi="Arial Narrow" w:cs="Times New Roman"/>
      <w:sz w:val="20"/>
      <w:szCs w:val="24"/>
    </w:rPr>
  </w:style>
  <w:style w:type="paragraph" w:styleId="Caption">
    <w:name w:val="caption"/>
    <w:aliases w:val="Bayer Caption,IB Caption,Medical Caption,CSR Caption,Table and Figure Name,Table and Figure name,Caption Char2 Char,Caption Char Char Char2,Caption Char1 Char Char Char1,Caption Char2 Char Char Char1 Char1,7. Table title"/>
    <w:basedOn w:val="Normal"/>
    <w:next w:val="Normal"/>
    <w:link w:val="CaptionChar"/>
    <w:uiPriority w:val="35"/>
    <w:unhideWhenUsed/>
    <w:qFormat/>
    <w:rsid w:val="00C67123"/>
    <w:pPr>
      <w:keepNext/>
      <w:spacing w:after="40"/>
      <w:jc w:val="both"/>
      <w:outlineLvl w:val="4"/>
    </w:pPr>
    <w:rPr>
      <w:rFonts w:ascii="Arial Narrow" w:hAnsi="Arial Narrow" w:cs="Arial"/>
      <w:b/>
      <w:bCs/>
      <w:iCs/>
      <w:sz w:val="20"/>
      <w:lang w:eastAsia="en-US"/>
    </w:rPr>
  </w:style>
  <w:style w:type="character" w:customStyle="1" w:styleId="TableBold">
    <w:name w:val="Table Bold"/>
    <w:uiPriority w:val="4"/>
    <w:qFormat/>
    <w:rsid w:val="005856E5"/>
    <w:rPr>
      <w:rFonts w:ascii="Calibri" w:hAnsi="Calibri" w:hint="default"/>
      <w:b/>
      <w:bCs w:val="0"/>
      <w:sz w:val="20"/>
      <w:lang w:val="en-AU"/>
    </w:rPr>
  </w:style>
  <w:style w:type="table" w:customStyle="1" w:styleId="TableGrid12">
    <w:name w:val="Table Grid12"/>
    <w:basedOn w:val="TableNormal"/>
    <w:next w:val="TableGrid"/>
    <w:uiPriority w:val="59"/>
    <w:rsid w:val="005856E5"/>
    <w:pPr>
      <w:spacing w:after="0" w:line="240" w:lineRule="auto"/>
    </w:pPr>
    <w:rPr>
      <w:rFonts w:ascii="Candara" w:eastAsia="Times New Roman" w:hAnsi="Candara" w:cstheme="majorBidi"/>
      <w:sz w:val="20"/>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blHeader/>
    </w:trPr>
  </w:style>
  <w:style w:type="paragraph" w:customStyle="1" w:styleId="Style2">
    <w:name w:val="Style2"/>
    <w:basedOn w:val="Normal"/>
    <w:link w:val="Style2Char"/>
    <w:qFormat/>
    <w:rsid w:val="00303414"/>
    <w:pPr>
      <w:tabs>
        <w:tab w:val="num" w:pos="360"/>
        <w:tab w:val="left" w:pos="720"/>
        <w:tab w:val="left" w:pos="1140"/>
      </w:tabs>
      <w:spacing w:before="120"/>
      <w:ind w:left="360" w:hanging="360"/>
    </w:pPr>
    <w:rPr>
      <w:rFonts w:ascii="Arial" w:hAnsi="Arial" w:cs="Arial"/>
      <w:color w:val="3366FF"/>
      <w:szCs w:val="24"/>
    </w:rPr>
  </w:style>
  <w:style w:type="character" w:customStyle="1" w:styleId="Style2Char">
    <w:name w:val="Style2 Char"/>
    <w:basedOn w:val="DefaultParagraphFont"/>
    <w:link w:val="Style2"/>
    <w:rsid w:val="00303414"/>
    <w:rPr>
      <w:rFonts w:ascii="Arial" w:eastAsia="Times New Roman" w:hAnsi="Arial" w:cs="Arial"/>
      <w:color w:val="3366FF"/>
      <w:szCs w:val="24"/>
      <w:lang w:eastAsia="en-AU"/>
    </w:rPr>
  </w:style>
  <w:style w:type="paragraph" w:styleId="NoSpacing">
    <w:name w:val="No Spacing"/>
    <w:uiPriority w:val="1"/>
    <w:qFormat/>
    <w:rsid w:val="00303414"/>
    <w:pPr>
      <w:spacing w:after="0" w:line="240" w:lineRule="auto"/>
    </w:pPr>
    <w:rPr>
      <w:rFonts w:asciiTheme="minorHAnsi" w:hAnsiTheme="minorHAnsi"/>
      <w:sz w:val="22"/>
    </w:rPr>
  </w:style>
  <w:style w:type="paragraph" w:customStyle="1" w:styleId="NormalBulletList">
    <w:name w:val="Normal Bullet List"/>
    <w:basedOn w:val="Normal"/>
    <w:uiPriority w:val="3"/>
    <w:qFormat/>
    <w:rsid w:val="00950C0C"/>
    <w:pPr>
      <w:numPr>
        <w:numId w:val="7"/>
      </w:numPr>
      <w:spacing w:after="240" w:line="276" w:lineRule="auto"/>
      <w:contextualSpacing/>
      <w:jc w:val="both"/>
    </w:pPr>
    <w:rPr>
      <w:rFonts w:ascii="Candara" w:eastAsiaTheme="majorEastAsia" w:hAnsi="Candara" w:cstheme="majorBidi"/>
      <w:szCs w:val="22"/>
      <w:lang w:eastAsia="en-US" w:bidi="en-US"/>
    </w:rPr>
  </w:style>
  <w:style w:type="paragraph" w:styleId="EndnoteText">
    <w:name w:val="endnote text"/>
    <w:basedOn w:val="Normal"/>
    <w:link w:val="EndnoteTextChar"/>
    <w:rsid w:val="00CD7AAF"/>
    <w:pPr>
      <w:widowControl w:val="0"/>
    </w:pPr>
    <w:rPr>
      <w:snapToGrid w:val="0"/>
      <w:sz w:val="20"/>
      <w:lang w:val="en-US" w:eastAsia="en-US"/>
    </w:rPr>
  </w:style>
  <w:style w:type="character" w:customStyle="1" w:styleId="EndnoteTextChar">
    <w:name w:val="Endnote Text Char"/>
    <w:basedOn w:val="DefaultParagraphFont"/>
    <w:link w:val="EndnoteText"/>
    <w:rsid w:val="00CD7AAF"/>
    <w:rPr>
      <w:rFonts w:eastAsia="Times New Roman" w:cs="Times New Roman"/>
      <w:snapToGrid w:val="0"/>
      <w:sz w:val="20"/>
      <w:szCs w:val="20"/>
      <w:lang w:val="en-US"/>
    </w:rPr>
  </w:style>
  <w:style w:type="character" w:styleId="EndnoteReference">
    <w:name w:val="endnote reference"/>
    <w:basedOn w:val="DefaultParagraphFont"/>
    <w:rsid w:val="00CD7AAF"/>
    <w:rPr>
      <w:vertAlign w:val="superscript"/>
    </w:rPr>
  </w:style>
  <w:style w:type="character" w:customStyle="1" w:styleId="CaptionChar">
    <w:name w:val="Caption Char"/>
    <w:aliases w:val="Bayer Caption Char,IB Caption Char,Medical Caption Char,CSR Caption Char,Table and Figure Name Char,Table and Figure name Char,Caption Char2 Char Char,Caption Char Char Char2 Char,Caption Char1 Char Char Char1 Char,7. Table title Char"/>
    <w:basedOn w:val="DefaultParagraphFont"/>
    <w:link w:val="Caption"/>
    <w:uiPriority w:val="35"/>
    <w:rsid w:val="00C67123"/>
    <w:rPr>
      <w:rFonts w:ascii="Arial Narrow" w:eastAsia="Times New Roman" w:hAnsi="Arial Narrow" w:cs="Arial"/>
      <w:b/>
      <w:bCs/>
      <w:iCs/>
      <w:sz w:val="20"/>
      <w:szCs w:val="20"/>
    </w:rPr>
  </w:style>
  <w:style w:type="character" w:customStyle="1" w:styleId="SmallBold">
    <w:name w:val="Small Bold"/>
    <w:basedOn w:val="DefaultParagraphFont"/>
    <w:uiPriority w:val="4"/>
    <w:qFormat/>
    <w:rsid w:val="00FB7083"/>
    <w:rPr>
      <w:rFonts w:ascii="Candara" w:hAnsi="Candara"/>
      <w:b/>
      <w:sz w:val="20"/>
      <w:lang w:val="en-AU"/>
    </w:rPr>
  </w:style>
  <w:style w:type="table" w:customStyle="1" w:styleId="Submissiontemplate">
    <w:name w:val="Submission template"/>
    <w:basedOn w:val="TableNormal"/>
    <w:uiPriority w:val="99"/>
    <w:rsid w:val="00FB7083"/>
    <w:pPr>
      <w:spacing w:after="0" w:line="240" w:lineRule="auto"/>
    </w:pPr>
    <w:rPr>
      <w:rFonts w:ascii="Candara" w:eastAsiaTheme="majorEastAsia" w:hAnsi="Candara" w:cstheme="majorBidi"/>
      <w:sz w:val="20"/>
      <w:lang w:val="en-US"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tblPr/>
      <w:tcPr>
        <w:shd w:val="clear" w:color="auto" w:fill="BFBFBF" w:themeFill="background1" w:themeFillShade="BF"/>
      </w:tcPr>
    </w:tblStylePr>
    <w:tblStylePr w:type="lastRow">
      <w:tblPr/>
      <w:tcPr>
        <w:shd w:val="clear" w:color="auto" w:fill="FFFFFF" w:themeFill="background1"/>
      </w:tcPr>
    </w:tblStylePr>
    <w:tblStylePr w:type="band1Horz">
      <w:tblPr/>
      <w:tcPr>
        <w:shd w:val="clear" w:color="auto" w:fill="FFFFFF" w:themeFill="background1"/>
      </w:tcPr>
    </w:tblStylePr>
  </w:style>
  <w:style w:type="character" w:styleId="CommentReference">
    <w:name w:val="annotation reference"/>
    <w:basedOn w:val="DefaultParagraphFont"/>
    <w:uiPriority w:val="99"/>
    <w:semiHidden/>
    <w:unhideWhenUsed/>
    <w:rsid w:val="00C90EB4"/>
    <w:rPr>
      <w:sz w:val="16"/>
      <w:szCs w:val="16"/>
    </w:rPr>
  </w:style>
  <w:style w:type="paragraph" w:styleId="CommentText">
    <w:name w:val="annotation text"/>
    <w:basedOn w:val="Normal"/>
    <w:link w:val="CommentTextChar"/>
    <w:uiPriority w:val="99"/>
    <w:unhideWhenUsed/>
    <w:rsid w:val="00C90EB4"/>
    <w:rPr>
      <w:sz w:val="20"/>
    </w:rPr>
  </w:style>
  <w:style w:type="character" w:customStyle="1" w:styleId="CommentTextChar">
    <w:name w:val="Comment Text Char"/>
    <w:basedOn w:val="DefaultParagraphFont"/>
    <w:link w:val="CommentText"/>
    <w:uiPriority w:val="99"/>
    <w:rsid w:val="00C90EB4"/>
    <w:rPr>
      <w:rFonts w:eastAsia="Times New Roman" w:cs="Times New Roman"/>
      <w:sz w:val="20"/>
      <w:szCs w:val="20"/>
      <w:lang w:eastAsia="en-AU"/>
    </w:rPr>
  </w:style>
  <w:style w:type="paragraph" w:styleId="CommentSubject">
    <w:name w:val="annotation subject"/>
    <w:basedOn w:val="CommentText"/>
    <w:next w:val="CommentText"/>
    <w:link w:val="CommentSubjectChar"/>
    <w:uiPriority w:val="99"/>
    <w:semiHidden/>
    <w:unhideWhenUsed/>
    <w:rsid w:val="00C90EB4"/>
    <w:rPr>
      <w:b/>
      <w:bCs/>
    </w:rPr>
  </w:style>
  <w:style w:type="character" w:customStyle="1" w:styleId="CommentSubjectChar">
    <w:name w:val="Comment Subject Char"/>
    <w:basedOn w:val="CommentTextChar"/>
    <w:link w:val="CommentSubject"/>
    <w:uiPriority w:val="99"/>
    <w:semiHidden/>
    <w:rsid w:val="00C90EB4"/>
    <w:rPr>
      <w:rFonts w:eastAsia="Times New Roman" w:cs="Times New Roman"/>
      <w:b/>
      <w:bCs/>
      <w:sz w:val="20"/>
      <w:szCs w:val="20"/>
      <w:lang w:eastAsia="en-AU"/>
    </w:rPr>
  </w:style>
  <w:style w:type="paragraph" w:customStyle="1" w:styleId="TableHeading">
    <w:name w:val="TableHeading"/>
    <w:basedOn w:val="Normal"/>
    <w:link w:val="TableHeadingChar"/>
    <w:qFormat/>
    <w:rsid w:val="00054151"/>
    <w:pPr>
      <w:keepNext/>
      <w:spacing w:before="40" w:after="40"/>
      <w:ind w:left="1134" w:hanging="1134"/>
      <w:jc w:val="both"/>
    </w:pPr>
    <w:rPr>
      <w:rFonts w:ascii="Arial Narrow" w:hAnsi="Arial Narrow" w:cs="Tahoma"/>
      <w:b/>
      <w:noProof/>
      <w:sz w:val="20"/>
    </w:rPr>
  </w:style>
  <w:style w:type="character" w:customStyle="1" w:styleId="TableHeadingChar">
    <w:name w:val="TableHeading Char"/>
    <w:link w:val="TableHeading"/>
    <w:rsid w:val="00054151"/>
    <w:rPr>
      <w:rFonts w:ascii="Arial Narrow" w:eastAsia="Times New Roman" w:hAnsi="Arial Narrow" w:cs="Tahoma"/>
      <w:b/>
      <w:noProof/>
      <w:sz w:val="20"/>
      <w:szCs w:val="20"/>
      <w:lang w:eastAsia="en-AU"/>
    </w:rPr>
  </w:style>
  <w:style w:type="paragraph" w:customStyle="1" w:styleId="Tablenotes">
    <w:name w:val="Tablenotes"/>
    <w:basedOn w:val="Normal"/>
    <w:link w:val="TablenotesChar"/>
    <w:autoRedefine/>
    <w:qFormat/>
    <w:rsid w:val="00C730C8"/>
    <w:pPr>
      <w:widowControl w:val="0"/>
      <w:spacing w:before="60" w:after="240"/>
      <w:contextualSpacing/>
    </w:pPr>
    <w:rPr>
      <w:rFonts w:ascii="Arial Narrow" w:hAnsi="Arial Narrow" w:cs="Arial"/>
      <w:snapToGrid w:val="0"/>
      <w:sz w:val="18"/>
      <w:lang w:eastAsia="en-US"/>
    </w:rPr>
  </w:style>
  <w:style w:type="character" w:customStyle="1" w:styleId="TablenotesChar">
    <w:name w:val="Tablenotes Char"/>
    <w:basedOn w:val="DefaultParagraphFont"/>
    <w:link w:val="Tablenotes"/>
    <w:rsid w:val="00C730C8"/>
    <w:rPr>
      <w:rFonts w:ascii="Arial Narrow" w:eastAsia="Times New Roman" w:hAnsi="Arial Narrow" w:cs="Arial"/>
      <w:snapToGrid w:val="0"/>
      <w:sz w:val="18"/>
      <w:szCs w:val="20"/>
    </w:rPr>
  </w:style>
  <w:style w:type="character" w:customStyle="1" w:styleId="Heading4Char">
    <w:name w:val="Heading 4 Char"/>
    <w:basedOn w:val="DefaultParagraphFont"/>
    <w:link w:val="Heading4"/>
    <w:uiPriority w:val="9"/>
    <w:semiHidden/>
    <w:rsid w:val="007C2D6A"/>
    <w:rPr>
      <w:rFonts w:asciiTheme="majorHAnsi" w:eastAsiaTheme="majorEastAsia" w:hAnsiTheme="majorHAnsi" w:cstheme="majorBidi"/>
      <w:b/>
      <w:bCs/>
      <w:i/>
      <w:iCs/>
      <w:color w:val="4F81BD" w:themeColor="accent1"/>
      <w:szCs w:val="20"/>
      <w:lang w:eastAsia="en-AU"/>
    </w:rPr>
  </w:style>
  <w:style w:type="table" w:customStyle="1" w:styleId="TableGrid2">
    <w:name w:val="Table Grid2"/>
    <w:basedOn w:val="TableNormal"/>
    <w:next w:val="TableGrid"/>
    <w:rsid w:val="000E6588"/>
    <w:pPr>
      <w:spacing w:before="40" w:after="40" w:line="240" w:lineRule="auto"/>
    </w:pPr>
    <w:rPr>
      <w:rFonts w:ascii="Arial Narrow" w:eastAsia="Times New Roman" w:hAnsi="Arial Narrow"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Humanist 77 7 BT" w:hAnsi="Humanist 77 7 BT"/>
        <w:b w:val="0"/>
        <w:sz w:val="20"/>
      </w:rPr>
    </w:tblStylePr>
  </w:style>
  <w:style w:type="character" w:customStyle="1" w:styleId="Heading1Char">
    <w:name w:val="Heading 1 Char"/>
    <w:basedOn w:val="DefaultParagraphFont"/>
    <w:link w:val="Heading1"/>
    <w:uiPriority w:val="99"/>
    <w:rsid w:val="00AF64E7"/>
    <w:rPr>
      <w:rFonts w:eastAsiaTheme="majorEastAsia" w:cstheme="majorBidi"/>
      <w:b/>
      <w:bCs/>
      <w:szCs w:val="28"/>
      <w:lang w:eastAsia="en-AU"/>
    </w:rPr>
  </w:style>
  <w:style w:type="character" w:customStyle="1" w:styleId="Heading3Char">
    <w:name w:val="Heading 3 Char"/>
    <w:basedOn w:val="DefaultParagraphFont"/>
    <w:link w:val="Heading3"/>
    <w:uiPriority w:val="9"/>
    <w:semiHidden/>
    <w:rsid w:val="00301462"/>
    <w:rPr>
      <w:rFonts w:eastAsiaTheme="majorEastAsia" w:cstheme="majorBidi"/>
      <w:szCs w:val="24"/>
      <w:u w:val="single"/>
      <w:lang w:eastAsia="en-AU"/>
    </w:rPr>
  </w:style>
  <w:style w:type="character" w:customStyle="1" w:styleId="ListParagraphChar">
    <w:name w:val="List Paragraph Char"/>
    <w:aliases w:val="Styl moj Char,Akapit z listą1 Char,Akapit z listą11 Char,Body Text Bullet Points Char,Numbered para Char,BulletPoints Char,List Paragraph1 Char,Bullet point Char,List Paragraph11 Char,Recommendation Char,Section heading Char"/>
    <w:link w:val="ListParagraph"/>
    <w:uiPriority w:val="34"/>
    <w:qFormat/>
    <w:rsid w:val="00F51E0F"/>
    <w:rPr>
      <w:rFonts w:eastAsia="Times New Roman" w:cs="Times New Roman"/>
      <w:szCs w:val="20"/>
      <w:lang w:eastAsia="en-AU"/>
    </w:rPr>
  </w:style>
  <w:style w:type="paragraph" w:customStyle="1" w:styleId="Tablenotes1">
    <w:name w:val="Tablenotes 1"/>
    <w:basedOn w:val="Normal"/>
    <w:link w:val="Tablenotes1Char"/>
    <w:qFormat/>
    <w:rsid w:val="00206760"/>
    <w:pPr>
      <w:widowControl w:val="0"/>
      <w:spacing w:after="240"/>
      <w:contextualSpacing/>
    </w:pPr>
    <w:rPr>
      <w:rFonts w:ascii="Arial Narrow" w:hAnsi="Arial Narrow" w:cs="Arial"/>
      <w:snapToGrid w:val="0"/>
      <w:sz w:val="18"/>
      <w:lang w:eastAsia="en-US"/>
    </w:rPr>
  </w:style>
  <w:style w:type="character" w:customStyle="1" w:styleId="Tablenotes1Char">
    <w:name w:val="Tablenotes 1 Char"/>
    <w:basedOn w:val="DefaultParagraphFont"/>
    <w:link w:val="Tablenotes1"/>
    <w:rsid w:val="00206760"/>
    <w:rPr>
      <w:rFonts w:ascii="Arial Narrow" w:eastAsia="Times New Roman" w:hAnsi="Arial Narrow" w:cs="Arial"/>
      <w:snapToGrid w:val="0"/>
      <w:sz w:val="18"/>
      <w:szCs w:val="20"/>
    </w:rPr>
  </w:style>
  <w:style w:type="numbering" w:customStyle="1" w:styleId="Heading1a">
    <w:name w:val="Heading 1a"/>
    <w:basedOn w:val="NoList"/>
    <w:uiPriority w:val="99"/>
    <w:rsid w:val="00B0472C"/>
    <w:pPr>
      <w:numPr>
        <w:numId w:val="11"/>
      </w:numPr>
    </w:pPr>
  </w:style>
  <w:style w:type="paragraph" w:customStyle="1" w:styleId="Tabletext-left">
    <w:name w:val="Table text - left"/>
    <w:basedOn w:val="Normal"/>
    <w:link w:val="Tabletext-leftChar"/>
    <w:rsid w:val="00CB1778"/>
    <w:pPr>
      <w:keepNext/>
      <w:tabs>
        <w:tab w:val="left" w:pos="2835"/>
      </w:tabs>
      <w:spacing w:before="120" w:after="120" w:line="312" w:lineRule="auto"/>
      <w:jc w:val="both"/>
    </w:pPr>
    <w:rPr>
      <w:rFonts w:asciiTheme="minorHAnsi" w:hAnsiTheme="minorHAnsi" w:cs="Arial"/>
      <w:sz w:val="20"/>
      <w:lang w:eastAsia="en-US"/>
    </w:rPr>
  </w:style>
  <w:style w:type="character" w:customStyle="1" w:styleId="Tabletext-leftChar">
    <w:name w:val="Table text - left Char"/>
    <w:basedOn w:val="DefaultParagraphFont"/>
    <w:link w:val="Tabletext-left"/>
    <w:rsid w:val="00CB1778"/>
    <w:rPr>
      <w:rFonts w:asciiTheme="minorHAnsi" w:eastAsia="Times New Roman" w:hAnsiTheme="minorHAnsi" w:cs="Arial"/>
      <w:sz w:val="20"/>
      <w:szCs w:val="20"/>
    </w:rPr>
  </w:style>
  <w:style w:type="table" w:customStyle="1" w:styleId="TableGrid9">
    <w:name w:val="Table Grid9"/>
    <w:basedOn w:val="TableNormal"/>
    <w:next w:val="TableGrid"/>
    <w:uiPriority w:val="39"/>
    <w:rsid w:val="00136969"/>
    <w:pPr>
      <w:spacing w:after="0"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12129B"/>
    <w:pPr>
      <w:spacing w:after="0" w:line="240" w:lineRule="auto"/>
    </w:pPr>
    <w:rPr>
      <w:rFonts w:eastAsia="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0">
    <w:name w:val="Table Text"/>
    <w:basedOn w:val="Normal"/>
    <w:link w:val="TableTextChar0"/>
    <w:qFormat/>
    <w:rsid w:val="00CC1836"/>
    <w:pPr>
      <w:keepNext/>
      <w:spacing w:before="40" w:after="40"/>
    </w:pPr>
    <w:rPr>
      <w:rFonts w:ascii="Arial Narrow" w:hAnsi="Arial Narrow" w:cs="Tahoma"/>
      <w:sz w:val="20"/>
      <w:szCs w:val="22"/>
      <w:lang w:eastAsia="en-US"/>
    </w:rPr>
  </w:style>
  <w:style w:type="character" w:customStyle="1" w:styleId="TableTextChar0">
    <w:name w:val="Table Text Char"/>
    <w:link w:val="TableText0"/>
    <w:rsid w:val="00CC1836"/>
    <w:rPr>
      <w:rFonts w:ascii="Arial Narrow" w:eastAsia="Times New Roman" w:hAnsi="Arial Narrow" w:cs="Tahoma"/>
      <w:sz w:val="20"/>
    </w:rPr>
  </w:style>
  <w:style w:type="character" w:styleId="Strong">
    <w:name w:val="Strong"/>
    <w:uiPriority w:val="22"/>
    <w:qFormat/>
    <w:rsid w:val="00BF236E"/>
    <w:rPr>
      <w:b/>
      <w:bCs/>
    </w:rPr>
  </w:style>
  <w:style w:type="table" w:styleId="GridTable1Light">
    <w:name w:val="Grid Table 1 Light"/>
    <w:basedOn w:val="TableNormal"/>
    <w:rsid w:val="00BF236E"/>
    <w:pPr>
      <w:spacing w:after="0" w:line="240" w:lineRule="auto"/>
    </w:pPr>
    <w:rPr>
      <w:rFonts w:eastAsia="Times New Roman" w:cs="Times New Roman"/>
      <w:sz w:val="20"/>
      <w:szCs w:val="20"/>
      <w:lang w:eastAsia="en-AU"/>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tyle1">
    <w:name w:val="Style1"/>
    <w:basedOn w:val="Normal"/>
    <w:qFormat/>
    <w:rsid w:val="00D14478"/>
    <w:rPr>
      <w:rFonts w:ascii="Arial Narrow" w:eastAsiaTheme="minorHAnsi" w:hAnsi="Arial Narrow" w:cs="Calibri"/>
      <w:color w:val="000000"/>
      <w:sz w:val="20"/>
      <w:lang w:eastAsia="en-US"/>
    </w:rPr>
  </w:style>
  <w:style w:type="paragraph" w:customStyle="1" w:styleId="TableText1">
    <w:name w:val="TableText"/>
    <w:basedOn w:val="Normal"/>
    <w:rsid w:val="00C21E96"/>
    <w:pPr>
      <w:keepNext/>
      <w:spacing w:before="60" w:after="60"/>
    </w:pPr>
    <w:rPr>
      <w:color w:val="000000"/>
      <w:sz w:val="21"/>
      <w:szCs w:val="21"/>
    </w:rPr>
  </w:style>
  <w:style w:type="paragraph" w:customStyle="1" w:styleId="BulletBeforeDash">
    <w:name w:val="BulletBeforeDash"/>
    <w:basedOn w:val="Normal"/>
    <w:rsid w:val="00C21E96"/>
    <w:pPr>
      <w:numPr>
        <w:numId w:val="26"/>
      </w:numPr>
      <w:ind w:left="720"/>
    </w:pPr>
    <w:rPr>
      <w:color w:val="000000"/>
    </w:rPr>
  </w:style>
  <w:style w:type="paragraph" w:customStyle="1" w:styleId="Bullet">
    <w:name w:val="Bullet"/>
    <w:basedOn w:val="BulletBeforeDash"/>
    <w:qFormat/>
    <w:rsid w:val="00C21E96"/>
    <w:pPr>
      <w:spacing w:after="120"/>
    </w:pPr>
  </w:style>
  <w:style w:type="paragraph" w:customStyle="1" w:styleId="BulletLast">
    <w:name w:val="BulletLast"/>
    <w:basedOn w:val="Bullet"/>
    <w:qFormat/>
    <w:rsid w:val="00C21E96"/>
    <w:pPr>
      <w:spacing w:after="240"/>
    </w:pPr>
  </w:style>
  <w:style w:type="paragraph" w:customStyle="1" w:styleId="NormalBeforeBullet">
    <w:name w:val="NormalBeforeBullet"/>
    <w:basedOn w:val="Normal"/>
    <w:qFormat/>
    <w:rsid w:val="00C21E96"/>
    <w:pPr>
      <w:keepNext/>
      <w:spacing w:after="120"/>
    </w:pPr>
    <w:rPr>
      <w:color w:val="000000"/>
    </w:rPr>
  </w:style>
  <w:style w:type="character" w:customStyle="1" w:styleId="UnresolvedMention1">
    <w:name w:val="Unresolved Mention1"/>
    <w:basedOn w:val="DefaultParagraphFont"/>
    <w:uiPriority w:val="99"/>
    <w:semiHidden/>
    <w:unhideWhenUsed/>
    <w:rsid w:val="001B6916"/>
    <w:rPr>
      <w:color w:val="605E5C"/>
      <w:shd w:val="clear" w:color="auto" w:fill="E1DFDD"/>
    </w:rPr>
  </w:style>
  <w:style w:type="paragraph" w:styleId="Title">
    <w:name w:val="Title"/>
    <w:basedOn w:val="Normal"/>
    <w:next w:val="Normal"/>
    <w:link w:val="TitleChar"/>
    <w:qFormat/>
    <w:rsid w:val="00C730C8"/>
    <w:pPr>
      <w:spacing w:before="480" w:after="240"/>
      <w:jc w:val="center"/>
    </w:pPr>
    <w:rPr>
      <w:rFonts w:ascii="Arial" w:hAnsi="Arial" w:cs="Arial"/>
      <w:b/>
      <w:bCs/>
      <w:color w:val="000080"/>
      <w:sz w:val="36"/>
      <w:szCs w:val="36"/>
    </w:rPr>
  </w:style>
  <w:style w:type="character" w:customStyle="1" w:styleId="TitleChar">
    <w:name w:val="Title Char"/>
    <w:basedOn w:val="DefaultParagraphFont"/>
    <w:link w:val="Title"/>
    <w:rsid w:val="00C730C8"/>
    <w:rPr>
      <w:rFonts w:ascii="Arial" w:eastAsia="Times New Roman" w:hAnsi="Arial" w:cs="Arial"/>
      <w:b/>
      <w:bCs/>
      <w:color w:val="000080"/>
      <w:sz w:val="36"/>
      <w:szCs w:val="36"/>
      <w:lang w:eastAsia="en-AU"/>
    </w:rPr>
  </w:style>
  <w:style w:type="paragraph" w:styleId="Subtitle">
    <w:name w:val="Subtitle"/>
    <w:basedOn w:val="Normal"/>
    <w:next w:val="Normal"/>
    <w:link w:val="SubtitleChar"/>
    <w:qFormat/>
    <w:rsid w:val="00C730C8"/>
    <w:pPr>
      <w:spacing w:after="240"/>
      <w:jc w:val="center"/>
    </w:pPr>
    <w:rPr>
      <w:rFonts w:ascii="Arial" w:hAnsi="Arial" w:cs="Arial"/>
      <w:b/>
      <w:bCs/>
      <w:i/>
      <w:color w:val="000080"/>
      <w:sz w:val="28"/>
      <w:szCs w:val="28"/>
    </w:rPr>
  </w:style>
  <w:style w:type="character" w:customStyle="1" w:styleId="SubtitleChar">
    <w:name w:val="Subtitle Char"/>
    <w:basedOn w:val="DefaultParagraphFont"/>
    <w:link w:val="Subtitle"/>
    <w:rsid w:val="00C730C8"/>
    <w:rPr>
      <w:rFonts w:ascii="Arial" w:eastAsia="Times New Roman" w:hAnsi="Arial" w:cs="Arial"/>
      <w:b/>
      <w:bCs/>
      <w:i/>
      <w:color w:val="000080"/>
      <w:sz w:val="28"/>
      <w:szCs w:val="28"/>
      <w:lang w:eastAsia="en-AU"/>
    </w:rPr>
  </w:style>
  <w:style w:type="paragraph" w:customStyle="1" w:styleId="Default">
    <w:name w:val="Default"/>
    <w:rsid w:val="00C730C8"/>
    <w:pPr>
      <w:autoSpaceDE w:val="0"/>
      <w:autoSpaceDN w:val="0"/>
      <w:adjustRightInd w:val="0"/>
      <w:spacing w:after="0" w:line="240" w:lineRule="auto"/>
    </w:pPr>
    <w:rPr>
      <w:rFonts w:eastAsia="Calibri" w:cs="Times New Roman"/>
      <w:color w:val="000000"/>
      <w:szCs w:val="24"/>
    </w:rPr>
  </w:style>
  <w:style w:type="paragraph" w:customStyle="1" w:styleId="BoxText">
    <w:name w:val="BoxText"/>
    <w:basedOn w:val="Normal"/>
    <w:qFormat/>
    <w:rsid w:val="00BB2091"/>
    <w:pPr>
      <w:pBdr>
        <w:top w:val="single" w:sz="4" w:space="4" w:color="000000"/>
        <w:left w:val="single" w:sz="4" w:space="4" w:color="000000"/>
        <w:bottom w:val="single" w:sz="4" w:space="4" w:color="000000"/>
        <w:right w:val="single" w:sz="4" w:space="4" w:color="000000"/>
      </w:pBdr>
      <w:spacing w:after="120"/>
    </w:pPr>
    <w:rPr>
      <w:color w:val="000000"/>
    </w:rPr>
  </w:style>
  <w:style w:type="paragraph" w:customStyle="1" w:styleId="BoxName">
    <w:name w:val="BoxName"/>
    <w:basedOn w:val="BoxText"/>
    <w:rsid w:val="00BB2091"/>
    <w:pPr>
      <w:keepNext/>
      <w:spacing w:before="180"/>
      <w:ind w:left="1080" w:hanging="1080"/>
    </w:pPr>
    <w:rPr>
      <w:b/>
      <w:bCs/>
    </w:rPr>
  </w:style>
  <w:style w:type="paragraph" w:customStyle="1" w:styleId="BoxHeading">
    <w:name w:val="BoxHeading"/>
    <w:basedOn w:val="BoxText"/>
    <w:rsid w:val="00BB2091"/>
    <w:pPr>
      <w:keepNext/>
      <w:spacing w:before="120" w:after="60"/>
    </w:pPr>
    <w:rPr>
      <w:b/>
      <w:bCs/>
    </w:rPr>
  </w:style>
  <w:style w:type="character" w:customStyle="1" w:styleId="UnresolvedMention2">
    <w:name w:val="Unresolved Mention2"/>
    <w:basedOn w:val="DefaultParagraphFont"/>
    <w:uiPriority w:val="99"/>
    <w:semiHidden/>
    <w:unhideWhenUsed/>
    <w:rsid w:val="005A0E14"/>
    <w:rPr>
      <w:color w:val="605E5C"/>
      <w:shd w:val="clear" w:color="auto" w:fill="E1DFDD"/>
    </w:rPr>
  </w:style>
  <w:style w:type="paragraph" w:customStyle="1" w:styleId="Char1">
    <w:name w:val="Char1"/>
    <w:basedOn w:val="Normal"/>
    <w:rsid w:val="00276109"/>
    <w:rPr>
      <w:rFonts w:ascii="Arial" w:hAnsi="Arial" w:cs="Arial"/>
      <w:sz w:val="22"/>
      <w:szCs w:val="22"/>
      <w:lang w:eastAsia="en-US"/>
    </w:rPr>
  </w:style>
  <w:style w:type="paragraph" w:customStyle="1" w:styleId="81Tableheaders">
    <w:name w:val="8.1 Table headers"/>
    <w:basedOn w:val="Normal"/>
    <w:link w:val="81TableheadersChar"/>
    <w:qFormat/>
    <w:rsid w:val="00276109"/>
    <w:rPr>
      <w:rFonts w:ascii="Arial Narrow" w:hAnsi="Arial Narrow"/>
      <w:b/>
      <w:sz w:val="22"/>
    </w:rPr>
  </w:style>
  <w:style w:type="paragraph" w:customStyle="1" w:styleId="82Tabletext">
    <w:name w:val="8.2 Table text"/>
    <w:basedOn w:val="Normal"/>
    <w:link w:val="82TabletextChar"/>
    <w:qFormat/>
    <w:rsid w:val="00276109"/>
    <w:rPr>
      <w:rFonts w:ascii="Arial Narrow" w:hAnsi="Arial Narrow"/>
      <w:sz w:val="22"/>
    </w:rPr>
  </w:style>
  <w:style w:type="character" w:customStyle="1" w:styleId="81TableheadersChar">
    <w:name w:val="8.1 Table headers Char"/>
    <w:link w:val="81Tableheaders"/>
    <w:rsid w:val="00276109"/>
    <w:rPr>
      <w:rFonts w:ascii="Arial Narrow" w:eastAsia="Times New Roman" w:hAnsi="Arial Narrow" w:cs="Times New Roman"/>
      <w:b/>
      <w:sz w:val="22"/>
      <w:szCs w:val="20"/>
      <w:lang w:eastAsia="en-AU"/>
    </w:rPr>
  </w:style>
  <w:style w:type="character" w:customStyle="1" w:styleId="82TabletextChar">
    <w:name w:val="8.2 Table text Char"/>
    <w:link w:val="82Tabletext"/>
    <w:rsid w:val="00276109"/>
    <w:rPr>
      <w:rFonts w:ascii="Arial Narrow" w:eastAsia="Times New Roman" w:hAnsi="Arial Narrow" w:cs="Times New Roman"/>
      <w:sz w:val="22"/>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09880183">
      <w:bodyDiv w:val="1"/>
      <w:marLeft w:val="0"/>
      <w:marRight w:val="0"/>
      <w:marTop w:val="0"/>
      <w:marBottom w:val="0"/>
      <w:divBdr>
        <w:top w:val="none" w:sz="0" w:space="0" w:color="auto"/>
        <w:left w:val="none" w:sz="0" w:space="0" w:color="auto"/>
        <w:bottom w:val="none" w:sz="0" w:space="0" w:color="auto"/>
        <w:right w:val="none" w:sz="0" w:space="0" w:color="auto"/>
      </w:divBdr>
      <w:divsChild>
        <w:div w:id="2018075833">
          <w:marLeft w:val="288"/>
          <w:marRight w:val="0"/>
          <w:marTop w:val="115"/>
          <w:marBottom w:val="0"/>
          <w:divBdr>
            <w:top w:val="none" w:sz="0" w:space="0" w:color="auto"/>
            <w:left w:val="none" w:sz="0" w:space="0" w:color="auto"/>
            <w:bottom w:val="none" w:sz="0" w:space="0" w:color="auto"/>
            <w:right w:val="none" w:sz="0" w:space="0" w:color="auto"/>
          </w:divBdr>
        </w:div>
        <w:div w:id="1025593109">
          <w:marLeft w:val="288"/>
          <w:marRight w:val="0"/>
          <w:marTop w:val="115"/>
          <w:marBottom w:val="0"/>
          <w:divBdr>
            <w:top w:val="none" w:sz="0" w:space="0" w:color="auto"/>
            <w:left w:val="none" w:sz="0" w:space="0" w:color="auto"/>
            <w:bottom w:val="none" w:sz="0" w:space="0" w:color="auto"/>
            <w:right w:val="none" w:sz="0" w:space="0" w:color="auto"/>
          </w:divBdr>
        </w:div>
        <w:div w:id="849488156">
          <w:marLeft w:val="720"/>
          <w:marRight w:val="0"/>
          <w:marTop w:val="96"/>
          <w:marBottom w:val="0"/>
          <w:divBdr>
            <w:top w:val="none" w:sz="0" w:space="0" w:color="auto"/>
            <w:left w:val="none" w:sz="0" w:space="0" w:color="auto"/>
            <w:bottom w:val="none" w:sz="0" w:space="0" w:color="auto"/>
            <w:right w:val="none" w:sz="0" w:space="0" w:color="auto"/>
          </w:divBdr>
        </w:div>
        <w:div w:id="602231550">
          <w:marLeft w:val="720"/>
          <w:marRight w:val="0"/>
          <w:marTop w:val="96"/>
          <w:marBottom w:val="0"/>
          <w:divBdr>
            <w:top w:val="none" w:sz="0" w:space="0" w:color="auto"/>
            <w:left w:val="none" w:sz="0" w:space="0" w:color="auto"/>
            <w:bottom w:val="none" w:sz="0" w:space="0" w:color="auto"/>
            <w:right w:val="none" w:sz="0" w:space="0" w:color="auto"/>
          </w:divBdr>
        </w:div>
        <w:div w:id="1425762532">
          <w:marLeft w:val="720"/>
          <w:marRight w:val="0"/>
          <w:marTop w:val="96"/>
          <w:marBottom w:val="0"/>
          <w:divBdr>
            <w:top w:val="none" w:sz="0" w:space="0" w:color="auto"/>
            <w:left w:val="none" w:sz="0" w:space="0" w:color="auto"/>
            <w:bottom w:val="none" w:sz="0" w:space="0" w:color="auto"/>
            <w:right w:val="none" w:sz="0" w:space="0" w:color="auto"/>
          </w:divBdr>
        </w:div>
        <w:div w:id="2022856094">
          <w:marLeft w:val="720"/>
          <w:marRight w:val="0"/>
          <w:marTop w:val="96"/>
          <w:marBottom w:val="0"/>
          <w:divBdr>
            <w:top w:val="none" w:sz="0" w:space="0" w:color="auto"/>
            <w:left w:val="none" w:sz="0" w:space="0" w:color="auto"/>
            <w:bottom w:val="none" w:sz="0" w:space="0" w:color="auto"/>
            <w:right w:val="none" w:sz="0" w:space="0" w:color="auto"/>
          </w:divBdr>
        </w:div>
        <w:div w:id="1212351607">
          <w:marLeft w:val="720"/>
          <w:marRight w:val="0"/>
          <w:marTop w:val="96"/>
          <w:marBottom w:val="0"/>
          <w:divBdr>
            <w:top w:val="none" w:sz="0" w:space="0" w:color="auto"/>
            <w:left w:val="none" w:sz="0" w:space="0" w:color="auto"/>
            <w:bottom w:val="none" w:sz="0" w:space="0" w:color="auto"/>
            <w:right w:val="none" w:sz="0" w:space="0" w:color="auto"/>
          </w:divBdr>
        </w:div>
        <w:div w:id="1886022654">
          <w:marLeft w:val="288"/>
          <w:marRight w:val="0"/>
          <w:marTop w:val="115"/>
          <w:marBottom w:val="0"/>
          <w:divBdr>
            <w:top w:val="none" w:sz="0" w:space="0" w:color="auto"/>
            <w:left w:val="none" w:sz="0" w:space="0" w:color="auto"/>
            <w:bottom w:val="none" w:sz="0" w:space="0" w:color="auto"/>
            <w:right w:val="none" w:sz="0" w:space="0" w:color="auto"/>
          </w:divBdr>
        </w:div>
        <w:div w:id="767233440">
          <w:marLeft w:val="720"/>
          <w:marRight w:val="0"/>
          <w:marTop w:val="96"/>
          <w:marBottom w:val="0"/>
          <w:divBdr>
            <w:top w:val="none" w:sz="0" w:space="0" w:color="auto"/>
            <w:left w:val="none" w:sz="0" w:space="0" w:color="auto"/>
            <w:bottom w:val="none" w:sz="0" w:space="0" w:color="auto"/>
            <w:right w:val="none" w:sz="0" w:space="0" w:color="auto"/>
          </w:divBdr>
        </w:div>
        <w:div w:id="1368337606">
          <w:marLeft w:val="288"/>
          <w:marRight w:val="0"/>
          <w:marTop w:val="115"/>
          <w:marBottom w:val="0"/>
          <w:divBdr>
            <w:top w:val="none" w:sz="0" w:space="0" w:color="auto"/>
            <w:left w:val="none" w:sz="0" w:space="0" w:color="auto"/>
            <w:bottom w:val="none" w:sz="0" w:space="0" w:color="auto"/>
            <w:right w:val="none" w:sz="0" w:space="0" w:color="auto"/>
          </w:divBdr>
        </w:div>
        <w:div w:id="1661419370">
          <w:marLeft w:val="720"/>
          <w:marRight w:val="0"/>
          <w:marTop w:val="96"/>
          <w:marBottom w:val="0"/>
          <w:divBdr>
            <w:top w:val="none" w:sz="0" w:space="0" w:color="auto"/>
            <w:left w:val="none" w:sz="0" w:space="0" w:color="auto"/>
            <w:bottom w:val="none" w:sz="0" w:space="0" w:color="auto"/>
            <w:right w:val="none" w:sz="0" w:space="0" w:color="auto"/>
          </w:divBdr>
        </w:div>
        <w:div w:id="874275967">
          <w:marLeft w:val="720"/>
          <w:marRight w:val="0"/>
          <w:marTop w:val="96"/>
          <w:marBottom w:val="0"/>
          <w:divBdr>
            <w:top w:val="none" w:sz="0" w:space="0" w:color="auto"/>
            <w:left w:val="none" w:sz="0" w:space="0" w:color="auto"/>
            <w:bottom w:val="none" w:sz="0" w:space="0" w:color="auto"/>
            <w:right w:val="none" w:sz="0" w:space="0" w:color="auto"/>
          </w:divBdr>
        </w:div>
        <w:div w:id="629744127">
          <w:marLeft w:val="288"/>
          <w:marRight w:val="0"/>
          <w:marTop w:val="115"/>
          <w:marBottom w:val="0"/>
          <w:divBdr>
            <w:top w:val="none" w:sz="0" w:space="0" w:color="auto"/>
            <w:left w:val="none" w:sz="0" w:space="0" w:color="auto"/>
            <w:bottom w:val="none" w:sz="0" w:space="0" w:color="auto"/>
            <w:right w:val="none" w:sz="0" w:space="0" w:color="auto"/>
          </w:divBdr>
        </w:div>
        <w:div w:id="747309560">
          <w:marLeft w:val="720"/>
          <w:marRight w:val="0"/>
          <w:marTop w:val="96"/>
          <w:marBottom w:val="0"/>
          <w:divBdr>
            <w:top w:val="none" w:sz="0" w:space="0" w:color="auto"/>
            <w:left w:val="none" w:sz="0" w:space="0" w:color="auto"/>
            <w:bottom w:val="none" w:sz="0" w:space="0" w:color="auto"/>
            <w:right w:val="none" w:sz="0" w:space="0" w:color="auto"/>
          </w:divBdr>
        </w:div>
        <w:div w:id="1658532416">
          <w:marLeft w:val="720"/>
          <w:marRight w:val="0"/>
          <w:marTop w:val="96"/>
          <w:marBottom w:val="0"/>
          <w:divBdr>
            <w:top w:val="none" w:sz="0" w:space="0" w:color="auto"/>
            <w:left w:val="none" w:sz="0" w:space="0" w:color="auto"/>
            <w:bottom w:val="none" w:sz="0" w:space="0" w:color="auto"/>
            <w:right w:val="none" w:sz="0" w:space="0" w:color="auto"/>
          </w:divBdr>
        </w:div>
      </w:divsChild>
    </w:div>
    <w:div w:id="2082940088">
      <w:bodyDiv w:val="1"/>
      <w:marLeft w:val="0"/>
      <w:marRight w:val="0"/>
      <w:marTop w:val="0"/>
      <w:marBottom w:val="0"/>
      <w:divBdr>
        <w:top w:val="none" w:sz="0" w:space="0" w:color="auto"/>
        <w:left w:val="none" w:sz="0" w:space="0" w:color="auto"/>
        <w:bottom w:val="none" w:sz="0" w:space="0" w:color="auto"/>
        <w:right w:val="none" w:sz="0" w:space="0" w:color="auto"/>
      </w:divBdr>
    </w:div>
    <w:div w:id="2086225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msac.gov.au/internet/msac/publishing.nsf/Content/1600-public" TargetMode="External"/><Relationship Id="rId18" Type="http://schemas.openxmlformats.org/officeDocument/2006/relationships/image" Target="media/image5.tiff"/><Relationship Id="rId3" Type="http://schemas.openxmlformats.org/officeDocument/2006/relationships/styles" Target="styles.xml"/><Relationship Id="rId21" Type="http://schemas.openxmlformats.org/officeDocument/2006/relationships/hyperlink" Target="http://www.msac.gov.au/" TargetMode="External"/><Relationship Id="rId7" Type="http://schemas.openxmlformats.org/officeDocument/2006/relationships/endnotes" Target="endnotes.xml"/><Relationship Id="rId12" Type="http://schemas.openxmlformats.org/officeDocument/2006/relationships/hyperlink" Target="http://www.msac.gov.au/internet/msac/publishing.nsf/Content/1599-public"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yperlink" Target="https://panelapp.agha.umccr.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9.health.gov.au/mbs/search.cfm?q=73359&amp;sopt=I"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fontTable" Target="fontTable.xml"/><Relationship Id="rId10" Type="http://schemas.openxmlformats.org/officeDocument/2006/relationships/hyperlink" Target="http://www9.health.gov.au/mbs/fullDisplay.cfm?type=item&amp;q=73358&amp;qt=item&amp;criteria=73358" TargetMode="External"/><Relationship Id="rId19" Type="http://schemas.openxmlformats.org/officeDocument/2006/relationships/hyperlink" Target="http://www.muslcegenetable.fr" TargetMode="External"/><Relationship Id="rId4" Type="http://schemas.openxmlformats.org/officeDocument/2006/relationships/settings" Target="settings.xml"/><Relationship Id="rId9" Type="http://schemas.openxmlformats.org/officeDocument/2006/relationships/hyperlink" Target="http://www.msac.gov.au/" TargetMode="External"/><Relationship Id="rId14" Type="http://schemas.openxmlformats.org/officeDocument/2006/relationships/footer" Target="footer1.xml"/><Relationship Id="rId22" Type="http://schemas.openxmlformats.org/officeDocument/2006/relationships/footer" Target="footer2.xml"/></Relationships>
</file>

<file path=word/_rels/footnotes.xml.rels><?xml version="1.0" encoding="UTF-8" standalone="yes"?>
<Relationships xmlns="http://schemas.openxmlformats.org/package/2006/relationships"><Relationship Id="rId2" Type="http://schemas.openxmlformats.org/officeDocument/2006/relationships/hyperlink" Target="http://www.musclegenetable.fr/" TargetMode="External"/><Relationship Id="rId1" Type="http://schemas.openxmlformats.org/officeDocument/2006/relationships/hyperlink" Target="https://www.england.nhs.uk/publication/national-genomic-test-directori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7FE289-5330-4D7E-904E-480636DB6C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12620</Words>
  <Characters>67773</Characters>
  <Application>Microsoft Office Word</Application>
  <DocSecurity>0</DocSecurity>
  <Lines>1473</Lines>
  <Paragraphs>980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2021-09-06T05:03:00Z</dcterms:created>
  <dcterms:modified xsi:type="dcterms:W3CDTF">2022-02-01T03:03:00Z</dcterms:modified>
</cp:coreProperties>
</file>