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9C98E" w14:textId="77777777" w:rsidR="00E44B80" w:rsidRPr="00F637B3" w:rsidRDefault="00E44B80" w:rsidP="00E44B80">
      <w:pPr>
        <w:jc w:val="center"/>
        <w:rPr>
          <w:b/>
          <w:szCs w:val="20"/>
        </w:rPr>
      </w:pPr>
      <w:r w:rsidRPr="00F637B3">
        <w:rPr>
          <w:b/>
          <w:noProof/>
          <w:szCs w:val="20"/>
          <w:lang w:eastAsia="en-AU"/>
        </w:rPr>
        <w:drawing>
          <wp:inline distT="0" distB="0" distL="0" distR="0" wp14:anchorId="113AD376" wp14:editId="18CF1DB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17649B7" w14:textId="30679EA2" w:rsidR="008B2610" w:rsidRDefault="008B2610" w:rsidP="00F971CC">
      <w:pPr>
        <w:pStyle w:val="Title"/>
        <w:spacing w:before="2600"/>
      </w:pPr>
      <w:r w:rsidRPr="001906CD">
        <w:t>Application Form</w:t>
      </w:r>
    </w:p>
    <w:p w14:paraId="7F1D6998" w14:textId="66B2587F" w:rsidR="008A3F36" w:rsidRDefault="008A3F36" w:rsidP="008A3F36">
      <w:pPr>
        <w:spacing w:before="840" w:after="840"/>
        <w:jc w:val="center"/>
        <w:rPr>
          <w:rFonts w:ascii="Arial" w:hAnsi="Arial" w:cs="Arial"/>
          <w:b/>
          <w:color w:val="548DD4" w:themeColor="text2" w:themeTint="99"/>
          <w:sz w:val="52"/>
          <w:szCs w:val="52"/>
        </w:rPr>
      </w:pPr>
      <w:r w:rsidRPr="008A3F36">
        <w:rPr>
          <w:rFonts w:ascii="Arial" w:hAnsi="Arial" w:cs="Arial"/>
          <w:b/>
          <w:color w:val="548DD4" w:themeColor="text2" w:themeTint="99"/>
          <w:sz w:val="52"/>
          <w:szCs w:val="52"/>
        </w:rPr>
        <w:t>Transurethral water vapour ablation f</w:t>
      </w:r>
      <w:r>
        <w:rPr>
          <w:rFonts w:ascii="Arial" w:hAnsi="Arial" w:cs="Arial"/>
          <w:b/>
          <w:color w:val="548DD4" w:themeColor="text2" w:themeTint="99"/>
          <w:sz w:val="52"/>
          <w:szCs w:val="52"/>
        </w:rPr>
        <w:t>or benign prostatic hyperplasia</w:t>
      </w:r>
    </w:p>
    <w:p w14:paraId="1FE467E4" w14:textId="1B7C001F"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18725B9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6306773"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9FD9E70" w14:textId="77777777" w:rsidR="008B2610" w:rsidRPr="00154B00" w:rsidRDefault="009F5758" w:rsidP="003F7CB9">
      <w:pPr>
        <w:spacing w:before="0" w:after="0"/>
      </w:pPr>
      <w:r w:rsidRPr="00154B00">
        <w:t>Phone:  +61 2 6289 7550</w:t>
      </w:r>
    </w:p>
    <w:p w14:paraId="51B40BAC" w14:textId="77777777" w:rsidR="009F5758" w:rsidRPr="00154B00" w:rsidRDefault="009F5758" w:rsidP="003F7CB9">
      <w:pPr>
        <w:spacing w:before="0" w:after="0"/>
      </w:pPr>
      <w:r w:rsidRPr="00154B00">
        <w:t>Fax:  +61 2 6289 5540</w:t>
      </w:r>
    </w:p>
    <w:p w14:paraId="0330AF4A" w14:textId="704D444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7DC14946" w14:textId="5F4152C0"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B2506C1"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681027D"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E49504D" w14:textId="5C316482"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470E93">
        <w:t>N/A</w:t>
      </w:r>
    </w:p>
    <w:p w14:paraId="4D9A5A1C" w14:textId="58C5A904"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A5309">
        <w:t>REDACTED</w:t>
      </w:r>
    </w:p>
    <w:p w14:paraId="357FD098" w14:textId="31F1D4B2"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A5309">
        <w:t>REDACTED</w:t>
      </w:r>
    </w:p>
    <w:p w14:paraId="03722AB1" w14:textId="4327E402"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AA5309">
        <w:t xml:space="preserve"> REDACTED</w:t>
      </w:r>
    </w:p>
    <w:p w14:paraId="4DDC891D" w14:textId="77777777" w:rsidR="00C171FB" w:rsidRPr="00C171FB" w:rsidRDefault="00C171FB" w:rsidP="00C171FB"/>
    <w:p w14:paraId="2084FBF2" w14:textId="6C630354" w:rsidR="00C171FB" w:rsidRPr="00C171FB" w:rsidRDefault="00C171FB" w:rsidP="00C171FB">
      <w:pPr>
        <w:rPr>
          <w:b/>
        </w:rPr>
      </w:pPr>
      <w:r>
        <w:rPr>
          <w:b/>
        </w:rPr>
        <w:t xml:space="preserve">Primary contact name: </w:t>
      </w:r>
      <w:r w:rsidR="00AA5309">
        <w:t>REDACTED</w:t>
      </w:r>
    </w:p>
    <w:p w14:paraId="28C247A9"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6A5B0B87" w14:textId="2D83AF38" w:rsidR="00090AB2" w:rsidRDefault="00090AB2" w:rsidP="00090AB2">
      <w:pPr>
        <w:pBdr>
          <w:top w:val="single" w:sz="4" w:space="1" w:color="auto"/>
          <w:left w:val="single" w:sz="4" w:space="4" w:color="auto"/>
          <w:bottom w:val="single" w:sz="4" w:space="1" w:color="auto"/>
          <w:right w:val="single" w:sz="4" w:space="4" w:color="auto"/>
        </w:pBdr>
      </w:pPr>
      <w:r>
        <w:t xml:space="preserve">Business: </w:t>
      </w:r>
      <w:r w:rsidR="00AA5309">
        <w:t>REDACTED</w:t>
      </w:r>
    </w:p>
    <w:p w14:paraId="5220B916" w14:textId="185C0E25" w:rsidR="00090AB2" w:rsidRDefault="00090AB2" w:rsidP="00090AB2">
      <w:pPr>
        <w:pBdr>
          <w:top w:val="single" w:sz="4" w:space="1" w:color="auto"/>
          <w:left w:val="single" w:sz="4" w:space="4" w:color="auto"/>
          <w:bottom w:val="single" w:sz="4" w:space="1" w:color="auto"/>
          <w:right w:val="single" w:sz="4" w:space="4" w:color="auto"/>
        </w:pBdr>
      </w:pPr>
      <w:r>
        <w:t xml:space="preserve">Mobile: </w:t>
      </w:r>
      <w:r w:rsidR="00AA5309">
        <w:t>REDACTED</w:t>
      </w:r>
      <w:r w:rsidR="00AA5309" w:rsidRPr="00BB22A5" w:rsidDel="00AA5309">
        <w:t xml:space="preserve"> </w:t>
      </w:r>
      <w:r>
        <w:t xml:space="preserve">Email: </w:t>
      </w:r>
      <w:r w:rsidR="00AA5309">
        <w:t>REDACTED</w:t>
      </w:r>
    </w:p>
    <w:p w14:paraId="61BD6A2C" w14:textId="77777777" w:rsidR="00C171FB" w:rsidRDefault="00C171FB" w:rsidP="00C171FB">
      <w:pPr>
        <w:rPr>
          <w:b/>
        </w:rPr>
      </w:pPr>
    </w:p>
    <w:p w14:paraId="3A9EFA0B" w14:textId="1E974D80" w:rsidR="00C171FB" w:rsidRPr="00C171FB" w:rsidRDefault="00C171FB" w:rsidP="00C171FB">
      <w:pPr>
        <w:rPr>
          <w:b/>
        </w:rPr>
      </w:pPr>
      <w:r>
        <w:rPr>
          <w:b/>
        </w:rPr>
        <w:t xml:space="preserve">Alternative contact name: </w:t>
      </w:r>
      <w:r w:rsidR="00AA5309">
        <w:t>REDACTED</w:t>
      </w:r>
    </w:p>
    <w:p w14:paraId="7FEB4C96"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338D3117" w14:textId="07B7E607" w:rsidR="00090AB2" w:rsidRDefault="00090AB2" w:rsidP="00090AB2">
      <w:pPr>
        <w:pBdr>
          <w:top w:val="single" w:sz="4" w:space="1" w:color="auto"/>
          <w:left w:val="single" w:sz="4" w:space="4" w:color="auto"/>
          <w:bottom w:val="single" w:sz="4" w:space="1" w:color="auto"/>
          <w:right w:val="single" w:sz="4" w:space="4" w:color="auto"/>
        </w:pBdr>
      </w:pPr>
      <w:r>
        <w:t xml:space="preserve">Business: </w:t>
      </w:r>
      <w:r w:rsidR="00AA5309">
        <w:t>REDACTED</w:t>
      </w:r>
    </w:p>
    <w:p w14:paraId="5838B406" w14:textId="77777777" w:rsidR="00FE05F8" w:rsidRDefault="00090AB2" w:rsidP="00AA5309">
      <w:pPr>
        <w:pBdr>
          <w:top w:val="single" w:sz="4" w:space="1" w:color="auto"/>
          <w:left w:val="single" w:sz="4" w:space="4" w:color="auto"/>
          <w:bottom w:val="single" w:sz="4" w:space="1" w:color="auto"/>
          <w:right w:val="single" w:sz="4" w:space="4" w:color="auto"/>
        </w:pBdr>
      </w:pPr>
      <w:r>
        <w:t xml:space="preserve">Mobile: </w:t>
      </w:r>
      <w:r w:rsidR="00AA5309">
        <w:t>REDACTED</w:t>
      </w:r>
      <w:r w:rsidR="00AA5309" w:rsidRPr="00BB22A5" w:rsidDel="00AA5309">
        <w:t xml:space="preserve"> </w:t>
      </w:r>
    </w:p>
    <w:p w14:paraId="23246015" w14:textId="6517AC45" w:rsidR="00C171FB" w:rsidRPr="00C171FB" w:rsidRDefault="00090AB2" w:rsidP="00AA5309">
      <w:pPr>
        <w:pBdr>
          <w:top w:val="single" w:sz="4" w:space="1" w:color="auto"/>
          <w:left w:val="single" w:sz="4" w:space="4" w:color="auto"/>
          <w:bottom w:val="single" w:sz="4" w:space="1" w:color="auto"/>
          <w:right w:val="single" w:sz="4" w:space="4" w:color="auto"/>
        </w:pBdr>
      </w:pPr>
      <w:r>
        <w:t xml:space="preserve">Email: </w:t>
      </w:r>
      <w:r w:rsidR="00AA5309">
        <w:t>REDACTED</w:t>
      </w:r>
      <w:r w:rsidR="00AA5309" w:rsidDel="00AA5309">
        <w:t xml:space="preserve"> </w:t>
      </w:r>
    </w:p>
    <w:p w14:paraId="4586D0DB" w14:textId="77777777" w:rsidR="00534C5F" w:rsidRPr="00154B00" w:rsidRDefault="00494011" w:rsidP="004A0BF4">
      <w:pPr>
        <w:pStyle w:val="Heading2"/>
      </w:pPr>
      <w:r>
        <w:t xml:space="preserve">(a) </w:t>
      </w:r>
      <w:r w:rsidR="00534C5F">
        <w:t>Are you a lobbyist acting on behalf of an Applicant?</w:t>
      </w:r>
    </w:p>
    <w:p w14:paraId="6007497C" w14:textId="650F3ACE" w:rsidR="00A6491A" w:rsidRDefault="00090AB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A6491A">
        <w:rPr>
          <w:szCs w:val="20"/>
        </w:rPr>
        <w:t xml:space="preserve"> Yes</w:t>
      </w:r>
    </w:p>
    <w:p w14:paraId="129AF16B"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w:t>
      </w:r>
      <w:r w:rsidRPr="00753C44">
        <w:rPr>
          <w:szCs w:val="20"/>
        </w:rPr>
        <w:t xml:space="preserve">  </w:t>
      </w:r>
    </w:p>
    <w:p w14:paraId="5D2C4167"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05D5FAB7" w14:textId="57F9AA76" w:rsidR="00A6491A" w:rsidRDefault="00090AB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A6491A">
        <w:rPr>
          <w:szCs w:val="20"/>
        </w:rPr>
        <w:t xml:space="preserve"> Yes</w:t>
      </w:r>
    </w:p>
    <w:p w14:paraId="7D000057"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w:t>
      </w:r>
      <w:r w:rsidRPr="00753C44">
        <w:rPr>
          <w:szCs w:val="20"/>
        </w:rPr>
        <w:t xml:space="preserve">  </w:t>
      </w:r>
    </w:p>
    <w:p w14:paraId="0419FCD9" w14:textId="77777777" w:rsidR="00E04FB3" w:rsidRDefault="00E04FB3" w:rsidP="005C333E">
      <w:pPr>
        <w:spacing w:before="0" w:after="0"/>
        <w:ind w:left="426"/>
        <w:rPr>
          <w:b/>
          <w:szCs w:val="20"/>
        </w:rPr>
      </w:pPr>
      <w:r w:rsidRPr="00154B00">
        <w:rPr>
          <w:b/>
          <w:szCs w:val="20"/>
        </w:rPr>
        <w:br w:type="page"/>
      </w:r>
    </w:p>
    <w:p w14:paraId="7405D264"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E65440F" w14:textId="77777777" w:rsidR="000B3CD0" w:rsidRDefault="000B3CD0" w:rsidP="00730C04">
      <w:pPr>
        <w:pStyle w:val="Heading2"/>
      </w:pPr>
      <w:r w:rsidRPr="00154B00">
        <w:t>Application title</w:t>
      </w:r>
      <w:r w:rsidR="00A8732C">
        <w:t xml:space="preserve"> </w:t>
      </w:r>
    </w:p>
    <w:p w14:paraId="2DF0C57F" w14:textId="77777777" w:rsidR="009056C5" w:rsidRPr="009056C5" w:rsidRDefault="007611F7" w:rsidP="00A6491A">
      <w:pPr>
        <w:ind w:left="284"/>
      </w:pPr>
      <w:r>
        <w:t xml:space="preserve">Transurethral water vapour ablation (TUWA) </w:t>
      </w:r>
      <w:r w:rsidRPr="003D0CAB">
        <w:t>for benign prostatic hyperplasia (BPH)</w:t>
      </w:r>
    </w:p>
    <w:p w14:paraId="08D56F0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F105958" w14:textId="77777777" w:rsidR="002C3345" w:rsidRPr="009056C5" w:rsidRDefault="007611F7" w:rsidP="00A6491A">
      <w:pPr>
        <w:ind w:left="284"/>
      </w:pPr>
      <w:r>
        <w:t>BPH</w:t>
      </w:r>
      <w:r w:rsidRPr="005026C0">
        <w:t xml:space="preserve"> is one of the most common diseases of the prostate</w:t>
      </w:r>
      <w:r>
        <w:t>,</w:t>
      </w:r>
      <w:r w:rsidRPr="005026C0">
        <w:t xml:space="preserve"> characterised by an enlargement of the prostate causing the urethra to narrow and place pressure on the base of the bladder. Narrowing of the urethra can </w:t>
      </w:r>
      <w:r>
        <w:t>cause problems with</w:t>
      </w:r>
      <w:r w:rsidRPr="005026C0">
        <w:t xml:space="preserve"> the passing of urine in </w:t>
      </w:r>
      <w:r>
        <w:t xml:space="preserve">several </w:t>
      </w:r>
      <w:r w:rsidRPr="005026C0">
        <w:t>ways.</w:t>
      </w:r>
      <w:r>
        <w:t xml:space="preserve"> BPH is often associated with l</w:t>
      </w:r>
      <w:r w:rsidRPr="003970FD">
        <w:t xml:space="preserve">ower urinary tract symptoms </w:t>
      </w:r>
      <w:r>
        <w:t xml:space="preserve">(LUTS) which in BPH may be obstructive (includes symptoms such as delay or straining when starting to pass urine, and slow flow of urine) or irritative (includes symptoms such as urgent or frequent urination during the day and night). Furthermore, </w:t>
      </w:r>
      <w:r w:rsidRPr="00A90195">
        <w:t>LUTS associated with BPH are often accompanied by sexual dysfunction, including erectile dysfunction (ED) and ejaculatory problems</w:t>
      </w:r>
      <w:r>
        <w:t xml:space="preserve">. </w:t>
      </w:r>
      <w:r w:rsidRPr="005026C0">
        <w:t>While not life-threatening, BPH can be detrimental to a patient’s quality of life</w:t>
      </w:r>
      <w:r>
        <w:t>. When symptoms of BPH increase in severity, surgical treatment will be considered. Surgical therapy of the prostate</w:t>
      </w:r>
      <w:r w:rsidRPr="00A90195">
        <w:t xml:space="preserve"> is indicated for patients with severe or high impact symptoms</w:t>
      </w:r>
      <w:r>
        <w:t>.</w:t>
      </w:r>
    </w:p>
    <w:p w14:paraId="314078F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16D2FBD" w14:textId="12304619" w:rsidR="007611F7" w:rsidRDefault="007611F7" w:rsidP="007611F7">
      <w:pPr>
        <w:ind w:left="284"/>
      </w:pPr>
      <w:r>
        <w:t xml:space="preserve">The proposed intervention is a minimally invasive transurethral procedure for the treatment of BPH. The </w:t>
      </w:r>
      <w:r w:rsidRPr="00B21317">
        <w:t xml:space="preserve">Rezūm System uses </w:t>
      </w:r>
      <w:r>
        <w:t>radiofrequency (</w:t>
      </w:r>
      <w:r w:rsidRPr="00B21317">
        <w:t>RF</w:t>
      </w:r>
      <w:r>
        <w:t>)</w:t>
      </w:r>
      <w:r w:rsidRPr="00B21317">
        <w:t xml:space="preserve"> current to create and convectively deliver thermal energy to ablate, coagulate and</w:t>
      </w:r>
      <w:r>
        <w:t xml:space="preserve"> necrose</w:t>
      </w:r>
      <w:r w:rsidRPr="00B21317">
        <w:t xml:space="preserve"> prostate tissue to treat BPH. That is, the RF</w:t>
      </w:r>
      <w:r>
        <w:t xml:space="preserve"> current is used to</w:t>
      </w:r>
      <w:r w:rsidRPr="00B21317">
        <w:t xml:space="preserve"> </w:t>
      </w:r>
      <w:r w:rsidRPr="002D5EB9">
        <w:t>create the water vapour which then ablates the prostate</w:t>
      </w:r>
      <w:r>
        <w:t xml:space="preserve">. </w:t>
      </w:r>
      <w:r w:rsidR="006C56CE">
        <w:t>This procedure is different to other minimally invasive procedures currently available on the Medicare Benefits Schedule (MBS), in the way that heat is produced (water</w:t>
      </w:r>
      <w:r w:rsidR="00A02FD6">
        <w:t>) and</w:t>
      </w:r>
      <w:r w:rsidR="006C56CE">
        <w:t xml:space="preserve"> transferred (convection which means tissue is uniformly heated vs conduction)</w:t>
      </w:r>
      <w:r w:rsidR="00A02FD6">
        <w:t>.</w:t>
      </w:r>
      <w:r w:rsidR="006C56CE">
        <w:t xml:space="preserve"> </w:t>
      </w:r>
    </w:p>
    <w:p w14:paraId="6E272468"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EAC9A79" w14:textId="77777777" w:rsidR="00753C44" w:rsidRDefault="007611F7" w:rsidP="00A6491A">
      <w:pPr>
        <w:spacing w:before="0" w:after="0"/>
        <w:ind w:left="284"/>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CE7920">
        <w:rPr>
          <w:szCs w:val="20"/>
        </w:rPr>
      </w:r>
      <w:r w:rsidR="00CE7920">
        <w:rPr>
          <w:szCs w:val="20"/>
        </w:rPr>
        <w:fldChar w:fldCharType="separate"/>
      </w:r>
      <w:r>
        <w:rPr>
          <w:szCs w:val="20"/>
        </w:rPr>
        <w:fldChar w:fldCharType="end"/>
      </w:r>
      <w:bookmarkEnd w:id="1"/>
      <w:r w:rsidR="006B6390">
        <w:rPr>
          <w:szCs w:val="20"/>
        </w:rPr>
        <w:t xml:space="preserve"> Yes</w:t>
      </w:r>
    </w:p>
    <w:p w14:paraId="6EAEF4FD"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8F9707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45B737F" w14:textId="7349ABB8" w:rsidR="00753C44" w:rsidRDefault="00290344"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636A9DCF" w14:textId="0124344C" w:rsidR="00753C44" w:rsidRDefault="00290344" w:rsidP="00A6491A">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CE7920">
        <w:rPr>
          <w:szCs w:val="20"/>
        </w:rPr>
      </w:r>
      <w:r w:rsidR="00CE7920">
        <w:rPr>
          <w:szCs w:val="20"/>
        </w:rPr>
        <w:fldChar w:fldCharType="separate"/>
      </w:r>
      <w:r>
        <w:rPr>
          <w:szCs w:val="20"/>
        </w:rPr>
        <w:fldChar w:fldCharType="end"/>
      </w:r>
      <w:bookmarkEnd w:id="2"/>
      <w:r w:rsidR="006B6390">
        <w:rPr>
          <w:szCs w:val="20"/>
        </w:rPr>
        <w:t xml:space="preserve"> </w:t>
      </w:r>
      <w:r w:rsidR="00753C44" w:rsidRPr="00154B00">
        <w:rPr>
          <w:szCs w:val="20"/>
        </w:rPr>
        <w:t>New MBS item</w:t>
      </w:r>
      <w:r w:rsidR="00753C44">
        <w:rPr>
          <w:szCs w:val="20"/>
        </w:rPr>
        <w:t>(s)</w:t>
      </w:r>
    </w:p>
    <w:p w14:paraId="64F6F803" w14:textId="01C9CEC3" w:rsidR="00290344" w:rsidRDefault="00290344" w:rsidP="00A6491A">
      <w:pPr>
        <w:spacing w:before="0" w:after="0"/>
        <w:ind w:left="284"/>
        <w:rPr>
          <w:szCs w:val="20"/>
        </w:rPr>
      </w:pPr>
    </w:p>
    <w:p w14:paraId="360DB953" w14:textId="546C1B84" w:rsidR="00AB0DB0" w:rsidRDefault="00956E7A" w:rsidP="00402F16">
      <w:pPr>
        <w:spacing w:before="0" w:after="0"/>
        <w:ind w:left="284"/>
        <w:rPr>
          <w:szCs w:val="20"/>
        </w:rPr>
      </w:pPr>
      <w:r>
        <w:rPr>
          <w:szCs w:val="20"/>
        </w:rPr>
        <w:t xml:space="preserve">In </w:t>
      </w:r>
      <w:r w:rsidR="00465253">
        <w:rPr>
          <w:szCs w:val="20"/>
        </w:rPr>
        <w:t>October</w:t>
      </w:r>
      <w:r w:rsidR="00AB0DB0">
        <w:rPr>
          <w:szCs w:val="20"/>
        </w:rPr>
        <w:t xml:space="preserve"> 2018, the </w:t>
      </w:r>
      <w:r w:rsidR="00AB0DB0" w:rsidRPr="00AB0DB0">
        <w:rPr>
          <w:szCs w:val="20"/>
        </w:rPr>
        <w:t>Australian and New Zealand Association of Urological Surgeons</w:t>
      </w:r>
      <w:r w:rsidR="00AB0DB0">
        <w:rPr>
          <w:szCs w:val="20"/>
        </w:rPr>
        <w:t xml:space="preserve"> (ANZAUS) members received clarification on the use of MBS item numbers 37201/37202 based on correspondence </w:t>
      </w:r>
      <w:r w:rsidR="00CE7920">
        <w:rPr>
          <w:szCs w:val="20"/>
        </w:rPr>
        <w:t xml:space="preserve">the </w:t>
      </w:r>
      <w:bookmarkStart w:id="3" w:name="_GoBack"/>
      <w:bookmarkEnd w:id="3"/>
      <w:r w:rsidR="00AB0DB0" w:rsidRPr="00AB0DB0">
        <w:rPr>
          <w:szCs w:val="20"/>
        </w:rPr>
        <w:t>Principal Medical Advisor, Medical Benefits Division, Department of Health</w:t>
      </w:r>
      <w:r w:rsidR="00AB0DB0">
        <w:rPr>
          <w:szCs w:val="20"/>
        </w:rPr>
        <w:t xml:space="preserve">. </w:t>
      </w:r>
      <w:r w:rsidR="009225F5">
        <w:rPr>
          <w:szCs w:val="20"/>
        </w:rPr>
        <w:t>ANZAUS</w:t>
      </w:r>
      <w:r w:rsidR="00AB0DB0">
        <w:rPr>
          <w:szCs w:val="20"/>
        </w:rPr>
        <w:t xml:space="preserve"> noted the following</w:t>
      </w:r>
      <w:r w:rsidR="00402F16">
        <w:rPr>
          <w:szCs w:val="20"/>
        </w:rPr>
        <w:t>. ”Having</w:t>
      </w:r>
      <w:r w:rsidR="00AB0DB0" w:rsidRPr="00AB0DB0">
        <w:rPr>
          <w:i/>
          <w:szCs w:val="20"/>
        </w:rPr>
        <w:t xml:space="preserve"> reviewed the item number descriptors appropriate for the usage of Rezum</w:t>
      </w:r>
      <w:r w:rsidR="00402F16">
        <w:rPr>
          <w:i/>
          <w:szCs w:val="20"/>
        </w:rPr>
        <w:t xml:space="preserve"> </w:t>
      </w:r>
      <w:r w:rsidR="00402F16" w:rsidRPr="00402F16">
        <w:rPr>
          <w:szCs w:val="20"/>
        </w:rPr>
        <w:t>[</w:t>
      </w:r>
      <w:r w:rsidR="00402F16">
        <w:rPr>
          <w:szCs w:val="20"/>
        </w:rPr>
        <w:t>TUWA]</w:t>
      </w:r>
      <w:r w:rsidR="00AB0DB0" w:rsidRPr="00AB0DB0">
        <w:rPr>
          <w:i/>
          <w:szCs w:val="20"/>
        </w:rPr>
        <w:t>, it is felt that item numbers 37201 and 37202 could encompass the technology used in Rezum although it is noted that Rezum does not use radiofrequency energy to ablate the prostate. Rezum uses radiofrequency energy to create the water vapour which then ablates the prostate</w:t>
      </w:r>
      <w:r w:rsidR="00AB0DB0" w:rsidRPr="00AB0DB0">
        <w:rPr>
          <w:szCs w:val="20"/>
        </w:rPr>
        <w:t>.</w:t>
      </w:r>
      <w:r w:rsidR="00402F16">
        <w:rPr>
          <w:szCs w:val="20"/>
        </w:rPr>
        <w:t xml:space="preserve"> </w:t>
      </w:r>
      <w:r w:rsidR="009225F5">
        <w:rPr>
          <w:szCs w:val="20"/>
        </w:rPr>
        <w:t>ANZAUS</w:t>
      </w:r>
      <w:r w:rsidR="00402F16">
        <w:rPr>
          <w:szCs w:val="20"/>
        </w:rPr>
        <w:t xml:space="preserve"> notes that MBS item numbers 37201/2 are restricted to patients who are not medically fit for transurethral resection of the prostate (TURP), and </w:t>
      </w:r>
      <w:r w:rsidR="00402F16" w:rsidRPr="00402F16">
        <w:rPr>
          <w:i/>
          <w:szCs w:val="20"/>
        </w:rPr>
        <w:t>“[i]f Rezum was to be used in the medically fit for TURP population, another item number would need to be utilised. In this situation consideration should be given to a new MSAC application for this device and technology”</w:t>
      </w:r>
      <w:r w:rsidR="00402F16">
        <w:rPr>
          <w:i/>
          <w:szCs w:val="20"/>
        </w:rPr>
        <w:t xml:space="preserve"> </w:t>
      </w:r>
      <w:r w:rsidR="00402F16">
        <w:rPr>
          <w:szCs w:val="20"/>
        </w:rPr>
        <w:t>(letter</w:t>
      </w:r>
      <w:r w:rsidR="00A02FD6">
        <w:rPr>
          <w:szCs w:val="20"/>
        </w:rPr>
        <w:t xml:space="preserve"> to ANZAUS members</w:t>
      </w:r>
      <w:r w:rsidR="00402F16">
        <w:rPr>
          <w:szCs w:val="20"/>
        </w:rPr>
        <w:t xml:space="preserve"> attached)</w:t>
      </w:r>
      <w:r w:rsidR="00402F16" w:rsidRPr="00402F16">
        <w:rPr>
          <w:i/>
          <w:szCs w:val="20"/>
        </w:rPr>
        <w:t>.</w:t>
      </w:r>
      <w:r w:rsidR="00402F16">
        <w:rPr>
          <w:i/>
          <w:szCs w:val="20"/>
        </w:rPr>
        <w:t xml:space="preserve"> </w:t>
      </w:r>
      <w:r w:rsidR="00402F16">
        <w:rPr>
          <w:szCs w:val="20"/>
        </w:rPr>
        <w:t>This Application proposes that the TUWA procedure (performed by the REZUM system) be used in patients medically fit for TURP. Hence, consistent with the advice from the Principal Medical Advisor, the Applicant is seeking a new MBS item code for the reimbursement of the TUWA procedure.</w:t>
      </w:r>
    </w:p>
    <w:p w14:paraId="4D855F98" w14:textId="77777777" w:rsidR="00AB0DB0" w:rsidRPr="00753C44" w:rsidRDefault="00AB0DB0" w:rsidP="00A6491A">
      <w:pPr>
        <w:spacing w:before="0" w:after="0"/>
        <w:ind w:left="284"/>
        <w:rPr>
          <w:szCs w:val="20"/>
        </w:rPr>
      </w:pPr>
    </w:p>
    <w:p w14:paraId="0C3503C4"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B990B63"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956D1A5" w14:textId="717BAEB8" w:rsidR="002A270B" w:rsidRPr="004A263B" w:rsidRDefault="00290344"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CE7920">
        <w:rPr>
          <w:b/>
          <w:szCs w:val="20"/>
        </w:rPr>
      </w:r>
      <w:r w:rsidR="00CE7920">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way the service is clinically delivered under the existing item(s)</w:t>
      </w:r>
    </w:p>
    <w:p w14:paraId="42B58A5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498A39C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6D743E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B55197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ABE993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D08822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7A772F8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967EC0B"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CE7920">
        <w:rPr>
          <w:b/>
          <w:szCs w:val="20"/>
        </w:rPr>
      </w:r>
      <w:r w:rsidR="00CE7920">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2D74846" w14:textId="52D29A98" w:rsidR="002A270B" w:rsidRPr="00CB12EC" w:rsidRDefault="002A270B" w:rsidP="00A6491A">
      <w:pPr>
        <w:ind w:left="284"/>
      </w:pPr>
    </w:p>
    <w:p w14:paraId="07FC7CF3"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C522FB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E7920">
        <w:rPr>
          <w:b/>
          <w:szCs w:val="20"/>
        </w:rPr>
      </w:r>
      <w:r w:rsidR="00CE792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7FE9870" w14:textId="6282CEBC" w:rsidR="006B6390" w:rsidRPr="00AA2CFE" w:rsidRDefault="00290344"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CE7920">
        <w:rPr>
          <w:b/>
          <w:szCs w:val="20"/>
        </w:rPr>
      </w:r>
      <w:r w:rsidR="00CE7920">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D2AE9C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E7920">
        <w:rPr>
          <w:b/>
          <w:szCs w:val="20"/>
        </w:rPr>
      </w:r>
      <w:r w:rsidR="00CE792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7258A46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CE7920">
        <w:rPr>
          <w:b/>
          <w:szCs w:val="20"/>
        </w:rPr>
      </w:r>
      <w:r w:rsidR="00CE792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DA80D83"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31B2B70"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p>
    <w:p w14:paraId="045E4128" w14:textId="77777777" w:rsidR="00626365" w:rsidRDefault="00C85522"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5B32" w:rsidRPr="000A5B32">
        <w:rPr>
          <w:szCs w:val="20"/>
        </w:rPr>
        <w:t xml:space="preserve"> No</w:t>
      </w:r>
    </w:p>
    <w:p w14:paraId="398F996B"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54FD6A39"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8E0EA12" w14:textId="77777777" w:rsidR="000A5B32" w:rsidRPr="00855944" w:rsidRDefault="000A5B32" w:rsidP="00A6491A">
      <w:pPr>
        <w:ind w:left="284"/>
        <w:rPr>
          <w:rStyle w:val="Strong"/>
        </w:rPr>
      </w:pPr>
    </w:p>
    <w:p w14:paraId="07807475" w14:textId="77777777" w:rsidR="000B3CD0" w:rsidRDefault="000B3CD0" w:rsidP="00730C04">
      <w:pPr>
        <w:pStyle w:val="Heading2"/>
      </w:pPr>
      <w:r w:rsidRPr="00154B00">
        <w:t>What is the type of service:</w:t>
      </w:r>
    </w:p>
    <w:p w14:paraId="66005DA8" w14:textId="77777777" w:rsidR="00A6594E" w:rsidRDefault="00C85522"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E7920">
        <w:rPr>
          <w:b/>
          <w:szCs w:val="20"/>
        </w:rPr>
      </w:r>
      <w:r w:rsidR="00CE7920">
        <w:rPr>
          <w:b/>
          <w:szCs w:val="20"/>
        </w:rPr>
        <w:fldChar w:fldCharType="separate"/>
      </w:r>
      <w:r>
        <w:rPr>
          <w:b/>
          <w:szCs w:val="20"/>
        </w:rPr>
        <w:fldChar w:fldCharType="end"/>
      </w:r>
      <w:r w:rsidR="00A6594E" w:rsidRPr="0027105F">
        <w:rPr>
          <w:b/>
          <w:szCs w:val="20"/>
        </w:rPr>
        <w:t xml:space="preserve"> </w:t>
      </w:r>
      <w:r w:rsidR="00A6594E">
        <w:t>Therapeutic medical service</w:t>
      </w:r>
    </w:p>
    <w:p w14:paraId="3715D5D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Investigative medical service</w:t>
      </w:r>
    </w:p>
    <w:p w14:paraId="5BBA655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Single consultation medical service</w:t>
      </w:r>
    </w:p>
    <w:p w14:paraId="18CE7D3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Global consultation medical service</w:t>
      </w:r>
    </w:p>
    <w:p w14:paraId="44A6932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Allied health service</w:t>
      </w:r>
    </w:p>
    <w:p w14:paraId="45690A4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Co-dependent technology</w:t>
      </w:r>
    </w:p>
    <w:p w14:paraId="69BC12F8"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Hybrid health technology</w:t>
      </w:r>
    </w:p>
    <w:p w14:paraId="6F30916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546158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7920">
        <w:rPr>
          <w:b/>
          <w:szCs w:val="20"/>
        </w:rPr>
      </w:r>
      <w:r w:rsidR="00CE792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CB5777F"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7920">
        <w:rPr>
          <w:b/>
          <w:szCs w:val="20"/>
        </w:rPr>
      </w:r>
      <w:r w:rsidR="00CE7920">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38B62299"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7920">
        <w:rPr>
          <w:b/>
          <w:szCs w:val="20"/>
        </w:rPr>
      </w:r>
      <w:r w:rsidR="00CE7920">
        <w:rPr>
          <w:b/>
          <w:szCs w:val="20"/>
        </w:rPr>
        <w:fldChar w:fldCharType="separate"/>
      </w:r>
      <w:r w:rsidRPr="00AF4466">
        <w:rPr>
          <w:b/>
          <w:szCs w:val="20"/>
        </w:rPr>
        <w:fldChar w:fldCharType="end"/>
      </w:r>
      <w:r w:rsidRPr="00AF4466">
        <w:rPr>
          <w:b/>
          <w:szCs w:val="20"/>
        </w:rPr>
        <w:t xml:space="preserve"> </w:t>
      </w:r>
      <w:r>
        <w:t>Provides information about prognosis</w:t>
      </w:r>
    </w:p>
    <w:p w14:paraId="3E5A0AC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7920">
        <w:rPr>
          <w:b/>
          <w:szCs w:val="20"/>
        </w:rPr>
      </w:r>
      <w:r w:rsidR="00CE7920">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F5CE4F7"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CE7920">
        <w:rPr>
          <w:b/>
          <w:szCs w:val="20"/>
        </w:rPr>
      </w:r>
      <w:r w:rsidR="00CE792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9C89BB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009A57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CE7920">
        <w:rPr>
          <w:b/>
          <w:szCs w:val="20"/>
        </w:rPr>
      </w:r>
      <w:r w:rsidR="00CE7920">
        <w:rPr>
          <w:b/>
          <w:szCs w:val="20"/>
        </w:rPr>
        <w:fldChar w:fldCharType="separate"/>
      </w:r>
      <w:r w:rsidRPr="0027105F">
        <w:rPr>
          <w:b/>
          <w:szCs w:val="20"/>
        </w:rPr>
        <w:fldChar w:fldCharType="end"/>
      </w:r>
      <w:r w:rsidRPr="0027105F">
        <w:rPr>
          <w:b/>
          <w:szCs w:val="20"/>
        </w:rPr>
        <w:t xml:space="preserve"> </w:t>
      </w:r>
      <w:r>
        <w:t>Pharmaceutical / Biological</w:t>
      </w:r>
    </w:p>
    <w:p w14:paraId="7D1DFA6E" w14:textId="3C2DD60D" w:rsidR="00FE16C1" w:rsidRDefault="00090AB2" w:rsidP="00A6491A">
      <w:pPr>
        <w:spacing w:before="0" w:after="0"/>
        <w:ind w:left="284"/>
      </w:pPr>
      <w:r>
        <w:rPr>
          <w:b/>
          <w:szCs w:val="20"/>
        </w:rPr>
        <w:fldChar w:fldCharType="begin">
          <w:ffData>
            <w:name w:val=""/>
            <w:enabled/>
            <w:calcOnExit w:val="0"/>
            <w:checkBox>
              <w:sizeAuto/>
              <w:default w:val="0"/>
            </w:checkBox>
          </w:ffData>
        </w:fldChar>
      </w:r>
      <w:r>
        <w:rPr>
          <w:b/>
          <w:szCs w:val="20"/>
        </w:rPr>
        <w:instrText xml:space="preserve"> FORMCHECKBOX </w:instrText>
      </w:r>
      <w:r w:rsidR="00CE7920">
        <w:rPr>
          <w:b/>
          <w:szCs w:val="20"/>
        </w:rPr>
      </w:r>
      <w:r w:rsidR="00CE7920">
        <w:rPr>
          <w:b/>
          <w:szCs w:val="20"/>
        </w:rPr>
        <w:fldChar w:fldCharType="separate"/>
      </w:r>
      <w:r>
        <w:rPr>
          <w:b/>
          <w:szCs w:val="20"/>
        </w:rPr>
        <w:fldChar w:fldCharType="end"/>
      </w:r>
      <w:r w:rsidR="00FE16C1" w:rsidRPr="0027105F">
        <w:rPr>
          <w:b/>
          <w:szCs w:val="20"/>
        </w:rPr>
        <w:t xml:space="preserve"> </w:t>
      </w:r>
      <w:r w:rsidR="00FE16C1">
        <w:t>Prosthesis or device</w:t>
      </w:r>
    </w:p>
    <w:p w14:paraId="021D483F" w14:textId="428A4DEF" w:rsidR="00FE16C1" w:rsidRDefault="00090AB2"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CE7920">
        <w:rPr>
          <w:b/>
          <w:szCs w:val="20"/>
        </w:rPr>
      </w:r>
      <w:r w:rsidR="00CE7920">
        <w:rPr>
          <w:b/>
          <w:szCs w:val="20"/>
        </w:rPr>
        <w:fldChar w:fldCharType="separate"/>
      </w:r>
      <w:r>
        <w:rPr>
          <w:b/>
          <w:szCs w:val="20"/>
        </w:rPr>
        <w:fldChar w:fldCharType="end"/>
      </w:r>
      <w:r w:rsidR="00FE16C1" w:rsidRPr="0027105F">
        <w:rPr>
          <w:b/>
          <w:szCs w:val="20"/>
        </w:rPr>
        <w:t xml:space="preserve"> </w:t>
      </w:r>
      <w:r w:rsidR="00FE16C1">
        <w:t>No</w:t>
      </w:r>
    </w:p>
    <w:p w14:paraId="0587A29A" w14:textId="3F75B26E" w:rsidR="00BC596C" w:rsidRDefault="00BC596C" w:rsidP="00A6491A">
      <w:pPr>
        <w:spacing w:before="0" w:after="0"/>
        <w:ind w:left="284"/>
      </w:pPr>
    </w:p>
    <w:p w14:paraId="214B008D" w14:textId="4DA84BF1" w:rsidR="00BC596C" w:rsidRPr="00FE16C1" w:rsidRDefault="00090AB2" w:rsidP="00A6491A">
      <w:pPr>
        <w:spacing w:before="0" w:after="0"/>
        <w:ind w:left="284"/>
      </w:pPr>
      <w:r>
        <w:t xml:space="preserve">The procedure only relies on the Rezum device itself, not on another medical device or prosthesis. </w:t>
      </w:r>
    </w:p>
    <w:p w14:paraId="38695D2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D27407E" w14:textId="77777777" w:rsidR="00FE16C1" w:rsidRDefault="00FE16C1"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p>
    <w:p w14:paraId="25E1E968"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No  </w:t>
      </w:r>
    </w:p>
    <w:p w14:paraId="66C40722"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095280B7" w14:textId="77777777" w:rsidR="007E39E4" w:rsidRPr="007E39E4" w:rsidRDefault="007E39E4" w:rsidP="00A6491A">
      <w:pPr>
        <w:ind w:left="284"/>
        <w:rPr>
          <w:b/>
          <w:szCs w:val="20"/>
        </w:rPr>
      </w:pPr>
    </w:p>
    <w:p w14:paraId="3D20AC65"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9827636"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0CFDAF17"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001E6919">
        <w:rPr>
          <w:szCs w:val="20"/>
        </w:rPr>
        <w:t xml:space="preserve"> No</w:t>
      </w:r>
    </w:p>
    <w:p w14:paraId="7B32C50B" w14:textId="77777777" w:rsidR="001E6919" w:rsidRPr="007E39E4" w:rsidRDefault="001E6919" w:rsidP="00A6491A">
      <w:pPr>
        <w:spacing w:before="0" w:after="0"/>
        <w:ind w:left="284"/>
        <w:rPr>
          <w:szCs w:val="20"/>
        </w:rPr>
      </w:pPr>
    </w:p>
    <w:p w14:paraId="65BE1FF8"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49DD595D" w14:textId="77777777" w:rsidR="001E6958" w:rsidRDefault="001E6958" w:rsidP="00A6491A">
      <w:pPr>
        <w:spacing w:before="0" w:after="0"/>
        <w:ind w:left="284"/>
      </w:pPr>
      <w:r>
        <w:t xml:space="preserve">Trade name: </w:t>
      </w:r>
    </w:p>
    <w:p w14:paraId="4BBA30AE" w14:textId="77777777" w:rsidR="001E6958" w:rsidRPr="001E6958" w:rsidRDefault="001E6958" w:rsidP="00A6491A">
      <w:pPr>
        <w:spacing w:before="0" w:after="0"/>
        <w:ind w:left="284"/>
      </w:pPr>
      <w:r>
        <w:t xml:space="preserve">Generic name: </w:t>
      </w:r>
    </w:p>
    <w:p w14:paraId="40EA72A1"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D3C6825"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p>
    <w:p w14:paraId="11745598"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No  </w:t>
      </w:r>
    </w:p>
    <w:p w14:paraId="402FAB74" w14:textId="77777777" w:rsidR="001E6919" w:rsidRPr="001E6958" w:rsidRDefault="001E6919" w:rsidP="00A6491A">
      <w:pPr>
        <w:spacing w:before="0" w:after="0"/>
        <w:ind w:left="284"/>
        <w:rPr>
          <w:szCs w:val="20"/>
        </w:rPr>
      </w:pPr>
    </w:p>
    <w:p w14:paraId="7FD154FB"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1CB62B34" w14:textId="77777777" w:rsidR="001E6958" w:rsidRDefault="001E6958" w:rsidP="00A6491A">
      <w:pPr>
        <w:spacing w:before="0" w:after="0"/>
        <w:ind w:left="284"/>
      </w:pPr>
      <w:r>
        <w:t xml:space="preserve">Billing code(s): </w:t>
      </w:r>
    </w:p>
    <w:p w14:paraId="13A433D9" w14:textId="77777777" w:rsidR="001E6958" w:rsidRDefault="001E6958" w:rsidP="00A6491A">
      <w:pPr>
        <w:spacing w:before="0" w:after="0"/>
        <w:ind w:left="284"/>
      </w:pPr>
      <w:r>
        <w:t xml:space="preserve">Trade name of prostheses: </w:t>
      </w:r>
    </w:p>
    <w:p w14:paraId="1D65CA06" w14:textId="77777777" w:rsidR="001E6958" w:rsidRDefault="001E6958" w:rsidP="00A6491A">
      <w:pPr>
        <w:spacing w:before="0" w:after="0"/>
        <w:ind w:left="284"/>
      </w:pPr>
      <w:r>
        <w:t xml:space="preserve">Clinical name of prostheses: </w:t>
      </w:r>
    </w:p>
    <w:p w14:paraId="650418E0" w14:textId="77777777" w:rsidR="001E6958" w:rsidRPr="001E6958" w:rsidRDefault="001E6958" w:rsidP="00A6491A">
      <w:pPr>
        <w:spacing w:before="0" w:after="0"/>
        <w:ind w:left="284"/>
      </w:pPr>
      <w:r>
        <w:t xml:space="preserve">Other device components delivered as part of the service: </w:t>
      </w:r>
    </w:p>
    <w:p w14:paraId="693B3B44" w14:textId="77777777" w:rsidR="009939DC" w:rsidRDefault="009939DC" w:rsidP="009939DC"/>
    <w:p w14:paraId="205D7D24"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D9694F6"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p>
    <w:p w14:paraId="54DD74C3"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No  </w:t>
      </w:r>
    </w:p>
    <w:p w14:paraId="4ED53D0C"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593D7E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Yes</w:t>
      </w:r>
    </w:p>
    <w:p w14:paraId="73CE1A32" w14:textId="77777777" w:rsidR="009939DC" w:rsidRPr="001E6958" w:rsidRDefault="0060529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9939DC">
        <w:rPr>
          <w:szCs w:val="20"/>
        </w:rPr>
        <w:t xml:space="preserve"> No  </w:t>
      </w:r>
    </w:p>
    <w:p w14:paraId="44CFDE3C"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58D7730" w14:textId="77777777" w:rsidR="00016B6E" w:rsidRPr="009939DC" w:rsidRDefault="00016B6E" w:rsidP="00A6491A">
      <w:pPr>
        <w:ind w:left="284"/>
      </w:pPr>
    </w:p>
    <w:p w14:paraId="4F22730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604AD99" w14:textId="77777777" w:rsidR="00090AB2" w:rsidRDefault="009939DC" w:rsidP="00A6491A">
      <w:pPr>
        <w:spacing w:before="0" w:after="0"/>
        <w:ind w:left="284"/>
      </w:pPr>
      <w:r>
        <w:t xml:space="preserve">Single use consumables: </w:t>
      </w:r>
    </w:p>
    <w:p w14:paraId="77A2F641" w14:textId="5280E602" w:rsidR="009939DC" w:rsidRDefault="00DF5CE8" w:rsidP="00A6491A">
      <w:pPr>
        <w:spacing w:before="0" w:after="0"/>
        <w:ind w:left="284"/>
      </w:pPr>
      <w:r>
        <w:t>Rezum Delivery Device</w:t>
      </w:r>
      <w:r w:rsidR="003E45E5">
        <w:t>:</w:t>
      </w:r>
    </w:p>
    <w:p w14:paraId="310CAE42" w14:textId="4BA15A7E" w:rsidR="003E45E5" w:rsidRDefault="003E45E5" w:rsidP="00A6491A">
      <w:pPr>
        <w:spacing w:before="0" w:after="0"/>
        <w:ind w:left="284"/>
      </w:pPr>
      <w:r w:rsidRPr="003E45E5">
        <w:t>• Sterile Delivery Device with cable and tubing</w:t>
      </w:r>
      <w:r w:rsidRPr="003E45E5">
        <w:br/>
        <w:t>• Sterile Syringe</w:t>
      </w:r>
      <w:r w:rsidRPr="003E45E5">
        <w:br/>
        <w:t>• Sterile Spike Adaptor</w:t>
      </w:r>
      <w:r w:rsidRPr="003E45E5">
        <w:br/>
        <w:t>• 50 ml Sterile Water Vial</w:t>
      </w:r>
    </w:p>
    <w:p w14:paraId="41CE1659" w14:textId="77777777" w:rsidR="00F301F1" w:rsidRPr="00855944" w:rsidRDefault="009939DC" w:rsidP="00A6491A">
      <w:pPr>
        <w:spacing w:before="0" w:after="0"/>
        <w:ind w:left="284"/>
      </w:pPr>
      <w:r>
        <w:t>Multi-use consumables:</w:t>
      </w:r>
      <w:r w:rsidRPr="009939DC">
        <w:t xml:space="preserve"> </w:t>
      </w:r>
      <w:r w:rsidR="0060529B">
        <w:t>N/A</w:t>
      </w:r>
      <w:r w:rsidR="00F301F1" w:rsidRPr="00855944">
        <w:br w:type="page"/>
      </w:r>
    </w:p>
    <w:p w14:paraId="1A3C1C31"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0F123EB3"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9FC03A9" w14:textId="72ABD26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4417AF">
        <w:rPr>
          <w:szCs w:val="20"/>
        </w:rPr>
        <w:t xml:space="preserve">1) </w:t>
      </w:r>
      <w:r w:rsidR="004417AF">
        <w:t>Hyperthermia system, radiofrequency and 2) hyperthermia applicator, radiofrequency, intracorporeal</w:t>
      </w:r>
    </w:p>
    <w:p w14:paraId="642551CB" w14:textId="653641C0" w:rsidR="00A26343" w:rsidRPr="00A26343" w:rsidRDefault="00A26343" w:rsidP="00A6491A">
      <w:pPr>
        <w:spacing w:before="0" w:after="0"/>
        <w:ind w:left="284"/>
        <w:rPr>
          <w:szCs w:val="20"/>
        </w:rPr>
      </w:pPr>
      <w:r w:rsidRPr="00A26343">
        <w:rPr>
          <w:szCs w:val="20"/>
        </w:rPr>
        <w:t xml:space="preserve">Manufacturer’s </w:t>
      </w:r>
      <w:r w:rsidRPr="004417AF">
        <w:t xml:space="preserve">name: </w:t>
      </w:r>
      <w:r w:rsidR="004417AF" w:rsidRPr="004417AF">
        <w:t>NxThera Inc</w:t>
      </w:r>
    </w:p>
    <w:p w14:paraId="06BFCC11" w14:textId="0E06E9C8" w:rsidR="00A26343" w:rsidRPr="00A26343" w:rsidRDefault="00A26343" w:rsidP="00A6491A">
      <w:pPr>
        <w:spacing w:before="0" w:after="0"/>
        <w:ind w:left="284"/>
        <w:rPr>
          <w:szCs w:val="20"/>
        </w:rPr>
      </w:pPr>
      <w:r w:rsidRPr="00A26343">
        <w:rPr>
          <w:szCs w:val="20"/>
        </w:rPr>
        <w:t xml:space="preserve">Sponsor’s </w:t>
      </w:r>
      <w:r w:rsidRPr="004417AF">
        <w:t xml:space="preserve">name: </w:t>
      </w:r>
      <w:r w:rsidR="004417AF" w:rsidRPr="004417AF">
        <w:t>Innologic Pty Ltd</w:t>
      </w:r>
    </w:p>
    <w:p w14:paraId="07044A32"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4A9F257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w:t>
      </w:r>
      <w:r w:rsidRPr="00615F42">
        <w:rPr>
          <w:szCs w:val="20"/>
        </w:rPr>
        <w:t>Class III</w:t>
      </w:r>
    </w:p>
    <w:p w14:paraId="566D6D7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sidRPr="000A5B32">
        <w:rPr>
          <w:szCs w:val="20"/>
        </w:rPr>
        <w:t xml:space="preserve"> </w:t>
      </w:r>
      <w:r w:rsidRPr="00615F42">
        <w:rPr>
          <w:szCs w:val="20"/>
        </w:rPr>
        <w:t>AIMD</w:t>
      </w:r>
    </w:p>
    <w:p w14:paraId="3F0D7E9E" w14:textId="016ECB11" w:rsidR="005E2CE3" w:rsidRPr="00154B00" w:rsidRDefault="004417A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615F42" w:rsidRPr="000A5B32">
        <w:rPr>
          <w:szCs w:val="20"/>
        </w:rPr>
        <w:t xml:space="preserve"> </w:t>
      </w:r>
      <w:r w:rsidR="00615F42" w:rsidRPr="00615F42">
        <w:rPr>
          <w:szCs w:val="20"/>
        </w:rPr>
        <w:t>N/A</w:t>
      </w:r>
    </w:p>
    <w:p w14:paraId="03BF4E1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D228D68"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197C792" w14:textId="77777777" w:rsidR="003421AE" w:rsidRPr="00615F42" w:rsidRDefault="008A67C4"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615F42">
        <w:rPr>
          <w:szCs w:val="20"/>
        </w:rPr>
        <w:t xml:space="preserve"> No</w:t>
      </w:r>
    </w:p>
    <w:p w14:paraId="06CFD807"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E9F298E" w14:textId="647DD81E" w:rsidR="0043654D" w:rsidRDefault="004417AF"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43654D">
        <w:rPr>
          <w:szCs w:val="20"/>
        </w:rPr>
        <w:t xml:space="preserve"> Yes (if yes, please provide details below)</w:t>
      </w:r>
    </w:p>
    <w:p w14:paraId="6B0A2272" w14:textId="4B2A3CB8" w:rsidR="0043654D" w:rsidRDefault="004417AF"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43654D">
        <w:rPr>
          <w:szCs w:val="20"/>
        </w:rPr>
        <w:t xml:space="preserve"> No</w:t>
      </w:r>
    </w:p>
    <w:p w14:paraId="7ED864F9" w14:textId="77777777" w:rsidR="0043654D" w:rsidRPr="00615F42" w:rsidRDefault="0043654D" w:rsidP="0043654D">
      <w:pPr>
        <w:spacing w:before="0" w:after="0"/>
        <w:ind w:left="284"/>
        <w:rPr>
          <w:b/>
          <w:szCs w:val="20"/>
        </w:rPr>
      </w:pPr>
    </w:p>
    <w:p w14:paraId="4EA6A482" w14:textId="2C4E69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4417AF" w:rsidRPr="004417AF">
        <w:rPr>
          <w:szCs w:val="20"/>
        </w:rPr>
        <w:t>299127</w:t>
      </w:r>
      <w:r w:rsidR="004417AF">
        <w:rPr>
          <w:szCs w:val="20"/>
        </w:rPr>
        <w:t xml:space="preserve"> – </w:t>
      </w:r>
      <w:r w:rsidR="004417AF" w:rsidRPr="004417AF">
        <w:rPr>
          <w:szCs w:val="20"/>
        </w:rPr>
        <w:t>Hyperthermia system, radio frequency</w:t>
      </w:r>
      <w:r w:rsidR="004417AF">
        <w:rPr>
          <w:szCs w:val="20"/>
        </w:rPr>
        <w:t xml:space="preserve"> and </w:t>
      </w:r>
      <w:r w:rsidR="004417AF" w:rsidRPr="004417AF">
        <w:rPr>
          <w:szCs w:val="20"/>
        </w:rPr>
        <w:t>311560</w:t>
      </w:r>
      <w:r w:rsidR="004417AF">
        <w:rPr>
          <w:szCs w:val="20"/>
        </w:rPr>
        <w:t xml:space="preserve"> </w:t>
      </w:r>
      <w:r w:rsidR="00E67894">
        <w:rPr>
          <w:szCs w:val="20"/>
        </w:rPr>
        <w:t xml:space="preserve">– </w:t>
      </w:r>
      <w:r w:rsidR="00E67894" w:rsidRPr="00E67894">
        <w:rPr>
          <w:szCs w:val="20"/>
        </w:rPr>
        <w:t>Hyperthermia applicator, RF, intracorporeal</w:t>
      </w:r>
    </w:p>
    <w:p w14:paraId="6A01F966" w14:textId="4AC13168"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4417AF">
        <w:rPr>
          <w:szCs w:val="20"/>
        </w:rPr>
        <w:t>N/A</w:t>
      </w:r>
    </w:p>
    <w:p w14:paraId="68C9A6A7" w14:textId="24F4B91C" w:rsidR="00F301F1" w:rsidRPr="0043654D" w:rsidRDefault="0043654D" w:rsidP="00E67894">
      <w:pPr>
        <w:spacing w:before="0" w:after="0"/>
        <w:ind w:left="284"/>
        <w:rPr>
          <w:szCs w:val="20"/>
        </w:rPr>
      </w:pPr>
      <w:r w:rsidRPr="0043654D">
        <w:rPr>
          <w:szCs w:val="20"/>
        </w:rPr>
        <w:t>TGA approved purpose(s), if applicable:</w:t>
      </w:r>
      <w:r>
        <w:rPr>
          <w:szCs w:val="20"/>
        </w:rPr>
        <w:t xml:space="preserve">  </w:t>
      </w:r>
      <w:r w:rsidR="00E67894">
        <w:rPr>
          <w:szCs w:val="20"/>
        </w:rPr>
        <w:t xml:space="preserve">299127– </w:t>
      </w:r>
      <w:r w:rsidR="004417AF" w:rsidRPr="004417AF">
        <w:rPr>
          <w:szCs w:val="20"/>
        </w:rPr>
        <w:t>A transurethral Radiofrequency thermal therapy used to treat benign prostatic hyperplasia (BPH)</w:t>
      </w:r>
      <w:r w:rsidR="004417AF">
        <w:rPr>
          <w:szCs w:val="20"/>
        </w:rPr>
        <w:t xml:space="preserve"> </w:t>
      </w:r>
      <w:r w:rsidR="004417AF" w:rsidRPr="004417AF">
        <w:rPr>
          <w:szCs w:val="20"/>
        </w:rPr>
        <w:t>Radiofrequency generated thermal therapy, in the form of water vapour, is applied directly to the extra</w:t>
      </w:r>
      <w:r w:rsidR="004417AF">
        <w:rPr>
          <w:szCs w:val="20"/>
        </w:rPr>
        <w:t xml:space="preserve"> </w:t>
      </w:r>
      <w:r w:rsidR="004417AF" w:rsidRPr="004417AF">
        <w:rPr>
          <w:szCs w:val="20"/>
        </w:rPr>
        <w:t>prostate tissue.</w:t>
      </w:r>
      <w:r w:rsidR="00E67894">
        <w:rPr>
          <w:szCs w:val="20"/>
        </w:rPr>
        <w:t xml:space="preserve"> 311560 – a</w:t>
      </w:r>
      <w:r w:rsidR="00E67894" w:rsidRPr="00E67894">
        <w:rPr>
          <w:szCs w:val="20"/>
        </w:rPr>
        <w:t xml:space="preserve"> sterile, single use, delivery device, designed for transurethral insertion. Used for the treatment of Benign</w:t>
      </w:r>
      <w:r w:rsidR="00E67894">
        <w:rPr>
          <w:szCs w:val="20"/>
        </w:rPr>
        <w:t xml:space="preserve"> </w:t>
      </w:r>
      <w:r w:rsidR="00E67894" w:rsidRPr="00E67894">
        <w:rPr>
          <w:szCs w:val="20"/>
        </w:rPr>
        <w:t>Prostatic Hyperplasia (BPH)when connected to a Rezum generator.</w:t>
      </w:r>
      <w:r w:rsidR="00E67894">
        <w:rPr>
          <w:szCs w:val="20"/>
        </w:rPr>
        <w:t xml:space="preserve"> </w:t>
      </w:r>
    </w:p>
    <w:p w14:paraId="1B0B446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A4B5D23"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Yes (please provide details below)</w:t>
      </w:r>
    </w:p>
    <w:p w14:paraId="5840D30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No</w:t>
      </w:r>
    </w:p>
    <w:p w14:paraId="49EC2F59" w14:textId="5730D2CB" w:rsidR="0047581D" w:rsidRDefault="0047581D" w:rsidP="0047581D">
      <w:pPr>
        <w:spacing w:before="0" w:after="0"/>
        <w:rPr>
          <w:b/>
          <w:szCs w:val="20"/>
        </w:rPr>
      </w:pPr>
    </w:p>
    <w:p w14:paraId="0713AA6A" w14:textId="3F16621F" w:rsidR="00E67894" w:rsidRPr="00E67894" w:rsidRDefault="00E67894" w:rsidP="0047581D">
      <w:pPr>
        <w:spacing w:before="0" w:after="0"/>
        <w:rPr>
          <w:szCs w:val="20"/>
        </w:rPr>
      </w:pPr>
      <w:r w:rsidRPr="00E67894">
        <w:rPr>
          <w:szCs w:val="20"/>
        </w:rPr>
        <w:t>N/A</w:t>
      </w:r>
    </w:p>
    <w:p w14:paraId="04E13C95" w14:textId="58BF1042" w:rsidR="0047581D" w:rsidRPr="0047581D" w:rsidRDefault="0047581D" w:rsidP="0047581D">
      <w:pPr>
        <w:spacing w:before="0" w:after="0"/>
        <w:rPr>
          <w:szCs w:val="20"/>
        </w:rPr>
      </w:pPr>
      <w:r w:rsidRPr="0047581D">
        <w:rPr>
          <w:szCs w:val="20"/>
        </w:rPr>
        <w:t xml:space="preserve">Date of submission to TGA:  </w:t>
      </w:r>
    </w:p>
    <w:p w14:paraId="4FDDCC09" w14:textId="34DF9B61"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
    <w:p w14:paraId="0AE9600C" w14:textId="0158A532" w:rsidR="0047581D" w:rsidRPr="0047581D" w:rsidRDefault="0047581D" w:rsidP="0047581D">
      <w:pPr>
        <w:spacing w:before="0" w:after="0"/>
        <w:rPr>
          <w:szCs w:val="20"/>
        </w:rPr>
      </w:pPr>
      <w:r w:rsidRPr="0047581D">
        <w:rPr>
          <w:szCs w:val="20"/>
        </w:rPr>
        <w:t>TGA Application ID</w:t>
      </w:r>
      <w:r>
        <w:rPr>
          <w:szCs w:val="20"/>
        </w:rPr>
        <w:t xml:space="preserve">:  </w:t>
      </w:r>
    </w:p>
    <w:p w14:paraId="3616599E" w14:textId="40C6112F"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1278D127" w14:textId="098DFD63" w:rsidR="003433D1" w:rsidRPr="0047581D" w:rsidRDefault="0047581D" w:rsidP="0047581D">
      <w:pPr>
        <w:spacing w:before="0" w:after="0"/>
        <w:rPr>
          <w:szCs w:val="20"/>
        </w:rPr>
      </w:pPr>
      <w:r w:rsidRPr="0047581D">
        <w:rPr>
          <w:szCs w:val="20"/>
        </w:rPr>
        <w:t>TGA approved purpose(s), if applicable</w:t>
      </w:r>
      <w:r>
        <w:rPr>
          <w:szCs w:val="20"/>
        </w:rPr>
        <w:t xml:space="preserve">:  </w:t>
      </w:r>
    </w:p>
    <w:p w14:paraId="3FFC74F9"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532049F3"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Yes (please provide details below)</w:t>
      </w:r>
    </w:p>
    <w:p w14:paraId="18C1D2C9"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No</w:t>
      </w:r>
    </w:p>
    <w:p w14:paraId="5EC024E3" w14:textId="273E7E95" w:rsidR="000A110D" w:rsidRDefault="000A110D" w:rsidP="00971EDB">
      <w:pPr>
        <w:spacing w:before="0" w:after="0"/>
        <w:rPr>
          <w:szCs w:val="20"/>
        </w:rPr>
      </w:pPr>
    </w:p>
    <w:p w14:paraId="238AD5C6" w14:textId="21BE9E4E" w:rsidR="00E67894" w:rsidRDefault="00E67894" w:rsidP="00971EDB">
      <w:pPr>
        <w:spacing w:before="0" w:after="0"/>
        <w:rPr>
          <w:szCs w:val="20"/>
        </w:rPr>
      </w:pPr>
      <w:r>
        <w:rPr>
          <w:szCs w:val="20"/>
        </w:rPr>
        <w:t>N/A</w:t>
      </w:r>
    </w:p>
    <w:p w14:paraId="0C53F754" w14:textId="28CBDD38" w:rsidR="00971EDB" w:rsidRPr="00971EDB" w:rsidRDefault="00971EDB" w:rsidP="00971EDB">
      <w:pPr>
        <w:spacing w:before="0" w:after="0"/>
        <w:rPr>
          <w:szCs w:val="20"/>
        </w:rPr>
      </w:pPr>
      <w:r w:rsidRPr="00971EDB">
        <w:rPr>
          <w:szCs w:val="20"/>
        </w:rPr>
        <w:lastRenderedPageBreak/>
        <w:t>Estimated date of submission to TGA</w:t>
      </w:r>
      <w:r>
        <w:rPr>
          <w:szCs w:val="20"/>
        </w:rPr>
        <w:t xml:space="preserve">:  </w:t>
      </w:r>
    </w:p>
    <w:p w14:paraId="0C440359" w14:textId="2FF280BE"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284118CB" w14:textId="0541B2DF" w:rsidR="00971EDB" w:rsidRPr="00971EDB" w:rsidRDefault="00971EDB" w:rsidP="00971EDB">
      <w:pPr>
        <w:spacing w:before="0" w:after="0"/>
        <w:rPr>
          <w:szCs w:val="20"/>
        </w:rPr>
      </w:pPr>
      <w:r w:rsidRPr="00971EDB">
        <w:rPr>
          <w:szCs w:val="20"/>
        </w:rPr>
        <w:t>Proposed purpose(s), if applicable</w:t>
      </w:r>
      <w:r>
        <w:rPr>
          <w:szCs w:val="20"/>
        </w:rPr>
        <w:t xml:space="preserve">:  </w:t>
      </w:r>
    </w:p>
    <w:p w14:paraId="6460E4B5" w14:textId="77777777" w:rsidR="00F83A9D" w:rsidRPr="00154B00" w:rsidRDefault="00F83A9D" w:rsidP="00F83A9D">
      <w:pPr>
        <w:rPr>
          <w:szCs w:val="20"/>
        </w:rPr>
      </w:pPr>
    </w:p>
    <w:p w14:paraId="7432E019"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5ECC11F2"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55D95C49"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459"/>
        <w:gridCol w:w="1337"/>
        <w:gridCol w:w="2004"/>
        <w:gridCol w:w="2502"/>
        <w:gridCol w:w="6121"/>
        <w:gridCol w:w="1525"/>
      </w:tblGrid>
      <w:tr w:rsidR="00E346D0" w14:paraId="1D4B0B4D" w14:textId="77777777" w:rsidTr="00E346D0">
        <w:trPr>
          <w:cnfStyle w:val="100000000000" w:firstRow="1" w:lastRow="0" w:firstColumn="0" w:lastColumn="0" w:oddVBand="0" w:evenVBand="0" w:oddHBand="0" w:evenHBand="0" w:firstRowFirstColumn="0" w:firstRowLastColumn="0" w:lastRowFirstColumn="0" w:lastRowLastColumn="0"/>
          <w:cantSplit/>
          <w:tblHeader/>
        </w:trPr>
        <w:tc>
          <w:tcPr>
            <w:tcW w:w="168" w:type="pct"/>
          </w:tcPr>
          <w:p w14:paraId="0EB64187" w14:textId="77777777" w:rsidR="00DD308E" w:rsidRDefault="00DD308E" w:rsidP="00855944">
            <w:pPr>
              <w:pStyle w:val="TableHEADER"/>
            </w:pPr>
          </w:p>
        </w:tc>
        <w:tc>
          <w:tcPr>
            <w:tcW w:w="465" w:type="pct"/>
          </w:tcPr>
          <w:p w14:paraId="00FC85D4" w14:textId="77777777" w:rsidR="00DD308E" w:rsidRDefault="00DD308E" w:rsidP="00855944">
            <w:pPr>
              <w:pStyle w:val="TableHEADER"/>
            </w:pPr>
            <w:r>
              <w:t>Type of study design*</w:t>
            </w:r>
          </w:p>
        </w:tc>
        <w:tc>
          <w:tcPr>
            <w:tcW w:w="722" w:type="pct"/>
          </w:tcPr>
          <w:p w14:paraId="72A6C8D0" w14:textId="77777777" w:rsidR="00DD308E" w:rsidRDefault="00DD308E" w:rsidP="00855944">
            <w:pPr>
              <w:pStyle w:val="TableHEADER"/>
            </w:pPr>
            <w:r>
              <w:t>Title of journal article  or research project (including any trial identifier or study lead if relevant)</w:t>
            </w:r>
          </w:p>
        </w:tc>
        <w:tc>
          <w:tcPr>
            <w:tcW w:w="900" w:type="pct"/>
          </w:tcPr>
          <w:p w14:paraId="0372D99D" w14:textId="77777777" w:rsidR="00DD308E" w:rsidRDefault="00DD308E" w:rsidP="00855944">
            <w:pPr>
              <w:pStyle w:val="TableHEADER"/>
            </w:pPr>
            <w:r>
              <w:t>Short description of research  (max 50 words)**</w:t>
            </w:r>
          </w:p>
        </w:tc>
        <w:tc>
          <w:tcPr>
            <w:tcW w:w="2194" w:type="pct"/>
          </w:tcPr>
          <w:p w14:paraId="68131966" w14:textId="77777777" w:rsidR="00DD308E" w:rsidRDefault="00DD308E" w:rsidP="00855944">
            <w:pPr>
              <w:pStyle w:val="TableHEADER"/>
            </w:pPr>
            <w:r w:rsidRPr="00E82F54">
              <w:t xml:space="preserve">Website link to </w:t>
            </w:r>
            <w:r>
              <w:t>journal article or research (if available)</w:t>
            </w:r>
          </w:p>
        </w:tc>
        <w:tc>
          <w:tcPr>
            <w:tcW w:w="550" w:type="pct"/>
          </w:tcPr>
          <w:p w14:paraId="3FC25531" w14:textId="77777777" w:rsidR="00DD308E" w:rsidRDefault="00DD308E" w:rsidP="00855944">
            <w:pPr>
              <w:pStyle w:val="TableHEADER"/>
            </w:pPr>
            <w:r w:rsidRPr="00E82F54">
              <w:t>Date</w:t>
            </w:r>
            <w:r>
              <w:t xml:space="preserve"> of publication</w:t>
            </w:r>
            <w:r w:rsidRPr="00E82F54">
              <w:t>*</w:t>
            </w:r>
            <w:r>
              <w:t>**</w:t>
            </w:r>
          </w:p>
        </w:tc>
      </w:tr>
      <w:tr w:rsidR="00E346D0" w:rsidRPr="00B76D63" w14:paraId="20BF882A" w14:textId="77777777" w:rsidTr="00E346D0">
        <w:trPr>
          <w:cantSplit/>
        </w:trPr>
        <w:tc>
          <w:tcPr>
            <w:tcW w:w="168" w:type="pct"/>
          </w:tcPr>
          <w:p w14:paraId="62FD3BEC" w14:textId="77777777" w:rsidR="00DD308E" w:rsidRPr="00965B6B" w:rsidRDefault="00DD308E" w:rsidP="00DD308E">
            <w:pPr>
              <w:rPr>
                <w:szCs w:val="20"/>
              </w:rPr>
            </w:pPr>
            <w:r w:rsidRPr="00965B6B">
              <w:rPr>
                <w:szCs w:val="20"/>
              </w:rPr>
              <w:t>1</w:t>
            </w:r>
            <w:r>
              <w:rPr>
                <w:szCs w:val="20"/>
              </w:rPr>
              <w:t>.</w:t>
            </w:r>
          </w:p>
        </w:tc>
        <w:tc>
          <w:tcPr>
            <w:tcW w:w="465" w:type="pct"/>
          </w:tcPr>
          <w:p w14:paraId="27F0BA5B" w14:textId="77777777" w:rsidR="00DD308E" w:rsidRDefault="00DB6C13" w:rsidP="00DD308E">
            <w:pPr>
              <w:rPr>
                <w:b/>
                <w:szCs w:val="20"/>
              </w:rPr>
            </w:pPr>
            <w:r>
              <w:t>RCT, MC, DB</w:t>
            </w:r>
          </w:p>
        </w:tc>
        <w:tc>
          <w:tcPr>
            <w:tcW w:w="722" w:type="pct"/>
          </w:tcPr>
          <w:p w14:paraId="592A04EE" w14:textId="77777777" w:rsidR="00B76D63" w:rsidRPr="00B76D63" w:rsidRDefault="00B76D63" w:rsidP="00B76D63">
            <w:pPr>
              <w:rPr>
                <w:u w:val="single"/>
              </w:rPr>
            </w:pPr>
            <w:r w:rsidRPr="00B76D63">
              <w:rPr>
                <w:u w:val="single"/>
              </w:rPr>
              <w:t>McVary 2016</w:t>
            </w:r>
          </w:p>
          <w:p w14:paraId="3C0C106D" w14:textId="77777777" w:rsidR="00DD308E" w:rsidRDefault="00B76D63" w:rsidP="00B76D63">
            <w:pPr>
              <w:rPr>
                <w:b/>
                <w:szCs w:val="20"/>
              </w:rPr>
            </w:pPr>
            <w:r w:rsidRPr="00B76D63">
              <w:t>Minimally Invasive Prostate Convective Water Vapor Energy</w:t>
            </w:r>
            <w:r>
              <w:t xml:space="preserve"> </w:t>
            </w:r>
            <w:r w:rsidRPr="00B76D63">
              <w:t>Ablation: A Multicenter, Randomized, Controlled Study for</w:t>
            </w:r>
            <w:r>
              <w:t xml:space="preserve"> </w:t>
            </w:r>
            <w:r w:rsidRPr="00B76D63">
              <w:t>the Treatment of Lower Urinary Tract Symptoms Secondary</w:t>
            </w:r>
            <w:r>
              <w:t xml:space="preserve"> </w:t>
            </w:r>
            <w:r w:rsidRPr="00B76D63">
              <w:t>to Benign Prostatic Hyperplasia</w:t>
            </w:r>
          </w:p>
        </w:tc>
        <w:tc>
          <w:tcPr>
            <w:tcW w:w="900" w:type="pct"/>
          </w:tcPr>
          <w:p w14:paraId="35DF0A01" w14:textId="07D47035" w:rsidR="00DD308E" w:rsidRDefault="00B76D63" w:rsidP="00DD308E">
            <w:pPr>
              <w:rPr>
                <w:b/>
                <w:szCs w:val="20"/>
              </w:rPr>
            </w:pPr>
            <w:r w:rsidRPr="00B76D63">
              <w:t xml:space="preserve">The study included 197 men, ≥ 50 years old, with IPSS score of ≥ 13 and prostate size 30-80 </w:t>
            </w:r>
            <w:r w:rsidR="00383A42" w:rsidRPr="00383A42">
              <w:t>cm</w:t>
            </w:r>
            <w:r w:rsidR="00383A42" w:rsidRPr="00383A42">
              <w:rPr>
                <w:vertAlign w:val="superscript"/>
              </w:rPr>
              <w:t>3</w:t>
            </w:r>
            <w:r w:rsidRPr="00B76D63">
              <w:t>, randomised to TUWA or sham control. After 3 months, sham control subjects crossed over.</w:t>
            </w:r>
            <w:r w:rsidRPr="00B76D63">
              <w:rPr>
                <w:rFonts w:cstheme="minorHAnsi"/>
                <w:szCs w:val="20"/>
              </w:rPr>
              <w:t xml:space="preserve"> At</w:t>
            </w:r>
            <w:r>
              <w:rPr>
                <w:rFonts w:cstheme="minorHAnsi"/>
                <w:szCs w:val="20"/>
              </w:rPr>
              <w:t xml:space="preserve"> 3 months, TUWA patients had achieved statistically significant improvements relative to control with respect to IPSS, Qmax, IPSS Q</w:t>
            </w:r>
            <w:r w:rsidR="00BD5018">
              <w:rPr>
                <w:rFonts w:cstheme="minorHAnsi"/>
                <w:szCs w:val="20"/>
              </w:rPr>
              <w:t>OL</w:t>
            </w:r>
            <w:r>
              <w:rPr>
                <w:rFonts w:cstheme="minorHAnsi"/>
                <w:szCs w:val="20"/>
              </w:rPr>
              <w:t xml:space="preserve"> score, OAB-q SF bother and HRQL scores. AEs were of mild to moderate severity and most resolved within 3 weeks No de novo erectile </w:t>
            </w:r>
            <w:r w:rsidR="00BD5018">
              <w:rPr>
                <w:rFonts w:cstheme="minorHAnsi"/>
                <w:szCs w:val="20"/>
              </w:rPr>
              <w:t>dysfunctions</w:t>
            </w:r>
            <w:r>
              <w:rPr>
                <w:rFonts w:cstheme="minorHAnsi"/>
                <w:szCs w:val="20"/>
              </w:rPr>
              <w:t xml:space="preserve"> were observed. </w:t>
            </w:r>
          </w:p>
        </w:tc>
        <w:tc>
          <w:tcPr>
            <w:tcW w:w="2194" w:type="pct"/>
          </w:tcPr>
          <w:p w14:paraId="488F8B20" w14:textId="052E6360" w:rsidR="00DD308E" w:rsidRDefault="00CE7920" w:rsidP="00DD308E">
            <w:pPr>
              <w:rPr>
                <w:szCs w:val="20"/>
              </w:rPr>
            </w:pPr>
            <w:hyperlink r:id="rId17" w:history="1">
              <w:r w:rsidR="00E346D0" w:rsidRPr="00FD2D1D">
                <w:rPr>
                  <w:rStyle w:val="Hyperlink"/>
                  <w:szCs w:val="20"/>
                </w:rPr>
                <w:t>https://www.ncbi.nlm.nih.gov/pubmed/26614889</w:t>
              </w:r>
            </w:hyperlink>
          </w:p>
          <w:p w14:paraId="45D91E65" w14:textId="77777777" w:rsidR="00E346D0" w:rsidRPr="00B76D63" w:rsidRDefault="00E346D0" w:rsidP="00DD308E">
            <w:pPr>
              <w:rPr>
                <w:szCs w:val="20"/>
              </w:rPr>
            </w:pPr>
            <w:r w:rsidRPr="00E346D0">
              <w:t>NCT01912339</w:t>
            </w:r>
          </w:p>
        </w:tc>
        <w:tc>
          <w:tcPr>
            <w:tcW w:w="550" w:type="pct"/>
          </w:tcPr>
          <w:p w14:paraId="356FE561" w14:textId="77777777" w:rsidR="00DD308E" w:rsidRPr="00B76D63" w:rsidRDefault="00DB6C13" w:rsidP="00DD308E">
            <w:pPr>
              <w:rPr>
                <w:szCs w:val="20"/>
              </w:rPr>
            </w:pPr>
            <w:r w:rsidRPr="00B76D63">
              <w:rPr>
                <w:szCs w:val="20"/>
              </w:rPr>
              <w:t>2016</w:t>
            </w:r>
          </w:p>
        </w:tc>
      </w:tr>
      <w:tr w:rsidR="00E346D0" w14:paraId="0185910A" w14:textId="77777777" w:rsidTr="00E346D0">
        <w:trPr>
          <w:cantSplit/>
        </w:trPr>
        <w:tc>
          <w:tcPr>
            <w:tcW w:w="168" w:type="pct"/>
          </w:tcPr>
          <w:p w14:paraId="6ED7897F" w14:textId="77777777" w:rsidR="00DD308E" w:rsidRPr="00965B6B" w:rsidRDefault="00DD308E" w:rsidP="00DD308E">
            <w:pPr>
              <w:rPr>
                <w:szCs w:val="20"/>
              </w:rPr>
            </w:pPr>
            <w:r>
              <w:rPr>
                <w:szCs w:val="20"/>
              </w:rPr>
              <w:lastRenderedPageBreak/>
              <w:t>2.</w:t>
            </w:r>
          </w:p>
        </w:tc>
        <w:tc>
          <w:tcPr>
            <w:tcW w:w="465" w:type="pct"/>
          </w:tcPr>
          <w:p w14:paraId="5DC2CFF6" w14:textId="77777777" w:rsidR="00DD308E" w:rsidRPr="003B0D70" w:rsidRDefault="009B3442" w:rsidP="00DD308E">
            <w:pPr>
              <w:rPr>
                <w:szCs w:val="20"/>
              </w:rPr>
            </w:pPr>
            <w:r w:rsidRPr="003B0D70">
              <w:rPr>
                <w:szCs w:val="20"/>
              </w:rPr>
              <w:t>Long-term follow up of McVary 2016</w:t>
            </w:r>
          </w:p>
        </w:tc>
        <w:tc>
          <w:tcPr>
            <w:tcW w:w="722" w:type="pct"/>
          </w:tcPr>
          <w:p w14:paraId="15B0EFE7" w14:textId="0FE3AB71" w:rsidR="009B3442" w:rsidRPr="009B3442" w:rsidRDefault="00BD5018" w:rsidP="00B76D63">
            <w:pPr>
              <w:rPr>
                <w:u w:val="single"/>
              </w:rPr>
            </w:pPr>
            <w:r w:rsidRPr="009B3442">
              <w:rPr>
                <w:u w:val="single"/>
              </w:rPr>
              <w:t>McVary</w:t>
            </w:r>
            <w:r w:rsidR="009B3442" w:rsidRPr="009B3442">
              <w:rPr>
                <w:u w:val="single"/>
              </w:rPr>
              <w:t xml:space="preserve"> &amp; Roehborn 2017</w:t>
            </w:r>
          </w:p>
          <w:p w14:paraId="3FF03B19" w14:textId="77777777" w:rsidR="00DD308E" w:rsidRDefault="00B76D63" w:rsidP="00B76D63">
            <w:pPr>
              <w:rPr>
                <w:b/>
                <w:szCs w:val="20"/>
              </w:rPr>
            </w:pPr>
            <w:r w:rsidRPr="00B76D63">
              <w:t>Three-Year Outcomes of the</w:t>
            </w:r>
            <w:r>
              <w:t xml:space="preserve"> </w:t>
            </w:r>
            <w:r w:rsidRPr="00B76D63">
              <w:t>Prospective, Randomized Controlled</w:t>
            </w:r>
            <w:r>
              <w:t xml:space="preserve"> </w:t>
            </w:r>
            <w:r w:rsidRPr="00B76D63">
              <w:t>Rezum System Study: Convective</w:t>
            </w:r>
            <w:r>
              <w:t xml:space="preserve"> </w:t>
            </w:r>
            <w:r w:rsidRPr="00B76D63">
              <w:t>Radiofrequency Thermal Therapy for</w:t>
            </w:r>
            <w:r>
              <w:t xml:space="preserve"> </w:t>
            </w:r>
            <w:r w:rsidRPr="00B76D63">
              <w:t>Treatment of Lower Urinary Tract</w:t>
            </w:r>
            <w:r>
              <w:t xml:space="preserve"> </w:t>
            </w:r>
            <w:r w:rsidRPr="00B76D63">
              <w:t>Symptoms Due to Benign Prostatic</w:t>
            </w:r>
            <w:r>
              <w:t xml:space="preserve"> </w:t>
            </w:r>
            <w:r w:rsidRPr="00B76D63">
              <w:t>Hyperplasia</w:t>
            </w:r>
          </w:p>
        </w:tc>
        <w:tc>
          <w:tcPr>
            <w:tcW w:w="900" w:type="pct"/>
          </w:tcPr>
          <w:p w14:paraId="7E18012D" w14:textId="77777777" w:rsidR="00DD308E" w:rsidRDefault="007118F6" w:rsidP="007118F6">
            <w:pPr>
              <w:rPr>
                <w:b/>
                <w:szCs w:val="20"/>
              </w:rPr>
            </w:pPr>
            <w:r>
              <w:rPr>
                <w:szCs w:val="20"/>
              </w:rPr>
              <w:t>The TUWA treatment effect of m</w:t>
            </w:r>
            <w:r w:rsidRPr="007118F6">
              <w:rPr>
                <w:szCs w:val="20"/>
              </w:rPr>
              <w:t>aximal symptom relief of at least 50% improvement in IPSS, quality</w:t>
            </w:r>
            <w:r>
              <w:rPr>
                <w:szCs w:val="20"/>
              </w:rPr>
              <w:t xml:space="preserve"> </w:t>
            </w:r>
            <w:r w:rsidRPr="007118F6">
              <w:rPr>
                <w:szCs w:val="20"/>
              </w:rPr>
              <w:t xml:space="preserve">of life, Qmax, and BPH Impact Index </w:t>
            </w:r>
            <w:r>
              <w:rPr>
                <w:szCs w:val="20"/>
              </w:rPr>
              <w:t>was sustained over</w:t>
            </w:r>
            <w:r w:rsidRPr="007118F6">
              <w:rPr>
                <w:szCs w:val="20"/>
              </w:rPr>
              <w:t xml:space="preserve"> 3 years</w:t>
            </w:r>
            <w:r>
              <w:rPr>
                <w:szCs w:val="20"/>
              </w:rPr>
              <w:t xml:space="preserve"> </w:t>
            </w:r>
            <w:r w:rsidRPr="007118F6">
              <w:rPr>
                <w:szCs w:val="20"/>
              </w:rPr>
              <w:t>(</w:t>
            </w:r>
            <w:r>
              <w:rPr>
                <w:szCs w:val="20"/>
              </w:rPr>
              <w:t>p</w:t>
            </w:r>
            <w:r w:rsidRPr="007118F6">
              <w:rPr>
                <w:szCs w:val="20"/>
              </w:rPr>
              <w:t xml:space="preserve">&lt;.0001). </w:t>
            </w:r>
            <w:r>
              <w:rPr>
                <w:szCs w:val="20"/>
              </w:rPr>
              <w:t>There was n</w:t>
            </w:r>
            <w:r w:rsidRPr="007118F6">
              <w:rPr>
                <w:szCs w:val="20"/>
              </w:rPr>
              <w:t>o</w:t>
            </w:r>
            <w:r>
              <w:rPr>
                <w:szCs w:val="20"/>
              </w:rPr>
              <w:t xml:space="preserve"> reporting of</w:t>
            </w:r>
            <w:r w:rsidRPr="007118F6">
              <w:rPr>
                <w:szCs w:val="20"/>
              </w:rPr>
              <w:t xml:space="preserve"> late-related </w:t>
            </w:r>
            <w:r>
              <w:rPr>
                <w:szCs w:val="20"/>
              </w:rPr>
              <w:t>AE</w:t>
            </w:r>
            <w:r w:rsidRPr="007118F6">
              <w:rPr>
                <w:szCs w:val="20"/>
              </w:rPr>
              <w:t>s and</w:t>
            </w:r>
            <w:r>
              <w:rPr>
                <w:szCs w:val="20"/>
              </w:rPr>
              <w:t xml:space="preserve"> consistent with at 3 months, </w:t>
            </w:r>
            <w:r w:rsidRPr="007118F6">
              <w:rPr>
                <w:szCs w:val="20"/>
              </w:rPr>
              <w:t xml:space="preserve">no de novo erectile dysfunction was </w:t>
            </w:r>
            <w:r>
              <w:rPr>
                <w:szCs w:val="20"/>
              </w:rPr>
              <w:t>observed</w:t>
            </w:r>
            <w:r w:rsidRPr="007118F6">
              <w:rPr>
                <w:szCs w:val="20"/>
              </w:rPr>
              <w:t xml:space="preserve">. The </w:t>
            </w:r>
            <w:r>
              <w:rPr>
                <w:szCs w:val="20"/>
              </w:rPr>
              <w:t xml:space="preserve">rate of </w:t>
            </w:r>
            <w:r w:rsidRPr="007118F6">
              <w:rPr>
                <w:szCs w:val="20"/>
              </w:rPr>
              <w:t>surgical retreatment was 4.4% over 3 years</w:t>
            </w:r>
            <w:r>
              <w:rPr>
                <w:szCs w:val="20"/>
              </w:rPr>
              <w:t>.</w:t>
            </w:r>
          </w:p>
        </w:tc>
        <w:tc>
          <w:tcPr>
            <w:tcW w:w="2194" w:type="pct"/>
          </w:tcPr>
          <w:p w14:paraId="79F2060B" w14:textId="77777777" w:rsidR="00DD308E" w:rsidRPr="007118F6" w:rsidRDefault="007118F6" w:rsidP="00DD308E">
            <w:pPr>
              <w:rPr>
                <w:szCs w:val="20"/>
              </w:rPr>
            </w:pPr>
            <w:r w:rsidRPr="007118F6">
              <w:rPr>
                <w:szCs w:val="20"/>
              </w:rPr>
              <w:t>https://www.ncbi.nlm.nih.gov/pubmed/29122620</w:t>
            </w:r>
          </w:p>
        </w:tc>
        <w:tc>
          <w:tcPr>
            <w:tcW w:w="550" w:type="pct"/>
          </w:tcPr>
          <w:p w14:paraId="54DEC703" w14:textId="77777777" w:rsidR="00DD308E" w:rsidRPr="00E82F54" w:rsidRDefault="007118F6" w:rsidP="00DD308E">
            <w:pPr>
              <w:rPr>
                <w:b/>
                <w:szCs w:val="20"/>
              </w:rPr>
            </w:pPr>
            <w:r>
              <w:t>201</w:t>
            </w:r>
            <w:r w:rsidR="009B3442">
              <w:t>7</w:t>
            </w:r>
          </w:p>
        </w:tc>
      </w:tr>
      <w:tr w:rsidR="009B3442" w14:paraId="5D9126E7" w14:textId="77777777" w:rsidTr="00E346D0">
        <w:trPr>
          <w:cantSplit/>
        </w:trPr>
        <w:tc>
          <w:tcPr>
            <w:tcW w:w="168" w:type="pct"/>
          </w:tcPr>
          <w:p w14:paraId="7C19E307" w14:textId="77777777" w:rsidR="009B3442" w:rsidRDefault="009B3442" w:rsidP="00DD308E">
            <w:pPr>
              <w:rPr>
                <w:szCs w:val="20"/>
              </w:rPr>
            </w:pPr>
          </w:p>
        </w:tc>
        <w:tc>
          <w:tcPr>
            <w:tcW w:w="465" w:type="pct"/>
          </w:tcPr>
          <w:p w14:paraId="08277ECE" w14:textId="77777777" w:rsidR="009B3442" w:rsidRDefault="003B0D70" w:rsidP="00DD308E">
            <w:r>
              <w:t>Cross-over study</w:t>
            </w:r>
          </w:p>
        </w:tc>
        <w:tc>
          <w:tcPr>
            <w:tcW w:w="722" w:type="pct"/>
          </w:tcPr>
          <w:p w14:paraId="6E385C35" w14:textId="022D0479" w:rsidR="003B0D70" w:rsidRPr="003B0D70" w:rsidRDefault="00BD5018" w:rsidP="00B76D63">
            <w:pPr>
              <w:rPr>
                <w:u w:val="single"/>
              </w:rPr>
            </w:pPr>
            <w:r w:rsidRPr="003B0D70">
              <w:rPr>
                <w:u w:val="single"/>
              </w:rPr>
              <w:t>Roehborn</w:t>
            </w:r>
            <w:r w:rsidR="003B0D70" w:rsidRPr="003B0D70">
              <w:rPr>
                <w:u w:val="single"/>
              </w:rPr>
              <w:t xml:space="preserve"> 2017</w:t>
            </w:r>
          </w:p>
          <w:p w14:paraId="03364003" w14:textId="77777777" w:rsidR="009B3442" w:rsidRPr="00B76D63" w:rsidRDefault="009B3442" w:rsidP="00B76D63">
            <w:r w:rsidRPr="009B3442">
              <w:t>Convective Thermal Therapy: Durable 2-Year Results of Randomized Controlled and Prospective Crossover Studies for Treatment of Lower Urinary Tract Symptoms Due to Benign Prostatic Hyperplasia</w:t>
            </w:r>
          </w:p>
        </w:tc>
        <w:tc>
          <w:tcPr>
            <w:tcW w:w="900" w:type="pct"/>
          </w:tcPr>
          <w:p w14:paraId="53427626" w14:textId="77777777" w:rsidR="009B3442" w:rsidRDefault="003B0D70" w:rsidP="007118F6">
            <w:pPr>
              <w:rPr>
                <w:szCs w:val="20"/>
              </w:rPr>
            </w:pPr>
            <w:r>
              <w:rPr>
                <w:szCs w:val="20"/>
              </w:rPr>
              <w:t xml:space="preserve">This study reports on 2 years outcomes from the RCT and of the cross over to TUWA. </w:t>
            </w:r>
            <w:r w:rsidRPr="003B0D70">
              <w:rPr>
                <w:szCs w:val="20"/>
              </w:rPr>
              <w:t xml:space="preserve">Crossover subject </w:t>
            </w:r>
            <w:r>
              <w:rPr>
                <w:szCs w:val="20"/>
              </w:rPr>
              <w:t>IPSS scores</w:t>
            </w:r>
            <w:r w:rsidRPr="003B0D70">
              <w:rPr>
                <w:szCs w:val="20"/>
              </w:rPr>
              <w:t xml:space="preserve">, </w:t>
            </w:r>
            <w:r>
              <w:rPr>
                <w:szCs w:val="20"/>
              </w:rPr>
              <w:t>Qmax</w:t>
            </w:r>
            <w:r w:rsidRPr="003B0D70">
              <w:rPr>
                <w:szCs w:val="20"/>
              </w:rPr>
              <w:t xml:space="preserve"> and </w:t>
            </w:r>
            <w:r>
              <w:rPr>
                <w:szCs w:val="20"/>
              </w:rPr>
              <w:t>QoL</w:t>
            </w:r>
            <w:r w:rsidRPr="003B0D70">
              <w:rPr>
                <w:szCs w:val="20"/>
              </w:rPr>
              <w:t xml:space="preserve"> measures were markedly improved after </w:t>
            </w:r>
            <w:r>
              <w:rPr>
                <w:szCs w:val="20"/>
              </w:rPr>
              <w:t>TUWA</w:t>
            </w:r>
            <w:r w:rsidRPr="003B0D70">
              <w:rPr>
                <w:szCs w:val="20"/>
              </w:rPr>
              <w:t xml:space="preserve"> compared to after the control procedure (p = 0.024 to &lt;0.0001). No de novo erectile dysfunction was reported.</w:t>
            </w:r>
          </w:p>
        </w:tc>
        <w:tc>
          <w:tcPr>
            <w:tcW w:w="2194" w:type="pct"/>
          </w:tcPr>
          <w:p w14:paraId="37BB7F73" w14:textId="77777777" w:rsidR="009B3442" w:rsidRPr="007118F6" w:rsidRDefault="003B0D70" w:rsidP="00DD308E">
            <w:pPr>
              <w:rPr>
                <w:szCs w:val="20"/>
              </w:rPr>
            </w:pPr>
            <w:r w:rsidRPr="003B0D70">
              <w:rPr>
                <w:szCs w:val="20"/>
              </w:rPr>
              <w:t>https://www.sciencedirect.com/science/article/pii/S0022534716319826</w:t>
            </w:r>
          </w:p>
        </w:tc>
        <w:tc>
          <w:tcPr>
            <w:tcW w:w="550" w:type="pct"/>
          </w:tcPr>
          <w:p w14:paraId="2F1541FC" w14:textId="77777777" w:rsidR="009B3442" w:rsidRDefault="003B0D70" w:rsidP="00DD308E">
            <w:r>
              <w:t>2017</w:t>
            </w:r>
          </w:p>
        </w:tc>
      </w:tr>
      <w:tr w:rsidR="00090AB2" w14:paraId="19D427E9" w14:textId="77777777" w:rsidTr="00E346D0">
        <w:trPr>
          <w:cantSplit/>
        </w:trPr>
        <w:tc>
          <w:tcPr>
            <w:tcW w:w="168" w:type="pct"/>
          </w:tcPr>
          <w:p w14:paraId="5566BE3B" w14:textId="77777777" w:rsidR="00090AB2" w:rsidRDefault="00090AB2" w:rsidP="00DD308E">
            <w:pPr>
              <w:rPr>
                <w:szCs w:val="20"/>
              </w:rPr>
            </w:pPr>
          </w:p>
        </w:tc>
        <w:tc>
          <w:tcPr>
            <w:tcW w:w="465" w:type="pct"/>
          </w:tcPr>
          <w:p w14:paraId="619CD0D2" w14:textId="366871D2" w:rsidR="00090AB2" w:rsidRDefault="00090AB2" w:rsidP="00DD308E">
            <w:r>
              <w:t>Cross-over st</w:t>
            </w:r>
            <w:r w:rsidR="0063723C">
              <w:t>u</w:t>
            </w:r>
            <w:r>
              <w:t>d</w:t>
            </w:r>
            <w:r w:rsidR="0063723C">
              <w:t>y</w:t>
            </w:r>
          </w:p>
        </w:tc>
        <w:tc>
          <w:tcPr>
            <w:tcW w:w="722" w:type="pct"/>
          </w:tcPr>
          <w:p w14:paraId="5803FE00" w14:textId="00C26055" w:rsidR="00090AB2" w:rsidRPr="003B0D70" w:rsidRDefault="00090AB2" w:rsidP="00B76D63">
            <w:pPr>
              <w:rPr>
                <w:u w:val="single"/>
              </w:rPr>
            </w:pPr>
            <w:r>
              <w:rPr>
                <w:u w:val="single"/>
              </w:rPr>
              <w:t>McVary 2019</w:t>
            </w:r>
          </w:p>
        </w:tc>
        <w:tc>
          <w:tcPr>
            <w:tcW w:w="900" w:type="pct"/>
          </w:tcPr>
          <w:p w14:paraId="2C342D8D" w14:textId="00083E29" w:rsidR="00090AB2" w:rsidRDefault="00090AB2" w:rsidP="007118F6">
            <w:pPr>
              <w:rPr>
                <w:szCs w:val="20"/>
              </w:rPr>
            </w:pPr>
            <w:r>
              <w:rPr>
                <w:szCs w:val="20"/>
              </w:rPr>
              <w:t xml:space="preserve">This abstract reports on 4 years outcomes from patients originally randomised to TUWA and for cross-over patients. The results showed durability </w:t>
            </w:r>
            <w:r w:rsidR="0063723C">
              <w:rPr>
                <w:szCs w:val="20"/>
              </w:rPr>
              <w:t xml:space="preserve">of effect with respect to </w:t>
            </w:r>
            <w:r>
              <w:rPr>
                <w:szCs w:val="20"/>
              </w:rPr>
              <w:t>IPSS</w:t>
            </w:r>
            <w:r w:rsidR="0063723C">
              <w:rPr>
                <w:szCs w:val="20"/>
              </w:rPr>
              <w:t>, Qmax, BPHII and QoL</w:t>
            </w:r>
            <w:r>
              <w:rPr>
                <w:szCs w:val="20"/>
              </w:rPr>
              <w:t xml:space="preserve"> over 4 years</w:t>
            </w:r>
            <w:r w:rsidR="0063723C">
              <w:rPr>
                <w:szCs w:val="20"/>
              </w:rPr>
              <w:t>. The surgical retreatment rate was 4.4% over 4 years. No late related AEs or de novo erectile dysfunction was reported.</w:t>
            </w:r>
          </w:p>
        </w:tc>
        <w:tc>
          <w:tcPr>
            <w:tcW w:w="2194" w:type="pct"/>
          </w:tcPr>
          <w:p w14:paraId="68C4551C" w14:textId="32C30134" w:rsidR="00090AB2" w:rsidRPr="003B0D70" w:rsidRDefault="0063723C" w:rsidP="00DD308E">
            <w:pPr>
              <w:rPr>
                <w:szCs w:val="20"/>
              </w:rPr>
            </w:pPr>
            <w:r w:rsidRPr="0063723C">
              <w:rPr>
                <w:szCs w:val="20"/>
              </w:rPr>
              <w:t>http://www.bostonscientific.com/content/dam/bostonscientific/uro-wh/portfolio-group/health-conditions/Enlarged%20Prostate/rezum/PDF/URO-602901-AA-Rezum-McVary-Blue-Bar-New.pdf</w:t>
            </w:r>
          </w:p>
        </w:tc>
        <w:tc>
          <w:tcPr>
            <w:tcW w:w="550" w:type="pct"/>
          </w:tcPr>
          <w:p w14:paraId="4F01F9AC" w14:textId="3555AEDF" w:rsidR="00090AB2" w:rsidRDefault="0063723C" w:rsidP="00DD308E">
            <w:r>
              <w:t>2019</w:t>
            </w:r>
          </w:p>
        </w:tc>
      </w:tr>
      <w:tr w:rsidR="00E346D0" w14:paraId="2878A457" w14:textId="77777777" w:rsidTr="00E346D0">
        <w:trPr>
          <w:cantSplit/>
        </w:trPr>
        <w:tc>
          <w:tcPr>
            <w:tcW w:w="168" w:type="pct"/>
          </w:tcPr>
          <w:p w14:paraId="248E5B43" w14:textId="77777777" w:rsidR="00DD308E" w:rsidRPr="00965B6B" w:rsidRDefault="00DD308E" w:rsidP="00DD308E">
            <w:pPr>
              <w:rPr>
                <w:szCs w:val="20"/>
              </w:rPr>
            </w:pPr>
            <w:r>
              <w:rPr>
                <w:szCs w:val="20"/>
              </w:rPr>
              <w:lastRenderedPageBreak/>
              <w:t>3.</w:t>
            </w:r>
          </w:p>
        </w:tc>
        <w:tc>
          <w:tcPr>
            <w:tcW w:w="465" w:type="pct"/>
          </w:tcPr>
          <w:p w14:paraId="044FF009" w14:textId="77777777" w:rsidR="00DD308E" w:rsidRDefault="007118F6" w:rsidP="00DD308E">
            <w:pPr>
              <w:rPr>
                <w:b/>
                <w:szCs w:val="20"/>
              </w:rPr>
            </w:pPr>
            <w:r>
              <w:t>Propensity score matched, cohort study</w:t>
            </w:r>
          </w:p>
        </w:tc>
        <w:tc>
          <w:tcPr>
            <w:tcW w:w="722" w:type="pct"/>
          </w:tcPr>
          <w:p w14:paraId="0B7A3776" w14:textId="77777777" w:rsidR="002D6213" w:rsidRPr="002D6213" w:rsidRDefault="002D6213" w:rsidP="00DD308E">
            <w:pPr>
              <w:rPr>
                <w:u w:val="single"/>
              </w:rPr>
            </w:pPr>
            <w:r w:rsidRPr="002D6213">
              <w:rPr>
                <w:u w:val="single"/>
              </w:rPr>
              <w:t>Gupta 2018</w:t>
            </w:r>
          </w:p>
          <w:p w14:paraId="09B842D1" w14:textId="3100EC69" w:rsidR="00DD308E" w:rsidRPr="007118F6" w:rsidRDefault="007118F6" w:rsidP="00DD308E">
            <w:r w:rsidRPr="007118F6">
              <w:t>Three-Year Treatment Outcomes of Water Vapor Thermal Therapy Compared to Doxazosin, Finasteride and Combination Drug Therapy in Men with Benign Prostatic Hyperplasia: Cohort Data from the MTOPS Trial</w:t>
            </w:r>
          </w:p>
        </w:tc>
        <w:tc>
          <w:tcPr>
            <w:tcW w:w="900" w:type="pct"/>
          </w:tcPr>
          <w:p w14:paraId="7CE81294" w14:textId="77777777" w:rsidR="00DD308E" w:rsidRPr="007118F6" w:rsidRDefault="009B3442" w:rsidP="009B3442">
            <w:r>
              <w:t xml:space="preserve">TUWA was compared with daily medial therapy in matched patients with BPH. TUWA improved symptom scores by approximately 50% throughout 36 months (p &lt;0.0001). Symptom improvement was superior than either drug alone but similar to that of combination drugs (p =0.02 and p=0.73, respectively). The peak flow rate improved 4- 5 ml/s after TUWA and doxazosin and was statistically superior to finasteride and combination drugs at 12 and 24 months (p &lt;0.001 and &lt;0.01, respectively). Rate of clinical progression was approximately 5 times greater with any medical therapy vs TUWA. </w:t>
            </w:r>
          </w:p>
        </w:tc>
        <w:tc>
          <w:tcPr>
            <w:tcW w:w="2194" w:type="pct"/>
          </w:tcPr>
          <w:p w14:paraId="6E1DC2FB" w14:textId="77777777" w:rsidR="00DD308E" w:rsidRPr="007118F6" w:rsidRDefault="007118F6" w:rsidP="00DD308E">
            <w:r w:rsidRPr="007118F6">
              <w:t>https://www.jurology.com/article/S0022-5347(18)42400-7/pdf</w:t>
            </w:r>
          </w:p>
        </w:tc>
        <w:tc>
          <w:tcPr>
            <w:tcW w:w="550" w:type="pct"/>
          </w:tcPr>
          <w:p w14:paraId="06CE03E9" w14:textId="77777777" w:rsidR="00DD308E" w:rsidRPr="007118F6" w:rsidRDefault="007118F6" w:rsidP="00DD308E">
            <w:r>
              <w:t>2018</w:t>
            </w:r>
          </w:p>
        </w:tc>
      </w:tr>
      <w:tr w:rsidR="00E346D0" w14:paraId="42DB4252" w14:textId="77777777" w:rsidTr="00E346D0">
        <w:trPr>
          <w:cantSplit/>
        </w:trPr>
        <w:tc>
          <w:tcPr>
            <w:tcW w:w="168" w:type="pct"/>
          </w:tcPr>
          <w:p w14:paraId="374554E7" w14:textId="77777777" w:rsidR="00DD308E" w:rsidRPr="00965B6B" w:rsidRDefault="00DD308E" w:rsidP="00DD308E">
            <w:pPr>
              <w:rPr>
                <w:szCs w:val="20"/>
              </w:rPr>
            </w:pPr>
            <w:r>
              <w:rPr>
                <w:szCs w:val="20"/>
              </w:rPr>
              <w:lastRenderedPageBreak/>
              <w:t>4.</w:t>
            </w:r>
          </w:p>
        </w:tc>
        <w:tc>
          <w:tcPr>
            <w:tcW w:w="465" w:type="pct"/>
          </w:tcPr>
          <w:p w14:paraId="79D6FDB4" w14:textId="77777777" w:rsidR="00DD308E" w:rsidRDefault="003B0D70" w:rsidP="00DD308E">
            <w:pPr>
              <w:rPr>
                <w:b/>
                <w:szCs w:val="20"/>
              </w:rPr>
            </w:pPr>
            <w:r>
              <w:t>Prospective, open-label, single arm pilot study</w:t>
            </w:r>
          </w:p>
        </w:tc>
        <w:tc>
          <w:tcPr>
            <w:tcW w:w="722" w:type="pct"/>
          </w:tcPr>
          <w:p w14:paraId="47CFCFC9" w14:textId="77777777" w:rsidR="00E346D0" w:rsidRPr="00E346D0" w:rsidRDefault="00E346D0" w:rsidP="00DD308E">
            <w:pPr>
              <w:rPr>
                <w:u w:val="single"/>
              </w:rPr>
            </w:pPr>
            <w:r w:rsidRPr="00E346D0">
              <w:rPr>
                <w:u w:val="single"/>
              </w:rPr>
              <w:t>Dixon 201</w:t>
            </w:r>
            <w:r>
              <w:rPr>
                <w:u w:val="single"/>
              </w:rPr>
              <w:t>6</w:t>
            </w:r>
          </w:p>
          <w:p w14:paraId="0A63335B" w14:textId="77777777" w:rsidR="00DD308E" w:rsidRDefault="00383A42" w:rsidP="00DD308E">
            <w:pPr>
              <w:rPr>
                <w:b/>
                <w:szCs w:val="20"/>
              </w:rPr>
            </w:pPr>
            <w:r>
              <w:t>Two-year results after convective radiofrequency water vapor thermal therapy of symptomatic benign prostatic hyperplasia</w:t>
            </w:r>
          </w:p>
        </w:tc>
        <w:tc>
          <w:tcPr>
            <w:tcW w:w="900" w:type="pct"/>
          </w:tcPr>
          <w:p w14:paraId="1AB5DBAA" w14:textId="02960031" w:rsidR="00DD308E" w:rsidRPr="00383A42" w:rsidRDefault="003B0D70" w:rsidP="00DD308E">
            <w:r>
              <w:t xml:space="preserve">Men aged </w:t>
            </w:r>
            <w:r w:rsidRPr="00383A42">
              <w:t>≥</w:t>
            </w:r>
            <w:r>
              <w:t xml:space="preserve"> 45 years old with an IPSS </w:t>
            </w:r>
            <w:r w:rsidRPr="00383A42">
              <w:t>≥</w:t>
            </w:r>
            <w:r>
              <w:t xml:space="preserve"> 13 and prostate volume 20-120 </w:t>
            </w:r>
            <w:r w:rsidR="00383A42" w:rsidRPr="00383A42">
              <w:t>cm</w:t>
            </w:r>
            <w:r w:rsidR="00383A42" w:rsidRPr="00E346D0">
              <w:t xml:space="preserve">3 </w:t>
            </w:r>
            <w:r>
              <w:t>were included in this study. Compared with</w:t>
            </w:r>
            <w:r w:rsidR="00383A42">
              <w:t xml:space="preserve"> </w:t>
            </w:r>
            <w:r>
              <w:t>baseline, 24 months after TUWA patients experienced significant improvement in IPSS, Q</w:t>
            </w:r>
            <w:r w:rsidR="00BD5018">
              <w:t>OL</w:t>
            </w:r>
            <w:r>
              <w:t xml:space="preserve">, BPHII, Qmax, IIEF-EF and MSHQ-EJD bother scores. </w:t>
            </w:r>
            <w:r w:rsidR="00383A42">
              <w:t xml:space="preserve">Most events were experienced within 30 days of procedure and were transient and mild to moderate. No late procedure related AEs were observed. </w:t>
            </w:r>
          </w:p>
        </w:tc>
        <w:tc>
          <w:tcPr>
            <w:tcW w:w="2194" w:type="pct"/>
          </w:tcPr>
          <w:p w14:paraId="4DB8C5AD" w14:textId="5FA7009C" w:rsidR="00DD308E" w:rsidRDefault="00CE7920" w:rsidP="00DD308E">
            <w:hyperlink r:id="rId18" w:history="1">
              <w:r w:rsidR="00E346D0" w:rsidRPr="00E346D0">
                <w:t>https://www.ncbi.nlm.nih.gov/pmc/articles/PMC5123707/pdf/rru-8-207.pdf</w:t>
              </w:r>
            </w:hyperlink>
          </w:p>
          <w:p w14:paraId="44844B2C" w14:textId="77777777" w:rsidR="00E346D0" w:rsidRPr="00383A42" w:rsidRDefault="00E346D0" w:rsidP="00DD308E">
            <w:r w:rsidRPr="00E346D0">
              <w:t xml:space="preserve">NCT02943070 </w:t>
            </w:r>
          </w:p>
        </w:tc>
        <w:tc>
          <w:tcPr>
            <w:tcW w:w="550" w:type="pct"/>
          </w:tcPr>
          <w:p w14:paraId="2244C235" w14:textId="77777777" w:rsidR="00DD308E" w:rsidRPr="00E82F54" w:rsidRDefault="00E346D0" w:rsidP="00DD308E">
            <w:pPr>
              <w:rPr>
                <w:b/>
                <w:szCs w:val="20"/>
              </w:rPr>
            </w:pPr>
            <w:r>
              <w:t>2016</w:t>
            </w:r>
          </w:p>
        </w:tc>
      </w:tr>
      <w:tr w:rsidR="00E346D0" w14:paraId="642841FF" w14:textId="77777777" w:rsidTr="00E346D0">
        <w:trPr>
          <w:cantSplit/>
        </w:trPr>
        <w:tc>
          <w:tcPr>
            <w:tcW w:w="168" w:type="pct"/>
          </w:tcPr>
          <w:p w14:paraId="708C202C" w14:textId="77777777" w:rsidR="00DD308E" w:rsidRPr="00965B6B" w:rsidRDefault="00DD308E" w:rsidP="00DD308E">
            <w:pPr>
              <w:rPr>
                <w:szCs w:val="20"/>
              </w:rPr>
            </w:pPr>
            <w:r>
              <w:rPr>
                <w:szCs w:val="20"/>
              </w:rPr>
              <w:lastRenderedPageBreak/>
              <w:t>5.</w:t>
            </w:r>
          </w:p>
        </w:tc>
        <w:tc>
          <w:tcPr>
            <w:tcW w:w="465" w:type="pct"/>
          </w:tcPr>
          <w:p w14:paraId="4ABB36C3" w14:textId="77777777" w:rsidR="00DD308E" w:rsidRDefault="00383A42" w:rsidP="00DD308E">
            <w:pPr>
              <w:rPr>
                <w:b/>
                <w:szCs w:val="20"/>
              </w:rPr>
            </w:pPr>
            <w:r>
              <w:t>Consecutive, case series, retrospective</w:t>
            </w:r>
          </w:p>
        </w:tc>
        <w:tc>
          <w:tcPr>
            <w:tcW w:w="722" w:type="pct"/>
          </w:tcPr>
          <w:p w14:paraId="0B30BD92" w14:textId="77777777" w:rsidR="00E346D0" w:rsidRPr="00E346D0" w:rsidRDefault="00E346D0" w:rsidP="00DD308E">
            <w:pPr>
              <w:rPr>
                <w:u w:val="single"/>
              </w:rPr>
            </w:pPr>
            <w:r w:rsidRPr="00E346D0">
              <w:rPr>
                <w:u w:val="single"/>
              </w:rPr>
              <w:t>Darson 2017</w:t>
            </w:r>
          </w:p>
          <w:p w14:paraId="67E53EA3" w14:textId="77777777" w:rsidR="00DD308E" w:rsidRDefault="00383A42" w:rsidP="00DD308E">
            <w:pPr>
              <w:rPr>
                <w:b/>
                <w:szCs w:val="20"/>
              </w:rPr>
            </w:pPr>
            <w:r>
              <w:t>Procedural techniques and multicenter postmarket experience using minimally invasive convective radiofrequency thermal therapy with Rezūm system for treatment of lower urinary tract symptoms due to benign prostatic hyperplasia</w:t>
            </w:r>
          </w:p>
        </w:tc>
        <w:tc>
          <w:tcPr>
            <w:tcW w:w="900" w:type="pct"/>
          </w:tcPr>
          <w:p w14:paraId="60A0E0AF" w14:textId="77777777" w:rsidR="00DD308E" w:rsidRDefault="00383A42" w:rsidP="00383A42">
            <w:pPr>
              <w:rPr>
                <w:b/>
                <w:szCs w:val="20"/>
              </w:rPr>
            </w:pPr>
            <w:r w:rsidRPr="00383A42">
              <w:t>Men aged 47–96 years with prostates 13–183 cm</w:t>
            </w:r>
            <w:r w:rsidRPr="00383A42">
              <w:rPr>
                <w:vertAlign w:val="superscript"/>
              </w:rPr>
              <w:t>3</w:t>
            </w:r>
            <w:r>
              <w:rPr>
                <w:vertAlign w:val="superscript"/>
              </w:rPr>
              <w:t xml:space="preserve"> </w:t>
            </w:r>
            <w:r w:rsidRPr="00383A42">
              <w:t xml:space="preserve"> showed significant improvement</w:t>
            </w:r>
            <w:r>
              <w:t xml:space="preserve"> </w:t>
            </w:r>
            <w:r w:rsidRPr="00383A42">
              <w:t xml:space="preserve">in IPSS, </w:t>
            </w:r>
            <w:r>
              <w:t>QoL</w:t>
            </w:r>
            <w:r w:rsidRPr="00383A42">
              <w:t xml:space="preserve">, and </w:t>
            </w:r>
            <w:r>
              <w:t xml:space="preserve">PVR </w:t>
            </w:r>
            <w:r w:rsidRPr="00383A42">
              <w:t xml:space="preserve">through 12 months after </w:t>
            </w:r>
            <w:r>
              <w:t>TUWA</w:t>
            </w:r>
            <w:r w:rsidRPr="00383A42">
              <w:t>. Patients with either moderate (IPSS 8–19) or severe (IPSS 20–35) symptoms achieved</w:t>
            </w:r>
            <w:r>
              <w:t xml:space="preserve"> </w:t>
            </w:r>
            <w:r w:rsidRPr="00383A42">
              <w:t>significantly improved scores. Post</w:t>
            </w:r>
            <w:r>
              <w:t>-</w:t>
            </w:r>
            <w:r w:rsidRPr="00383A42">
              <w:t xml:space="preserve">procedure </w:t>
            </w:r>
            <w:r>
              <w:t>AEs</w:t>
            </w:r>
            <w:r w:rsidRPr="00383A42">
              <w:t xml:space="preserve"> were transient and mild–moderate in nature. No de novo erectile</w:t>
            </w:r>
            <w:r>
              <w:t xml:space="preserve"> </w:t>
            </w:r>
            <w:r w:rsidRPr="00383A42">
              <w:t>or ejaculatory dysfunction was reported.</w:t>
            </w:r>
          </w:p>
        </w:tc>
        <w:tc>
          <w:tcPr>
            <w:tcW w:w="2194" w:type="pct"/>
          </w:tcPr>
          <w:p w14:paraId="16D881E1" w14:textId="77777777" w:rsidR="00DD308E" w:rsidRPr="00E346D0" w:rsidRDefault="00E346D0" w:rsidP="00DD308E">
            <w:r w:rsidRPr="00E346D0">
              <w:t>https://www.ncbi.nlm.nih.gov/pmc/articles/PMC5572953/</w:t>
            </w:r>
          </w:p>
        </w:tc>
        <w:tc>
          <w:tcPr>
            <w:tcW w:w="550" w:type="pct"/>
          </w:tcPr>
          <w:p w14:paraId="0AFB4239" w14:textId="77777777" w:rsidR="00DD308E" w:rsidRPr="00E82F54" w:rsidRDefault="00E346D0" w:rsidP="00DD308E">
            <w:pPr>
              <w:rPr>
                <w:b/>
                <w:szCs w:val="20"/>
              </w:rPr>
            </w:pPr>
            <w:r>
              <w:t>2017</w:t>
            </w:r>
          </w:p>
        </w:tc>
      </w:tr>
      <w:tr w:rsidR="004D46BA" w14:paraId="6ECC04A5" w14:textId="77777777" w:rsidTr="00E346D0">
        <w:trPr>
          <w:cantSplit/>
        </w:trPr>
        <w:tc>
          <w:tcPr>
            <w:tcW w:w="168" w:type="pct"/>
          </w:tcPr>
          <w:p w14:paraId="7778C3CD" w14:textId="77777777" w:rsidR="004D46BA" w:rsidRDefault="004D46BA" w:rsidP="00DD308E">
            <w:pPr>
              <w:rPr>
                <w:szCs w:val="20"/>
              </w:rPr>
            </w:pPr>
          </w:p>
        </w:tc>
        <w:tc>
          <w:tcPr>
            <w:tcW w:w="465" w:type="pct"/>
          </w:tcPr>
          <w:p w14:paraId="6EFC8C73" w14:textId="77777777" w:rsidR="004D46BA" w:rsidRDefault="004D46BA" w:rsidP="00DD308E">
            <w:r>
              <w:t xml:space="preserve">Retrospective case series, single </w:t>
            </w:r>
            <w:r w:rsidR="00E35BF2">
              <w:t>centre</w:t>
            </w:r>
          </w:p>
        </w:tc>
        <w:tc>
          <w:tcPr>
            <w:tcW w:w="722" w:type="pct"/>
          </w:tcPr>
          <w:p w14:paraId="69A51714" w14:textId="77777777" w:rsidR="004D46BA" w:rsidRDefault="004D46BA" w:rsidP="00DD308E">
            <w:pPr>
              <w:rPr>
                <w:u w:val="single"/>
              </w:rPr>
            </w:pPr>
            <w:r>
              <w:rPr>
                <w:u w:val="single"/>
              </w:rPr>
              <w:t>Mollengarden 2018</w:t>
            </w:r>
          </w:p>
          <w:p w14:paraId="7D734B7B" w14:textId="77777777" w:rsidR="00E35BF2" w:rsidRPr="00E35BF2" w:rsidRDefault="00E35BF2" w:rsidP="00DD308E">
            <w:r w:rsidRPr="00E35BF2">
              <w:t>Convective radiofrequency water vapor thermal therapy for benign prostatic hyperplasia: a single office experience.</w:t>
            </w:r>
          </w:p>
        </w:tc>
        <w:tc>
          <w:tcPr>
            <w:tcW w:w="900" w:type="pct"/>
          </w:tcPr>
          <w:p w14:paraId="4B239921" w14:textId="77777777" w:rsidR="004D46BA" w:rsidRPr="00383A42" w:rsidRDefault="004D46BA" w:rsidP="00383A42">
            <w:r>
              <w:t>This study included 129 patients with BPH. IPSS improved from 18.3 at baseline to 6.9</w:t>
            </w:r>
            <w:r w:rsidR="00E35BF2">
              <w:t xml:space="preserve"> at endpoint, and Qmax improved from 10.5 to 16.8 ml/s. The most common AE was urinary tract infection (17%) and transient urinary retention (14%). </w:t>
            </w:r>
          </w:p>
        </w:tc>
        <w:tc>
          <w:tcPr>
            <w:tcW w:w="2194" w:type="pct"/>
          </w:tcPr>
          <w:p w14:paraId="2FB6731C" w14:textId="77777777" w:rsidR="004D46BA" w:rsidRPr="00E346D0" w:rsidRDefault="004D46BA" w:rsidP="00DD308E">
            <w:r w:rsidRPr="004D46BA">
              <w:t>https://www.ncbi.nlm.nih.gov/pubmed/29282358</w:t>
            </w:r>
          </w:p>
        </w:tc>
        <w:tc>
          <w:tcPr>
            <w:tcW w:w="550" w:type="pct"/>
          </w:tcPr>
          <w:p w14:paraId="056AD723" w14:textId="77777777" w:rsidR="004D46BA" w:rsidRDefault="004D46BA" w:rsidP="00DD308E">
            <w:r>
              <w:t>2018</w:t>
            </w:r>
          </w:p>
        </w:tc>
      </w:tr>
    </w:tbl>
    <w:p w14:paraId="23DB3138" w14:textId="77777777" w:rsidR="00DD308E" w:rsidRDefault="00DD308E" w:rsidP="00DD308E">
      <w:pPr>
        <w:spacing w:after="0"/>
        <w:ind w:left="426"/>
        <w:rPr>
          <w:i/>
          <w:szCs w:val="20"/>
        </w:rPr>
      </w:pPr>
      <w:r>
        <w:rPr>
          <w:i/>
          <w:szCs w:val="20"/>
        </w:rPr>
        <w:lastRenderedPageBreak/>
        <w:t xml:space="preserve">* Categorise study design, for example meta-analysis, randomised trials, non-randomised trial or observational study, study of diagnostic accuracy, etc. </w:t>
      </w:r>
    </w:p>
    <w:p w14:paraId="2AFBEDD0"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1DDF0E72"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1139E2A4" w14:textId="6730595E" w:rsidR="00B76D63" w:rsidRDefault="007118F6" w:rsidP="00383A42">
      <w:pPr>
        <w:spacing w:after="0"/>
        <w:ind w:left="426"/>
        <w:rPr>
          <w:i/>
          <w:szCs w:val="20"/>
        </w:rPr>
      </w:pPr>
      <w:r>
        <w:rPr>
          <w:i/>
          <w:szCs w:val="20"/>
        </w:rPr>
        <w:t xml:space="preserve">AE, adverse event; </w:t>
      </w:r>
      <w:r w:rsidR="00B76D63" w:rsidRPr="00B76D63">
        <w:rPr>
          <w:i/>
          <w:szCs w:val="20"/>
        </w:rPr>
        <w:t>HRQL</w:t>
      </w:r>
      <w:r w:rsidR="00B76D63">
        <w:rPr>
          <w:i/>
          <w:szCs w:val="20"/>
        </w:rPr>
        <w:t xml:space="preserve">, health related quality of life; </w:t>
      </w:r>
      <w:r w:rsidR="00383A42">
        <w:t>IIEF-EF, International Index of Erectile Function-Erectile Function; MSHQ-EJD,</w:t>
      </w:r>
      <w:r w:rsidR="00383A42" w:rsidRPr="00383A42">
        <w:t xml:space="preserve"> Male Sexual Health Questionnaire for Ejaculatory Dysfunction</w:t>
      </w:r>
      <w:r w:rsidR="00383A42">
        <w:t>;</w:t>
      </w:r>
      <w:r w:rsidR="00383A42" w:rsidRPr="00383A42">
        <w:t xml:space="preserve"> </w:t>
      </w:r>
      <w:r w:rsidR="00B76D63">
        <w:rPr>
          <w:i/>
          <w:szCs w:val="20"/>
        </w:rPr>
        <w:t xml:space="preserve">OAB-q SF, </w:t>
      </w:r>
      <w:r w:rsidR="00B76D63" w:rsidRPr="00B76D63">
        <w:rPr>
          <w:i/>
          <w:szCs w:val="20"/>
        </w:rPr>
        <w:t>Overactive Bladder</w:t>
      </w:r>
      <w:r w:rsidR="00B76D63">
        <w:rPr>
          <w:i/>
          <w:szCs w:val="20"/>
        </w:rPr>
        <w:t xml:space="preserve"> </w:t>
      </w:r>
      <w:r w:rsidR="00B76D63" w:rsidRPr="00B76D63">
        <w:rPr>
          <w:i/>
          <w:szCs w:val="20"/>
        </w:rPr>
        <w:t>Questionnaire Short Form</w:t>
      </w:r>
      <w:r w:rsidR="00B76D63">
        <w:rPr>
          <w:i/>
          <w:szCs w:val="20"/>
        </w:rPr>
        <w:t>;</w:t>
      </w:r>
      <w:r w:rsidR="00B76D63" w:rsidRPr="00B76D63">
        <w:rPr>
          <w:i/>
          <w:szCs w:val="20"/>
        </w:rPr>
        <w:t xml:space="preserve"> </w:t>
      </w:r>
      <w:r w:rsidR="00B76D63">
        <w:rPr>
          <w:i/>
          <w:szCs w:val="20"/>
        </w:rPr>
        <w:t xml:space="preserve">Qmax=peak flow rate; IPSS, </w:t>
      </w:r>
      <w:r w:rsidR="00B76D63" w:rsidRPr="00B76D63">
        <w:rPr>
          <w:i/>
          <w:szCs w:val="20"/>
        </w:rPr>
        <w:t>International Prostate Symptom Score</w:t>
      </w:r>
      <w:r w:rsidR="00B76D63">
        <w:rPr>
          <w:i/>
          <w:szCs w:val="20"/>
        </w:rPr>
        <w:t>; IPSS Q</w:t>
      </w:r>
      <w:r w:rsidR="00BD5018">
        <w:rPr>
          <w:i/>
          <w:szCs w:val="20"/>
        </w:rPr>
        <w:t>OL</w:t>
      </w:r>
      <w:r w:rsidR="00B76D63">
        <w:rPr>
          <w:i/>
          <w:szCs w:val="20"/>
        </w:rPr>
        <w:t xml:space="preserve">, </w:t>
      </w:r>
      <w:r w:rsidR="00B76D63" w:rsidRPr="00B76D63">
        <w:rPr>
          <w:i/>
          <w:szCs w:val="20"/>
        </w:rPr>
        <w:t>International Prostate Symptom Score</w:t>
      </w:r>
      <w:r w:rsidR="00B76D63">
        <w:rPr>
          <w:i/>
          <w:szCs w:val="20"/>
        </w:rPr>
        <w:t xml:space="preserve"> quality of life score</w:t>
      </w:r>
      <w:r w:rsidR="00383A42">
        <w:rPr>
          <w:i/>
          <w:szCs w:val="20"/>
        </w:rPr>
        <w:t xml:space="preserve">; PVR, </w:t>
      </w:r>
      <w:r w:rsidR="00383A42" w:rsidRPr="00383A42">
        <w:rPr>
          <w:i/>
          <w:szCs w:val="20"/>
        </w:rPr>
        <w:t>postvoid residual volume; QoL, quality of life</w:t>
      </w:r>
    </w:p>
    <w:p w14:paraId="74B85C08" w14:textId="77777777" w:rsidR="00DD308E" w:rsidRDefault="00DD308E" w:rsidP="00DD308E">
      <w:pPr>
        <w:rPr>
          <w:i/>
          <w:szCs w:val="20"/>
        </w:rPr>
      </w:pPr>
      <w:r>
        <w:rPr>
          <w:i/>
          <w:szCs w:val="20"/>
        </w:rPr>
        <w:br w:type="page"/>
      </w:r>
    </w:p>
    <w:p w14:paraId="5FAF906C"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6D446044"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39D68EC4" w14:textId="77777777" w:rsidTr="004C49EF">
        <w:trPr>
          <w:cnfStyle w:val="100000000000" w:firstRow="1" w:lastRow="0" w:firstColumn="0" w:lastColumn="0" w:oddVBand="0" w:evenVBand="0" w:oddHBand="0" w:evenHBand="0" w:firstRowFirstColumn="0" w:firstRowLastColumn="0" w:lastRowFirstColumn="0" w:lastRowLastColumn="0"/>
          <w:cantSplit/>
          <w:tblHeader/>
        </w:trPr>
        <w:tc>
          <w:tcPr>
            <w:tcW w:w="326" w:type="pct"/>
          </w:tcPr>
          <w:p w14:paraId="732DF328" w14:textId="77777777" w:rsidR="004C49EF" w:rsidRDefault="004C49EF" w:rsidP="00855944">
            <w:pPr>
              <w:pStyle w:val="TableHEADER"/>
            </w:pPr>
          </w:p>
        </w:tc>
        <w:tc>
          <w:tcPr>
            <w:tcW w:w="895" w:type="pct"/>
          </w:tcPr>
          <w:p w14:paraId="44D63972" w14:textId="77777777" w:rsidR="004C49EF" w:rsidRDefault="004C49EF" w:rsidP="00855944">
            <w:pPr>
              <w:pStyle w:val="TableHEADER"/>
            </w:pPr>
            <w:r>
              <w:t>Type of study design*</w:t>
            </w:r>
          </w:p>
        </w:tc>
        <w:tc>
          <w:tcPr>
            <w:tcW w:w="1125" w:type="pct"/>
          </w:tcPr>
          <w:p w14:paraId="6966A440" w14:textId="77777777" w:rsidR="004C49EF" w:rsidRDefault="004C49EF" w:rsidP="00855944">
            <w:pPr>
              <w:pStyle w:val="TableHEADER"/>
            </w:pPr>
            <w:r>
              <w:t>Title of research (including any trial identifier if relevant)</w:t>
            </w:r>
          </w:p>
        </w:tc>
        <w:tc>
          <w:tcPr>
            <w:tcW w:w="884" w:type="pct"/>
          </w:tcPr>
          <w:p w14:paraId="21B8234A" w14:textId="77777777" w:rsidR="004C49EF" w:rsidRDefault="00367C1B" w:rsidP="00855944">
            <w:pPr>
              <w:pStyle w:val="TableHEADER"/>
            </w:pPr>
            <w:r>
              <w:t xml:space="preserve">Short description of research </w:t>
            </w:r>
            <w:r w:rsidR="004C49EF">
              <w:t>(max 50 words)**</w:t>
            </w:r>
          </w:p>
        </w:tc>
        <w:tc>
          <w:tcPr>
            <w:tcW w:w="1246" w:type="pct"/>
          </w:tcPr>
          <w:p w14:paraId="302E80E9" w14:textId="77777777" w:rsidR="004C49EF" w:rsidRDefault="004C49EF" w:rsidP="00855944">
            <w:pPr>
              <w:pStyle w:val="TableHEADER"/>
            </w:pPr>
            <w:r w:rsidRPr="00E82F54">
              <w:t xml:space="preserve">Website link to </w:t>
            </w:r>
            <w:r>
              <w:t>research (if available)</w:t>
            </w:r>
          </w:p>
        </w:tc>
        <w:tc>
          <w:tcPr>
            <w:tcW w:w="524" w:type="pct"/>
          </w:tcPr>
          <w:p w14:paraId="031438E0" w14:textId="77777777" w:rsidR="004C49EF" w:rsidRDefault="004C49EF" w:rsidP="00855944">
            <w:pPr>
              <w:pStyle w:val="TableHEADER"/>
            </w:pPr>
            <w:r w:rsidRPr="00E82F54">
              <w:t>Date*</w:t>
            </w:r>
            <w:r>
              <w:t>**</w:t>
            </w:r>
          </w:p>
        </w:tc>
      </w:tr>
      <w:tr w:rsidR="004C49EF" w14:paraId="605DE039" w14:textId="77777777" w:rsidTr="004C49EF">
        <w:trPr>
          <w:cantSplit/>
        </w:trPr>
        <w:tc>
          <w:tcPr>
            <w:tcW w:w="326" w:type="pct"/>
          </w:tcPr>
          <w:p w14:paraId="772FC12E" w14:textId="77777777" w:rsidR="004C49EF" w:rsidRPr="00965B6B" w:rsidRDefault="004C49EF" w:rsidP="00526478">
            <w:pPr>
              <w:rPr>
                <w:szCs w:val="20"/>
              </w:rPr>
            </w:pPr>
            <w:r w:rsidRPr="00965B6B">
              <w:rPr>
                <w:szCs w:val="20"/>
              </w:rPr>
              <w:t>1</w:t>
            </w:r>
            <w:r>
              <w:rPr>
                <w:szCs w:val="20"/>
              </w:rPr>
              <w:t>.</w:t>
            </w:r>
          </w:p>
        </w:tc>
        <w:tc>
          <w:tcPr>
            <w:tcW w:w="895" w:type="pct"/>
          </w:tcPr>
          <w:p w14:paraId="7E12F998" w14:textId="6AAE6FFF" w:rsidR="004C49EF" w:rsidRPr="00995331" w:rsidRDefault="00E67894" w:rsidP="00526478">
            <w:pPr>
              <w:rPr>
                <w:szCs w:val="20"/>
              </w:rPr>
            </w:pPr>
            <w:r>
              <w:rPr>
                <w:szCs w:val="20"/>
              </w:rPr>
              <w:t>Single group</w:t>
            </w:r>
            <w:r w:rsidR="002D6213">
              <w:rPr>
                <w:szCs w:val="20"/>
              </w:rPr>
              <w:t xml:space="preserve"> study</w:t>
            </w:r>
          </w:p>
        </w:tc>
        <w:tc>
          <w:tcPr>
            <w:tcW w:w="1125" w:type="pct"/>
          </w:tcPr>
          <w:p w14:paraId="38FE2E09" w14:textId="6AB0D1FD" w:rsidR="004C49EF" w:rsidRPr="00E67894" w:rsidRDefault="00E67894" w:rsidP="00526478">
            <w:r w:rsidRPr="00E67894">
              <w:t>Rezum FIM Optimization (Rezum FIM)</w:t>
            </w:r>
          </w:p>
        </w:tc>
        <w:tc>
          <w:tcPr>
            <w:tcW w:w="884" w:type="pct"/>
          </w:tcPr>
          <w:p w14:paraId="0A38E5D1" w14:textId="19581417" w:rsidR="004C49EF" w:rsidRPr="00E67894" w:rsidRDefault="002D6213" w:rsidP="00526478">
            <w:r>
              <w:t>The objective of the study is to evaluate the Rezum system on prostate tissue in subject with LUTS secondary to BPH.</w:t>
            </w:r>
          </w:p>
        </w:tc>
        <w:tc>
          <w:tcPr>
            <w:tcW w:w="1246" w:type="pct"/>
          </w:tcPr>
          <w:p w14:paraId="43D52E89" w14:textId="5E564F72" w:rsidR="004C49EF" w:rsidRPr="00E82F54" w:rsidRDefault="00E67894" w:rsidP="00526478">
            <w:pPr>
              <w:rPr>
                <w:b/>
                <w:szCs w:val="20"/>
              </w:rPr>
            </w:pPr>
            <w:r w:rsidRPr="00E67894">
              <w:t>NCT02940392</w:t>
            </w:r>
          </w:p>
        </w:tc>
        <w:tc>
          <w:tcPr>
            <w:tcW w:w="524" w:type="pct"/>
          </w:tcPr>
          <w:p w14:paraId="64670CAB" w14:textId="549894A9" w:rsidR="004C49EF" w:rsidRPr="00E82F54" w:rsidRDefault="002D6213" w:rsidP="00526478">
            <w:pPr>
              <w:rPr>
                <w:b/>
                <w:szCs w:val="20"/>
              </w:rPr>
            </w:pPr>
            <w:r w:rsidRPr="00E67894">
              <w:t>Recruitment status</w:t>
            </w:r>
            <w:r>
              <w:t xml:space="preserve"> is </w:t>
            </w:r>
            <w:r w:rsidRPr="00E67894">
              <w:t>unknown</w:t>
            </w:r>
            <w:r>
              <w:t>. Actual enrolment is 15 patients. This study is unlikely to progress as it started in February 2012.</w:t>
            </w:r>
          </w:p>
        </w:tc>
      </w:tr>
    </w:tbl>
    <w:p w14:paraId="0C6FDE53"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AB0D40B"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2CC3852F"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63D93816"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F497FEE"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1BDA26E"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30D2F0D" w14:textId="2C7AA39A" w:rsidR="00A727B6" w:rsidRPr="00A727B6" w:rsidRDefault="00F35536" w:rsidP="00F35536">
      <w:pPr>
        <w:ind w:left="426"/>
      </w:pPr>
      <w:r w:rsidRPr="001B254F">
        <w:t>Australian and New Zealand Association of Urological Surgeons (ANZAUS)</w:t>
      </w:r>
      <w:r w:rsidR="00A25856">
        <w:t xml:space="preserve">. A letter of support will be provided as soon as possible. </w:t>
      </w:r>
    </w:p>
    <w:p w14:paraId="6BD2DE6F"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13AC4AED" w14:textId="77777777" w:rsidR="00EA173C" w:rsidRDefault="00F35536" w:rsidP="00A727B6">
      <w:pPr>
        <w:ind w:left="426"/>
      </w:pPr>
      <w:r>
        <w:t>ANZAUS</w:t>
      </w:r>
    </w:p>
    <w:p w14:paraId="53C330A7"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22E463F" w14:textId="77777777" w:rsidR="00E82F54" w:rsidRDefault="00F35536" w:rsidP="00F35536">
      <w:pPr>
        <w:ind w:left="426"/>
        <w:rPr>
          <w:szCs w:val="20"/>
        </w:rPr>
      </w:pPr>
      <w:r>
        <w:t>No relevant consumer organisations</w:t>
      </w:r>
    </w:p>
    <w:p w14:paraId="44498E9E"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54F111ED" w14:textId="77777777" w:rsidR="00F35536" w:rsidRDefault="00F35536" w:rsidP="00F35536">
      <w:pPr>
        <w:ind w:left="426"/>
        <w:rPr>
          <w:szCs w:val="20"/>
        </w:rPr>
      </w:pPr>
      <w:r>
        <w:t>No other relevant sponsors and/or manufacturers produce the Rezum water vapour system used to perform the ablative procedure</w:t>
      </w:r>
    </w:p>
    <w:p w14:paraId="3F49895D" w14:textId="77777777" w:rsidR="00EE6450" w:rsidRDefault="00EE6450" w:rsidP="00EE6450">
      <w:pPr>
        <w:ind w:left="426"/>
        <w:rPr>
          <w:szCs w:val="20"/>
        </w:rPr>
      </w:pPr>
    </w:p>
    <w:p w14:paraId="03278D94" w14:textId="77777777" w:rsidR="00E82F54" w:rsidRDefault="00E82F54" w:rsidP="00530204">
      <w:pPr>
        <w:pStyle w:val="Heading2"/>
      </w:pPr>
      <w:r w:rsidRPr="00154B00">
        <w:t>Nominate two experts who could be approached about the proposed medical service and the current clinical management of the service(s):</w:t>
      </w:r>
    </w:p>
    <w:p w14:paraId="1F6F239C" w14:textId="77777777" w:rsidR="00A96329" w:rsidRPr="00A96329" w:rsidRDefault="00A96329" w:rsidP="00A96329"/>
    <w:p w14:paraId="1CF6E0FB" w14:textId="77777777" w:rsidR="00FE05F8" w:rsidRDefault="0063723C" w:rsidP="0063723C">
      <w:pPr>
        <w:ind w:left="426"/>
      </w:pPr>
      <w:r>
        <w:t xml:space="preserve">Name of expert 1: </w:t>
      </w:r>
      <w:r w:rsidR="00AA5309">
        <w:t>REDACTED</w:t>
      </w:r>
      <w:r w:rsidR="00AA5309" w:rsidRPr="00E00285" w:rsidDel="00AA5309">
        <w:t xml:space="preserve"> </w:t>
      </w:r>
    </w:p>
    <w:p w14:paraId="52204901" w14:textId="4621B78D" w:rsidR="0063723C" w:rsidRDefault="0063723C" w:rsidP="0063723C">
      <w:pPr>
        <w:ind w:left="426"/>
      </w:pPr>
      <w:r>
        <w:t xml:space="preserve">Telephone number(s): </w:t>
      </w:r>
      <w:r w:rsidR="00AA5309">
        <w:t>REDACTED</w:t>
      </w:r>
    </w:p>
    <w:p w14:paraId="3B9D89B3" w14:textId="021A1483" w:rsidR="0063723C" w:rsidRDefault="0063723C" w:rsidP="0063723C">
      <w:pPr>
        <w:ind w:left="426"/>
      </w:pPr>
      <w:r>
        <w:t>Email address:</w:t>
      </w:r>
      <w:r w:rsidR="00AA5309" w:rsidRPr="00AA5309">
        <w:t xml:space="preserve"> </w:t>
      </w:r>
      <w:r w:rsidR="00AA5309">
        <w:t>REDACTED</w:t>
      </w:r>
    </w:p>
    <w:p w14:paraId="2F51D2E0" w14:textId="3790DB16" w:rsidR="00987ABE" w:rsidRPr="00987ABE" w:rsidRDefault="00987ABE" w:rsidP="00987ABE">
      <w:pPr>
        <w:ind w:left="426"/>
        <w:rPr>
          <w:szCs w:val="20"/>
        </w:rPr>
      </w:pPr>
      <w:r>
        <w:rPr>
          <w:szCs w:val="20"/>
        </w:rPr>
        <w:t xml:space="preserve">Justification of expertise: </w:t>
      </w:r>
      <w:r w:rsidR="00AA5309">
        <w:t>REDACTED</w:t>
      </w:r>
    </w:p>
    <w:p w14:paraId="7113A1F4" w14:textId="77777777" w:rsidR="00987ABE" w:rsidRPr="00987ABE" w:rsidRDefault="00987ABE" w:rsidP="00987ABE">
      <w:pPr>
        <w:ind w:left="426"/>
        <w:rPr>
          <w:szCs w:val="20"/>
        </w:rPr>
      </w:pPr>
    </w:p>
    <w:p w14:paraId="535C0980" w14:textId="4A583F0E" w:rsidR="001B0C00" w:rsidRPr="00987ABE" w:rsidRDefault="001B0C00" w:rsidP="001B0C00">
      <w:pPr>
        <w:ind w:left="426"/>
        <w:rPr>
          <w:szCs w:val="20"/>
        </w:rPr>
      </w:pPr>
      <w:r>
        <w:rPr>
          <w:szCs w:val="20"/>
        </w:rPr>
        <w:t xml:space="preserve">Name of expert 2: </w:t>
      </w:r>
      <w:r w:rsidR="00AA5309">
        <w:t>REDACTED</w:t>
      </w:r>
    </w:p>
    <w:p w14:paraId="0CE55EE0" w14:textId="3677D27B" w:rsidR="001B0C00" w:rsidRDefault="001B0C00" w:rsidP="001B0C00">
      <w:pPr>
        <w:ind w:firstLine="426"/>
      </w:pPr>
      <w:r>
        <w:rPr>
          <w:szCs w:val="20"/>
        </w:rPr>
        <w:t xml:space="preserve">Telephone number(s): </w:t>
      </w:r>
      <w:r w:rsidR="00AA5309">
        <w:t>REDACTED</w:t>
      </w:r>
    </w:p>
    <w:p w14:paraId="56757604" w14:textId="2DD27CB8" w:rsidR="001B0C00" w:rsidRDefault="001B0C00" w:rsidP="001B0C00">
      <w:pPr>
        <w:ind w:firstLine="426"/>
      </w:pPr>
      <w:r>
        <w:rPr>
          <w:szCs w:val="20"/>
        </w:rPr>
        <w:t xml:space="preserve">Email address: </w:t>
      </w:r>
      <w:r w:rsidR="00AA5309">
        <w:t>REDACTED</w:t>
      </w:r>
    </w:p>
    <w:p w14:paraId="733D4B98" w14:textId="0A759D5E" w:rsidR="001B0C00" w:rsidRDefault="001B0C00" w:rsidP="001B0C00">
      <w:pPr>
        <w:ind w:left="426"/>
        <w:rPr>
          <w:i/>
          <w:szCs w:val="20"/>
        </w:rPr>
      </w:pPr>
      <w:r>
        <w:rPr>
          <w:szCs w:val="20"/>
        </w:rPr>
        <w:t xml:space="preserve">Justification of expertise: </w:t>
      </w:r>
      <w:r w:rsidR="00AA5309">
        <w:t>REDACTED</w:t>
      </w:r>
    </w:p>
    <w:p w14:paraId="7CB4422B" w14:textId="77777777" w:rsidR="00987ABE" w:rsidRDefault="00987ABE" w:rsidP="00E82F54">
      <w:pPr>
        <w:ind w:left="426"/>
        <w:rPr>
          <w:i/>
          <w:szCs w:val="20"/>
        </w:rPr>
      </w:pPr>
    </w:p>
    <w:p w14:paraId="2A5B5A4B"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0DA3ADAA" w14:textId="77777777" w:rsidR="003433D1" w:rsidRDefault="003433D1">
      <w:pPr>
        <w:rPr>
          <w:b/>
          <w:sz w:val="32"/>
          <w:szCs w:val="32"/>
        </w:rPr>
      </w:pPr>
      <w:r>
        <w:rPr>
          <w:b/>
          <w:sz w:val="32"/>
          <w:szCs w:val="32"/>
        </w:rPr>
        <w:br w:type="page"/>
      </w:r>
    </w:p>
    <w:p w14:paraId="5B4A11FF"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43A1492A" w14:textId="77777777" w:rsidR="0021185D" w:rsidRPr="005C3AE7" w:rsidRDefault="005C3AE7" w:rsidP="005C3AE7">
      <w:pPr>
        <w:pStyle w:val="Subtitle"/>
      </w:pPr>
      <w:r w:rsidRPr="005C3AE7">
        <w:t xml:space="preserve">PART 6a – </w:t>
      </w:r>
      <w:r w:rsidR="0021185D" w:rsidRPr="005C3AE7">
        <w:t>INFORMATION ABOUT THE PROPOSED POPULATION</w:t>
      </w:r>
    </w:p>
    <w:p w14:paraId="1D80AED2"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CBF6A9B" w14:textId="77777777" w:rsidR="00995331" w:rsidRDefault="00995331" w:rsidP="00995331">
      <w:pPr>
        <w:ind w:left="426"/>
        <w:rPr>
          <w:szCs w:val="20"/>
        </w:rPr>
      </w:pPr>
      <w:r w:rsidRPr="00FC17D3">
        <w:rPr>
          <w:szCs w:val="20"/>
        </w:rPr>
        <w:t xml:space="preserve">BPH </w:t>
      </w:r>
      <w:r>
        <w:rPr>
          <w:szCs w:val="20"/>
        </w:rPr>
        <w:t>is a non-cancerous enlargement of the prostate gland, in which smooth muscle and epithelial cells proliferate, which occurs as a natural part of ageing. The exact aetiology is however poorly understood. The enlargement of the prostate may not necessarily constitute a problem to patients unless associated with subjective symptoms such as lower urinary tract symptoms (LUTS). BPH may cause LUTS either by directly obstructing the bladder outlet or by the increased smooth muscle tone and resistance within the enlarged gland. LUTS include symptoms such as</w:t>
      </w:r>
      <w:r w:rsidRPr="000E757B">
        <w:rPr>
          <w:szCs w:val="20"/>
        </w:rPr>
        <w:t xml:space="preserve"> increased frequency and urgency of urination, urinating at night, and difficulty starting or</w:t>
      </w:r>
      <w:r>
        <w:rPr>
          <w:szCs w:val="20"/>
        </w:rPr>
        <w:t xml:space="preserve"> stopping urination (Roehrborn 2005). Troublesome LUTS may impact on activities of daily living, reduce patient’s quality of life and interfere with sexual function (Rosen et al 2003, Girman et al 1998, Girman et al 1999).</w:t>
      </w:r>
    </w:p>
    <w:p w14:paraId="06699E9E" w14:textId="77777777" w:rsidR="00995331" w:rsidRDefault="00995331" w:rsidP="00995331">
      <w:pPr>
        <w:ind w:left="426"/>
        <w:rPr>
          <w:szCs w:val="20"/>
        </w:rPr>
      </w:pPr>
      <w:r>
        <w:rPr>
          <w:szCs w:val="20"/>
        </w:rPr>
        <w:t>A review of the burden of illness associated with BPH from the UK perspective conducted by Speakman et al (2015) included 33 epidemiological, humanist or economic burden of LUTSA/BPH published between 2001 and 2013. The qualitative review reported major impact of LUTS on the quality of life of patients and their partners</w:t>
      </w:r>
      <w:r w:rsidRPr="009165A6">
        <w:rPr>
          <w:szCs w:val="20"/>
        </w:rPr>
        <w:t>.</w:t>
      </w:r>
      <w:r>
        <w:rPr>
          <w:szCs w:val="20"/>
        </w:rPr>
        <w:t xml:space="preserve"> </w:t>
      </w:r>
      <w:r w:rsidRPr="009165A6">
        <w:rPr>
          <w:szCs w:val="20"/>
        </w:rPr>
        <w:t xml:space="preserve">LUTS </w:t>
      </w:r>
      <w:r>
        <w:rPr>
          <w:szCs w:val="20"/>
        </w:rPr>
        <w:t>were found to be</w:t>
      </w:r>
      <w:r w:rsidRPr="009165A6">
        <w:rPr>
          <w:szCs w:val="20"/>
        </w:rPr>
        <w:t xml:space="preserve"> associated with high perso</w:t>
      </w:r>
      <w:r>
        <w:rPr>
          <w:szCs w:val="20"/>
        </w:rPr>
        <w:t xml:space="preserve">nal and societal costs, both </w:t>
      </w:r>
      <w:r w:rsidRPr="009165A6">
        <w:rPr>
          <w:szCs w:val="20"/>
        </w:rPr>
        <w:t>direct medical costs and indirect losses in daily functioning.</w:t>
      </w:r>
      <w:r>
        <w:rPr>
          <w:szCs w:val="20"/>
        </w:rPr>
        <w:t xml:space="preserve"> </w:t>
      </w:r>
    </w:p>
    <w:p w14:paraId="1CF6D2DD" w14:textId="77777777" w:rsidR="00995331" w:rsidRDefault="00995331" w:rsidP="00995331">
      <w:pPr>
        <w:ind w:left="426"/>
        <w:rPr>
          <w:szCs w:val="20"/>
        </w:rPr>
      </w:pPr>
      <w:r>
        <w:rPr>
          <w:szCs w:val="20"/>
        </w:rPr>
        <w:t xml:space="preserve">The global burden of LUTS suggestive of BPH systematic review and meta-analysis reported a pooled prevalence of 26.2% (95% CI 22.8–29.6%) with estimates varying across studies due to definition of LUTS/BPH, methods, population and geographical location (Lee et al 2017). Similar to this, the prevalence of BPH estimated from the </w:t>
      </w:r>
      <w:r w:rsidRPr="00121921">
        <w:rPr>
          <w:szCs w:val="20"/>
        </w:rPr>
        <w:t xml:space="preserve">Bettering the Evaluation and Care of Health (BEACH) program </w:t>
      </w:r>
      <w:r>
        <w:rPr>
          <w:szCs w:val="20"/>
        </w:rPr>
        <w:t xml:space="preserve">in Australia was 21.2% (BEACH 2012). The prevalence of BPH is well known to increase with age peaking in those aged 70 years and older (Lee et al 2017, BEACH 2012). </w:t>
      </w:r>
    </w:p>
    <w:p w14:paraId="44043C5B"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18C4141" w14:textId="77777777" w:rsidR="00995331" w:rsidRDefault="00995331" w:rsidP="00995331">
      <w:pPr>
        <w:ind w:left="426"/>
        <w:rPr>
          <w:szCs w:val="20"/>
        </w:rPr>
      </w:pPr>
      <w:r>
        <w:rPr>
          <w:szCs w:val="20"/>
        </w:rPr>
        <w:t xml:space="preserve">The general practitioner (GP) is responsible for diagnosis and initial management of patients with BPH. However, when the severity of the condition increases, referral to a specialist is warranted. The Andrology Australia 2014 </w:t>
      </w:r>
      <w:r w:rsidRPr="00EA6309">
        <w:rPr>
          <w:szCs w:val="20"/>
        </w:rPr>
        <w:t>Clinical Summary Guideline</w:t>
      </w:r>
      <w:r>
        <w:rPr>
          <w:szCs w:val="20"/>
        </w:rPr>
        <w:t xml:space="preserve"> </w:t>
      </w:r>
      <w:r w:rsidRPr="00EA6309">
        <w:rPr>
          <w:szCs w:val="20"/>
        </w:rPr>
        <w:t xml:space="preserve">for prostate disease, BPH and prostatitis </w:t>
      </w:r>
      <w:r>
        <w:rPr>
          <w:szCs w:val="20"/>
        </w:rPr>
        <w:t xml:space="preserve">(produced together with Monash University, referred to as Andrology Australia 2014) provide the following indications for referral to a specialist: </w:t>
      </w:r>
    </w:p>
    <w:p w14:paraId="2CB03E6B" w14:textId="77777777" w:rsidR="00995331" w:rsidRDefault="00995331" w:rsidP="00995331">
      <w:pPr>
        <w:pStyle w:val="ListParagraph"/>
        <w:numPr>
          <w:ilvl w:val="0"/>
          <w:numId w:val="37"/>
        </w:numPr>
        <w:rPr>
          <w:szCs w:val="20"/>
        </w:rPr>
      </w:pPr>
      <w:r w:rsidRPr="00031E00">
        <w:rPr>
          <w:szCs w:val="20"/>
        </w:rPr>
        <w:t xml:space="preserve">the symptoms become more serious and a patient is defined as ‘severely symptomatic’; the patients symptoms significantly impact a patient’s quality of life (as score of 5=-unhappy or 6=terrible on the International Prostate Symptom Score [IPSS]); </w:t>
      </w:r>
    </w:p>
    <w:p w14:paraId="0057669E" w14:textId="77777777" w:rsidR="00995331" w:rsidRDefault="00995331" w:rsidP="00995331">
      <w:pPr>
        <w:pStyle w:val="ListParagraph"/>
        <w:numPr>
          <w:ilvl w:val="0"/>
          <w:numId w:val="37"/>
        </w:numPr>
        <w:rPr>
          <w:szCs w:val="20"/>
        </w:rPr>
      </w:pPr>
      <w:r w:rsidRPr="00031E00">
        <w:rPr>
          <w:szCs w:val="20"/>
        </w:rPr>
        <w:t xml:space="preserve">the patient has experienced urinary retention, urinary infection or haematuria; </w:t>
      </w:r>
    </w:p>
    <w:p w14:paraId="34086369" w14:textId="77777777" w:rsidR="00995331" w:rsidRDefault="00995331" w:rsidP="00995331">
      <w:pPr>
        <w:pStyle w:val="ListParagraph"/>
        <w:numPr>
          <w:ilvl w:val="0"/>
          <w:numId w:val="37"/>
        </w:numPr>
        <w:rPr>
          <w:szCs w:val="20"/>
        </w:rPr>
      </w:pPr>
      <w:r w:rsidRPr="00031E00">
        <w:rPr>
          <w:szCs w:val="20"/>
        </w:rPr>
        <w:t xml:space="preserve">the patient is non-responsive to treatment; </w:t>
      </w:r>
    </w:p>
    <w:p w14:paraId="40DA8CD6" w14:textId="77777777" w:rsidR="00995331" w:rsidRDefault="00995331" w:rsidP="00995331">
      <w:pPr>
        <w:pStyle w:val="ListParagraph"/>
        <w:numPr>
          <w:ilvl w:val="0"/>
          <w:numId w:val="37"/>
        </w:numPr>
        <w:rPr>
          <w:szCs w:val="20"/>
        </w:rPr>
      </w:pPr>
      <w:r w:rsidRPr="00031E00">
        <w:rPr>
          <w:szCs w:val="20"/>
        </w:rPr>
        <w:t xml:space="preserve">there is a risk of prostate cancer; or </w:t>
      </w:r>
    </w:p>
    <w:p w14:paraId="1B59BFDE" w14:textId="77777777" w:rsidR="00995331" w:rsidRPr="00031E00" w:rsidRDefault="00995331" w:rsidP="00995331">
      <w:pPr>
        <w:pStyle w:val="ListParagraph"/>
        <w:numPr>
          <w:ilvl w:val="0"/>
          <w:numId w:val="37"/>
        </w:numPr>
        <w:rPr>
          <w:szCs w:val="20"/>
        </w:rPr>
      </w:pPr>
      <w:r w:rsidRPr="00031E00">
        <w:rPr>
          <w:szCs w:val="20"/>
        </w:rPr>
        <w:t xml:space="preserve">post void residual urine volume on ultrasound exceeds 100 ml. </w:t>
      </w:r>
    </w:p>
    <w:p w14:paraId="5D225E1F" w14:textId="0FDB2F4B" w:rsidR="00995331" w:rsidRDefault="00995331" w:rsidP="00995331">
      <w:pPr>
        <w:ind w:left="426"/>
        <w:rPr>
          <w:szCs w:val="20"/>
        </w:rPr>
      </w:pPr>
      <w:r>
        <w:rPr>
          <w:szCs w:val="20"/>
        </w:rPr>
        <w:t>Surgical therapy (including TUWA) is indicated for patients with severe or high impact symptoms (Andrology Australia 2014). These patients will be managed by a specialist (urologist) with the potential for follow-up to be conducted by the GP.</w:t>
      </w:r>
      <w:r w:rsidR="00A25856">
        <w:rPr>
          <w:szCs w:val="20"/>
        </w:rPr>
        <w:t xml:space="preserve"> </w:t>
      </w:r>
    </w:p>
    <w:p w14:paraId="7A28975F" w14:textId="3DF25529" w:rsidR="00A25856" w:rsidRDefault="00A25856" w:rsidP="00A25856">
      <w:pPr>
        <w:ind w:left="426"/>
        <w:rPr>
          <w:b/>
          <w:szCs w:val="20"/>
        </w:rPr>
      </w:pPr>
      <w:r>
        <w:rPr>
          <w:b/>
          <w:szCs w:val="20"/>
        </w:rPr>
        <w:t>The p</w:t>
      </w:r>
      <w:r w:rsidRPr="00A25856">
        <w:rPr>
          <w:b/>
          <w:szCs w:val="20"/>
        </w:rPr>
        <w:t>roposed population</w:t>
      </w:r>
      <w:r>
        <w:rPr>
          <w:b/>
          <w:szCs w:val="20"/>
        </w:rPr>
        <w:t xml:space="preserve"> for TUWA include: </w:t>
      </w:r>
    </w:p>
    <w:p w14:paraId="661B1A52" w14:textId="7894A91C" w:rsidR="00F6780A" w:rsidRPr="00A25856" w:rsidRDefault="00F6780A" w:rsidP="00A25856">
      <w:pPr>
        <w:pStyle w:val="ListParagraph"/>
        <w:numPr>
          <w:ilvl w:val="0"/>
          <w:numId w:val="41"/>
        </w:numPr>
        <w:rPr>
          <w:szCs w:val="20"/>
        </w:rPr>
      </w:pPr>
      <w:r w:rsidRPr="00A25856">
        <w:rPr>
          <w:szCs w:val="20"/>
        </w:rPr>
        <w:t>men with severe or high impact symptoms (LUTS) of (BPH)</w:t>
      </w:r>
    </w:p>
    <w:p w14:paraId="14B7AACA" w14:textId="70F5B527" w:rsidR="002D6213" w:rsidRDefault="002D6213" w:rsidP="00995331">
      <w:pPr>
        <w:ind w:left="426"/>
        <w:rPr>
          <w:szCs w:val="20"/>
        </w:rPr>
      </w:pPr>
    </w:p>
    <w:p w14:paraId="1D337EB3" w14:textId="73F78FC8" w:rsidR="00A25856" w:rsidRPr="00EA4FA5" w:rsidRDefault="00A25856" w:rsidP="00995331">
      <w:pPr>
        <w:ind w:left="426"/>
        <w:rPr>
          <w:i/>
          <w:szCs w:val="20"/>
          <w:u w:val="single"/>
        </w:rPr>
      </w:pPr>
      <w:r w:rsidRPr="00EA4FA5">
        <w:rPr>
          <w:i/>
          <w:szCs w:val="20"/>
          <w:u w:val="single"/>
        </w:rPr>
        <w:lastRenderedPageBreak/>
        <w:t>Rationale</w:t>
      </w:r>
    </w:p>
    <w:p w14:paraId="7B53CF02" w14:textId="6DA918D6" w:rsidR="00A25856" w:rsidRPr="00A25856" w:rsidRDefault="00A25856" w:rsidP="00995331">
      <w:pPr>
        <w:ind w:left="426"/>
        <w:rPr>
          <w:szCs w:val="20"/>
        </w:rPr>
      </w:pPr>
      <w:r w:rsidRPr="00A25856">
        <w:rPr>
          <w:szCs w:val="20"/>
        </w:rPr>
        <w:t>The p</w:t>
      </w:r>
      <w:r>
        <w:rPr>
          <w:szCs w:val="20"/>
        </w:rPr>
        <w:t xml:space="preserve">roposed population is consistent with the PICO for the VLAP application (Application 1518) and with the TUWA evidence. Australian clinical experts advised that the proposed population for TUWA is appropriate and represents the patient who will benefit </w:t>
      </w:r>
      <w:r w:rsidR="00BE148C">
        <w:rPr>
          <w:szCs w:val="20"/>
        </w:rPr>
        <w:t>from</w:t>
      </w:r>
      <w:r>
        <w:rPr>
          <w:szCs w:val="20"/>
        </w:rPr>
        <w:t xml:space="preserve"> the procedure. </w:t>
      </w:r>
    </w:p>
    <w:p w14:paraId="1E568B57" w14:textId="77777777" w:rsidR="00AA5FDA" w:rsidRPr="00154B00" w:rsidRDefault="00AA5FDA" w:rsidP="00E357B9">
      <w:pPr>
        <w:ind w:left="426"/>
        <w:rPr>
          <w:szCs w:val="20"/>
        </w:rPr>
      </w:pPr>
    </w:p>
    <w:p w14:paraId="792C3A94"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0D045E3" w14:textId="60A2FC24" w:rsidR="00BC424B" w:rsidRDefault="00817296" w:rsidP="00D73646">
      <w:pPr>
        <w:ind w:left="426"/>
      </w:pPr>
      <w:r>
        <w:t>The current management pathway is illustrated in</w:t>
      </w:r>
      <w:r w:rsidR="00E452E8">
        <w:t xml:space="preserve"> </w:t>
      </w:r>
      <w:r w:rsidR="00E452E8">
        <w:fldChar w:fldCharType="begin"/>
      </w:r>
      <w:r w:rsidR="00E452E8">
        <w:instrText xml:space="preserve"> REF _Ref860821 \h </w:instrText>
      </w:r>
      <w:r w:rsidR="00E452E8">
        <w:fldChar w:fldCharType="separate"/>
      </w:r>
      <w:r w:rsidR="00C51F41">
        <w:t xml:space="preserve">Figure </w:t>
      </w:r>
      <w:r w:rsidR="00C51F41">
        <w:rPr>
          <w:noProof/>
        </w:rPr>
        <w:t>1</w:t>
      </w:r>
      <w:r w:rsidR="00E452E8">
        <w:fldChar w:fldCharType="end"/>
      </w:r>
      <w:r w:rsidR="00E452E8">
        <w:t>. This reflects an amend</w:t>
      </w:r>
      <w:r w:rsidR="00DA3B7E">
        <w:t xml:space="preserve">ment of the </w:t>
      </w:r>
      <w:r w:rsidR="00E452E8">
        <w:t>path</w:t>
      </w:r>
      <w:r w:rsidR="00DA3B7E">
        <w:t xml:space="preserve">way included in the PICO of Application 1518 (VLAP). </w:t>
      </w:r>
    </w:p>
    <w:p w14:paraId="13CE4F18" w14:textId="05FEA7CE" w:rsidR="00DA3B7E" w:rsidRDefault="00DA3B7E" w:rsidP="00D73646">
      <w:pPr>
        <w:ind w:left="426"/>
      </w:pPr>
      <w:r>
        <w:t>Management of LUTS secondary to BPH is dependent on the severity of symptoms</w:t>
      </w:r>
      <w:r w:rsidR="008B1D0F">
        <w:t xml:space="preserve"> assessed using the IPSS score, patient age and comorbidities</w:t>
      </w:r>
      <w:r>
        <w:t xml:space="preserve">. When symptoms are mild or low impact, patients are </w:t>
      </w:r>
      <w:r w:rsidR="008B1D0F">
        <w:t>managed with watchful waiting and lifestyle changes. However, upon progression to moderate symptoms patients may be managed with medical therapies. The types of medial therap</w:t>
      </w:r>
      <w:r w:rsidR="00BA3DFF">
        <w:t>y</w:t>
      </w:r>
      <w:r w:rsidR="008B1D0F">
        <w:t xml:space="preserve"> used is dependent on the symptoms and patient </w:t>
      </w:r>
      <w:r w:rsidR="00BD5018">
        <w:t>co-morbidities but</w:t>
      </w:r>
      <w:r w:rsidR="00BA3DFF">
        <w:t xml:space="preserve"> may include </w:t>
      </w:r>
      <w:r w:rsidR="00BA3DFF" w:rsidRPr="00BA3DFF">
        <w:t xml:space="preserve">alpha blockers and 5-alpha-reductase inhibitors. </w:t>
      </w:r>
      <w:r>
        <w:t xml:space="preserve"> </w:t>
      </w:r>
    </w:p>
    <w:p w14:paraId="1874BF07" w14:textId="4B84D7EC" w:rsidR="00C036C6" w:rsidRPr="00BA3DFF" w:rsidRDefault="00C036C6" w:rsidP="00DA3B7E">
      <w:pPr>
        <w:ind w:left="426"/>
      </w:pPr>
      <w:r>
        <w:t>Whilst, t</w:t>
      </w:r>
      <w:r w:rsidR="008B1D0F">
        <w:t>he general practitioner (GP) is responsible for diagnosis and initial management of patients with BPH</w:t>
      </w:r>
      <w:r>
        <w:t xml:space="preserve">, </w:t>
      </w:r>
      <w:r w:rsidR="00F6780A">
        <w:t>pat</w:t>
      </w:r>
      <w:r w:rsidR="003E45E5">
        <w:t>i</w:t>
      </w:r>
      <w:r w:rsidR="00F6780A">
        <w:t>ents</w:t>
      </w:r>
      <w:r>
        <w:t xml:space="preserve"> with</w:t>
      </w:r>
      <w:r w:rsidR="00DA3B7E">
        <w:t xml:space="preserve"> severe or high impact symptoms </w:t>
      </w:r>
      <w:r>
        <w:t>should be referred to a specialist. Patients may be diagnosed initially with sever or high impact symptoms, or as symptoms severity increase despite management with medical treatment. Over time, as the prostate enlarges over time, it is common for LUTS</w:t>
      </w:r>
      <w:r w:rsidR="00DA3B7E">
        <w:t xml:space="preserve"> </w:t>
      </w:r>
      <w:r>
        <w:t xml:space="preserve">of </w:t>
      </w:r>
      <w:r w:rsidR="00DA3B7E">
        <w:t xml:space="preserve">BPH </w:t>
      </w:r>
      <w:r>
        <w:t xml:space="preserve">to progress </w:t>
      </w:r>
      <w:r w:rsidR="00DA3B7E">
        <w:t xml:space="preserve">from mild to moderate and eventually to severe impact (illustrated by the dotted </w:t>
      </w:r>
      <w:r w:rsidR="00DA3B7E" w:rsidRPr="00BA3DFF">
        <w:t xml:space="preserve">lines in </w:t>
      </w:r>
      <w:r w:rsidRPr="00BA3DFF">
        <w:fldChar w:fldCharType="begin"/>
      </w:r>
      <w:r w:rsidRPr="00BA3DFF">
        <w:instrText xml:space="preserve"> REF _Ref860821 \h </w:instrText>
      </w:r>
      <w:r w:rsidR="00BA3DFF">
        <w:instrText xml:space="preserve"> \* MERGEFORMAT </w:instrText>
      </w:r>
      <w:r w:rsidRPr="00BA3DFF">
        <w:fldChar w:fldCharType="separate"/>
      </w:r>
      <w:r w:rsidR="00C51F41">
        <w:t xml:space="preserve">Figure </w:t>
      </w:r>
      <w:r w:rsidR="00C51F41">
        <w:rPr>
          <w:noProof/>
        </w:rPr>
        <w:t>1</w:t>
      </w:r>
      <w:r w:rsidRPr="00BA3DFF">
        <w:fldChar w:fldCharType="end"/>
      </w:r>
      <w:r w:rsidR="00F6780A">
        <w:t>)</w:t>
      </w:r>
      <w:r w:rsidR="00DA3B7E" w:rsidRPr="00BA3DFF">
        <w:t>.</w:t>
      </w:r>
    </w:p>
    <w:p w14:paraId="28FFAC7E" w14:textId="085051D0" w:rsidR="00DA3B7E" w:rsidRDefault="00DA3B7E" w:rsidP="00DA3B7E">
      <w:pPr>
        <w:ind w:left="426"/>
      </w:pPr>
      <w:r w:rsidRPr="00BA3DFF">
        <w:t xml:space="preserve">The EAU guidelines recommend surgical treatment for men </w:t>
      </w:r>
      <w:r w:rsidR="00C036C6" w:rsidRPr="00BA3DFF">
        <w:t>that experience</w:t>
      </w:r>
      <w:r w:rsidRPr="00BA3DFF">
        <w:t xml:space="preserve"> bothersome LUTS refractory to conservative or medical therapy or in cases of absolute indications for surgery. </w:t>
      </w:r>
      <w:r w:rsidR="00BA3DFF" w:rsidRPr="00BA3DFF">
        <w:t xml:space="preserve">Decision making is dependent on </w:t>
      </w:r>
      <w:r w:rsidRPr="00BA3DFF">
        <w:t xml:space="preserve">the patient’s prostate size, cardiovascular risk and ability to have anaesthesia </w:t>
      </w:r>
      <w:r w:rsidRPr="00BA3DFF">
        <w:fldChar w:fldCharType="begin"/>
      </w:r>
      <w:r w:rsidRPr="00BA3DFF">
        <w:instrText xml:space="preserve"> ADDIN EN.CITE &lt;EndNote&gt;&lt;Cite&gt;&lt;Author&gt;EAU&lt;/Author&gt;&lt;Year&gt;2016&lt;/Year&gt;&lt;RecNum&gt;27&lt;/RecNum&gt;&lt;DisplayText&gt;(EAU 2016)&lt;/DisplayText&gt;&lt;record&gt;&lt;rec-number&gt;27&lt;/rec-number&gt;&lt;foreign-keys&gt;&lt;key app="EN" db-id="d5dfdstv1rwsv6e0wzq5svvof5ftzstwddtt" timestamp="1516236760"&gt;27&lt;/key&gt;&lt;/foreign-keys&gt;&lt;ref-type name="Report"&gt;27&lt;/ref-type&gt;&lt;contributors&gt;&lt;authors&gt;&lt;author&gt;EAU&lt;/author&gt;&lt;/authors&gt;&lt;secondary-authors&gt;&lt;author&gt;Gravas S (Chair), Bach T, Drake M, Gacci M, Gratzke C, Herrmann TRW, Madersbacher S, Mamoulakis C, Tikkinen KAO&lt;/author&gt;&lt;author&gt;Guidelines Associates: M. Karavitakis, S. Malde, V. Sakkalis , R. Umbach&lt;/author&gt;&lt;/secondary-authors&gt;&lt;/contributors&gt;&lt;titles&gt;&lt;title&gt;Treatment of non-neurogenic male LUTS&lt;/title&gt;&lt;secondary-title&gt;European Association of Urology Guidelines&lt;/secondary-title&gt;&lt;/titles&gt;&lt;dates&gt;&lt;year&gt;2016&lt;/year&gt;&lt;/dates&gt;&lt;urls&gt;&lt;related-urls&gt;&lt;url&gt;http://uroweb.org/guideline/treatment-of-non-neurogenic-male-luts/&lt;/url&gt;&lt;/related-urls&gt;&lt;/urls&gt;&lt;/record&gt;&lt;/Cite&gt;&lt;/EndNote&gt;</w:instrText>
      </w:r>
      <w:r w:rsidRPr="00BA3DFF">
        <w:fldChar w:fldCharType="separate"/>
      </w:r>
      <w:r w:rsidRPr="00BA3DFF">
        <w:t>(</w:t>
      </w:r>
      <w:hyperlink w:anchor="_ENREF_12" w:tooltip="EAU, 2016 #27" w:history="1">
        <w:r w:rsidRPr="00BA3DFF">
          <w:t>EAU 2016</w:t>
        </w:r>
      </w:hyperlink>
      <w:r w:rsidRPr="00BA3DFF">
        <w:t>)</w:t>
      </w:r>
      <w:r w:rsidRPr="00BA3DFF">
        <w:fldChar w:fldCharType="end"/>
      </w:r>
      <w:r w:rsidRPr="00BA3DFF">
        <w:t>.</w:t>
      </w:r>
      <w:r>
        <w:t xml:space="preserve"> </w:t>
      </w:r>
      <w:r w:rsidR="00BA3DFF">
        <w:t>I</w:t>
      </w:r>
      <w:r w:rsidR="003E45E5">
        <w:t>n</w:t>
      </w:r>
      <w:r w:rsidR="00BA3DFF">
        <w:t xml:space="preserve"> patients with prostates 30-80 ml, TURP is the mainstay surgical options, with open prostatectomy mostly considered for substantially enlarged glands (&gt;80-100 ml). </w:t>
      </w:r>
    </w:p>
    <w:p w14:paraId="2198C16B" w14:textId="26DB55B5" w:rsidR="00DA3B7E" w:rsidRDefault="00DA3B7E" w:rsidP="00DA3B7E">
      <w:pPr>
        <w:ind w:left="426"/>
      </w:pPr>
      <w:r>
        <w:t>The updated pathway</w:t>
      </w:r>
      <w:r w:rsidR="00BA3DFF">
        <w:t xml:space="preserve"> provided in</w:t>
      </w:r>
      <w:r>
        <w:t xml:space="preserve"> </w:t>
      </w:r>
      <w:r w:rsidR="00BA3DFF">
        <w:fldChar w:fldCharType="begin"/>
      </w:r>
      <w:r w:rsidR="00BA3DFF">
        <w:instrText xml:space="preserve"> REF _Ref860821 \h </w:instrText>
      </w:r>
      <w:r w:rsidR="00BA3DFF">
        <w:fldChar w:fldCharType="separate"/>
      </w:r>
      <w:r w:rsidR="00C51F41">
        <w:t xml:space="preserve">Figure </w:t>
      </w:r>
      <w:r w:rsidR="00C51F41">
        <w:rPr>
          <w:noProof/>
        </w:rPr>
        <w:t>1</w:t>
      </w:r>
      <w:r w:rsidR="00BA3DFF">
        <w:fldChar w:fldCharType="end"/>
      </w:r>
      <w:r w:rsidR="00BA3DFF">
        <w:t xml:space="preserve"> </w:t>
      </w:r>
      <w:r>
        <w:t xml:space="preserve">includes TUWA as alternate treatment option to HoLEP, VLAP and TURP in patients with enlarged prostates with severe or high impact symptoms that are suitable for the respective treatments. </w:t>
      </w:r>
      <w:r w:rsidR="009225F5">
        <w:t xml:space="preserve">Prostatic urethral lift (PUL) is also included as an alternative treatment option </w:t>
      </w:r>
      <w:r w:rsidR="00905318">
        <w:t>g</w:t>
      </w:r>
      <w:r w:rsidR="00BA3DFF">
        <w:t xml:space="preserve">iven the minimally invasive nature of </w:t>
      </w:r>
      <w:r w:rsidR="00905318">
        <w:t xml:space="preserve">the procedure, </w:t>
      </w:r>
      <w:r w:rsidR="00BA3DFF">
        <w:t>like TUWA, and the increased utilisation of this treatment option on the MBS (refer to Part 6</w:t>
      </w:r>
      <w:r w:rsidR="00905318">
        <w:t>)</w:t>
      </w:r>
      <w:r w:rsidR="00BA3DFF">
        <w:t xml:space="preserve">. </w:t>
      </w:r>
      <w:r w:rsidR="00905318">
        <w:t>The inclusion of PUL is discussed further in comparator nomination addressed in Question</w:t>
      </w:r>
      <w:r w:rsidR="009225F5">
        <w:t xml:space="preserve"> 38 (pg. 22).</w:t>
      </w:r>
    </w:p>
    <w:p w14:paraId="55351E50" w14:textId="71D8BCE6" w:rsidR="00817296" w:rsidRDefault="00817296" w:rsidP="00D73646">
      <w:pPr>
        <w:ind w:left="426"/>
      </w:pPr>
    </w:p>
    <w:p w14:paraId="22D3BB98" w14:textId="11239851" w:rsidR="00817296" w:rsidRDefault="00F6780A" w:rsidP="00D73646">
      <w:pPr>
        <w:ind w:left="426"/>
      </w:pPr>
      <w:r w:rsidRPr="00F6780A">
        <w:rPr>
          <w:noProof/>
          <w:lang w:eastAsia="en-AU"/>
        </w:rPr>
        <w:lastRenderedPageBreak/>
        <w:drawing>
          <wp:inline distT="0" distB="0" distL="0" distR="0" wp14:anchorId="1D972648" wp14:editId="6C3A4787">
            <wp:extent cx="5731510" cy="3223895"/>
            <wp:effectExtent l="0" t="0" r="2540" b="0"/>
            <wp:docPr id="8" name="Picture 8" descr="Fig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pic:spPr>
                </pic:pic>
              </a:graphicData>
            </a:graphic>
          </wp:inline>
        </w:drawing>
      </w:r>
    </w:p>
    <w:p w14:paraId="696823DA" w14:textId="6B75A7B3" w:rsidR="00817296" w:rsidRDefault="00817296" w:rsidP="00817296">
      <w:pPr>
        <w:pStyle w:val="Caption"/>
      </w:pPr>
      <w:bookmarkStart w:id="4" w:name="_Ref860821"/>
      <w:r>
        <w:t xml:space="preserve">Figure </w:t>
      </w:r>
      <w:r w:rsidR="0000365A">
        <w:rPr>
          <w:noProof/>
        </w:rPr>
        <w:fldChar w:fldCharType="begin"/>
      </w:r>
      <w:r w:rsidR="0000365A">
        <w:rPr>
          <w:noProof/>
        </w:rPr>
        <w:instrText xml:space="preserve"> SEQ Figure \* ARABIC </w:instrText>
      </w:r>
      <w:r w:rsidR="0000365A">
        <w:rPr>
          <w:noProof/>
        </w:rPr>
        <w:fldChar w:fldCharType="separate"/>
      </w:r>
      <w:r w:rsidR="00C51F41">
        <w:rPr>
          <w:noProof/>
        </w:rPr>
        <w:t>1</w:t>
      </w:r>
      <w:r w:rsidR="0000365A">
        <w:rPr>
          <w:noProof/>
        </w:rPr>
        <w:fldChar w:fldCharType="end"/>
      </w:r>
      <w:bookmarkEnd w:id="4"/>
      <w:r>
        <w:tab/>
      </w:r>
      <w:r w:rsidR="00E452E8">
        <w:t xml:space="preserve">Current and proposed clinical management algorithm for the proposed population </w:t>
      </w:r>
    </w:p>
    <w:p w14:paraId="1A9B2195" w14:textId="34029BE0" w:rsidR="00E452E8" w:rsidRDefault="00E452E8" w:rsidP="00E452E8">
      <w:r>
        <w:t xml:space="preserve">Nb. The proposed change to the pathway, that is introduction of TUWA, is indicated by an orange box in the algorithm. </w:t>
      </w:r>
    </w:p>
    <w:p w14:paraId="63229D71" w14:textId="7A2540D4" w:rsidR="00E452E8" w:rsidRPr="00E452E8" w:rsidRDefault="00E452E8" w:rsidP="00E452E8">
      <w:r>
        <w:t xml:space="preserve">Abbreviations: HoLEP, </w:t>
      </w:r>
      <w:r w:rsidRPr="00E452E8">
        <w:t>holmium laser enucleation of the prostate;</w:t>
      </w:r>
      <w:r>
        <w:t xml:space="preserve"> OP, open prostatectomy; TURP, </w:t>
      </w:r>
      <w:r w:rsidRPr="00E452E8">
        <w:t>transurethral resection of the prostate</w:t>
      </w:r>
      <w:r>
        <w:t>;</w:t>
      </w:r>
      <w:r w:rsidRPr="00E452E8">
        <w:t xml:space="preserve"> </w:t>
      </w:r>
      <w:r>
        <w:t xml:space="preserve">TUWA, transurethral water ablation, VLAP, </w:t>
      </w:r>
      <w:r w:rsidRPr="00E452E8">
        <w:t>visual laser ablation of the prostate</w:t>
      </w:r>
      <w:r w:rsidR="00DA3B7E">
        <w:t>.</w:t>
      </w:r>
    </w:p>
    <w:p w14:paraId="00571B45" w14:textId="77777777" w:rsidR="00817296" w:rsidRPr="00BC424B" w:rsidRDefault="00817296" w:rsidP="00D73646">
      <w:pPr>
        <w:ind w:left="426"/>
      </w:pPr>
    </w:p>
    <w:p w14:paraId="4115F4B3" w14:textId="77777777" w:rsidR="002A50FD" w:rsidRPr="00881F93" w:rsidRDefault="005C3AE7" w:rsidP="005C3AE7">
      <w:pPr>
        <w:pStyle w:val="Subtitle"/>
      </w:pPr>
      <w:r>
        <w:t xml:space="preserve">PART 6b – </w:t>
      </w:r>
      <w:r w:rsidR="002A50FD" w:rsidRPr="00881F93">
        <w:t>INFORMATION ABOUT THE INTERVENTION</w:t>
      </w:r>
    </w:p>
    <w:p w14:paraId="02594BB3"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FA062CA" w14:textId="345937A2" w:rsidR="002027E4" w:rsidRDefault="002027E4" w:rsidP="002027E4">
      <w:pPr>
        <w:ind w:left="426"/>
      </w:pPr>
      <w:r>
        <w:t>The Rezūm Therapy System consists of a portable RF generator and a cystoscopic instrument (</w:t>
      </w:r>
      <w:r w:rsidR="00735030">
        <w:fldChar w:fldCharType="begin"/>
      </w:r>
      <w:r w:rsidR="00735030">
        <w:instrText xml:space="preserve"> REF _Ref871300 \h </w:instrText>
      </w:r>
      <w:r w:rsidR="00735030">
        <w:fldChar w:fldCharType="separate"/>
      </w:r>
      <w:r w:rsidR="00C51F41">
        <w:t xml:space="preserve">Figure </w:t>
      </w:r>
      <w:r w:rsidR="00C51F41">
        <w:rPr>
          <w:noProof/>
        </w:rPr>
        <w:t>2</w:t>
      </w:r>
      <w:r w:rsidR="00735030">
        <w:fldChar w:fldCharType="end"/>
      </w:r>
      <w:r>
        <w:t>) to deliver the ablative thermotherapy treatment created using RF current to the prostate tissue in a transurethral approach. The generator includes an RF power supply and has a number of safety features to ensure proper heating and thermal ablation of the targeted prostate tissue, whilst protecting the urothelium during treatment.</w:t>
      </w:r>
    </w:p>
    <w:p w14:paraId="1886CAA8" w14:textId="06195EAF" w:rsidR="00735030" w:rsidRDefault="00735030" w:rsidP="002027E4">
      <w:pPr>
        <w:ind w:left="426"/>
      </w:pPr>
    </w:p>
    <w:p w14:paraId="16521646" w14:textId="014886E4" w:rsidR="00735030" w:rsidRDefault="00735030" w:rsidP="002027E4">
      <w:pPr>
        <w:ind w:left="426"/>
      </w:pPr>
      <w:r w:rsidRPr="00735030">
        <w:rPr>
          <w:noProof/>
          <w:lang w:eastAsia="en-AU"/>
        </w:rPr>
        <w:lastRenderedPageBreak/>
        <w:drawing>
          <wp:inline distT="0" distB="0" distL="0" distR="0" wp14:anchorId="42323B93" wp14:editId="43CEC7DF">
            <wp:extent cx="5731510" cy="2891155"/>
            <wp:effectExtent l="0" t="0" r="2540" b="4445"/>
            <wp:docPr id="4" name="Picture 4" descr="Figure 2"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91155"/>
                    </a:xfrm>
                    <a:prstGeom prst="rect">
                      <a:avLst/>
                    </a:prstGeom>
                    <a:noFill/>
                    <a:ln>
                      <a:noFill/>
                    </a:ln>
                  </pic:spPr>
                </pic:pic>
              </a:graphicData>
            </a:graphic>
          </wp:inline>
        </w:drawing>
      </w:r>
    </w:p>
    <w:p w14:paraId="566B78D2" w14:textId="5C29CE6A" w:rsidR="00735030" w:rsidRDefault="00735030" w:rsidP="00735030">
      <w:pPr>
        <w:pStyle w:val="Caption"/>
      </w:pPr>
      <w:bookmarkStart w:id="5" w:name="_Ref871300"/>
      <w:r>
        <w:t xml:space="preserve">Figure </w:t>
      </w:r>
      <w:r w:rsidR="0000365A">
        <w:rPr>
          <w:noProof/>
        </w:rPr>
        <w:fldChar w:fldCharType="begin"/>
      </w:r>
      <w:r w:rsidR="0000365A">
        <w:rPr>
          <w:noProof/>
        </w:rPr>
        <w:instrText xml:space="preserve"> SEQ Figure \* ARABIC </w:instrText>
      </w:r>
      <w:r w:rsidR="0000365A">
        <w:rPr>
          <w:noProof/>
        </w:rPr>
        <w:fldChar w:fldCharType="separate"/>
      </w:r>
      <w:r w:rsidR="00C51F41">
        <w:rPr>
          <w:noProof/>
        </w:rPr>
        <w:t>2</w:t>
      </w:r>
      <w:r w:rsidR="0000365A">
        <w:rPr>
          <w:noProof/>
        </w:rPr>
        <w:fldChar w:fldCharType="end"/>
      </w:r>
      <w:bookmarkEnd w:id="5"/>
      <w:r>
        <w:tab/>
        <w:t>Rezum system for BPH</w:t>
      </w:r>
    </w:p>
    <w:p w14:paraId="4242F980" w14:textId="5CDE3BE8" w:rsidR="002027E4" w:rsidRDefault="002027E4" w:rsidP="002027E4">
      <w:pPr>
        <w:ind w:left="426"/>
      </w:pPr>
      <w:r>
        <w:t>T</w:t>
      </w:r>
      <w:r w:rsidRPr="002027E4">
        <w:t>he RF power supply in the generator applies RF current to an inductive coil</w:t>
      </w:r>
      <w:r>
        <w:t xml:space="preserve"> </w:t>
      </w:r>
      <w:r w:rsidRPr="002027E4">
        <w:t>heater in the handle of the device and 0.45 mL of sterile water flowing through the coil is instantly</w:t>
      </w:r>
      <w:r>
        <w:t xml:space="preserve"> </w:t>
      </w:r>
      <w:r w:rsidRPr="002027E4">
        <w:t>heated to create thermal energy in the form of steam, or water vapo</w:t>
      </w:r>
      <w:r>
        <w:t>ur.</w:t>
      </w:r>
    </w:p>
    <w:p w14:paraId="34229FAB" w14:textId="77777777" w:rsidR="00735030" w:rsidRDefault="002027E4" w:rsidP="002027E4">
      <w:pPr>
        <w:ind w:left="426"/>
      </w:pPr>
      <w:r>
        <w:t xml:space="preserve">The sterile cystoscopic instrument portion of the Rezūm System is inserted in a transurethral approach, and the thermal energy is convectively dispersed directly into the targeted areas of the prostate tissue through twelve 0.012 vapor emitter holes that are concentrically located in rows of 4 at 120° around the distal end of the vapor treatment needle which is deployed into the prostate tissue. Each treatment convectively and circumferentially disperses the thermal energy to create a 1.5 to 2.0 cm lesion in the tissue by raising the tissue temperature in the treatment area to between 70° to 80°C, causing cell death and coagulative necrosis. </w:t>
      </w:r>
    </w:p>
    <w:p w14:paraId="54AD22C6" w14:textId="2DEF898A" w:rsidR="002027E4" w:rsidRDefault="002027E4" w:rsidP="002027E4">
      <w:pPr>
        <w:ind w:left="426"/>
      </w:pPr>
      <w:r>
        <w:t xml:space="preserve">Within the prostate, the thermal energy released through condensation of the steam, or vapor, is contained by the pseudocapsules, or densified tissue membranes within the prostate which separate each of the anatomical zones or regions of the prostate (transition zone, central zone and peripheral zone). In addition, the prostate has a thick collagen outer external capsule. The density of these membranes </w:t>
      </w:r>
      <w:r w:rsidR="00735030">
        <w:t>contains</w:t>
      </w:r>
      <w:r>
        <w:t xml:space="preserve"> the convective thermal energy within area of treatment.</w:t>
      </w:r>
    </w:p>
    <w:p w14:paraId="597C3D16" w14:textId="702A36DD" w:rsidR="007D50A9" w:rsidRDefault="007D50A9" w:rsidP="002027E4">
      <w:pPr>
        <w:ind w:left="426"/>
      </w:pPr>
      <w:r>
        <w:fldChar w:fldCharType="begin"/>
      </w:r>
      <w:r>
        <w:instrText xml:space="preserve"> REF _Ref871450 \h </w:instrText>
      </w:r>
      <w:r>
        <w:fldChar w:fldCharType="separate"/>
      </w:r>
      <w:r w:rsidR="00C51F41">
        <w:t xml:space="preserve">Figure </w:t>
      </w:r>
      <w:r w:rsidR="00C51F41">
        <w:rPr>
          <w:noProof/>
        </w:rPr>
        <w:t>3</w:t>
      </w:r>
      <w:r>
        <w:fldChar w:fldCharType="end"/>
      </w:r>
      <w:r>
        <w:t xml:space="preserve"> provides an illustration of how the </w:t>
      </w:r>
      <w:r w:rsidR="00F6780A">
        <w:t>thermal</w:t>
      </w:r>
      <w:r>
        <w:t xml:space="preserve"> energy of a treatment with the Rezum </w:t>
      </w:r>
      <w:r w:rsidR="00F6780A">
        <w:t>System</w:t>
      </w:r>
      <w:r>
        <w:t xml:space="preserve"> is delivered directly to the prostate tissue in a transurethral approach. </w:t>
      </w:r>
    </w:p>
    <w:p w14:paraId="57D830ED" w14:textId="1BD9C672" w:rsidR="007D50A9" w:rsidRDefault="007D50A9" w:rsidP="002027E4">
      <w:pPr>
        <w:ind w:left="426"/>
      </w:pPr>
    </w:p>
    <w:p w14:paraId="0C9ECECC" w14:textId="0B352B01" w:rsidR="007D50A9" w:rsidRDefault="007D50A9" w:rsidP="002027E4">
      <w:pPr>
        <w:ind w:left="426"/>
      </w:pPr>
      <w:r w:rsidRPr="007D50A9">
        <w:rPr>
          <w:noProof/>
          <w:lang w:eastAsia="en-AU"/>
        </w:rPr>
        <w:drawing>
          <wp:inline distT="0" distB="0" distL="0" distR="0" wp14:anchorId="3A69B98C" wp14:editId="2811FE74">
            <wp:extent cx="3431974" cy="2429302"/>
            <wp:effectExtent l="0" t="0" r="0" b="9525"/>
            <wp:docPr id="5" name="Picture 5" descr="Figure 3"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328" cy="2433800"/>
                    </a:xfrm>
                    <a:prstGeom prst="rect">
                      <a:avLst/>
                    </a:prstGeom>
                    <a:noFill/>
                    <a:ln>
                      <a:noFill/>
                    </a:ln>
                  </pic:spPr>
                </pic:pic>
              </a:graphicData>
            </a:graphic>
          </wp:inline>
        </w:drawing>
      </w:r>
    </w:p>
    <w:p w14:paraId="11BF7B9D" w14:textId="1A6DF1AB" w:rsidR="007D50A9" w:rsidRDefault="007D50A9" w:rsidP="007D50A9">
      <w:pPr>
        <w:pStyle w:val="Caption"/>
      </w:pPr>
      <w:bookmarkStart w:id="6" w:name="_Ref871450"/>
      <w:r>
        <w:lastRenderedPageBreak/>
        <w:t xml:space="preserve">Figure </w:t>
      </w:r>
      <w:r w:rsidR="0000365A">
        <w:rPr>
          <w:noProof/>
        </w:rPr>
        <w:fldChar w:fldCharType="begin"/>
      </w:r>
      <w:r w:rsidR="0000365A">
        <w:rPr>
          <w:noProof/>
        </w:rPr>
        <w:instrText xml:space="preserve"> SEQ Figure \* ARABIC </w:instrText>
      </w:r>
      <w:r w:rsidR="0000365A">
        <w:rPr>
          <w:noProof/>
        </w:rPr>
        <w:fldChar w:fldCharType="separate"/>
      </w:r>
      <w:r w:rsidR="00C51F41">
        <w:rPr>
          <w:noProof/>
        </w:rPr>
        <w:t>3</w:t>
      </w:r>
      <w:r w:rsidR="0000365A">
        <w:rPr>
          <w:noProof/>
        </w:rPr>
        <w:fldChar w:fldCharType="end"/>
      </w:r>
      <w:bookmarkEnd w:id="6"/>
      <w:r>
        <w:tab/>
        <w:t>Rezum procedure</w:t>
      </w:r>
    </w:p>
    <w:p w14:paraId="6A3172AB" w14:textId="77777777" w:rsidR="007D50A9" w:rsidRDefault="007D50A9" w:rsidP="002027E4">
      <w:pPr>
        <w:ind w:left="426"/>
      </w:pPr>
    </w:p>
    <w:p w14:paraId="39474583" w14:textId="6A22E3EC" w:rsidR="003D5843" w:rsidRPr="002027E4" w:rsidRDefault="003D5843" w:rsidP="002027E4">
      <w:pPr>
        <w:ind w:left="426"/>
      </w:pPr>
      <w:r>
        <w:t xml:space="preserve">Each treatment takes 9 seconds and provides immediate and irreversible cell death. After each treatment, the </w:t>
      </w:r>
      <w:r w:rsidR="007D50A9">
        <w:t>needle is retracted 1 cm and repositioned several times so that thermoablation can be repeated in different areas of the gland, including the median lobe</w:t>
      </w:r>
      <w:r w:rsidR="00D21D0E">
        <w:t>.</w:t>
      </w:r>
    </w:p>
    <w:p w14:paraId="442264D8" w14:textId="71D00520" w:rsidR="002027E4" w:rsidRDefault="003D5843" w:rsidP="003D5843">
      <w:pPr>
        <w:ind w:left="426"/>
      </w:pPr>
      <w:r>
        <w:t>Because vapor ablation does not rely on the thermal conductivity of tissue to diffuse heat, it is not subject to the physics or biological limitations of using tissue to conduct or diffuse heat in order to cause tissue cell necrosis. Therefore, the convective transfer of thermal energy via vapor, unlike the conduction or diffusion of heat energy, is not affected by the thermal conductivity or property of tissue.</w:t>
      </w:r>
    </w:p>
    <w:p w14:paraId="7ED37C46" w14:textId="77912A54" w:rsidR="00BA3DFF" w:rsidRDefault="002027E4" w:rsidP="002027E4">
      <w:pPr>
        <w:ind w:left="426"/>
      </w:pPr>
      <w:r>
        <w:t xml:space="preserve">Thermocouples in the cystoscopic instrument monitor temperatures to ensure consistent delivery of thermal energy into the ablation region while preserving the prostatic urethra. The system operator deploys the treatment needle into the prostate (one </w:t>
      </w:r>
      <w:r w:rsidR="00F6780A">
        <w:t>centimetre</w:t>
      </w:r>
      <w:r>
        <w:t xml:space="preserve"> - there is no variation in depth of treatment needle deployment), and views deployment of the treatment needle through a cystoscopic lens in the instrument.</w:t>
      </w:r>
    </w:p>
    <w:p w14:paraId="2A5257E9" w14:textId="6F8B05D8" w:rsidR="00BA3DFF" w:rsidRDefault="007D50A9" w:rsidP="001C12BC">
      <w:pPr>
        <w:ind w:left="426"/>
        <w:rPr>
          <w:szCs w:val="20"/>
        </w:rPr>
      </w:pPr>
      <w:r>
        <w:rPr>
          <w:szCs w:val="20"/>
        </w:rPr>
        <w:t>TUWA</w:t>
      </w:r>
      <w:r w:rsidRPr="007D50A9">
        <w:rPr>
          <w:szCs w:val="20"/>
        </w:rPr>
        <w:t xml:space="preserve"> is </w:t>
      </w:r>
      <w:r>
        <w:rPr>
          <w:szCs w:val="20"/>
        </w:rPr>
        <w:t xml:space="preserve">mostly performed as </w:t>
      </w:r>
      <w:r w:rsidRPr="007D50A9">
        <w:rPr>
          <w:szCs w:val="20"/>
        </w:rPr>
        <w:t>day-case surgery using</w:t>
      </w:r>
      <w:r>
        <w:rPr>
          <w:szCs w:val="20"/>
        </w:rPr>
        <w:t xml:space="preserve"> </w:t>
      </w:r>
      <w:r w:rsidRPr="007D50A9">
        <w:rPr>
          <w:szCs w:val="20"/>
        </w:rPr>
        <w:t xml:space="preserve">local anaesthetic </w:t>
      </w:r>
      <w:r>
        <w:rPr>
          <w:szCs w:val="20"/>
        </w:rPr>
        <w:t>such as</w:t>
      </w:r>
      <w:r w:rsidRPr="007D50A9">
        <w:rPr>
          <w:szCs w:val="20"/>
        </w:rPr>
        <w:t xml:space="preserve"> a peri-prostatic block, and sometimes sedation</w:t>
      </w:r>
      <w:r>
        <w:rPr>
          <w:szCs w:val="20"/>
        </w:rPr>
        <w:t xml:space="preserve">. </w:t>
      </w:r>
    </w:p>
    <w:p w14:paraId="436C2136" w14:textId="49CAE4CB" w:rsidR="001C12BC" w:rsidRDefault="001C12BC" w:rsidP="001C12BC">
      <w:pPr>
        <w:ind w:left="426"/>
        <w:rPr>
          <w:szCs w:val="20"/>
        </w:rPr>
      </w:pPr>
      <w:r>
        <w:rPr>
          <w:szCs w:val="20"/>
        </w:rPr>
        <w:t xml:space="preserve">As a precaution, anticoagulation should be stopped prior to the procedure (continuation of aspirin is acceptable). The patient will have a catheter for a few days post procedure (on average 3 days; McVary et al 2016). </w:t>
      </w:r>
    </w:p>
    <w:p w14:paraId="4B59AF5D" w14:textId="77777777" w:rsidR="007D50A9" w:rsidRPr="00154B00" w:rsidRDefault="007D50A9" w:rsidP="007D50A9">
      <w:pPr>
        <w:ind w:left="426"/>
        <w:rPr>
          <w:szCs w:val="20"/>
        </w:rPr>
      </w:pPr>
    </w:p>
    <w:p w14:paraId="115066BA"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5481B8F2" w14:textId="5961BE7A" w:rsidR="002A6753" w:rsidRPr="00154B00" w:rsidRDefault="001C12BC" w:rsidP="00E357B9">
      <w:pPr>
        <w:ind w:left="426"/>
        <w:rPr>
          <w:szCs w:val="20"/>
        </w:rPr>
      </w:pPr>
      <w:r>
        <w:t xml:space="preserve">No, the proposed medical service does not include a registered trademark component. </w:t>
      </w:r>
    </w:p>
    <w:p w14:paraId="0FA111C8"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133CE6B" w14:textId="3E1E541E" w:rsidR="00DF0C51" w:rsidRPr="005750E1" w:rsidRDefault="005750E1" w:rsidP="00E357B9">
      <w:pPr>
        <w:ind w:left="426"/>
        <w:rPr>
          <w:szCs w:val="20"/>
        </w:rPr>
      </w:pPr>
      <w:r w:rsidRPr="005750E1">
        <w:rPr>
          <w:szCs w:val="20"/>
        </w:rPr>
        <w:t>N/A</w:t>
      </w:r>
    </w:p>
    <w:p w14:paraId="2B82B18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FE0FC34" w14:textId="7B170C3F" w:rsidR="00CC09D7" w:rsidRPr="00154B00" w:rsidRDefault="0000365A" w:rsidP="00E357B9">
      <w:pPr>
        <w:ind w:left="426"/>
        <w:rPr>
          <w:szCs w:val="20"/>
        </w:rPr>
      </w:pPr>
      <w:r>
        <w:t xml:space="preserve">There are no limitations on the provision of the proposed medical service in relation to dosage, quantity, duration or frequency. Accessibility is limited by the availability of the Rezum system at the treatment centre. </w:t>
      </w:r>
    </w:p>
    <w:p w14:paraId="05383C4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F2ACB5B" w14:textId="5E2FC2F1" w:rsidR="005750E1" w:rsidRPr="00154B00" w:rsidRDefault="005750E1" w:rsidP="005750E1">
      <w:pPr>
        <w:ind w:left="426"/>
        <w:rPr>
          <w:szCs w:val="20"/>
        </w:rPr>
      </w:pPr>
      <w:r w:rsidRPr="0072385C">
        <w:rPr>
          <w:szCs w:val="20"/>
        </w:rPr>
        <w:t xml:space="preserve">No other services need to be delivered at the same time as </w:t>
      </w:r>
      <w:r>
        <w:rPr>
          <w:szCs w:val="20"/>
        </w:rPr>
        <w:t>TUWA</w:t>
      </w:r>
      <w:r w:rsidRPr="0072385C">
        <w:rPr>
          <w:szCs w:val="20"/>
        </w:rPr>
        <w:t>.</w:t>
      </w:r>
      <w:r>
        <w:rPr>
          <w:szCs w:val="20"/>
        </w:rPr>
        <w:t xml:space="preserve"> </w:t>
      </w:r>
    </w:p>
    <w:p w14:paraId="43CD91DC"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0FAF1AD" w14:textId="1D058913" w:rsidR="005750E1" w:rsidRPr="00154B00" w:rsidRDefault="005750E1" w:rsidP="005750E1">
      <w:pPr>
        <w:ind w:left="426"/>
        <w:rPr>
          <w:szCs w:val="20"/>
        </w:rPr>
      </w:pPr>
      <w:r>
        <w:t xml:space="preserve">Urologists are the health professionals that will deliver the service. </w:t>
      </w:r>
    </w:p>
    <w:p w14:paraId="7870E330"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DC8A5B8" w14:textId="31353A4C" w:rsidR="00B17E26" w:rsidRPr="00154B00" w:rsidRDefault="005750E1" w:rsidP="00884E69">
      <w:pPr>
        <w:ind w:left="426"/>
        <w:rPr>
          <w:szCs w:val="20"/>
        </w:rPr>
      </w:pPr>
      <w:r>
        <w:rPr>
          <w:szCs w:val="20"/>
        </w:rPr>
        <w:t>Not applicable</w:t>
      </w:r>
    </w:p>
    <w:p w14:paraId="358A524B"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683E7E8" w14:textId="0D514DB7" w:rsidR="00EA0E25" w:rsidRPr="00154B00" w:rsidRDefault="005750E1" w:rsidP="00BC424B">
      <w:pPr>
        <w:ind w:left="426"/>
        <w:rPr>
          <w:szCs w:val="20"/>
        </w:rPr>
      </w:pPr>
      <w:r>
        <w:t>Not applicable</w:t>
      </w:r>
    </w:p>
    <w:p w14:paraId="5D646EE5"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3F876AF" w14:textId="16C85DD8" w:rsidR="008C3FC2" w:rsidRPr="00154B00" w:rsidRDefault="008C3FC2" w:rsidP="0073597B">
      <w:pPr>
        <w:ind w:left="426"/>
        <w:rPr>
          <w:szCs w:val="20"/>
        </w:rPr>
      </w:pPr>
      <w:r>
        <w:rPr>
          <w:szCs w:val="20"/>
        </w:rPr>
        <w:lastRenderedPageBreak/>
        <w:t xml:space="preserve">Urologists will undergo a training program, provided by Boston Scientific, that involves </w:t>
      </w:r>
      <w:r w:rsidR="00036298">
        <w:rPr>
          <w:szCs w:val="20"/>
        </w:rPr>
        <w:t xml:space="preserve">education material, a Rezum simulator course and support at 10 procedures. </w:t>
      </w:r>
    </w:p>
    <w:p w14:paraId="07DC537C"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A7B7A50" w14:textId="05B4E45D" w:rsidR="000A478F" w:rsidRDefault="005750E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w:t>
      </w:r>
      <w:r w:rsidR="000A478F">
        <w:t>Inpatient private hospital</w:t>
      </w:r>
    </w:p>
    <w:p w14:paraId="5E1026BA" w14:textId="56A843B4" w:rsidR="000A478F" w:rsidRDefault="005750E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w:t>
      </w:r>
      <w:r w:rsidR="000A478F">
        <w:t>Inpatient public hospital</w:t>
      </w:r>
    </w:p>
    <w:p w14:paraId="2CAA9B57" w14:textId="0C5F546F" w:rsidR="000A478F" w:rsidRDefault="00BC596C"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w:t>
      </w:r>
      <w:r w:rsidR="000A478F">
        <w:t>Outpatient clinic</w:t>
      </w:r>
    </w:p>
    <w:p w14:paraId="2816366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w:t>
      </w:r>
      <w:r>
        <w:t>Emergency Department</w:t>
      </w:r>
    </w:p>
    <w:p w14:paraId="77326A3B" w14:textId="1B932FAE" w:rsidR="000A478F" w:rsidRDefault="0000365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w:t>
      </w:r>
      <w:r w:rsidR="000A478F">
        <w:t>Consulting rooms</w:t>
      </w:r>
    </w:p>
    <w:p w14:paraId="64223E96" w14:textId="62030C17" w:rsidR="000A478F" w:rsidRDefault="005750E1"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w:t>
      </w:r>
      <w:r w:rsidR="000A478F">
        <w:t>Day surgery centre</w:t>
      </w:r>
    </w:p>
    <w:p w14:paraId="10C7E2B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w:t>
      </w:r>
      <w:r>
        <w:t>Residential aged care facility</w:t>
      </w:r>
    </w:p>
    <w:p w14:paraId="5F51B21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w:t>
      </w:r>
      <w:r>
        <w:t>Patient’s home</w:t>
      </w:r>
    </w:p>
    <w:p w14:paraId="5C290E5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w:t>
      </w:r>
      <w:r>
        <w:t>Laboratory</w:t>
      </w:r>
    </w:p>
    <w:p w14:paraId="2E18FDF9"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CE7920">
        <w:rPr>
          <w:szCs w:val="20"/>
        </w:rPr>
      </w:r>
      <w:r w:rsidR="00CE7920">
        <w:rPr>
          <w:szCs w:val="20"/>
        </w:rPr>
        <w:fldChar w:fldCharType="separate"/>
      </w:r>
      <w:r w:rsidRPr="000A5B32">
        <w:rPr>
          <w:szCs w:val="20"/>
        </w:rPr>
        <w:fldChar w:fldCharType="end"/>
      </w:r>
      <w:r>
        <w:rPr>
          <w:szCs w:val="20"/>
        </w:rPr>
        <w:t xml:space="preserve"> </w:t>
      </w:r>
      <w:r>
        <w:t>Other – please specify below</w:t>
      </w:r>
    </w:p>
    <w:p w14:paraId="0FD3FA6C" w14:textId="29F3C7AB" w:rsidR="005F3F07" w:rsidRDefault="005F3F07" w:rsidP="0073597B">
      <w:pPr>
        <w:ind w:left="426"/>
        <w:rPr>
          <w:b/>
          <w:szCs w:val="20"/>
        </w:rPr>
      </w:pPr>
    </w:p>
    <w:p w14:paraId="523AC737"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3F97BD9" w14:textId="4036DED2" w:rsidR="0073597B" w:rsidRDefault="0000365A" w:rsidP="0073597B">
      <w:pPr>
        <w:ind w:left="426"/>
        <w:rPr>
          <w:b/>
          <w:szCs w:val="20"/>
        </w:rPr>
      </w:pPr>
      <w:r>
        <w:t xml:space="preserve">The proposed procedure may be performed in the inpatient setting, or more commonly in the day surgery clinic setting. The procedure is generally performed under local anaesthetic and does not require the patient to stay in hospital overnight. </w:t>
      </w:r>
    </w:p>
    <w:p w14:paraId="0510F8C5" w14:textId="77777777" w:rsidR="003E30FB" w:rsidRDefault="003E30FB" w:rsidP="00530204">
      <w:pPr>
        <w:pStyle w:val="Heading2"/>
      </w:pPr>
      <w:r>
        <w:t xml:space="preserve">Is the </w:t>
      </w:r>
      <w:r w:rsidRPr="001B29A1">
        <w:t>proposed</w:t>
      </w:r>
      <w:r>
        <w:t xml:space="preserve"> medical service intended to be entirely rendered in Australia?</w:t>
      </w:r>
    </w:p>
    <w:p w14:paraId="7724553C" w14:textId="3D82B46C" w:rsidR="000A478F" w:rsidRDefault="005750E1"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0A478F">
        <w:rPr>
          <w:szCs w:val="20"/>
        </w:rPr>
        <w:t xml:space="preserve"> Yes</w:t>
      </w:r>
    </w:p>
    <w:p w14:paraId="47E6DD6D"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EC97789" w14:textId="5A505DC9" w:rsidR="003E30FB" w:rsidRPr="000A478F" w:rsidRDefault="003E30FB" w:rsidP="000A478F">
      <w:pPr>
        <w:ind w:left="426"/>
      </w:pPr>
    </w:p>
    <w:p w14:paraId="11FBB3EA" w14:textId="77777777" w:rsidR="000A478F" w:rsidRDefault="000A478F" w:rsidP="00881F93">
      <w:pPr>
        <w:rPr>
          <w:b/>
          <w:i/>
          <w:szCs w:val="20"/>
          <w:u w:val="single"/>
        </w:rPr>
      </w:pPr>
      <w:r>
        <w:rPr>
          <w:b/>
          <w:i/>
          <w:szCs w:val="20"/>
          <w:u w:val="single"/>
        </w:rPr>
        <w:br w:type="page"/>
      </w:r>
    </w:p>
    <w:p w14:paraId="0031D647"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12F6131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5476D7E" w14:textId="294AD1F1" w:rsidR="00E60529" w:rsidRDefault="005750E1" w:rsidP="001B29A1">
      <w:pPr>
        <w:ind w:left="426"/>
      </w:pPr>
      <w:r>
        <w:t xml:space="preserve">The nominated comparators to TUWA for the proposed patient population are TURP and </w:t>
      </w:r>
      <w:r w:rsidR="00F6780A">
        <w:t>PUL</w:t>
      </w:r>
      <w:r>
        <w:t xml:space="preserve">. </w:t>
      </w:r>
    </w:p>
    <w:p w14:paraId="5F5937A9" w14:textId="507A5F9D" w:rsidR="00B44B90" w:rsidRDefault="00B44B90" w:rsidP="00B44B90">
      <w:pPr>
        <w:ind w:left="426"/>
      </w:pPr>
      <w:r>
        <w:t xml:space="preserve">There are several surgical procedures indicated for BPH on the MBS as outlined in </w:t>
      </w:r>
      <w:r>
        <w:fldChar w:fldCharType="begin"/>
      </w:r>
      <w:r>
        <w:instrText xml:space="preserve"> REF _Ref487532996 \h  \* MERGEFORMAT </w:instrText>
      </w:r>
      <w:r>
        <w:fldChar w:fldCharType="separate"/>
      </w:r>
      <w:r w:rsidR="00C51F41" w:rsidRPr="00FC618B">
        <w:t xml:space="preserve">Table </w:t>
      </w:r>
      <w:r w:rsidR="00C51F41">
        <w:t>1</w:t>
      </w:r>
      <w:r>
        <w:fldChar w:fldCharType="end"/>
      </w:r>
      <w:r>
        <w:t xml:space="preserve">, including transurethral resection of the prostate (TURP), </w:t>
      </w:r>
      <w:r w:rsidRPr="002B0D09">
        <w:t>visual laser ablation of the prostate</w:t>
      </w:r>
      <w:r>
        <w:t xml:space="preserve"> (VLAP) or </w:t>
      </w:r>
      <w:r w:rsidRPr="00C97131">
        <w:t>photoselective vaporization of the prostate</w:t>
      </w:r>
      <w:r>
        <w:t xml:space="preserve"> [PVP]), </w:t>
      </w:r>
      <w:r w:rsidRPr="002B0D09">
        <w:t>holmium laser enucleation of the prostate</w:t>
      </w:r>
      <w:r>
        <w:t xml:space="preserve"> (</w:t>
      </w:r>
      <w:r w:rsidRPr="002B0D09">
        <w:t>HoLEP</w:t>
      </w:r>
      <w:r>
        <w:t>)</w:t>
      </w:r>
      <w:r w:rsidRPr="002B0D09">
        <w:t>, transurethral needle ablation</w:t>
      </w:r>
      <w:r>
        <w:t xml:space="preserve"> (</w:t>
      </w:r>
      <w:r w:rsidRPr="002B0D09">
        <w:t>TUNA</w:t>
      </w:r>
      <w:r>
        <w:t>) and</w:t>
      </w:r>
      <w:r w:rsidRPr="002B0D09">
        <w:t xml:space="preserve"> transurethral microwave therapy</w:t>
      </w:r>
      <w:r>
        <w:t xml:space="preserve"> (</w:t>
      </w:r>
      <w:r w:rsidRPr="002B0D09">
        <w:t>TUMT</w:t>
      </w:r>
      <w:r>
        <w:t xml:space="preserve">). The most frequently used service in 2017 was TURP procedures (11,266). </w:t>
      </w:r>
    </w:p>
    <w:p w14:paraId="665A96B1" w14:textId="214315FD" w:rsidR="00B44B90" w:rsidRDefault="004975C5" w:rsidP="00B44B90">
      <w:pPr>
        <w:ind w:left="426"/>
      </w:pPr>
      <w:r>
        <w:t>Based on the</w:t>
      </w:r>
      <w:r w:rsidR="00B44B90" w:rsidRPr="00383229">
        <w:t xml:space="preserve"> proportion of total services used</w:t>
      </w:r>
      <w:r>
        <w:t xml:space="preserve"> fo</w:t>
      </w:r>
      <w:r w:rsidR="007679A6">
        <w:t xml:space="preserve">r </w:t>
      </w:r>
      <w:r>
        <w:t>BPH</w:t>
      </w:r>
      <w:r w:rsidR="00B44B90">
        <w:t>,</w:t>
      </w:r>
      <w:r w:rsidR="00B44B90" w:rsidRPr="00383229">
        <w:t xml:space="preserve"> </w:t>
      </w:r>
      <w:r w:rsidR="00B44B90">
        <w:t xml:space="preserve">it is clear that </w:t>
      </w:r>
      <w:r w:rsidR="00B44B90" w:rsidRPr="00383229">
        <w:t>TURP has</w:t>
      </w:r>
      <w:r w:rsidR="00B44B90">
        <w:t xml:space="preserve"> continued to</w:t>
      </w:r>
      <w:r w:rsidR="00B44B90" w:rsidRPr="00383229">
        <w:t xml:space="preserve"> remain the </w:t>
      </w:r>
      <w:r w:rsidR="00B44B90">
        <w:t>most common</w:t>
      </w:r>
      <w:r w:rsidR="00B44B90" w:rsidRPr="00383229">
        <w:t xml:space="preserve"> surgical treatment </w:t>
      </w:r>
      <w:r w:rsidR="00BE148C">
        <w:t>for</w:t>
      </w:r>
      <w:r w:rsidR="00B44B90" w:rsidRPr="00383229">
        <w:t xml:space="preserve"> BPH in Australia with </w:t>
      </w:r>
      <w:r w:rsidR="0074196F">
        <w:t>approximately 70% of BPH procedures performed in 2017 being TURP procedures</w:t>
      </w:r>
      <w:r w:rsidR="00EA285F">
        <w:t xml:space="preserve">. This is unsurprising given </w:t>
      </w:r>
      <w:r w:rsidR="00B44B90">
        <w:t xml:space="preserve">TURP has long been considered the gold standard treatment for BPH being as effective as open prostatectomy and associated with less morbidity (AUA, 2010). </w:t>
      </w:r>
    </w:p>
    <w:p w14:paraId="68556260" w14:textId="46727B65" w:rsidR="004975C5" w:rsidRDefault="00B44B90" w:rsidP="00B44B90">
      <w:pPr>
        <w:ind w:left="426"/>
      </w:pPr>
      <w:r>
        <w:t xml:space="preserve">VLAP, TUNA, TUMT and HoLEP are minimally invasive procedures listed on the MBS in 1995, 2002, 2006 and 2013 respectively. In 2017 only two and four TUMT and TUNA procedures were utilised on the MBS respectively, confirming these are not relevant comparators to </w:t>
      </w:r>
      <w:r w:rsidR="00EA285F">
        <w:t>TUWA</w:t>
      </w:r>
      <w:r>
        <w:t xml:space="preserve">. </w:t>
      </w:r>
      <w:r w:rsidR="004975C5">
        <w:t>Of the minimally invasive procedures, VLAP is associated with the highest utilisation followed by HoLEP</w:t>
      </w:r>
      <w:r w:rsidR="00EA285F">
        <w:t xml:space="preserve"> (15.4% and 5.8% respectively)</w:t>
      </w:r>
      <w:r w:rsidR="004975C5">
        <w:t xml:space="preserve">. </w:t>
      </w:r>
    </w:p>
    <w:p w14:paraId="3C53EB54" w14:textId="1DD80FA0" w:rsidR="00B44B90" w:rsidRDefault="00B44B90" w:rsidP="00EA285F">
      <w:pPr>
        <w:ind w:left="426"/>
      </w:pPr>
      <w:r>
        <w:t>Anot</w:t>
      </w:r>
      <w:r w:rsidR="00174EFA">
        <w:t>her procedure, similar in level of invasiveness</w:t>
      </w:r>
      <w:r w:rsidR="00EA285F">
        <w:t>, duration</w:t>
      </w:r>
      <w:r w:rsidR="00174EFA">
        <w:t xml:space="preserve"> and complexity to that of TUWA,</w:t>
      </w:r>
      <w:r w:rsidR="00EA285F">
        <w:t xml:space="preserve"> is the PUL procedure, which involves the transurethral insertion of small, permanent UroL</w:t>
      </w:r>
      <w:r w:rsidR="00BD5018">
        <w:t>i</w:t>
      </w:r>
      <w:r w:rsidR="00EA285F">
        <w:t xml:space="preserve">ft implants. The UroLift implants are positioned in the prostate to retract the lateral lobes and thereby reduce the obstruction of the urethra. </w:t>
      </w:r>
      <w:r>
        <w:t>This procedure has not been formally evaluated by MSAC</w:t>
      </w:r>
      <w:r w:rsidR="00EA285F">
        <w:t xml:space="preserve">, however is listed on the Prosthesis List (billing code TX055). According to key opinion leader feedback, the PUL procedure is currently claimed using </w:t>
      </w:r>
      <w:r>
        <w:t xml:space="preserve">MBS item </w:t>
      </w:r>
      <w:r w:rsidR="00EA285F">
        <w:t xml:space="preserve">code </w:t>
      </w:r>
      <w:r>
        <w:t xml:space="preserve">36811 </w:t>
      </w:r>
      <w:r w:rsidR="00174EFA">
        <w:t>(</w:t>
      </w:r>
      <w:r w:rsidR="00174EFA" w:rsidRPr="003F5C01">
        <w:t>CYSTOSCOPY with insertion of urethral prosthesis</w:t>
      </w:r>
      <w:r w:rsidR="00174EFA">
        <w:t>)</w:t>
      </w:r>
      <w:r>
        <w:t xml:space="preserve">. The utilisation of </w:t>
      </w:r>
      <w:r w:rsidR="00174EFA" w:rsidRPr="007679A6">
        <w:t>MBS</w:t>
      </w:r>
      <w:r w:rsidRPr="007679A6">
        <w:t xml:space="preserve"> item code </w:t>
      </w:r>
      <w:r w:rsidR="00174EFA" w:rsidRPr="007679A6">
        <w:t xml:space="preserve">36811 </w:t>
      </w:r>
      <w:r w:rsidRPr="007679A6">
        <w:t xml:space="preserve">over time </w:t>
      </w:r>
      <w:r w:rsidR="007679A6" w:rsidRPr="007679A6">
        <w:t xml:space="preserve">shows </w:t>
      </w:r>
      <w:r w:rsidRPr="007679A6">
        <w:t>that the utilisation has increased sharply from around 201</w:t>
      </w:r>
      <w:r w:rsidR="008B4847" w:rsidRPr="007679A6">
        <w:t>2</w:t>
      </w:r>
      <w:r w:rsidRPr="007679A6">
        <w:t>/201</w:t>
      </w:r>
      <w:r w:rsidR="008B4847" w:rsidRPr="007679A6">
        <w:t>3</w:t>
      </w:r>
      <w:r w:rsidR="0074196F" w:rsidRPr="007679A6">
        <w:t>, coinciding with</w:t>
      </w:r>
      <w:r w:rsidR="008B4847" w:rsidRPr="007679A6">
        <w:t xml:space="preserve"> UroLift being registered for used in Australia in August 2012 (ARTG 200361)</w:t>
      </w:r>
      <w:r w:rsidR="0074196F" w:rsidRPr="007679A6">
        <w:t xml:space="preserve">, </w:t>
      </w:r>
      <w:r w:rsidRPr="007679A6">
        <w:t xml:space="preserve">with the utilisation in </w:t>
      </w:r>
      <w:r w:rsidR="007679A6">
        <w:t>2017</w:t>
      </w:r>
      <w:r w:rsidRPr="007679A6">
        <w:t xml:space="preserve"> being 1,275</w:t>
      </w:r>
      <w:r w:rsidR="007679A6">
        <w:t xml:space="preserve"> services</w:t>
      </w:r>
      <w:r w:rsidRPr="007679A6">
        <w:t xml:space="preserve"> making this procedure the third most utilised after TURP (70%) and VLAP (15%) at 8% of </w:t>
      </w:r>
      <w:r w:rsidR="00174EFA" w:rsidRPr="007679A6">
        <w:t xml:space="preserve">the </w:t>
      </w:r>
      <w:r w:rsidRPr="007679A6">
        <w:t>market share</w:t>
      </w:r>
      <w:r w:rsidR="007679A6" w:rsidRPr="007679A6">
        <w:t xml:space="preserve"> (</w:t>
      </w:r>
      <w:r w:rsidR="007679A6" w:rsidRPr="007679A6">
        <w:fldChar w:fldCharType="begin"/>
      </w:r>
      <w:r w:rsidR="007679A6" w:rsidRPr="007679A6">
        <w:instrText xml:space="preserve"> REF _Ref534806400 \h  \* MERGEFORMAT </w:instrText>
      </w:r>
      <w:r w:rsidR="007679A6" w:rsidRPr="007679A6">
        <w:fldChar w:fldCharType="separate"/>
      </w:r>
      <w:r w:rsidR="00C51F41">
        <w:rPr>
          <w:b/>
          <w:bCs/>
          <w:lang w:val="en-US"/>
        </w:rPr>
        <w:t>Error! Reference source not found.</w:t>
      </w:r>
      <w:r w:rsidR="007679A6" w:rsidRPr="007679A6">
        <w:fldChar w:fldCharType="end"/>
      </w:r>
      <w:r w:rsidR="007679A6" w:rsidRPr="007679A6">
        <w:t>)</w:t>
      </w:r>
      <w:r w:rsidRPr="007679A6">
        <w:t xml:space="preserve">. </w:t>
      </w:r>
      <w:r w:rsidR="000F4A50" w:rsidRPr="007679A6">
        <w:t>It is acknowledged that MBS item code 36811 was not intended for the PUL procedure, and as such, the MBS utilisation data does not only reflect the use of PUL</w:t>
      </w:r>
      <w:r w:rsidR="007679A6">
        <w:t xml:space="preserve"> services</w:t>
      </w:r>
      <w:r w:rsidR="000F4A50" w:rsidRPr="007679A6">
        <w:t xml:space="preserve">. However, </w:t>
      </w:r>
      <w:r w:rsidR="008B4847" w:rsidRPr="007679A6">
        <w:t xml:space="preserve">given the low utilisation prior to 2012/2013 it may be assumed that the vast majority of services utilised in the last few years are PUL procedures. </w:t>
      </w:r>
    </w:p>
    <w:p w14:paraId="5A38B3D2" w14:textId="2669CE42" w:rsidR="004D49CB" w:rsidRPr="00FC618B" w:rsidRDefault="004D49CB" w:rsidP="004D49CB">
      <w:pPr>
        <w:pStyle w:val="Caption"/>
        <w:widowControl w:val="0"/>
        <w:ind w:firstLine="426"/>
      </w:pPr>
      <w:bookmarkStart w:id="7" w:name="_Ref487532996"/>
      <w:r w:rsidRPr="00FC618B">
        <w:t xml:space="preserve">Table </w:t>
      </w:r>
      <w:r>
        <w:rPr>
          <w:noProof/>
        </w:rPr>
        <w:fldChar w:fldCharType="begin"/>
      </w:r>
      <w:r>
        <w:rPr>
          <w:noProof/>
        </w:rPr>
        <w:instrText xml:space="preserve"> SEQ Table \* ARABIC </w:instrText>
      </w:r>
      <w:r>
        <w:rPr>
          <w:noProof/>
        </w:rPr>
        <w:fldChar w:fldCharType="separate"/>
      </w:r>
      <w:r w:rsidR="00C51F41">
        <w:rPr>
          <w:noProof/>
        </w:rPr>
        <w:t>1</w:t>
      </w:r>
      <w:r>
        <w:rPr>
          <w:noProof/>
        </w:rPr>
        <w:fldChar w:fldCharType="end"/>
      </w:r>
      <w:bookmarkEnd w:id="7"/>
      <w:r w:rsidRPr="00FC618B">
        <w:tab/>
        <w:t>Available surgical procedures on the MBS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997"/>
        <w:gridCol w:w="1782"/>
        <w:gridCol w:w="1524"/>
      </w:tblGrid>
      <w:tr w:rsidR="004D49CB" w:rsidRPr="00B831B4" w14:paraId="53010123" w14:textId="77777777" w:rsidTr="00290344">
        <w:trPr>
          <w:tblHeader/>
        </w:trPr>
        <w:tc>
          <w:tcPr>
            <w:tcW w:w="946" w:type="dxa"/>
            <w:shd w:val="clear" w:color="auto" w:fill="auto"/>
          </w:tcPr>
          <w:p w14:paraId="4C576A49" w14:textId="77777777" w:rsidR="004D49CB" w:rsidRPr="000F4A50" w:rsidRDefault="004D49CB" w:rsidP="00290344">
            <w:pPr>
              <w:pStyle w:val="Tables"/>
              <w:keepNext w:val="0"/>
              <w:keepLines w:val="0"/>
              <w:widowControl w:val="0"/>
              <w:spacing w:before="0" w:after="0"/>
              <w:rPr>
                <w:rFonts w:asciiTheme="minorHAnsi" w:hAnsiTheme="minorHAnsi" w:cstheme="minorHAnsi"/>
                <w:b/>
              </w:rPr>
            </w:pPr>
            <w:r w:rsidRPr="000F4A50">
              <w:rPr>
                <w:rFonts w:asciiTheme="minorHAnsi" w:hAnsiTheme="minorHAnsi" w:cstheme="minorHAnsi"/>
                <w:b/>
              </w:rPr>
              <w:t>Intervention</w:t>
            </w:r>
          </w:p>
        </w:tc>
        <w:tc>
          <w:tcPr>
            <w:tcW w:w="4234" w:type="dxa"/>
            <w:shd w:val="clear" w:color="auto" w:fill="auto"/>
          </w:tcPr>
          <w:p w14:paraId="50955B0B" w14:textId="77777777" w:rsidR="004D49CB" w:rsidRPr="000F4A50" w:rsidRDefault="004D49CB" w:rsidP="00290344">
            <w:pPr>
              <w:pStyle w:val="Tables"/>
              <w:keepNext w:val="0"/>
              <w:keepLines w:val="0"/>
              <w:widowControl w:val="0"/>
              <w:spacing w:before="0" w:after="0"/>
              <w:rPr>
                <w:rFonts w:asciiTheme="minorHAnsi" w:hAnsiTheme="minorHAnsi" w:cstheme="minorHAnsi"/>
                <w:b/>
              </w:rPr>
            </w:pPr>
            <w:r w:rsidRPr="000F4A50">
              <w:rPr>
                <w:rFonts w:asciiTheme="minorHAnsi" w:hAnsiTheme="minorHAnsi" w:cstheme="minorHAnsi"/>
                <w:b/>
              </w:rPr>
              <w:t>MBS item number and description</w:t>
            </w:r>
          </w:p>
        </w:tc>
        <w:tc>
          <w:tcPr>
            <w:tcW w:w="1839" w:type="dxa"/>
            <w:shd w:val="clear" w:color="auto" w:fill="auto"/>
          </w:tcPr>
          <w:p w14:paraId="0CD29DC0" w14:textId="77777777" w:rsidR="004D49CB" w:rsidRPr="000F4A50" w:rsidRDefault="004D49CB" w:rsidP="00290344">
            <w:pPr>
              <w:pStyle w:val="Tables"/>
              <w:keepNext w:val="0"/>
              <w:keepLines w:val="0"/>
              <w:widowControl w:val="0"/>
              <w:spacing w:before="0" w:after="0"/>
              <w:rPr>
                <w:rFonts w:asciiTheme="minorHAnsi" w:hAnsiTheme="minorHAnsi" w:cstheme="minorHAnsi"/>
                <w:b/>
              </w:rPr>
            </w:pPr>
            <w:r w:rsidRPr="000F4A50">
              <w:rPr>
                <w:rFonts w:asciiTheme="minorHAnsi" w:hAnsiTheme="minorHAnsi" w:cstheme="minorHAnsi"/>
                <w:b/>
              </w:rPr>
              <w:t xml:space="preserve">Current fee </w:t>
            </w:r>
          </w:p>
        </w:tc>
        <w:tc>
          <w:tcPr>
            <w:tcW w:w="1576" w:type="dxa"/>
          </w:tcPr>
          <w:p w14:paraId="06FA7FAF" w14:textId="77777777" w:rsidR="004D49CB" w:rsidRPr="000F4A50" w:rsidRDefault="004D49CB" w:rsidP="00290344">
            <w:pPr>
              <w:pStyle w:val="Tables"/>
              <w:keepNext w:val="0"/>
              <w:keepLines w:val="0"/>
              <w:widowControl w:val="0"/>
              <w:spacing w:before="0" w:after="0"/>
              <w:rPr>
                <w:rFonts w:asciiTheme="minorHAnsi" w:hAnsiTheme="minorHAnsi" w:cstheme="minorHAnsi"/>
                <w:b/>
              </w:rPr>
            </w:pPr>
            <w:r w:rsidRPr="000F4A50">
              <w:rPr>
                <w:rFonts w:asciiTheme="minorHAnsi" w:hAnsiTheme="minorHAnsi" w:cstheme="minorHAnsi"/>
                <w:b/>
              </w:rPr>
              <w:t>Utilisation Jan 17-Dec 17 (%)</w:t>
            </w:r>
          </w:p>
        </w:tc>
      </w:tr>
      <w:tr w:rsidR="004D49CB" w:rsidRPr="00FC618B" w14:paraId="10215B82" w14:textId="77777777" w:rsidTr="00290344">
        <w:tc>
          <w:tcPr>
            <w:tcW w:w="7019" w:type="dxa"/>
            <w:gridSpan w:val="3"/>
            <w:shd w:val="clear" w:color="auto" w:fill="D9D9D9"/>
          </w:tcPr>
          <w:p w14:paraId="68958E21"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Invasive surgical interventions</w:t>
            </w:r>
          </w:p>
        </w:tc>
        <w:tc>
          <w:tcPr>
            <w:tcW w:w="1576" w:type="dxa"/>
            <w:shd w:val="clear" w:color="auto" w:fill="D9D9D9"/>
          </w:tcPr>
          <w:p w14:paraId="4C7A6FD7" w14:textId="77777777" w:rsidR="004D49CB" w:rsidRPr="000F4A50" w:rsidRDefault="004D49CB" w:rsidP="00290344">
            <w:pPr>
              <w:pStyle w:val="Tables"/>
              <w:keepNext w:val="0"/>
              <w:keepLines w:val="0"/>
              <w:widowControl w:val="0"/>
              <w:spacing w:before="0" w:after="0"/>
              <w:rPr>
                <w:rFonts w:asciiTheme="minorHAnsi" w:hAnsiTheme="minorHAnsi" w:cstheme="minorHAnsi"/>
              </w:rPr>
            </w:pPr>
          </w:p>
        </w:tc>
      </w:tr>
      <w:tr w:rsidR="004D49CB" w:rsidRPr="00FC618B" w14:paraId="35E204D5" w14:textId="77777777" w:rsidTr="00290344">
        <w:tc>
          <w:tcPr>
            <w:tcW w:w="946" w:type="dxa"/>
            <w:shd w:val="clear" w:color="auto" w:fill="auto"/>
          </w:tcPr>
          <w:p w14:paraId="6AC039E1"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 xml:space="preserve">Open prostatectomy </w:t>
            </w:r>
          </w:p>
        </w:tc>
        <w:tc>
          <w:tcPr>
            <w:tcW w:w="4234" w:type="dxa"/>
            <w:shd w:val="clear" w:color="auto" w:fill="auto"/>
          </w:tcPr>
          <w:p w14:paraId="6B795AA8"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37200</w:t>
            </w:r>
          </w:p>
          <w:p w14:paraId="2997CAC8"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PROSTATECTOMY, open</w:t>
            </w:r>
          </w:p>
          <w:p w14:paraId="3F4B15ED"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(Anaes.) (Assist.)</w:t>
            </w:r>
          </w:p>
        </w:tc>
        <w:tc>
          <w:tcPr>
            <w:tcW w:w="1839" w:type="dxa"/>
            <w:shd w:val="clear" w:color="auto" w:fill="auto"/>
          </w:tcPr>
          <w:p w14:paraId="3E94F293"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Fee: $1,016.30</w:t>
            </w:r>
          </w:p>
          <w:p w14:paraId="732AC432"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$762.25</w:t>
            </w:r>
          </w:p>
        </w:tc>
        <w:tc>
          <w:tcPr>
            <w:tcW w:w="1576" w:type="dxa"/>
          </w:tcPr>
          <w:p w14:paraId="4AB5A75A"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110 (0.7)</w:t>
            </w:r>
          </w:p>
        </w:tc>
      </w:tr>
      <w:tr w:rsidR="004D49CB" w:rsidRPr="00FC618B" w14:paraId="202B0D14" w14:textId="77777777" w:rsidTr="00290344">
        <w:tc>
          <w:tcPr>
            <w:tcW w:w="946" w:type="dxa"/>
            <w:tcBorders>
              <w:bottom w:val="single" w:sz="4" w:space="0" w:color="000000"/>
            </w:tcBorders>
            <w:shd w:val="clear" w:color="auto" w:fill="auto"/>
          </w:tcPr>
          <w:p w14:paraId="3AE030C0"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TURP</w:t>
            </w:r>
          </w:p>
        </w:tc>
        <w:tc>
          <w:tcPr>
            <w:tcW w:w="4234" w:type="dxa"/>
            <w:shd w:val="clear" w:color="auto" w:fill="auto"/>
          </w:tcPr>
          <w:p w14:paraId="45BB19A1"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37203</w:t>
            </w:r>
          </w:p>
          <w:p w14:paraId="35D31433"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PROSTATECTOMY (endoscopic, using diathermy or cold punch), with or without cystoscopy and with or without urethroscopy, and including services to which item 36854, 37201, 37202, 37207, 37208, 37245, 37303, 37321 or 37324 applies</w:t>
            </w:r>
          </w:p>
          <w:p w14:paraId="7DBAB2C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(Anaes.)</w:t>
            </w:r>
          </w:p>
        </w:tc>
        <w:tc>
          <w:tcPr>
            <w:tcW w:w="1839" w:type="dxa"/>
            <w:shd w:val="clear" w:color="auto" w:fill="auto"/>
          </w:tcPr>
          <w:p w14:paraId="7E697CB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 xml:space="preserve">Fee: $1,042.15 </w:t>
            </w:r>
            <w:r w:rsidRPr="000F4A50">
              <w:rPr>
                <w:rFonts w:asciiTheme="minorHAnsi" w:hAnsiTheme="minorHAnsi" w:cstheme="minorHAnsi"/>
              </w:rPr>
              <w:br/>
              <w:t>Benefit: 75% = $781.65</w:t>
            </w:r>
          </w:p>
        </w:tc>
        <w:tc>
          <w:tcPr>
            <w:tcW w:w="1576" w:type="dxa"/>
          </w:tcPr>
          <w:p w14:paraId="2FE28592"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11,266 (70.1)</w:t>
            </w:r>
          </w:p>
        </w:tc>
      </w:tr>
      <w:tr w:rsidR="004D49CB" w:rsidRPr="00FC618B" w14:paraId="2384423E" w14:textId="77777777" w:rsidTr="00290344">
        <w:tc>
          <w:tcPr>
            <w:tcW w:w="7019" w:type="dxa"/>
            <w:gridSpan w:val="3"/>
            <w:tcBorders>
              <w:bottom w:val="single" w:sz="4" w:space="0" w:color="000000"/>
            </w:tcBorders>
            <w:shd w:val="clear" w:color="auto" w:fill="D9D9D9"/>
          </w:tcPr>
          <w:p w14:paraId="2EA18658"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Minimally invasive interventions</w:t>
            </w:r>
          </w:p>
        </w:tc>
        <w:tc>
          <w:tcPr>
            <w:tcW w:w="1576" w:type="dxa"/>
            <w:tcBorders>
              <w:bottom w:val="single" w:sz="4" w:space="0" w:color="000000"/>
            </w:tcBorders>
            <w:shd w:val="clear" w:color="auto" w:fill="D9D9D9"/>
          </w:tcPr>
          <w:p w14:paraId="05AB9BCA" w14:textId="77777777" w:rsidR="004D49CB" w:rsidRPr="000F4A50" w:rsidRDefault="004D49CB" w:rsidP="00290344">
            <w:pPr>
              <w:pStyle w:val="Tables"/>
              <w:keepNext w:val="0"/>
              <w:keepLines w:val="0"/>
              <w:widowControl w:val="0"/>
              <w:spacing w:before="0" w:after="0"/>
              <w:rPr>
                <w:rFonts w:asciiTheme="minorHAnsi" w:hAnsiTheme="minorHAnsi" w:cstheme="minorHAnsi"/>
              </w:rPr>
            </w:pPr>
          </w:p>
        </w:tc>
      </w:tr>
      <w:tr w:rsidR="004D49CB" w:rsidRPr="00FC618B" w14:paraId="5555D468" w14:textId="77777777" w:rsidTr="00290344">
        <w:tc>
          <w:tcPr>
            <w:tcW w:w="946" w:type="dxa"/>
            <w:tcBorders>
              <w:bottom w:val="single" w:sz="4" w:space="0" w:color="auto"/>
            </w:tcBorders>
            <w:shd w:val="clear" w:color="auto" w:fill="auto"/>
          </w:tcPr>
          <w:p w14:paraId="23EDFE4C"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 xml:space="preserve">VLAP/PVP </w:t>
            </w:r>
          </w:p>
        </w:tc>
        <w:tc>
          <w:tcPr>
            <w:tcW w:w="4234" w:type="dxa"/>
            <w:shd w:val="clear" w:color="auto" w:fill="auto"/>
          </w:tcPr>
          <w:p w14:paraId="7C415ECE"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37207</w:t>
            </w:r>
          </w:p>
          <w:p w14:paraId="72DF03B0" w14:textId="77777777" w:rsidR="004D49CB" w:rsidRPr="000F4A50" w:rsidRDefault="004D49CB" w:rsidP="00290344">
            <w:pPr>
              <w:pStyle w:val="Tables"/>
              <w:keepNext w:val="0"/>
              <w:keepLines w:val="0"/>
              <w:widowControl w:val="0"/>
              <w:spacing w:before="0" w:after="0"/>
              <w:rPr>
                <w:rFonts w:asciiTheme="minorHAnsi" w:hAnsiTheme="minorHAnsi" w:cstheme="minorHAnsi"/>
              </w:rPr>
            </w:pPr>
            <w:bookmarkStart w:id="8" w:name="_Hlk487805422"/>
            <w:r w:rsidRPr="000F4A50">
              <w:rPr>
                <w:rFonts w:asciiTheme="minorHAnsi" w:hAnsiTheme="minorHAnsi" w:cstheme="minorHAnsi"/>
              </w:rPr>
              <w:t>PROSTATE, endoscopic non-contact (side-firing) visual laser ablation, with or without cystoscopy and with or without urethroscopy</w:t>
            </w:r>
            <w:bookmarkEnd w:id="8"/>
            <w:r w:rsidRPr="000F4A50">
              <w:rPr>
                <w:rFonts w:asciiTheme="minorHAnsi" w:hAnsiTheme="minorHAnsi" w:cstheme="minorHAnsi"/>
              </w:rPr>
              <w:t>, and including services to which items 36854, 37201, 37202, 37203, 37206, 37245, 37321 or 37324 applies</w:t>
            </w:r>
          </w:p>
          <w:p w14:paraId="709D64B4"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lastRenderedPageBreak/>
              <w:t>(Anaes.)</w:t>
            </w:r>
          </w:p>
        </w:tc>
        <w:tc>
          <w:tcPr>
            <w:tcW w:w="1839" w:type="dxa"/>
            <w:shd w:val="clear" w:color="auto" w:fill="auto"/>
          </w:tcPr>
          <w:p w14:paraId="612D51A3"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lastRenderedPageBreak/>
              <w:t>Fee: $866.45</w:t>
            </w:r>
          </w:p>
          <w:p w14:paraId="22A1CAFC"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$649.85</w:t>
            </w:r>
          </w:p>
        </w:tc>
        <w:tc>
          <w:tcPr>
            <w:tcW w:w="1576" w:type="dxa"/>
          </w:tcPr>
          <w:p w14:paraId="33F4E72F"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2,466 (15.4)</w:t>
            </w:r>
          </w:p>
        </w:tc>
      </w:tr>
      <w:tr w:rsidR="004D49CB" w:rsidRPr="00FC618B" w14:paraId="548FD275" w14:textId="77777777" w:rsidTr="00290344">
        <w:tc>
          <w:tcPr>
            <w:tcW w:w="946" w:type="dxa"/>
            <w:tcBorders>
              <w:top w:val="single" w:sz="4" w:space="0" w:color="auto"/>
            </w:tcBorders>
            <w:shd w:val="clear" w:color="auto" w:fill="auto"/>
          </w:tcPr>
          <w:p w14:paraId="58C28DEB"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HoLEP</w:t>
            </w:r>
          </w:p>
        </w:tc>
        <w:tc>
          <w:tcPr>
            <w:tcW w:w="4234" w:type="dxa"/>
            <w:shd w:val="clear" w:color="auto" w:fill="auto"/>
          </w:tcPr>
          <w:p w14:paraId="3ACB5F0A"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37245</w:t>
            </w:r>
          </w:p>
          <w:p w14:paraId="2709E75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Prostate, endoscopic enucleation of, using high-powered Holmium: YAG laser and an end-firing, non-contact fibre, with or without tissue morcellation, cystoscopy or urethroscopy, for the treatment of benign prostatic hyperplasia, and other than a service associated with a service to which item 36854, 37201, 37202, 37203, 37206, 37207, 37208, 37303, 37321, or 37324 applies.</w:t>
            </w:r>
          </w:p>
          <w:p w14:paraId="41FCACE0"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(Anaes.)</w:t>
            </w:r>
          </w:p>
        </w:tc>
        <w:tc>
          <w:tcPr>
            <w:tcW w:w="1839" w:type="dxa"/>
            <w:shd w:val="clear" w:color="auto" w:fill="auto"/>
          </w:tcPr>
          <w:p w14:paraId="1580F70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Fee: $1,262.15</w:t>
            </w:r>
          </w:p>
          <w:p w14:paraId="0F917F5E"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$946.65</w:t>
            </w:r>
          </w:p>
        </w:tc>
        <w:tc>
          <w:tcPr>
            <w:tcW w:w="1576" w:type="dxa"/>
          </w:tcPr>
          <w:p w14:paraId="5BCFF8FC"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937 (5.8)</w:t>
            </w:r>
          </w:p>
        </w:tc>
      </w:tr>
      <w:tr w:rsidR="004D49CB" w:rsidRPr="00FC618B" w14:paraId="56AEA93E" w14:textId="77777777" w:rsidTr="00290344">
        <w:tc>
          <w:tcPr>
            <w:tcW w:w="946" w:type="dxa"/>
            <w:tcBorders>
              <w:top w:val="single" w:sz="4" w:space="0" w:color="auto"/>
            </w:tcBorders>
            <w:shd w:val="clear" w:color="auto" w:fill="auto"/>
          </w:tcPr>
          <w:p w14:paraId="2C89B676"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TUNA</w:t>
            </w:r>
          </w:p>
        </w:tc>
        <w:tc>
          <w:tcPr>
            <w:tcW w:w="4234" w:type="dxa"/>
            <w:shd w:val="clear" w:color="auto" w:fill="auto"/>
          </w:tcPr>
          <w:p w14:paraId="3A298C2F"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37201</w:t>
            </w:r>
          </w:p>
          <w:p w14:paraId="66F3AD34"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37206, 37207, 37208, 37245, 37303, 37321 or 37324 applies</w:t>
            </w:r>
          </w:p>
          <w:p w14:paraId="2D48A4B2"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(Anaes.)</w:t>
            </w:r>
          </w:p>
        </w:tc>
        <w:tc>
          <w:tcPr>
            <w:tcW w:w="1839" w:type="dxa"/>
            <w:shd w:val="clear" w:color="auto" w:fill="auto"/>
          </w:tcPr>
          <w:p w14:paraId="56E2FD5B"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Fee: $828.85</w:t>
            </w:r>
          </w:p>
          <w:p w14:paraId="5D1E6AD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$621.65</w:t>
            </w:r>
          </w:p>
        </w:tc>
        <w:tc>
          <w:tcPr>
            <w:tcW w:w="1576" w:type="dxa"/>
          </w:tcPr>
          <w:p w14:paraId="72F5B1B0"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4 (0.02)</w:t>
            </w:r>
          </w:p>
        </w:tc>
      </w:tr>
      <w:tr w:rsidR="004D49CB" w:rsidRPr="00FC618B" w14:paraId="6F9AFD61" w14:textId="77777777" w:rsidTr="00290344">
        <w:tc>
          <w:tcPr>
            <w:tcW w:w="946" w:type="dxa"/>
            <w:shd w:val="clear" w:color="auto" w:fill="auto"/>
          </w:tcPr>
          <w:p w14:paraId="059F968E"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 xml:space="preserve">TUMT </w:t>
            </w:r>
          </w:p>
        </w:tc>
        <w:tc>
          <w:tcPr>
            <w:tcW w:w="4234" w:type="dxa"/>
            <w:shd w:val="clear" w:color="auto" w:fill="auto"/>
          </w:tcPr>
          <w:p w14:paraId="565F6FB2"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MBS item 37230, 37233</w:t>
            </w:r>
          </w:p>
          <w:p w14:paraId="264CDCA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PROSTATE, high-energy transurethral microwave thermotherapy of, with or without cystoscopy and with or without urethroscopy and including services to which item 36854, 37203, 37206, 37207, 37208, 37303, 37321 or 37324 applies</w:t>
            </w:r>
          </w:p>
        </w:tc>
        <w:tc>
          <w:tcPr>
            <w:tcW w:w="1839" w:type="dxa"/>
            <w:shd w:val="clear" w:color="auto" w:fill="auto"/>
          </w:tcPr>
          <w:p w14:paraId="6DB9B61A"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Fee: $1,042.15</w:t>
            </w:r>
          </w:p>
          <w:p w14:paraId="088BEF92"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$781.65; 85% = $961.9</w:t>
            </w:r>
          </w:p>
        </w:tc>
        <w:tc>
          <w:tcPr>
            <w:tcW w:w="1576" w:type="dxa"/>
          </w:tcPr>
          <w:p w14:paraId="7B726BB5"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2 (0.01)</w:t>
            </w:r>
          </w:p>
        </w:tc>
      </w:tr>
      <w:tr w:rsidR="004D49CB" w:rsidRPr="00FC618B" w14:paraId="241B4656" w14:textId="77777777" w:rsidTr="00290344">
        <w:tc>
          <w:tcPr>
            <w:tcW w:w="946" w:type="dxa"/>
            <w:shd w:val="clear" w:color="auto" w:fill="auto"/>
          </w:tcPr>
          <w:p w14:paraId="27F7718B"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Pr>
                <w:rFonts w:asciiTheme="minorHAnsi" w:hAnsiTheme="minorHAnsi" w:cstheme="minorHAnsi"/>
              </w:rPr>
              <w:t>PUL</w:t>
            </w:r>
            <w:r w:rsidRPr="000F4A50">
              <w:rPr>
                <w:rFonts w:asciiTheme="minorHAnsi" w:hAnsiTheme="minorHAnsi" w:cstheme="minorHAnsi"/>
              </w:rPr>
              <w:t xml:space="preserve"> (and other procedures)</w:t>
            </w:r>
          </w:p>
        </w:tc>
        <w:tc>
          <w:tcPr>
            <w:tcW w:w="4234" w:type="dxa"/>
            <w:shd w:val="clear" w:color="auto" w:fill="auto"/>
          </w:tcPr>
          <w:p w14:paraId="5ACBAC59"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36811</w:t>
            </w:r>
          </w:p>
          <w:p w14:paraId="529FBDC7"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CYSTOSCOPY with insertion of urethral prosthesis</w:t>
            </w:r>
          </w:p>
        </w:tc>
        <w:tc>
          <w:tcPr>
            <w:tcW w:w="1839" w:type="dxa"/>
            <w:shd w:val="clear" w:color="auto" w:fill="auto"/>
          </w:tcPr>
          <w:p w14:paraId="55406743"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Fee: $323.40 </w:t>
            </w:r>
          </w:p>
          <w:p w14:paraId="22C66BBB"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Benefit: 75% = $242.55; 85% = $274.9</w:t>
            </w:r>
          </w:p>
        </w:tc>
        <w:tc>
          <w:tcPr>
            <w:tcW w:w="1576" w:type="dxa"/>
          </w:tcPr>
          <w:p w14:paraId="311F981C" w14:textId="77777777" w:rsidR="004D49CB" w:rsidRPr="000F4A50" w:rsidRDefault="004D49CB" w:rsidP="00290344">
            <w:pPr>
              <w:pStyle w:val="Tables"/>
              <w:keepNext w:val="0"/>
              <w:keepLines w:val="0"/>
              <w:widowControl w:val="0"/>
              <w:spacing w:before="0" w:after="0"/>
              <w:rPr>
                <w:rFonts w:asciiTheme="minorHAnsi" w:hAnsiTheme="minorHAnsi" w:cstheme="minorHAnsi"/>
              </w:rPr>
            </w:pPr>
            <w:r w:rsidRPr="000F4A50">
              <w:rPr>
                <w:rFonts w:asciiTheme="minorHAnsi" w:hAnsiTheme="minorHAnsi" w:cstheme="minorHAnsi"/>
              </w:rPr>
              <w:t>1,275 (7.9)</w:t>
            </w:r>
          </w:p>
        </w:tc>
      </w:tr>
    </w:tbl>
    <w:p w14:paraId="456614C1" w14:textId="77777777" w:rsidR="004D49CB" w:rsidRDefault="004D49CB" w:rsidP="004D49CB">
      <w:pPr>
        <w:pStyle w:val="CaptionNotes"/>
        <w:keepNext w:val="0"/>
        <w:keepLines w:val="0"/>
        <w:widowControl w:val="0"/>
      </w:pPr>
      <w:r w:rsidRPr="00C97131">
        <w:t>Abbreviations: HoLEP, Holmium Laser Enucleation of the prostate; MBS, Medicare Benefits Schedule; PVP, Photoselective Vaporization of the Prostate; TUNA, Transurethral needle ablation; TUMT, Transurethral microwave therapy; TURP, Transurethral resection of the prostate</w:t>
      </w:r>
      <w:r>
        <w:t>; VLAP, visual laser ablation of the prostate.</w:t>
      </w:r>
    </w:p>
    <w:p w14:paraId="7836FCD6" w14:textId="77777777" w:rsidR="004D49CB" w:rsidRPr="00B44B90" w:rsidRDefault="004D49CB" w:rsidP="004D49CB">
      <w:pPr>
        <w:ind w:left="426"/>
        <w:rPr>
          <w:b/>
        </w:rPr>
      </w:pPr>
    </w:p>
    <w:p w14:paraId="708E9DF1" w14:textId="77777777" w:rsidR="004D49CB" w:rsidRDefault="004D49CB" w:rsidP="004D49CB">
      <w:pPr>
        <w:ind w:left="426"/>
      </w:pPr>
    </w:p>
    <w:p w14:paraId="2A4E1EAA" w14:textId="77777777" w:rsidR="004D49CB" w:rsidRDefault="004D49CB" w:rsidP="004D49CB">
      <w:pPr>
        <w:pStyle w:val="Caption"/>
      </w:pPr>
      <w:bookmarkStart w:id="9" w:name="_Ref1132103"/>
      <w:r>
        <w:rPr>
          <w:noProof/>
          <w:szCs w:val="20"/>
          <w:lang w:eastAsia="en-AU"/>
        </w:rPr>
        <w:drawing>
          <wp:inline distT="0" distB="0" distL="0" distR="0" wp14:anchorId="691AAB16" wp14:editId="56055AF0">
            <wp:extent cx="4867275" cy="2449799"/>
            <wp:effectExtent l="0" t="0" r="0" b="8255"/>
            <wp:docPr id="3" name="Picture 3" descr="Figure 4"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4247" cy="2458341"/>
                    </a:xfrm>
                    <a:prstGeom prst="rect">
                      <a:avLst/>
                    </a:prstGeom>
                    <a:noFill/>
                  </pic:spPr>
                </pic:pic>
              </a:graphicData>
            </a:graphic>
          </wp:inline>
        </w:drawing>
      </w:r>
    </w:p>
    <w:p w14:paraId="11FB19D5" w14:textId="21D817D1" w:rsidR="004D49CB" w:rsidRDefault="004D49CB" w:rsidP="004D49CB">
      <w:pPr>
        <w:pStyle w:val="Caption"/>
      </w:pPr>
      <w:r>
        <w:t xml:space="preserve">Figure </w:t>
      </w:r>
      <w:r>
        <w:rPr>
          <w:noProof/>
        </w:rPr>
        <w:fldChar w:fldCharType="begin"/>
      </w:r>
      <w:r>
        <w:rPr>
          <w:noProof/>
        </w:rPr>
        <w:instrText xml:space="preserve"> SEQ Figure \* ARABIC </w:instrText>
      </w:r>
      <w:r>
        <w:rPr>
          <w:noProof/>
        </w:rPr>
        <w:fldChar w:fldCharType="separate"/>
      </w:r>
      <w:r w:rsidR="00C51F41">
        <w:rPr>
          <w:noProof/>
        </w:rPr>
        <w:t>4</w:t>
      </w:r>
      <w:r>
        <w:rPr>
          <w:noProof/>
        </w:rPr>
        <w:fldChar w:fldCharType="end"/>
      </w:r>
      <w:bookmarkEnd w:id="9"/>
      <w:r>
        <w:tab/>
        <w:t xml:space="preserve">Utilisation of MBS item 36811 over time </w:t>
      </w:r>
    </w:p>
    <w:p w14:paraId="342067BE" w14:textId="77777777" w:rsidR="004D49CB" w:rsidRPr="007679A6" w:rsidRDefault="004D49CB" w:rsidP="00EA285F">
      <w:pPr>
        <w:ind w:left="426"/>
      </w:pPr>
    </w:p>
    <w:p w14:paraId="4BC5F977" w14:textId="77777777" w:rsidR="00BE148C" w:rsidRDefault="00BE148C" w:rsidP="00BE148C">
      <w:pPr>
        <w:ind w:left="426"/>
      </w:pPr>
      <w:bookmarkStart w:id="10" w:name="_Hlk3372863"/>
      <w:r>
        <w:lastRenderedPageBreak/>
        <w:t xml:space="preserve">It should be noted that, health funds do not routinely fund medical devices that are non-implantable but that are critical to achieving therapeutic outcomes of the procedure. For example, the TUWA procedure is dependent on the delivery device which is, by definition of not being implantable, not a prosthesis and ordinarily not eligible for listing on the Prosthesis List. In contrast, procedures that are dependent on a prosthesis, such as UroLift, may be favoured over procedures that involve a non-implantable medical device based on the funding arrangement in place for prostheses in Australia. Thus, there appears to be a need for the Australian health care system to provide appropriate funding mechanisms for medical devices that are non-implantable to ensure treatment options are determined based on clinical decisions, rather than on financial reasons. </w:t>
      </w:r>
    </w:p>
    <w:bookmarkEnd w:id="10"/>
    <w:p w14:paraId="02B73A28" w14:textId="2F44456B" w:rsidR="00BE148C" w:rsidRPr="00BE148C" w:rsidRDefault="00BE148C" w:rsidP="008B4847">
      <w:pPr>
        <w:ind w:left="426"/>
        <w:rPr>
          <w:i/>
          <w:u w:val="single"/>
        </w:rPr>
      </w:pPr>
      <w:r w:rsidRPr="00BE148C">
        <w:rPr>
          <w:i/>
          <w:u w:val="single"/>
        </w:rPr>
        <w:t>Rationale</w:t>
      </w:r>
    </w:p>
    <w:p w14:paraId="157FD611" w14:textId="5170036A" w:rsidR="00B44B90" w:rsidRDefault="00BE148C" w:rsidP="008B4847">
      <w:pPr>
        <w:ind w:left="426"/>
      </w:pPr>
      <w:r>
        <w:t xml:space="preserve">Given the </w:t>
      </w:r>
      <w:r w:rsidR="004D49CB">
        <w:t xml:space="preserve">high </w:t>
      </w:r>
      <w:r>
        <w:t xml:space="preserve">utilisation </w:t>
      </w:r>
      <w:r w:rsidR="004D49CB">
        <w:t>of TURP on the MBS</w:t>
      </w:r>
      <w:r>
        <w:t>, it is likely that TUWA procedures w</w:t>
      </w:r>
      <w:r w:rsidR="004D49CB">
        <w:t>ill</w:t>
      </w:r>
      <w:r>
        <w:t xml:space="preserve"> substitute from TURP procedures</w:t>
      </w:r>
      <w:r w:rsidR="004D49CB">
        <w:t xml:space="preserve"> should it be listed on the MBS</w:t>
      </w:r>
      <w:r>
        <w:t xml:space="preserve"> and as such, TURP is a nominated comparator. </w:t>
      </w:r>
      <w:r w:rsidR="000F4A50" w:rsidRPr="007679A6">
        <w:t xml:space="preserve">PUL </w:t>
      </w:r>
      <w:r>
        <w:t xml:space="preserve">is also a nominated comparator given it </w:t>
      </w:r>
      <w:r w:rsidR="000F4A50" w:rsidRPr="007679A6">
        <w:t>represent</w:t>
      </w:r>
      <w:r>
        <w:t xml:space="preserve">s </w:t>
      </w:r>
      <w:r w:rsidR="000F4A50" w:rsidRPr="007679A6">
        <w:t>a minimally invasive procedure</w:t>
      </w:r>
      <w:r w:rsidR="000F4A50">
        <w:t xml:space="preserve"> that is similar in level of invasiveness</w:t>
      </w:r>
      <w:r w:rsidR="00A1326E">
        <w:t xml:space="preserve"> </w:t>
      </w:r>
      <w:r w:rsidR="000F4A50">
        <w:t xml:space="preserve">and with an increasing utilisation on the MBS. Although VLAP is the minimally invasive procedure most frequently used on the MBS, and may represent an alternative comparator, this procedure is more invasive than TUWA. </w:t>
      </w:r>
      <w:r w:rsidR="004D49CB">
        <w:t xml:space="preserve">Furthermore, </w:t>
      </w:r>
      <w:r w:rsidR="000F4A50">
        <w:t xml:space="preserve">MSAC Application 1518 for VLAP supported non-inferiority to TURP. As such, an inference of relative effectiveness and safety of TUWA versus </w:t>
      </w:r>
      <w:r w:rsidR="004D49CB">
        <w:t>VLAP</w:t>
      </w:r>
      <w:r w:rsidR="000F4A50">
        <w:t xml:space="preserve"> can be made based on a deductive argument utilising Application 1518. </w:t>
      </w:r>
    </w:p>
    <w:p w14:paraId="1217F03D" w14:textId="77777777" w:rsidR="005750E1" w:rsidRPr="00154B00" w:rsidRDefault="005750E1" w:rsidP="001B29A1">
      <w:pPr>
        <w:ind w:left="426"/>
        <w:rPr>
          <w:szCs w:val="20"/>
        </w:rPr>
      </w:pPr>
    </w:p>
    <w:p w14:paraId="20404097"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BFAA745" w14:textId="4B26BB0E" w:rsidR="006A1038" w:rsidRDefault="005750E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6A1038">
        <w:rPr>
          <w:szCs w:val="20"/>
        </w:rPr>
        <w:t xml:space="preserve"> Yes (please provide all relevant MBS item numbers below)</w:t>
      </w:r>
    </w:p>
    <w:p w14:paraId="39EFD9E2"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  </w:t>
      </w:r>
    </w:p>
    <w:p w14:paraId="63FD3235" w14:textId="5042A9D0" w:rsidR="002A19C8" w:rsidRDefault="002A19C8" w:rsidP="001B29A1">
      <w:pPr>
        <w:ind w:left="426"/>
      </w:pPr>
    </w:p>
    <w:p w14:paraId="41868872" w14:textId="29ACC48E" w:rsidR="000159B9" w:rsidRPr="002A19C8" w:rsidRDefault="008B4847" w:rsidP="001B29A1">
      <w:pPr>
        <w:ind w:left="426"/>
      </w:pPr>
      <w:r>
        <w:t xml:space="preserve">TURP </w:t>
      </w:r>
      <w:r w:rsidR="002A19C8">
        <w:t>–</w:t>
      </w:r>
      <w:r>
        <w:t xml:space="preserve"> </w:t>
      </w:r>
      <w:r w:rsidR="002A19C8" w:rsidRPr="002A19C8">
        <w:t>37203</w:t>
      </w:r>
    </w:p>
    <w:p w14:paraId="3F9F41FF" w14:textId="77777777" w:rsidR="002A19C8" w:rsidRPr="002A19C8" w:rsidRDefault="002A19C8" w:rsidP="002A19C8">
      <w:pPr>
        <w:ind w:left="426"/>
      </w:pPr>
      <w:r>
        <w:t>PUL –</w:t>
      </w:r>
      <w:r w:rsidRPr="002A19C8">
        <w:t xml:space="preserve"> 36811</w:t>
      </w:r>
    </w:p>
    <w:p w14:paraId="612D52FB"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50ECB88E" w14:textId="434CE609" w:rsidR="00260287" w:rsidRDefault="00260287" w:rsidP="00260287">
      <w:pPr>
        <w:ind w:left="426"/>
      </w:pPr>
      <w:r>
        <w:t xml:space="preserve">After the patient has undergone </w:t>
      </w:r>
      <w:r w:rsidR="003910D6">
        <w:t>TURP or PUL</w:t>
      </w:r>
      <w:r>
        <w:t xml:space="preserve">, he will be followed up either by the urologist/surgeon or referred to a GP for follow-up. The Andrology Australia Clinical Summary Guide (2014) recommends follow up at 6 weeks, 12 weeks and 6 months in the first year after surgery, and annually thereafter. </w:t>
      </w:r>
    </w:p>
    <w:p w14:paraId="29B24843" w14:textId="5DB966E5" w:rsidR="00D839B1" w:rsidRDefault="00260287" w:rsidP="00D839B1">
      <w:pPr>
        <w:ind w:left="426"/>
        <w:rPr>
          <w:szCs w:val="20"/>
        </w:rPr>
      </w:pPr>
      <w:r>
        <w:rPr>
          <w:szCs w:val="20"/>
        </w:rPr>
        <w:t xml:space="preserve">Patients should be assessed for symptoms at follow up to assess effectiveness </w:t>
      </w:r>
      <w:r w:rsidR="006A53AB">
        <w:rPr>
          <w:szCs w:val="20"/>
        </w:rPr>
        <w:t>and failure to cure</w:t>
      </w:r>
      <w:r>
        <w:rPr>
          <w:szCs w:val="20"/>
        </w:rPr>
        <w:t xml:space="preserve">. </w:t>
      </w:r>
      <w:r w:rsidR="00D839B1">
        <w:rPr>
          <w:szCs w:val="20"/>
        </w:rPr>
        <w:t xml:space="preserve">Failure to cure may result in reintervention. </w:t>
      </w:r>
    </w:p>
    <w:p w14:paraId="22D551A9" w14:textId="2B35694C" w:rsidR="003433D1" w:rsidRPr="00260287" w:rsidRDefault="006A53AB" w:rsidP="00D839B1">
      <w:pPr>
        <w:ind w:left="426"/>
        <w:rPr>
          <w:szCs w:val="20"/>
        </w:rPr>
      </w:pPr>
      <w:r>
        <w:rPr>
          <w:szCs w:val="20"/>
        </w:rPr>
        <w:t xml:space="preserve">Roehrborn et al (2017) reported a </w:t>
      </w:r>
      <w:r w:rsidR="00BD5018">
        <w:rPr>
          <w:szCs w:val="20"/>
        </w:rPr>
        <w:t>5-year</w:t>
      </w:r>
      <w:r>
        <w:rPr>
          <w:szCs w:val="20"/>
        </w:rPr>
        <w:t xml:space="preserve"> surgical retreatment rate of 13.6% (19/140) in PUL subjects. Surgical retreatment consisted of 4.3% </w:t>
      </w:r>
      <w:r w:rsidR="00D839B1">
        <w:rPr>
          <w:szCs w:val="20"/>
        </w:rPr>
        <w:t xml:space="preserve">(6/140) </w:t>
      </w:r>
      <w:r>
        <w:rPr>
          <w:szCs w:val="20"/>
        </w:rPr>
        <w:t xml:space="preserve">receiving additional PUL implants and 9.3% </w:t>
      </w:r>
      <w:r w:rsidR="00D839B1">
        <w:rPr>
          <w:szCs w:val="20"/>
        </w:rPr>
        <w:t xml:space="preserve">(13/140) </w:t>
      </w:r>
      <w:r>
        <w:rPr>
          <w:szCs w:val="20"/>
        </w:rPr>
        <w:t xml:space="preserve">undergoing TURP or laser ablation. </w:t>
      </w:r>
      <w:r w:rsidR="00D839B1">
        <w:rPr>
          <w:szCs w:val="20"/>
        </w:rPr>
        <w:t xml:space="preserve">Based on the </w:t>
      </w:r>
      <w:r w:rsidR="00BD5018">
        <w:rPr>
          <w:szCs w:val="20"/>
        </w:rPr>
        <w:t>12-month</w:t>
      </w:r>
      <w:r w:rsidR="00D839B1">
        <w:rPr>
          <w:szCs w:val="20"/>
        </w:rPr>
        <w:t xml:space="preserve"> data from the head to head comparison of PUL versus TURP in patients with BPH, the r</w:t>
      </w:r>
      <w:r w:rsidR="00D839B1" w:rsidRPr="00D839B1">
        <w:rPr>
          <w:szCs w:val="20"/>
        </w:rPr>
        <w:t xml:space="preserve">eintervention </w:t>
      </w:r>
      <w:r w:rsidR="00D839B1">
        <w:rPr>
          <w:szCs w:val="20"/>
        </w:rPr>
        <w:t xml:space="preserve">rate </w:t>
      </w:r>
      <w:r w:rsidR="00D839B1" w:rsidRPr="00D839B1">
        <w:rPr>
          <w:szCs w:val="20"/>
        </w:rPr>
        <w:t>for failure to cure</w:t>
      </w:r>
      <w:r w:rsidR="00D839B1">
        <w:rPr>
          <w:szCs w:val="20"/>
        </w:rPr>
        <w:t xml:space="preserve"> was</w:t>
      </w:r>
      <w:r w:rsidR="00D839B1" w:rsidRPr="00D839B1">
        <w:rPr>
          <w:szCs w:val="20"/>
        </w:rPr>
        <w:t xml:space="preserve"> 6.8% (3/44) </w:t>
      </w:r>
      <w:r w:rsidR="00D839B1">
        <w:rPr>
          <w:szCs w:val="20"/>
        </w:rPr>
        <w:t>in</w:t>
      </w:r>
      <w:r w:rsidR="00D839B1" w:rsidRPr="00D839B1">
        <w:rPr>
          <w:szCs w:val="20"/>
        </w:rPr>
        <w:t xml:space="preserve"> PUL</w:t>
      </w:r>
      <w:r w:rsidR="00D839B1">
        <w:rPr>
          <w:szCs w:val="20"/>
        </w:rPr>
        <w:t>-treated subjects</w:t>
      </w:r>
      <w:r w:rsidR="00D839B1" w:rsidRPr="00D839B1">
        <w:rPr>
          <w:szCs w:val="20"/>
        </w:rPr>
        <w:t xml:space="preserve"> and 5.7% (2/35) of TURP</w:t>
      </w:r>
      <w:r w:rsidR="00D839B1">
        <w:rPr>
          <w:szCs w:val="20"/>
        </w:rPr>
        <w:t xml:space="preserve">-treated subjects. </w:t>
      </w:r>
    </w:p>
    <w:p w14:paraId="6CAA7824"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62CFDC4F" w14:textId="36A5E294" w:rsidR="001B29A1" w:rsidRDefault="003910D6"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1B29A1">
        <w:rPr>
          <w:szCs w:val="20"/>
        </w:rPr>
        <w:t xml:space="preserve"> Yes </w:t>
      </w:r>
    </w:p>
    <w:p w14:paraId="5B43BDCE"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CE7920">
        <w:rPr>
          <w:szCs w:val="20"/>
        </w:rPr>
      </w:r>
      <w:r w:rsidR="00CE7920">
        <w:rPr>
          <w:szCs w:val="20"/>
        </w:rPr>
        <w:fldChar w:fldCharType="separate"/>
      </w:r>
      <w:r w:rsidRPr="00753C44">
        <w:rPr>
          <w:szCs w:val="20"/>
        </w:rPr>
        <w:fldChar w:fldCharType="end"/>
      </w:r>
      <w:r>
        <w:rPr>
          <w:szCs w:val="20"/>
        </w:rPr>
        <w:t xml:space="preserve"> No  </w:t>
      </w:r>
    </w:p>
    <w:p w14:paraId="50D57262"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2791FEAF" w14:textId="7EFE888F" w:rsidR="003433D1" w:rsidRDefault="003910D6" w:rsidP="001B29A1">
      <w:pPr>
        <w:ind w:left="426"/>
      </w:pPr>
      <w:r>
        <w:t xml:space="preserve">The proposed service will be used instead of the nominated comparators. </w:t>
      </w:r>
      <w:r w:rsidR="00D839B1">
        <w:t xml:space="preserve">Refer to Q49-50. </w:t>
      </w:r>
    </w:p>
    <w:p w14:paraId="6E4BD338" w14:textId="77777777" w:rsidR="003910D6" w:rsidRPr="001B29A1" w:rsidRDefault="003910D6" w:rsidP="001B29A1">
      <w:pPr>
        <w:ind w:left="426"/>
        <w:rPr>
          <w:szCs w:val="20"/>
        </w:rPr>
      </w:pPr>
    </w:p>
    <w:p w14:paraId="26E43453"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08F6022" w14:textId="77777777" w:rsidR="003910D6" w:rsidRDefault="003910D6" w:rsidP="003910D6">
      <w:pPr>
        <w:ind w:left="426"/>
      </w:pPr>
      <w:r>
        <w:t xml:space="preserve">After the patient has undergone TUWA, he will be followed up either by the urologist/surgeon or referred to a GP for follow-up. The Andrology Australia Clinical Summary Guide (2014) recommends follow up at 6 weeks, 12 weeks and 6 months in the first year after surgery, and annually thereafter. </w:t>
      </w:r>
    </w:p>
    <w:p w14:paraId="4767FDB9" w14:textId="2640AED1" w:rsidR="003910D6" w:rsidRPr="00260287" w:rsidRDefault="003910D6" w:rsidP="003910D6">
      <w:pPr>
        <w:ind w:left="426"/>
        <w:rPr>
          <w:szCs w:val="20"/>
        </w:rPr>
      </w:pPr>
      <w:r>
        <w:rPr>
          <w:szCs w:val="20"/>
        </w:rPr>
        <w:t>Patients should be assessed for symptoms at follow up to assess effectiveness of the procedures. McVary et al (201</w:t>
      </w:r>
      <w:r w:rsidR="006A53AB">
        <w:rPr>
          <w:szCs w:val="20"/>
        </w:rPr>
        <w:t>7</w:t>
      </w:r>
      <w:r>
        <w:rPr>
          <w:szCs w:val="20"/>
        </w:rPr>
        <w:t xml:space="preserve">) reported </w:t>
      </w:r>
      <w:r w:rsidR="006A53AB">
        <w:rPr>
          <w:szCs w:val="20"/>
        </w:rPr>
        <w:t xml:space="preserve">a </w:t>
      </w:r>
      <w:r w:rsidR="00BD5018">
        <w:rPr>
          <w:szCs w:val="20"/>
        </w:rPr>
        <w:t>3-year</w:t>
      </w:r>
      <w:r w:rsidR="006A53AB">
        <w:rPr>
          <w:szCs w:val="20"/>
        </w:rPr>
        <w:t xml:space="preserve"> retreatment rate of 4.4% (6/135) with one </w:t>
      </w:r>
      <w:r w:rsidR="00BD5018">
        <w:rPr>
          <w:szCs w:val="20"/>
        </w:rPr>
        <w:t>subject</w:t>
      </w:r>
      <w:r w:rsidR="006A53AB">
        <w:rPr>
          <w:szCs w:val="20"/>
        </w:rPr>
        <w:t xml:space="preserve"> having an open prostatectomy, three had a plasma-button transurethral vaporisation of the prostate and two were retreated with TUWA. </w:t>
      </w:r>
    </w:p>
    <w:p w14:paraId="0311433A" w14:textId="77777777" w:rsidR="002053F2" w:rsidRPr="00154B00" w:rsidRDefault="002053F2" w:rsidP="00D10B47">
      <w:pPr>
        <w:pStyle w:val="ListParagraph"/>
        <w:ind w:left="360"/>
        <w:rPr>
          <w:b/>
          <w:szCs w:val="20"/>
        </w:rPr>
      </w:pPr>
    </w:p>
    <w:p w14:paraId="484CB64D" w14:textId="77777777" w:rsidR="001B29A1" w:rsidRDefault="001B29A1" w:rsidP="00881F93">
      <w:pPr>
        <w:rPr>
          <w:b/>
          <w:i/>
          <w:szCs w:val="20"/>
          <w:u w:val="single"/>
        </w:rPr>
      </w:pPr>
      <w:r>
        <w:rPr>
          <w:b/>
          <w:i/>
          <w:szCs w:val="20"/>
          <w:u w:val="single"/>
        </w:rPr>
        <w:br w:type="page"/>
      </w:r>
    </w:p>
    <w:p w14:paraId="41FA8496"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42BD4C74"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32ACF6F" w14:textId="66EA91BD" w:rsidR="004E3CC7" w:rsidRDefault="00D839B1" w:rsidP="001B29A1">
      <w:pPr>
        <w:ind w:left="426"/>
      </w:pPr>
      <w:r>
        <w:t>It is expected that the TUWA procedure will produce similar efficacy outcomes with respect to the International Prostate Symptoms Score (IPSS) and maximum flow rate (Q</w:t>
      </w:r>
      <w:r w:rsidRPr="00057377">
        <w:rPr>
          <w:vertAlign w:val="subscript"/>
        </w:rPr>
        <w:t>max</w:t>
      </w:r>
      <w:r>
        <w:t>) relative to TURP</w:t>
      </w:r>
      <w:r w:rsidR="00A03B7F">
        <w:t>, with similar safety. H</w:t>
      </w:r>
      <w:r w:rsidR="00A03B7F" w:rsidRPr="00A03B7F">
        <w:t>owever,</w:t>
      </w:r>
      <w:r w:rsidR="00A03B7F">
        <w:t xml:space="preserve"> TUWA</w:t>
      </w:r>
      <w:r w:rsidR="00A03B7F" w:rsidRPr="00A03B7F">
        <w:t xml:space="preserve"> is associated with reduced resource utilisation relative to TURP, </w:t>
      </w:r>
      <w:r w:rsidR="00A03B7F">
        <w:t xml:space="preserve">given TUWA can be performed as a day procedure whereas </w:t>
      </w:r>
      <w:r w:rsidR="003D0FED">
        <w:t xml:space="preserve">the </w:t>
      </w:r>
      <w:r w:rsidR="00A03B7F">
        <w:t xml:space="preserve">TURP procedure is associated with hospitalisation, </w:t>
      </w:r>
      <w:r w:rsidR="00A03B7F" w:rsidRPr="00A03B7F">
        <w:t>benefiting both patients and treatment centres.</w:t>
      </w:r>
    </w:p>
    <w:p w14:paraId="04DFDB91" w14:textId="6F5542D7" w:rsidR="00A03B7F" w:rsidRDefault="00A03B7F" w:rsidP="00A03B7F">
      <w:pPr>
        <w:ind w:left="426"/>
      </w:pPr>
      <w:r>
        <w:t>It is expected that the TUWA procedure will produce similar efficacy outcomes with respect to the IPSS and Q</w:t>
      </w:r>
      <w:r w:rsidRPr="00057377">
        <w:rPr>
          <w:vertAlign w:val="subscript"/>
        </w:rPr>
        <w:t>max</w:t>
      </w:r>
      <w:r>
        <w:t xml:space="preserve"> relative to PUL, with similar safety. TUWA</w:t>
      </w:r>
      <w:r w:rsidRPr="00A03B7F">
        <w:t xml:space="preserve"> is </w:t>
      </w:r>
      <w:r>
        <w:t xml:space="preserve">expected to be associated with similar </w:t>
      </w:r>
      <w:r w:rsidRPr="00A03B7F">
        <w:t xml:space="preserve">resource utilisation relative to </w:t>
      </w:r>
      <w:r>
        <w:t xml:space="preserve">PUL. </w:t>
      </w:r>
    </w:p>
    <w:p w14:paraId="3CDF5694" w14:textId="77777777" w:rsidR="00A03B7F" w:rsidRPr="00154B00" w:rsidRDefault="00A03B7F" w:rsidP="001B29A1">
      <w:pPr>
        <w:ind w:left="426"/>
        <w:rPr>
          <w:szCs w:val="20"/>
        </w:rPr>
      </w:pPr>
    </w:p>
    <w:p w14:paraId="4C64D899"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3D64869"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CE7920">
        <w:rPr>
          <w:szCs w:val="20"/>
        </w:rPr>
      </w:r>
      <w:r w:rsidR="00CE7920">
        <w:rPr>
          <w:szCs w:val="20"/>
        </w:rPr>
        <w:fldChar w:fldCharType="separate"/>
      </w:r>
      <w:r w:rsidRPr="001B29A1">
        <w:rPr>
          <w:szCs w:val="20"/>
        </w:rPr>
        <w:fldChar w:fldCharType="end"/>
      </w:r>
      <w:r w:rsidRPr="001B29A1">
        <w:rPr>
          <w:szCs w:val="20"/>
        </w:rPr>
        <w:t xml:space="preserve"> Superiority</w:t>
      </w:r>
      <w:r w:rsidRPr="001B29A1">
        <w:rPr>
          <w:szCs w:val="20"/>
        </w:rPr>
        <w:tab/>
      </w:r>
    </w:p>
    <w:p w14:paraId="5EA4D463" w14:textId="12A1DB46" w:rsidR="004E3CC7" w:rsidRPr="001B29A1" w:rsidRDefault="00D839B1"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E7920">
        <w:rPr>
          <w:szCs w:val="20"/>
        </w:rPr>
      </w:r>
      <w:r w:rsidR="00CE7920">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7474B78C"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CB2710B" w14:textId="3363453C"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041DBDB8" w14:textId="50D7EBDA" w:rsidR="00A03B7F" w:rsidRPr="00A03B7F" w:rsidRDefault="00A03B7F" w:rsidP="00A03B7F">
      <w:pPr>
        <w:pBdr>
          <w:top w:val="single" w:sz="4" w:space="1" w:color="auto"/>
          <w:left w:val="single" w:sz="4" w:space="4" w:color="auto"/>
          <w:bottom w:val="single" w:sz="4" w:space="1" w:color="auto"/>
          <w:right w:val="single" w:sz="4" w:space="4" w:color="auto"/>
        </w:pBdr>
        <w:rPr>
          <w:szCs w:val="20"/>
          <w:u w:val="single"/>
        </w:rPr>
      </w:pPr>
      <w:r w:rsidRPr="00A03B7F">
        <w:rPr>
          <w:b/>
          <w:szCs w:val="20"/>
          <w:u w:val="single"/>
        </w:rPr>
        <w:t xml:space="preserve">• </w:t>
      </w:r>
      <w:r w:rsidRPr="00A03B7F">
        <w:rPr>
          <w:szCs w:val="20"/>
          <w:u w:val="single"/>
        </w:rPr>
        <w:t>Immediate complications</w:t>
      </w:r>
    </w:p>
    <w:p w14:paraId="0403E5F5"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Bleeding</w:t>
      </w:r>
    </w:p>
    <w:p w14:paraId="24999EA1"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Acute urinary retention</w:t>
      </w:r>
    </w:p>
    <w:p w14:paraId="346749ED"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Infection</w:t>
      </w:r>
    </w:p>
    <w:p w14:paraId="798BCEDA"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TURP syndrome (dilutional hyponatraemia)</w:t>
      </w:r>
    </w:p>
    <w:p w14:paraId="038B8586"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Mortality</w:t>
      </w:r>
    </w:p>
    <w:p w14:paraId="1A8E10C4" w14:textId="4410DDDF"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u w:val="single"/>
        </w:rPr>
        <w:t>Longer term complications</w:t>
      </w:r>
    </w:p>
    <w:p w14:paraId="5725F3B0"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Urethral stricture</w:t>
      </w:r>
    </w:p>
    <w:p w14:paraId="66028186" w14:textId="7777777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Erectile dysfunction</w:t>
      </w:r>
    </w:p>
    <w:p w14:paraId="092FE2AD" w14:textId="043871BC" w:rsid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Urinary incontinence</w:t>
      </w:r>
    </w:p>
    <w:p w14:paraId="489F58C3" w14:textId="1E0185E4"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7E2D3E12" w14:textId="02879BEC"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 xml:space="preserve">Symptom severity related to LUTS – IPSS, AUA-SI </w:t>
      </w:r>
    </w:p>
    <w:p w14:paraId="28B32B55" w14:textId="5D0A0884"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Peak flow (Qmax)</w:t>
      </w:r>
    </w:p>
    <w:p w14:paraId="7C9219D7" w14:textId="3A60A62B"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Post-void residual volume</w:t>
      </w:r>
    </w:p>
    <w:p w14:paraId="0BF655A1" w14:textId="594B6EAF"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Prostate volume</w:t>
      </w:r>
    </w:p>
    <w:p w14:paraId="043FB32B" w14:textId="254205A7"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Quality of life</w:t>
      </w:r>
    </w:p>
    <w:p w14:paraId="1AC93C82" w14:textId="4F53894A" w:rsidR="00A03B7F" w:rsidRP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Treatment failure rate</w:t>
      </w:r>
    </w:p>
    <w:p w14:paraId="3523106F" w14:textId="75E4621D" w:rsidR="00A03B7F" w:rsidRDefault="00A03B7F" w:rsidP="00A03B7F">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A03B7F">
        <w:rPr>
          <w:szCs w:val="20"/>
        </w:rPr>
        <w:t>Re-treatment rate</w:t>
      </w:r>
    </w:p>
    <w:p w14:paraId="5594D763" w14:textId="4A1A4E52" w:rsidR="000E1E79" w:rsidRPr="000E1E79" w:rsidRDefault="000E1E79" w:rsidP="00A03B7F">
      <w:pPr>
        <w:pBdr>
          <w:top w:val="single" w:sz="4" w:space="1" w:color="auto"/>
          <w:left w:val="single" w:sz="4" w:space="4" w:color="auto"/>
          <w:bottom w:val="single" w:sz="4" w:space="1" w:color="auto"/>
          <w:right w:val="single" w:sz="4" w:space="4" w:color="auto"/>
        </w:pBdr>
        <w:rPr>
          <w:b/>
          <w:szCs w:val="20"/>
        </w:rPr>
      </w:pPr>
      <w:r w:rsidRPr="000E1E79">
        <w:rPr>
          <w:b/>
          <w:szCs w:val="20"/>
        </w:rPr>
        <w:t>Resource utilisation</w:t>
      </w:r>
    </w:p>
    <w:p w14:paraId="241D0C54" w14:textId="3C378060" w:rsidR="001B29A1" w:rsidRPr="000E1E79" w:rsidRDefault="000E1E79" w:rsidP="001B29A1">
      <w:pPr>
        <w:pBdr>
          <w:top w:val="single" w:sz="4" w:space="1" w:color="auto"/>
          <w:left w:val="single" w:sz="4" w:space="4" w:color="auto"/>
          <w:bottom w:val="single" w:sz="4" w:space="1" w:color="auto"/>
          <w:right w:val="single" w:sz="4" w:space="4" w:color="auto"/>
        </w:pBdr>
        <w:rPr>
          <w:szCs w:val="20"/>
        </w:rPr>
      </w:pPr>
      <w:r w:rsidRPr="00A03B7F">
        <w:rPr>
          <w:szCs w:val="20"/>
        </w:rPr>
        <w:t>•</w:t>
      </w:r>
      <w:r>
        <w:rPr>
          <w:szCs w:val="20"/>
        </w:rPr>
        <w:t xml:space="preserve"> </w:t>
      </w:r>
      <w:r w:rsidRPr="000E1E79">
        <w:rPr>
          <w:szCs w:val="20"/>
        </w:rPr>
        <w:t>Length of hospital stay</w:t>
      </w:r>
    </w:p>
    <w:p w14:paraId="096EC40B"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9637F15"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58EEA24" w14:textId="77777777" w:rsidR="00EE2F29" w:rsidRPr="00EE2F29" w:rsidRDefault="00EE2F29" w:rsidP="00EE2F29">
      <w:pPr>
        <w:ind w:left="426"/>
        <w:rPr>
          <w:szCs w:val="20"/>
        </w:rPr>
      </w:pPr>
      <w:r w:rsidRPr="00EE2F29">
        <w:rPr>
          <w:szCs w:val="20"/>
        </w:rPr>
        <w:t xml:space="preserve">A combined lifetime prevalence estimate of BPH of 26.2% (95% CI: 22.8 – 29.6%) was published by Lee et al (Lee, Chan &amp; Lai 2017), pooled from 25 studies using objective measures. According to Lee et al prevalence increased with age, but there was no difference found between rural, urban or mixed sites; countries; respondent representativeness; sample size; or study quality. </w:t>
      </w:r>
    </w:p>
    <w:p w14:paraId="06B95D18" w14:textId="2A4C7B69" w:rsidR="00EE2F29" w:rsidRPr="00EE2F29" w:rsidRDefault="00EE2F29" w:rsidP="00EE2F29">
      <w:pPr>
        <w:ind w:left="426"/>
        <w:rPr>
          <w:szCs w:val="20"/>
        </w:rPr>
      </w:pPr>
      <w:r w:rsidRPr="00EE2F29">
        <w:rPr>
          <w:szCs w:val="20"/>
        </w:rPr>
        <w:t>The prevalence of diagnosed BPH estimated from the Bettering the Evaluation and Care of Health (BEACH) program in Australia was 21.2% (95%CI 17.3, 25.1) overall, with estimates varying by age (</w:t>
      </w:r>
      <w:r>
        <w:rPr>
          <w:szCs w:val="20"/>
        </w:rPr>
        <w:fldChar w:fldCharType="begin"/>
      </w:r>
      <w:r>
        <w:rPr>
          <w:szCs w:val="20"/>
        </w:rPr>
        <w:instrText xml:space="preserve"> REF _Ref1129682 \h </w:instrText>
      </w:r>
      <w:r>
        <w:rPr>
          <w:szCs w:val="20"/>
        </w:rPr>
      </w:r>
      <w:r>
        <w:rPr>
          <w:szCs w:val="20"/>
        </w:rPr>
        <w:fldChar w:fldCharType="separate"/>
      </w:r>
      <w:r w:rsidR="00C51F41">
        <w:t xml:space="preserve">Figure </w:t>
      </w:r>
      <w:r w:rsidR="00C51F41">
        <w:rPr>
          <w:noProof/>
        </w:rPr>
        <w:t>5</w:t>
      </w:r>
      <w:r>
        <w:rPr>
          <w:szCs w:val="20"/>
        </w:rPr>
        <w:fldChar w:fldCharType="end"/>
      </w:r>
      <w:r w:rsidRPr="00EE2F29">
        <w:rPr>
          <w:szCs w:val="20"/>
        </w:rPr>
        <w:t>) (BEACH 2012). The BEACH data were based on 707 male patients aged 40 years or older, of whom 150 had been diagnosed with BPH. Of the 243 symptomatic respondents in the BEACH data cohort, 44.9% (109 patients) were being treated for LUTS, and 41% of those being treated (45 patients) were taking medications (BEACH 2012).</w:t>
      </w:r>
    </w:p>
    <w:p w14:paraId="1BDB949A" w14:textId="77777777" w:rsidR="00EE2F29" w:rsidRDefault="00EE2F29" w:rsidP="00EE2F29">
      <w:pPr>
        <w:keepNext/>
        <w:ind w:left="426"/>
      </w:pPr>
      <w:r>
        <w:rPr>
          <w:noProof/>
          <w:szCs w:val="20"/>
          <w:lang w:eastAsia="en-AU"/>
        </w:rPr>
        <w:drawing>
          <wp:inline distT="0" distB="0" distL="0" distR="0" wp14:anchorId="2FC04872" wp14:editId="7EA807F7">
            <wp:extent cx="4667250" cy="2736939"/>
            <wp:effectExtent l="0" t="0" r="0" b="6350"/>
            <wp:docPr id="6" name="Picture 6" title="Figure 1 Prevalence of BPH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valence of BPH by age - BEACH data.png"/>
                    <pic:cNvPicPr/>
                  </pic:nvPicPr>
                  <pic:blipFill>
                    <a:blip r:embed="rId23">
                      <a:extLst>
                        <a:ext uri="{28A0092B-C50C-407E-A947-70E740481C1C}">
                          <a14:useLocalDpi xmlns:a14="http://schemas.microsoft.com/office/drawing/2010/main" val="0"/>
                        </a:ext>
                      </a:extLst>
                    </a:blip>
                    <a:stretch>
                      <a:fillRect/>
                    </a:stretch>
                  </pic:blipFill>
                  <pic:spPr>
                    <a:xfrm>
                      <a:off x="0" y="0"/>
                      <a:ext cx="4682624" cy="2745954"/>
                    </a:xfrm>
                    <a:prstGeom prst="rect">
                      <a:avLst/>
                    </a:prstGeom>
                  </pic:spPr>
                </pic:pic>
              </a:graphicData>
            </a:graphic>
          </wp:inline>
        </w:drawing>
      </w:r>
    </w:p>
    <w:p w14:paraId="5FF96B25" w14:textId="61D7F9D1" w:rsidR="00EE2F29" w:rsidRPr="00EE2F29" w:rsidRDefault="00EE2F29" w:rsidP="00EE2F29">
      <w:pPr>
        <w:pStyle w:val="Caption"/>
      </w:pPr>
      <w:bookmarkStart w:id="11" w:name="_Ref1129682"/>
      <w:r>
        <w:t xml:space="preserve">Figure </w:t>
      </w:r>
      <w:r w:rsidR="00066DDF">
        <w:rPr>
          <w:noProof/>
        </w:rPr>
        <w:fldChar w:fldCharType="begin"/>
      </w:r>
      <w:r w:rsidR="00066DDF">
        <w:rPr>
          <w:noProof/>
        </w:rPr>
        <w:instrText xml:space="preserve"> SEQ Figure \* ARABIC </w:instrText>
      </w:r>
      <w:r w:rsidR="00066DDF">
        <w:rPr>
          <w:noProof/>
        </w:rPr>
        <w:fldChar w:fldCharType="separate"/>
      </w:r>
      <w:r w:rsidR="00C51F41">
        <w:rPr>
          <w:noProof/>
        </w:rPr>
        <w:t>5</w:t>
      </w:r>
      <w:r w:rsidR="00066DDF">
        <w:rPr>
          <w:noProof/>
        </w:rPr>
        <w:fldChar w:fldCharType="end"/>
      </w:r>
      <w:bookmarkEnd w:id="11"/>
      <w:r w:rsidRPr="00EE2F29">
        <w:tab/>
        <w:t>Prevalence of BPH by age</w:t>
      </w:r>
    </w:p>
    <w:p w14:paraId="7E904E51" w14:textId="77777777" w:rsidR="00EE2F29" w:rsidRPr="00EE2F29" w:rsidRDefault="00EE2F29" w:rsidP="00EE2F29">
      <w:pPr>
        <w:pStyle w:val="Tablenotes"/>
      </w:pPr>
      <w:r w:rsidRPr="00EE2F29">
        <w:t>Source: BEACH 2012. Benign prostatic hyperplasia (BPH) among male general practice patients aged 40 years or older. SAND abstract 190 from the BEACH program: FRMC University of Sydney, 2012</w:t>
      </w:r>
    </w:p>
    <w:p w14:paraId="01197E81" w14:textId="77777777" w:rsidR="00EE2F29" w:rsidRPr="00EE2F29" w:rsidRDefault="00EE2F29" w:rsidP="00EE2F29">
      <w:pPr>
        <w:pStyle w:val="Tablenotes"/>
      </w:pPr>
      <w:r w:rsidRPr="00EE2F29">
        <w:t>BEACH = Bettering the Evaluation and Care of Health; BPH = benign prostate hyperplasia; FRMC = Family Medicine Research Centre, University of Sydney; IPSS = International Prostate Symptom score; LUTS = lower urinary tract symptoms; SAND = Supplementary Analysis of Nominated Data</w:t>
      </w:r>
    </w:p>
    <w:p w14:paraId="64C5CC63" w14:textId="6B79107D" w:rsidR="00EE2F29" w:rsidRDefault="00EE2F29" w:rsidP="00EE2F29">
      <w:pPr>
        <w:ind w:left="426"/>
        <w:rPr>
          <w:szCs w:val="20"/>
        </w:rPr>
      </w:pPr>
      <w:r w:rsidRPr="00EE2F29">
        <w:rPr>
          <w:szCs w:val="20"/>
        </w:rPr>
        <w:t xml:space="preserve">Epidemiological data reported that LUTS resulting from BPH affects an estimated 70% of men aged between 61 and 70 years, and 90% of those aged 81 to 90 years (Nickel 2006). LUTS prevalence was also found to increase with age in estimates pooled across 25 studies by Lee et al. LUTS was defined as moderate or severe symptoms (IPSS or AUA-SI &gt;7) in Lee et al’s study, but authors commented on the presence of heterogeneity amongst the studies in methodology and definitions. Data can be seen in </w:t>
      </w:r>
      <w:r>
        <w:rPr>
          <w:szCs w:val="20"/>
        </w:rPr>
        <w:fldChar w:fldCharType="begin"/>
      </w:r>
      <w:r>
        <w:rPr>
          <w:szCs w:val="20"/>
        </w:rPr>
        <w:instrText xml:space="preserve"> REF _Ref1129637 \h </w:instrText>
      </w:r>
      <w:r>
        <w:rPr>
          <w:szCs w:val="20"/>
        </w:rPr>
      </w:r>
      <w:r>
        <w:rPr>
          <w:szCs w:val="20"/>
        </w:rPr>
        <w:fldChar w:fldCharType="separate"/>
      </w:r>
      <w:r w:rsidR="00C51F41">
        <w:t xml:space="preserve">Table </w:t>
      </w:r>
      <w:r w:rsidR="00C51F41">
        <w:rPr>
          <w:noProof/>
        </w:rPr>
        <w:t>2</w:t>
      </w:r>
      <w:r>
        <w:rPr>
          <w:szCs w:val="20"/>
        </w:rPr>
        <w:fldChar w:fldCharType="end"/>
      </w:r>
      <w:r w:rsidRPr="00EE2F29">
        <w:rPr>
          <w:szCs w:val="20"/>
        </w:rPr>
        <w:t>.</w:t>
      </w:r>
    </w:p>
    <w:p w14:paraId="05E5226F" w14:textId="34B0F4C6" w:rsidR="00EE2F29" w:rsidRDefault="00EE2F29" w:rsidP="00641566">
      <w:pPr>
        <w:pStyle w:val="Caption"/>
        <w:keepNext/>
        <w:keepLines/>
        <w:widowControl w:val="0"/>
      </w:pPr>
      <w:bookmarkStart w:id="12" w:name="_Ref1129637"/>
      <w:r>
        <w:lastRenderedPageBreak/>
        <w:t xml:space="preserve">Table </w:t>
      </w:r>
      <w:r w:rsidR="00066DDF">
        <w:rPr>
          <w:noProof/>
        </w:rPr>
        <w:fldChar w:fldCharType="begin"/>
      </w:r>
      <w:r w:rsidR="00066DDF">
        <w:rPr>
          <w:noProof/>
        </w:rPr>
        <w:instrText xml:space="preserve"> SEQ Table \* ARABIC </w:instrText>
      </w:r>
      <w:r w:rsidR="00066DDF">
        <w:rPr>
          <w:noProof/>
        </w:rPr>
        <w:fldChar w:fldCharType="separate"/>
      </w:r>
      <w:r w:rsidR="00C51F41">
        <w:rPr>
          <w:noProof/>
        </w:rPr>
        <w:t>2</w:t>
      </w:r>
      <w:r w:rsidR="00066DDF">
        <w:rPr>
          <w:noProof/>
        </w:rPr>
        <w:fldChar w:fldCharType="end"/>
      </w:r>
      <w:bookmarkEnd w:id="12"/>
      <w:r>
        <w:tab/>
      </w:r>
      <w:r w:rsidRPr="00EE2F29">
        <w:t>Prevalence of men with moderate to severe symptoms of LUTS/BPH by age group (Lee, Chan &amp; Lai 2017)</w:t>
      </w:r>
    </w:p>
    <w:tbl>
      <w:tblPr>
        <w:tblStyle w:val="TableGrid"/>
        <w:tblW w:w="0" w:type="auto"/>
        <w:tblInd w:w="426" w:type="dxa"/>
        <w:tblLook w:val="04A0" w:firstRow="1" w:lastRow="0" w:firstColumn="1" w:lastColumn="0" w:noHBand="0" w:noVBand="1"/>
        <w:tblCaption w:val="Table"/>
        <w:tblDescription w:val="Table"/>
      </w:tblPr>
      <w:tblGrid>
        <w:gridCol w:w="4295"/>
        <w:gridCol w:w="4295"/>
      </w:tblGrid>
      <w:tr w:rsidR="00EE2F29" w14:paraId="3AA72904"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4295" w:type="dxa"/>
          </w:tcPr>
          <w:p w14:paraId="1FC1EABC" w14:textId="5486D06D" w:rsidR="00EE2F29" w:rsidRDefault="00EE2F29" w:rsidP="00641566">
            <w:pPr>
              <w:pStyle w:val="Tabletext"/>
              <w:keepNext/>
              <w:keepLines/>
              <w:widowControl w:val="0"/>
            </w:pPr>
            <w:r w:rsidRPr="007F5642">
              <w:t>Age range</w:t>
            </w:r>
          </w:p>
        </w:tc>
        <w:tc>
          <w:tcPr>
            <w:tcW w:w="4295" w:type="dxa"/>
          </w:tcPr>
          <w:p w14:paraId="6D56EBF6" w14:textId="52F6B88B" w:rsidR="00EE2F29" w:rsidRDefault="00EE2F29" w:rsidP="00641566">
            <w:pPr>
              <w:pStyle w:val="Tabletext"/>
              <w:keepNext/>
              <w:keepLines/>
              <w:widowControl w:val="0"/>
            </w:pPr>
            <w:r w:rsidRPr="007F5642">
              <w:t>Prevalence of LUTS (IPSS or AUA-SI &gt;7)</w:t>
            </w:r>
          </w:p>
        </w:tc>
      </w:tr>
      <w:tr w:rsidR="00EE2F29" w14:paraId="66D8894F" w14:textId="77777777" w:rsidTr="00EE2F29">
        <w:tc>
          <w:tcPr>
            <w:tcW w:w="4295" w:type="dxa"/>
          </w:tcPr>
          <w:p w14:paraId="39DD409E" w14:textId="5E128941" w:rsidR="00EE2F29" w:rsidRDefault="00EE2F29" w:rsidP="00641566">
            <w:pPr>
              <w:pStyle w:val="Tabletext"/>
              <w:keepNext/>
              <w:keepLines/>
              <w:widowControl w:val="0"/>
            </w:pPr>
            <w:r w:rsidRPr="007F5642">
              <w:t>40-49 years</w:t>
            </w:r>
          </w:p>
        </w:tc>
        <w:tc>
          <w:tcPr>
            <w:tcW w:w="4295" w:type="dxa"/>
          </w:tcPr>
          <w:p w14:paraId="7804AFC8" w14:textId="08287DE0" w:rsidR="00EE2F29" w:rsidRDefault="00EE2F29" w:rsidP="00641566">
            <w:pPr>
              <w:pStyle w:val="Tabletext"/>
              <w:keepNext/>
              <w:keepLines/>
              <w:widowControl w:val="0"/>
            </w:pPr>
            <w:r w:rsidRPr="007F5642">
              <w:t>14.8%</w:t>
            </w:r>
          </w:p>
        </w:tc>
      </w:tr>
      <w:tr w:rsidR="00EE2F29" w14:paraId="1A2399E5" w14:textId="77777777" w:rsidTr="00EE2F29">
        <w:tc>
          <w:tcPr>
            <w:tcW w:w="4295" w:type="dxa"/>
          </w:tcPr>
          <w:p w14:paraId="1C188D11" w14:textId="1471A623" w:rsidR="00EE2F29" w:rsidRDefault="00EE2F29" w:rsidP="00641566">
            <w:pPr>
              <w:pStyle w:val="Tabletext"/>
              <w:keepNext/>
              <w:keepLines/>
              <w:widowControl w:val="0"/>
            </w:pPr>
            <w:r w:rsidRPr="007F5642">
              <w:t>50-59 years</w:t>
            </w:r>
          </w:p>
        </w:tc>
        <w:tc>
          <w:tcPr>
            <w:tcW w:w="4295" w:type="dxa"/>
          </w:tcPr>
          <w:p w14:paraId="74E89832" w14:textId="66FF4330" w:rsidR="00EE2F29" w:rsidRDefault="00EE2F29" w:rsidP="00641566">
            <w:pPr>
              <w:pStyle w:val="Tabletext"/>
              <w:keepNext/>
              <w:keepLines/>
              <w:widowControl w:val="0"/>
            </w:pPr>
            <w:r w:rsidRPr="007F5642">
              <w:t>20.2%</w:t>
            </w:r>
          </w:p>
        </w:tc>
      </w:tr>
      <w:tr w:rsidR="00EE2F29" w14:paraId="7FD29846" w14:textId="77777777" w:rsidTr="00EE2F29">
        <w:tc>
          <w:tcPr>
            <w:tcW w:w="4295" w:type="dxa"/>
          </w:tcPr>
          <w:p w14:paraId="62D3B70A" w14:textId="69C1644C" w:rsidR="00EE2F29" w:rsidRDefault="00EE2F29" w:rsidP="00641566">
            <w:pPr>
              <w:pStyle w:val="Tabletext"/>
              <w:keepNext/>
              <w:keepLines/>
              <w:widowControl w:val="0"/>
            </w:pPr>
            <w:r w:rsidRPr="007F5642">
              <w:t>60-69 years</w:t>
            </w:r>
          </w:p>
        </w:tc>
        <w:tc>
          <w:tcPr>
            <w:tcW w:w="4295" w:type="dxa"/>
          </w:tcPr>
          <w:p w14:paraId="6F21D418" w14:textId="3B31ABF9" w:rsidR="00EE2F29" w:rsidRDefault="00EE2F29" w:rsidP="00641566">
            <w:pPr>
              <w:pStyle w:val="Tabletext"/>
              <w:keepNext/>
              <w:keepLines/>
              <w:widowControl w:val="0"/>
            </w:pPr>
            <w:r w:rsidRPr="007F5642">
              <w:t>29.1%</w:t>
            </w:r>
          </w:p>
        </w:tc>
      </w:tr>
      <w:tr w:rsidR="00EE2F29" w14:paraId="68348966" w14:textId="77777777" w:rsidTr="00EE2F29">
        <w:tc>
          <w:tcPr>
            <w:tcW w:w="4295" w:type="dxa"/>
          </w:tcPr>
          <w:p w14:paraId="4D28A380" w14:textId="7B9F4CAA" w:rsidR="00EE2F29" w:rsidRDefault="00EE2F29" w:rsidP="00641566">
            <w:pPr>
              <w:pStyle w:val="Tabletext"/>
              <w:keepNext/>
              <w:keepLines/>
              <w:widowControl w:val="0"/>
            </w:pPr>
            <w:r w:rsidRPr="007F5642">
              <w:t>70-79 years</w:t>
            </w:r>
          </w:p>
        </w:tc>
        <w:tc>
          <w:tcPr>
            <w:tcW w:w="4295" w:type="dxa"/>
          </w:tcPr>
          <w:p w14:paraId="2B1538E6" w14:textId="294D1477" w:rsidR="00EE2F29" w:rsidRDefault="00EE2F29" w:rsidP="00641566">
            <w:pPr>
              <w:pStyle w:val="Tabletext"/>
              <w:keepNext/>
              <w:keepLines/>
              <w:widowControl w:val="0"/>
            </w:pPr>
            <w:r w:rsidRPr="007F5642">
              <w:t>36.8%</w:t>
            </w:r>
          </w:p>
        </w:tc>
      </w:tr>
      <w:tr w:rsidR="00EE2F29" w14:paraId="5D80ABFD" w14:textId="77777777" w:rsidTr="00EE2F29">
        <w:tc>
          <w:tcPr>
            <w:tcW w:w="4295" w:type="dxa"/>
          </w:tcPr>
          <w:p w14:paraId="4287F096" w14:textId="0D16D2B4" w:rsidR="00EE2F29" w:rsidRDefault="00EE2F29" w:rsidP="00641566">
            <w:pPr>
              <w:pStyle w:val="Tabletext"/>
              <w:keepNext/>
              <w:keepLines/>
              <w:widowControl w:val="0"/>
            </w:pPr>
            <w:r w:rsidRPr="007F5642">
              <w:t>≥ 80 years</w:t>
            </w:r>
          </w:p>
        </w:tc>
        <w:tc>
          <w:tcPr>
            <w:tcW w:w="4295" w:type="dxa"/>
          </w:tcPr>
          <w:p w14:paraId="74257EDC" w14:textId="3F9E0314" w:rsidR="00EE2F29" w:rsidRDefault="00EE2F29" w:rsidP="00641566">
            <w:pPr>
              <w:pStyle w:val="Tabletext"/>
              <w:keepNext/>
              <w:keepLines/>
              <w:widowControl w:val="0"/>
            </w:pPr>
            <w:r w:rsidRPr="007F5642">
              <w:t>38.4%</w:t>
            </w:r>
          </w:p>
        </w:tc>
      </w:tr>
    </w:tbl>
    <w:p w14:paraId="5CF2338A" w14:textId="337D3276" w:rsidR="00EE2F29" w:rsidRDefault="00EE2F29" w:rsidP="00641566">
      <w:pPr>
        <w:pStyle w:val="Tablenotes"/>
        <w:keepNext/>
        <w:keepLines/>
        <w:widowControl w:val="0"/>
      </w:pPr>
      <w:r w:rsidRPr="00EE2F29">
        <w:t>AUA-SI = American Urological Association Symptom Index; BPH = benign prostate hyperplasia; IPSS = International Prostate Symptom score; LUTS = lower urinary tract symptoms</w:t>
      </w:r>
    </w:p>
    <w:p w14:paraId="4B2C2ABC" w14:textId="77777777" w:rsidR="00EE2F29" w:rsidRDefault="00EE2F29" w:rsidP="00903269">
      <w:pPr>
        <w:ind w:left="426"/>
        <w:rPr>
          <w:szCs w:val="20"/>
        </w:rPr>
      </w:pPr>
    </w:p>
    <w:p w14:paraId="59E88B0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A229523" w14:textId="08D39892" w:rsidR="008B3E4C" w:rsidRDefault="008B3E4C" w:rsidP="008B3E4C">
      <w:pPr>
        <w:ind w:left="426"/>
        <w:rPr>
          <w:szCs w:val="20"/>
        </w:rPr>
      </w:pPr>
      <w:r>
        <w:rPr>
          <w:szCs w:val="20"/>
        </w:rPr>
        <w:t>TUWA</w:t>
      </w:r>
      <w:r w:rsidRPr="002B0D6B">
        <w:rPr>
          <w:szCs w:val="20"/>
        </w:rPr>
        <w:t xml:space="preserve"> procedures are intended to be delivered once per patient. However, </w:t>
      </w:r>
      <w:r w:rsidR="00903269">
        <w:rPr>
          <w:szCs w:val="20"/>
        </w:rPr>
        <w:t xml:space="preserve">it is acknowledged that </w:t>
      </w:r>
      <w:r w:rsidRPr="002B0D6B">
        <w:rPr>
          <w:szCs w:val="20"/>
        </w:rPr>
        <w:t xml:space="preserve">as with other BPH treatments </w:t>
      </w:r>
      <w:r>
        <w:rPr>
          <w:szCs w:val="20"/>
        </w:rPr>
        <w:t>TUWA</w:t>
      </w:r>
      <w:r w:rsidRPr="002B0D6B">
        <w:rPr>
          <w:szCs w:val="20"/>
        </w:rPr>
        <w:t xml:space="preserve"> </w:t>
      </w:r>
      <w:r>
        <w:rPr>
          <w:szCs w:val="20"/>
        </w:rPr>
        <w:t xml:space="preserve">is associated with a rate of </w:t>
      </w:r>
      <w:r w:rsidRPr="002B0D6B">
        <w:rPr>
          <w:szCs w:val="20"/>
        </w:rPr>
        <w:t xml:space="preserve">reintervention. </w:t>
      </w:r>
      <w:r w:rsidR="00903269">
        <w:rPr>
          <w:szCs w:val="20"/>
        </w:rPr>
        <w:t xml:space="preserve">A key </w:t>
      </w:r>
      <w:r>
        <w:rPr>
          <w:szCs w:val="20"/>
        </w:rPr>
        <w:t>TUWA</w:t>
      </w:r>
      <w:r w:rsidR="00903269">
        <w:rPr>
          <w:szCs w:val="20"/>
        </w:rPr>
        <w:t xml:space="preserve"> study</w:t>
      </w:r>
      <w:r w:rsidRPr="00CC72B9">
        <w:rPr>
          <w:szCs w:val="20"/>
        </w:rPr>
        <w:t>, a double-blinded sham control study (McVary 2017), reports a 3-year reintervention rate of 4.4%</w:t>
      </w:r>
      <w:r w:rsidR="006645C0">
        <w:rPr>
          <w:szCs w:val="20"/>
        </w:rPr>
        <w:t xml:space="preserve"> (6/135)</w:t>
      </w:r>
      <w:r w:rsidRPr="00CC72B9">
        <w:rPr>
          <w:szCs w:val="20"/>
        </w:rPr>
        <w:t xml:space="preserve"> across </w:t>
      </w:r>
      <w:r w:rsidR="00124E56">
        <w:rPr>
          <w:szCs w:val="20"/>
        </w:rPr>
        <w:t>135</w:t>
      </w:r>
      <w:r w:rsidRPr="00CC72B9">
        <w:rPr>
          <w:szCs w:val="20"/>
        </w:rPr>
        <w:t xml:space="preserve"> patients</w:t>
      </w:r>
      <w:r>
        <w:rPr>
          <w:szCs w:val="20"/>
        </w:rPr>
        <w:t xml:space="preserve">. </w:t>
      </w:r>
      <w:r w:rsidR="00903269">
        <w:rPr>
          <w:szCs w:val="20"/>
        </w:rPr>
        <w:t xml:space="preserve">As such, it is estimated that TUWA patients will require </w:t>
      </w:r>
      <w:r>
        <w:rPr>
          <w:szCs w:val="20"/>
        </w:rPr>
        <w:t>0.</w:t>
      </w:r>
      <w:r w:rsidR="00124E56">
        <w:rPr>
          <w:szCs w:val="20"/>
        </w:rPr>
        <w:t>0</w:t>
      </w:r>
      <w:r>
        <w:rPr>
          <w:szCs w:val="20"/>
        </w:rPr>
        <w:t>1</w:t>
      </w:r>
      <w:r w:rsidR="00124E56">
        <w:rPr>
          <w:szCs w:val="20"/>
        </w:rPr>
        <w:t>5</w:t>
      </w:r>
      <w:r>
        <w:rPr>
          <w:szCs w:val="20"/>
        </w:rPr>
        <w:t xml:space="preserve"> (4.4%/3) reinterventions per patient per year subsequent to a single primary TUWA procedure. </w:t>
      </w:r>
    </w:p>
    <w:p w14:paraId="5BC03BCD" w14:textId="700455B4" w:rsidR="008B3E4C" w:rsidRPr="00124E56" w:rsidRDefault="00420BF1" w:rsidP="008B3E4C">
      <w:pPr>
        <w:ind w:left="426"/>
        <w:rPr>
          <w:szCs w:val="20"/>
        </w:rPr>
      </w:pPr>
      <w:r>
        <w:rPr>
          <w:szCs w:val="20"/>
        </w:rPr>
        <w:t>For comparison, an overview of</w:t>
      </w:r>
      <w:r w:rsidR="008B3E4C">
        <w:rPr>
          <w:szCs w:val="20"/>
        </w:rPr>
        <w:t xml:space="preserve"> reintervention rates </w:t>
      </w:r>
      <w:r>
        <w:rPr>
          <w:szCs w:val="20"/>
        </w:rPr>
        <w:t>is</w:t>
      </w:r>
      <w:r w:rsidR="008B3E4C">
        <w:rPr>
          <w:szCs w:val="20"/>
        </w:rPr>
        <w:t xml:space="preserve"> reported for </w:t>
      </w:r>
      <w:r w:rsidR="004D49CB">
        <w:rPr>
          <w:szCs w:val="20"/>
        </w:rPr>
        <w:t>comparator</w:t>
      </w:r>
      <w:r w:rsidR="008B3E4C">
        <w:rPr>
          <w:szCs w:val="20"/>
        </w:rPr>
        <w:t xml:space="preserve"> procedures as </w:t>
      </w:r>
      <w:r w:rsidR="008B3E4C" w:rsidRPr="00124E56">
        <w:rPr>
          <w:szCs w:val="20"/>
        </w:rPr>
        <w:t xml:space="preserve">presented in </w:t>
      </w:r>
      <w:r w:rsidR="008B3E4C" w:rsidRPr="00124E56">
        <w:rPr>
          <w:szCs w:val="20"/>
        </w:rPr>
        <w:fldChar w:fldCharType="begin"/>
      </w:r>
      <w:r w:rsidR="008B3E4C" w:rsidRPr="00124E56">
        <w:rPr>
          <w:szCs w:val="20"/>
        </w:rPr>
        <w:instrText xml:space="preserve"> REF _Ref873278 \h  \* MERGEFORMAT </w:instrText>
      </w:r>
      <w:r w:rsidR="008B3E4C" w:rsidRPr="00124E56">
        <w:rPr>
          <w:szCs w:val="20"/>
        </w:rPr>
      </w:r>
      <w:r w:rsidR="008B3E4C" w:rsidRPr="00124E56">
        <w:rPr>
          <w:szCs w:val="20"/>
        </w:rPr>
        <w:fldChar w:fldCharType="separate"/>
      </w:r>
      <w:r w:rsidR="00C51F41" w:rsidRPr="00124E56">
        <w:t xml:space="preserve">Table </w:t>
      </w:r>
      <w:r w:rsidR="00C51F41">
        <w:rPr>
          <w:noProof/>
        </w:rPr>
        <w:t>3</w:t>
      </w:r>
      <w:r w:rsidR="008B3E4C" w:rsidRPr="00124E56">
        <w:rPr>
          <w:szCs w:val="20"/>
        </w:rPr>
        <w:fldChar w:fldCharType="end"/>
      </w:r>
      <w:r w:rsidR="00B87319" w:rsidRPr="00124E56">
        <w:rPr>
          <w:szCs w:val="20"/>
        </w:rPr>
        <w:t>.</w:t>
      </w:r>
    </w:p>
    <w:p w14:paraId="48E0B188" w14:textId="017F7141" w:rsidR="008B3E4C" w:rsidRPr="00124E56" w:rsidRDefault="008B3E4C" w:rsidP="008B3E4C">
      <w:pPr>
        <w:pStyle w:val="Caption"/>
      </w:pPr>
      <w:bookmarkStart w:id="13" w:name="_Ref873278"/>
      <w:r w:rsidRPr="00124E56">
        <w:t xml:space="preserve">Table </w:t>
      </w:r>
      <w:r w:rsidR="00066DDF">
        <w:rPr>
          <w:noProof/>
        </w:rPr>
        <w:fldChar w:fldCharType="begin"/>
      </w:r>
      <w:r w:rsidR="00066DDF">
        <w:rPr>
          <w:noProof/>
        </w:rPr>
        <w:instrText xml:space="preserve"> SEQ Table \* ARABIC </w:instrText>
      </w:r>
      <w:r w:rsidR="00066DDF">
        <w:rPr>
          <w:noProof/>
        </w:rPr>
        <w:fldChar w:fldCharType="separate"/>
      </w:r>
      <w:r w:rsidR="00C51F41">
        <w:rPr>
          <w:noProof/>
        </w:rPr>
        <w:t>3</w:t>
      </w:r>
      <w:r w:rsidR="00066DDF">
        <w:rPr>
          <w:noProof/>
        </w:rPr>
        <w:fldChar w:fldCharType="end"/>
      </w:r>
      <w:bookmarkEnd w:id="13"/>
      <w:r w:rsidRPr="00124E56">
        <w:tab/>
        <w:t>Reintervention rates due to adverse events</w:t>
      </w:r>
    </w:p>
    <w:tbl>
      <w:tblPr>
        <w:tblStyle w:val="TableGrid"/>
        <w:tblW w:w="0" w:type="auto"/>
        <w:tblInd w:w="426" w:type="dxa"/>
        <w:tblLook w:val="04A0" w:firstRow="1" w:lastRow="0" w:firstColumn="1" w:lastColumn="0" w:noHBand="0" w:noVBand="1"/>
        <w:tblCaption w:val="Table"/>
        <w:tblDescription w:val="Table 3"/>
      </w:tblPr>
      <w:tblGrid>
        <w:gridCol w:w="1270"/>
        <w:gridCol w:w="1559"/>
        <w:gridCol w:w="1559"/>
        <w:gridCol w:w="1560"/>
        <w:gridCol w:w="2642"/>
      </w:tblGrid>
      <w:tr w:rsidR="008B3E4C" w:rsidRPr="00124E56" w14:paraId="5C9658BD"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1270" w:type="dxa"/>
          </w:tcPr>
          <w:p w14:paraId="6F078AA4" w14:textId="4B7736B3" w:rsidR="008B3E4C" w:rsidRPr="00124E56" w:rsidRDefault="00EE2F29" w:rsidP="008B3E4C">
            <w:pPr>
              <w:pStyle w:val="Tabletext"/>
            </w:pPr>
            <w:r>
              <w:t>Treatment</w:t>
            </w:r>
          </w:p>
        </w:tc>
        <w:tc>
          <w:tcPr>
            <w:tcW w:w="1559" w:type="dxa"/>
          </w:tcPr>
          <w:p w14:paraId="0F5EA66C" w14:textId="77777777" w:rsidR="008B3E4C" w:rsidRPr="00124E56" w:rsidRDefault="008B3E4C" w:rsidP="008B3E4C">
            <w:pPr>
              <w:pStyle w:val="Tabletext"/>
            </w:pPr>
            <w:r w:rsidRPr="00124E56">
              <w:t>1 year</w:t>
            </w:r>
          </w:p>
        </w:tc>
        <w:tc>
          <w:tcPr>
            <w:tcW w:w="1559" w:type="dxa"/>
          </w:tcPr>
          <w:p w14:paraId="3D2345FE" w14:textId="77777777" w:rsidR="008B3E4C" w:rsidRPr="00124E56" w:rsidRDefault="008B3E4C" w:rsidP="008B3E4C">
            <w:pPr>
              <w:pStyle w:val="Tabletext"/>
            </w:pPr>
            <w:r w:rsidRPr="00124E56">
              <w:t>3 years</w:t>
            </w:r>
          </w:p>
        </w:tc>
        <w:tc>
          <w:tcPr>
            <w:tcW w:w="1560" w:type="dxa"/>
          </w:tcPr>
          <w:p w14:paraId="0D40E310" w14:textId="77777777" w:rsidR="008B3E4C" w:rsidRPr="00124E56" w:rsidRDefault="008B3E4C" w:rsidP="008B3E4C">
            <w:pPr>
              <w:pStyle w:val="Tabletext"/>
            </w:pPr>
            <w:r w:rsidRPr="00124E56">
              <w:t>5 years</w:t>
            </w:r>
          </w:p>
        </w:tc>
        <w:tc>
          <w:tcPr>
            <w:tcW w:w="2642" w:type="dxa"/>
          </w:tcPr>
          <w:p w14:paraId="0D53A2B9" w14:textId="77777777" w:rsidR="008B3E4C" w:rsidRPr="00124E56" w:rsidRDefault="008B3E4C" w:rsidP="008B3E4C">
            <w:pPr>
              <w:pStyle w:val="Tabletext"/>
            </w:pPr>
            <w:r w:rsidRPr="00124E56">
              <w:t>Source</w:t>
            </w:r>
          </w:p>
        </w:tc>
      </w:tr>
      <w:tr w:rsidR="008B3E4C" w:rsidRPr="00124E56" w14:paraId="49A86E74" w14:textId="77777777" w:rsidTr="00EE2F29">
        <w:tc>
          <w:tcPr>
            <w:tcW w:w="1270" w:type="dxa"/>
          </w:tcPr>
          <w:p w14:paraId="0ED73A15" w14:textId="77777777" w:rsidR="008B3E4C" w:rsidRPr="00124E56" w:rsidRDefault="008B3E4C" w:rsidP="008B3E4C">
            <w:pPr>
              <w:pStyle w:val="Tabletext"/>
            </w:pPr>
            <w:r w:rsidRPr="00124E56">
              <w:t>TUWA</w:t>
            </w:r>
          </w:p>
        </w:tc>
        <w:tc>
          <w:tcPr>
            <w:tcW w:w="1559" w:type="dxa"/>
          </w:tcPr>
          <w:p w14:paraId="71DBEEEC" w14:textId="77777777" w:rsidR="008B3E4C" w:rsidRPr="00124E56" w:rsidRDefault="008B3E4C" w:rsidP="008B3E4C">
            <w:pPr>
              <w:pStyle w:val="Tabletext"/>
            </w:pPr>
          </w:p>
        </w:tc>
        <w:tc>
          <w:tcPr>
            <w:tcW w:w="1559" w:type="dxa"/>
          </w:tcPr>
          <w:p w14:paraId="1D69D5E3" w14:textId="77777777" w:rsidR="008B3E4C" w:rsidRPr="00124E56" w:rsidRDefault="008B3E4C" w:rsidP="008B3E4C">
            <w:pPr>
              <w:pStyle w:val="Tabletext"/>
            </w:pPr>
            <w:r w:rsidRPr="00124E56">
              <w:t>4.4%</w:t>
            </w:r>
          </w:p>
        </w:tc>
        <w:tc>
          <w:tcPr>
            <w:tcW w:w="1560" w:type="dxa"/>
          </w:tcPr>
          <w:p w14:paraId="003F2C93" w14:textId="77777777" w:rsidR="008B3E4C" w:rsidRPr="00124E56" w:rsidRDefault="008B3E4C" w:rsidP="008B3E4C">
            <w:pPr>
              <w:pStyle w:val="Tabletext"/>
            </w:pPr>
          </w:p>
        </w:tc>
        <w:tc>
          <w:tcPr>
            <w:tcW w:w="2642" w:type="dxa"/>
          </w:tcPr>
          <w:p w14:paraId="129DC558" w14:textId="77777777" w:rsidR="008B3E4C" w:rsidRPr="00124E56" w:rsidRDefault="008B3E4C" w:rsidP="008B3E4C">
            <w:pPr>
              <w:pStyle w:val="Tabletext"/>
            </w:pPr>
            <w:r w:rsidRPr="00124E56">
              <w:t>McVary 2017</w:t>
            </w:r>
          </w:p>
        </w:tc>
      </w:tr>
      <w:tr w:rsidR="008B3E4C" w:rsidRPr="00124E56" w14:paraId="58E1CE2C" w14:textId="77777777" w:rsidTr="00EE2F29">
        <w:tc>
          <w:tcPr>
            <w:tcW w:w="1270" w:type="dxa"/>
          </w:tcPr>
          <w:p w14:paraId="5DA223CC" w14:textId="7236BC6D" w:rsidR="008B3E4C" w:rsidRPr="00124E56" w:rsidRDefault="008B3E4C" w:rsidP="008B3E4C">
            <w:pPr>
              <w:pStyle w:val="Tabletext"/>
            </w:pPr>
            <w:r w:rsidRPr="00124E56">
              <w:t>PUL</w:t>
            </w:r>
          </w:p>
        </w:tc>
        <w:tc>
          <w:tcPr>
            <w:tcW w:w="1559" w:type="dxa"/>
          </w:tcPr>
          <w:p w14:paraId="30443C5A" w14:textId="3C53F03B" w:rsidR="008B3E4C" w:rsidRPr="00124E56" w:rsidRDefault="008B3E4C" w:rsidP="008B3E4C">
            <w:pPr>
              <w:pStyle w:val="Tabletext"/>
            </w:pPr>
            <w:r w:rsidRPr="00124E56">
              <w:t>5.0</w:t>
            </w:r>
            <w:r w:rsidR="00124E56" w:rsidRPr="00124E56">
              <w:t>% [</w:t>
            </w:r>
            <w:r w:rsidR="0006436D" w:rsidRPr="00124E56">
              <w:t>6.8</w:t>
            </w:r>
            <w:r w:rsidRPr="00124E56">
              <w:t>%</w:t>
            </w:r>
            <w:r w:rsidR="00124E56" w:rsidRPr="00124E56">
              <w:t>]</w:t>
            </w:r>
          </w:p>
        </w:tc>
        <w:tc>
          <w:tcPr>
            <w:tcW w:w="1559" w:type="dxa"/>
          </w:tcPr>
          <w:p w14:paraId="44CC0A1C" w14:textId="77777777" w:rsidR="008B3E4C" w:rsidRPr="00124E56" w:rsidRDefault="008B3E4C" w:rsidP="008B3E4C">
            <w:pPr>
              <w:pStyle w:val="Tabletext"/>
            </w:pPr>
            <w:r w:rsidRPr="00124E56">
              <w:t xml:space="preserve">10.7% </w:t>
            </w:r>
          </w:p>
        </w:tc>
        <w:tc>
          <w:tcPr>
            <w:tcW w:w="1560" w:type="dxa"/>
          </w:tcPr>
          <w:p w14:paraId="62AC9D9A" w14:textId="77777777" w:rsidR="008B3E4C" w:rsidRPr="00124E56" w:rsidRDefault="008B3E4C" w:rsidP="008B3E4C">
            <w:pPr>
              <w:pStyle w:val="Tabletext"/>
            </w:pPr>
            <w:r w:rsidRPr="00124E56">
              <w:t>13.6%</w:t>
            </w:r>
          </w:p>
        </w:tc>
        <w:tc>
          <w:tcPr>
            <w:tcW w:w="2642" w:type="dxa"/>
          </w:tcPr>
          <w:p w14:paraId="1326F716" w14:textId="7FD9D1B9" w:rsidR="008B3E4C" w:rsidRPr="00124E56" w:rsidRDefault="00124E56" w:rsidP="008B3E4C">
            <w:pPr>
              <w:pStyle w:val="Tabletext"/>
            </w:pPr>
            <w:r w:rsidRPr="00124E56">
              <w:t>Roehrborn 2017 [</w:t>
            </w:r>
            <w:r w:rsidR="0006436D" w:rsidRPr="00124E56">
              <w:t>Sonksen 2015</w:t>
            </w:r>
            <w:r w:rsidRPr="00124E56">
              <w:t>]</w:t>
            </w:r>
            <w:r w:rsidR="0006436D" w:rsidRPr="00124E56">
              <w:t xml:space="preserve"> </w:t>
            </w:r>
          </w:p>
        </w:tc>
      </w:tr>
      <w:tr w:rsidR="008B3E4C" w:rsidRPr="004170CB" w14:paraId="34092696" w14:textId="77777777" w:rsidTr="00EE2F29">
        <w:tc>
          <w:tcPr>
            <w:tcW w:w="1270" w:type="dxa"/>
          </w:tcPr>
          <w:p w14:paraId="69AF5D40" w14:textId="77777777" w:rsidR="008B3E4C" w:rsidRPr="00124E56" w:rsidRDefault="008B3E4C" w:rsidP="008B3E4C">
            <w:pPr>
              <w:pStyle w:val="Tabletext"/>
            </w:pPr>
            <w:r w:rsidRPr="00124E56">
              <w:t>TURP</w:t>
            </w:r>
          </w:p>
        </w:tc>
        <w:tc>
          <w:tcPr>
            <w:tcW w:w="1559" w:type="dxa"/>
          </w:tcPr>
          <w:p w14:paraId="07995657" w14:textId="24EFD892" w:rsidR="008B3E4C" w:rsidRPr="00124E56" w:rsidRDefault="00124E56" w:rsidP="008B3E4C">
            <w:pPr>
              <w:pStyle w:val="Tabletext"/>
            </w:pPr>
            <w:r w:rsidRPr="00124E56">
              <w:t>[</w:t>
            </w:r>
            <w:r w:rsidR="0006436D" w:rsidRPr="00124E56">
              <w:t>14.3%</w:t>
            </w:r>
            <w:r w:rsidRPr="00124E56">
              <w:t>]</w:t>
            </w:r>
          </w:p>
        </w:tc>
        <w:tc>
          <w:tcPr>
            <w:tcW w:w="1559" w:type="dxa"/>
          </w:tcPr>
          <w:p w14:paraId="20920546" w14:textId="77777777" w:rsidR="008B3E4C" w:rsidRPr="00124E56" w:rsidRDefault="008B3E4C" w:rsidP="008B3E4C">
            <w:pPr>
              <w:pStyle w:val="Tabletext"/>
            </w:pPr>
          </w:p>
        </w:tc>
        <w:tc>
          <w:tcPr>
            <w:tcW w:w="1560" w:type="dxa"/>
          </w:tcPr>
          <w:p w14:paraId="1CE114B7" w14:textId="77777777" w:rsidR="008B3E4C" w:rsidRPr="00124E56" w:rsidRDefault="008B3E4C" w:rsidP="008B3E4C">
            <w:pPr>
              <w:pStyle w:val="Tabletext"/>
            </w:pPr>
            <w:r w:rsidRPr="00124E56">
              <w:t>5.8%-7.0%</w:t>
            </w:r>
          </w:p>
        </w:tc>
        <w:tc>
          <w:tcPr>
            <w:tcW w:w="2642" w:type="dxa"/>
          </w:tcPr>
          <w:p w14:paraId="01E4727F" w14:textId="32FF37C5" w:rsidR="008B3E4C" w:rsidRPr="00124E56" w:rsidRDefault="00124E56" w:rsidP="008B3E4C">
            <w:pPr>
              <w:pStyle w:val="Tabletext"/>
            </w:pPr>
            <w:r w:rsidRPr="00124E56">
              <w:t>Roehrborn 2017 [</w:t>
            </w:r>
            <w:r w:rsidR="0006436D" w:rsidRPr="00124E56">
              <w:t>Sonksen 2015</w:t>
            </w:r>
            <w:r w:rsidRPr="00124E56">
              <w:t>]</w:t>
            </w:r>
            <w:r w:rsidR="0006436D" w:rsidRPr="00124E56">
              <w:t xml:space="preserve"> </w:t>
            </w:r>
          </w:p>
        </w:tc>
      </w:tr>
    </w:tbl>
    <w:p w14:paraId="123338EA" w14:textId="1CC87FBD" w:rsidR="008B3E4C" w:rsidRPr="00C95382" w:rsidRDefault="0006436D" w:rsidP="008B3E4C">
      <w:pPr>
        <w:pStyle w:val="Tablenotes"/>
      </w:pPr>
      <w:r>
        <w:t xml:space="preserve">Abbreviations: </w:t>
      </w:r>
      <w:r w:rsidR="00124E56">
        <w:t xml:space="preserve">PUL, </w:t>
      </w:r>
      <w:r w:rsidR="00124E56" w:rsidRPr="00124E56">
        <w:t>prostatic urethral lift</w:t>
      </w:r>
      <w:r w:rsidR="00124E56">
        <w:t>; TURP, transurethral resection of the prostate; TUWA, t</w:t>
      </w:r>
      <w:r w:rsidR="00124E56" w:rsidRPr="00124E56">
        <w:t>ransurethral water vapour ablation</w:t>
      </w:r>
    </w:p>
    <w:p w14:paraId="492A1FD9" w14:textId="5C0EAD7E" w:rsidR="00382407" w:rsidRPr="00154B00" w:rsidRDefault="00382407" w:rsidP="00AE1188">
      <w:pPr>
        <w:ind w:left="426"/>
        <w:rPr>
          <w:szCs w:val="20"/>
        </w:rPr>
      </w:pPr>
    </w:p>
    <w:p w14:paraId="7014AA49"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3D5A648" w14:textId="3A3B67D8" w:rsidR="00382407" w:rsidRPr="008B3E4C" w:rsidRDefault="008B3E4C" w:rsidP="008B3E4C">
      <w:pPr>
        <w:ind w:left="425"/>
      </w:pPr>
      <w:r w:rsidRPr="00661B62">
        <w:t>As per question 47, only one procedure per patient is expected.</w:t>
      </w:r>
    </w:p>
    <w:p w14:paraId="16590A6D"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36A3D8DF" w14:textId="1EFF046D" w:rsidR="008B3E4C" w:rsidRDefault="008B3E4C" w:rsidP="008B3E4C">
      <w:pPr>
        <w:ind w:left="426"/>
        <w:rPr>
          <w:szCs w:val="20"/>
        </w:rPr>
      </w:pPr>
      <w:r>
        <w:rPr>
          <w:szCs w:val="20"/>
        </w:rPr>
        <w:t>A market share approach is employed in estimating the potential utilisation of TUWA in the first year of MBS listing (based on 2020 listing). Considering a market including MBS items 37200 (open prostatectomy - OP), 37201 (TUNA), 37203 (TURP), 37207 (PVP), 37230 (TUMT) and 37245 (HoLEP)</w:t>
      </w:r>
      <w:r w:rsidR="00C43214">
        <w:rPr>
          <w:szCs w:val="20"/>
        </w:rPr>
        <w:t>,</w:t>
      </w:r>
      <w:r>
        <w:rPr>
          <w:szCs w:val="20"/>
        </w:rPr>
        <w:t xml:space="preserve"> the BPH intervention market is estimated to have included 14,785 procedures in 2017. </w:t>
      </w:r>
    </w:p>
    <w:p w14:paraId="46C3BE6D" w14:textId="0187ACED" w:rsidR="008B3E4C" w:rsidRDefault="008B3E4C" w:rsidP="008B3E4C">
      <w:pPr>
        <w:pStyle w:val="Caption"/>
      </w:pPr>
      <w:r>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4</w:t>
      </w:r>
      <w:r w:rsidR="00420BF1">
        <w:rPr>
          <w:noProof/>
        </w:rPr>
        <w:fldChar w:fldCharType="end"/>
      </w:r>
      <w:r>
        <w:tab/>
        <w:t>Utilisation of BPH procedures listed on the MBS in 2017</w:t>
      </w:r>
    </w:p>
    <w:tbl>
      <w:tblPr>
        <w:tblStyle w:val="TableGrid"/>
        <w:tblW w:w="0" w:type="auto"/>
        <w:tblInd w:w="426" w:type="dxa"/>
        <w:tblLook w:val="04A0" w:firstRow="1" w:lastRow="0" w:firstColumn="1" w:lastColumn="0" w:noHBand="0" w:noVBand="1"/>
        <w:tblCaption w:val="Table"/>
        <w:tblDescription w:val="Table 4"/>
      </w:tblPr>
      <w:tblGrid>
        <w:gridCol w:w="1423"/>
        <w:gridCol w:w="996"/>
        <w:gridCol w:w="1061"/>
        <w:gridCol w:w="1047"/>
        <w:gridCol w:w="1018"/>
        <w:gridCol w:w="938"/>
        <w:gridCol w:w="1066"/>
        <w:gridCol w:w="1041"/>
      </w:tblGrid>
      <w:tr w:rsidR="008B3E4C" w:rsidRPr="00C95382" w14:paraId="2FB8C11B"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1423" w:type="dxa"/>
          </w:tcPr>
          <w:p w14:paraId="5E6D2626" w14:textId="77777777" w:rsidR="008B3E4C" w:rsidRPr="00C95382" w:rsidRDefault="008B3E4C" w:rsidP="008B3E4C">
            <w:pPr>
              <w:pStyle w:val="Tabletext"/>
            </w:pPr>
          </w:p>
        </w:tc>
        <w:tc>
          <w:tcPr>
            <w:tcW w:w="996" w:type="dxa"/>
          </w:tcPr>
          <w:p w14:paraId="1C5D75BF" w14:textId="77777777" w:rsidR="008B3E4C" w:rsidRPr="00C95382" w:rsidRDefault="008B3E4C" w:rsidP="008B3E4C">
            <w:pPr>
              <w:pStyle w:val="Tabletext"/>
            </w:pPr>
            <w:r w:rsidRPr="00C95382">
              <w:t>OP</w:t>
            </w:r>
          </w:p>
        </w:tc>
        <w:tc>
          <w:tcPr>
            <w:tcW w:w="1061" w:type="dxa"/>
          </w:tcPr>
          <w:p w14:paraId="487AD01E" w14:textId="77777777" w:rsidR="008B3E4C" w:rsidRPr="00C95382" w:rsidRDefault="008B3E4C" w:rsidP="008B3E4C">
            <w:pPr>
              <w:pStyle w:val="Tabletext"/>
            </w:pPr>
            <w:r w:rsidRPr="00C95382">
              <w:t>TUNA</w:t>
            </w:r>
          </w:p>
        </w:tc>
        <w:tc>
          <w:tcPr>
            <w:tcW w:w="1047" w:type="dxa"/>
          </w:tcPr>
          <w:p w14:paraId="2A8EDD6D" w14:textId="77777777" w:rsidR="008B3E4C" w:rsidRPr="00C95382" w:rsidRDefault="008B3E4C" w:rsidP="008B3E4C">
            <w:pPr>
              <w:pStyle w:val="Tabletext"/>
            </w:pPr>
            <w:r w:rsidRPr="00C95382">
              <w:t>TURP</w:t>
            </w:r>
          </w:p>
        </w:tc>
        <w:tc>
          <w:tcPr>
            <w:tcW w:w="1018" w:type="dxa"/>
          </w:tcPr>
          <w:p w14:paraId="45D15FDC" w14:textId="77777777" w:rsidR="008B3E4C" w:rsidRPr="00C95382" w:rsidRDefault="008B3E4C" w:rsidP="008B3E4C">
            <w:pPr>
              <w:pStyle w:val="Tabletext"/>
            </w:pPr>
            <w:r w:rsidRPr="00C95382">
              <w:t>PVP</w:t>
            </w:r>
          </w:p>
        </w:tc>
        <w:tc>
          <w:tcPr>
            <w:tcW w:w="938" w:type="dxa"/>
          </w:tcPr>
          <w:p w14:paraId="0C575CC8" w14:textId="77777777" w:rsidR="008B3E4C" w:rsidRPr="00C95382" w:rsidRDefault="008B3E4C" w:rsidP="008B3E4C">
            <w:pPr>
              <w:pStyle w:val="Tabletext"/>
            </w:pPr>
            <w:r w:rsidRPr="00C95382">
              <w:t>TUMT</w:t>
            </w:r>
          </w:p>
        </w:tc>
        <w:tc>
          <w:tcPr>
            <w:tcW w:w="1066" w:type="dxa"/>
          </w:tcPr>
          <w:p w14:paraId="0E8F20AD" w14:textId="77777777" w:rsidR="008B3E4C" w:rsidRPr="00C95382" w:rsidRDefault="008B3E4C" w:rsidP="008B3E4C">
            <w:pPr>
              <w:pStyle w:val="Tabletext"/>
            </w:pPr>
            <w:r w:rsidRPr="00C95382">
              <w:t>HoLEP</w:t>
            </w:r>
          </w:p>
        </w:tc>
        <w:tc>
          <w:tcPr>
            <w:tcW w:w="1041" w:type="dxa"/>
          </w:tcPr>
          <w:p w14:paraId="23E55348" w14:textId="77777777" w:rsidR="008B3E4C" w:rsidRPr="00C95382" w:rsidRDefault="008B3E4C" w:rsidP="008B3E4C">
            <w:pPr>
              <w:pStyle w:val="Tabletext"/>
            </w:pPr>
            <w:r w:rsidRPr="00C95382">
              <w:t>Total</w:t>
            </w:r>
          </w:p>
        </w:tc>
      </w:tr>
      <w:tr w:rsidR="008B3E4C" w:rsidRPr="00C95382" w14:paraId="75C06C81" w14:textId="77777777" w:rsidTr="008B3E4C">
        <w:tc>
          <w:tcPr>
            <w:tcW w:w="1423" w:type="dxa"/>
          </w:tcPr>
          <w:p w14:paraId="5DD4FB61" w14:textId="77777777" w:rsidR="008B3E4C" w:rsidRPr="00C95382" w:rsidRDefault="008B3E4C" w:rsidP="008B3E4C">
            <w:pPr>
              <w:pStyle w:val="Tabletext"/>
            </w:pPr>
            <w:r w:rsidRPr="00C95382">
              <w:t>MBS utilisation</w:t>
            </w:r>
          </w:p>
        </w:tc>
        <w:tc>
          <w:tcPr>
            <w:tcW w:w="996" w:type="dxa"/>
          </w:tcPr>
          <w:p w14:paraId="4EBC9885" w14:textId="77777777" w:rsidR="008B3E4C" w:rsidRPr="00C95382" w:rsidRDefault="008B3E4C" w:rsidP="008B3E4C">
            <w:pPr>
              <w:pStyle w:val="Tabletext"/>
            </w:pPr>
            <w:r w:rsidRPr="0095050C">
              <w:t>110</w:t>
            </w:r>
          </w:p>
        </w:tc>
        <w:tc>
          <w:tcPr>
            <w:tcW w:w="1061" w:type="dxa"/>
          </w:tcPr>
          <w:p w14:paraId="34340FD1" w14:textId="77777777" w:rsidR="008B3E4C" w:rsidRPr="00C95382" w:rsidRDefault="008B3E4C" w:rsidP="008B3E4C">
            <w:pPr>
              <w:pStyle w:val="Tabletext"/>
            </w:pPr>
            <w:r w:rsidRPr="0095050C">
              <w:t>4</w:t>
            </w:r>
          </w:p>
        </w:tc>
        <w:tc>
          <w:tcPr>
            <w:tcW w:w="1047" w:type="dxa"/>
          </w:tcPr>
          <w:p w14:paraId="4C4F952C" w14:textId="77777777" w:rsidR="008B3E4C" w:rsidRPr="00C95382" w:rsidRDefault="008B3E4C" w:rsidP="008B3E4C">
            <w:pPr>
              <w:pStyle w:val="Tabletext"/>
            </w:pPr>
            <w:r w:rsidRPr="0095050C">
              <w:t>11,266</w:t>
            </w:r>
          </w:p>
        </w:tc>
        <w:tc>
          <w:tcPr>
            <w:tcW w:w="1018" w:type="dxa"/>
          </w:tcPr>
          <w:p w14:paraId="241AA76E" w14:textId="77777777" w:rsidR="008B3E4C" w:rsidRPr="00C95382" w:rsidRDefault="008B3E4C" w:rsidP="008B3E4C">
            <w:pPr>
              <w:pStyle w:val="Tabletext"/>
            </w:pPr>
            <w:r w:rsidRPr="0095050C">
              <w:t>2,466</w:t>
            </w:r>
          </w:p>
        </w:tc>
        <w:tc>
          <w:tcPr>
            <w:tcW w:w="938" w:type="dxa"/>
          </w:tcPr>
          <w:p w14:paraId="2D95F6C3" w14:textId="77777777" w:rsidR="008B3E4C" w:rsidRPr="00C95382" w:rsidRDefault="008B3E4C" w:rsidP="008B3E4C">
            <w:pPr>
              <w:pStyle w:val="Tabletext"/>
            </w:pPr>
            <w:r w:rsidRPr="0095050C">
              <w:t>2</w:t>
            </w:r>
          </w:p>
        </w:tc>
        <w:tc>
          <w:tcPr>
            <w:tcW w:w="1066" w:type="dxa"/>
          </w:tcPr>
          <w:p w14:paraId="6D285B79" w14:textId="77777777" w:rsidR="008B3E4C" w:rsidRPr="00C95382" w:rsidRDefault="008B3E4C" w:rsidP="008B3E4C">
            <w:pPr>
              <w:pStyle w:val="Tabletext"/>
            </w:pPr>
            <w:r w:rsidRPr="0095050C">
              <w:t>937</w:t>
            </w:r>
          </w:p>
        </w:tc>
        <w:tc>
          <w:tcPr>
            <w:tcW w:w="1041" w:type="dxa"/>
          </w:tcPr>
          <w:p w14:paraId="404A197B" w14:textId="77777777" w:rsidR="008B3E4C" w:rsidRPr="00C95382" w:rsidRDefault="008B3E4C" w:rsidP="008B3E4C">
            <w:pPr>
              <w:pStyle w:val="Tabletext"/>
            </w:pPr>
            <w:r w:rsidRPr="0095050C">
              <w:t>14,785</w:t>
            </w:r>
          </w:p>
        </w:tc>
      </w:tr>
    </w:tbl>
    <w:p w14:paraId="720F957C" w14:textId="77777777" w:rsidR="008B3E4C" w:rsidRDefault="008B3E4C" w:rsidP="008B3E4C">
      <w:pPr>
        <w:pStyle w:val="Tablenotes"/>
      </w:pPr>
    </w:p>
    <w:p w14:paraId="5AE6A35E" w14:textId="1748E61E" w:rsidR="008B3E4C" w:rsidRDefault="008B3E4C" w:rsidP="008B3E4C">
      <w:pPr>
        <w:ind w:left="425"/>
      </w:pPr>
      <w:r w:rsidRPr="006B5C4B">
        <w:t xml:space="preserve">Applying a linear trendline and extrapolating market services, as illustrated in </w:t>
      </w:r>
      <w:r>
        <w:fldChar w:fldCharType="begin"/>
      </w:r>
      <w:r>
        <w:instrText xml:space="preserve"> REF _Ref880290 \h </w:instrText>
      </w:r>
      <w:r>
        <w:fldChar w:fldCharType="separate"/>
      </w:r>
      <w:r w:rsidR="00C51F41">
        <w:t xml:space="preserve">Figure </w:t>
      </w:r>
      <w:r w:rsidR="00C51F41">
        <w:rPr>
          <w:noProof/>
        </w:rPr>
        <w:t>6</w:t>
      </w:r>
      <w:r>
        <w:fldChar w:fldCharType="end"/>
      </w:r>
      <w:r w:rsidRPr="006B5C4B">
        <w:t xml:space="preserve">, results in an estimated </w:t>
      </w:r>
      <w:r>
        <w:t xml:space="preserve">BPH </w:t>
      </w:r>
      <w:r w:rsidRPr="006B5C4B">
        <w:t xml:space="preserve">market size of </w:t>
      </w:r>
      <w:r>
        <w:t>15,333</w:t>
      </w:r>
      <w:r w:rsidRPr="006B5C4B">
        <w:t xml:space="preserve"> in </w:t>
      </w:r>
      <w:r>
        <w:t>2020</w:t>
      </w:r>
      <w:r w:rsidRPr="006B5C4B">
        <w:t>.</w:t>
      </w:r>
    </w:p>
    <w:p w14:paraId="5D162796" w14:textId="109D5974" w:rsidR="008B3E4C" w:rsidRDefault="00B87319" w:rsidP="008B3E4C">
      <w:pPr>
        <w:keepNext/>
        <w:ind w:left="425"/>
      </w:pPr>
      <w:r>
        <w:rPr>
          <w:noProof/>
          <w:lang w:eastAsia="en-AU"/>
        </w:rPr>
        <w:lastRenderedPageBreak/>
        <w:drawing>
          <wp:inline distT="0" distB="0" distL="0" distR="0" wp14:anchorId="61D0D8CC" wp14:editId="7EC95A1E">
            <wp:extent cx="5072380" cy="2475230"/>
            <wp:effectExtent l="0" t="0" r="0" b="1270"/>
            <wp:docPr id="9" name="Picture 9" descr="Figure 7"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2380" cy="2475230"/>
                    </a:xfrm>
                    <a:prstGeom prst="rect">
                      <a:avLst/>
                    </a:prstGeom>
                    <a:noFill/>
                  </pic:spPr>
                </pic:pic>
              </a:graphicData>
            </a:graphic>
          </wp:inline>
        </w:drawing>
      </w:r>
    </w:p>
    <w:p w14:paraId="35F9888C" w14:textId="4399A4E9" w:rsidR="008B3E4C" w:rsidRDefault="008B3E4C" w:rsidP="008B3E4C">
      <w:pPr>
        <w:pStyle w:val="Caption"/>
      </w:pPr>
      <w:bookmarkStart w:id="14" w:name="_Ref880290"/>
      <w:r>
        <w:t xml:space="preserve">Figure </w:t>
      </w:r>
      <w:r w:rsidR="00420BF1">
        <w:rPr>
          <w:noProof/>
        </w:rPr>
        <w:fldChar w:fldCharType="begin"/>
      </w:r>
      <w:r w:rsidR="00420BF1">
        <w:rPr>
          <w:noProof/>
        </w:rPr>
        <w:instrText xml:space="preserve"> SEQ Figure \* ARABIC </w:instrText>
      </w:r>
      <w:r w:rsidR="00420BF1">
        <w:rPr>
          <w:noProof/>
        </w:rPr>
        <w:fldChar w:fldCharType="separate"/>
      </w:r>
      <w:r w:rsidR="00C51F41">
        <w:rPr>
          <w:noProof/>
        </w:rPr>
        <w:t>6</w:t>
      </w:r>
      <w:r w:rsidR="00420BF1">
        <w:rPr>
          <w:noProof/>
        </w:rPr>
        <w:fldChar w:fldCharType="end"/>
      </w:r>
      <w:bookmarkEnd w:id="14"/>
      <w:r>
        <w:tab/>
      </w:r>
      <w:r w:rsidR="00B87319">
        <w:t xml:space="preserve">Linear extrapolation of historical utilisation of BPH procedures on the MBS </w:t>
      </w:r>
    </w:p>
    <w:p w14:paraId="40F841A5" w14:textId="77777777" w:rsidR="008B3E4C" w:rsidRDefault="008B3E4C" w:rsidP="008B3E4C">
      <w:pPr>
        <w:pStyle w:val="Tablenotes"/>
      </w:pPr>
    </w:p>
    <w:p w14:paraId="0EFB282B" w14:textId="7C2B3920" w:rsidR="008B3E4C" w:rsidRDefault="008B3E4C" w:rsidP="008B3E4C">
      <w:pPr>
        <w:ind w:left="425"/>
        <w:rPr>
          <w:szCs w:val="20"/>
        </w:rPr>
      </w:pPr>
      <w:r>
        <w:rPr>
          <w:szCs w:val="20"/>
        </w:rPr>
        <w:t>It is noted that this does not include PUL (</w:t>
      </w:r>
      <w:r w:rsidR="00B87319">
        <w:rPr>
          <w:szCs w:val="20"/>
        </w:rPr>
        <w:t>UroLift</w:t>
      </w:r>
      <w:r>
        <w:rPr>
          <w:szCs w:val="20"/>
        </w:rPr>
        <w:t xml:space="preserve">) procedures as there is currently no MBS item specific to PUL in BPH. As outlined in Question </w:t>
      </w:r>
      <w:r w:rsidR="0006436D">
        <w:rPr>
          <w:szCs w:val="20"/>
        </w:rPr>
        <w:t>38</w:t>
      </w:r>
      <w:r>
        <w:rPr>
          <w:szCs w:val="20"/>
        </w:rPr>
        <w:t xml:space="preserve">, KoL advice indicates that current PUL utilisation is likely claimed under item 36811, for cystoscopy with insertion of urethral prosthesis. </w:t>
      </w:r>
      <w:r w:rsidR="00C20D5A">
        <w:rPr>
          <w:szCs w:val="20"/>
        </w:rPr>
        <w:t xml:space="preserve">As presented in </w:t>
      </w:r>
      <w:r w:rsidR="00C20D5A">
        <w:rPr>
          <w:szCs w:val="20"/>
        </w:rPr>
        <w:fldChar w:fldCharType="begin"/>
      </w:r>
      <w:r w:rsidR="00C20D5A">
        <w:rPr>
          <w:szCs w:val="20"/>
        </w:rPr>
        <w:instrText xml:space="preserve"> REF _Ref1115621 \h </w:instrText>
      </w:r>
      <w:r w:rsidR="00C20D5A">
        <w:rPr>
          <w:szCs w:val="20"/>
        </w:rPr>
      </w:r>
      <w:r w:rsidR="00C20D5A">
        <w:rPr>
          <w:szCs w:val="20"/>
        </w:rPr>
        <w:fldChar w:fldCharType="separate"/>
      </w:r>
      <w:r w:rsidR="00C51F41">
        <w:t xml:space="preserve">Figure </w:t>
      </w:r>
      <w:r w:rsidR="00C51F41">
        <w:rPr>
          <w:noProof/>
        </w:rPr>
        <w:t>7</w:t>
      </w:r>
      <w:r w:rsidR="00C20D5A">
        <w:rPr>
          <w:szCs w:val="20"/>
        </w:rPr>
        <w:fldChar w:fldCharType="end"/>
      </w:r>
      <w:r w:rsidR="00C20D5A">
        <w:rPr>
          <w:szCs w:val="20"/>
        </w:rPr>
        <w:t>, h</w:t>
      </w:r>
      <w:r w:rsidR="00C20D5A">
        <w:t>istorically between 2000 and 2011 the number of cystoscopies accessed via the MBS ha</w:t>
      </w:r>
      <w:r w:rsidR="00C42FBF">
        <w:t>d</w:t>
      </w:r>
      <w:r w:rsidR="00C20D5A">
        <w:t xml:space="preserve"> remained </w:t>
      </w:r>
      <w:r w:rsidR="004D5399">
        <w:t xml:space="preserve">steady </w:t>
      </w:r>
      <w:r w:rsidR="00C20D5A">
        <w:t xml:space="preserve">between </w:t>
      </w:r>
      <w:r w:rsidR="00C20D5A" w:rsidRPr="00B87319">
        <w:t xml:space="preserve">41 and 92 </w:t>
      </w:r>
      <w:r w:rsidR="004D5399">
        <w:t>procedures per year</w:t>
      </w:r>
      <w:r w:rsidR="00EE2F29">
        <w:t>, with an average of 61 per year</w:t>
      </w:r>
      <w:r w:rsidR="00C20D5A" w:rsidRPr="00B87319">
        <w:t>. From 2012 to 2017 a pattern of market growth emerged with service numbers increasing from 78 in 2011 to 1,283 in 2016</w:t>
      </w:r>
      <w:r w:rsidR="00EE2F29">
        <w:t xml:space="preserve">, </w:t>
      </w:r>
      <w:r w:rsidR="004D5399">
        <w:t xml:space="preserve">subsequently stabilising </w:t>
      </w:r>
      <w:r w:rsidR="00C20D5A" w:rsidRPr="00B87319">
        <w:t>in 2017.</w:t>
      </w:r>
    </w:p>
    <w:p w14:paraId="5440A933" w14:textId="77777777" w:rsidR="008B3E4C" w:rsidRDefault="008B3E4C" w:rsidP="008B3E4C">
      <w:pPr>
        <w:keepNext/>
        <w:ind w:left="425"/>
      </w:pPr>
      <w:r>
        <w:rPr>
          <w:noProof/>
          <w:szCs w:val="20"/>
          <w:lang w:eastAsia="en-AU"/>
        </w:rPr>
        <w:drawing>
          <wp:inline distT="0" distB="0" distL="0" distR="0" wp14:anchorId="33826CC5" wp14:editId="6C12E940">
            <wp:extent cx="4867275" cy="2449799"/>
            <wp:effectExtent l="0" t="0" r="0" b="8255"/>
            <wp:docPr id="7" name="Picture 7" descr="Figure 8"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4247" cy="2458341"/>
                    </a:xfrm>
                    <a:prstGeom prst="rect">
                      <a:avLst/>
                    </a:prstGeom>
                    <a:noFill/>
                  </pic:spPr>
                </pic:pic>
              </a:graphicData>
            </a:graphic>
          </wp:inline>
        </w:drawing>
      </w:r>
    </w:p>
    <w:p w14:paraId="4FA7F07A" w14:textId="60BFDEE8" w:rsidR="008B3E4C" w:rsidRDefault="008B3E4C" w:rsidP="008B3E4C">
      <w:pPr>
        <w:pStyle w:val="Caption"/>
        <w:rPr>
          <w:szCs w:val="20"/>
        </w:rPr>
      </w:pPr>
      <w:bookmarkStart w:id="15" w:name="_Ref1115621"/>
      <w:r>
        <w:t xml:space="preserve">Figure </w:t>
      </w:r>
      <w:r w:rsidR="00420BF1">
        <w:rPr>
          <w:noProof/>
        </w:rPr>
        <w:fldChar w:fldCharType="begin"/>
      </w:r>
      <w:r w:rsidR="00420BF1">
        <w:rPr>
          <w:noProof/>
        </w:rPr>
        <w:instrText xml:space="preserve"> SEQ Figure \* ARABIC </w:instrText>
      </w:r>
      <w:r w:rsidR="00420BF1">
        <w:rPr>
          <w:noProof/>
        </w:rPr>
        <w:fldChar w:fldCharType="separate"/>
      </w:r>
      <w:r w:rsidR="00C51F41">
        <w:rPr>
          <w:noProof/>
        </w:rPr>
        <w:t>7</w:t>
      </w:r>
      <w:r w:rsidR="00420BF1">
        <w:rPr>
          <w:noProof/>
        </w:rPr>
        <w:fldChar w:fldCharType="end"/>
      </w:r>
      <w:bookmarkEnd w:id="15"/>
      <w:r>
        <w:tab/>
      </w:r>
      <w:r w:rsidR="00B87319">
        <w:t>Historical utilisation of MBS item 36811 for cystoscopy</w:t>
      </w:r>
    </w:p>
    <w:p w14:paraId="78C1682F" w14:textId="77777777" w:rsidR="008B3E4C" w:rsidRDefault="008B3E4C" w:rsidP="008B3E4C">
      <w:pPr>
        <w:pStyle w:val="Tablenotes"/>
      </w:pPr>
    </w:p>
    <w:p w14:paraId="2EC6DA8C" w14:textId="23ACCDC0" w:rsidR="008B3E4C" w:rsidRDefault="008B3E4C" w:rsidP="008B3E4C">
      <w:pPr>
        <w:ind w:left="425"/>
      </w:pPr>
      <w:r w:rsidRPr="00B87319">
        <w:t>Based on KoL advice it is expected that this market growth</w:t>
      </w:r>
      <w:r w:rsidR="00BF02D2">
        <w:t xml:space="preserve">, coinciding with the registering of the UroLift </w:t>
      </w:r>
      <w:r w:rsidR="00CA26B6">
        <w:t xml:space="preserve">procedure </w:t>
      </w:r>
      <w:r w:rsidR="00BF02D2">
        <w:t>on the ARTG in 2012,</w:t>
      </w:r>
      <w:r w:rsidRPr="00B87319">
        <w:t xml:space="preserve"> is a result of PUL procedures </w:t>
      </w:r>
      <w:r w:rsidR="00BF02D2">
        <w:t>being</w:t>
      </w:r>
      <w:r w:rsidR="002C27BB">
        <w:t xml:space="preserve"> </w:t>
      </w:r>
      <w:r w:rsidRPr="00B87319">
        <w:t>claimed under MBS item 36811.</w:t>
      </w:r>
      <w:r>
        <w:t xml:space="preserve"> </w:t>
      </w:r>
    </w:p>
    <w:p w14:paraId="1DBAEFEC" w14:textId="2A5092BC" w:rsidR="008B3E4C" w:rsidRDefault="002C27BB" w:rsidP="008B3E4C">
      <w:pPr>
        <w:ind w:left="425"/>
        <w:rPr>
          <w:szCs w:val="20"/>
        </w:rPr>
      </w:pPr>
      <w:r>
        <w:rPr>
          <w:szCs w:val="20"/>
        </w:rPr>
        <w:t xml:space="preserve">Considering the increase from </w:t>
      </w:r>
      <w:r w:rsidR="00EE2F29">
        <w:rPr>
          <w:szCs w:val="20"/>
        </w:rPr>
        <w:t xml:space="preserve">an average of </w:t>
      </w:r>
      <w:r>
        <w:rPr>
          <w:szCs w:val="20"/>
        </w:rPr>
        <w:t>6</w:t>
      </w:r>
      <w:r w:rsidR="00EE2F29">
        <w:rPr>
          <w:szCs w:val="20"/>
        </w:rPr>
        <w:t>1</w:t>
      </w:r>
      <w:r>
        <w:rPr>
          <w:szCs w:val="20"/>
        </w:rPr>
        <w:t xml:space="preserve"> </w:t>
      </w:r>
      <w:r w:rsidR="00EE2F29">
        <w:rPr>
          <w:szCs w:val="20"/>
        </w:rPr>
        <w:t xml:space="preserve">procedures </w:t>
      </w:r>
      <w:r w:rsidR="0084039E">
        <w:rPr>
          <w:szCs w:val="20"/>
        </w:rPr>
        <w:t>between</w:t>
      </w:r>
      <w:r w:rsidR="00EE2F29">
        <w:rPr>
          <w:szCs w:val="20"/>
        </w:rPr>
        <w:t xml:space="preserve"> 2000 to 2011 </w:t>
      </w:r>
      <w:r>
        <w:rPr>
          <w:szCs w:val="20"/>
        </w:rPr>
        <w:t>to 1,2</w:t>
      </w:r>
      <w:r w:rsidR="00EE2F29">
        <w:rPr>
          <w:szCs w:val="20"/>
        </w:rPr>
        <w:t>70</w:t>
      </w:r>
      <w:r>
        <w:rPr>
          <w:szCs w:val="20"/>
        </w:rPr>
        <w:t xml:space="preserve"> procedures </w:t>
      </w:r>
      <w:r w:rsidR="00EE2F29">
        <w:rPr>
          <w:szCs w:val="20"/>
        </w:rPr>
        <w:t>across 2016 and 2017</w:t>
      </w:r>
      <w:r w:rsidR="0084039E">
        <w:rPr>
          <w:szCs w:val="20"/>
        </w:rPr>
        <w:t>,</w:t>
      </w:r>
      <w:r w:rsidR="00EE2F29">
        <w:rPr>
          <w:szCs w:val="20"/>
        </w:rPr>
        <w:t xml:space="preserve"> PUL </w:t>
      </w:r>
      <w:r w:rsidR="008B3E4C">
        <w:rPr>
          <w:szCs w:val="20"/>
        </w:rPr>
        <w:t xml:space="preserve">is </w:t>
      </w:r>
      <w:r w:rsidR="00EE2F29">
        <w:rPr>
          <w:szCs w:val="20"/>
        </w:rPr>
        <w:t xml:space="preserve">considered </w:t>
      </w:r>
      <w:r w:rsidR="008B3E4C">
        <w:rPr>
          <w:szCs w:val="20"/>
        </w:rPr>
        <w:t xml:space="preserve">to have </w:t>
      </w:r>
      <w:r w:rsidR="00EE2F29">
        <w:rPr>
          <w:szCs w:val="20"/>
        </w:rPr>
        <w:t xml:space="preserve">a </w:t>
      </w:r>
      <w:r w:rsidR="008B3E4C">
        <w:rPr>
          <w:szCs w:val="20"/>
        </w:rPr>
        <w:t xml:space="preserve">market size of </w:t>
      </w:r>
      <w:r w:rsidR="00EE2F29">
        <w:rPr>
          <w:szCs w:val="20"/>
        </w:rPr>
        <w:t xml:space="preserve">approximately </w:t>
      </w:r>
      <w:r w:rsidR="008B3E4C">
        <w:rPr>
          <w:szCs w:val="20"/>
        </w:rPr>
        <w:t>1,200 procedures per year. Adding 1,200 PUL procedures to the previously estimated BPH market (15,333 procedures) results in a total estimated BPH market of 16,533 procedures in 2020.</w:t>
      </w:r>
    </w:p>
    <w:p w14:paraId="06F9F776" w14:textId="5D22C775" w:rsidR="008B3E4C" w:rsidRDefault="002C27BB" w:rsidP="00A31788">
      <w:pPr>
        <w:ind w:left="425"/>
        <w:rPr>
          <w:szCs w:val="20"/>
        </w:rPr>
      </w:pPr>
      <w:r>
        <w:rPr>
          <w:szCs w:val="20"/>
        </w:rPr>
        <w:t xml:space="preserve">MBS listing of </w:t>
      </w:r>
      <w:r w:rsidR="008B3E4C">
        <w:rPr>
          <w:szCs w:val="20"/>
        </w:rPr>
        <w:t>TUWA is not expected to impact the d</w:t>
      </w:r>
      <w:r w:rsidR="008B3E4C" w:rsidRPr="006B5C4B">
        <w:rPr>
          <w:szCs w:val="20"/>
        </w:rPr>
        <w:t xml:space="preserve">emand for BPH interventions </w:t>
      </w:r>
      <w:r w:rsidR="008B3E4C">
        <w:rPr>
          <w:szCs w:val="20"/>
        </w:rPr>
        <w:t>due to the extensive treatment options currently available</w:t>
      </w:r>
      <w:r>
        <w:rPr>
          <w:szCs w:val="20"/>
        </w:rPr>
        <w:t xml:space="preserve">. Thus, </w:t>
      </w:r>
      <w:r w:rsidR="008B3E4C">
        <w:rPr>
          <w:szCs w:val="20"/>
        </w:rPr>
        <w:t xml:space="preserve">uptake of TUWA </w:t>
      </w:r>
      <w:r>
        <w:rPr>
          <w:szCs w:val="20"/>
        </w:rPr>
        <w:t xml:space="preserve">in 2020 </w:t>
      </w:r>
      <w:r w:rsidR="008B3E4C">
        <w:rPr>
          <w:szCs w:val="20"/>
        </w:rPr>
        <w:t xml:space="preserve">is expected to be derived solely from substitution within the </w:t>
      </w:r>
      <w:r>
        <w:rPr>
          <w:szCs w:val="20"/>
        </w:rPr>
        <w:t xml:space="preserve">estimated </w:t>
      </w:r>
      <w:r w:rsidR="008B3E4C">
        <w:rPr>
          <w:szCs w:val="20"/>
        </w:rPr>
        <w:t xml:space="preserve">16,533 BPH procedures. </w:t>
      </w:r>
      <w:r w:rsidR="008B3E4C">
        <w:t xml:space="preserve">Initial uptake in </w:t>
      </w:r>
      <w:r>
        <w:t xml:space="preserve">year 1 </w:t>
      </w:r>
      <w:r w:rsidR="008B3E4C">
        <w:t xml:space="preserve">is expected to be </w:t>
      </w:r>
      <w:r w:rsidR="008B3E4C">
        <w:lastRenderedPageBreak/>
        <w:t xml:space="preserve">limited due to the capital costs associated with the procedure. As noted in Question </w:t>
      </w:r>
      <w:r w:rsidR="00BF02D2">
        <w:t>51</w:t>
      </w:r>
      <w:r w:rsidR="008B3E4C">
        <w:t>, TUWA requires a capital investment of $</w:t>
      </w:r>
      <w:r w:rsidR="00AA5309" w:rsidRPr="00AA5309">
        <w:t xml:space="preserve"> </w:t>
      </w:r>
      <w:r w:rsidR="00AA5309">
        <w:t>REDACTED</w:t>
      </w:r>
      <w:r>
        <w:t xml:space="preserve"> </w:t>
      </w:r>
      <w:r w:rsidR="008B3E4C">
        <w:t xml:space="preserve">for the purchase of a portable </w:t>
      </w:r>
      <w:r w:rsidR="00BF02D2">
        <w:t xml:space="preserve">RF </w:t>
      </w:r>
      <w:r w:rsidR="008B3E4C">
        <w:t xml:space="preserve">generator. </w:t>
      </w:r>
      <w:r w:rsidR="00A31788">
        <w:t>These capital costs are</w:t>
      </w:r>
      <w:r w:rsidR="008B3E4C">
        <w:t xml:space="preserve"> expected to delay uptake as hospitals/practices decide whether to invest their time and capital in TUWA over alternative BPH therapies. </w:t>
      </w:r>
      <w:r w:rsidR="00A31788">
        <w:rPr>
          <w:szCs w:val="20"/>
        </w:rPr>
        <w:t xml:space="preserve">Therefore, it is assumed that TUWA listing will result in a year 1 uptake rate of </w:t>
      </w:r>
      <w:r w:rsidR="00BF1A88">
        <w:rPr>
          <w:szCs w:val="20"/>
        </w:rPr>
        <w:t>2.5</w:t>
      </w:r>
      <w:r w:rsidR="00A31788">
        <w:rPr>
          <w:szCs w:val="20"/>
        </w:rPr>
        <w:t xml:space="preserve">% of the total BPH market, estimated at </w:t>
      </w:r>
      <w:r w:rsidR="00BF1A88">
        <w:rPr>
          <w:szCs w:val="20"/>
        </w:rPr>
        <w:t>413</w:t>
      </w:r>
      <w:r w:rsidR="00A31788">
        <w:rPr>
          <w:szCs w:val="20"/>
        </w:rPr>
        <w:t xml:space="preserve"> (16,533*</w:t>
      </w:r>
      <w:r w:rsidR="00BF1A88">
        <w:rPr>
          <w:szCs w:val="20"/>
        </w:rPr>
        <w:t>2.5</w:t>
      </w:r>
      <w:r w:rsidR="00A31788">
        <w:rPr>
          <w:szCs w:val="20"/>
        </w:rPr>
        <w:t>%) MBS services.</w:t>
      </w:r>
    </w:p>
    <w:p w14:paraId="428ECCCD" w14:textId="77777777" w:rsidR="00A31788" w:rsidRDefault="00A31788" w:rsidP="00A31788">
      <w:pPr>
        <w:ind w:left="425"/>
        <w:rPr>
          <w:szCs w:val="20"/>
        </w:rPr>
      </w:pPr>
    </w:p>
    <w:p w14:paraId="023FA973"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C5DCC0E" w14:textId="6F72B7D4" w:rsidR="008B3E4C" w:rsidRDefault="008B3E4C" w:rsidP="008B3E4C">
      <w:pPr>
        <w:ind w:left="426"/>
        <w:rPr>
          <w:szCs w:val="20"/>
        </w:rPr>
      </w:pPr>
      <w:r>
        <w:rPr>
          <w:szCs w:val="20"/>
        </w:rPr>
        <w:t xml:space="preserve">The same methodology presented in Question 49 is used to extrapolate </w:t>
      </w:r>
      <w:r w:rsidR="00A31788">
        <w:rPr>
          <w:szCs w:val="20"/>
        </w:rPr>
        <w:t xml:space="preserve">BPH </w:t>
      </w:r>
      <w:r>
        <w:rPr>
          <w:szCs w:val="20"/>
        </w:rPr>
        <w:t xml:space="preserve">service estimates over the next 3 years of </w:t>
      </w:r>
      <w:r w:rsidR="00A31788">
        <w:rPr>
          <w:szCs w:val="20"/>
        </w:rPr>
        <w:t xml:space="preserve">TUWA </w:t>
      </w:r>
      <w:r>
        <w:rPr>
          <w:szCs w:val="20"/>
        </w:rPr>
        <w:t>listing (subsequent to the 1</w:t>
      </w:r>
      <w:r w:rsidRPr="00E12515">
        <w:rPr>
          <w:szCs w:val="20"/>
          <w:vertAlign w:val="superscript"/>
        </w:rPr>
        <w:t>st</w:t>
      </w:r>
      <w:r>
        <w:rPr>
          <w:szCs w:val="20"/>
        </w:rPr>
        <w:t xml:space="preserve"> year</w:t>
      </w:r>
      <w:r w:rsidR="003F5995">
        <w:rPr>
          <w:szCs w:val="20"/>
        </w:rPr>
        <w:t xml:space="preserve"> of listing</w:t>
      </w:r>
      <w:r>
        <w:rPr>
          <w:szCs w:val="20"/>
        </w:rPr>
        <w:t xml:space="preserve">). </w:t>
      </w:r>
      <w:r w:rsidR="00A31788">
        <w:rPr>
          <w:szCs w:val="20"/>
        </w:rPr>
        <w:t xml:space="preserve">As presented in </w:t>
      </w:r>
      <w:r w:rsidR="00A31788">
        <w:rPr>
          <w:szCs w:val="20"/>
        </w:rPr>
        <w:fldChar w:fldCharType="begin"/>
      </w:r>
      <w:r w:rsidR="00A31788">
        <w:rPr>
          <w:szCs w:val="20"/>
        </w:rPr>
        <w:instrText xml:space="preserve"> REF _Ref1117214 \h </w:instrText>
      </w:r>
      <w:r w:rsidR="00A31788">
        <w:rPr>
          <w:szCs w:val="20"/>
        </w:rPr>
      </w:r>
      <w:r w:rsidR="00A31788">
        <w:rPr>
          <w:szCs w:val="20"/>
        </w:rPr>
        <w:fldChar w:fldCharType="separate"/>
      </w:r>
      <w:r w:rsidR="00C51F41">
        <w:t xml:space="preserve">Table </w:t>
      </w:r>
      <w:r w:rsidR="00C51F41">
        <w:rPr>
          <w:noProof/>
        </w:rPr>
        <w:t>5</w:t>
      </w:r>
      <w:r w:rsidR="00A31788">
        <w:rPr>
          <w:szCs w:val="20"/>
        </w:rPr>
        <w:fldChar w:fldCharType="end"/>
      </w:r>
      <w:r w:rsidR="00A31788">
        <w:rPr>
          <w:szCs w:val="20"/>
        </w:rPr>
        <w:t xml:space="preserve">, total BPH services are estimated to increase from 16,533 in year 1 to 17,081 in year 4. As noted in Question 49, </w:t>
      </w:r>
      <w:r w:rsidR="00BF1A88">
        <w:rPr>
          <w:szCs w:val="20"/>
        </w:rPr>
        <w:t>2.5</w:t>
      </w:r>
      <w:r w:rsidR="00A31788">
        <w:rPr>
          <w:szCs w:val="20"/>
        </w:rPr>
        <w:t xml:space="preserve">% uptake is expected for TUWA in the first year of MBS listing. Uptake is expected to increase </w:t>
      </w:r>
      <w:r w:rsidR="00BF1A88">
        <w:rPr>
          <w:szCs w:val="20"/>
        </w:rPr>
        <w:t xml:space="preserve">linearly </w:t>
      </w:r>
      <w:r w:rsidR="00A31788">
        <w:rPr>
          <w:szCs w:val="20"/>
        </w:rPr>
        <w:t xml:space="preserve">over the next 3 years of listing as additional hospitals/practices invest in the technology (Note: </w:t>
      </w:r>
      <w:r w:rsidR="00BF1A88">
        <w:rPr>
          <w:szCs w:val="20"/>
        </w:rPr>
        <w:t xml:space="preserve">it is proposed that </w:t>
      </w:r>
      <w:r w:rsidR="00A31788">
        <w:rPr>
          <w:szCs w:val="20"/>
        </w:rPr>
        <w:t xml:space="preserve">uptake </w:t>
      </w:r>
      <w:r w:rsidR="00BF1A88">
        <w:rPr>
          <w:szCs w:val="20"/>
        </w:rPr>
        <w:t xml:space="preserve">is likely </w:t>
      </w:r>
      <w:r w:rsidR="00A31788">
        <w:rPr>
          <w:szCs w:val="20"/>
        </w:rPr>
        <w:t xml:space="preserve">to plateau at some point outside the requested time period). Substantial uptake is considered reasonable in the long term for TUWA due to the </w:t>
      </w:r>
      <w:r w:rsidR="00A31788" w:rsidRPr="00202307">
        <w:rPr>
          <w:szCs w:val="20"/>
        </w:rPr>
        <w:t>minimally invasive nature of the procedure</w:t>
      </w:r>
      <w:r w:rsidR="00A31788">
        <w:rPr>
          <w:szCs w:val="20"/>
        </w:rPr>
        <w:t xml:space="preserve">, namely the </w:t>
      </w:r>
      <w:r w:rsidR="00BD5018" w:rsidRPr="00202307">
        <w:rPr>
          <w:szCs w:val="20"/>
        </w:rPr>
        <w:t>15-minute</w:t>
      </w:r>
      <w:r w:rsidR="00A31788">
        <w:rPr>
          <w:szCs w:val="20"/>
        </w:rPr>
        <w:t xml:space="preserve"> procedure duration </w:t>
      </w:r>
      <w:r w:rsidR="00A31788" w:rsidRPr="00202307">
        <w:rPr>
          <w:szCs w:val="20"/>
        </w:rPr>
        <w:t>and same-day hospitalisation</w:t>
      </w:r>
      <w:r w:rsidR="00A31788">
        <w:rPr>
          <w:szCs w:val="20"/>
        </w:rPr>
        <w:t xml:space="preserve">. Therefore, assuming increasing uptake rates of </w:t>
      </w:r>
      <w:r w:rsidR="00BF1A88">
        <w:rPr>
          <w:szCs w:val="20"/>
        </w:rPr>
        <w:t>5</w:t>
      </w:r>
      <w:r w:rsidR="00A31788">
        <w:rPr>
          <w:szCs w:val="20"/>
        </w:rPr>
        <w:t xml:space="preserve">% (year 2), </w:t>
      </w:r>
      <w:r w:rsidR="00BF1A88">
        <w:rPr>
          <w:szCs w:val="20"/>
        </w:rPr>
        <w:t>7.5</w:t>
      </w:r>
      <w:r w:rsidR="00A31788">
        <w:rPr>
          <w:szCs w:val="20"/>
        </w:rPr>
        <w:t xml:space="preserve">% (year 3) and 10% (year 4) results in estimated TUWA utilisation of </w:t>
      </w:r>
      <w:r w:rsidR="00BF1A88">
        <w:rPr>
          <w:szCs w:val="20"/>
        </w:rPr>
        <w:t>836</w:t>
      </w:r>
      <w:r w:rsidR="00A31788">
        <w:rPr>
          <w:szCs w:val="20"/>
        </w:rPr>
        <w:t>, 1,</w:t>
      </w:r>
      <w:r w:rsidR="00BF1A88">
        <w:rPr>
          <w:szCs w:val="20"/>
        </w:rPr>
        <w:t>267</w:t>
      </w:r>
      <w:r w:rsidR="00A31788">
        <w:rPr>
          <w:szCs w:val="20"/>
        </w:rPr>
        <w:t xml:space="preserve"> and 1,</w:t>
      </w:r>
      <w:r w:rsidR="00BF1A88">
        <w:rPr>
          <w:szCs w:val="20"/>
        </w:rPr>
        <w:t>708</w:t>
      </w:r>
      <w:r w:rsidR="00A31788">
        <w:rPr>
          <w:szCs w:val="20"/>
        </w:rPr>
        <w:t xml:space="preserve"> services in year 2, 3 and 4 respectively (</w:t>
      </w:r>
      <w:r w:rsidR="00A31788">
        <w:rPr>
          <w:szCs w:val="20"/>
        </w:rPr>
        <w:fldChar w:fldCharType="begin"/>
      </w:r>
      <w:r w:rsidR="00A31788">
        <w:rPr>
          <w:szCs w:val="20"/>
        </w:rPr>
        <w:instrText xml:space="preserve"> REF _Ref1117214 \h </w:instrText>
      </w:r>
      <w:r w:rsidR="00A31788">
        <w:rPr>
          <w:szCs w:val="20"/>
        </w:rPr>
      </w:r>
      <w:r w:rsidR="00A31788">
        <w:rPr>
          <w:szCs w:val="20"/>
        </w:rPr>
        <w:fldChar w:fldCharType="separate"/>
      </w:r>
      <w:r w:rsidR="00C51F41">
        <w:t xml:space="preserve">Table </w:t>
      </w:r>
      <w:r w:rsidR="00C51F41">
        <w:rPr>
          <w:noProof/>
        </w:rPr>
        <w:t>5</w:t>
      </w:r>
      <w:r w:rsidR="00A31788">
        <w:rPr>
          <w:szCs w:val="20"/>
        </w:rPr>
        <w:fldChar w:fldCharType="end"/>
      </w:r>
      <w:r w:rsidR="00A31788">
        <w:rPr>
          <w:szCs w:val="20"/>
        </w:rPr>
        <w:t>).</w:t>
      </w:r>
    </w:p>
    <w:p w14:paraId="556A0076" w14:textId="4041C5FD" w:rsidR="008B3E4C" w:rsidRDefault="008B3E4C" w:rsidP="008B3E4C">
      <w:pPr>
        <w:pStyle w:val="Caption"/>
      </w:pPr>
      <w:bookmarkStart w:id="16" w:name="_Ref1117214"/>
      <w:r>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5</w:t>
      </w:r>
      <w:r w:rsidR="00420BF1">
        <w:rPr>
          <w:noProof/>
        </w:rPr>
        <w:fldChar w:fldCharType="end"/>
      </w:r>
      <w:bookmarkEnd w:id="16"/>
      <w:r>
        <w:tab/>
      </w:r>
      <w:r w:rsidR="00A31788">
        <w:t>Estimated TUWA services across the first 4 years of MBS listing</w:t>
      </w:r>
    </w:p>
    <w:tbl>
      <w:tblPr>
        <w:tblStyle w:val="TableGrid"/>
        <w:tblW w:w="0" w:type="auto"/>
        <w:tblInd w:w="426" w:type="dxa"/>
        <w:tblLook w:val="04A0" w:firstRow="1" w:lastRow="0" w:firstColumn="1" w:lastColumn="0" w:noHBand="0" w:noVBand="1"/>
        <w:tblCaption w:val="Table"/>
        <w:tblDescription w:val="Table 5"/>
      </w:tblPr>
      <w:tblGrid>
        <w:gridCol w:w="2095"/>
        <w:gridCol w:w="1470"/>
        <w:gridCol w:w="1471"/>
        <w:gridCol w:w="1471"/>
        <w:gridCol w:w="2083"/>
      </w:tblGrid>
      <w:tr w:rsidR="008B3E4C" w:rsidRPr="004170CB" w14:paraId="01CB2F96"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2095" w:type="dxa"/>
          </w:tcPr>
          <w:p w14:paraId="5EA0A4BA" w14:textId="77777777" w:rsidR="008B3E4C" w:rsidRPr="00A31788" w:rsidRDefault="008B3E4C" w:rsidP="008B3E4C">
            <w:pPr>
              <w:pStyle w:val="Tabletext"/>
            </w:pPr>
          </w:p>
        </w:tc>
        <w:tc>
          <w:tcPr>
            <w:tcW w:w="1470" w:type="dxa"/>
          </w:tcPr>
          <w:p w14:paraId="53DC690F" w14:textId="0BFEAB11" w:rsidR="008B3E4C" w:rsidRPr="00A31788" w:rsidRDefault="008B3E4C" w:rsidP="008B3E4C">
            <w:pPr>
              <w:pStyle w:val="Tabletext"/>
            </w:pPr>
            <w:r w:rsidRPr="00A31788">
              <w:t>2020</w:t>
            </w:r>
            <w:r w:rsidR="00A31788" w:rsidRPr="00A31788">
              <w:t xml:space="preserve"> (Year 1)</w:t>
            </w:r>
          </w:p>
        </w:tc>
        <w:tc>
          <w:tcPr>
            <w:tcW w:w="1471" w:type="dxa"/>
          </w:tcPr>
          <w:p w14:paraId="49B73718" w14:textId="25AED291" w:rsidR="008B3E4C" w:rsidRPr="00A31788" w:rsidRDefault="008B3E4C" w:rsidP="008B3E4C">
            <w:pPr>
              <w:pStyle w:val="Tabletext"/>
            </w:pPr>
            <w:r w:rsidRPr="00A31788">
              <w:t>2021</w:t>
            </w:r>
            <w:r w:rsidR="00A31788" w:rsidRPr="00A31788">
              <w:t xml:space="preserve"> (Year 2)</w:t>
            </w:r>
          </w:p>
        </w:tc>
        <w:tc>
          <w:tcPr>
            <w:tcW w:w="1471" w:type="dxa"/>
          </w:tcPr>
          <w:p w14:paraId="14C97AF9" w14:textId="18819A16" w:rsidR="008B3E4C" w:rsidRPr="00A31788" w:rsidRDefault="008B3E4C" w:rsidP="008B3E4C">
            <w:pPr>
              <w:pStyle w:val="Tabletext"/>
            </w:pPr>
            <w:r w:rsidRPr="00A31788">
              <w:t>2022</w:t>
            </w:r>
            <w:r w:rsidR="00A31788" w:rsidRPr="00A31788">
              <w:t xml:space="preserve"> (Year 3)</w:t>
            </w:r>
          </w:p>
        </w:tc>
        <w:tc>
          <w:tcPr>
            <w:tcW w:w="2083" w:type="dxa"/>
          </w:tcPr>
          <w:p w14:paraId="107F617A" w14:textId="1A03656F" w:rsidR="008B3E4C" w:rsidRPr="00A31788" w:rsidRDefault="008B3E4C" w:rsidP="008B3E4C">
            <w:pPr>
              <w:pStyle w:val="Tabletext"/>
            </w:pPr>
            <w:r w:rsidRPr="00A31788">
              <w:t>2023</w:t>
            </w:r>
            <w:r w:rsidR="00A31788" w:rsidRPr="00A31788">
              <w:t xml:space="preserve"> (Year 4)</w:t>
            </w:r>
          </w:p>
        </w:tc>
      </w:tr>
      <w:tr w:rsidR="00A31788" w:rsidRPr="004170CB" w14:paraId="5DA57F9F" w14:textId="77777777" w:rsidTr="00BF1A88">
        <w:tc>
          <w:tcPr>
            <w:tcW w:w="2095" w:type="dxa"/>
          </w:tcPr>
          <w:p w14:paraId="6AED2BB0" w14:textId="43968992" w:rsidR="00A31788" w:rsidRPr="00A31788" w:rsidRDefault="00A31788" w:rsidP="00A31788">
            <w:pPr>
              <w:pStyle w:val="Tabletext"/>
            </w:pPr>
            <w:r w:rsidRPr="00A31788">
              <w:t>Total BPH market</w:t>
            </w:r>
          </w:p>
        </w:tc>
        <w:tc>
          <w:tcPr>
            <w:tcW w:w="1470" w:type="dxa"/>
          </w:tcPr>
          <w:p w14:paraId="27B1E080" w14:textId="0876FB28" w:rsidR="00A31788" w:rsidRPr="00A31788" w:rsidRDefault="00A31788" w:rsidP="00A31788">
            <w:pPr>
              <w:pStyle w:val="Tabletext"/>
            </w:pPr>
            <w:r w:rsidRPr="00A31788">
              <w:t>16,533</w:t>
            </w:r>
          </w:p>
        </w:tc>
        <w:tc>
          <w:tcPr>
            <w:tcW w:w="1471" w:type="dxa"/>
          </w:tcPr>
          <w:p w14:paraId="6DFE45B8" w14:textId="7A56D761" w:rsidR="00A31788" w:rsidRPr="00A31788" w:rsidRDefault="00A31788" w:rsidP="00A31788">
            <w:pPr>
              <w:pStyle w:val="Tabletext"/>
            </w:pPr>
            <w:r w:rsidRPr="00A31788">
              <w:t>16,716</w:t>
            </w:r>
          </w:p>
        </w:tc>
        <w:tc>
          <w:tcPr>
            <w:tcW w:w="1471" w:type="dxa"/>
          </w:tcPr>
          <w:p w14:paraId="4EC59F06" w14:textId="1B5ED741" w:rsidR="00A31788" w:rsidRPr="00A31788" w:rsidRDefault="00A31788" w:rsidP="00A31788">
            <w:pPr>
              <w:pStyle w:val="Tabletext"/>
            </w:pPr>
            <w:r w:rsidRPr="00A31788">
              <w:t>16,898</w:t>
            </w:r>
          </w:p>
        </w:tc>
        <w:tc>
          <w:tcPr>
            <w:tcW w:w="2083" w:type="dxa"/>
          </w:tcPr>
          <w:p w14:paraId="0E729AB3" w14:textId="360BF38A" w:rsidR="00A31788" w:rsidRPr="00A31788" w:rsidRDefault="00A31788" w:rsidP="00A31788">
            <w:pPr>
              <w:pStyle w:val="Tabletext"/>
            </w:pPr>
            <w:r w:rsidRPr="00A31788">
              <w:t>17,081</w:t>
            </w:r>
          </w:p>
        </w:tc>
      </w:tr>
      <w:tr w:rsidR="00A31788" w:rsidRPr="004170CB" w14:paraId="569CEB84" w14:textId="77777777" w:rsidTr="00BF1A88">
        <w:tc>
          <w:tcPr>
            <w:tcW w:w="2095" w:type="dxa"/>
          </w:tcPr>
          <w:p w14:paraId="311DD240" w14:textId="74C59BB7" w:rsidR="00A31788" w:rsidRPr="00A31788" w:rsidRDefault="00A31788" w:rsidP="00A31788">
            <w:pPr>
              <w:pStyle w:val="Tabletext"/>
            </w:pPr>
            <w:r>
              <w:t xml:space="preserve">Uptake rate </w:t>
            </w:r>
          </w:p>
        </w:tc>
        <w:tc>
          <w:tcPr>
            <w:tcW w:w="1470" w:type="dxa"/>
          </w:tcPr>
          <w:p w14:paraId="6017B2C5" w14:textId="4825DCED" w:rsidR="00A31788" w:rsidRPr="00A31788" w:rsidRDefault="0003758F" w:rsidP="00A31788">
            <w:pPr>
              <w:pStyle w:val="Tabletext"/>
            </w:pPr>
            <w:r>
              <w:t>2.5</w:t>
            </w:r>
            <w:r w:rsidR="00A31788">
              <w:t>%</w:t>
            </w:r>
          </w:p>
        </w:tc>
        <w:tc>
          <w:tcPr>
            <w:tcW w:w="1471" w:type="dxa"/>
          </w:tcPr>
          <w:p w14:paraId="08322163" w14:textId="71900000" w:rsidR="00A31788" w:rsidRPr="00A31788" w:rsidRDefault="0003758F" w:rsidP="00A31788">
            <w:pPr>
              <w:pStyle w:val="Tabletext"/>
            </w:pPr>
            <w:r>
              <w:t>5.0</w:t>
            </w:r>
            <w:r w:rsidR="00A31788">
              <w:t>%</w:t>
            </w:r>
          </w:p>
        </w:tc>
        <w:tc>
          <w:tcPr>
            <w:tcW w:w="1471" w:type="dxa"/>
          </w:tcPr>
          <w:p w14:paraId="06378313" w14:textId="24314D61" w:rsidR="00A31788" w:rsidRPr="00A31788" w:rsidRDefault="0003758F" w:rsidP="00A31788">
            <w:pPr>
              <w:pStyle w:val="Tabletext"/>
            </w:pPr>
            <w:r>
              <w:t>7.5%</w:t>
            </w:r>
          </w:p>
        </w:tc>
        <w:tc>
          <w:tcPr>
            <w:tcW w:w="2083" w:type="dxa"/>
          </w:tcPr>
          <w:p w14:paraId="1AAC148B" w14:textId="73377C40" w:rsidR="00A31788" w:rsidRPr="00A31788" w:rsidRDefault="00A31788" w:rsidP="00A31788">
            <w:pPr>
              <w:pStyle w:val="Tabletext"/>
            </w:pPr>
            <w:r>
              <w:t>10%</w:t>
            </w:r>
          </w:p>
        </w:tc>
      </w:tr>
      <w:tr w:rsidR="00BF1A88" w:rsidRPr="004170CB" w14:paraId="42A0AE7B" w14:textId="77777777" w:rsidTr="00BF1A88">
        <w:tc>
          <w:tcPr>
            <w:tcW w:w="2095" w:type="dxa"/>
          </w:tcPr>
          <w:p w14:paraId="5D040AAE" w14:textId="16F486D5" w:rsidR="00BF1A88" w:rsidRPr="00A31788" w:rsidRDefault="00BF1A88" w:rsidP="00BF1A88">
            <w:pPr>
              <w:pStyle w:val="Tabletext"/>
            </w:pPr>
            <w:r>
              <w:t>Estimated TUWA services</w:t>
            </w:r>
          </w:p>
        </w:tc>
        <w:tc>
          <w:tcPr>
            <w:tcW w:w="1470" w:type="dxa"/>
          </w:tcPr>
          <w:p w14:paraId="7F1AAC58" w14:textId="1958EA13" w:rsidR="00BF1A88" w:rsidRPr="00A31788" w:rsidRDefault="00BF1A88" w:rsidP="00BF1A88">
            <w:pPr>
              <w:pStyle w:val="Tabletext"/>
            </w:pPr>
            <w:r w:rsidRPr="00E5470E">
              <w:t>413</w:t>
            </w:r>
          </w:p>
        </w:tc>
        <w:tc>
          <w:tcPr>
            <w:tcW w:w="1471" w:type="dxa"/>
          </w:tcPr>
          <w:p w14:paraId="3D52A4D4" w14:textId="215A1E2E" w:rsidR="00BF1A88" w:rsidRPr="00A31788" w:rsidRDefault="00BF1A88" w:rsidP="00BF1A88">
            <w:pPr>
              <w:pStyle w:val="Tabletext"/>
            </w:pPr>
            <w:r w:rsidRPr="00875243">
              <w:t>836</w:t>
            </w:r>
          </w:p>
        </w:tc>
        <w:tc>
          <w:tcPr>
            <w:tcW w:w="1471" w:type="dxa"/>
          </w:tcPr>
          <w:p w14:paraId="268A3268" w14:textId="7655EA54" w:rsidR="00BF1A88" w:rsidRPr="00A31788" w:rsidRDefault="00BF1A88" w:rsidP="00BF1A88">
            <w:pPr>
              <w:pStyle w:val="Tabletext"/>
            </w:pPr>
            <w:r w:rsidRPr="00875243">
              <w:t>1,267</w:t>
            </w:r>
          </w:p>
        </w:tc>
        <w:tc>
          <w:tcPr>
            <w:tcW w:w="2083" w:type="dxa"/>
          </w:tcPr>
          <w:p w14:paraId="1EBC8E02" w14:textId="299BC2DF" w:rsidR="00BF1A88" w:rsidRPr="00A31788" w:rsidRDefault="00BF1A88" w:rsidP="00BF1A88">
            <w:pPr>
              <w:pStyle w:val="Tabletext"/>
            </w:pPr>
            <w:r w:rsidRPr="00875243">
              <w:t>1,708</w:t>
            </w:r>
          </w:p>
        </w:tc>
      </w:tr>
    </w:tbl>
    <w:p w14:paraId="271157C5" w14:textId="77777777" w:rsidR="008B3E4C" w:rsidRPr="00A31788" w:rsidRDefault="008B3E4C" w:rsidP="00A31788">
      <w:pPr>
        <w:pStyle w:val="Tablenotes"/>
      </w:pPr>
    </w:p>
    <w:p w14:paraId="40849B0C" w14:textId="77777777" w:rsidR="003433D1" w:rsidRDefault="003433D1">
      <w:pPr>
        <w:rPr>
          <w:b/>
          <w:sz w:val="32"/>
          <w:szCs w:val="32"/>
        </w:rPr>
      </w:pPr>
      <w:r>
        <w:rPr>
          <w:b/>
          <w:sz w:val="32"/>
          <w:szCs w:val="32"/>
        </w:rPr>
        <w:br w:type="page"/>
      </w:r>
    </w:p>
    <w:p w14:paraId="3A3CF679"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4FC85500"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974C6E2" w14:textId="164CEC61" w:rsidR="00423988" w:rsidRDefault="008F3C2E" w:rsidP="00423988">
      <w:pPr>
        <w:ind w:left="360"/>
        <w:rPr>
          <w:szCs w:val="20"/>
        </w:rPr>
      </w:pPr>
      <w:r>
        <w:rPr>
          <w:szCs w:val="20"/>
        </w:rPr>
        <w:t xml:space="preserve">An estimated cost of providing TUWA services is provided, including expected </w:t>
      </w:r>
      <w:r w:rsidR="00822D39">
        <w:rPr>
          <w:szCs w:val="20"/>
        </w:rPr>
        <w:t>consumable, capital, anaesthesia</w:t>
      </w:r>
      <w:r w:rsidR="00652AB2">
        <w:rPr>
          <w:szCs w:val="20"/>
        </w:rPr>
        <w:t xml:space="preserve">, medical service and </w:t>
      </w:r>
      <w:r w:rsidR="00822D39">
        <w:rPr>
          <w:szCs w:val="20"/>
        </w:rPr>
        <w:t>hospitalisation</w:t>
      </w:r>
      <w:r>
        <w:rPr>
          <w:szCs w:val="20"/>
        </w:rPr>
        <w:t xml:space="preserve"> costs</w:t>
      </w:r>
      <w:r w:rsidR="00822D39">
        <w:rPr>
          <w:szCs w:val="20"/>
        </w:rPr>
        <w:t>.</w:t>
      </w:r>
      <w:r w:rsidR="00423988">
        <w:rPr>
          <w:szCs w:val="20"/>
        </w:rPr>
        <w:t xml:space="preserve"> It is intended to provide an understanding of the resource use involved (e.g: MBS items and hospital resources) and to a lesser extent the magnitude of the costs associated with these resources which will be fully detailed in the SBA.</w:t>
      </w:r>
    </w:p>
    <w:p w14:paraId="70EB5567" w14:textId="1A4AC912" w:rsidR="008B3E4C" w:rsidRDefault="008F3C2E" w:rsidP="008B3E4C">
      <w:pPr>
        <w:ind w:left="426"/>
        <w:rPr>
          <w:szCs w:val="20"/>
        </w:rPr>
      </w:pPr>
      <w:r>
        <w:rPr>
          <w:szCs w:val="20"/>
        </w:rPr>
        <w:t xml:space="preserve">TUWA procedures require the use of a disposable delivery device. Based on </w:t>
      </w:r>
      <w:r w:rsidR="00822D39">
        <w:rPr>
          <w:szCs w:val="20"/>
        </w:rPr>
        <w:t xml:space="preserve">KoL advice </w:t>
      </w:r>
      <w:r>
        <w:rPr>
          <w:szCs w:val="20"/>
        </w:rPr>
        <w:t>a cost of $</w:t>
      </w:r>
      <w:r w:rsidR="00AA5309" w:rsidRPr="00AA5309">
        <w:t xml:space="preserve"> </w:t>
      </w:r>
      <w:r w:rsidR="00AA5309">
        <w:t>REDACTED</w:t>
      </w:r>
      <w:r w:rsidR="00AA5309" w:rsidDel="00AA5309">
        <w:rPr>
          <w:szCs w:val="20"/>
        </w:rPr>
        <w:t xml:space="preserve"> </w:t>
      </w:r>
      <w:r>
        <w:rPr>
          <w:szCs w:val="20"/>
        </w:rPr>
        <w:t>per procedure is estimated for this device</w:t>
      </w:r>
      <w:r w:rsidR="00822D39">
        <w:rPr>
          <w:szCs w:val="20"/>
        </w:rPr>
        <w:t xml:space="preserve">. </w:t>
      </w:r>
    </w:p>
    <w:p w14:paraId="69889198" w14:textId="363FF2FF" w:rsidR="00822D39" w:rsidRDefault="008F3C2E" w:rsidP="00822D39">
      <w:pPr>
        <w:ind w:left="426"/>
        <w:rPr>
          <w:szCs w:val="20"/>
        </w:rPr>
      </w:pPr>
      <w:r>
        <w:rPr>
          <w:szCs w:val="20"/>
        </w:rPr>
        <w:t>TUWA procedures also require a portable</w:t>
      </w:r>
      <w:r w:rsidR="003F5995">
        <w:rPr>
          <w:szCs w:val="20"/>
        </w:rPr>
        <w:t xml:space="preserve"> RF</w:t>
      </w:r>
      <w:r>
        <w:rPr>
          <w:szCs w:val="20"/>
        </w:rPr>
        <w:t xml:space="preserve"> generator incurring a capital </w:t>
      </w:r>
      <w:r w:rsidR="003F5995">
        <w:rPr>
          <w:szCs w:val="20"/>
        </w:rPr>
        <w:t>cost to</w:t>
      </w:r>
      <w:r>
        <w:rPr>
          <w:szCs w:val="20"/>
        </w:rPr>
        <w:t xml:space="preserve"> hospitals/practices that wish to perform these procedures. </w:t>
      </w:r>
      <w:r w:rsidR="00581FE1">
        <w:rPr>
          <w:szCs w:val="20"/>
        </w:rPr>
        <w:t xml:space="preserve">The </w:t>
      </w:r>
      <w:r w:rsidR="003F5995">
        <w:rPr>
          <w:szCs w:val="20"/>
        </w:rPr>
        <w:t xml:space="preserve">Applicant </w:t>
      </w:r>
      <w:r w:rsidR="00581FE1">
        <w:rPr>
          <w:szCs w:val="20"/>
        </w:rPr>
        <w:t>estimates a cost per portable generator of $</w:t>
      </w:r>
      <w:r w:rsidR="00AA5309" w:rsidRPr="00AA5309">
        <w:t xml:space="preserve"> </w:t>
      </w:r>
      <w:r w:rsidR="00AA5309">
        <w:t>REDACTED</w:t>
      </w:r>
      <w:r w:rsidR="00652AB2">
        <w:rPr>
          <w:szCs w:val="20"/>
        </w:rPr>
        <w:t>,</w:t>
      </w:r>
      <w:r w:rsidR="00581FE1">
        <w:rPr>
          <w:szCs w:val="20"/>
        </w:rPr>
        <w:t xml:space="preserve"> which</w:t>
      </w:r>
      <w:r w:rsidR="00C42FBF">
        <w:rPr>
          <w:szCs w:val="20"/>
        </w:rPr>
        <w:t xml:space="preserve"> when </w:t>
      </w:r>
      <w:r w:rsidR="00581FE1">
        <w:rPr>
          <w:szCs w:val="20"/>
        </w:rPr>
        <w:t>a</w:t>
      </w:r>
      <w:r w:rsidR="00822D39">
        <w:rPr>
          <w:szCs w:val="20"/>
        </w:rPr>
        <w:t>mortis</w:t>
      </w:r>
      <w:r w:rsidR="00581FE1">
        <w:rPr>
          <w:szCs w:val="20"/>
        </w:rPr>
        <w:t xml:space="preserve">ed </w:t>
      </w:r>
      <w:r w:rsidR="00C42FBF">
        <w:rPr>
          <w:szCs w:val="20"/>
        </w:rPr>
        <w:t>over an assumed 10</w:t>
      </w:r>
      <w:r w:rsidR="00652AB2">
        <w:rPr>
          <w:szCs w:val="20"/>
        </w:rPr>
        <w:t>-</w:t>
      </w:r>
      <w:r w:rsidR="00C42FBF">
        <w:rPr>
          <w:szCs w:val="20"/>
        </w:rPr>
        <w:t xml:space="preserve">year product life results in an estimated </w:t>
      </w:r>
      <w:r w:rsidR="00822D39">
        <w:rPr>
          <w:szCs w:val="20"/>
        </w:rPr>
        <w:t>cost</w:t>
      </w:r>
      <w:r w:rsidR="003F5995">
        <w:rPr>
          <w:szCs w:val="20"/>
        </w:rPr>
        <w:t xml:space="preserve"> of </w:t>
      </w:r>
      <w:r w:rsidR="00AA5309">
        <w:t>REDACTED</w:t>
      </w:r>
      <w:r w:rsidR="00AA5309" w:rsidDel="00AA5309">
        <w:rPr>
          <w:szCs w:val="20"/>
        </w:rPr>
        <w:t xml:space="preserve"> </w:t>
      </w:r>
      <w:r w:rsidR="00822D39">
        <w:rPr>
          <w:szCs w:val="20"/>
        </w:rPr>
        <w:t xml:space="preserve">per </w:t>
      </w:r>
      <w:r w:rsidR="00C42FBF">
        <w:rPr>
          <w:szCs w:val="20"/>
        </w:rPr>
        <w:t>year</w:t>
      </w:r>
      <w:r w:rsidR="00822D39">
        <w:rPr>
          <w:szCs w:val="20"/>
        </w:rPr>
        <w:t xml:space="preserve">. </w:t>
      </w:r>
      <w:r w:rsidR="00C42FBF">
        <w:rPr>
          <w:szCs w:val="20"/>
        </w:rPr>
        <w:t xml:space="preserve">Assuming </w:t>
      </w:r>
      <w:r w:rsidR="001172A7">
        <w:rPr>
          <w:szCs w:val="20"/>
        </w:rPr>
        <w:t xml:space="preserve">50 services </w:t>
      </w:r>
      <w:r w:rsidR="00C42FBF">
        <w:rPr>
          <w:szCs w:val="20"/>
        </w:rPr>
        <w:t xml:space="preserve">are performed </w:t>
      </w:r>
      <w:r w:rsidR="001172A7">
        <w:rPr>
          <w:szCs w:val="20"/>
        </w:rPr>
        <w:t>per practice per year</w:t>
      </w:r>
      <w:r w:rsidR="00652AB2">
        <w:rPr>
          <w:szCs w:val="20"/>
        </w:rPr>
        <w:t>,</w:t>
      </w:r>
      <w:r w:rsidR="001172A7">
        <w:rPr>
          <w:szCs w:val="20"/>
        </w:rPr>
        <w:t xml:space="preserve"> and </w:t>
      </w:r>
      <w:r w:rsidR="00C42FBF">
        <w:rPr>
          <w:szCs w:val="20"/>
        </w:rPr>
        <w:t xml:space="preserve">applying </w:t>
      </w:r>
      <w:r w:rsidR="00652AB2">
        <w:rPr>
          <w:szCs w:val="20"/>
        </w:rPr>
        <w:t xml:space="preserve">a </w:t>
      </w:r>
      <w:r w:rsidR="001172A7">
        <w:rPr>
          <w:szCs w:val="20"/>
        </w:rPr>
        <w:t>5% interest rate</w:t>
      </w:r>
      <w:r w:rsidR="003F5995">
        <w:rPr>
          <w:szCs w:val="20"/>
        </w:rPr>
        <w:t>,</w:t>
      </w:r>
      <w:r w:rsidR="001172A7">
        <w:rPr>
          <w:szCs w:val="20"/>
        </w:rPr>
        <w:t xml:space="preserve"> each TUWA procedure is attributed a capital cost of $</w:t>
      </w:r>
      <w:r w:rsidR="00AA5309" w:rsidRPr="00AA5309">
        <w:t xml:space="preserve"> </w:t>
      </w:r>
      <w:r w:rsidR="00AA5309">
        <w:t>REDACTED</w:t>
      </w:r>
      <w:r w:rsidR="00AA5309" w:rsidDel="00AA5309">
        <w:rPr>
          <w:szCs w:val="20"/>
        </w:rPr>
        <w:t xml:space="preserve"> </w:t>
      </w:r>
      <w:r w:rsidR="001172A7">
        <w:rPr>
          <w:szCs w:val="20"/>
        </w:rPr>
        <w:t>(</w:t>
      </w:r>
      <w:r w:rsidR="001172A7">
        <w:rPr>
          <w:szCs w:val="20"/>
        </w:rPr>
        <w:fldChar w:fldCharType="begin"/>
      </w:r>
      <w:r w:rsidR="001172A7">
        <w:rPr>
          <w:szCs w:val="20"/>
        </w:rPr>
        <w:instrText xml:space="preserve"> REF _Ref1049413 \h </w:instrText>
      </w:r>
      <w:r w:rsidR="001172A7">
        <w:rPr>
          <w:szCs w:val="20"/>
        </w:rPr>
      </w:r>
      <w:r w:rsidR="001172A7">
        <w:rPr>
          <w:szCs w:val="20"/>
        </w:rPr>
        <w:fldChar w:fldCharType="separate"/>
      </w:r>
      <w:r w:rsidR="00C51F41">
        <w:t xml:space="preserve">Table </w:t>
      </w:r>
      <w:r w:rsidR="00C51F41">
        <w:rPr>
          <w:noProof/>
        </w:rPr>
        <w:t>6</w:t>
      </w:r>
      <w:r w:rsidR="001172A7">
        <w:rPr>
          <w:szCs w:val="20"/>
        </w:rPr>
        <w:fldChar w:fldCharType="end"/>
      </w:r>
      <w:r w:rsidR="001172A7">
        <w:rPr>
          <w:szCs w:val="20"/>
        </w:rPr>
        <w:t>).</w:t>
      </w:r>
    </w:p>
    <w:p w14:paraId="5AAB6899" w14:textId="4A182A69" w:rsidR="00822D39" w:rsidRDefault="00822D39" w:rsidP="00822D39">
      <w:pPr>
        <w:pStyle w:val="Caption"/>
      </w:pPr>
      <w:bookmarkStart w:id="17" w:name="_Ref1049413"/>
      <w:r>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6</w:t>
      </w:r>
      <w:r w:rsidR="00420BF1">
        <w:rPr>
          <w:noProof/>
        </w:rPr>
        <w:fldChar w:fldCharType="end"/>
      </w:r>
      <w:bookmarkEnd w:id="17"/>
      <w:r>
        <w:tab/>
        <w:t>Capital cost calculations for TUWA</w:t>
      </w:r>
    </w:p>
    <w:tbl>
      <w:tblPr>
        <w:tblStyle w:val="TableGrid"/>
        <w:tblW w:w="0" w:type="auto"/>
        <w:tblInd w:w="426" w:type="dxa"/>
        <w:tblLook w:val="04A0" w:firstRow="1" w:lastRow="0" w:firstColumn="1" w:lastColumn="0" w:noHBand="0" w:noVBand="1"/>
        <w:tblCaption w:val="Table"/>
        <w:tblDescription w:val="Table 6"/>
      </w:tblPr>
      <w:tblGrid>
        <w:gridCol w:w="703"/>
        <w:gridCol w:w="3402"/>
        <w:gridCol w:w="2268"/>
        <w:gridCol w:w="2217"/>
      </w:tblGrid>
      <w:tr w:rsidR="00822D39" w14:paraId="1440A728"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703" w:type="dxa"/>
          </w:tcPr>
          <w:p w14:paraId="7CD8AE96" w14:textId="77777777" w:rsidR="00822D39" w:rsidRDefault="00822D39" w:rsidP="00A31788">
            <w:pPr>
              <w:pStyle w:val="Tabletext"/>
            </w:pPr>
            <w:r>
              <w:t>Row</w:t>
            </w:r>
          </w:p>
        </w:tc>
        <w:tc>
          <w:tcPr>
            <w:tcW w:w="3402" w:type="dxa"/>
          </w:tcPr>
          <w:p w14:paraId="1FAEBE1C" w14:textId="77777777" w:rsidR="00822D39" w:rsidRDefault="00822D39" w:rsidP="00A31788">
            <w:pPr>
              <w:pStyle w:val="Tabletext"/>
            </w:pPr>
            <w:r>
              <w:t>Parameter</w:t>
            </w:r>
          </w:p>
        </w:tc>
        <w:tc>
          <w:tcPr>
            <w:tcW w:w="2268" w:type="dxa"/>
          </w:tcPr>
          <w:p w14:paraId="0DBFF757" w14:textId="4259F1B8" w:rsidR="00822D39" w:rsidRDefault="00CD3A68" w:rsidP="00A31788">
            <w:pPr>
              <w:pStyle w:val="Tabletext"/>
            </w:pPr>
            <w:r>
              <w:t>Input</w:t>
            </w:r>
          </w:p>
        </w:tc>
        <w:tc>
          <w:tcPr>
            <w:tcW w:w="2217" w:type="dxa"/>
          </w:tcPr>
          <w:p w14:paraId="18807CCE" w14:textId="77777777" w:rsidR="00822D39" w:rsidRDefault="00822D39" w:rsidP="00A31788">
            <w:pPr>
              <w:pStyle w:val="Tabletext"/>
            </w:pPr>
            <w:r>
              <w:t>Reference</w:t>
            </w:r>
          </w:p>
        </w:tc>
      </w:tr>
      <w:tr w:rsidR="00822D39" w14:paraId="5AF9DBD8" w14:textId="77777777" w:rsidTr="00CD3A68">
        <w:tc>
          <w:tcPr>
            <w:tcW w:w="703" w:type="dxa"/>
          </w:tcPr>
          <w:p w14:paraId="0F59657A" w14:textId="77777777" w:rsidR="00822D39" w:rsidRDefault="00822D39" w:rsidP="00A31788">
            <w:pPr>
              <w:pStyle w:val="Tabletext"/>
            </w:pPr>
            <w:r>
              <w:t>A</w:t>
            </w:r>
          </w:p>
        </w:tc>
        <w:tc>
          <w:tcPr>
            <w:tcW w:w="3402" w:type="dxa"/>
          </w:tcPr>
          <w:p w14:paraId="7396B8C8" w14:textId="77777777" w:rsidR="00822D39" w:rsidRDefault="00822D39" w:rsidP="00A31788">
            <w:pPr>
              <w:pStyle w:val="Tabletext"/>
            </w:pPr>
            <w:r>
              <w:t>Cost of portable generator</w:t>
            </w:r>
          </w:p>
        </w:tc>
        <w:tc>
          <w:tcPr>
            <w:tcW w:w="2268" w:type="dxa"/>
          </w:tcPr>
          <w:p w14:paraId="783BCB16" w14:textId="5967C2EE" w:rsidR="00822D39" w:rsidRDefault="00AA5309" w:rsidP="00A31788">
            <w:pPr>
              <w:pStyle w:val="Tabletext"/>
            </w:pPr>
            <w:r>
              <w:t>REDACTED</w:t>
            </w:r>
          </w:p>
        </w:tc>
        <w:tc>
          <w:tcPr>
            <w:tcW w:w="2217" w:type="dxa"/>
          </w:tcPr>
          <w:p w14:paraId="28EB03B4" w14:textId="5879028A" w:rsidR="00822D39" w:rsidRDefault="00761BD6" w:rsidP="00A31788">
            <w:pPr>
              <w:pStyle w:val="Tabletext"/>
            </w:pPr>
            <w:r>
              <w:t>Applicant</w:t>
            </w:r>
          </w:p>
        </w:tc>
      </w:tr>
      <w:tr w:rsidR="00822D39" w14:paraId="0124F398" w14:textId="77777777" w:rsidTr="00CD3A68">
        <w:tc>
          <w:tcPr>
            <w:tcW w:w="703" w:type="dxa"/>
          </w:tcPr>
          <w:p w14:paraId="3E73C3F0" w14:textId="77777777" w:rsidR="00822D39" w:rsidRDefault="00822D39" w:rsidP="00A31788">
            <w:pPr>
              <w:pStyle w:val="Tabletext"/>
            </w:pPr>
            <w:r>
              <w:t>B</w:t>
            </w:r>
          </w:p>
        </w:tc>
        <w:tc>
          <w:tcPr>
            <w:tcW w:w="3402" w:type="dxa"/>
          </w:tcPr>
          <w:p w14:paraId="7A309930" w14:textId="77777777" w:rsidR="00822D39" w:rsidRDefault="00822D39" w:rsidP="00A31788">
            <w:pPr>
              <w:pStyle w:val="Tabletext"/>
            </w:pPr>
            <w:r>
              <w:t>Life of generator, years</w:t>
            </w:r>
          </w:p>
        </w:tc>
        <w:tc>
          <w:tcPr>
            <w:tcW w:w="2268" w:type="dxa"/>
          </w:tcPr>
          <w:p w14:paraId="3571BFD3" w14:textId="77777777" w:rsidR="00822D39" w:rsidRDefault="00822D39" w:rsidP="00A31788">
            <w:pPr>
              <w:pStyle w:val="Tabletext"/>
            </w:pPr>
            <w:r>
              <w:t>10</w:t>
            </w:r>
          </w:p>
        </w:tc>
        <w:tc>
          <w:tcPr>
            <w:tcW w:w="2217" w:type="dxa"/>
          </w:tcPr>
          <w:p w14:paraId="67D8BF04" w14:textId="77777777" w:rsidR="00822D39" w:rsidRDefault="00822D39" w:rsidP="00A31788">
            <w:pPr>
              <w:pStyle w:val="Tabletext"/>
            </w:pPr>
            <w:r>
              <w:t>Whitty et al. 2014</w:t>
            </w:r>
          </w:p>
        </w:tc>
      </w:tr>
      <w:tr w:rsidR="00822D39" w14:paraId="5BC5A2D0" w14:textId="77777777" w:rsidTr="00CD3A68">
        <w:tc>
          <w:tcPr>
            <w:tcW w:w="703" w:type="dxa"/>
          </w:tcPr>
          <w:p w14:paraId="01A1BA5B" w14:textId="77777777" w:rsidR="00822D39" w:rsidRDefault="00822D39" w:rsidP="00A31788">
            <w:pPr>
              <w:pStyle w:val="Tabletext"/>
            </w:pPr>
            <w:r>
              <w:t>C</w:t>
            </w:r>
          </w:p>
        </w:tc>
        <w:tc>
          <w:tcPr>
            <w:tcW w:w="3402" w:type="dxa"/>
          </w:tcPr>
          <w:p w14:paraId="3476E803" w14:textId="77777777" w:rsidR="00822D39" w:rsidRDefault="00822D39" w:rsidP="00A31788">
            <w:pPr>
              <w:pStyle w:val="Tabletext"/>
            </w:pPr>
            <w:r>
              <w:t>Applied interest rate</w:t>
            </w:r>
          </w:p>
        </w:tc>
        <w:tc>
          <w:tcPr>
            <w:tcW w:w="2268" w:type="dxa"/>
          </w:tcPr>
          <w:p w14:paraId="50AF8DD8" w14:textId="77777777" w:rsidR="00822D39" w:rsidRDefault="00822D39" w:rsidP="00A31788">
            <w:pPr>
              <w:pStyle w:val="Tabletext"/>
            </w:pPr>
            <w:r>
              <w:t>5%</w:t>
            </w:r>
          </w:p>
        </w:tc>
        <w:tc>
          <w:tcPr>
            <w:tcW w:w="2217" w:type="dxa"/>
          </w:tcPr>
          <w:p w14:paraId="79E18559" w14:textId="77777777" w:rsidR="00822D39" w:rsidRDefault="00822D39" w:rsidP="00A31788">
            <w:pPr>
              <w:pStyle w:val="Tabletext"/>
            </w:pPr>
            <w:r>
              <w:t>Assumption</w:t>
            </w:r>
          </w:p>
        </w:tc>
      </w:tr>
      <w:tr w:rsidR="00822D39" w14:paraId="515433BB" w14:textId="77777777" w:rsidTr="00CD3A68">
        <w:tc>
          <w:tcPr>
            <w:tcW w:w="703" w:type="dxa"/>
          </w:tcPr>
          <w:p w14:paraId="4803EC97" w14:textId="77777777" w:rsidR="00822D39" w:rsidRDefault="00822D39" w:rsidP="00A31788">
            <w:pPr>
              <w:pStyle w:val="Tabletext"/>
            </w:pPr>
            <w:r>
              <w:t>D</w:t>
            </w:r>
          </w:p>
        </w:tc>
        <w:tc>
          <w:tcPr>
            <w:tcW w:w="3402" w:type="dxa"/>
          </w:tcPr>
          <w:p w14:paraId="59982D54" w14:textId="77777777" w:rsidR="00822D39" w:rsidRDefault="00822D39" w:rsidP="00A31788">
            <w:pPr>
              <w:pStyle w:val="Tabletext"/>
            </w:pPr>
            <w:r>
              <w:t>Amortised cost of capital per year</w:t>
            </w:r>
          </w:p>
        </w:tc>
        <w:tc>
          <w:tcPr>
            <w:tcW w:w="2268" w:type="dxa"/>
          </w:tcPr>
          <w:p w14:paraId="3E0FCC81" w14:textId="7CAE0EDB" w:rsidR="00822D39" w:rsidRDefault="00AA5309" w:rsidP="00A31788">
            <w:pPr>
              <w:pStyle w:val="Tabletext"/>
            </w:pPr>
            <w:r>
              <w:t>REDACTED</w:t>
            </w:r>
          </w:p>
        </w:tc>
        <w:tc>
          <w:tcPr>
            <w:tcW w:w="2217" w:type="dxa"/>
          </w:tcPr>
          <w:p w14:paraId="7F25344C" w14:textId="77777777" w:rsidR="00822D39" w:rsidRDefault="00CE7920" w:rsidP="00A31788">
            <w:pPr>
              <w:pStyle w:val="Tabletext"/>
            </w:pPr>
            <m:oMathPara>
              <m:oMath>
                <m:f>
                  <m:fPr>
                    <m:ctrlPr>
                      <w:rPr>
                        <w:rFonts w:ascii="Cambria Math" w:hAnsi="Cambria Math"/>
                        <w:sz w:val="16"/>
                      </w:rPr>
                    </m:ctrlPr>
                  </m:fPr>
                  <m:num>
                    <m:r>
                      <m:rPr>
                        <m:sty m:val="p"/>
                      </m:rPr>
                      <w:rPr>
                        <w:rFonts w:ascii="Cambria Math" w:hAnsi="Cambria Math"/>
                        <w:sz w:val="16"/>
                      </w:rPr>
                      <m:t>A×C</m:t>
                    </m:r>
                  </m:num>
                  <m:den>
                    <m:r>
                      <m:rPr>
                        <m:sty m:val="p"/>
                      </m:rPr>
                      <w:rPr>
                        <w:rFonts w:ascii="Cambria Math" w:hAnsi="Cambria Math"/>
                        <w:sz w:val="16"/>
                      </w:rPr>
                      <m:t>1-(1+C</m:t>
                    </m:r>
                    <m:sSup>
                      <m:sSupPr>
                        <m:ctrlPr>
                          <w:rPr>
                            <w:rFonts w:ascii="Cambria Math" w:hAnsi="Cambria Math"/>
                            <w:sz w:val="16"/>
                          </w:rPr>
                        </m:ctrlPr>
                      </m:sSupPr>
                      <m:e>
                        <m:r>
                          <m:rPr>
                            <m:sty m:val="p"/>
                          </m:rPr>
                          <w:rPr>
                            <w:rFonts w:ascii="Cambria Math" w:hAnsi="Cambria Math"/>
                            <w:sz w:val="16"/>
                          </w:rPr>
                          <m:t>)</m:t>
                        </m:r>
                      </m:e>
                      <m:sup>
                        <m:r>
                          <m:rPr>
                            <m:sty m:val="p"/>
                          </m:rPr>
                          <w:rPr>
                            <w:rFonts w:ascii="Cambria Math" w:hAnsi="Cambria Math"/>
                            <w:sz w:val="16"/>
                          </w:rPr>
                          <m:t>-B</m:t>
                        </m:r>
                      </m:sup>
                    </m:sSup>
                  </m:den>
                </m:f>
              </m:oMath>
            </m:oMathPara>
          </w:p>
        </w:tc>
      </w:tr>
      <w:tr w:rsidR="00822D39" w14:paraId="6811FD02" w14:textId="77777777" w:rsidTr="00CD3A68">
        <w:tc>
          <w:tcPr>
            <w:tcW w:w="703" w:type="dxa"/>
          </w:tcPr>
          <w:p w14:paraId="26516AF8" w14:textId="77777777" w:rsidR="00822D39" w:rsidRDefault="00822D39" w:rsidP="00A31788">
            <w:pPr>
              <w:pStyle w:val="Tabletext"/>
            </w:pPr>
            <w:r>
              <w:t>E</w:t>
            </w:r>
          </w:p>
        </w:tc>
        <w:tc>
          <w:tcPr>
            <w:tcW w:w="3402" w:type="dxa"/>
          </w:tcPr>
          <w:p w14:paraId="1C81845D" w14:textId="77777777" w:rsidR="00822D39" w:rsidRDefault="00822D39" w:rsidP="00A31788">
            <w:pPr>
              <w:pStyle w:val="Tabletext"/>
            </w:pPr>
            <w:r>
              <w:t>Estimated services per service per year</w:t>
            </w:r>
          </w:p>
        </w:tc>
        <w:tc>
          <w:tcPr>
            <w:tcW w:w="2268" w:type="dxa"/>
          </w:tcPr>
          <w:p w14:paraId="2FBF9637" w14:textId="77777777" w:rsidR="00822D39" w:rsidRDefault="00822D39" w:rsidP="00A31788">
            <w:pPr>
              <w:pStyle w:val="Tabletext"/>
            </w:pPr>
            <w:r>
              <w:t>50</w:t>
            </w:r>
          </w:p>
        </w:tc>
        <w:tc>
          <w:tcPr>
            <w:tcW w:w="2217" w:type="dxa"/>
          </w:tcPr>
          <w:p w14:paraId="63F278D2" w14:textId="77777777" w:rsidR="00822D39" w:rsidRDefault="00822D39" w:rsidP="00A31788">
            <w:pPr>
              <w:pStyle w:val="Tabletext"/>
            </w:pPr>
            <w:r>
              <w:t>Assumption</w:t>
            </w:r>
          </w:p>
        </w:tc>
      </w:tr>
      <w:tr w:rsidR="00822D39" w14:paraId="25F9CDFB" w14:textId="77777777" w:rsidTr="00CD3A68">
        <w:tc>
          <w:tcPr>
            <w:tcW w:w="703" w:type="dxa"/>
          </w:tcPr>
          <w:p w14:paraId="15242513" w14:textId="77777777" w:rsidR="00822D39" w:rsidRDefault="00822D39" w:rsidP="00A31788">
            <w:pPr>
              <w:pStyle w:val="Tabletext"/>
            </w:pPr>
            <w:r>
              <w:t>F</w:t>
            </w:r>
          </w:p>
        </w:tc>
        <w:tc>
          <w:tcPr>
            <w:tcW w:w="3402" w:type="dxa"/>
          </w:tcPr>
          <w:p w14:paraId="26AEFA3C" w14:textId="77777777" w:rsidR="00822D39" w:rsidRDefault="00822D39" w:rsidP="00A31788">
            <w:pPr>
              <w:pStyle w:val="Tabletext"/>
            </w:pPr>
            <w:r>
              <w:t>Capital cost per TUWA procedure</w:t>
            </w:r>
          </w:p>
        </w:tc>
        <w:tc>
          <w:tcPr>
            <w:tcW w:w="2268" w:type="dxa"/>
          </w:tcPr>
          <w:p w14:paraId="21C28958" w14:textId="3C7CE510" w:rsidR="00822D39" w:rsidRDefault="00AA5309" w:rsidP="00A31788">
            <w:pPr>
              <w:pStyle w:val="Tabletext"/>
            </w:pPr>
            <w:r>
              <w:t>REDACTED</w:t>
            </w:r>
          </w:p>
        </w:tc>
        <w:tc>
          <w:tcPr>
            <w:tcW w:w="2217" w:type="dxa"/>
          </w:tcPr>
          <w:p w14:paraId="3F1BBBA0" w14:textId="77777777" w:rsidR="00822D39" w:rsidRDefault="00822D39" w:rsidP="00A31788">
            <w:pPr>
              <w:pStyle w:val="Tabletext"/>
            </w:pPr>
            <w:r>
              <w:t>D/E</w:t>
            </w:r>
          </w:p>
        </w:tc>
      </w:tr>
    </w:tbl>
    <w:p w14:paraId="7B5FDC63" w14:textId="77777777" w:rsidR="00822D39" w:rsidRDefault="00822D39" w:rsidP="00822D39">
      <w:pPr>
        <w:pStyle w:val="Tablenotes"/>
      </w:pPr>
    </w:p>
    <w:p w14:paraId="70F529DE" w14:textId="336D2586" w:rsidR="001172A7" w:rsidRDefault="00272DC9" w:rsidP="008B3E4C">
      <w:pPr>
        <w:ind w:left="426"/>
        <w:rPr>
          <w:szCs w:val="20"/>
        </w:rPr>
      </w:pPr>
      <w:r>
        <w:rPr>
          <w:szCs w:val="20"/>
        </w:rPr>
        <w:t>The majority of TUWA procedures are expected to be performed under local anaesthesia. This is supported in McVary 2017 which report</w:t>
      </w:r>
      <w:r w:rsidR="003F5995">
        <w:rPr>
          <w:szCs w:val="20"/>
        </w:rPr>
        <w:t>s</w:t>
      </w:r>
      <w:r>
        <w:rPr>
          <w:szCs w:val="20"/>
        </w:rPr>
        <w:t xml:space="preserve"> o</w:t>
      </w:r>
      <w:r w:rsidR="001172A7">
        <w:rPr>
          <w:szCs w:val="20"/>
        </w:rPr>
        <w:t xml:space="preserve">ral sedation </w:t>
      </w:r>
      <w:r>
        <w:rPr>
          <w:szCs w:val="20"/>
        </w:rPr>
        <w:t xml:space="preserve">in </w:t>
      </w:r>
      <w:r w:rsidR="001172A7">
        <w:rPr>
          <w:szCs w:val="20"/>
        </w:rPr>
        <w:t>69%</w:t>
      </w:r>
      <w:r>
        <w:rPr>
          <w:szCs w:val="20"/>
        </w:rPr>
        <w:t xml:space="preserve"> of TUWA patients, </w:t>
      </w:r>
      <w:r w:rsidR="001172A7">
        <w:rPr>
          <w:szCs w:val="20"/>
        </w:rPr>
        <w:t xml:space="preserve">prostate block </w:t>
      </w:r>
      <w:r>
        <w:rPr>
          <w:szCs w:val="20"/>
        </w:rPr>
        <w:t xml:space="preserve">in </w:t>
      </w:r>
      <w:r w:rsidR="001172A7">
        <w:rPr>
          <w:szCs w:val="20"/>
        </w:rPr>
        <w:t xml:space="preserve">21% and intravenous sedation </w:t>
      </w:r>
      <w:r>
        <w:rPr>
          <w:szCs w:val="20"/>
        </w:rPr>
        <w:t xml:space="preserve">in </w:t>
      </w:r>
      <w:r w:rsidR="001172A7">
        <w:rPr>
          <w:szCs w:val="20"/>
        </w:rPr>
        <w:t>10%</w:t>
      </w:r>
      <w:r>
        <w:rPr>
          <w:szCs w:val="20"/>
        </w:rPr>
        <w:t>. Applying MBS costs to these anaesthesia distributions results in a total estimated cost of anaesthesia of $46.85 per procedure (</w:t>
      </w:r>
      <w:r>
        <w:rPr>
          <w:szCs w:val="20"/>
        </w:rPr>
        <w:fldChar w:fldCharType="begin"/>
      </w:r>
      <w:r>
        <w:rPr>
          <w:szCs w:val="20"/>
        </w:rPr>
        <w:instrText xml:space="preserve"> REF _Ref1051756 \h </w:instrText>
      </w:r>
      <w:r>
        <w:rPr>
          <w:szCs w:val="20"/>
        </w:rPr>
      </w:r>
      <w:r>
        <w:rPr>
          <w:szCs w:val="20"/>
        </w:rPr>
        <w:fldChar w:fldCharType="separate"/>
      </w:r>
      <w:r w:rsidR="00C51F41">
        <w:t xml:space="preserve">Table </w:t>
      </w:r>
      <w:r w:rsidR="00C51F41">
        <w:rPr>
          <w:noProof/>
        </w:rPr>
        <w:t>7</w:t>
      </w:r>
      <w:r>
        <w:rPr>
          <w:szCs w:val="20"/>
        </w:rPr>
        <w:fldChar w:fldCharType="end"/>
      </w:r>
      <w:r>
        <w:rPr>
          <w:szCs w:val="20"/>
        </w:rPr>
        <w:t xml:space="preserve">). </w:t>
      </w:r>
    </w:p>
    <w:p w14:paraId="5460F56E" w14:textId="564B7CBD" w:rsidR="001172A7" w:rsidRDefault="001172A7" w:rsidP="001172A7">
      <w:pPr>
        <w:pStyle w:val="Caption"/>
      </w:pPr>
      <w:bookmarkStart w:id="18" w:name="_Ref1051756"/>
      <w:r>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7</w:t>
      </w:r>
      <w:r w:rsidR="00420BF1">
        <w:rPr>
          <w:noProof/>
        </w:rPr>
        <w:fldChar w:fldCharType="end"/>
      </w:r>
      <w:bookmarkEnd w:id="18"/>
      <w:r>
        <w:tab/>
      </w:r>
      <w:r w:rsidR="00CD3A68">
        <w:t xml:space="preserve">Anaesthesia costs </w:t>
      </w:r>
      <w:r>
        <w:t>for TUWA</w:t>
      </w:r>
    </w:p>
    <w:tbl>
      <w:tblPr>
        <w:tblStyle w:val="TableGrid"/>
        <w:tblW w:w="0" w:type="auto"/>
        <w:tblInd w:w="426" w:type="dxa"/>
        <w:tblLook w:val="04A0" w:firstRow="1" w:lastRow="0" w:firstColumn="1" w:lastColumn="0" w:noHBand="0" w:noVBand="1"/>
        <w:tblCaption w:val="Table"/>
        <w:tblDescription w:val="Table 7"/>
      </w:tblPr>
      <w:tblGrid>
        <w:gridCol w:w="703"/>
        <w:gridCol w:w="3402"/>
        <w:gridCol w:w="2268"/>
        <w:gridCol w:w="2217"/>
      </w:tblGrid>
      <w:tr w:rsidR="001172A7" w14:paraId="5D34C844" w14:textId="77777777" w:rsidTr="00AC515B">
        <w:trPr>
          <w:cnfStyle w:val="100000000000" w:firstRow="1" w:lastRow="0" w:firstColumn="0" w:lastColumn="0" w:oddVBand="0" w:evenVBand="0" w:oddHBand="0" w:evenHBand="0" w:firstRowFirstColumn="0" w:firstRowLastColumn="0" w:lastRowFirstColumn="0" w:lastRowLastColumn="0"/>
          <w:tblHeader/>
        </w:trPr>
        <w:tc>
          <w:tcPr>
            <w:tcW w:w="703" w:type="dxa"/>
          </w:tcPr>
          <w:p w14:paraId="26B455AE" w14:textId="77777777" w:rsidR="001172A7" w:rsidRDefault="001172A7" w:rsidP="00A31788">
            <w:pPr>
              <w:pStyle w:val="Tabletext"/>
            </w:pPr>
            <w:r>
              <w:t>Row</w:t>
            </w:r>
          </w:p>
        </w:tc>
        <w:tc>
          <w:tcPr>
            <w:tcW w:w="3402" w:type="dxa"/>
          </w:tcPr>
          <w:p w14:paraId="6F47AA15" w14:textId="77777777" w:rsidR="001172A7" w:rsidRDefault="001172A7" w:rsidP="00A31788">
            <w:pPr>
              <w:pStyle w:val="Tabletext"/>
            </w:pPr>
            <w:r>
              <w:t>Parameter</w:t>
            </w:r>
          </w:p>
        </w:tc>
        <w:tc>
          <w:tcPr>
            <w:tcW w:w="2268" w:type="dxa"/>
          </w:tcPr>
          <w:p w14:paraId="2B54D879" w14:textId="0C41F1DF" w:rsidR="001172A7" w:rsidRDefault="00CD3A68" w:rsidP="00A31788">
            <w:pPr>
              <w:pStyle w:val="Tabletext"/>
            </w:pPr>
            <w:r>
              <w:t>Input</w:t>
            </w:r>
          </w:p>
        </w:tc>
        <w:tc>
          <w:tcPr>
            <w:tcW w:w="2217" w:type="dxa"/>
          </w:tcPr>
          <w:p w14:paraId="710162B6" w14:textId="77777777" w:rsidR="001172A7" w:rsidRDefault="001172A7" w:rsidP="00A31788">
            <w:pPr>
              <w:pStyle w:val="Tabletext"/>
            </w:pPr>
            <w:r>
              <w:t>Reference</w:t>
            </w:r>
          </w:p>
        </w:tc>
      </w:tr>
      <w:tr w:rsidR="001172A7" w14:paraId="0ACFA2B1" w14:textId="77777777" w:rsidTr="00CD3A68">
        <w:tc>
          <w:tcPr>
            <w:tcW w:w="703" w:type="dxa"/>
          </w:tcPr>
          <w:p w14:paraId="4CF3C520" w14:textId="77777777" w:rsidR="001172A7" w:rsidRDefault="001172A7" w:rsidP="00A31788">
            <w:pPr>
              <w:pStyle w:val="Tabletext"/>
            </w:pPr>
            <w:r>
              <w:t>A</w:t>
            </w:r>
          </w:p>
        </w:tc>
        <w:tc>
          <w:tcPr>
            <w:tcW w:w="3402" w:type="dxa"/>
          </w:tcPr>
          <w:p w14:paraId="3EDE3018" w14:textId="794FC163" w:rsidR="001172A7" w:rsidRDefault="001172A7" w:rsidP="00A31788">
            <w:pPr>
              <w:pStyle w:val="Tabletext"/>
            </w:pPr>
            <w:r>
              <w:t>% nerve block</w:t>
            </w:r>
          </w:p>
        </w:tc>
        <w:tc>
          <w:tcPr>
            <w:tcW w:w="2268" w:type="dxa"/>
          </w:tcPr>
          <w:p w14:paraId="6CE7EFE5" w14:textId="78922701" w:rsidR="001172A7" w:rsidRDefault="001172A7" w:rsidP="00A31788">
            <w:pPr>
              <w:pStyle w:val="Tabletext"/>
            </w:pPr>
            <w:r>
              <w:t>21%</w:t>
            </w:r>
          </w:p>
        </w:tc>
        <w:tc>
          <w:tcPr>
            <w:tcW w:w="2217" w:type="dxa"/>
          </w:tcPr>
          <w:p w14:paraId="18EB029B" w14:textId="6796AB67" w:rsidR="001172A7" w:rsidRDefault="00CD3A68" w:rsidP="00A31788">
            <w:pPr>
              <w:pStyle w:val="Tabletext"/>
            </w:pPr>
            <w:r>
              <w:t>McVary 2017</w:t>
            </w:r>
          </w:p>
        </w:tc>
      </w:tr>
      <w:tr w:rsidR="001172A7" w14:paraId="37462073" w14:textId="77777777" w:rsidTr="00CD3A68">
        <w:tc>
          <w:tcPr>
            <w:tcW w:w="703" w:type="dxa"/>
          </w:tcPr>
          <w:p w14:paraId="5AA1247C" w14:textId="77777777" w:rsidR="001172A7" w:rsidRDefault="001172A7" w:rsidP="00A31788">
            <w:pPr>
              <w:pStyle w:val="Tabletext"/>
            </w:pPr>
            <w:r>
              <w:t>B</w:t>
            </w:r>
          </w:p>
        </w:tc>
        <w:tc>
          <w:tcPr>
            <w:tcW w:w="3402" w:type="dxa"/>
          </w:tcPr>
          <w:p w14:paraId="73018E1F" w14:textId="320863C5" w:rsidR="001172A7" w:rsidRDefault="00CD3A68" w:rsidP="00A31788">
            <w:pPr>
              <w:pStyle w:val="Tabletext"/>
            </w:pPr>
            <w:r>
              <w:t>Lumbar or thoracic nerve anaesthesia (paravertebral nerve block)</w:t>
            </w:r>
          </w:p>
        </w:tc>
        <w:tc>
          <w:tcPr>
            <w:tcW w:w="2268" w:type="dxa"/>
          </w:tcPr>
          <w:p w14:paraId="1DB63CBD" w14:textId="554915F2" w:rsidR="001172A7" w:rsidRDefault="00CD3A68" w:rsidP="00A31788">
            <w:pPr>
              <w:pStyle w:val="Tabletext"/>
            </w:pPr>
            <w:r>
              <w:t>$147.65</w:t>
            </w:r>
          </w:p>
        </w:tc>
        <w:tc>
          <w:tcPr>
            <w:tcW w:w="2217" w:type="dxa"/>
          </w:tcPr>
          <w:p w14:paraId="7344F3B3" w14:textId="095E48B7" w:rsidR="001172A7" w:rsidRDefault="00CD3A68" w:rsidP="00A31788">
            <w:pPr>
              <w:pStyle w:val="Tabletext"/>
            </w:pPr>
            <w:r>
              <w:t>MBS 18286</w:t>
            </w:r>
          </w:p>
        </w:tc>
      </w:tr>
      <w:tr w:rsidR="001172A7" w14:paraId="5A0BD18B" w14:textId="77777777" w:rsidTr="00CD3A68">
        <w:tc>
          <w:tcPr>
            <w:tcW w:w="703" w:type="dxa"/>
          </w:tcPr>
          <w:p w14:paraId="1857B086" w14:textId="77777777" w:rsidR="001172A7" w:rsidRDefault="001172A7" w:rsidP="00A31788">
            <w:pPr>
              <w:pStyle w:val="Tabletext"/>
            </w:pPr>
            <w:r>
              <w:t>C</w:t>
            </w:r>
          </w:p>
        </w:tc>
        <w:tc>
          <w:tcPr>
            <w:tcW w:w="3402" w:type="dxa"/>
          </w:tcPr>
          <w:p w14:paraId="771BC8DD" w14:textId="4F7C4099" w:rsidR="001172A7" w:rsidRDefault="001172A7" w:rsidP="00A31788">
            <w:pPr>
              <w:pStyle w:val="Tabletext"/>
            </w:pPr>
            <w:r>
              <w:t>% general</w:t>
            </w:r>
            <w:r w:rsidR="003F5995">
              <w:t xml:space="preserve"> anaesthesia</w:t>
            </w:r>
          </w:p>
        </w:tc>
        <w:tc>
          <w:tcPr>
            <w:tcW w:w="2268" w:type="dxa"/>
          </w:tcPr>
          <w:p w14:paraId="7FF5AB5C" w14:textId="3818468A" w:rsidR="001172A7" w:rsidRDefault="001172A7" w:rsidP="00A31788">
            <w:pPr>
              <w:pStyle w:val="Tabletext"/>
            </w:pPr>
            <w:r>
              <w:t>10%</w:t>
            </w:r>
          </w:p>
        </w:tc>
        <w:tc>
          <w:tcPr>
            <w:tcW w:w="2217" w:type="dxa"/>
          </w:tcPr>
          <w:p w14:paraId="0EBBE9FA" w14:textId="4616F7D2" w:rsidR="001172A7" w:rsidRDefault="00CD3A68" w:rsidP="00A31788">
            <w:pPr>
              <w:pStyle w:val="Tabletext"/>
            </w:pPr>
            <w:r>
              <w:t>McVary 2017</w:t>
            </w:r>
          </w:p>
        </w:tc>
      </w:tr>
      <w:tr w:rsidR="001172A7" w14:paraId="142A858F" w14:textId="77777777" w:rsidTr="00CD3A68">
        <w:tc>
          <w:tcPr>
            <w:tcW w:w="703" w:type="dxa"/>
          </w:tcPr>
          <w:p w14:paraId="1272A468" w14:textId="77777777" w:rsidR="001172A7" w:rsidRDefault="001172A7" w:rsidP="00A31788">
            <w:pPr>
              <w:pStyle w:val="Tabletext"/>
            </w:pPr>
            <w:r>
              <w:t>D</w:t>
            </w:r>
          </w:p>
        </w:tc>
        <w:tc>
          <w:tcPr>
            <w:tcW w:w="3402" w:type="dxa"/>
          </w:tcPr>
          <w:p w14:paraId="5319D444" w14:textId="7F0694E8" w:rsidR="001172A7" w:rsidRDefault="001172A7" w:rsidP="00A31788">
            <w:pPr>
              <w:pStyle w:val="Tabletext"/>
            </w:pPr>
            <w:r>
              <w:t>Time unit cost</w:t>
            </w:r>
            <w:r w:rsidR="00D8445F">
              <w:t xml:space="preserve"> </w:t>
            </w:r>
            <w:r w:rsidR="00840974">
              <w:t>(0-15 minutes)</w:t>
            </w:r>
          </w:p>
        </w:tc>
        <w:tc>
          <w:tcPr>
            <w:tcW w:w="2268" w:type="dxa"/>
          </w:tcPr>
          <w:p w14:paraId="20F10E2B" w14:textId="7EADFDFE" w:rsidR="001172A7" w:rsidRDefault="00CD3A68" w:rsidP="00A31788">
            <w:pPr>
              <w:pStyle w:val="Tabletext"/>
            </w:pPr>
            <w:r>
              <w:t>$19.80</w:t>
            </w:r>
          </w:p>
        </w:tc>
        <w:tc>
          <w:tcPr>
            <w:tcW w:w="2217" w:type="dxa"/>
          </w:tcPr>
          <w:p w14:paraId="5AB95CD0" w14:textId="0E260539" w:rsidR="001172A7" w:rsidRDefault="00CD3A68" w:rsidP="00A31788">
            <w:pPr>
              <w:pStyle w:val="Tabletext"/>
            </w:pPr>
            <w:r>
              <w:t>MBS 23010</w:t>
            </w:r>
          </w:p>
        </w:tc>
      </w:tr>
      <w:tr w:rsidR="001172A7" w14:paraId="0267C311" w14:textId="77777777" w:rsidTr="00CD3A68">
        <w:tc>
          <w:tcPr>
            <w:tcW w:w="703" w:type="dxa"/>
          </w:tcPr>
          <w:p w14:paraId="3E528B4D" w14:textId="77777777" w:rsidR="001172A7" w:rsidRDefault="001172A7" w:rsidP="00A31788">
            <w:pPr>
              <w:pStyle w:val="Tabletext"/>
            </w:pPr>
            <w:r>
              <w:t>E</w:t>
            </w:r>
          </w:p>
        </w:tc>
        <w:tc>
          <w:tcPr>
            <w:tcW w:w="3402" w:type="dxa"/>
          </w:tcPr>
          <w:p w14:paraId="7FB6E654" w14:textId="5941B294" w:rsidR="001172A7" w:rsidRDefault="001172A7" w:rsidP="00A31788">
            <w:pPr>
              <w:pStyle w:val="Tabletext"/>
            </w:pPr>
            <w:r>
              <w:t>Initiation and management cost</w:t>
            </w:r>
          </w:p>
        </w:tc>
        <w:tc>
          <w:tcPr>
            <w:tcW w:w="2268" w:type="dxa"/>
          </w:tcPr>
          <w:p w14:paraId="26AF3128" w14:textId="4B7194EE" w:rsidR="001172A7" w:rsidRDefault="00CD3A68" w:rsidP="00A31788">
            <w:pPr>
              <w:pStyle w:val="Tabletext"/>
            </w:pPr>
            <w:r>
              <w:t>$138.60</w:t>
            </w:r>
          </w:p>
        </w:tc>
        <w:tc>
          <w:tcPr>
            <w:tcW w:w="2217" w:type="dxa"/>
          </w:tcPr>
          <w:p w14:paraId="29FDA320" w14:textId="39922FC2" w:rsidR="001172A7" w:rsidRDefault="00CD3A68" w:rsidP="00A31788">
            <w:pPr>
              <w:pStyle w:val="Tabletext"/>
            </w:pPr>
            <w:r>
              <w:t>MBS 20914</w:t>
            </w:r>
          </w:p>
        </w:tc>
      </w:tr>
      <w:tr w:rsidR="001172A7" w14:paraId="4C52D666" w14:textId="77777777" w:rsidTr="00CD3A68">
        <w:tc>
          <w:tcPr>
            <w:tcW w:w="703" w:type="dxa"/>
          </w:tcPr>
          <w:p w14:paraId="61B31EBE" w14:textId="77777777" w:rsidR="001172A7" w:rsidRDefault="001172A7" w:rsidP="00A31788">
            <w:pPr>
              <w:pStyle w:val="Tabletext"/>
            </w:pPr>
            <w:r>
              <w:t>F</w:t>
            </w:r>
          </w:p>
        </w:tc>
        <w:tc>
          <w:tcPr>
            <w:tcW w:w="3402" w:type="dxa"/>
          </w:tcPr>
          <w:p w14:paraId="2FAF4860" w14:textId="2AB40100" w:rsidR="001172A7" w:rsidRDefault="00CD3A68" w:rsidP="00A31788">
            <w:pPr>
              <w:pStyle w:val="Tabletext"/>
            </w:pPr>
            <w:r>
              <w:t>Total anaesthesia costs</w:t>
            </w:r>
          </w:p>
        </w:tc>
        <w:tc>
          <w:tcPr>
            <w:tcW w:w="2268" w:type="dxa"/>
          </w:tcPr>
          <w:p w14:paraId="72786430" w14:textId="0B21D94E" w:rsidR="001172A7" w:rsidRDefault="00CD3A68" w:rsidP="00A31788">
            <w:pPr>
              <w:pStyle w:val="Tabletext"/>
            </w:pPr>
            <w:r>
              <w:t>$46.85</w:t>
            </w:r>
          </w:p>
        </w:tc>
        <w:tc>
          <w:tcPr>
            <w:tcW w:w="2217" w:type="dxa"/>
          </w:tcPr>
          <w:p w14:paraId="0FA87310" w14:textId="5C0C1B96" w:rsidR="001172A7" w:rsidRDefault="00CD3A68" w:rsidP="00A31788">
            <w:pPr>
              <w:pStyle w:val="Tabletext"/>
            </w:pPr>
            <w:r>
              <w:t>A*B + C*(D+E)</w:t>
            </w:r>
          </w:p>
        </w:tc>
      </w:tr>
    </w:tbl>
    <w:p w14:paraId="20F7D9A1" w14:textId="77777777" w:rsidR="001172A7" w:rsidRDefault="001172A7" w:rsidP="001172A7">
      <w:pPr>
        <w:pStyle w:val="Tablenotes"/>
      </w:pPr>
    </w:p>
    <w:p w14:paraId="58BA7B4F" w14:textId="5BAC6536" w:rsidR="00822D39" w:rsidRDefault="00822D39" w:rsidP="00822D39">
      <w:pPr>
        <w:ind w:left="426"/>
        <w:rPr>
          <w:szCs w:val="20"/>
        </w:rPr>
      </w:pPr>
      <w:r>
        <w:rPr>
          <w:szCs w:val="20"/>
        </w:rPr>
        <w:t xml:space="preserve">TUWA </w:t>
      </w:r>
      <w:r w:rsidR="003C677C">
        <w:rPr>
          <w:szCs w:val="20"/>
        </w:rPr>
        <w:t>is proposed to be a day procedure performed in a</w:t>
      </w:r>
      <w:r w:rsidR="00601C77">
        <w:rPr>
          <w:szCs w:val="20"/>
        </w:rPr>
        <w:t xml:space="preserve"> day hospital </w:t>
      </w:r>
      <w:r w:rsidR="003C677C">
        <w:rPr>
          <w:szCs w:val="20"/>
        </w:rPr>
        <w:t xml:space="preserve">setting. Therefore, hospitalisation costs associated with TUWA are expected to be minimal. </w:t>
      </w:r>
      <w:r w:rsidR="00010FCB">
        <w:rPr>
          <w:szCs w:val="20"/>
        </w:rPr>
        <w:t>A</w:t>
      </w:r>
      <w:r w:rsidR="003C677C">
        <w:rPr>
          <w:szCs w:val="20"/>
        </w:rPr>
        <w:t xml:space="preserve"> day bed cost has been applied for TUWA procedures based on </w:t>
      </w:r>
      <w:r w:rsidR="0084039E">
        <w:rPr>
          <w:szCs w:val="20"/>
        </w:rPr>
        <w:t>same day accommodation fees for privately admitted</w:t>
      </w:r>
      <w:r w:rsidR="00010FCB">
        <w:rPr>
          <w:szCs w:val="20"/>
        </w:rPr>
        <w:t xml:space="preserve"> patient</w:t>
      </w:r>
      <w:r w:rsidR="0084039E">
        <w:rPr>
          <w:szCs w:val="20"/>
        </w:rPr>
        <w:t xml:space="preserve">s in </w:t>
      </w:r>
      <w:r w:rsidR="00010FCB">
        <w:rPr>
          <w:szCs w:val="20"/>
        </w:rPr>
        <w:t>NSW</w:t>
      </w:r>
      <w:r w:rsidR="0084039E">
        <w:rPr>
          <w:szCs w:val="20"/>
        </w:rPr>
        <w:t xml:space="preserve"> (NSW Health 2018)</w:t>
      </w:r>
      <w:r w:rsidR="00010FCB">
        <w:rPr>
          <w:szCs w:val="20"/>
        </w:rPr>
        <w:t xml:space="preserve">. Same </w:t>
      </w:r>
      <w:r w:rsidR="00D8445F">
        <w:rPr>
          <w:szCs w:val="20"/>
        </w:rPr>
        <w:t xml:space="preserve">day </w:t>
      </w:r>
      <w:r w:rsidR="00010FCB">
        <w:rPr>
          <w:szCs w:val="20"/>
        </w:rPr>
        <w:t xml:space="preserve">fees are based on procedure bands which in turn are based on anaesthesia </w:t>
      </w:r>
      <w:r w:rsidR="00AD2411">
        <w:rPr>
          <w:szCs w:val="20"/>
        </w:rPr>
        <w:t xml:space="preserve">use </w:t>
      </w:r>
      <w:r w:rsidR="00010FCB">
        <w:rPr>
          <w:szCs w:val="20"/>
        </w:rPr>
        <w:t>and duration</w:t>
      </w:r>
      <w:r w:rsidR="00AD2411">
        <w:rPr>
          <w:szCs w:val="20"/>
        </w:rPr>
        <w:t xml:space="preserve"> of procedure</w:t>
      </w:r>
      <w:r w:rsidR="00010FCB">
        <w:rPr>
          <w:szCs w:val="20"/>
        </w:rPr>
        <w:t>. For TUWA</w:t>
      </w:r>
      <w:r w:rsidR="00D8445F">
        <w:rPr>
          <w:szCs w:val="20"/>
        </w:rPr>
        <w:t>,</w:t>
      </w:r>
      <w:r w:rsidR="00010FCB">
        <w:rPr>
          <w:szCs w:val="20"/>
        </w:rPr>
        <w:t xml:space="preserve"> a weighted average of Band 2 (</w:t>
      </w:r>
      <w:r w:rsidR="00903269">
        <w:rPr>
          <w:szCs w:val="20"/>
        </w:rPr>
        <w:t>procedures performed under local anaesthesia</w:t>
      </w:r>
      <w:r w:rsidR="00010FCB">
        <w:rPr>
          <w:szCs w:val="20"/>
        </w:rPr>
        <w:t>) and Band 3 (</w:t>
      </w:r>
      <w:r w:rsidR="00903269">
        <w:rPr>
          <w:szCs w:val="20"/>
        </w:rPr>
        <w:t xml:space="preserve">procedures performed under block/general anaesthesia </w:t>
      </w:r>
      <w:r w:rsidR="00D8445F">
        <w:rPr>
          <w:szCs w:val="20"/>
        </w:rPr>
        <w:t xml:space="preserve">less than </w:t>
      </w:r>
      <w:r w:rsidR="00BD5018">
        <w:rPr>
          <w:szCs w:val="20"/>
        </w:rPr>
        <w:t>1-hour</w:t>
      </w:r>
      <w:r w:rsidR="00903269">
        <w:rPr>
          <w:szCs w:val="20"/>
        </w:rPr>
        <w:t xml:space="preserve"> duration</w:t>
      </w:r>
      <w:r w:rsidR="00010FCB">
        <w:rPr>
          <w:szCs w:val="20"/>
        </w:rPr>
        <w:t xml:space="preserve">) costs </w:t>
      </w:r>
      <w:r w:rsidR="00AD2411">
        <w:rPr>
          <w:szCs w:val="20"/>
        </w:rPr>
        <w:t xml:space="preserve">are </w:t>
      </w:r>
      <w:r w:rsidR="00010FCB">
        <w:rPr>
          <w:szCs w:val="20"/>
        </w:rPr>
        <w:t>applied</w:t>
      </w:r>
      <w:r w:rsidR="003C677C">
        <w:rPr>
          <w:szCs w:val="20"/>
        </w:rPr>
        <w:t>, resulting in an estimated hospitalisation cost of $</w:t>
      </w:r>
      <w:r w:rsidR="00010FCB">
        <w:rPr>
          <w:szCs w:val="20"/>
        </w:rPr>
        <w:t>299</w:t>
      </w:r>
      <w:r w:rsidR="00D8445F">
        <w:rPr>
          <w:szCs w:val="20"/>
        </w:rPr>
        <w:t xml:space="preserve"> per procedure</w:t>
      </w:r>
      <w:r w:rsidR="00AD2411">
        <w:rPr>
          <w:szCs w:val="20"/>
        </w:rPr>
        <w:t xml:space="preserve"> (</w:t>
      </w:r>
      <w:r w:rsidR="00AD2411">
        <w:rPr>
          <w:szCs w:val="20"/>
        </w:rPr>
        <w:fldChar w:fldCharType="begin"/>
      </w:r>
      <w:r w:rsidR="00AD2411">
        <w:rPr>
          <w:szCs w:val="20"/>
        </w:rPr>
        <w:instrText xml:space="preserve"> REF _Ref1118234 \h </w:instrText>
      </w:r>
      <w:r w:rsidR="00AD2411">
        <w:rPr>
          <w:szCs w:val="20"/>
        </w:rPr>
      </w:r>
      <w:r w:rsidR="00AD2411">
        <w:rPr>
          <w:szCs w:val="20"/>
        </w:rPr>
        <w:fldChar w:fldCharType="separate"/>
      </w:r>
      <w:r w:rsidR="00C51F41">
        <w:t xml:space="preserve">Table </w:t>
      </w:r>
      <w:r w:rsidR="00C51F41">
        <w:rPr>
          <w:noProof/>
        </w:rPr>
        <w:t>8</w:t>
      </w:r>
      <w:r w:rsidR="00AD2411">
        <w:rPr>
          <w:szCs w:val="20"/>
        </w:rPr>
        <w:fldChar w:fldCharType="end"/>
      </w:r>
      <w:r w:rsidR="00AD2411">
        <w:rPr>
          <w:szCs w:val="20"/>
        </w:rPr>
        <w:t>)</w:t>
      </w:r>
      <w:r w:rsidR="003C677C">
        <w:rPr>
          <w:szCs w:val="20"/>
        </w:rPr>
        <w:t>.</w:t>
      </w:r>
    </w:p>
    <w:p w14:paraId="5C6DE17F" w14:textId="7E70B035" w:rsidR="003D0FED" w:rsidRDefault="003D0FED" w:rsidP="00822D39">
      <w:pPr>
        <w:ind w:left="426"/>
        <w:rPr>
          <w:szCs w:val="20"/>
        </w:rPr>
      </w:pPr>
    </w:p>
    <w:p w14:paraId="4424D0BF" w14:textId="77777777" w:rsidR="003D0FED" w:rsidRDefault="003D0FED" w:rsidP="00822D39">
      <w:pPr>
        <w:ind w:left="426"/>
        <w:rPr>
          <w:szCs w:val="20"/>
        </w:rPr>
      </w:pPr>
    </w:p>
    <w:p w14:paraId="0FAE8E72" w14:textId="1BE68EDC" w:rsidR="00010FCB" w:rsidRDefault="00010FCB" w:rsidP="00010FCB">
      <w:pPr>
        <w:pStyle w:val="Caption"/>
      </w:pPr>
      <w:bookmarkStart w:id="19" w:name="_Ref1118234"/>
      <w:r>
        <w:lastRenderedPageBreak/>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8</w:t>
      </w:r>
      <w:r w:rsidR="00420BF1">
        <w:rPr>
          <w:noProof/>
        </w:rPr>
        <w:fldChar w:fldCharType="end"/>
      </w:r>
      <w:bookmarkEnd w:id="19"/>
      <w:r>
        <w:tab/>
        <w:t>Hospitalisation co</w:t>
      </w:r>
      <w:r w:rsidR="00AD2411">
        <w:t>s</w:t>
      </w:r>
      <w:r>
        <w:t>ts for TUWA</w:t>
      </w:r>
    </w:p>
    <w:tbl>
      <w:tblPr>
        <w:tblStyle w:val="TableGrid"/>
        <w:tblW w:w="0" w:type="auto"/>
        <w:tblInd w:w="426" w:type="dxa"/>
        <w:tblLook w:val="04A0" w:firstRow="1" w:lastRow="0" w:firstColumn="1" w:lastColumn="0" w:noHBand="0" w:noVBand="1"/>
        <w:tblCaption w:val="Table"/>
        <w:tblDescription w:val="Table 8"/>
      </w:tblPr>
      <w:tblGrid>
        <w:gridCol w:w="703"/>
        <w:gridCol w:w="3969"/>
        <w:gridCol w:w="1701"/>
        <w:gridCol w:w="2217"/>
      </w:tblGrid>
      <w:tr w:rsidR="00010FCB" w14:paraId="19139805" w14:textId="77777777" w:rsidTr="00EE2F29">
        <w:trPr>
          <w:cnfStyle w:val="100000000000" w:firstRow="1" w:lastRow="0" w:firstColumn="0" w:lastColumn="0" w:oddVBand="0" w:evenVBand="0" w:oddHBand="0" w:evenHBand="0" w:firstRowFirstColumn="0" w:firstRowLastColumn="0" w:lastRowFirstColumn="0" w:lastRowLastColumn="0"/>
          <w:tblHeader/>
        </w:trPr>
        <w:tc>
          <w:tcPr>
            <w:tcW w:w="703" w:type="dxa"/>
          </w:tcPr>
          <w:p w14:paraId="369B6F60" w14:textId="77777777" w:rsidR="00010FCB" w:rsidRDefault="00010FCB" w:rsidP="00A31788">
            <w:pPr>
              <w:pStyle w:val="Tabletext"/>
            </w:pPr>
            <w:r>
              <w:t>Row</w:t>
            </w:r>
          </w:p>
        </w:tc>
        <w:tc>
          <w:tcPr>
            <w:tcW w:w="3969" w:type="dxa"/>
          </w:tcPr>
          <w:p w14:paraId="040C860D" w14:textId="77777777" w:rsidR="00010FCB" w:rsidRDefault="00010FCB" w:rsidP="00A31788">
            <w:pPr>
              <w:pStyle w:val="Tabletext"/>
            </w:pPr>
            <w:r>
              <w:t>Parameter</w:t>
            </w:r>
          </w:p>
        </w:tc>
        <w:tc>
          <w:tcPr>
            <w:tcW w:w="1701" w:type="dxa"/>
          </w:tcPr>
          <w:p w14:paraId="6F7F61D5" w14:textId="77777777" w:rsidR="00010FCB" w:rsidRDefault="00010FCB" w:rsidP="00A31788">
            <w:pPr>
              <w:pStyle w:val="Tabletext"/>
            </w:pPr>
            <w:r>
              <w:t>Input</w:t>
            </w:r>
          </w:p>
        </w:tc>
        <w:tc>
          <w:tcPr>
            <w:tcW w:w="2217" w:type="dxa"/>
          </w:tcPr>
          <w:p w14:paraId="04D922AA" w14:textId="77777777" w:rsidR="00010FCB" w:rsidRDefault="00010FCB" w:rsidP="00A31788">
            <w:pPr>
              <w:pStyle w:val="Tabletext"/>
            </w:pPr>
            <w:r>
              <w:t>Reference</w:t>
            </w:r>
          </w:p>
        </w:tc>
      </w:tr>
      <w:tr w:rsidR="00010FCB" w14:paraId="6C02D0FA" w14:textId="77777777" w:rsidTr="00AD2411">
        <w:tc>
          <w:tcPr>
            <w:tcW w:w="703" w:type="dxa"/>
          </w:tcPr>
          <w:p w14:paraId="1FBBBD81" w14:textId="77777777" w:rsidR="00010FCB" w:rsidRDefault="00010FCB" w:rsidP="00010FCB">
            <w:pPr>
              <w:pStyle w:val="Tabletext"/>
            </w:pPr>
            <w:r>
              <w:t>A</w:t>
            </w:r>
          </w:p>
        </w:tc>
        <w:tc>
          <w:tcPr>
            <w:tcW w:w="3969" w:type="dxa"/>
          </w:tcPr>
          <w:p w14:paraId="0061AE7F" w14:textId="5CF0A242" w:rsidR="00010FCB" w:rsidRDefault="00010FCB" w:rsidP="00010FCB">
            <w:pPr>
              <w:pStyle w:val="Tabletext"/>
            </w:pPr>
            <w:r>
              <w:t>Proportion Band 2 (local anaesthesia)</w:t>
            </w:r>
          </w:p>
        </w:tc>
        <w:tc>
          <w:tcPr>
            <w:tcW w:w="1701" w:type="dxa"/>
          </w:tcPr>
          <w:p w14:paraId="3E6FED31" w14:textId="39147900" w:rsidR="00010FCB" w:rsidRDefault="00010FCB" w:rsidP="00010FCB">
            <w:pPr>
              <w:pStyle w:val="Tabletext"/>
            </w:pPr>
            <w:r>
              <w:t>69%</w:t>
            </w:r>
          </w:p>
        </w:tc>
        <w:tc>
          <w:tcPr>
            <w:tcW w:w="2217" w:type="dxa"/>
          </w:tcPr>
          <w:p w14:paraId="66EB4D56" w14:textId="76EFCEA1" w:rsidR="00010FCB" w:rsidRDefault="00010FCB" w:rsidP="00010FCB">
            <w:pPr>
              <w:pStyle w:val="Tabletext"/>
            </w:pPr>
            <w:r>
              <w:fldChar w:fldCharType="begin"/>
            </w:r>
            <w:r>
              <w:instrText xml:space="preserve"> REF _Ref1051756 \h </w:instrText>
            </w:r>
            <w:r>
              <w:fldChar w:fldCharType="separate"/>
            </w:r>
            <w:r w:rsidR="00C51F41">
              <w:t xml:space="preserve">Table </w:t>
            </w:r>
            <w:r w:rsidR="00C51F41">
              <w:rPr>
                <w:noProof/>
              </w:rPr>
              <w:t>7</w:t>
            </w:r>
            <w:r>
              <w:fldChar w:fldCharType="end"/>
            </w:r>
          </w:p>
        </w:tc>
      </w:tr>
      <w:tr w:rsidR="00010FCB" w14:paraId="7B90160F" w14:textId="77777777" w:rsidTr="00AD2411">
        <w:tc>
          <w:tcPr>
            <w:tcW w:w="703" w:type="dxa"/>
          </w:tcPr>
          <w:p w14:paraId="431806DF" w14:textId="77777777" w:rsidR="00010FCB" w:rsidRDefault="00010FCB" w:rsidP="00010FCB">
            <w:pPr>
              <w:pStyle w:val="Tabletext"/>
            </w:pPr>
            <w:r>
              <w:t>B</w:t>
            </w:r>
          </w:p>
        </w:tc>
        <w:tc>
          <w:tcPr>
            <w:tcW w:w="3969" w:type="dxa"/>
          </w:tcPr>
          <w:p w14:paraId="0BCC8330" w14:textId="5D3310FA" w:rsidR="00010FCB" w:rsidRDefault="00010FCB" w:rsidP="00010FCB">
            <w:pPr>
              <w:pStyle w:val="Tabletext"/>
            </w:pPr>
            <w:r>
              <w:t>Day bed cost of Band 2 procedures</w:t>
            </w:r>
          </w:p>
        </w:tc>
        <w:tc>
          <w:tcPr>
            <w:tcW w:w="1701" w:type="dxa"/>
          </w:tcPr>
          <w:p w14:paraId="3FD18AAD" w14:textId="0B1F23BC" w:rsidR="00010FCB" w:rsidRDefault="00010FCB" w:rsidP="00010FCB">
            <w:pPr>
              <w:pStyle w:val="Tabletext"/>
            </w:pPr>
            <w:r>
              <w:t>$</w:t>
            </w:r>
            <w:r w:rsidRPr="00447371">
              <w:t>290</w:t>
            </w:r>
          </w:p>
        </w:tc>
        <w:tc>
          <w:tcPr>
            <w:tcW w:w="2217" w:type="dxa"/>
          </w:tcPr>
          <w:p w14:paraId="64C1D833" w14:textId="5DBF6EDC" w:rsidR="00010FCB" w:rsidRDefault="00010FCB" w:rsidP="00010FCB">
            <w:pPr>
              <w:pStyle w:val="Tabletext"/>
            </w:pPr>
            <w:r>
              <w:t>NSW Health 2018</w:t>
            </w:r>
            <w:r w:rsidRPr="00010FCB">
              <w:rPr>
                <w:vertAlign w:val="superscript"/>
              </w:rPr>
              <w:t>a</w:t>
            </w:r>
          </w:p>
        </w:tc>
      </w:tr>
      <w:tr w:rsidR="00010FCB" w14:paraId="70B8EFA7" w14:textId="77777777" w:rsidTr="00AD2411">
        <w:tc>
          <w:tcPr>
            <w:tcW w:w="703" w:type="dxa"/>
          </w:tcPr>
          <w:p w14:paraId="61AB2F1D" w14:textId="77777777" w:rsidR="00010FCB" w:rsidRDefault="00010FCB" w:rsidP="00010FCB">
            <w:pPr>
              <w:pStyle w:val="Tabletext"/>
            </w:pPr>
            <w:r>
              <w:t>C</w:t>
            </w:r>
          </w:p>
        </w:tc>
        <w:tc>
          <w:tcPr>
            <w:tcW w:w="3969" w:type="dxa"/>
          </w:tcPr>
          <w:p w14:paraId="7F3B5A80" w14:textId="2BFAF5D6" w:rsidR="00010FCB" w:rsidRDefault="00010FCB" w:rsidP="00010FCB">
            <w:pPr>
              <w:pStyle w:val="Tabletext"/>
            </w:pPr>
            <w:r>
              <w:t>Proportion Band 3 (block/general anaesthesia under 1 hour)</w:t>
            </w:r>
            <w:r w:rsidR="00AD2411">
              <w:t xml:space="preserve"> </w:t>
            </w:r>
            <w:r w:rsidR="00AD2411" w:rsidRPr="00AD2411">
              <w:rPr>
                <w:vertAlign w:val="superscript"/>
              </w:rPr>
              <w:t>b</w:t>
            </w:r>
          </w:p>
        </w:tc>
        <w:tc>
          <w:tcPr>
            <w:tcW w:w="1701" w:type="dxa"/>
          </w:tcPr>
          <w:p w14:paraId="230BE114" w14:textId="0C4475CE" w:rsidR="00010FCB" w:rsidRDefault="00010FCB" w:rsidP="00010FCB">
            <w:pPr>
              <w:pStyle w:val="Tabletext"/>
            </w:pPr>
            <w:r>
              <w:t>31%</w:t>
            </w:r>
          </w:p>
        </w:tc>
        <w:tc>
          <w:tcPr>
            <w:tcW w:w="2217" w:type="dxa"/>
          </w:tcPr>
          <w:p w14:paraId="19C68A6B" w14:textId="3A211EB0" w:rsidR="00010FCB" w:rsidRDefault="00010FCB" w:rsidP="00010FCB">
            <w:pPr>
              <w:pStyle w:val="Tabletext"/>
            </w:pPr>
            <w:r>
              <w:fldChar w:fldCharType="begin"/>
            </w:r>
            <w:r>
              <w:instrText xml:space="preserve"> REF _Ref1051756 \h </w:instrText>
            </w:r>
            <w:r>
              <w:fldChar w:fldCharType="separate"/>
            </w:r>
            <w:r w:rsidR="00C51F41">
              <w:t xml:space="preserve">Table </w:t>
            </w:r>
            <w:r w:rsidR="00C51F41">
              <w:rPr>
                <w:noProof/>
              </w:rPr>
              <w:t>7</w:t>
            </w:r>
            <w:r>
              <w:fldChar w:fldCharType="end"/>
            </w:r>
          </w:p>
        </w:tc>
      </w:tr>
      <w:tr w:rsidR="00010FCB" w14:paraId="10513129" w14:textId="77777777" w:rsidTr="00AD2411">
        <w:tc>
          <w:tcPr>
            <w:tcW w:w="703" w:type="dxa"/>
          </w:tcPr>
          <w:p w14:paraId="01CED022" w14:textId="77777777" w:rsidR="00010FCB" w:rsidRDefault="00010FCB" w:rsidP="00010FCB">
            <w:pPr>
              <w:pStyle w:val="Tabletext"/>
            </w:pPr>
            <w:r>
              <w:t>D</w:t>
            </w:r>
          </w:p>
        </w:tc>
        <w:tc>
          <w:tcPr>
            <w:tcW w:w="3969" w:type="dxa"/>
          </w:tcPr>
          <w:p w14:paraId="76136291" w14:textId="15BC2D01" w:rsidR="00010FCB" w:rsidRDefault="00010FCB" w:rsidP="00010FCB">
            <w:pPr>
              <w:pStyle w:val="Tabletext"/>
            </w:pPr>
            <w:r>
              <w:t>Day bed cost of Band 3 procedures</w:t>
            </w:r>
          </w:p>
        </w:tc>
        <w:tc>
          <w:tcPr>
            <w:tcW w:w="1701" w:type="dxa"/>
          </w:tcPr>
          <w:p w14:paraId="60B95A0C" w14:textId="44AA9FC4" w:rsidR="00010FCB" w:rsidRDefault="00010FCB" w:rsidP="00010FCB">
            <w:pPr>
              <w:pStyle w:val="Tabletext"/>
            </w:pPr>
            <w:r>
              <w:t>$</w:t>
            </w:r>
            <w:r w:rsidRPr="00447371">
              <w:t>318</w:t>
            </w:r>
          </w:p>
        </w:tc>
        <w:tc>
          <w:tcPr>
            <w:tcW w:w="2217" w:type="dxa"/>
          </w:tcPr>
          <w:p w14:paraId="41C07B91" w14:textId="581FF9CF" w:rsidR="00010FCB" w:rsidRDefault="00010FCB" w:rsidP="00010FCB">
            <w:pPr>
              <w:pStyle w:val="Tabletext"/>
            </w:pPr>
            <w:r>
              <w:t>NSW Health 2018</w:t>
            </w:r>
            <w:r w:rsidRPr="00010FCB">
              <w:rPr>
                <w:vertAlign w:val="superscript"/>
              </w:rPr>
              <w:t>a</w:t>
            </w:r>
          </w:p>
        </w:tc>
      </w:tr>
      <w:tr w:rsidR="00010FCB" w14:paraId="44065E21" w14:textId="77777777" w:rsidTr="00AD2411">
        <w:tc>
          <w:tcPr>
            <w:tcW w:w="703" w:type="dxa"/>
          </w:tcPr>
          <w:p w14:paraId="15D7B050" w14:textId="77777777" w:rsidR="00010FCB" w:rsidRDefault="00010FCB" w:rsidP="00010FCB">
            <w:pPr>
              <w:pStyle w:val="Tabletext"/>
            </w:pPr>
            <w:r>
              <w:t>E</w:t>
            </w:r>
          </w:p>
        </w:tc>
        <w:tc>
          <w:tcPr>
            <w:tcW w:w="3969" w:type="dxa"/>
          </w:tcPr>
          <w:p w14:paraId="0E93AC4E" w14:textId="3AC1B53D" w:rsidR="00010FCB" w:rsidRDefault="00010FCB" w:rsidP="00010FCB">
            <w:pPr>
              <w:pStyle w:val="Tabletext"/>
            </w:pPr>
            <w:r>
              <w:t>Weighted average day bed cost for TUWA</w:t>
            </w:r>
          </w:p>
        </w:tc>
        <w:tc>
          <w:tcPr>
            <w:tcW w:w="1701" w:type="dxa"/>
          </w:tcPr>
          <w:p w14:paraId="5245EB80" w14:textId="669FB996" w:rsidR="00010FCB" w:rsidRDefault="00010FCB" w:rsidP="00010FCB">
            <w:pPr>
              <w:pStyle w:val="Tabletext"/>
            </w:pPr>
            <w:r>
              <w:t>$299</w:t>
            </w:r>
          </w:p>
        </w:tc>
        <w:tc>
          <w:tcPr>
            <w:tcW w:w="2217" w:type="dxa"/>
          </w:tcPr>
          <w:p w14:paraId="5F686C0F" w14:textId="6E3DF2D7" w:rsidR="00010FCB" w:rsidRDefault="00010FCB" w:rsidP="00010FCB">
            <w:pPr>
              <w:pStyle w:val="Tabletext"/>
            </w:pPr>
            <w:r>
              <w:t>A*B+C*D</w:t>
            </w:r>
          </w:p>
        </w:tc>
      </w:tr>
    </w:tbl>
    <w:p w14:paraId="78C00EB2" w14:textId="2CF747D9" w:rsidR="00010FCB" w:rsidRDefault="00010FCB" w:rsidP="00010FCB">
      <w:pPr>
        <w:pStyle w:val="Tablenotes"/>
      </w:pPr>
      <w:r w:rsidRPr="00010FCB">
        <w:rPr>
          <w:vertAlign w:val="superscript"/>
        </w:rPr>
        <w:t>a</w:t>
      </w:r>
      <w:r>
        <w:t xml:space="preserve"> NSW Health. </w:t>
      </w:r>
      <w:r w:rsidRPr="00010FCB">
        <w:t>Health Services Act 1997 - Scale of Fees for Hospital and Other Services</w:t>
      </w:r>
      <w:r>
        <w:t>. July 2018</w:t>
      </w:r>
    </w:p>
    <w:p w14:paraId="258C0F39" w14:textId="65D4B39A" w:rsidR="00AD2411" w:rsidRPr="00AD2411" w:rsidRDefault="00AD2411" w:rsidP="00AD2411">
      <w:pPr>
        <w:pStyle w:val="Tablenotes"/>
      </w:pPr>
      <w:r w:rsidRPr="00AD2411">
        <w:rPr>
          <w:vertAlign w:val="superscript"/>
        </w:rPr>
        <w:t>b</w:t>
      </w:r>
      <w:r>
        <w:t xml:space="preserve"> As noted in Question 52 all TUWA procedures are expected to be performed within 15 minutes.</w:t>
      </w:r>
    </w:p>
    <w:p w14:paraId="2C66EE69" w14:textId="5DDA8B31" w:rsidR="00D23BFA" w:rsidRDefault="00AD2411" w:rsidP="00822D39">
      <w:pPr>
        <w:ind w:left="426"/>
        <w:rPr>
          <w:szCs w:val="20"/>
        </w:rPr>
      </w:pPr>
      <w:r>
        <w:rPr>
          <w:szCs w:val="20"/>
        </w:rPr>
        <w:t xml:space="preserve">Combining capital, consumable, anaesthesia and hospitalisation costs, </w:t>
      </w:r>
      <w:r w:rsidR="00B61B53">
        <w:rPr>
          <w:szCs w:val="20"/>
        </w:rPr>
        <w:t xml:space="preserve">TUWA is estimated to cost </w:t>
      </w:r>
      <w:r w:rsidR="00AA5309">
        <w:t>REDACTED</w:t>
      </w:r>
      <w:r w:rsidR="00AA5309" w:rsidDel="00AA5309">
        <w:rPr>
          <w:szCs w:val="20"/>
        </w:rPr>
        <w:t xml:space="preserve"> </w:t>
      </w:r>
      <w:r w:rsidR="00B61B53">
        <w:rPr>
          <w:szCs w:val="20"/>
        </w:rPr>
        <w:t xml:space="preserve">per </w:t>
      </w:r>
      <w:r w:rsidR="008F3C2E">
        <w:rPr>
          <w:szCs w:val="20"/>
        </w:rPr>
        <w:t>procedure</w:t>
      </w:r>
      <w:r>
        <w:rPr>
          <w:szCs w:val="20"/>
        </w:rPr>
        <w:t xml:space="preserve"> (</w:t>
      </w:r>
      <w:r>
        <w:rPr>
          <w:szCs w:val="20"/>
        </w:rPr>
        <w:fldChar w:fldCharType="begin"/>
      </w:r>
      <w:r>
        <w:rPr>
          <w:szCs w:val="20"/>
        </w:rPr>
        <w:instrText xml:space="preserve"> REF _Ref1053353 \h </w:instrText>
      </w:r>
      <w:r>
        <w:rPr>
          <w:szCs w:val="20"/>
        </w:rPr>
      </w:r>
      <w:r>
        <w:rPr>
          <w:szCs w:val="20"/>
        </w:rPr>
        <w:fldChar w:fldCharType="separate"/>
      </w:r>
      <w:r w:rsidR="00C51F41">
        <w:t xml:space="preserve">Table </w:t>
      </w:r>
      <w:r w:rsidR="00C51F41">
        <w:rPr>
          <w:noProof/>
        </w:rPr>
        <w:t>9</w:t>
      </w:r>
      <w:r>
        <w:rPr>
          <w:szCs w:val="20"/>
        </w:rPr>
        <w:fldChar w:fldCharType="end"/>
      </w:r>
      <w:r>
        <w:rPr>
          <w:szCs w:val="20"/>
        </w:rPr>
        <w:t>)</w:t>
      </w:r>
      <w:r w:rsidR="00B61B53">
        <w:rPr>
          <w:szCs w:val="20"/>
        </w:rPr>
        <w:t>.</w:t>
      </w:r>
      <w:r w:rsidR="003062D7">
        <w:rPr>
          <w:szCs w:val="20"/>
        </w:rPr>
        <w:t xml:space="preserve"> </w:t>
      </w:r>
    </w:p>
    <w:p w14:paraId="6209F998" w14:textId="29320DC4" w:rsidR="008F3C2E" w:rsidRDefault="003062D7" w:rsidP="00822D39">
      <w:pPr>
        <w:ind w:left="426"/>
        <w:rPr>
          <w:szCs w:val="20"/>
        </w:rPr>
      </w:pPr>
      <w:r>
        <w:rPr>
          <w:szCs w:val="20"/>
        </w:rPr>
        <w:t>The</w:t>
      </w:r>
      <w:r w:rsidR="00D23BFA">
        <w:rPr>
          <w:szCs w:val="20"/>
        </w:rPr>
        <w:t xml:space="preserve"> proposed</w:t>
      </w:r>
      <w:r>
        <w:rPr>
          <w:szCs w:val="20"/>
        </w:rPr>
        <w:t xml:space="preserve"> fee </w:t>
      </w:r>
      <w:r w:rsidR="00D23BFA">
        <w:rPr>
          <w:szCs w:val="20"/>
        </w:rPr>
        <w:t xml:space="preserve">for TUWA is based on the fee for TUNA (MBS item 37201). This is justified based on advice from the </w:t>
      </w:r>
      <w:r w:rsidR="00D23BFA" w:rsidRPr="00D23BFA">
        <w:rPr>
          <w:szCs w:val="20"/>
        </w:rPr>
        <w:t>Principal Medical Advisor</w:t>
      </w:r>
      <w:r w:rsidR="00D23BFA">
        <w:rPr>
          <w:szCs w:val="20"/>
        </w:rPr>
        <w:t xml:space="preserve"> (</w:t>
      </w:r>
      <w:r w:rsidR="00D23BFA" w:rsidRPr="00D23BFA">
        <w:rPr>
          <w:szCs w:val="20"/>
        </w:rPr>
        <w:t>Medical Benefits Division, Department of Health</w:t>
      </w:r>
      <w:r w:rsidR="00D23BFA">
        <w:rPr>
          <w:szCs w:val="20"/>
        </w:rPr>
        <w:t xml:space="preserve">, </w:t>
      </w:r>
      <w:r w:rsidR="00D23BFA" w:rsidRPr="00D23BFA">
        <w:rPr>
          <w:szCs w:val="20"/>
        </w:rPr>
        <w:t>Dr John Primrose</w:t>
      </w:r>
      <w:r w:rsidR="00D23BFA">
        <w:rPr>
          <w:szCs w:val="20"/>
        </w:rPr>
        <w:t>) that in correspondence to UZANZ noted that “</w:t>
      </w:r>
      <w:r w:rsidR="00D23BFA" w:rsidRPr="00D23BFA">
        <w:rPr>
          <w:i/>
          <w:iCs/>
          <w:szCs w:val="20"/>
        </w:rPr>
        <w:t>it is felt that item numbers 37201 and 37202 could encompass the technology used in Rezum although it is noted that Rezum does not use radiofrequency energy to ablate the prostate. Rezum uses radiofrequency energy to create the water vapour which then ablates the prostate</w:t>
      </w:r>
      <w:r w:rsidR="00D23BFA">
        <w:rPr>
          <w:i/>
          <w:iCs/>
          <w:szCs w:val="20"/>
        </w:rPr>
        <w:t>”</w:t>
      </w:r>
      <w:r w:rsidR="00AB0DB0">
        <w:rPr>
          <w:iCs/>
          <w:szCs w:val="20"/>
        </w:rPr>
        <w:t xml:space="preserve"> (Letter</w:t>
      </w:r>
      <w:r w:rsidR="00F22E65">
        <w:rPr>
          <w:iCs/>
          <w:szCs w:val="20"/>
        </w:rPr>
        <w:t xml:space="preserve"> to ANZAUS members</w:t>
      </w:r>
      <w:r w:rsidR="00AB0DB0">
        <w:rPr>
          <w:iCs/>
          <w:szCs w:val="20"/>
        </w:rPr>
        <w:t xml:space="preserve"> attac</w:t>
      </w:r>
      <w:r w:rsidR="00AB0DB0" w:rsidRPr="00A1326E">
        <w:rPr>
          <w:iCs/>
          <w:szCs w:val="20"/>
        </w:rPr>
        <w:t>hed)</w:t>
      </w:r>
      <w:r w:rsidR="00D23BFA" w:rsidRPr="00A1326E">
        <w:rPr>
          <w:i/>
          <w:iCs/>
          <w:szCs w:val="20"/>
        </w:rPr>
        <w:t>.</w:t>
      </w:r>
      <w:r w:rsidR="00AB0DB0" w:rsidRPr="00A1326E">
        <w:rPr>
          <w:iCs/>
          <w:szCs w:val="20"/>
        </w:rPr>
        <w:t xml:space="preserve"> </w:t>
      </w:r>
      <w:r w:rsidR="00A1326E" w:rsidRPr="00A1326E">
        <w:rPr>
          <w:iCs/>
          <w:szCs w:val="20"/>
        </w:rPr>
        <w:t xml:space="preserve">It is </w:t>
      </w:r>
      <w:r w:rsidR="00AB0DB0" w:rsidRPr="00A1326E">
        <w:rPr>
          <w:iCs/>
          <w:szCs w:val="20"/>
        </w:rPr>
        <w:t>acknowledg</w:t>
      </w:r>
      <w:r w:rsidR="00A1326E" w:rsidRPr="00A1326E">
        <w:rPr>
          <w:iCs/>
          <w:szCs w:val="20"/>
        </w:rPr>
        <w:t>ed</w:t>
      </w:r>
      <w:r w:rsidR="00AB0DB0" w:rsidRPr="00A1326E">
        <w:rPr>
          <w:iCs/>
          <w:szCs w:val="20"/>
        </w:rPr>
        <w:t xml:space="preserve"> that the TUNA code is restricted to patients who are not medically fit for TURP, and the proposed TUWA code is not</w:t>
      </w:r>
      <w:r w:rsidR="00A1326E" w:rsidRPr="00A1326E">
        <w:rPr>
          <w:iCs/>
          <w:szCs w:val="20"/>
        </w:rPr>
        <w:t>. T</w:t>
      </w:r>
      <w:r w:rsidR="00AB0DB0" w:rsidRPr="00A1326E">
        <w:rPr>
          <w:iCs/>
          <w:szCs w:val="20"/>
        </w:rPr>
        <w:t>he proposed fee will be further justified in the submission-based assessment</w:t>
      </w:r>
      <w:r w:rsidR="009640F0">
        <w:rPr>
          <w:iCs/>
          <w:szCs w:val="20"/>
        </w:rPr>
        <w:t xml:space="preserve"> </w:t>
      </w:r>
      <w:r w:rsidR="009640F0">
        <w:t>in consideration of resource utilisation, complexity and clinical outcomes</w:t>
      </w:r>
      <w:r w:rsidR="00AB0DB0" w:rsidRPr="00A1326E">
        <w:rPr>
          <w:iCs/>
          <w:szCs w:val="20"/>
        </w:rPr>
        <w:t>.</w:t>
      </w:r>
      <w:r w:rsidR="00AB0DB0">
        <w:rPr>
          <w:iCs/>
          <w:szCs w:val="20"/>
        </w:rPr>
        <w:t xml:space="preserve"> </w:t>
      </w:r>
      <w:r w:rsidR="00D23BFA">
        <w:rPr>
          <w:i/>
          <w:iCs/>
          <w:szCs w:val="20"/>
        </w:rPr>
        <w:t xml:space="preserve"> </w:t>
      </w:r>
    </w:p>
    <w:p w14:paraId="38902A53" w14:textId="3465FE36" w:rsidR="008B3E4C" w:rsidRDefault="008B3E4C" w:rsidP="008B3E4C">
      <w:pPr>
        <w:pStyle w:val="Caption"/>
      </w:pPr>
      <w:bookmarkStart w:id="20" w:name="_Ref1053353"/>
      <w:r>
        <w:t xml:space="preserve">Table </w:t>
      </w:r>
      <w:r w:rsidR="00420BF1">
        <w:rPr>
          <w:noProof/>
        </w:rPr>
        <w:fldChar w:fldCharType="begin"/>
      </w:r>
      <w:r w:rsidR="00420BF1">
        <w:rPr>
          <w:noProof/>
        </w:rPr>
        <w:instrText xml:space="preserve"> SEQ Table \* ARABIC </w:instrText>
      </w:r>
      <w:r w:rsidR="00420BF1">
        <w:rPr>
          <w:noProof/>
        </w:rPr>
        <w:fldChar w:fldCharType="separate"/>
      </w:r>
      <w:r w:rsidR="00C51F41">
        <w:rPr>
          <w:noProof/>
        </w:rPr>
        <w:t>9</w:t>
      </w:r>
      <w:r w:rsidR="00420BF1">
        <w:rPr>
          <w:noProof/>
        </w:rPr>
        <w:fldChar w:fldCharType="end"/>
      </w:r>
      <w:bookmarkEnd w:id="20"/>
      <w:r>
        <w:tab/>
      </w:r>
      <w:r w:rsidR="00AB19CC">
        <w:t>Estimated cost of</w:t>
      </w:r>
      <w:r w:rsidR="00412E9C">
        <w:t xml:space="preserve"> TUWA services</w:t>
      </w:r>
    </w:p>
    <w:tbl>
      <w:tblPr>
        <w:tblStyle w:val="TableGrid"/>
        <w:tblW w:w="8590" w:type="dxa"/>
        <w:tblInd w:w="426" w:type="dxa"/>
        <w:tblLook w:val="04A0" w:firstRow="1" w:lastRow="0" w:firstColumn="1" w:lastColumn="0" w:noHBand="0" w:noVBand="1"/>
        <w:tblCaption w:val="Table "/>
        <w:tblDescription w:val="Table 9"/>
      </w:tblPr>
      <w:tblGrid>
        <w:gridCol w:w="703"/>
        <w:gridCol w:w="3261"/>
        <w:gridCol w:w="2313"/>
        <w:gridCol w:w="2313"/>
      </w:tblGrid>
      <w:tr w:rsidR="00BD5018" w:rsidRPr="00BD5018" w14:paraId="5F7A736D" w14:textId="77777777" w:rsidTr="00AC515B">
        <w:trPr>
          <w:cnfStyle w:val="100000000000" w:firstRow="1" w:lastRow="0" w:firstColumn="0" w:lastColumn="0" w:oddVBand="0" w:evenVBand="0" w:oddHBand="0" w:evenHBand="0" w:firstRowFirstColumn="0" w:firstRowLastColumn="0" w:lastRowFirstColumn="0" w:lastRowLastColumn="0"/>
          <w:trHeight w:val="315"/>
          <w:tblHeader/>
        </w:trPr>
        <w:tc>
          <w:tcPr>
            <w:tcW w:w="703" w:type="dxa"/>
            <w:hideMark/>
          </w:tcPr>
          <w:p w14:paraId="72BF98AE" w14:textId="77777777" w:rsidR="00BD5018" w:rsidRPr="00BD5018" w:rsidRDefault="00BD5018" w:rsidP="00652AB2">
            <w:pPr>
              <w:pStyle w:val="Tabletext"/>
              <w:rPr>
                <w:lang w:eastAsia="en-AU"/>
              </w:rPr>
            </w:pPr>
            <w:r w:rsidRPr="00BD5018">
              <w:rPr>
                <w:lang w:eastAsia="en-AU"/>
              </w:rPr>
              <w:t>Row</w:t>
            </w:r>
          </w:p>
        </w:tc>
        <w:tc>
          <w:tcPr>
            <w:tcW w:w="3261" w:type="dxa"/>
            <w:hideMark/>
          </w:tcPr>
          <w:p w14:paraId="3B514D36" w14:textId="77777777" w:rsidR="00BD5018" w:rsidRPr="00BD5018" w:rsidRDefault="00BD5018" w:rsidP="00652AB2">
            <w:pPr>
              <w:pStyle w:val="Tabletext"/>
              <w:rPr>
                <w:lang w:eastAsia="en-AU"/>
              </w:rPr>
            </w:pPr>
            <w:r w:rsidRPr="00BD5018">
              <w:rPr>
                <w:lang w:eastAsia="en-AU"/>
              </w:rPr>
              <w:t>Parameter</w:t>
            </w:r>
          </w:p>
        </w:tc>
        <w:tc>
          <w:tcPr>
            <w:tcW w:w="2313" w:type="dxa"/>
            <w:hideMark/>
          </w:tcPr>
          <w:p w14:paraId="390BF027" w14:textId="77777777" w:rsidR="00BD5018" w:rsidRPr="00BD5018" w:rsidRDefault="00BD5018" w:rsidP="00652AB2">
            <w:pPr>
              <w:pStyle w:val="Tabletext"/>
              <w:rPr>
                <w:lang w:eastAsia="en-AU"/>
              </w:rPr>
            </w:pPr>
            <w:r w:rsidRPr="00BD5018">
              <w:rPr>
                <w:lang w:eastAsia="en-AU"/>
              </w:rPr>
              <w:t>Cost</w:t>
            </w:r>
          </w:p>
        </w:tc>
        <w:tc>
          <w:tcPr>
            <w:tcW w:w="2313" w:type="dxa"/>
            <w:hideMark/>
          </w:tcPr>
          <w:p w14:paraId="1A08D25A" w14:textId="77777777" w:rsidR="00BD5018" w:rsidRPr="00BD5018" w:rsidRDefault="00BD5018" w:rsidP="00652AB2">
            <w:pPr>
              <w:pStyle w:val="Tabletext"/>
              <w:rPr>
                <w:lang w:eastAsia="en-AU"/>
              </w:rPr>
            </w:pPr>
            <w:r w:rsidRPr="00BD5018">
              <w:rPr>
                <w:lang w:eastAsia="en-AU"/>
              </w:rPr>
              <w:t>Reference</w:t>
            </w:r>
          </w:p>
        </w:tc>
      </w:tr>
      <w:tr w:rsidR="00BD5018" w:rsidRPr="00BD5018" w14:paraId="63B523FE" w14:textId="77777777" w:rsidTr="00BD5018">
        <w:trPr>
          <w:trHeight w:val="315"/>
        </w:trPr>
        <w:tc>
          <w:tcPr>
            <w:tcW w:w="703" w:type="dxa"/>
            <w:hideMark/>
          </w:tcPr>
          <w:p w14:paraId="77AB074B" w14:textId="77777777" w:rsidR="00BD5018" w:rsidRPr="00BD5018" w:rsidRDefault="00BD5018" w:rsidP="00652AB2">
            <w:pPr>
              <w:pStyle w:val="Tabletext"/>
              <w:rPr>
                <w:lang w:eastAsia="en-AU"/>
              </w:rPr>
            </w:pPr>
            <w:r w:rsidRPr="00BD5018">
              <w:rPr>
                <w:lang w:eastAsia="en-AU"/>
              </w:rPr>
              <w:t>A</w:t>
            </w:r>
          </w:p>
        </w:tc>
        <w:tc>
          <w:tcPr>
            <w:tcW w:w="3261" w:type="dxa"/>
            <w:hideMark/>
          </w:tcPr>
          <w:p w14:paraId="7743BB42" w14:textId="77777777" w:rsidR="00BD5018" w:rsidRPr="00BD5018" w:rsidRDefault="00BD5018" w:rsidP="00652AB2">
            <w:pPr>
              <w:pStyle w:val="Tabletext"/>
              <w:rPr>
                <w:lang w:eastAsia="en-AU"/>
              </w:rPr>
            </w:pPr>
            <w:r w:rsidRPr="00BD5018">
              <w:rPr>
                <w:lang w:eastAsia="en-AU"/>
              </w:rPr>
              <w:t>Capital</w:t>
            </w:r>
          </w:p>
        </w:tc>
        <w:tc>
          <w:tcPr>
            <w:tcW w:w="2313" w:type="dxa"/>
            <w:hideMark/>
          </w:tcPr>
          <w:p w14:paraId="7C73CC48" w14:textId="7A1B00D0" w:rsidR="00BD5018" w:rsidRPr="00BD5018" w:rsidRDefault="00AA5309" w:rsidP="00652AB2">
            <w:pPr>
              <w:pStyle w:val="Tabletext"/>
              <w:rPr>
                <w:lang w:eastAsia="en-AU"/>
              </w:rPr>
            </w:pPr>
            <w:r>
              <w:t>REDACTED</w:t>
            </w:r>
          </w:p>
        </w:tc>
        <w:tc>
          <w:tcPr>
            <w:tcW w:w="2313" w:type="dxa"/>
            <w:hideMark/>
          </w:tcPr>
          <w:p w14:paraId="0170E95C" w14:textId="425E450B" w:rsidR="00BD5018" w:rsidRPr="00BD5018" w:rsidRDefault="00BD5018" w:rsidP="00652AB2">
            <w:pPr>
              <w:pStyle w:val="Tabletext"/>
              <w:rPr>
                <w:lang w:eastAsia="en-AU"/>
              </w:rPr>
            </w:pPr>
            <w:r>
              <w:fldChar w:fldCharType="begin"/>
            </w:r>
            <w:r>
              <w:instrText xml:space="preserve"> REF _Ref1049413 \h </w:instrText>
            </w:r>
            <w:r w:rsidR="00652AB2">
              <w:instrText xml:space="preserve"> \* MERGEFORMAT </w:instrText>
            </w:r>
            <w:r>
              <w:fldChar w:fldCharType="separate"/>
            </w:r>
            <w:r w:rsidR="00C51F41">
              <w:t xml:space="preserve">Table </w:t>
            </w:r>
            <w:r w:rsidR="00C51F41">
              <w:rPr>
                <w:noProof/>
              </w:rPr>
              <w:t>6</w:t>
            </w:r>
            <w:r>
              <w:fldChar w:fldCharType="end"/>
            </w:r>
          </w:p>
        </w:tc>
      </w:tr>
      <w:tr w:rsidR="00BD5018" w:rsidRPr="00BD5018" w14:paraId="05107F58" w14:textId="77777777" w:rsidTr="00BD5018">
        <w:trPr>
          <w:trHeight w:val="245"/>
        </w:trPr>
        <w:tc>
          <w:tcPr>
            <w:tcW w:w="703" w:type="dxa"/>
            <w:hideMark/>
          </w:tcPr>
          <w:p w14:paraId="3732C29C" w14:textId="77777777" w:rsidR="00BD5018" w:rsidRPr="00BD5018" w:rsidRDefault="00BD5018" w:rsidP="00652AB2">
            <w:pPr>
              <w:pStyle w:val="Tabletext"/>
              <w:rPr>
                <w:lang w:eastAsia="en-AU"/>
              </w:rPr>
            </w:pPr>
            <w:r w:rsidRPr="00BD5018">
              <w:rPr>
                <w:lang w:eastAsia="en-AU"/>
              </w:rPr>
              <w:t>B</w:t>
            </w:r>
          </w:p>
        </w:tc>
        <w:tc>
          <w:tcPr>
            <w:tcW w:w="3261" w:type="dxa"/>
            <w:hideMark/>
          </w:tcPr>
          <w:p w14:paraId="316098DD" w14:textId="77777777" w:rsidR="00BD5018" w:rsidRPr="00BD5018" w:rsidRDefault="00BD5018" w:rsidP="00652AB2">
            <w:pPr>
              <w:pStyle w:val="Tabletext"/>
              <w:rPr>
                <w:lang w:eastAsia="en-AU"/>
              </w:rPr>
            </w:pPr>
            <w:r w:rsidRPr="00BD5018">
              <w:rPr>
                <w:lang w:eastAsia="en-AU"/>
              </w:rPr>
              <w:t>Consumable</w:t>
            </w:r>
          </w:p>
        </w:tc>
        <w:tc>
          <w:tcPr>
            <w:tcW w:w="2313" w:type="dxa"/>
            <w:hideMark/>
          </w:tcPr>
          <w:p w14:paraId="61D526FB" w14:textId="78FB2744" w:rsidR="00BD5018" w:rsidRPr="00BD5018" w:rsidRDefault="00AA5309" w:rsidP="00652AB2">
            <w:pPr>
              <w:pStyle w:val="Tabletext"/>
              <w:rPr>
                <w:lang w:eastAsia="en-AU"/>
              </w:rPr>
            </w:pPr>
            <w:r>
              <w:t>REDACTED</w:t>
            </w:r>
          </w:p>
        </w:tc>
        <w:tc>
          <w:tcPr>
            <w:tcW w:w="2313" w:type="dxa"/>
            <w:hideMark/>
          </w:tcPr>
          <w:p w14:paraId="49455D13" w14:textId="77777777" w:rsidR="00BD5018" w:rsidRPr="00BD5018" w:rsidRDefault="00BD5018" w:rsidP="00652AB2">
            <w:pPr>
              <w:pStyle w:val="Tabletext"/>
              <w:rPr>
                <w:lang w:eastAsia="en-AU"/>
              </w:rPr>
            </w:pPr>
            <w:r w:rsidRPr="00BD5018">
              <w:rPr>
                <w:lang w:eastAsia="en-AU"/>
              </w:rPr>
              <w:t>KoL advice</w:t>
            </w:r>
          </w:p>
        </w:tc>
      </w:tr>
      <w:tr w:rsidR="00BD5018" w:rsidRPr="00BD5018" w14:paraId="14CE976A" w14:textId="77777777" w:rsidTr="00BD5018">
        <w:trPr>
          <w:trHeight w:val="277"/>
        </w:trPr>
        <w:tc>
          <w:tcPr>
            <w:tcW w:w="703" w:type="dxa"/>
            <w:hideMark/>
          </w:tcPr>
          <w:p w14:paraId="64F1F37C" w14:textId="77777777" w:rsidR="00BD5018" w:rsidRPr="00BD5018" w:rsidRDefault="00BD5018" w:rsidP="00652AB2">
            <w:pPr>
              <w:pStyle w:val="Tabletext"/>
              <w:rPr>
                <w:lang w:eastAsia="en-AU"/>
              </w:rPr>
            </w:pPr>
            <w:r w:rsidRPr="00BD5018">
              <w:rPr>
                <w:lang w:eastAsia="en-AU"/>
              </w:rPr>
              <w:t>C</w:t>
            </w:r>
          </w:p>
        </w:tc>
        <w:tc>
          <w:tcPr>
            <w:tcW w:w="3261" w:type="dxa"/>
            <w:hideMark/>
          </w:tcPr>
          <w:p w14:paraId="3116D5CE" w14:textId="77777777" w:rsidR="00BD5018" w:rsidRPr="00BD5018" w:rsidRDefault="00BD5018" w:rsidP="00652AB2">
            <w:pPr>
              <w:pStyle w:val="Tabletext"/>
              <w:rPr>
                <w:lang w:eastAsia="en-AU"/>
              </w:rPr>
            </w:pPr>
            <w:r w:rsidRPr="00BD5018">
              <w:rPr>
                <w:lang w:eastAsia="en-AU"/>
              </w:rPr>
              <w:t>Anaesthesia</w:t>
            </w:r>
          </w:p>
        </w:tc>
        <w:tc>
          <w:tcPr>
            <w:tcW w:w="2313" w:type="dxa"/>
            <w:hideMark/>
          </w:tcPr>
          <w:p w14:paraId="5415200B" w14:textId="77777777" w:rsidR="00BD5018" w:rsidRPr="00BD5018" w:rsidRDefault="00BD5018" w:rsidP="00652AB2">
            <w:pPr>
              <w:pStyle w:val="Tabletext"/>
              <w:rPr>
                <w:lang w:eastAsia="en-AU"/>
              </w:rPr>
            </w:pPr>
            <w:r w:rsidRPr="00BD5018">
              <w:rPr>
                <w:lang w:eastAsia="en-AU"/>
              </w:rPr>
              <w:t>$47</w:t>
            </w:r>
          </w:p>
        </w:tc>
        <w:tc>
          <w:tcPr>
            <w:tcW w:w="2313" w:type="dxa"/>
            <w:hideMark/>
          </w:tcPr>
          <w:p w14:paraId="497B2887" w14:textId="77777777" w:rsidR="00BD5018" w:rsidRPr="00BD5018" w:rsidRDefault="00BD5018" w:rsidP="00652AB2">
            <w:pPr>
              <w:pStyle w:val="Tabletext"/>
              <w:rPr>
                <w:lang w:eastAsia="en-AU"/>
              </w:rPr>
            </w:pPr>
            <w:r w:rsidRPr="00BD5018">
              <w:rPr>
                <w:lang w:eastAsia="en-AU"/>
              </w:rPr>
              <w:t>Table 7</w:t>
            </w:r>
          </w:p>
        </w:tc>
      </w:tr>
      <w:tr w:rsidR="00BD5018" w:rsidRPr="00BD5018" w14:paraId="3A4C1610" w14:textId="77777777" w:rsidTr="00BD5018">
        <w:trPr>
          <w:trHeight w:val="267"/>
        </w:trPr>
        <w:tc>
          <w:tcPr>
            <w:tcW w:w="703" w:type="dxa"/>
            <w:hideMark/>
          </w:tcPr>
          <w:p w14:paraId="54938537" w14:textId="77777777" w:rsidR="00BD5018" w:rsidRPr="00BD5018" w:rsidRDefault="00BD5018" w:rsidP="00652AB2">
            <w:pPr>
              <w:pStyle w:val="Tabletext"/>
              <w:rPr>
                <w:lang w:eastAsia="en-AU"/>
              </w:rPr>
            </w:pPr>
            <w:r w:rsidRPr="00BD5018">
              <w:rPr>
                <w:lang w:eastAsia="en-AU"/>
              </w:rPr>
              <w:t>D</w:t>
            </w:r>
          </w:p>
        </w:tc>
        <w:tc>
          <w:tcPr>
            <w:tcW w:w="3261" w:type="dxa"/>
            <w:hideMark/>
          </w:tcPr>
          <w:p w14:paraId="3A6A624D" w14:textId="77777777" w:rsidR="00BD5018" w:rsidRPr="00BD5018" w:rsidRDefault="00BD5018" w:rsidP="00652AB2">
            <w:pPr>
              <w:pStyle w:val="Tabletext"/>
              <w:rPr>
                <w:lang w:eastAsia="en-AU"/>
              </w:rPr>
            </w:pPr>
            <w:r w:rsidRPr="00BD5018">
              <w:rPr>
                <w:lang w:eastAsia="en-AU"/>
              </w:rPr>
              <w:t>TUWA procedure</w:t>
            </w:r>
          </w:p>
        </w:tc>
        <w:tc>
          <w:tcPr>
            <w:tcW w:w="2313" w:type="dxa"/>
            <w:hideMark/>
          </w:tcPr>
          <w:p w14:paraId="1E49FD37" w14:textId="77777777" w:rsidR="00BD5018" w:rsidRPr="00BD5018" w:rsidRDefault="00BD5018" w:rsidP="00652AB2">
            <w:pPr>
              <w:pStyle w:val="Tabletext"/>
              <w:rPr>
                <w:lang w:eastAsia="en-AU"/>
              </w:rPr>
            </w:pPr>
            <w:r w:rsidRPr="00BD5018">
              <w:rPr>
                <w:lang w:eastAsia="en-AU"/>
              </w:rPr>
              <w:t>$829</w:t>
            </w:r>
          </w:p>
        </w:tc>
        <w:tc>
          <w:tcPr>
            <w:tcW w:w="2313" w:type="dxa"/>
            <w:hideMark/>
          </w:tcPr>
          <w:p w14:paraId="1783E746" w14:textId="77777777" w:rsidR="00BD5018" w:rsidRPr="00BD5018" w:rsidRDefault="00BD5018" w:rsidP="00652AB2">
            <w:pPr>
              <w:pStyle w:val="Tabletext"/>
              <w:rPr>
                <w:lang w:eastAsia="en-AU"/>
              </w:rPr>
            </w:pPr>
            <w:r w:rsidRPr="00BD5018">
              <w:rPr>
                <w:lang w:eastAsia="en-AU"/>
              </w:rPr>
              <w:t>Proposed</w:t>
            </w:r>
          </w:p>
        </w:tc>
      </w:tr>
      <w:tr w:rsidR="00BD5018" w:rsidRPr="00BD5018" w14:paraId="0AD7C816" w14:textId="77777777" w:rsidTr="00BD5018">
        <w:trPr>
          <w:trHeight w:val="271"/>
        </w:trPr>
        <w:tc>
          <w:tcPr>
            <w:tcW w:w="703" w:type="dxa"/>
            <w:hideMark/>
          </w:tcPr>
          <w:p w14:paraId="13F72F0B" w14:textId="77777777" w:rsidR="00BD5018" w:rsidRPr="00BD5018" w:rsidRDefault="00BD5018" w:rsidP="00652AB2">
            <w:pPr>
              <w:pStyle w:val="Tabletext"/>
              <w:rPr>
                <w:lang w:eastAsia="en-AU"/>
              </w:rPr>
            </w:pPr>
            <w:r w:rsidRPr="00BD5018">
              <w:rPr>
                <w:lang w:eastAsia="en-AU"/>
              </w:rPr>
              <w:t>E</w:t>
            </w:r>
          </w:p>
        </w:tc>
        <w:tc>
          <w:tcPr>
            <w:tcW w:w="3261" w:type="dxa"/>
            <w:hideMark/>
          </w:tcPr>
          <w:p w14:paraId="0CD47A90" w14:textId="77777777" w:rsidR="00BD5018" w:rsidRPr="00BD5018" w:rsidRDefault="00BD5018" w:rsidP="00652AB2">
            <w:pPr>
              <w:pStyle w:val="Tabletext"/>
              <w:rPr>
                <w:lang w:eastAsia="en-AU"/>
              </w:rPr>
            </w:pPr>
            <w:r w:rsidRPr="00BD5018">
              <w:rPr>
                <w:lang w:eastAsia="en-AU"/>
              </w:rPr>
              <w:t>Hospitalisation</w:t>
            </w:r>
          </w:p>
        </w:tc>
        <w:tc>
          <w:tcPr>
            <w:tcW w:w="2313" w:type="dxa"/>
            <w:hideMark/>
          </w:tcPr>
          <w:p w14:paraId="4E6E9751" w14:textId="77777777" w:rsidR="00BD5018" w:rsidRPr="00BD5018" w:rsidRDefault="00BD5018" w:rsidP="00652AB2">
            <w:pPr>
              <w:pStyle w:val="Tabletext"/>
              <w:rPr>
                <w:lang w:eastAsia="en-AU"/>
              </w:rPr>
            </w:pPr>
            <w:r w:rsidRPr="00BD5018">
              <w:rPr>
                <w:lang w:eastAsia="en-AU"/>
              </w:rPr>
              <w:t>$299</w:t>
            </w:r>
          </w:p>
        </w:tc>
        <w:tc>
          <w:tcPr>
            <w:tcW w:w="2313" w:type="dxa"/>
            <w:hideMark/>
          </w:tcPr>
          <w:p w14:paraId="03AFD054" w14:textId="77777777" w:rsidR="00BD5018" w:rsidRPr="00BD5018" w:rsidRDefault="00BD5018" w:rsidP="00652AB2">
            <w:pPr>
              <w:pStyle w:val="Tabletext"/>
              <w:rPr>
                <w:lang w:eastAsia="en-AU"/>
              </w:rPr>
            </w:pPr>
            <w:r w:rsidRPr="00BD5018">
              <w:rPr>
                <w:lang w:eastAsia="en-AU"/>
              </w:rPr>
              <w:t>Table 8</w:t>
            </w:r>
          </w:p>
        </w:tc>
      </w:tr>
      <w:tr w:rsidR="00BD5018" w:rsidRPr="00BD5018" w14:paraId="7C72D683" w14:textId="77777777" w:rsidTr="00BD5018">
        <w:trPr>
          <w:trHeight w:val="275"/>
        </w:trPr>
        <w:tc>
          <w:tcPr>
            <w:tcW w:w="703" w:type="dxa"/>
            <w:hideMark/>
          </w:tcPr>
          <w:p w14:paraId="1323B5DB" w14:textId="77777777" w:rsidR="00BD5018" w:rsidRPr="00BD5018" w:rsidRDefault="00BD5018" w:rsidP="00652AB2">
            <w:pPr>
              <w:pStyle w:val="Tabletext"/>
              <w:rPr>
                <w:lang w:eastAsia="en-AU"/>
              </w:rPr>
            </w:pPr>
            <w:r w:rsidRPr="00BD5018">
              <w:rPr>
                <w:lang w:eastAsia="en-AU"/>
              </w:rPr>
              <w:t>F</w:t>
            </w:r>
          </w:p>
        </w:tc>
        <w:tc>
          <w:tcPr>
            <w:tcW w:w="3261" w:type="dxa"/>
            <w:hideMark/>
          </w:tcPr>
          <w:p w14:paraId="5C045F6F" w14:textId="77777777" w:rsidR="00BD5018" w:rsidRPr="00BD5018" w:rsidRDefault="00BD5018" w:rsidP="00652AB2">
            <w:pPr>
              <w:pStyle w:val="Tabletext"/>
              <w:rPr>
                <w:lang w:eastAsia="en-AU"/>
              </w:rPr>
            </w:pPr>
            <w:r w:rsidRPr="00BD5018">
              <w:rPr>
                <w:lang w:eastAsia="en-AU"/>
              </w:rPr>
              <w:t>Total</w:t>
            </w:r>
          </w:p>
        </w:tc>
        <w:tc>
          <w:tcPr>
            <w:tcW w:w="2313" w:type="dxa"/>
            <w:hideMark/>
          </w:tcPr>
          <w:p w14:paraId="2ECE0D1A" w14:textId="561E57B5" w:rsidR="00BD5018" w:rsidRPr="00BD5018" w:rsidRDefault="00AA5309" w:rsidP="00652AB2">
            <w:pPr>
              <w:pStyle w:val="Tabletext"/>
              <w:rPr>
                <w:lang w:eastAsia="en-AU"/>
              </w:rPr>
            </w:pPr>
            <w:r>
              <w:t>REDACTED</w:t>
            </w:r>
          </w:p>
        </w:tc>
        <w:tc>
          <w:tcPr>
            <w:tcW w:w="2313" w:type="dxa"/>
            <w:hideMark/>
          </w:tcPr>
          <w:p w14:paraId="31D967E0" w14:textId="77777777" w:rsidR="00BD5018" w:rsidRPr="00BD5018" w:rsidRDefault="00BD5018" w:rsidP="00652AB2">
            <w:pPr>
              <w:pStyle w:val="Tabletext"/>
              <w:rPr>
                <w:lang w:eastAsia="en-AU"/>
              </w:rPr>
            </w:pPr>
            <w:r w:rsidRPr="00BD5018">
              <w:rPr>
                <w:lang w:eastAsia="en-AU"/>
              </w:rPr>
              <w:t>A+B+C+D+E</w:t>
            </w:r>
          </w:p>
        </w:tc>
      </w:tr>
    </w:tbl>
    <w:p w14:paraId="5371C10F" w14:textId="038EA285" w:rsidR="00951933" w:rsidRPr="00154B00" w:rsidRDefault="00951933" w:rsidP="00AE1188">
      <w:pPr>
        <w:ind w:left="426"/>
        <w:rPr>
          <w:szCs w:val="20"/>
        </w:rPr>
      </w:pPr>
    </w:p>
    <w:p w14:paraId="4E08310B"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2FD9F51" w14:textId="5117B7DA" w:rsidR="008B3E4C" w:rsidRDefault="00424B1F" w:rsidP="008B3E4C">
      <w:pPr>
        <w:ind w:left="426"/>
        <w:rPr>
          <w:szCs w:val="20"/>
        </w:rPr>
      </w:pPr>
      <w:r>
        <w:rPr>
          <w:szCs w:val="20"/>
        </w:rPr>
        <w:t xml:space="preserve">KoL advice </w:t>
      </w:r>
      <w:r w:rsidR="001172A7">
        <w:rPr>
          <w:szCs w:val="20"/>
        </w:rPr>
        <w:t xml:space="preserve">indicates </w:t>
      </w:r>
      <w:r>
        <w:rPr>
          <w:szCs w:val="20"/>
        </w:rPr>
        <w:t>that TUWA procedures take no longer than 15 minutes</w:t>
      </w:r>
      <w:r w:rsidR="001172A7">
        <w:rPr>
          <w:szCs w:val="20"/>
        </w:rPr>
        <w:t>, whi</w:t>
      </w:r>
      <w:r w:rsidR="00D8445F">
        <w:rPr>
          <w:szCs w:val="20"/>
        </w:rPr>
        <w:t>l</w:t>
      </w:r>
      <w:r w:rsidR="001172A7">
        <w:rPr>
          <w:szCs w:val="20"/>
        </w:rPr>
        <w:t xml:space="preserve">st NICE reported </w:t>
      </w:r>
      <w:r w:rsidR="00D8445F">
        <w:rPr>
          <w:szCs w:val="20"/>
        </w:rPr>
        <w:t xml:space="preserve">that </w:t>
      </w:r>
      <w:r w:rsidR="001172A7">
        <w:rPr>
          <w:szCs w:val="20"/>
        </w:rPr>
        <w:t>procedures last up to 20 minutes</w:t>
      </w:r>
      <w:r w:rsidR="00412E9C">
        <w:rPr>
          <w:szCs w:val="20"/>
        </w:rPr>
        <w:t xml:space="preserve"> (NICE 2018)</w:t>
      </w:r>
      <w:r>
        <w:rPr>
          <w:szCs w:val="20"/>
        </w:rPr>
        <w:t xml:space="preserve">. It is noted that this </w:t>
      </w:r>
      <w:r w:rsidR="008F3C2E">
        <w:rPr>
          <w:szCs w:val="20"/>
        </w:rPr>
        <w:t xml:space="preserve">is shorter than comparator treatments including </w:t>
      </w:r>
      <w:r>
        <w:rPr>
          <w:szCs w:val="20"/>
        </w:rPr>
        <w:t xml:space="preserve">PUL </w:t>
      </w:r>
      <w:r w:rsidR="00412E9C">
        <w:rPr>
          <w:szCs w:val="20"/>
        </w:rPr>
        <w:t>(25 minutes; NICE 2016</w:t>
      </w:r>
      <w:r w:rsidR="00D8445F">
        <w:rPr>
          <w:szCs w:val="20"/>
        </w:rPr>
        <w:t xml:space="preserve">) and </w:t>
      </w:r>
      <w:r>
        <w:rPr>
          <w:szCs w:val="20"/>
        </w:rPr>
        <w:t xml:space="preserve">TURP </w:t>
      </w:r>
      <w:r w:rsidR="008F3C2E">
        <w:rPr>
          <w:szCs w:val="20"/>
        </w:rPr>
        <w:t>(39.3 minutes; Bachman 2014))</w:t>
      </w:r>
      <w:r>
        <w:rPr>
          <w:szCs w:val="20"/>
        </w:rPr>
        <w:t xml:space="preserve">. </w:t>
      </w:r>
    </w:p>
    <w:p w14:paraId="2B4E4F9C" w14:textId="0603987D" w:rsidR="00951933" w:rsidRDefault="00951933" w:rsidP="00AE1188">
      <w:pPr>
        <w:ind w:left="426"/>
        <w:rPr>
          <w:b/>
          <w:szCs w:val="20"/>
        </w:rPr>
      </w:pPr>
    </w:p>
    <w:p w14:paraId="7650DAA0" w14:textId="389C488F"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0BCAD5D" w14:textId="3FAEFC57" w:rsidR="00290344" w:rsidRDefault="00761BD6" w:rsidP="00CA26B6">
      <w:pPr>
        <w:ind w:left="426"/>
        <w:rPr>
          <w:szCs w:val="20"/>
        </w:rPr>
      </w:pPr>
      <w:r w:rsidRPr="00CA26B6">
        <w:rPr>
          <w:szCs w:val="20"/>
        </w:rPr>
        <w:t>The proposed</w:t>
      </w:r>
      <w:r w:rsidR="00763379" w:rsidRPr="00CA26B6">
        <w:rPr>
          <w:szCs w:val="20"/>
        </w:rPr>
        <w:t xml:space="preserve"> </w:t>
      </w:r>
      <w:r w:rsidR="00290344">
        <w:rPr>
          <w:szCs w:val="20"/>
        </w:rPr>
        <w:t xml:space="preserve">MBS item </w:t>
      </w:r>
      <w:r w:rsidRPr="00CA26B6">
        <w:rPr>
          <w:szCs w:val="20"/>
        </w:rPr>
        <w:t xml:space="preserve">descriptor </w:t>
      </w:r>
      <w:r w:rsidR="00290344">
        <w:rPr>
          <w:szCs w:val="20"/>
        </w:rPr>
        <w:t>for</w:t>
      </w:r>
      <w:r w:rsidRPr="00CA26B6">
        <w:rPr>
          <w:szCs w:val="20"/>
        </w:rPr>
        <w:t xml:space="preserve"> the TUWA procedure is </w:t>
      </w:r>
      <w:r w:rsidR="00AB0DB0">
        <w:rPr>
          <w:szCs w:val="20"/>
        </w:rPr>
        <w:t>provided below</w:t>
      </w:r>
      <w:r w:rsidR="00290344">
        <w:rPr>
          <w:szCs w:val="20"/>
        </w:rPr>
        <w:t xml:space="preserve">. </w:t>
      </w:r>
      <w:r w:rsidR="00AB0DB0">
        <w:rPr>
          <w:szCs w:val="20"/>
        </w:rPr>
        <w:t xml:space="preserve">As noted above, the proposed fee is based on the fee for the MBS item code for the TUNA procedure (37201). </w:t>
      </w:r>
      <w:r w:rsidR="00290344">
        <w:rPr>
          <w:szCs w:val="20"/>
        </w:rPr>
        <w:t xml:space="preserve"> </w:t>
      </w:r>
    </w:p>
    <w:p w14:paraId="16E02CDB" w14:textId="69CC77D1"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bookmarkStart w:id="21" w:name="_Hlk3900607"/>
      <w:r>
        <w:rPr>
          <w:szCs w:val="20"/>
        </w:rPr>
        <w:t xml:space="preserve">Category </w:t>
      </w:r>
      <w:r w:rsidR="008B3E4C">
        <w:rPr>
          <w:szCs w:val="20"/>
        </w:rPr>
        <w:t xml:space="preserve">3 </w:t>
      </w:r>
      <w:r w:rsidRPr="00AE1188">
        <w:rPr>
          <w:szCs w:val="20"/>
        </w:rPr>
        <w:t xml:space="preserve">– </w:t>
      </w:r>
      <w:r w:rsidR="008B3E4C">
        <w:rPr>
          <w:szCs w:val="20"/>
        </w:rPr>
        <w:t>THERAPEUTIC PROCEDURES</w:t>
      </w:r>
    </w:p>
    <w:p w14:paraId="2F806F0D" w14:textId="69C1C22B" w:rsidR="00763379" w:rsidRPr="00763379" w:rsidRDefault="00290344" w:rsidP="00AE1188">
      <w:pPr>
        <w:pBdr>
          <w:top w:val="single" w:sz="4" w:space="1" w:color="auto"/>
          <w:left w:val="single" w:sz="4" w:space="4" w:color="auto"/>
          <w:bottom w:val="single" w:sz="4" w:space="1" w:color="auto"/>
          <w:right w:val="single" w:sz="4" w:space="4" w:color="auto"/>
        </w:pBdr>
        <w:rPr>
          <w:szCs w:val="20"/>
        </w:rPr>
      </w:pPr>
      <w:r>
        <w:rPr>
          <w:szCs w:val="20"/>
        </w:rPr>
        <w:t>#####</w:t>
      </w:r>
    </w:p>
    <w:p w14:paraId="4089C9DD" w14:textId="23198078" w:rsidR="00B33E28" w:rsidRDefault="00763379" w:rsidP="00AE1188">
      <w:pPr>
        <w:pBdr>
          <w:top w:val="single" w:sz="4" w:space="1" w:color="auto"/>
          <w:left w:val="single" w:sz="4" w:space="4" w:color="auto"/>
          <w:bottom w:val="single" w:sz="4" w:space="1" w:color="auto"/>
          <w:right w:val="single" w:sz="4" w:space="4" w:color="auto"/>
        </w:pBdr>
        <w:rPr>
          <w:szCs w:val="20"/>
        </w:rPr>
      </w:pPr>
      <w:r w:rsidRPr="00763379">
        <w:rPr>
          <w:szCs w:val="20"/>
        </w:rPr>
        <w:t>PROSTATE,</w:t>
      </w:r>
      <w:r>
        <w:rPr>
          <w:szCs w:val="20"/>
        </w:rPr>
        <w:t xml:space="preserve"> </w:t>
      </w:r>
      <w:r w:rsidRPr="00290344">
        <w:rPr>
          <w:szCs w:val="20"/>
        </w:rPr>
        <w:t>ablation by water vapour</w:t>
      </w:r>
      <w:r w:rsidRPr="00763379">
        <w:rPr>
          <w:szCs w:val="20"/>
        </w:rPr>
        <w:t xml:space="preserve"> with or without cystoscopy and with or without urethroscopy</w:t>
      </w:r>
      <w:r>
        <w:rPr>
          <w:szCs w:val="20"/>
        </w:rPr>
        <w:t xml:space="preserve"> </w:t>
      </w:r>
    </w:p>
    <w:p w14:paraId="580EBE71" w14:textId="166D005E"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AB0DB0" w:rsidRPr="00AB0DB0">
        <w:rPr>
          <w:szCs w:val="20"/>
        </w:rPr>
        <w:t>828.85</w:t>
      </w:r>
      <w:r w:rsidR="00B33E28" w:rsidRPr="00AB0DB0">
        <w:rPr>
          <w:szCs w:val="20"/>
        </w:rPr>
        <w:t xml:space="preserve"> </w:t>
      </w:r>
    </w:p>
    <w:bookmarkEnd w:id="21"/>
    <w:p w14:paraId="3E81D60C" w14:textId="77777777" w:rsidR="00290344" w:rsidRDefault="00290344" w:rsidP="00AE1188">
      <w:pPr>
        <w:pStyle w:val="Heading1"/>
        <w:sectPr w:rsidR="00290344" w:rsidSect="00DD308E">
          <w:pgSz w:w="11906" w:h="16838"/>
          <w:pgMar w:top="1440" w:right="1440" w:bottom="1440" w:left="1440" w:header="708" w:footer="708" w:gutter="0"/>
          <w:cols w:space="708"/>
          <w:docGrid w:linePitch="360"/>
        </w:sectPr>
      </w:pPr>
    </w:p>
    <w:p w14:paraId="6F56ACF4" w14:textId="77777777" w:rsidR="00290344" w:rsidRDefault="00290344" w:rsidP="00AE1188">
      <w:pPr>
        <w:pStyle w:val="Heading1"/>
      </w:pPr>
      <w:r>
        <w:lastRenderedPageBreak/>
        <w:t>REFERENCES</w:t>
      </w:r>
    </w:p>
    <w:p w14:paraId="20C609B0" w14:textId="06F519AD" w:rsidR="00B53E57" w:rsidRDefault="00B53E57" w:rsidP="00B53E57">
      <w:r>
        <w:t>American Urological Association guideline. Management of benign p</w:t>
      </w:r>
      <w:r w:rsidR="00B370B6">
        <w:t>ros</w:t>
      </w:r>
      <w:r>
        <w:t>tatic hyperplasia (BPH). 2010.</w:t>
      </w:r>
    </w:p>
    <w:p w14:paraId="686E6D04" w14:textId="77777777" w:rsidR="00B53E57" w:rsidRDefault="00B53E57" w:rsidP="00B53E57">
      <w:r>
        <w:t xml:space="preserve">Andrology Australia. Prostate disease. BPH and prostatitis- diagnosis and management. 2018. Accessed via </w:t>
      </w:r>
      <w:hyperlink r:id="rId25" w:history="1">
        <w:r w:rsidRPr="006A722C">
          <w:rPr>
            <w:rStyle w:val="Hyperlink"/>
          </w:rPr>
          <w:t>https://andrologyaustralia.org/wp-content/uploads/clinical-summary-guide-07.pdf</w:t>
        </w:r>
      </w:hyperlink>
    </w:p>
    <w:p w14:paraId="6F59289D" w14:textId="77777777" w:rsidR="00B53E57" w:rsidRPr="00744C1A" w:rsidRDefault="00B53E57" w:rsidP="00B53E57">
      <w:pPr>
        <w:rPr>
          <w:b/>
          <w:bCs/>
        </w:rPr>
      </w:pPr>
      <w:r>
        <w:t>Bachmann A, Tubaro A, Barber N, et al</w:t>
      </w:r>
      <w:r w:rsidRPr="0042031E">
        <w:t xml:space="preserve">. </w:t>
      </w:r>
      <w:r w:rsidRPr="0042031E">
        <w:rPr>
          <w:bCs/>
        </w:rPr>
        <w:t>180-W XPS GreenLight laser vaporisation versus transurethral resection of the prostate for the treatment of benign prostatic obstruction: 6-month safety and efficacy results of a European Multicentre Randomised Trial--the GOLIATH study.</w:t>
      </w:r>
      <w:r>
        <w:rPr>
          <w:bCs/>
        </w:rPr>
        <w:t xml:space="preserve"> Eur Urol. 2014;65(5):931-42.</w:t>
      </w:r>
    </w:p>
    <w:p w14:paraId="4A77FA08" w14:textId="77777777" w:rsidR="00B53E57" w:rsidRDefault="00B53E57" w:rsidP="00B53E57">
      <w:r w:rsidRPr="004066A7">
        <w:t>BEACH 2012. Benign prostatic hyperplasia (BPH) among male general practice patients aged 40 years or older. SAND abstract 190 from the BEACH program: FRMC University of Sydney, 2012</w:t>
      </w:r>
    </w:p>
    <w:p w14:paraId="77BFED6E" w14:textId="77777777" w:rsidR="00B53E57" w:rsidRDefault="00B53E57" w:rsidP="00B53E57">
      <w:r>
        <w:t xml:space="preserve">Darson M, Alexander E, Schiffman Z, et al. </w:t>
      </w:r>
      <w:r w:rsidRPr="00C83361">
        <w:t>Procedural techniques and multicenter postmarket experience using minimally invasive convective radiofrequency thermal therapy with Rezūm system for treatment of lower urinary tract symptoms due to benign prostatic hyperplasia</w:t>
      </w:r>
      <w:r>
        <w:t>. Res Rep Urol. 2017;21(9):159-168.</w:t>
      </w:r>
    </w:p>
    <w:p w14:paraId="19047DB7" w14:textId="77777777" w:rsidR="00B53E57" w:rsidRDefault="00B53E57" w:rsidP="00B53E57">
      <w:r>
        <w:t xml:space="preserve">Dixon C, Cedano E, Pacik D, et al. </w:t>
      </w:r>
      <w:r w:rsidRPr="00C83361">
        <w:t>Two-year results after convective radiofrequency water vapor thermal therapy of symptomatic benign prostatic hyperplasia</w:t>
      </w:r>
      <w:r>
        <w:t>. Res Rep Urol. 2016;21(8):207-216.</w:t>
      </w:r>
    </w:p>
    <w:p w14:paraId="7B2E2C3F" w14:textId="77777777" w:rsidR="00B53E57" w:rsidRDefault="00B53E57" w:rsidP="00B53E57">
      <w:r>
        <w:t>Girman CJ, Jacobsen SJ, Rhodes T, Guess HA, Roberts RO, Lieber MM. 1999. Association of health-related quality of life and benign prostatic enlargement. Eur Urol. Apr; 35(4):277-84.</w:t>
      </w:r>
    </w:p>
    <w:p w14:paraId="3646B8FB" w14:textId="77777777" w:rsidR="00B53E57" w:rsidRDefault="00B53E57" w:rsidP="00B53E57">
      <w:r>
        <w:t>Girman CJ, Jacobsen SJ, Tsukamoto T, Richard F, Garraway WM, Sagnier PP, Guess HA, Rhodes T, Boyle P, Lieber MM. 1998. Health-related quality of life associated with lower urinary tract symptoms in four countries. Urology. Mar; 51(3):428-36</w:t>
      </w:r>
    </w:p>
    <w:p w14:paraId="25A9B9BD" w14:textId="2488FC60" w:rsidR="00B53E57" w:rsidRDefault="00B53E57" w:rsidP="00B53E57">
      <w:r>
        <w:t xml:space="preserve">Gupta N, Rogers T, Holland B, et al. </w:t>
      </w:r>
      <w:r w:rsidRPr="00C83361">
        <w:t>Three-Year Treatment Outcomes of Water Vapor Thermal Therapy Compared to Doxazosin, Finasteride and Combination Drug Therapy in Men with Benign Prostatic Hyperplasia: Cohort Data from the MTOPS Trial</w:t>
      </w:r>
      <w:r>
        <w:t>. Journal of Urology. 2018;200(2):405-413.</w:t>
      </w:r>
    </w:p>
    <w:p w14:paraId="7B4749E5" w14:textId="77777777" w:rsidR="00B53E57" w:rsidRPr="00233955" w:rsidRDefault="00B53E57" w:rsidP="00B53E57">
      <w:pPr>
        <w:rPr>
          <w:b/>
          <w:bCs/>
        </w:rPr>
      </w:pPr>
      <w:r>
        <w:t xml:space="preserve">Lee S, Chan E, Lai Y. </w:t>
      </w:r>
      <w:r w:rsidRPr="00233955">
        <w:rPr>
          <w:bCs/>
        </w:rPr>
        <w:t>The global burden of lower urinary tract symptoms suggestive of benign prostatic hyperplasia: A systematic review and meta-analysis.</w:t>
      </w:r>
      <w:r>
        <w:rPr>
          <w:bCs/>
        </w:rPr>
        <w:t xml:space="preserve"> Sci Rep. 2017;7(1):7984.</w:t>
      </w:r>
    </w:p>
    <w:p w14:paraId="78EAC5E8" w14:textId="77777777" w:rsidR="00B53E57" w:rsidRDefault="00B53E57" w:rsidP="00B53E57">
      <w:r>
        <w:t xml:space="preserve">McVary K, Gange S, Gittelman M, et al. </w:t>
      </w:r>
      <w:r w:rsidRPr="00C83361">
        <w:t>Minimally Invasive Prostate Convective Water Vapor Energy Ablation: A Multicenter, Randomized, Controlled Study for the Treatment of Lower Urinary Tract Symptoms Secondary to Benign Prostatic Hyperplasia</w:t>
      </w:r>
      <w:r>
        <w:t>. Journal of urology. 2016;195(5):1529-1538.</w:t>
      </w:r>
    </w:p>
    <w:p w14:paraId="61B74EE3" w14:textId="77777777" w:rsidR="00B53E57" w:rsidRDefault="00B53E57" w:rsidP="00B53E57">
      <w:r>
        <w:t xml:space="preserve">McVary K, Roehrborn C. </w:t>
      </w:r>
      <w:r w:rsidRPr="00C83361">
        <w:t>Three-Year Outcomes of the Prospective, Randomized Controlled Rezum System Study: Convective Radiofrequency Thermal Therapy for Treatment of Lower Urinary Tract Symptoms Due to Benign Prostatic Hyperplasia</w:t>
      </w:r>
      <w:r>
        <w:t>. Urology. 2019;111:1-9.</w:t>
      </w:r>
    </w:p>
    <w:p w14:paraId="505A532C" w14:textId="77777777" w:rsidR="00B53E57" w:rsidRPr="00C83361" w:rsidRDefault="00B53E57" w:rsidP="00B53E57">
      <w:pPr>
        <w:rPr>
          <w:b/>
          <w:bCs/>
        </w:rPr>
      </w:pPr>
      <w:r>
        <w:t xml:space="preserve">McVary K, Rogers t, Roehrborn C. </w:t>
      </w:r>
      <w:r w:rsidRPr="00C83361">
        <w:rPr>
          <w:bCs/>
        </w:rPr>
        <w:t>Rezūm Water Vapor Thermal Therapy for Lower Urinary Tract Symptoms Associated with Benign Prostatic Hyperplasia: 4-Year Results from Randomized Controlled Study.</w:t>
      </w:r>
      <w:r>
        <w:rPr>
          <w:bCs/>
        </w:rPr>
        <w:t xml:space="preserve"> Urology. 2019;19:e30070-6.</w:t>
      </w:r>
    </w:p>
    <w:p w14:paraId="3435B0BA" w14:textId="77777777" w:rsidR="00B53E57" w:rsidRDefault="00B53E57" w:rsidP="00B53E57">
      <w:r>
        <w:t xml:space="preserve">Medicare benefits Schedule Review Taskforce. </w:t>
      </w:r>
      <w:r>
        <w:rPr>
          <w:i/>
        </w:rPr>
        <w:t xml:space="preserve">Report from the Urology Clinical Committee 2018. </w:t>
      </w:r>
      <w:r>
        <w:t xml:space="preserve">Accessed via </w:t>
      </w:r>
      <w:hyperlink r:id="rId26" w:history="1">
        <w:r w:rsidRPr="006A722C">
          <w:rPr>
            <w:rStyle w:val="Hyperlink"/>
          </w:rPr>
          <w:t>http://www.health.gov.au/internet/main/publishing.nsf/Content/mbs-review-2018-taskforce-reports-cp/$File/Urology-Clinical-Committee.pdf</w:t>
        </w:r>
      </w:hyperlink>
    </w:p>
    <w:p w14:paraId="0AC99F13" w14:textId="77777777" w:rsidR="00B53E57" w:rsidRDefault="00B53E57" w:rsidP="00B53E57">
      <w:r>
        <w:t>Medical Services Advisory Committee (MSAC). Application 1518 – Endoscopic non-contact (side firing) visual laser ablation of the prostate (VLAP) for benign prostatic hyperplasia (BPH). 2018.</w:t>
      </w:r>
    </w:p>
    <w:p w14:paraId="73E844A9" w14:textId="77777777" w:rsidR="00B53E57" w:rsidRDefault="00B53E57" w:rsidP="00B53E57">
      <w:r>
        <w:t xml:space="preserve">Mollengarden D, Goldberg K, Wong D, Roehrborn C. </w:t>
      </w:r>
      <w:r w:rsidRPr="004066A7">
        <w:t>Convective radiofrequency water vapor thermal therapy for benign prostatic hyperplasia: a single office experience.</w:t>
      </w:r>
      <w:r>
        <w:t xml:space="preserve"> Prostate cancer Prostatic Dis. 2018;21(3):379-385.</w:t>
      </w:r>
    </w:p>
    <w:p w14:paraId="309F0068" w14:textId="77777777" w:rsidR="00B53E57" w:rsidRDefault="00B53E57" w:rsidP="00B53E57">
      <w:r>
        <w:t>National Institute for Health and Care Excellence (NICE). Rezum for treating benign prostatic hyperplasia (MIB158). 2018.</w:t>
      </w:r>
    </w:p>
    <w:p w14:paraId="02F9D45F" w14:textId="77777777" w:rsidR="000E1E79" w:rsidRPr="00E11D66" w:rsidRDefault="000E1E79" w:rsidP="000E1E79">
      <w:r w:rsidRPr="00E11D66">
        <w:t>National Institute for Health and Care Excellence (NICE). Adoption of UroLift procedure, an ambulatory pathway for patients suffering from Lower Urinary Tract Symptoms of Benign Prostatic Hyperplasia. 2016.</w:t>
      </w:r>
    </w:p>
    <w:p w14:paraId="390FA35F" w14:textId="77777777" w:rsidR="00B53E57" w:rsidRPr="00744C1A" w:rsidRDefault="00B53E57" w:rsidP="00B53E57">
      <w:pPr>
        <w:rPr>
          <w:bCs/>
        </w:rPr>
      </w:pPr>
      <w:r>
        <w:t xml:space="preserve">Nickel J. </w:t>
      </w:r>
      <w:r w:rsidRPr="00744C1A">
        <w:rPr>
          <w:bCs/>
        </w:rPr>
        <w:t>The overlapping lower urinary tract symptoms of benign prostatic hyperplasia and prostatitis.</w:t>
      </w:r>
      <w:r>
        <w:rPr>
          <w:bCs/>
        </w:rPr>
        <w:t xml:space="preserve"> Curr Opin Urol. 2006;16(1):5-10.</w:t>
      </w:r>
    </w:p>
    <w:p w14:paraId="0D701A01" w14:textId="77777777" w:rsidR="00B53E57" w:rsidRDefault="00B53E57" w:rsidP="00B53E57">
      <w:pPr>
        <w:rPr>
          <w:b/>
          <w:bCs/>
        </w:rPr>
      </w:pPr>
      <w:r w:rsidRPr="004066A7">
        <w:lastRenderedPageBreak/>
        <w:t>NCT02940392</w:t>
      </w:r>
      <w:r>
        <w:t xml:space="preserve">. </w:t>
      </w:r>
      <w:r w:rsidRPr="004066A7">
        <w:rPr>
          <w:bCs/>
        </w:rPr>
        <w:t>Rezum FIM Optimization (Rezum FIM)</w:t>
      </w:r>
      <w:r>
        <w:rPr>
          <w:b/>
          <w:bCs/>
        </w:rPr>
        <w:t>.</w:t>
      </w:r>
    </w:p>
    <w:p w14:paraId="20A24A58" w14:textId="77777777" w:rsidR="00B53E57" w:rsidRPr="0042031E" w:rsidRDefault="00B53E57" w:rsidP="00B53E57">
      <w:r w:rsidRPr="0042031E">
        <w:rPr>
          <w:bCs/>
        </w:rPr>
        <w:t xml:space="preserve">Roehrborn C. </w:t>
      </w:r>
      <w:r w:rsidRPr="0042031E">
        <w:t>Benign Prostatic Hyperplasia: An Overview</w:t>
      </w:r>
      <w:r>
        <w:t>. Rev Urol. 2005;7(9):S3-S14.</w:t>
      </w:r>
    </w:p>
    <w:p w14:paraId="0D0ACB5E" w14:textId="77777777" w:rsidR="00B53E57" w:rsidRDefault="00B53E57" w:rsidP="00B53E57">
      <w:pPr>
        <w:rPr>
          <w:szCs w:val="20"/>
        </w:rPr>
      </w:pPr>
      <w:r>
        <w:rPr>
          <w:szCs w:val="20"/>
        </w:rPr>
        <w:t xml:space="preserve">Roehrborn C, Gange Sm Gittelman M, et al. </w:t>
      </w:r>
      <w:r w:rsidRPr="00C83361">
        <w:rPr>
          <w:szCs w:val="20"/>
        </w:rPr>
        <w:t>Convective Thermal Therapy: Durable 2-Year Results of Randomized Controlled and Prospective Crossover Studies for Treatment of Lower Urinary Tract Symptoms Due to Benign Prostatic Hyperplasia</w:t>
      </w:r>
      <w:r>
        <w:rPr>
          <w:szCs w:val="20"/>
        </w:rPr>
        <w:t>. Journal of Urology. 2017;197(6):1507-1516.</w:t>
      </w:r>
    </w:p>
    <w:p w14:paraId="72288DDE" w14:textId="77777777" w:rsidR="00B53E57" w:rsidRDefault="00B53E57" w:rsidP="00B53E57">
      <w:pPr>
        <w:rPr>
          <w:szCs w:val="20"/>
        </w:rPr>
      </w:pPr>
      <w:r>
        <w:rPr>
          <w:szCs w:val="20"/>
        </w:rPr>
        <w:t>Roehrborn C, Barkin J, Gange S, et al. Five year results of the prospective randomised controlled prostatic urethral L.I.F.T. study. The Canadian Journal of Urology. 2017;24(3):8802-8813.</w:t>
      </w:r>
    </w:p>
    <w:p w14:paraId="18D76ABF" w14:textId="77777777" w:rsidR="00B53E57" w:rsidRPr="0042031E" w:rsidRDefault="00B53E57" w:rsidP="00B53E57">
      <w:pPr>
        <w:rPr>
          <w:b/>
          <w:bCs/>
          <w:szCs w:val="20"/>
        </w:rPr>
      </w:pPr>
      <w:r>
        <w:rPr>
          <w:szCs w:val="20"/>
        </w:rPr>
        <w:t xml:space="preserve">Rosen R, Altwein J, Boyle P, et al. </w:t>
      </w:r>
      <w:r w:rsidRPr="0042031E">
        <w:rPr>
          <w:bCs/>
          <w:szCs w:val="20"/>
        </w:rPr>
        <w:t>Lower</w:t>
      </w:r>
      <w:r w:rsidRPr="0042031E">
        <w:rPr>
          <w:b/>
          <w:bCs/>
          <w:szCs w:val="20"/>
        </w:rPr>
        <w:t xml:space="preserve"> </w:t>
      </w:r>
      <w:r w:rsidRPr="0042031E">
        <w:rPr>
          <w:bCs/>
          <w:szCs w:val="20"/>
        </w:rPr>
        <w:t>urinary tract symptoms and male sexual dysfunction: the multinational survey of the aging male (MSAM-7).</w:t>
      </w:r>
      <w:r>
        <w:rPr>
          <w:bCs/>
          <w:szCs w:val="20"/>
        </w:rPr>
        <w:t xml:space="preserve"> Eur Urol. 2003;44(6):637-49.</w:t>
      </w:r>
    </w:p>
    <w:p w14:paraId="1B26E6D9" w14:textId="77777777" w:rsidR="00B53E57" w:rsidRDefault="00B53E57" w:rsidP="00B53E57">
      <w:pPr>
        <w:rPr>
          <w:szCs w:val="20"/>
        </w:rPr>
      </w:pPr>
      <w:r w:rsidRPr="0042031E">
        <w:rPr>
          <w:szCs w:val="20"/>
        </w:rPr>
        <w:t>Speakman M, Kirby R, Doyle S, Loannou C. Burden of male lower urinary tract symptoms (LUTS) suggestive of benign prostatic hyperplasia (BPH) – focus on the UK. BJU Int. 2015;115(4):508-19.</w:t>
      </w:r>
    </w:p>
    <w:p w14:paraId="3E72D4EB" w14:textId="77777777" w:rsidR="00B53E57" w:rsidRPr="00233955" w:rsidRDefault="00B53E57" w:rsidP="00B53E57">
      <w:pPr>
        <w:rPr>
          <w:b/>
          <w:bCs/>
          <w:szCs w:val="20"/>
        </w:rPr>
      </w:pPr>
      <w:r>
        <w:rPr>
          <w:szCs w:val="20"/>
        </w:rPr>
        <w:t xml:space="preserve">Sonsken J, Barber N, Speakman M, et al. </w:t>
      </w:r>
      <w:r w:rsidRPr="00233955">
        <w:rPr>
          <w:bCs/>
          <w:szCs w:val="20"/>
        </w:rPr>
        <w:t>Prospective, randomized, multinational study of prostatic urethral lift versus transurethral resection of the prostate: 12-month results from the BPH6 study.</w:t>
      </w:r>
      <w:r>
        <w:rPr>
          <w:bCs/>
          <w:szCs w:val="20"/>
        </w:rPr>
        <w:t xml:space="preserve"> Eur Urol. 2015;68(4):643-652.</w:t>
      </w:r>
    </w:p>
    <w:p w14:paraId="106FD0A2" w14:textId="77777777" w:rsidR="00290344" w:rsidRDefault="00290344" w:rsidP="00290344"/>
    <w:p w14:paraId="33CBF7C8" w14:textId="4CEE5BA9" w:rsidR="00290344" w:rsidRPr="00290344" w:rsidRDefault="00290344" w:rsidP="00290344">
      <w:pPr>
        <w:sectPr w:rsidR="00290344" w:rsidRPr="00290344" w:rsidSect="00DD308E">
          <w:pgSz w:w="11906" w:h="16838"/>
          <w:pgMar w:top="1440" w:right="1440" w:bottom="1440" w:left="1440" w:header="708" w:footer="708" w:gutter="0"/>
          <w:cols w:space="708"/>
          <w:docGrid w:linePitch="360"/>
        </w:sectPr>
      </w:pPr>
    </w:p>
    <w:p w14:paraId="7772FC02" w14:textId="1B411A30" w:rsidR="00451840" w:rsidRDefault="00451840" w:rsidP="008A3F36">
      <w:pPr>
        <w:rPr>
          <w:szCs w:val="20"/>
        </w:rPr>
      </w:pP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60E4" w14:textId="77777777" w:rsidR="009225F5" w:rsidRDefault="009225F5" w:rsidP="00CF2DFA">
      <w:pPr>
        <w:spacing w:after="0"/>
      </w:pPr>
      <w:r>
        <w:separator/>
      </w:r>
    </w:p>
  </w:endnote>
  <w:endnote w:type="continuationSeparator" w:id="0">
    <w:p w14:paraId="3F7A45AE" w14:textId="77777777" w:rsidR="009225F5" w:rsidRDefault="009225F5"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3C58" w14:textId="77777777" w:rsidR="00C51F41" w:rsidRDefault="00C5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3258E09" w14:textId="3D27625B" w:rsidR="009225F5" w:rsidRDefault="009225F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E7920" w:rsidRPr="00CE7920">
          <w:rPr>
            <w:b/>
            <w:bCs/>
            <w:noProof/>
            <w:sz w:val="18"/>
            <w:szCs w:val="18"/>
          </w:rPr>
          <w:t>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2C6C7E8" w14:textId="77777777" w:rsidR="009225F5" w:rsidRPr="003F7CB9" w:rsidRDefault="009225F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EB39" w14:textId="77777777" w:rsidR="00C51F41" w:rsidRDefault="00C51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860F5" w14:textId="77777777" w:rsidR="009225F5" w:rsidRDefault="009225F5" w:rsidP="00CF2DFA">
      <w:pPr>
        <w:spacing w:after="0"/>
      </w:pPr>
      <w:r>
        <w:separator/>
      </w:r>
    </w:p>
  </w:footnote>
  <w:footnote w:type="continuationSeparator" w:id="0">
    <w:p w14:paraId="20469252" w14:textId="77777777" w:rsidR="009225F5" w:rsidRDefault="009225F5"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C0B9" w14:textId="77777777" w:rsidR="00C51F41" w:rsidRDefault="00C5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414C" w14:textId="77777777" w:rsidR="00C51F41" w:rsidRDefault="00C51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DCB6" w14:textId="77777777" w:rsidR="00C51F41" w:rsidRDefault="00C5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148F1"/>
    <w:multiLevelType w:val="hybridMultilevel"/>
    <w:tmpl w:val="BC1E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B93957"/>
    <w:multiLevelType w:val="hybridMultilevel"/>
    <w:tmpl w:val="D6AE664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5656C"/>
    <w:multiLevelType w:val="hybridMultilevel"/>
    <w:tmpl w:val="6926600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82A3F14"/>
    <w:multiLevelType w:val="hybridMultilevel"/>
    <w:tmpl w:val="5BE0FC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DB2AA3"/>
    <w:multiLevelType w:val="hybridMultilevel"/>
    <w:tmpl w:val="CABE69C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0"/>
  </w:num>
  <w:num w:numId="26">
    <w:abstractNumId w:val="3"/>
  </w:num>
  <w:num w:numId="27">
    <w:abstractNumId w:val="17"/>
  </w:num>
  <w:num w:numId="28">
    <w:abstractNumId w:val="12"/>
  </w:num>
  <w:num w:numId="29">
    <w:abstractNumId w:val="22"/>
  </w:num>
  <w:num w:numId="30">
    <w:abstractNumId w:val="2"/>
  </w:num>
  <w:num w:numId="31">
    <w:abstractNumId w:val="19"/>
  </w:num>
  <w:num w:numId="32">
    <w:abstractNumId w:val="8"/>
  </w:num>
  <w:num w:numId="33">
    <w:abstractNumId w:val="18"/>
  </w:num>
  <w:num w:numId="34">
    <w:abstractNumId w:val="7"/>
  </w:num>
  <w:num w:numId="35">
    <w:abstractNumId w:val="13"/>
  </w:num>
  <w:num w:numId="36">
    <w:abstractNumId w:val="0"/>
  </w:num>
  <w:num w:numId="37">
    <w:abstractNumId w:val="14"/>
  </w:num>
  <w:num w:numId="38">
    <w:abstractNumId w:val="21"/>
  </w:num>
  <w:num w:numId="39">
    <w:abstractNumId w:val="4"/>
  </w:num>
  <w:num w:numId="40">
    <w:abstractNumId w:val="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365A"/>
    <w:rsid w:val="00010FCB"/>
    <w:rsid w:val="000110DC"/>
    <w:rsid w:val="000158AA"/>
    <w:rsid w:val="000159B9"/>
    <w:rsid w:val="00016B6E"/>
    <w:rsid w:val="00023E21"/>
    <w:rsid w:val="00025ABC"/>
    <w:rsid w:val="00026412"/>
    <w:rsid w:val="00031F6F"/>
    <w:rsid w:val="00034D6E"/>
    <w:rsid w:val="00036298"/>
    <w:rsid w:val="0003758F"/>
    <w:rsid w:val="000505A7"/>
    <w:rsid w:val="0005089D"/>
    <w:rsid w:val="000525BC"/>
    <w:rsid w:val="0006436D"/>
    <w:rsid w:val="00066DDF"/>
    <w:rsid w:val="00073222"/>
    <w:rsid w:val="000770BA"/>
    <w:rsid w:val="00083DCE"/>
    <w:rsid w:val="00090AB2"/>
    <w:rsid w:val="00092580"/>
    <w:rsid w:val="000955E7"/>
    <w:rsid w:val="000A110D"/>
    <w:rsid w:val="000A478F"/>
    <w:rsid w:val="000A5B32"/>
    <w:rsid w:val="000B3CD0"/>
    <w:rsid w:val="000D066E"/>
    <w:rsid w:val="000D0831"/>
    <w:rsid w:val="000E1E79"/>
    <w:rsid w:val="000E47E7"/>
    <w:rsid w:val="000E5439"/>
    <w:rsid w:val="000F4A50"/>
    <w:rsid w:val="00102686"/>
    <w:rsid w:val="0011036E"/>
    <w:rsid w:val="001130B0"/>
    <w:rsid w:val="0011369B"/>
    <w:rsid w:val="00114C28"/>
    <w:rsid w:val="001172A7"/>
    <w:rsid w:val="0011742E"/>
    <w:rsid w:val="00123D10"/>
    <w:rsid w:val="00124E56"/>
    <w:rsid w:val="00126B33"/>
    <w:rsid w:val="00154B00"/>
    <w:rsid w:val="001644E9"/>
    <w:rsid w:val="00174EFA"/>
    <w:rsid w:val="00175250"/>
    <w:rsid w:val="001845D9"/>
    <w:rsid w:val="0018630F"/>
    <w:rsid w:val="001906CD"/>
    <w:rsid w:val="00191B99"/>
    <w:rsid w:val="0019694B"/>
    <w:rsid w:val="00197D29"/>
    <w:rsid w:val="00197ED6"/>
    <w:rsid w:val="001A02E3"/>
    <w:rsid w:val="001A1ADF"/>
    <w:rsid w:val="001A365C"/>
    <w:rsid w:val="001B0C00"/>
    <w:rsid w:val="001B171D"/>
    <w:rsid w:val="001B29A1"/>
    <w:rsid w:val="001B5169"/>
    <w:rsid w:val="001B6164"/>
    <w:rsid w:val="001C12BC"/>
    <w:rsid w:val="001D77ED"/>
    <w:rsid w:val="001E1180"/>
    <w:rsid w:val="001E23EA"/>
    <w:rsid w:val="001E4983"/>
    <w:rsid w:val="001E6919"/>
    <w:rsid w:val="001E6958"/>
    <w:rsid w:val="00201924"/>
    <w:rsid w:val="00202473"/>
    <w:rsid w:val="002027E4"/>
    <w:rsid w:val="002053F2"/>
    <w:rsid w:val="00206D63"/>
    <w:rsid w:val="0021185D"/>
    <w:rsid w:val="00226777"/>
    <w:rsid w:val="00235BD1"/>
    <w:rsid w:val="00242B0E"/>
    <w:rsid w:val="00247DF0"/>
    <w:rsid w:val="00254813"/>
    <w:rsid w:val="00257FF2"/>
    <w:rsid w:val="00260287"/>
    <w:rsid w:val="00265822"/>
    <w:rsid w:val="0027105F"/>
    <w:rsid w:val="002711FB"/>
    <w:rsid w:val="00272DC9"/>
    <w:rsid w:val="00283318"/>
    <w:rsid w:val="00283C25"/>
    <w:rsid w:val="00285525"/>
    <w:rsid w:val="00290344"/>
    <w:rsid w:val="00294CD8"/>
    <w:rsid w:val="002A19C8"/>
    <w:rsid w:val="002A270B"/>
    <w:rsid w:val="002A50FD"/>
    <w:rsid w:val="002A6753"/>
    <w:rsid w:val="002B28D7"/>
    <w:rsid w:val="002B7EB6"/>
    <w:rsid w:val="002C0B61"/>
    <w:rsid w:val="002C15E6"/>
    <w:rsid w:val="002C247D"/>
    <w:rsid w:val="002C27BB"/>
    <w:rsid w:val="002C3345"/>
    <w:rsid w:val="002D409A"/>
    <w:rsid w:val="002D6213"/>
    <w:rsid w:val="002F30E7"/>
    <w:rsid w:val="00300EEB"/>
    <w:rsid w:val="003013A9"/>
    <w:rsid w:val="003020B5"/>
    <w:rsid w:val="003027BB"/>
    <w:rsid w:val="003062D7"/>
    <w:rsid w:val="00310A10"/>
    <w:rsid w:val="00327D25"/>
    <w:rsid w:val="003319A7"/>
    <w:rsid w:val="00334FE3"/>
    <w:rsid w:val="0033705F"/>
    <w:rsid w:val="003421AE"/>
    <w:rsid w:val="003433D1"/>
    <w:rsid w:val="00344B24"/>
    <w:rsid w:val="003456B9"/>
    <w:rsid w:val="0035067D"/>
    <w:rsid w:val="00353A16"/>
    <w:rsid w:val="0035667B"/>
    <w:rsid w:val="0035776D"/>
    <w:rsid w:val="00364FD9"/>
    <w:rsid w:val="00367C1B"/>
    <w:rsid w:val="00376B61"/>
    <w:rsid w:val="00382407"/>
    <w:rsid w:val="00383A42"/>
    <w:rsid w:val="00386A64"/>
    <w:rsid w:val="00386FA1"/>
    <w:rsid w:val="00390142"/>
    <w:rsid w:val="003910D6"/>
    <w:rsid w:val="00392F00"/>
    <w:rsid w:val="00397377"/>
    <w:rsid w:val="003A22DE"/>
    <w:rsid w:val="003A2860"/>
    <w:rsid w:val="003A3C35"/>
    <w:rsid w:val="003A7D30"/>
    <w:rsid w:val="003B0D70"/>
    <w:rsid w:val="003B3C5C"/>
    <w:rsid w:val="003B50B2"/>
    <w:rsid w:val="003C47CA"/>
    <w:rsid w:val="003C677C"/>
    <w:rsid w:val="003D0FED"/>
    <w:rsid w:val="003D1C6F"/>
    <w:rsid w:val="003D5843"/>
    <w:rsid w:val="003D6DE1"/>
    <w:rsid w:val="003D795C"/>
    <w:rsid w:val="003E30FB"/>
    <w:rsid w:val="003E45E5"/>
    <w:rsid w:val="003F2711"/>
    <w:rsid w:val="003F5995"/>
    <w:rsid w:val="003F6C70"/>
    <w:rsid w:val="003F7CB9"/>
    <w:rsid w:val="00402F16"/>
    <w:rsid w:val="00403333"/>
    <w:rsid w:val="00411735"/>
    <w:rsid w:val="00412E9C"/>
    <w:rsid w:val="00415C74"/>
    <w:rsid w:val="00420BF1"/>
    <w:rsid w:val="00423988"/>
    <w:rsid w:val="00424B1F"/>
    <w:rsid w:val="0043654D"/>
    <w:rsid w:val="004417AF"/>
    <w:rsid w:val="00451840"/>
    <w:rsid w:val="00454CC9"/>
    <w:rsid w:val="00460C9A"/>
    <w:rsid w:val="00464924"/>
    <w:rsid w:val="00465253"/>
    <w:rsid w:val="00470E93"/>
    <w:rsid w:val="00471C23"/>
    <w:rsid w:val="0047581D"/>
    <w:rsid w:val="00476A79"/>
    <w:rsid w:val="00480289"/>
    <w:rsid w:val="00481279"/>
    <w:rsid w:val="00483368"/>
    <w:rsid w:val="00491041"/>
    <w:rsid w:val="00494011"/>
    <w:rsid w:val="004975C5"/>
    <w:rsid w:val="004A0BF4"/>
    <w:rsid w:val="004A2591"/>
    <w:rsid w:val="004A263B"/>
    <w:rsid w:val="004B68AE"/>
    <w:rsid w:val="004C35B0"/>
    <w:rsid w:val="004C49EF"/>
    <w:rsid w:val="004C4A19"/>
    <w:rsid w:val="004C5570"/>
    <w:rsid w:val="004D00C9"/>
    <w:rsid w:val="004D46BA"/>
    <w:rsid w:val="004D49CB"/>
    <w:rsid w:val="004D5399"/>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60541"/>
    <w:rsid w:val="005672D0"/>
    <w:rsid w:val="00571DC9"/>
    <w:rsid w:val="00572CEB"/>
    <w:rsid w:val="005750E1"/>
    <w:rsid w:val="00581FE1"/>
    <w:rsid w:val="005834C9"/>
    <w:rsid w:val="005A58BA"/>
    <w:rsid w:val="005A5D30"/>
    <w:rsid w:val="005A6AB9"/>
    <w:rsid w:val="005C333E"/>
    <w:rsid w:val="005C3AE7"/>
    <w:rsid w:val="005D0677"/>
    <w:rsid w:val="005E294C"/>
    <w:rsid w:val="005E2CE3"/>
    <w:rsid w:val="005F2F2B"/>
    <w:rsid w:val="005F3F07"/>
    <w:rsid w:val="00601C77"/>
    <w:rsid w:val="00603D04"/>
    <w:rsid w:val="0060529B"/>
    <w:rsid w:val="00606857"/>
    <w:rsid w:val="00615F42"/>
    <w:rsid w:val="006258C2"/>
    <w:rsid w:val="00626365"/>
    <w:rsid w:val="00630E22"/>
    <w:rsid w:val="00635A9D"/>
    <w:rsid w:val="0063723C"/>
    <w:rsid w:val="00641566"/>
    <w:rsid w:val="0064168C"/>
    <w:rsid w:val="00652AB2"/>
    <w:rsid w:val="00657B46"/>
    <w:rsid w:val="006645C0"/>
    <w:rsid w:val="006764EC"/>
    <w:rsid w:val="006835FE"/>
    <w:rsid w:val="00693BFD"/>
    <w:rsid w:val="00695065"/>
    <w:rsid w:val="006A1038"/>
    <w:rsid w:val="006A53AB"/>
    <w:rsid w:val="006A649A"/>
    <w:rsid w:val="006B1B49"/>
    <w:rsid w:val="006B6390"/>
    <w:rsid w:val="006C0356"/>
    <w:rsid w:val="006C0843"/>
    <w:rsid w:val="006C56CE"/>
    <w:rsid w:val="006C74B1"/>
    <w:rsid w:val="006E57AA"/>
    <w:rsid w:val="006F20CF"/>
    <w:rsid w:val="006F38ED"/>
    <w:rsid w:val="0070148B"/>
    <w:rsid w:val="0070234C"/>
    <w:rsid w:val="00707D4D"/>
    <w:rsid w:val="00710E43"/>
    <w:rsid w:val="007118F6"/>
    <w:rsid w:val="00723503"/>
    <w:rsid w:val="00730C04"/>
    <w:rsid w:val="00735030"/>
    <w:rsid w:val="0073597B"/>
    <w:rsid w:val="007378F6"/>
    <w:rsid w:val="0074196F"/>
    <w:rsid w:val="0074545D"/>
    <w:rsid w:val="007522E3"/>
    <w:rsid w:val="0075335B"/>
    <w:rsid w:val="00753C44"/>
    <w:rsid w:val="00754383"/>
    <w:rsid w:val="007564D1"/>
    <w:rsid w:val="00757232"/>
    <w:rsid w:val="00760679"/>
    <w:rsid w:val="007611F7"/>
    <w:rsid w:val="00761BD6"/>
    <w:rsid w:val="00763379"/>
    <w:rsid w:val="00763628"/>
    <w:rsid w:val="007679A6"/>
    <w:rsid w:val="00767E99"/>
    <w:rsid w:val="00772E62"/>
    <w:rsid w:val="0077789B"/>
    <w:rsid w:val="00780D29"/>
    <w:rsid w:val="00791C8D"/>
    <w:rsid w:val="00794181"/>
    <w:rsid w:val="007A7F6F"/>
    <w:rsid w:val="007B4C76"/>
    <w:rsid w:val="007C2260"/>
    <w:rsid w:val="007D1E52"/>
    <w:rsid w:val="007D2358"/>
    <w:rsid w:val="007D50A9"/>
    <w:rsid w:val="007E39E4"/>
    <w:rsid w:val="007E6FB3"/>
    <w:rsid w:val="007F21B4"/>
    <w:rsid w:val="00802553"/>
    <w:rsid w:val="00803EAB"/>
    <w:rsid w:val="008046B5"/>
    <w:rsid w:val="00811512"/>
    <w:rsid w:val="008127C0"/>
    <w:rsid w:val="00812EDD"/>
    <w:rsid w:val="008139C5"/>
    <w:rsid w:val="0081650F"/>
    <w:rsid w:val="00817296"/>
    <w:rsid w:val="00822D39"/>
    <w:rsid w:val="00832B31"/>
    <w:rsid w:val="0084039E"/>
    <w:rsid w:val="008403E0"/>
    <w:rsid w:val="00840974"/>
    <w:rsid w:val="0084657B"/>
    <w:rsid w:val="00855944"/>
    <w:rsid w:val="00864A18"/>
    <w:rsid w:val="00870833"/>
    <w:rsid w:val="00874571"/>
    <w:rsid w:val="00881F93"/>
    <w:rsid w:val="00882CB5"/>
    <w:rsid w:val="00883641"/>
    <w:rsid w:val="00884E69"/>
    <w:rsid w:val="00890082"/>
    <w:rsid w:val="008A3F36"/>
    <w:rsid w:val="008A48D2"/>
    <w:rsid w:val="008A67C4"/>
    <w:rsid w:val="008B1D0F"/>
    <w:rsid w:val="008B2154"/>
    <w:rsid w:val="008B2610"/>
    <w:rsid w:val="008B3E4C"/>
    <w:rsid w:val="008B471D"/>
    <w:rsid w:val="008B4847"/>
    <w:rsid w:val="008B49E4"/>
    <w:rsid w:val="008B729C"/>
    <w:rsid w:val="008C3FC2"/>
    <w:rsid w:val="008C4A93"/>
    <w:rsid w:val="008C6294"/>
    <w:rsid w:val="008E0E49"/>
    <w:rsid w:val="008E33E5"/>
    <w:rsid w:val="008E35FD"/>
    <w:rsid w:val="008E6227"/>
    <w:rsid w:val="008E78B9"/>
    <w:rsid w:val="008F3C2E"/>
    <w:rsid w:val="00903269"/>
    <w:rsid w:val="00905318"/>
    <w:rsid w:val="0090543D"/>
    <w:rsid w:val="009056C5"/>
    <w:rsid w:val="009225F5"/>
    <w:rsid w:val="009262F2"/>
    <w:rsid w:val="00937791"/>
    <w:rsid w:val="00951933"/>
    <w:rsid w:val="00954343"/>
    <w:rsid w:val="00955271"/>
    <w:rsid w:val="00956E7A"/>
    <w:rsid w:val="00963C9C"/>
    <w:rsid w:val="009640F0"/>
    <w:rsid w:val="00965B6B"/>
    <w:rsid w:val="00971EDB"/>
    <w:rsid w:val="00974D50"/>
    <w:rsid w:val="00987ABE"/>
    <w:rsid w:val="00991EE4"/>
    <w:rsid w:val="009939DC"/>
    <w:rsid w:val="00993B9C"/>
    <w:rsid w:val="00995331"/>
    <w:rsid w:val="009B3442"/>
    <w:rsid w:val="009B4E1E"/>
    <w:rsid w:val="009C03FB"/>
    <w:rsid w:val="009C4B4F"/>
    <w:rsid w:val="009F0C02"/>
    <w:rsid w:val="009F5758"/>
    <w:rsid w:val="00A00482"/>
    <w:rsid w:val="00A0283F"/>
    <w:rsid w:val="00A02FD6"/>
    <w:rsid w:val="00A03B7F"/>
    <w:rsid w:val="00A04F4A"/>
    <w:rsid w:val="00A1326E"/>
    <w:rsid w:val="00A25856"/>
    <w:rsid w:val="00A26343"/>
    <w:rsid w:val="00A31788"/>
    <w:rsid w:val="00A408B5"/>
    <w:rsid w:val="00A529E2"/>
    <w:rsid w:val="00A539F8"/>
    <w:rsid w:val="00A600D3"/>
    <w:rsid w:val="00A6491A"/>
    <w:rsid w:val="00A6594E"/>
    <w:rsid w:val="00A727B6"/>
    <w:rsid w:val="00A80295"/>
    <w:rsid w:val="00A81CC6"/>
    <w:rsid w:val="00A82CF9"/>
    <w:rsid w:val="00A83EC6"/>
    <w:rsid w:val="00A8732C"/>
    <w:rsid w:val="00A9062D"/>
    <w:rsid w:val="00A93F58"/>
    <w:rsid w:val="00A96329"/>
    <w:rsid w:val="00AA134B"/>
    <w:rsid w:val="00AA2CFE"/>
    <w:rsid w:val="00AA5309"/>
    <w:rsid w:val="00AA5FDA"/>
    <w:rsid w:val="00AA6291"/>
    <w:rsid w:val="00AB0DB0"/>
    <w:rsid w:val="00AB19CC"/>
    <w:rsid w:val="00AC0C91"/>
    <w:rsid w:val="00AC515B"/>
    <w:rsid w:val="00AD241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33E28"/>
    <w:rsid w:val="00B35D0C"/>
    <w:rsid w:val="00B370B6"/>
    <w:rsid w:val="00B44B90"/>
    <w:rsid w:val="00B513EA"/>
    <w:rsid w:val="00B53BA6"/>
    <w:rsid w:val="00B53E57"/>
    <w:rsid w:val="00B5731D"/>
    <w:rsid w:val="00B61B53"/>
    <w:rsid w:val="00B6378B"/>
    <w:rsid w:val="00B63E3A"/>
    <w:rsid w:val="00B72BEF"/>
    <w:rsid w:val="00B75965"/>
    <w:rsid w:val="00B76D63"/>
    <w:rsid w:val="00B771AD"/>
    <w:rsid w:val="00B814CB"/>
    <w:rsid w:val="00B87319"/>
    <w:rsid w:val="00BA0CF8"/>
    <w:rsid w:val="00BA1ADF"/>
    <w:rsid w:val="00BA3DFF"/>
    <w:rsid w:val="00BA51FC"/>
    <w:rsid w:val="00BB003A"/>
    <w:rsid w:val="00BB3358"/>
    <w:rsid w:val="00BB3382"/>
    <w:rsid w:val="00BB3643"/>
    <w:rsid w:val="00BC3DA0"/>
    <w:rsid w:val="00BC424B"/>
    <w:rsid w:val="00BC596C"/>
    <w:rsid w:val="00BD5018"/>
    <w:rsid w:val="00BE0FDE"/>
    <w:rsid w:val="00BE148C"/>
    <w:rsid w:val="00BE3915"/>
    <w:rsid w:val="00BF02D2"/>
    <w:rsid w:val="00BF1A88"/>
    <w:rsid w:val="00BF6AC5"/>
    <w:rsid w:val="00C01121"/>
    <w:rsid w:val="00C030A5"/>
    <w:rsid w:val="00C036C6"/>
    <w:rsid w:val="00C05A45"/>
    <w:rsid w:val="00C0796F"/>
    <w:rsid w:val="00C11B34"/>
    <w:rsid w:val="00C12C5C"/>
    <w:rsid w:val="00C171FB"/>
    <w:rsid w:val="00C209C2"/>
    <w:rsid w:val="00C20D5A"/>
    <w:rsid w:val="00C2267F"/>
    <w:rsid w:val="00C22AD8"/>
    <w:rsid w:val="00C24727"/>
    <w:rsid w:val="00C3557E"/>
    <w:rsid w:val="00C3594B"/>
    <w:rsid w:val="00C42FBF"/>
    <w:rsid w:val="00C43102"/>
    <w:rsid w:val="00C43214"/>
    <w:rsid w:val="00C4696B"/>
    <w:rsid w:val="00C50513"/>
    <w:rsid w:val="00C51F41"/>
    <w:rsid w:val="00C54503"/>
    <w:rsid w:val="00C63055"/>
    <w:rsid w:val="00C73B62"/>
    <w:rsid w:val="00C776B1"/>
    <w:rsid w:val="00C815FE"/>
    <w:rsid w:val="00C847AE"/>
    <w:rsid w:val="00C85522"/>
    <w:rsid w:val="00CA04C6"/>
    <w:rsid w:val="00CA26B6"/>
    <w:rsid w:val="00CA26DD"/>
    <w:rsid w:val="00CB12EC"/>
    <w:rsid w:val="00CC09D7"/>
    <w:rsid w:val="00CC12B8"/>
    <w:rsid w:val="00CC5840"/>
    <w:rsid w:val="00CD22E3"/>
    <w:rsid w:val="00CD3A68"/>
    <w:rsid w:val="00CD4E44"/>
    <w:rsid w:val="00CD5AE4"/>
    <w:rsid w:val="00CD7A7D"/>
    <w:rsid w:val="00CE7920"/>
    <w:rsid w:val="00CF2D8E"/>
    <w:rsid w:val="00CF2DFA"/>
    <w:rsid w:val="00CF5AD8"/>
    <w:rsid w:val="00D00122"/>
    <w:rsid w:val="00D01D2A"/>
    <w:rsid w:val="00D10B47"/>
    <w:rsid w:val="00D11EB1"/>
    <w:rsid w:val="00D17F17"/>
    <w:rsid w:val="00D21D0E"/>
    <w:rsid w:val="00D23597"/>
    <w:rsid w:val="00D23BFA"/>
    <w:rsid w:val="00D30BDC"/>
    <w:rsid w:val="00D57F88"/>
    <w:rsid w:val="00D7105C"/>
    <w:rsid w:val="00D73646"/>
    <w:rsid w:val="00D777B4"/>
    <w:rsid w:val="00D77A90"/>
    <w:rsid w:val="00D8360B"/>
    <w:rsid w:val="00D839B1"/>
    <w:rsid w:val="00D8445F"/>
    <w:rsid w:val="00D85676"/>
    <w:rsid w:val="00D96ADA"/>
    <w:rsid w:val="00DA2886"/>
    <w:rsid w:val="00DA3B7E"/>
    <w:rsid w:val="00DA5E50"/>
    <w:rsid w:val="00DA7D0C"/>
    <w:rsid w:val="00DB311C"/>
    <w:rsid w:val="00DB432D"/>
    <w:rsid w:val="00DB519B"/>
    <w:rsid w:val="00DB6C13"/>
    <w:rsid w:val="00DC7694"/>
    <w:rsid w:val="00DC7FBE"/>
    <w:rsid w:val="00DD130E"/>
    <w:rsid w:val="00DD308E"/>
    <w:rsid w:val="00DF0C51"/>
    <w:rsid w:val="00DF0D47"/>
    <w:rsid w:val="00DF1652"/>
    <w:rsid w:val="00DF5CE8"/>
    <w:rsid w:val="00DF6D37"/>
    <w:rsid w:val="00E048ED"/>
    <w:rsid w:val="00E04CCA"/>
    <w:rsid w:val="00E04FB3"/>
    <w:rsid w:val="00E058F2"/>
    <w:rsid w:val="00E05D9C"/>
    <w:rsid w:val="00E06102"/>
    <w:rsid w:val="00E23E71"/>
    <w:rsid w:val="00E30F19"/>
    <w:rsid w:val="00E33C4A"/>
    <w:rsid w:val="00E346D0"/>
    <w:rsid w:val="00E357B9"/>
    <w:rsid w:val="00E35BF2"/>
    <w:rsid w:val="00E4321E"/>
    <w:rsid w:val="00E44B80"/>
    <w:rsid w:val="00E452E8"/>
    <w:rsid w:val="00E47623"/>
    <w:rsid w:val="00E5726B"/>
    <w:rsid w:val="00E60529"/>
    <w:rsid w:val="00E67894"/>
    <w:rsid w:val="00E70D86"/>
    <w:rsid w:val="00E7628E"/>
    <w:rsid w:val="00E82F54"/>
    <w:rsid w:val="00E8649B"/>
    <w:rsid w:val="00E871CD"/>
    <w:rsid w:val="00E90990"/>
    <w:rsid w:val="00E95D3D"/>
    <w:rsid w:val="00E9681B"/>
    <w:rsid w:val="00EA0E25"/>
    <w:rsid w:val="00EA173C"/>
    <w:rsid w:val="00EA285F"/>
    <w:rsid w:val="00EA4FA5"/>
    <w:rsid w:val="00EC0D46"/>
    <w:rsid w:val="00EC127A"/>
    <w:rsid w:val="00EC1FF9"/>
    <w:rsid w:val="00EC2737"/>
    <w:rsid w:val="00EE2716"/>
    <w:rsid w:val="00EE2D24"/>
    <w:rsid w:val="00EE2F29"/>
    <w:rsid w:val="00EE6450"/>
    <w:rsid w:val="00F01C2C"/>
    <w:rsid w:val="00F10ED8"/>
    <w:rsid w:val="00F222BE"/>
    <w:rsid w:val="00F22E65"/>
    <w:rsid w:val="00F24179"/>
    <w:rsid w:val="00F301F1"/>
    <w:rsid w:val="00F30C22"/>
    <w:rsid w:val="00F33F1A"/>
    <w:rsid w:val="00F35536"/>
    <w:rsid w:val="00F46758"/>
    <w:rsid w:val="00F547F7"/>
    <w:rsid w:val="00F54CCF"/>
    <w:rsid w:val="00F61D7A"/>
    <w:rsid w:val="00F637B3"/>
    <w:rsid w:val="00F66CF7"/>
    <w:rsid w:val="00F6780A"/>
    <w:rsid w:val="00F67BCB"/>
    <w:rsid w:val="00F7184C"/>
    <w:rsid w:val="00F77C57"/>
    <w:rsid w:val="00F813C7"/>
    <w:rsid w:val="00F83566"/>
    <w:rsid w:val="00F83A9D"/>
    <w:rsid w:val="00F906B5"/>
    <w:rsid w:val="00F93784"/>
    <w:rsid w:val="00F971CC"/>
    <w:rsid w:val="00FA2CAA"/>
    <w:rsid w:val="00FA3DA1"/>
    <w:rsid w:val="00FA6554"/>
    <w:rsid w:val="00FE05F8"/>
    <w:rsid w:val="00FE16C1"/>
    <w:rsid w:val="00FE19FF"/>
    <w:rsid w:val="00FE33A6"/>
    <w:rsid w:val="00FE5452"/>
    <w:rsid w:val="00FF0ECB"/>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2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UnresolvedMention1">
    <w:name w:val="Unresolved Mention1"/>
    <w:basedOn w:val="DefaultParagraphFont"/>
    <w:uiPriority w:val="99"/>
    <w:semiHidden/>
    <w:unhideWhenUsed/>
    <w:rsid w:val="00E346D0"/>
    <w:rPr>
      <w:color w:val="605E5C"/>
      <w:shd w:val="clear" w:color="auto" w:fill="E1DFDD"/>
    </w:rPr>
  </w:style>
  <w:style w:type="paragraph" w:styleId="Caption">
    <w:name w:val="caption"/>
    <w:basedOn w:val="Normal"/>
    <w:next w:val="Normal"/>
    <w:uiPriority w:val="35"/>
    <w:unhideWhenUsed/>
    <w:qFormat/>
    <w:rsid w:val="008B3E4C"/>
    <w:pPr>
      <w:spacing w:before="0"/>
      <w:ind w:left="425"/>
    </w:pPr>
    <w:rPr>
      <w:i/>
      <w:iCs/>
      <w:color w:val="1F497D" w:themeColor="text2"/>
      <w:sz w:val="18"/>
      <w:szCs w:val="18"/>
    </w:rPr>
  </w:style>
  <w:style w:type="paragraph" w:customStyle="1" w:styleId="numbered-paragraph">
    <w:name w:val="numbered-paragraph"/>
    <w:basedOn w:val="Normal"/>
    <w:rsid w:val="003566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paragraph-number">
    <w:name w:val="paragraph-number"/>
    <w:basedOn w:val="DefaultParagraphFont"/>
    <w:rsid w:val="0035667B"/>
  </w:style>
  <w:style w:type="paragraph" w:customStyle="1" w:styleId="Tables">
    <w:name w:val="Tables"/>
    <w:basedOn w:val="Normal"/>
    <w:qFormat/>
    <w:rsid w:val="00B44B90"/>
    <w:pPr>
      <w:keepNext/>
      <w:keepLines/>
      <w:spacing w:before="40"/>
    </w:pPr>
    <w:rPr>
      <w:rFonts w:ascii="Arial" w:eastAsia="Calibri" w:hAnsi="Arial" w:cs="Arial"/>
      <w:sz w:val="18"/>
      <w:szCs w:val="18"/>
    </w:rPr>
  </w:style>
  <w:style w:type="paragraph" w:customStyle="1" w:styleId="CaptionNotes">
    <w:name w:val="Caption Notes"/>
    <w:basedOn w:val="Normal"/>
    <w:qFormat/>
    <w:rsid w:val="00B44B90"/>
    <w:pPr>
      <w:keepNext/>
      <w:keepLines/>
      <w:spacing w:before="0" w:after="480"/>
      <w:contextualSpacing/>
      <w:jc w:val="both"/>
    </w:pPr>
    <w:rPr>
      <w:rFonts w:ascii="Arial" w:eastAsia="Times New Roman" w:hAnsi="Arial" w:cs="Times New Roman"/>
      <w:sz w:val="16"/>
      <w:lang w:eastAsia="en-AU"/>
    </w:rPr>
  </w:style>
  <w:style w:type="paragraph" w:customStyle="1" w:styleId="Tabletext">
    <w:name w:val="Table_text"/>
    <w:basedOn w:val="Normal"/>
    <w:link w:val="TabletextChar"/>
    <w:qFormat/>
    <w:rsid w:val="008B3E4C"/>
    <w:pPr>
      <w:spacing w:before="0" w:after="0" w:line="264" w:lineRule="auto"/>
    </w:pPr>
    <w:rPr>
      <w:rFonts w:ascii="Arial Narrow" w:hAnsi="Arial Narrow"/>
      <w:szCs w:val="20"/>
    </w:rPr>
  </w:style>
  <w:style w:type="paragraph" w:customStyle="1" w:styleId="Tablenotes">
    <w:name w:val="Table_notes"/>
    <w:basedOn w:val="Normal"/>
    <w:link w:val="TablenotesChar"/>
    <w:qFormat/>
    <w:rsid w:val="00AD2411"/>
    <w:pPr>
      <w:spacing w:before="20" w:after="240"/>
      <w:ind w:left="425"/>
      <w:contextualSpacing/>
    </w:pPr>
    <w:rPr>
      <w:sz w:val="16"/>
      <w:szCs w:val="20"/>
    </w:rPr>
  </w:style>
  <w:style w:type="character" w:customStyle="1" w:styleId="TabletextChar">
    <w:name w:val="Table_text Char"/>
    <w:basedOn w:val="DefaultParagraphFont"/>
    <w:link w:val="Tabletext"/>
    <w:rsid w:val="008B3E4C"/>
    <w:rPr>
      <w:rFonts w:ascii="Arial Narrow" w:hAnsi="Arial Narrow"/>
      <w:sz w:val="20"/>
      <w:szCs w:val="20"/>
    </w:rPr>
  </w:style>
  <w:style w:type="character" w:customStyle="1" w:styleId="TablenotesChar">
    <w:name w:val="Table_notes Char"/>
    <w:basedOn w:val="DefaultParagraphFont"/>
    <w:link w:val="Tablenotes"/>
    <w:rsid w:val="00AD2411"/>
    <w:rPr>
      <w:sz w:val="16"/>
      <w:szCs w:val="20"/>
    </w:rPr>
  </w:style>
  <w:style w:type="character" w:styleId="Emphasis">
    <w:name w:val="Emphasis"/>
    <w:basedOn w:val="DefaultParagraphFont"/>
    <w:uiPriority w:val="20"/>
    <w:qFormat/>
    <w:rsid w:val="00D23BFA"/>
    <w:rPr>
      <w:i/>
      <w:iCs/>
    </w:rPr>
  </w:style>
  <w:style w:type="paragraph" w:customStyle="1" w:styleId="TitleBlue">
    <w:name w:val="Title Blue"/>
    <w:basedOn w:val="Title"/>
    <w:qFormat/>
    <w:rsid w:val="008A3F36"/>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20919932">
      <w:bodyDiv w:val="1"/>
      <w:marLeft w:val="0"/>
      <w:marRight w:val="0"/>
      <w:marTop w:val="0"/>
      <w:marBottom w:val="0"/>
      <w:divBdr>
        <w:top w:val="none" w:sz="0" w:space="0" w:color="auto"/>
        <w:left w:val="none" w:sz="0" w:space="0" w:color="auto"/>
        <w:bottom w:val="none" w:sz="0" w:space="0" w:color="auto"/>
        <w:right w:val="none" w:sz="0" w:space="0" w:color="auto"/>
      </w:divBdr>
    </w:div>
    <w:div w:id="956252396">
      <w:bodyDiv w:val="1"/>
      <w:marLeft w:val="0"/>
      <w:marRight w:val="0"/>
      <w:marTop w:val="0"/>
      <w:marBottom w:val="0"/>
      <w:divBdr>
        <w:top w:val="none" w:sz="0" w:space="0" w:color="auto"/>
        <w:left w:val="none" w:sz="0" w:space="0" w:color="auto"/>
        <w:bottom w:val="none" w:sz="0" w:space="0" w:color="auto"/>
        <w:right w:val="none" w:sz="0" w:space="0" w:color="auto"/>
      </w:divBdr>
    </w:div>
    <w:div w:id="183090567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pmc/articles/PMC5123707/pdf/rru-8-207.pdf" TargetMode="External"/><Relationship Id="rId26" Type="http://schemas.openxmlformats.org/officeDocument/2006/relationships/hyperlink" Target="http://www.health.gov.au/internet/main/publishing.nsf/Content/mbs-review-2018-taskforce-reports-cp/$File/Urology-Clinical-Committee.pdf"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pubmed/26614889" TargetMode="External"/><Relationship Id="rId25" Type="http://schemas.openxmlformats.org/officeDocument/2006/relationships/hyperlink" Target="https://andrologyaustralia.org/wp-content/uploads/clinical-summary-guide-07.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A635-A8F3-4049-A139-A6E86D77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10390</Words>
  <Characters>59225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2020-05-06T00:03:00Z</dcterms:created>
  <dcterms:modified xsi:type="dcterms:W3CDTF">2020-05-06T00:03:00Z</dcterms:modified>
</cp:coreProperties>
</file>